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AD" w:rsidRPr="009F7DD3" w:rsidRDefault="001E21C4" w:rsidP="00A37AAD">
      <w:pPr>
        <w:jc w:val="center"/>
        <w:rPr>
          <w:b/>
          <w:sz w:val="28"/>
          <w:szCs w:val="28"/>
        </w:rPr>
      </w:pPr>
      <w:r w:rsidRPr="009F7DD3">
        <w:rPr>
          <w:b/>
          <w:sz w:val="28"/>
          <w:szCs w:val="28"/>
        </w:rPr>
        <w:t>Ministru kabineta noteikumu projekta „</w:t>
      </w:r>
      <w:r w:rsidR="00636163" w:rsidRPr="009F7DD3">
        <w:rPr>
          <w:b/>
          <w:bCs/>
          <w:sz w:val="28"/>
          <w:szCs w:val="28"/>
        </w:rPr>
        <w:t>Darbības programmas „Izaugsme un nodarbinātība” 8.1.4. specifiskā atbalsta mērķa „Uzlabot pirmā līmeņa profesionālās augstākās izglītības STEM, tajā skaitā medicīnas un radošās industrijas, studiju mācību vidi koledžās” īstenošanas noteikumi</w:t>
      </w:r>
      <w:r w:rsidR="00A37AAD" w:rsidRPr="009F7DD3">
        <w:rPr>
          <w:b/>
          <w:sz w:val="28"/>
          <w:szCs w:val="28"/>
        </w:rPr>
        <w:t>” sākotnējās ietekmes novērtējuma ziņojums (anotācija)</w:t>
      </w:r>
    </w:p>
    <w:p w:rsidR="002764B8" w:rsidRPr="009F7DD3" w:rsidRDefault="002764B8" w:rsidP="00DE4771">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8"/>
        <w:gridCol w:w="81"/>
        <w:gridCol w:w="1781"/>
        <w:gridCol w:w="316"/>
        <w:gridCol w:w="6091"/>
      </w:tblGrid>
      <w:tr w:rsidR="0072604C" w:rsidRPr="009F7DD3" w:rsidTr="001629C3">
        <w:tc>
          <w:tcPr>
            <w:tcW w:w="4972" w:type="pct"/>
            <w:gridSpan w:val="5"/>
            <w:tcBorders>
              <w:top w:val="single" w:sz="4" w:space="0" w:color="auto"/>
              <w:left w:val="single" w:sz="4" w:space="0" w:color="auto"/>
              <w:bottom w:val="outset" w:sz="6" w:space="0" w:color="000000"/>
              <w:right w:val="single" w:sz="4" w:space="0" w:color="auto"/>
            </w:tcBorders>
            <w:vAlign w:val="center"/>
          </w:tcPr>
          <w:p w:rsidR="0072604C" w:rsidRPr="009F7DD3" w:rsidRDefault="0072604C" w:rsidP="00CD0FA2">
            <w:pPr>
              <w:spacing w:before="100" w:beforeAutospacing="1" w:after="100" w:afterAutospacing="1"/>
              <w:jc w:val="center"/>
              <w:rPr>
                <w:b/>
                <w:bCs/>
              </w:rPr>
            </w:pPr>
            <w:r w:rsidRPr="009F7DD3">
              <w:rPr>
                <w:b/>
                <w:bCs/>
              </w:rPr>
              <w:t>I. Tiesību akta projekta izstrādes nepieciešamība</w:t>
            </w:r>
          </w:p>
        </w:tc>
      </w:tr>
      <w:tr w:rsidR="0072604C" w:rsidRPr="009F7DD3" w:rsidTr="001629C3">
        <w:tc>
          <w:tcPr>
            <w:tcW w:w="213" w:type="pct"/>
            <w:tcBorders>
              <w:top w:val="outset" w:sz="6" w:space="0" w:color="000000"/>
              <w:left w:val="outset" w:sz="6" w:space="0" w:color="000000"/>
              <w:bottom w:val="outset" w:sz="6" w:space="0" w:color="000000"/>
              <w:right w:val="outset" w:sz="6" w:space="0" w:color="000000"/>
            </w:tcBorders>
          </w:tcPr>
          <w:p w:rsidR="0072604C" w:rsidRPr="009F7DD3" w:rsidRDefault="0072604C" w:rsidP="00CD0FA2">
            <w:pPr>
              <w:spacing w:before="100" w:beforeAutospacing="1" w:after="100" w:afterAutospacing="1"/>
            </w:pPr>
            <w:r w:rsidRPr="009F7DD3">
              <w:t>1.</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9F7DD3" w:rsidRDefault="0072604C" w:rsidP="00CD0FA2">
            <w:pPr>
              <w:spacing w:before="100" w:beforeAutospacing="1" w:after="100" w:afterAutospacing="1"/>
            </w:pPr>
            <w:r w:rsidRPr="009F7DD3">
              <w:t>Pamatojums</w:t>
            </w:r>
          </w:p>
        </w:tc>
        <w:tc>
          <w:tcPr>
            <w:tcW w:w="3681" w:type="pct"/>
            <w:gridSpan w:val="2"/>
            <w:tcBorders>
              <w:top w:val="outset" w:sz="6" w:space="0" w:color="000000"/>
              <w:left w:val="outset" w:sz="6" w:space="0" w:color="000000"/>
              <w:bottom w:val="outset" w:sz="6" w:space="0" w:color="000000"/>
              <w:right w:val="outset" w:sz="6" w:space="0" w:color="000000"/>
            </w:tcBorders>
          </w:tcPr>
          <w:p w:rsidR="00FA593C" w:rsidRPr="009F7DD3" w:rsidRDefault="00FA593C" w:rsidP="007B7E40">
            <w:pPr>
              <w:pStyle w:val="ListParagraph"/>
              <w:ind w:left="0"/>
              <w:rPr>
                <w:szCs w:val="24"/>
              </w:rPr>
            </w:pPr>
            <w:r w:rsidRPr="009F7DD3">
              <w:rPr>
                <w:szCs w:val="24"/>
              </w:rPr>
              <w:t>Ministru kabineta (turpmāk – MK) noteikumu projekts „</w:t>
            </w:r>
            <w:r w:rsidR="00636163" w:rsidRPr="009F7DD3">
              <w:rPr>
                <w:szCs w:val="24"/>
              </w:rPr>
              <w:t>Darbības programmas „Izaugsme un nodarbinātība” 8.1.4. specifiskā atbalsta mērķa „Uzlabot pirmā līmeņa profesionālās augstākās izglītības STEM, tajā skaitā medicīnas un radošās industrijas, studiju mācību vidi koledžās” īstenošanas noteikumi</w:t>
            </w:r>
            <w:r w:rsidRPr="009F7DD3">
              <w:rPr>
                <w:szCs w:val="24"/>
              </w:rPr>
              <w:t>”</w:t>
            </w:r>
            <w:r w:rsidR="00F075EC" w:rsidRPr="009F7DD3">
              <w:rPr>
                <w:szCs w:val="24"/>
              </w:rPr>
              <w:t xml:space="preserve"> (turpmāk – noteikumu projekts) sagatavots saskaņā ar</w:t>
            </w:r>
            <w:r w:rsidRPr="009F7DD3">
              <w:rPr>
                <w:szCs w:val="24"/>
              </w:rPr>
              <w:t>:</w:t>
            </w:r>
          </w:p>
          <w:p w:rsidR="00FA593C" w:rsidRPr="009F7DD3" w:rsidRDefault="00FA593C" w:rsidP="002A06CC">
            <w:pPr>
              <w:pStyle w:val="ListParagraph"/>
              <w:numPr>
                <w:ilvl w:val="0"/>
                <w:numId w:val="15"/>
              </w:numPr>
              <w:rPr>
                <w:szCs w:val="24"/>
              </w:rPr>
            </w:pPr>
            <w:r w:rsidRPr="009F7DD3">
              <w:rPr>
                <w:szCs w:val="24"/>
                <w:lang w:eastAsia="lv-LV"/>
              </w:rPr>
              <w:t xml:space="preserve">Eiropas Savienības struktūrfondu un Kohēzijas fonda </w:t>
            </w:r>
            <w:r w:rsidR="00F075EC" w:rsidRPr="009F7DD3">
              <w:rPr>
                <w:szCs w:val="24"/>
                <w:lang w:eastAsia="lv-LV"/>
              </w:rPr>
              <w:t xml:space="preserve">2014. – 2020.gada plānošanas perioda vadības likuma </w:t>
            </w:r>
            <w:r w:rsidR="00FA567A" w:rsidRPr="009F7DD3">
              <w:rPr>
                <w:bCs/>
                <w:szCs w:val="24"/>
              </w:rPr>
              <w:t xml:space="preserve">20.panta </w:t>
            </w:r>
            <w:r w:rsidR="00732323" w:rsidRPr="009F7DD3">
              <w:rPr>
                <w:bCs/>
                <w:szCs w:val="24"/>
              </w:rPr>
              <w:t xml:space="preserve">6. un </w:t>
            </w:r>
            <w:r w:rsidR="00FA567A" w:rsidRPr="009F7DD3">
              <w:rPr>
                <w:bCs/>
                <w:szCs w:val="24"/>
              </w:rPr>
              <w:t>13.punktu</w:t>
            </w:r>
            <w:r w:rsidR="006C268C" w:rsidRPr="009F7DD3">
              <w:rPr>
                <w:bCs/>
                <w:szCs w:val="24"/>
              </w:rPr>
              <w:t>;</w:t>
            </w:r>
          </w:p>
          <w:p w:rsidR="00AC3B6B" w:rsidRPr="009F7DD3" w:rsidRDefault="00FA567A" w:rsidP="00A94D5A">
            <w:pPr>
              <w:pStyle w:val="ListParagraph"/>
              <w:numPr>
                <w:ilvl w:val="0"/>
                <w:numId w:val="15"/>
              </w:numPr>
              <w:rPr>
                <w:szCs w:val="24"/>
              </w:rPr>
            </w:pPr>
            <w:r w:rsidRPr="009F7DD3">
              <w:rPr>
                <w:szCs w:val="24"/>
                <w:shd w:val="clear" w:color="auto" w:fill="FFFFFF"/>
              </w:rPr>
              <w:t xml:space="preserve">Ministru Prezidenta 2014.gada 21.jūlija rezolūciju Nr.12/2014-JUR-151, kura nosaka līdz 2017.gada 1.decembrim atbilstoši kompetencei sagatavot un noteiktā kārtībā iesniegt MK </w:t>
            </w:r>
            <w:r w:rsidR="00AC3B6B" w:rsidRPr="009F7DD3">
              <w:rPr>
                <w:szCs w:val="24"/>
              </w:rPr>
              <w:t xml:space="preserve">specifiskā atbalsta mērķa īstenošanas noteikumus; </w:t>
            </w:r>
          </w:p>
          <w:p w:rsidR="00B969D7" w:rsidRPr="009F7DD3" w:rsidRDefault="00AC3B6B" w:rsidP="00AC3B6B">
            <w:pPr>
              <w:pStyle w:val="ListParagraph"/>
              <w:numPr>
                <w:ilvl w:val="0"/>
                <w:numId w:val="15"/>
              </w:numPr>
              <w:rPr>
                <w:szCs w:val="24"/>
              </w:rPr>
            </w:pPr>
            <w:r w:rsidRPr="009F7DD3">
              <w:rPr>
                <w:szCs w:val="24"/>
              </w:rPr>
              <w:t xml:space="preserve">Eiropas Savienības fondu un Kohēzijas politikas 2014.-2020.gada plānošanas perioda darbības programmu „Izaugsme un nodarbinātība”, kas  apstiprināta Eiropas Komisijā   2014.gada 11.novembrī. </w:t>
            </w:r>
          </w:p>
        </w:tc>
      </w:tr>
      <w:tr w:rsidR="0072604C" w:rsidRPr="009F7DD3" w:rsidTr="001629C3">
        <w:tc>
          <w:tcPr>
            <w:tcW w:w="213" w:type="pct"/>
            <w:tcBorders>
              <w:top w:val="outset" w:sz="6" w:space="0" w:color="000000"/>
              <w:left w:val="outset" w:sz="6" w:space="0" w:color="000000"/>
              <w:bottom w:val="outset" w:sz="6" w:space="0" w:color="000000"/>
              <w:right w:val="outset" w:sz="6" w:space="0" w:color="000000"/>
            </w:tcBorders>
          </w:tcPr>
          <w:p w:rsidR="0072604C" w:rsidRPr="009F7DD3" w:rsidRDefault="0072604C" w:rsidP="00CD0FA2">
            <w:pPr>
              <w:spacing w:before="100" w:beforeAutospacing="1" w:after="100" w:afterAutospacing="1"/>
            </w:pPr>
            <w:r w:rsidRPr="009F7DD3">
              <w:t>2.</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9F7DD3" w:rsidRDefault="00997B78" w:rsidP="00CD0FA2">
            <w:pPr>
              <w:spacing w:before="100" w:beforeAutospacing="1" w:after="100" w:afterAutospacing="1"/>
            </w:pPr>
            <w:r w:rsidRPr="009F7DD3">
              <w:t>Pašreizējā situācija un problēmas, kuru risināšanai tiesību akta projekts izstrādāts, tiesiskā regulējuma mērķis un būtība</w:t>
            </w:r>
          </w:p>
        </w:tc>
        <w:tc>
          <w:tcPr>
            <w:tcW w:w="3681" w:type="pct"/>
            <w:gridSpan w:val="2"/>
            <w:tcBorders>
              <w:top w:val="outset" w:sz="6" w:space="0" w:color="000000"/>
              <w:left w:val="outset" w:sz="6" w:space="0" w:color="000000"/>
              <w:bottom w:val="outset" w:sz="6" w:space="0" w:color="000000"/>
              <w:right w:val="outset" w:sz="6" w:space="0" w:color="000000"/>
            </w:tcBorders>
          </w:tcPr>
          <w:p w:rsidR="008B63B8" w:rsidRPr="009F7DD3" w:rsidRDefault="008B63B8" w:rsidP="009111B0">
            <w:pPr>
              <w:ind w:firstLine="720"/>
              <w:jc w:val="both"/>
            </w:pPr>
            <w:r w:rsidRPr="009F7DD3">
              <w:t xml:space="preserve">Izglītības attīstības pamatnostādnes 2014.-2020.gadam paredz īstenot augstākās izglītības pārstrukturizēšanas pasākumus, kas vērsti uz studējošo </w:t>
            </w:r>
            <w:r w:rsidR="00DA5B0B" w:rsidRPr="009F7DD3">
              <w:t xml:space="preserve">un sagatavoto speciālistu </w:t>
            </w:r>
            <w:r w:rsidRPr="009F7DD3">
              <w:t>skaita proporcijas maiņu atbilstoši darba tirgus vidēja termiņa un ilgtermiņa prognozēm, palielinot darba devēju lomu un motivāciju kvalitatīvas prakses nodrošināšanā un sniedzot atbalstu 1.līmeņa profesionālās augstākās izglītības (koledžu) piedāvājuma palielināšanai un programmu īstenošanai nepieciešamās infrastruktūras modernizēšanai. Infrastruktūras un aprīkojuma modernizēšana paredzēta koledžās, kas īsteno STEM</w:t>
            </w:r>
            <w:r w:rsidR="00B05E25" w:rsidRPr="009F7DD3">
              <w:t xml:space="preserve"> </w:t>
            </w:r>
            <w:r w:rsidR="00B05E25" w:rsidRPr="009F7DD3">
              <w:rPr>
                <w:i/>
              </w:rPr>
              <w:t>(</w:t>
            </w:r>
            <w:proofErr w:type="spellStart"/>
            <w:r w:rsidR="00B05E25" w:rsidRPr="009F7DD3">
              <w:rPr>
                <w:i/>
                <w:iCs/>
              </w:rPr>
              <w:t>Science</w:t>
            </w:r>
            <w:proofErr w:type="spellEnd"/>
            <w:r w:rsidR="00B05E25" w:rsidRPr="009F7DD3">
              <w:rPr>
                <w:i/>
                <w:iCs/>
              </w:rPr>
              <w:t xml:space="preserve">, </w:t>
            </w:r>
            <w:proofErr w:type="spellStart"/>
            <w:r w:rsidR="00B05E25" w:rsidRPr="009F7DD3">
              <w:rPr>
                <w:i/>
                <w:iCs/>
              </w:rPr>
              <w:t>Technology</w:t>
            </w:r>
            <w:proofErr w:type="spellEnd"/>
            <w:r w:rsidR="00B05E25" w:rsidRPr="009F7DD3">
              <w:rPr>
                <w:i/>
                <w:iCs/>
              </w:rPr>
              <w:t xml:space="preserve">, Engineering </w:t>
            </w:r>
            <w:proofErr w:type="spellStart"/>
            <w:r w:rsidR="00B05E25" w:rsidRPr="009F7DD3">
              <w:rPr>
                <w:i/>
                <w:iCs/>
              </w:rPr>
              <w:t>and</w:t>
            </w:r>
            <w:proofErr w:type="spellEnd"/>
            <w:r w:rsidR="00B05E25" w:rsidRPr="009F7DD3">
              <w:rPr>
                <w:i/>
                <w:iCs/>
              </w:rPr>
              <w:t xml:space="preserve"> </w:t>
            </w:r>
            <w:proofErr w:type="spellStart"/>
            <w:r w:rsidR="00B05E25" w:rsidRPr="009F7DD3">
              <w:rPr>
                <w:i/>
                <w:iCs/>
              </w:rPr>
              <w:t>Mathematics</w:t>
            </w:r>
            <w:proofErr w:type="spellEnd"/>
            <w:r w:rsidR="00B05E25" w:rsidRPr="009F7DD3">
              <w:rPr>
                <w:i/>
                <w:iCs/>
              </w:rPr>
              <w:t xml:space="preserve"> – </w:t>
            </w:r>
            <w:r w:rsidR="00B05E25" w:rsidRPr="009F7DD3">
              <w:t>zinātne, tehnoloģijas, inženierzinātnes, matemātika</w:t>
            </w:r>
            <w:r w:rsidR="00B05E25" w:rsidRPr="009F7DD3">
              <w:rPr>
                <w:i/>
              </w:rPr>
              <w:t>)</w:t>
            </w:r>
            <w:r w:rsidRPr="009F7DD3">
              <w:t xml:space="preserve"> </w:t>
            </w:r>
            <w:r w:rsidR="001C489E" w:rsidRPr="009F7DD3">
              <w:t xml:space="preserve">izglītības </w:t>
            </w:r>
            <w:r w:rsidRPr="009F7DD3">
              <w:t>programmas, t</w:t>
            </w:r>
            <w:r w:rsidR="00B05E25" w:rsidRPr="009F7DD3">
              <w:t xml:space="preserve">ajā </w:t>
            </w:r>
            <w:r w:rsidRPr="009F7DD3">
              <w:t>sk</w:t>
            </w:r>
            <w:r w:rsidR="00B05E25" w:rsidRPr="009F7DD3">
              <w:t>aitā</w:t>
            </w:r>
            <w:r w:rsidRPr="009F7DD3">
              <w:t xml:space="preserve"> medicīnas un radošo industriju jomās</w:t>
            </w:r>
            <w:r w:rsidR="00C6231E" w:rsidRPr="009F7DD3">
              <w:t xml:space="preserve"> (turpmāk – STEM)</w:t>
            </w:r>
            <w:r w:rsidRPr="009F7DD3">
              <w:t xml:space="preserve">, lai nodrošinātu mūsdienīgu </w:t>
            </w:r>
            <w:r w:rsidR="001C489E" w:rsidRPr="009F7DD3">
              <w:t xml:space="preserve">izglītības </w:t>
            </w:r>
            <w:r w:rsidRPr="009F7DD3">
              <w:t>procesa īstenošanu atbilstoši tautsaimniecības nozaru attīstībai.</w:t>
            </w:r>
          </w:p>
          <w:p w:rsidR="008B63B8" w:rsidRPr="009F7DD3" w:rsidRDefault="00E02C2D" w:rsidP="009111B0">
            <w:pPr>
              <w:ind w:firstLine="720"/>
              <w:jc w:val="both"/>
            </w:pPr>
            <w:r w:rsidRPr="009F7DD3">
              <w:t xml:space="preserve">Arī </w:t>
            </w:r>
            <w:r w:rsidR="008B63B8" w:rsidRPr="009F7DD3">
              <w:t xml:space="preserve">Latvijas Viedās specializācijas stratēģija paredz izglītības modernizāciju ar mērķi sekmēt tautsaimniecības transformāciju uz augstāku pievienoto vērtību, sekmējot izaugsmi gan tradicionālajās tautsaimniecības nozarēs, gan nozarēs ar augstu nākotnes izaugsmes potenciālu un nozarēs ar nozīmīgu horizontālu </w:t>
            </w:r>
            <w:r w:rsidR="008B63B8" w:rsidRPr="009F7DD3">
              <w:lastRenderedPageBreak/>
              <w:t xml:space="preserve">ietekmi. Viedās specializācijas stratēģijas mērķu sasniegšanai būs nepieciešams </w:t>
            </w:r>
            <w:proofErr w:type="spellStart"/>
            <w:r w:rsidR="008B63B8" w:rsidRPr="009F7DD3">
              <w:t>cilvēkkapitāls</w:t>
            </w:r>
            <w:proofErr w:type="spellEnd"/>
            <w:r w:rsidR="008B63B8" w:rsidRPr="009F7DD3">
              <w:t xml:space="preserve">, kas nodrošinās izaugsmi nozarēs, kurās eksistē vai ir iespējams radīt produktus un pakalpojumus ar augstu pievienoto vērtību, nozarēs ar nozīmīgu horizontālo ietekmi un ieguldījumu tautsaimniecības transformācijā, kā arī būs nepieciešams </w:t>
            </w:r>
            <w:proofErr w:type="spellStart"/>
            <w:r w:rsidR="008B63B8" w:rsidRPr="009F7DD3">
              <w:t>cilvēkkapitāls</w:t>
            </w:r>
            <w:proofErr w:type="spellEnd"/>
            <w:r w:rsidR="008B63B8" w:rsidRPr="009F7DD3">
              <w:t xml:space="preserve">, kas mainīs ražošanas un eksporta struktūras tradicionālajās tautsaimniecības nozarēs. Lai izveidotu šādu </w:t>
            </w:r>
            <w:proofErr w:type="spellStart"/>
            <w:r w:rsidR="008B63B8" w:rsidRPr="009F7DD3">
              <w:t>cilvēkkapitālu</w:t>
            </w:r>
            <w:proofErr w:type="spellEnd"/>
            <w:r w:rsidR="008B63B8" w:rsidRPr="009F7DD3">
              <w:t xml:space="preserve">, ir jāstiprina </w:t>
            </w:r>
            <w:r w:rsidR="00C6231E" w:rsidRPr="009F7DD3">
              <w:t>izglītības vide</w:t>
            </w:r>
            <w:r w:rsidR="00290CD6" w:rsidRPr="009F7DD3">
              <w:t>s kvalitāte</w:t>
            </w:r>
            <w:r w:rsidR="008B63B8" w:rsidRPr="009F7DD3">
              <w:t xml:space="preserve">, kas attīstīs kompetenču bāzi Viedās specializācijas stratēģijā definētajās </w:t>
            </w:r>
            <w:r w:rsidR="00E60781" w:rsidRPr="009F7DD3">
              <w:t>specializācijas</w:t>
            </w:r>
            <w:r w:rsidR="008B63B8" w:rsidRPr="009F7DD3">
              <w:t xml:space="preserve"> jomās: 1) </w:t>
            </w:r>
            <w:proofErr w:type="spellStart"/>
            <w:r w:rsidR="008B63B8" w:rsidRPr="009F7DD3">
              <w:t>bioekonomikā</w:t>
            </w:r>
            <w:proofErr w:type="spellEnd"/>
            <w:r w:rsidR="008B63B8" w:rsidRPr="009F7DD3">
              <w:t xml:space="preserve">, 2) </w:t>
            </w:r>
            <w:proofErr w:type="spellStart"/>
            <w:r w:rsidR="008B63B8" w:rsidRPr="009F7DD3">
              <w:t>biomedicīnā</w:t>
            </w:r>
            <w:proofErr w:type="spellEnd"/>
            <w:r w:rsidR="008B63B8" w:rsidRPr="009F7DD3">
              <w:t xml:space="preserve">, medicīnas tehnoloģijās, </w:t>
            </w:r>
            <w:proofErr w:type="spellStart"/>
            <w:r w:rsidR="008B63B8" w:rsidRPr="009F7DD3">
              <w:t>biofarmācijā</w:t>
            </w:r>
            <w:proofErr w:type="spellEnd"/>
            <w:r w:rsidR="008B63B8" w:rsidRPr="009F7DD3">
              <w:t xml:space="preserve"> un biotehnoloģijās, 3) viedo materiālu izstrādē, tehnoloģijās un </w:t>
            </w:r>
            <w:proofErr w:type="spellStart"/>
            <w:r w:rsidR="008B63B8" w:rsidRPr="009F7DD3">
              <w:t>inženiersistēmās</w:t>
            </w:r>
            <w:proofErr w:type="spellEnd"/>
            <w:r w:rsidR="008B63B8" w:rsidRPr="009F7DD3">
              <w:t>, 4) viedajā enerģētikā, un 5) informācijas un komunikācijas tehnoloģijās.</w:t>
            </w:r>
          </w:p>
          <w:p w:rsidR="00572EFA" w:rsidRPr="009F7DD3" w:rsidRDefault="00572EFA" w:rsidP="00EF5A62">
            <w:pPr>
              <w:pStyle w:val="Default"/>
              <w:ind w:firstLine="720"/>
              <w:jc w:val="both"/>
              <w:rPr>
                <w:color w:val="auto"/>
              </w:rPr>
            </w:pPr>
            <w:r w:rsidRPr="009F7DD3">
              <w:rPr>
                <w:color w:val="auto"/>
              </w:rPr>
              <w:t xml:space="preserve">Ekonomikas ministrija informatīvajos ziņojumos par darba tirgus vidēja un ilgtermiņa prognozēm uzsver, ka turpmākajos gados vislielākās problēmas atrast darbu būs iedzīvotājiem bez profesionālās kvalifikācijas un darba tirgus piedāvājuma uzlabošanai </w:t>
            </w:r>
            <w:r w:rsidR="00FF04D6" w:rsidRPr="009F7DD3">
              <w:rPr>
                <w:color w:val="auto"/>
              </w:rPr>
              <w:t xml:space="preserve">un pieprasījuma nodrošināšanai </w:t>
            </w:r>
            <w:r w:rsidRPr="009F7DD3">
              <w:rPr>
                <w:color w:val="auto"/>
              </w:rPr>
              <w:t xml:space="preserve">iesaka palielināt profesionālās augstākās izglītības 1.līmeņa (koledžu) piedāvājumu, īpaši STEM virzienos, kā arī uzlabot augstskolu nodrošinājumu ar mūsdienīgām iekārtām, aprīkojumu un tehnoloģijām </w:t>
            </w:r>
            <w:r w:rsidR="00C6231E" w:rsidRPr="009F7DD3">
              <w:rPr>
                <w:color w:val="auto"/>
              </w:rPr>
              <w:t>STEM</w:t>
            </w:r>
            <w:r w:rsidRPr="009F7DD3">
              <w:rPr>
                <w:color w:val="auto"/>
              </w:rPr>
              <w:t xml:space="preserve"> virzienos.</w:t>
            </w:r>
          </w:p>
          <w:p w:rsidR="00EF5A62" w:rsidRPr="009F7DD3" w:rsidRDefault="00EF5A62" w:rsidP="00F25B61">
            <w:pPr>
              <w:autoSpaceDE w:val="0"/>
              <w:autoSpaceDN w:val="0"/>
              <w:adjustRightInd w:val="0"/>
              <w:ind w:firstLine="720"/>
              <w:jc w:val="both"/>
            </w:pPr>
            <w:r w:rsidRPr="009F7DD3">
              <w:rPr>
                <w:rFonts w:eastAsia="Calibri"/>
              </w:rPr>
              <w:t xml:space="preserve">Viens no risinājumiem, lai mazinātu </w:t>
            </w:r>
            <w:r w:rsidRPr="009F7DD3">
              <w:t xml:space="preserve">neatbilstību starp augstākās </w:t>
            </w:r>
            <w:r w:rsidR="003B2F6C" w:rsidRPr="009F7DD3">
              <w:t xml:space="preserve">un profesionālās </w:t>
            </w:r>
            <w:r w:rsidRPr="009F7DD3">
              <w:t xml:space="preserve">izglītības piedāvājumu un darba tirgus pieprasījumu, ir </w:t>
            </w:r>
            <w:r w:rsidRPr="009F7DD3">
              <w:rPr>
                <w:rFonts w:eastAsia="Calibri"/>
              </w:rPr>
              <w:t xml:space="preserve">palielināt STEM jomā </w:t>
            </w:r>
            <w:r w:rsidR="003B2F6C" w:rsidRPr="009F7DD3">
              <w:rPr>
                <w:rFonts w:eastAsia="Calibri"/>
              </w:rPr>
              <w:t xml:space="preserve">izglītojamo </w:t>
            </w:r>
            <w:r w:rsidRPr="009F7DD3">
              <w:rPr>
                <w:rFonts w:eastAsia="Calibri"/>
              </w:rPr>
              <w:t xml:space="preserve">skaitu koledžās, uzlabojot tajās </w:t>
            </w:r>
            <w:r w:rsidR="00F03F3B" w:rsidRPr="009F7DD3">
              <w:rPr>
                <w:rFonts w:eastAsia="Calibri"/>
              </w:rPr>
              <w:t xml:space="preserve">izglītības </w:t>
            </w:r>
            <w:r w:rsidRPr="009F7DD3">
              <w:rPr>
                <w:rFonts w:eastAsia="Calibri"/>
              </w:rPr>
              <w:t xml:space="preserve">vidi, tādā veidā veicinot </w:t>
            </w:r>
            <w:r w:rsidR="00C6231E" w:rsidRPr="009F7DD3">
              <w:rPr>
                <w:rFonts w:eastAsia="Calibri"/>
              </w:rPr>
              <w:t xml:space="preserve">koledžu konkurētspēju un ietekmējot </w:t>
            </w:r>
            <w:r w:rsidRPr="009F7DD3">
              <w:rPr>
                <w:rFonts w:eastAsia="Calibri"/>
              </w:rPr>
              <w:t xml:space="preserve">potenciālo </w:t>
            </w:r>
            <w:r w:rsidR="003B2F6C" w:rsidRPr="009F7DD3">
              <w:rPr>
                <w:rFonts w:eastAsia="Calibri"/>
              </w:rPr>
              <w:t xml:space="preserve">izglītojamo </w:t>
            </w:r>
            <w:r w:rsidRPr="009F7DD3">
              <w:rPr>
                <w:rFonts w:eastAsia="Calibri"/>
              </w:rPr>
              <w:t xml:space="preserve">interesi par studijām </w:t>
            </w:r>
            <w:r w:rsidR="003B2F6C" w:rsidRPr="009F7DD3">
              <w:rPr>
                <w:rFonts w:eastAsia="Calibri"/>
              </w:rPr>
              <w:t xml:space="preserve">un mācībām </w:t>
            </w:r>
            <w:r w:rsidRPr="009F7DD3">
              <w:rPr>
                <w:rFonts w:eastAsia="Calibri"/>
              </w:rPr>
              <w:t xml:space="preserve">STEM jomas </w:t>
            </w:r>
            <w:r w:rsidR="00C6231E" w:rsidRPr="009F7DD3">
              <w:rPr>
                <w:rFonts w:eastAsia="Calibri"/>
              </w:rPr>
              <w:t xml:space="preserve">profesionālās </w:t>
            </w:r>
            <w:r w:rsidR="003B2F6C" w:rsidRPr="009F7DD3">
              <w:rPr>
                <w:rFonts w:eastAsia="Calibri"/>
              </w:rPr>
              <w:t xml:space="preserve">izglītības </w:t>
            </w:r>
            <w:r w:rsidRPr="009F7DD3">
              <w:rPr>
                <w:rFonts w:eastAsia="Calibri"/>
              </w:rPr>
              <w:t xml:space="preserve">programmās. </w:t>
            </w:r>
            <w:r w:rsidRPr="009F7DD3">
              <w:rPr>
                <w:szCs w:val="26"/>
              </w:rPr>
              <w:t xml:space="preserve">Šī mērķa sasniegšanu sekmēs </w:t>
            </w:r>
            <w:r w:rsidR="00B05E25" w:rsidRPr="009F7DD3">
              <w:t xml:space="preserve">8.1.4. specifiskā atbalsta mērķa „Uzlabot pirmā līmeņa profesionālās augstākās izglītības STEM, tajā skaitā medicīnas un radošās industrijas, studiju mācību vidi koledžās” (turpmāk – 8.1.4. SAM) </w:t>
            </w:r>
            <w:r w:rsidRPr="009F7DD3">
              <w:t xml:space="preserve">īstenošana. </w:t>
            </w:r>
          </w:p>
          <w:p w:rsidR="00F25B61" w:rsidRPr="009F7DD3" w:rsidRDefault="00F25B61" w:rsidP="00F25B61">
            <w:pPr>
              <w:autoSpaceDE w:val="0"/>
              <w:autoSpaceDN w:val="0"/>
              <w:adjustRightInd w:val="0"/>
              <w:ind w:firstLine="720"/>
              <w:jc w:val="both"/>
            </w:pPr>
            <w:r w:rsidRPr="009F7DD3">
              <w:t>Detalizētāku informāciju par pašreizējo situāciju un problēmām, kuru risināšanai noteikumu projekts izstrādāts skat. 8.1.4. SAM paplašinātajā sākotnējā novērtējumā</w:t>
            </w:r>
            <w:r w:rsidR="007B37AE" w:rsidRPr="009F7DD3">
              <w:t xml:space="preserve"> (pieejams: https://komitejas.esfondi.lv)</w:t>
            </w:r>
            <w:r w:rsidRPr="009F7DD3">
              <w:t>.</w:t>
            </w:r>
          </w:p>
          <w:p w:rsidR="0068284C" w:rsidRPr="009F7DD3" w:rsidRDefault="00B66E72" w:rsidP="00F25B61">
            <w:pPr>
              <w:ind w:firstLine="720"/>
              <w:jc w:val="both"/>
            </w:pPr>
            <w:r w:rsidRPr="009F7DD3">
              <w:t>Ar noteikumu projektu tiks noteikts tiesisk</w:t>
            </w:r>
            <w:r w:rsidR="00515BB7" w:rsidRPr="009F7DD3">
              <w:t>ai</w:t>
            </w:r>
            <w:r w:rsidRPr="009F7DD3">
              <w:t xml:space="preserve">s ietvars </w:t>
            </w:r>
            <w:r w:rsidR="00515BB7" w:rsidRPr="009F7DD3">
              <w:t>8.</w:t>
            </w:r>
            <w:r w:rsidR="00636163" w:rsidRPr="009F7DD3">
              <w:t>1</w:t>
            </w:r>
            <w:r w:rsidR="00515BB7" w:rsidRPr="009F7DD3">
              <w:t>.4.</w:t>
            </w:r>
            <w:r w:rsidR="00EB6067" w:rsidRPr="009F7DD3">
              <w:t> SAM</w:t>
            </w:r>
            <w:r w:rsidR="00515BB7" w:rsidRPr="009F7DD3">
              <w:t xml:space="preserve"> </w:t>
            </w:r>
            <w:r w:rsidRPr="009F7DD3">
              <w:t xml:space="preserve">īstenošanai, lai sasniegtu izvirzīto </w:t>
            </w:r>
            <w:r w:rsidR="00B829DC" w:rsidRPr="009F7DD3">
              <w:rPr>
                <w:b/>
              </w:rPr>
              <w:t>8.</w:t>
            </w:r>
            <w:r w:rsidR="00636163" w:rsidRPr="009F7DD3">
              <w:rPr>
                <w:b/>
              </w:rPr>
              <w:t>1</w:t>
            </w:r>
            <w:r w:rsidR="00B829DC" w:rsidRPr="009F7DD3">
              <w:rPr>
                <w:b/>
              </w:rPr>
              <w:t>.4.</w:t>
            </w:r>
            <w:r w:rsidR="00EB6067" w:rsidRPr="009F7DD3">
              <w:rPr>
                <w:b/>
              </w:rPr>
              <w:t xml:space="preserve"> SAM </w:t>
            </w:r>
            <w:r w:rsidR="00B829DC" w:rsidRPr="009F7DD3">
              <w:rPr>
                <w:b/>
              </w:rPr>
              <w:t>mērķi</w:t>
            </w:r>
            <w:r w:rsidRPr="009F7DD3">
              <w:t xml:space="preserve"> </w:t>
            </w:r>
            <w:r w:rsidR="00515BB7" w:rsidRPr="009F7DD3">
              <w:t xml:space="preserve">– </w:t>
            </w:r>
            <w:r w:rsidR="00636163" w:rsidRPr="009F7DD3">
              <w:t>uzlabot pirmā līmeņa profesionālās augstākās izglītības STEM studiju mācību vidi koledžās</w:t>
            </w:r>
            <w:r w:rsidRPr="009F7DD3">
              <w:t xml:space="preserve">. </w:t>
            </w:r>
            <w:r w:rsidR="00515BB7" w:rsidRPr="009F7DD3">
              <w:t>N</w:t>
            </w:r>
            <w:r w:rsidR="00321929" w:rsidRPr="009F7DD3">
              <w:t>oteikumu projekt</w:t>
            </w:r>
            <w:r w:rsidRPr="009F7DD3">
              <w:t>s</w:t>
            </w:r>
            <w:r w:rsidR="00321929" w:rsidRPr="009F7DD3">
              <w:t xml:space="preserve"> nosaka </w:t>
            </w:r>
            <w:r w:rsidR="0068284C" w:rsidRPr="009F7DD3">
              <w:t xml:space="preserve">kārtību, kādā īsteno </w:t>
            </w:r>
            <w:r w:rsidR="00515BB7" w:rsidRPr="009F7DD3">
              <w:t>8.</w:t>
            </w:r>
            <w:r w:rsidR="00636163" w:rsidRPr="009F7DD3">
              <w:t>1</w:t>
            </w:r>
            <w:r w:rsidR="00515BB7" w:rsidRPr="009F7DD3">
              <w:t>.4.</w:t>
            </w:r>
            <w:r w:rsidR="00EB6067" w:rsidRPr="009F7DD3">
              <w:t> SAM</w:t>
            </w:r>
            <w:r w:rsidR="00E02C2D" w:rsidRPr="009F7DD3">
              <w:t>,</w:t>
            </w:r>
            <w:r w:rsidR="0068284C" w:rsidRPr="009F7DD3">
              <w:t xml:space="preserve"> </w:t>
            </w:r>
            <w:r w:rsidR="0041100B" w:rsidRPr="009F7DD3">
              <w:t xml:space="preserve">mērķi un mērķa grupu, </w:t>
            </w:r>
            <w:r w:rsidR="00732323" w:rsidRPr="009F7DD3">
              <w:t xml:space="preserve">pieejamo </w:t>
            </w:r>
            <w:r w:rsidR="0041100B" w:rsidRPr="009F7DD3">
              <w:t xml:space="preserve">finansējumu, sasniedzamos uzraudzības rādītājus, </w:t>
            </w:r>
            <w:r w:rsidR="0068284C" w:rsidRPr="009F7DD3">
              <w:t>prasības projekt</w:t>
            </w:r>
            <w:r w:rsidR="00636163" w:rsidRPr="009F7DD3">
              <w:t>u</w:t>
            </w:r>
            <w:r w:rsidR="0068284C" w:rsidRPr="009F7DD3">
              <w:t xml:space="preserve"> iesniedzēj</w:t>
            </w:r>
            <w:r w:rsidR="00636163" w:rsidRPr="009F7DD3">
              <w:t>ie</w:t>
            </w:r>
            <w:r w:rsidR="0068284C" w:rsidRPr="009F7DD3">
              <w:t xml:space="preserve">m, atbalstāmās darbības, izmaksu </w:t>
            </w:r>
            <w:proofErr w:type="spellStart"/>
            <w:r w:rsidR="0068284C" w:rsidRPr="009F7DD3">
              <w:t>attiecināmības</w:t>
            </w:r>
            <w:proofErr w:type="spellEnd"/>
            <w:r w:rsidR="0041100B" w:rsidRPr="009F7DD3">
              <w:t xml:space="preserve"> nosacījumus</w:t>
            </w:r>
            <w:r w:rsidR="00732323" w:rsidRPr="009F7DD3">
              <w:t>,</w:t>
            </w:r>
            <w:r w:rsidR="00732323" w:rsidRPr="009F7DD3">
              <w:rPr>
                <w:sz w:val="28"/>
                <w:szCs w:val="28"/>
              </w:rPr>
              <w:t xml:space="preserve"> </w:t>
            </w:r>
            <w:r w:rsidR="00690AA7" w:rsidRPr="009F7DD3">
              <w:t>vienkāršoto izmaksu piemērošanas nosacījumus un kārtību, kā arī</w:t>
            </w:r>
            <w:r w:rsidR="00F94810" w:rsidRPr="009F7DD3">
              <w:rPr>
                <w:sz w:val="28"/>
                <w:szCs w:val="28"/>
              </w:rPr>
              <w:t xml:space="preserve"> </w:t>
            </w:r>
            <w:r w:rsidR="00636163" w:rsidRPr="009F7DD3">
              <w:t>vienošanās</w:t>
            </w:r>
            <w:r w:rsidR="0068284C" w:rsidRPr="009F7DD3">
              <w:t xml:space="preserve"> par projekta īstenošanu v</w:t>
            </w:r>
            <w:r w:rsidR="0041100B" w:rsidRPr="009F7DD3">
              <w:t>ienpusēja uzteikuma nosacījumus.</w:t>
            </w:r>
            <w:r w:rsidR="0068284C" w:rsidRPr="009F7DD3">
              <w:t xml:space="preserve"> </w:t>
            </w:r>
          </w:p>
          <w:p w:rsidR="00736543" w:rsidRPr="009F7DD3" w:rsidRDefault="00B829DC" w:rsidP="00F25B61">
            <w:pPr>
              <w:ind w:firstLine="720"/>
              <w:jc w:val="both"/>
            </w:pPr>
            <w:r w:rsidRPr="009F7DD3">
              <w:lastRenderedPageBreak/>
              <w:t>8.</w:t>
            </w:r>
            <w:r w:rsidR="00636163" w:rsidRPr="009F7DD3">
              <w:t>1</w:t>
            </w:r>
            <w:r w:rsidR="00EB6067" w:rsidRPr="009F7DD3">
              <w:t xml:space="preserve">.4. SAM </w:t>
            </w:r>
            <w:r w:rsidRPr="009F7DD3">
              <w:t xml:space="preserve">ietvaros </w:t>
            </w:r>
            <w:r w:rsidR="00DC49CE" w:rsidRPr="009F7DD3">
              <w:t>plānots</w:t>
            </w:r>
            <w:r w:rsidRPr="009F7DD3">
              <w:t xml:space="preserve"> </w:t>
            </w:r>
            <w:r w:rsidRPr="009F7DD3">
              <w:rPr>
                <w:b/>
              </w:rPr>
              <w:t>atbalsts</w:t>
            </w:r>
            <w:r w:rsidR="00F75F36" w:rsidRPr="009F7DD3">
              <w:t xml:space="preserve"> </w:t>
            </w:r>
            <w:r w:rsidR="00E46B9E" w:rsidRPr="009F7DD3">
              <w:t>koledžu, kas īsteno STEM pirmā līmeņa profesionālās augstākās izglītības studiju programmas un profesionālās vidējās izglītības</w:t>
            </w:r>
            <w:r w:rsidR="00381039" w:rsidRPr="009F7DD3">
              <w:t xml:space="preserve"> </w:t>
            </w:r>
            <w:r w:rsidR="00CE333F" w:rsidRPr="009F7DD3">
              <w:t>vai</w:t>
            </w:r>
            <w:r w:rsidR="00381039" w:rsidRPr="009F7DD3">
              <w:t xml:space="preserve"> arodizglītības</w:t>
            </w:r>
            <w:r w:rsidR="00E46B9E" w:rsidRPr="009F7DD3">
              <w:t xml:space="preserve"> programmas, infrastruktūras attīstībai un aprīkojuma modernizācijai, iekārtu un aprīkojuma iegādei, tai skaitā specifisku laboratoriju pilnveidei un modernizācijai, nepieciešamo ēku un telpu pielāgošanai aprīkojuma un aparatūras uzstādīšanai un darbībai, informācijas un komunikācijas tehnoloģiju risinājumu un aprīkojuma iegādei, kā arī koledžu bibliotēku fondu papildināšanai.</w:t>
            </w:r>
          </w:p>
          <w:p w:rsidR="00457A1C" w:rsidRPr="009F7DD3" w:rsidRDefault="00636163" w:rsidP="009111B0">
            <w:pPr>
              <w:ind w:firstLine="720"/>
              <w:jc w:val="both"/>
            </w:pPr>
            <w:r w:rsidRPr="009F7DD3">
              <w:rPr>
                <w:bCs/>
              </w:rPr>
              <w:t xml:space="preserve">8.1.4. </w:t>
            </w:r>
            <w:r w:rsidR="00887BE0" w:rsidRPr="009F7DD3">
              <w:rPr>
                <w:bCs/>
              </w:rPr>
              <w:t xml:space="preserve">SAM </w:t>
            </w:r>
            <w:r w:rsidRPr="009F7DD3">
              <w:rPr>
                <w:bCs/>
              </w:rPr>
              <w:t>īstenošanai</w:t>
            </w:r>
            <w:r w:rsidRPr="009F7DD3">
              <w:t xml:space="preserve"> </w:t>
            </w:r>
            <w:r w:rsidRPr="009F7DD3">
              <w:rPr>
                <w:b/>
              </w:rPr>
              <w:t>plānot</w:t>
            </w:r>
            <w:r w:rsidR="00457A1C" w:rsidRPr="009F7DD3">
              <w:rPr>
                <w:b/>
              </w:rPr>
              <w:t>ai</w:t>
            </w:r>
            <w:r w:rsidRPr="009F7DD3">
              <w:rPr>
                <w:b/>
              </w:rPr>
              <w:t>s</w:t>
            </w:r>
            <w:r w:rsidRPr="009F7DD3">
              <w:t xml:space="preserve"> </w:t>
            </w:r>
            <w:r w:rsidRPr="009F7DD3">
              <w:rPr>
                <w:b/>
              </w:rPr>
              <w:t>kopējais attiecināmais finansējums</w:t>
            </w:r>
            <w:r w:rsidRPr="009F7DD3">
              <w:t xml:space="preserve"> ir 14 185 198 </w:t>
            </w:r>
            <w:proofErr w:type="spellStart"/>
            <w:r w:rsidRPr="009F7DD3">
              <w:rPr>
                <w:bCs/>
                <w:i/>
              </w:rPr>
              <w:t>euro</w:t>
            </w:r>
            <w:proofErr w:type="spellEnd"/>
            <w:r w:rsidRPr="009F7DD3">
              <w:t xml:space="preserve">, tai skaitā Eiropas Reģionālās attīstības fonda finansējums </w:t>
            </w:r>
            <w:r w:rsidRPr="009F7DD3">
              <w:rPr>
                <w:bCs/>
              </w:rPr>
              <w:t xml:space="preserve">– </w:t>
            </w:r>
            <w:r w:rsidRPr="009F7DD3">
              <w:t xml:space="preserve">12 057 418 </w:t>
            </w:r>
            <w:proofErr w:type="spellStart"/>
            <w:r w:rsidRPr="009F7DD3">
              <w:rPr>
                <w:bCs/>
                <w:i/>
              </w:rPr>
              <w:t>euro</w:t>
            </w:r>
            <w:proofErr w:type="spellEnd"/>
            <w:r w:rsidRPr="009F7DD3">
              <w:t xml:space="preserve"> un valsts budžeta līdzfinansējums </w:t>
            </w:r>
            <w:r w:rsidRPr="009F7DD3">
              <w:rPr>
                <w:bCs/>
              </w:rPr>
              <w:t xml:space="preserve">– </w:t>
            </w:r>
            <w:r w:rsidRPr="009F7DD3">
              <w:t xml:space="preserve">2 127 780 </w:t>
            </w:r>
            <w:proofErr w:type="spellStart"/>
            <w:r w:rsidRPr="009F7DD3">
              <w:rPr>
                <w:bCs/>
                <w:i/>
              </w:rPr>
              <w:t>euro</w:t>
            </w:r>
            <w:proofErr w:type="spellEnd"/>
            <w:r w:rsidR="00457A1C" w:rsidRPr="009F7DD3">
              <w:t>, savukārt</w:t>
            </w:r>
            <w:r w:rsidR="00F75F36" w:rsidRPr="009F7DD3">
              <w:t xml:space="preserve"> </w:t>
            </w:r>
            <w:r w:rsidR="00457A1C" w:rsidRPr="009F7DD3">
              <w:rPr>
                <w:b/>
              </w:rPr>
              <w:t>pieejamais kopējais attiecināmais finansējums</w:t>
            </w:r>
            <w:r w:rsidR="00457A1C" w:rsidRPr="009F7DD3">
              <w:t xml:space="preserve"> līdz 2018. gada 31. decembrim, lai slēgtu vienošanās par projektu īstenošanu, ir 13 </w:t>
            </w:r>
            <w:r w:rsidR="00046D03" w:rsidRPr="009F7DD3">
              <w:t>319</w:t>
            </w:r>
            <w:r w:rsidR="00457A1C" w:rsidRPr="009F7DD3">
              <w:t> </w:t>
            </w:r>
            <w:r w:rsidR="00046D03" w:rsidRPr="009F7DD3">
              <w:t>96</w:t>
            </w:r>
            <w:r w:rsidR="007B37AE" w:rsidRPr="009F7DD3">
              <w:t>9</w:t>
            </w:r>
            <w:r w:rsidR="00457A1C" w:rsidRPr="009F7DD3">
              <w:t xml:space="preserve"> </w:t>
            </w:r>
            <w:proofErr w:type="spellStart"/>
            <w:r w:rsidR="00457A1C" w:rsidRPr="009F7DD3">
              <w:rPr>
                <w:i/>
              </w:rPr>
              <w:t>euro</w:t>
            </w:r>
            <w:proofErr w:type="spellEnd"/>
            <w:r w:rsidR="00457A1C" w:rsidRPr="009F7DD3">
              <w:t>, tai skaitā Eiropas Reģionālās attīstības fonda finansējums – 11 </w:t>
            </w:r>
            <w:r w:rsidR="00046D03" w:rsidRPr="009F7DD3">
              <w:t>321</w:t>
            </w:r>
            <w:r w:rsidR="00457A1C" w:rsidRPr="009F7DD3">
              <w:t> </w:t>
            </w:r>
            <w:r w:rsidR="00046D03" w:rsidRPr="009F7DD3">
              <w:t>973</w:t>
            </w:r>
            <w:r w:rsidR="00457A1C" w:rsidRPr="009F7DD3">
              <w:t xml:space="preserve"> </w:t>
            </w:r>
            <w:proofErr w:type="spellStart"/>
            <w:r w:rsidR="00457A1C" w:rsidRPr="009F7DD3">
              <w:rPr>
                <w:i/>
              </w:rPr>
              <w:t>euro</w:t>
            </w:r>
            <w:proofErr w:type="spellEnd"/>
            <w:r w:rsidR="00457A1C" w:rsidRPr="009F7DD3">
              <w:t xml:space="preserve"> un valsts budžeta līdzfinansējums – </w:t>
            </w:r>
            <w:r w:rsidR="00046D03" w:rsidRPr="009F7DD3">
              <w:t>1</w:t>
            </w:r>
            <w:r w:rsidR="00457A1C" w:rsidRPr="009F7DD3">
              <w:t> </w:t>
            </w:r>
            <w:r w:rsidR="00046D03" w:rsidRPr="009F7DD3">
              <w:t>99</w:t>
            </w:r>
            <w:r w:rsidR="00457A1C" w:rsidRPr="009F7DD3">
              <w:t>7 </w:t>
            </w:r>
            <w:r w:rsidR="00046D03" w:rsidRPr="009F7DD3">
              <w:t>996</w:t>
            </w:r>
            <w:r w:rsidR="00457A1C" w:rsidRPr="009F7DD3">
              <w:t xml:space="preserve"> </w:t>
            </w:r>
            <w:proofErr w:type="spellStart"/>
            <w:r w:rsidR="00457A1C" w:rsidRPr="009F7DD3">
              <w:rPr>
                <w:i/>
              </w:rPr>
              <w:t>euro</w:t>
            </w:r>
            <w:proofErr w:type="spellEnd"/>
            <w:r w:rsidR="00457A1C" w:rsidRPr="009F7DD3">
              <w:rPr>
                <w:i/>
              </w:rPr>
              <w:t>.</w:t>
            </w:r>
          </w:p>
          <w:p w:rsidR="006C6038" w:rsidRPr="009F7DD3" w:rsidRDefault="00457A1C" w:rsidP="00A62F73">
            <w:pPr>
              <w:tabs>
                <w:tab w:val="left" w:pos="993"/>
                <w:tab w:val="left" w:pos="1134"/>
              </w:tabs>
              <w:ind w:firstLine="720"/>
              <w:jc w:val="both"/>
            </w:pPr>
            <w:r w:rsidRPr="009F7DD3">
              <w:t xml:space="preserve">8.1.4. </w:t>
            </w:r>
            <w:r w:rsidR="00887BE0" w:rsidRPr="009F7DD3">
              <w:t xml:space="preserve">SAM </w:t>
            </w:r>
            <w:r w:rsidRPr="009F7DD3">
              <w:t xml:space="preserve">īsteno </w:t>
            </w:r>
            <w:r w:rsidRPr="009F7DD3">
              <w:rPr>
                <w:b/>
              </w:rPr>
              <w:t>ierobežotas projektu iesniegumu atlases veidā</w:t>
            </w:r>
            <w:r w:rsidR="00BE60CB" w:rsidRPr="009F7DD3">
              <w:rPr>
                <w:b/>
              </w:rPr>
              <w:t xml:space="preserve"> </w:t>
            </w:r>
            <w:r w:rsidR="00BE60CB" w:rsidRPr="009F7DD3">
              <w:t>vienā projektu iesniegumu atlases kārtā par visu specifiskajam atbalstam pieejamo finansējumu</w:t>
            </w:r>
            <w:r w:rsidRPr="009F7DD3">
              <w:t>.</w:t>
            </w:r>
            <w:r w:rsidRPr="009F7DD3">
              <w:rPr>
                <w:sz w:val="28"/>
                <w:szCs w:val="28"/>
              </w:rPr>
              <w:t xml:space="preserve"> </w:t>
            </w:r>
            <w:r w:rsidRPr="009F7DD3">
              <w:rPr>
                <w:b/>
              </w:rPr>
              <w:t>Projekta iesniedzēji</w:t>
            </w:r>
            <w:r w:rsidRPr="009F7DD3">
              <w:t xml:space="preserve"> 8.1.4. </w:t>
            </w:r>
            <w:r w:rsidR="00887BE0" w:rsidRPr="009F7DD3">
              <w:t xml:space="preserve">SAM </w:t>
            </w:r>
            <w:r w:rsidRPr="009F7DD3">
              <w:t xml:space="preserve">ietvaros var būt koledžas, kas īsteno STEM pirmā līmeņa profesionālās augstākās izglītības studiju programmas un profesionālās vidējās izglītības </w:t>
            </w:r>
            <w:r w:rsidR="007B0BB9" w:rsidRPr="009F7DD3">
              <w:t xml:space="preserve">vai arodizglītības </w:t>
            </w:r>
            <w:r w:rsidRPr="009F7DD3">
              <w:t>programmas</w:t>
            </w:r>
            <w:r w:rsidR="00252757" w:rsidRPr="009F7DD3">
              <w:t xml:space="preserve">, un atbilst 8.1.4. SAM stratēģiskajiem </w:t>
            </w:r>
            <w:proofErr w:type="spellStart"/>
            <w:r w:rsidR="00252757" w:rsidRPr="009F7DD3">
              <w:t>priekšatlases</w:t>
            </w:r>
            <w:proofErr w:type="spellEnd"/>
            <w:r w:rsidR="00252757" w:rsidRPr="009F7DD3">
              <w:t xml:space="preserve"> kritērijiem.</w:t>
            </w:r>
          </w:p>
          <w:p w:rsidR="006C6038" w:rsidRPr="009F7DD3" w:rsidRDefault="006C6038" w:rsidP="006C6038">
            <w:pPr>
              <w:pStyle w:val="Normal1"/>
              <w:ind w:firstLine="720"/>
              <w:jc w:val="both"/>
              <w:rPr>
                <w:rFonts w:ascii="Times New Roman" w:hAnsi="Times New Roman" w:cs="Times New Roman"/>
                <w:color w:val="auto"/>
                <w:sz w:val="24"/>
                <w:szCs w:val="24"/>
              </w:rPr>
            </w:pPr>
            <w:r w:rsidRPr="009F7DD3">
              <w:rPr>
                <w:rFonts w:ascii="Times New Roman" w:hAnsi="Times New Roman" w:cs="Times New Roman"/>
                <w:b/>
                <w:color w:val="auto"/>
                <w:sz w:val="24"/>
                <w:szCs w:val="24"/>
              </w:rPr>
              <w:t xml:space="preserve">Stratēģiskie </w:t>
            </w:r>
            <w:proofErr w:type="spellStart"/>
            <w:r w:rsidRPr="009F7DD3">
              <w:rPr>
                <w:rFonts w:ascii="Times New Roman" w:hAnsi="Times New Roman" w:cs="Times New Roman"/>
                <w:b/>
                <w:color w:val="auto"/>
                <w:sz w:val="24"/>
                <w:szCs w:val="24"/>
              </w:rPr>
              <w:t>priekšatlases</w:t>
            </w:r>
            <w:proofErr w:type="spellEnd"/>
            <w:r w:rsidRPr="009F7DD3">
              <w:rPr>
                <w:rFonts w:ascii="Times New Roman" w:hAnsi="Times New Roman" w:cs="Times New Roman"/>
                <w:b/>
                <w:color w:val="auto"/>
                <w:sz w:val="24"/>
                <w:szCs w:val="24"/>
              </w:rPr>
              <w:t xml:space="preserve"> kritēriji </w:t>
            </w:r>
            <w:r w:rsidRPr="009F7DD3">
              <w:rPr>
                <w:rFonts w:ascii="Times New Roman" w:hAnsi="Times New Roman" w:cs="Times New Roman"/>
                <w:color w:val="auto"/>
                <w:sz w:val="24"/>
                <w:szCs w:val="24"/>
              </w:rPr>
              <w:t>ir šādi:</w:t>
            </w:r>
          </w:p>
          <w:p w:rsidR="006C6038" w:rsidRPr="009F7DD3" w:rsidRDefault="006C6038" w:rsidP="006C6038">
            <w:pPr>
              <w:pStyle w:val="Normal1"/>
              <w:numPr>
                <w:ilvl w:val="0"/>
                <w:numId w:val="41"/>
              </w:numPr>
              <w:ind w:left="714"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koledža 2015./2016.ak.g.</w:t>
            </w:r>
            <w:r w:rsidRPr="009F7DD3">
              <w:rPr>
                <w:color w:val="auto"/>
                <w:sz w:val="24"/>
                <w:szCs w:val="24"/>
              </w:rPr>
              <w:t xml:space="preserve"> </w:t>
            </w:r>
            <w:r w:rsidRPr="009F7DD3">
              <w:rPr>
                <w:rFonts w:ascii="Times New Roman" w:hAnsi="Times New Roman" w:cs="Times New Roman"/>
                <w:color w:val="auto"/>
                <w:sz w:val="24"/>
                <w:szCs w:val="24"/>
              </w:rPr>
              <w:t>īsteno STEM pirmā līmeņa profesionālās augstākās izglītības studiju programmas, kuras saskaņā ar MK 02.12.2008. noteikumiem Nr.990 „Noteikumi par Latvijas izglītības klasifikāciju” ietilpst:</w:t>
            </w:r>
          </w:p>
          <w:p w:rsidR="006C6038" w:rsidRPr="009F7DD3"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9F7DD3">
              <w:rPr>
                <w:szCs w:val="24"/>
                <w:lang w:eastAsia="lv-LV"/>
              </w:rPr>
              <w:t xml:space="preserve">izglītības tematiskajā grupā </w:t>
            </w:r>
            <w:r w:rsidRPr="009F7DD3">
              <w:rPr>
                <w:i/>
                <w:szCs w:val="24"/>
                <w:lang w:eastAsia="lv-LV"/>
              </w:rPr>
              <w:t>Dabaszinātnes, matemātika un informācijas tehnoloģijas</w:t>
            </w:r>
            <w:r w:rsidRPr="009F7DD3">
              <w:rPr>
                <w:szCs w:val="24"/>
                <w:lang w:eastAsia="lv-LV"/>
              </w:rPr>
              <w:t xml:space="preserve"> (koda 3.cipars „</w:t>
            </w:r>
            <w:r w:rsidRPr="009F7DD3">
              <w:rPr>
                <w:b/>
                <w:szCs w:val="24"/>
                <w:lang w:eastAsia="lv-LV"/>
              </w:rPr>
              <w:t>4</w:t>
            </w:r>
            <w:r w:rsidRPr="009F7DD3">
              <w:rPr>
                <w:szCs w:val="24"/>
                <w:lang w:eastAsia="lv-LV"/>
              </w:rPr>
              <w:t>”);</w:t>
            </w:r>
          </w:p>
          <w:p w:rsidR="006C6038" w:rsidRPr="009F7DD3"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9F7DD3">
              <w:rPr>
                <w:szCs w:val="24"/>
                <w:lang w:eastAsia="lv-LV"/>
              </w:rPr>
              <w:t xml:space="preserve">izglītības tematiskajā grupā </w:t>
            </w:r>
            <w:r w:rsidRPr="009F7DD3">
              <w:rPr>
                <w:i/>
                <w:szCs w:val="24"/>
                <w:lang w:eastAsia="lv-LV"/>
              </w:rPr>
              <w:t>Inženierzinātnes, ražošana un būvniecība</w:t>
            </w:r>
            <w:r w:rsidRPr="009F7DD3">
              <w:rPr>
                <w:szCs w:val="24"/>
                <w:lang w:eastAsia="lv-LV"/>
              </w:rPr>
              <w:t xml:space="preserve"> (koda 3.cipars „</w:t>
            </w:r>
            <w:r w:rsidRPr="009F7DD3">
              <w:rPr>
                <w:b/>
                <w:szCs w:val="24"/>
                <w:lang w:eastAsia="lv-LV"/>
              </w:rPr>
              <w:t>5”</w:t>
            </w:r>
            <w:r w:rsidRPr="009F7DD3">
              <w:rPr>
                <w:szCs w:val="24"/>
                <w:lang w:eastAsia="lv-LV"/>
              </w:rPr>
              <w:t>);</w:t>
            </w:r>
          </w:p>
          <w:p w:rsidR="00D9013E" w:rsidRPr="009F7DD3" w:rsidRDefault="00D9013E" w:rsidP="00D9013E">
            <w:pPr>
              <w:pStyle w:val="ListParagraph"/>
              <w:numPr>
                <w:ilvl w:val="0"/>
                <w:numId w:val="43"/>
              </w:numPr>
              <w:autoSpaceDE w:val="0"/>
              <w:autoSpaceDN w:val="0"/>
              <w:adjustRightInd w:val="0"/>
              <w:ind w:left="1429" w:hanging="357"/>
              <w:contextualSpacing w:val="0"/>
              <w:rPr>
                <w:szCs w:val="24"/>
                <w:lang w:eastAsia="lv-LV"/>
              </w:rPr>
            </w:pPr>
            <w:r w:rsidRPr="009F7DD3">
              <w:rPr>
                <w:szCs w:val="24"/>
                <w:lang w:eastAsia="lv-LV"/>
              </w:rPr>
              <w:t xml:space="preserve">izglītības tematiskajā grupā </w:t>
            </w:r>
            <w:r w:rsidRPr="009F7DD3">
              <w:rPr>
                <w:i/>
                <w:szCs w:val="24"/>
                <w:lang w:eastAsia="lv-LV"/>
              </w:rPr>
              <w:t>Lauksaimniecība</w:t>
            </w:r>
            <w:r w:rsidRPr="009F7DD3">
              <w:rPr>
                <w:szCs w:val="24"/>
                <w:lang w:eastAsia="lv-LV"/>
              </w:rPr>
              <w:t xml:space="preserve"> (koda 3.cipars </w:t>
            </w:r>
            <w:r w:rsidR="00CE333F" w:rsidRPr="009F7DD3">
              <w:rPr>
                <w:b/>
                <w:szCs w:val="24"/>
                <w:lang w:eastAsia="lv-LV"/>
              </w:rPr>
              <w:t>„</w:t>
            </w:r>
            <w:r w:rsidRPr="009F7DD3">
              <w:rPr>
                <w:b/>
                <w:szCs w:val="24"/>
                <w:lang w:eastAsia="lv-LV"/>
              </w:rPr>
              <w:t>6</w:t>
            </w:r>
            <w:r w:rsidR="00CE333F" w:rsidRPr="009F7DD3">
              <w:rPr>
                <w:b/>
                <w:szCs w:val="24"/>
                <w:lang w:eastAsia="lv-LV"/>
              </w:rPr>
              <w:t>”</w:t>
            </w:r>
            <w:r w:rsidRPr="009F7DD3">
              <w:rPr>
                <w:szCs w:val="24"/>
                <w:lang w:eastAsia="lv-LV"/>
              </w:rPr>
              <w:t>)</w:t>
            </w:r>
            <w:r w:rsidR="00AA71A6" w:rsidRPr="009F7DD3">
              <w:rPr>
                <w:szCs w:val="24"/>
                <w:lang w:eastAsia="lv-LV"/>
              </w:rPr>
              <w:t>;</w:t>
            </w:r>
          </w:p>
          <w:p w:rsidR="006C6038" w:rsidRPr="009F7DD3"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9F7DD3">
              <w:rPr>
                <w:szCs w:val="24"/>
                <w:lang w:eastAsia="lv-LV"/>
              </w:rPr>
              <w:t xml:space="preserve">izglītības tematiskajā jomā </w:t>
            </w:r>
            <w:r w:rsidRPr="009F7DD3">
              <w:rPr>
                <w:i/>
                <w:szCs w:val="24"/>
                <w:lang w:eastAsia="lv-LV"/>
              </w:rPr>
              <w:t>Veselības aprūpe</w:t>
            </w:r>
            <w:r w:rsidRPr="009F7DD3">
              <w:rPr>
                <w:szCs w:val="24"/>
                <w:lang w:eastAsia="lv-LV"/>
              </w:rPr>
              <w:t xml:space="preserve"> (koda 3. un 4.cipars „</w:t>
            </w:r>
            <w:r w:rsidRPr="009F7DD3">
              <w:rPr>
                <w:b/>
                <w:szCs w:val="24"/>
                <w:lang w:eastAsia="lv-LV"/>
              </w:rPr>
              <w:t>72</w:t>
            </w:r>
            <w:r w:rsidRPr="009F7DD3">
              <w:rPr>
                <w:szCs w:val="24"/>
                <w:lang w:eastAsia="lv-LV"/>
              </w:rPr>
              <w:t>”), izņemot kosmetoloģiju;</w:t>
            </w:r>
          </w:p>
          <w:p w:rsidR="006C6038" w:rsidRPr="009F7DD3"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9F7DD3">
              <w:rPr>
                <w:szCs w:val="24"/>
                <w:lang w:eastAsia="lv-LV"/>
              </w:rPr>
              <w:t xml:space="preserve">izglītības tematiskajā jomā </w:t>
            </w:r>
            <w:r w:rsidRPr="009F7DD3">
              <w:rPr>
                <w:i/>
                <w:szCs w:val="24"/>
                <w:lang w:eastAsia="lv-LV"/>
              </w:rPr>
              <w:t xml:space="preserve">Mākslas </w:t>
            </w:r>
            <w:r w:rsidRPr="009F7DD3">
              <w:rPr>
                <w:szCs w:val="24"/>
                <w:lang w:eastAsia="lv-LV"/>
              </w:rPr>
              <w:t>(koda 3. un 4.cipars „</w:t>
            </w:r>
            <w:r w:rsidRPr="009F7DD3">
              <w:rPr>
                <w:b/>
                <w:szCs w:val="24"/>
                <w:lang w:eastAsia="lv-LV"/>
              </w:rPr>
              <w:t>21</w:t>
            </w:r>
            <w:r w:rsidRPr="009F7DD3">
              <w:rPr>
                <w:szCs w:val="24"/>
                <w:lang w:eastAsia="lv-LV"/>
              </w:rPr>
              <w:t>”);</w:t>
            </w:r>
          </w:p>
          <w:p w:rsidR="006C6038" w:rsidRPr="009F7DD3"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9F7DD3">
              <w:rPr>
                <w:szCs w:val="24"/>
              </w:rPr>
              <w:t xml:space="preserve">izglītības tematiskajā jomā </w:t>
            </w:r>
            <w:r w:rsidRPr="009F7DD3">
              <w:rPr>
                <w:i/>
                <w:szCs w:val="24"/>
              </w:rPr>
              <w:t xml:space="preserve">Vides aizsardzība </w:t>
            </w:r>
            <w:r w:rsidRPr="009F7DD3">
              <w:rPr>
                <w:szCs w:val="24"/>
                <w:lang w:eastAsia="lv-LV"/>
              </w:rPr>
              <w:t>(koda 3. un 4.cipars „</w:t>
            </w:r>
            <w:r w:rsidRPr="009F7DD3">
              <w:rPr>
                <w:b/>
                <w:szCs w:val="24"/>
                <w:lang w:eastAsia="lv-LV"/>
              </w:rPr>
              <w:t>85</w:t>
            </w:r>
            <w:r w:rsidRPr="009F7DD3">
              <w:rPr>
                <w:szCs w:val="24"/>
                <w:lang w:eastAsia="lv-LV"/>
              </w:rPr>
              <w:t>”)</w:t>
            </w:r>
            <w:r w:rsidRPr="009F7DD3">
              <w:rPr>
                <w:szCs w:val="24"/>
              </w:rPr>
              <w:t>.</w:t>
            </w:r>
          </w:p>
          <w:p w:rsidR="006C6038" w:rsidRPr="009F7DD3" w:rsidRDefault="006C6038" w:rsidP="006C6038">
            <w:pPr>
              <w:pStyle w:val="Normal1"/>
              <w:numPr>
                <w:ilvl w:val="0"/>
                <w:numId w:val="41"/>
              </w:numPr>
              <w:ind w:left="714"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koledža 2015./2016.ak.g.</w:t>
            </w:r>
            <w:r w:rsidRPr="009F7DD3">
              <w:rPr>
                <w:color w:val="auto"/>
                <w:sz w:val="24"/>
                <w:szCs w:val="24"/>
              </w:rPr>
              <w:t xml:space="preserve"> </w:t>
            </w:r>
            <w:r w:rsidRPr="009F7DD3">
              <w:rPr>
                <w:rFonts w:ascii="Times New Roman" w:hAnsi="Times New Roman" w:cs="Times New Roman"/>
                <w:color w:val="auto"/>
                <w:sz w:val="24"/>
                <w:szCs w:val="24"/>
              </w:rPr>
              <w:t xml:space="preserve">īsteno STEM profesionālās vidējās izglītības </w:t>
            </w:r>
            <w:r w:rsidR="00D9013E" w:rsidRPr="009F7DD3">
              <w:rPr>
                <w:rFonts w:ascii="Times New Roman" w:hAnsi="Times New Roman" w:cs="Times New Roman"/>
                <w:color w:val="auto"/>
                <w:sz w:val="24"/>
                <w:szCs w:val="24"/>
              </w:rPr>
              <w:t xml:space="preserve">vai arodizglītības </w:t>
            </w:r>
            <w:r w:rsidRPr="009F7DD3">
              <w:rPr>
                <w:rFonts w:ascii="Times New Roman" w:hAnsi="Times New Roman" w:cs="Times New Roman"/>
                <w:color w:val="auto"/>
                <w:sz w:val="24"/>
                <w:szCs w:val="24"/>
              </w:rPr>
              <w:t xml:space="preserve">programmas, kuras saskaņā ar MK 02.12.2008. noteikumiem Nr.990 </w:t>
            </w:r>
            <w:r w:rsidRPr="009F7DD3">
              <w:rPr>
                <w:rFonts w:ascii="Times New Roman" w:hAnsi="Times New Roman" w:cs="Times New Roman"/>
                <w:color w:val="auto"/>
                <w:sz w:val="24"/>
                <w:szCs w:val="24"/>
              </w:rPr>
              <w:lastRenderedPageBreak/>
              <w:t>„Noteikumi par Latvijas izglītības klasifikāciju” atbilst šādam izglītības programmas veidam un koda 1.</w:t>
            </w:r>
            <w:r w:rsidR="001252AC" w:rsidRPr="009F7DD3">
              <w:rPr>
                <w:rFonts w:ascii="Times New Roman" w:hAnsi="Times New Roman" w:cs="Times New Roman"/>
                <w:color w:val="auto"/>
                <w:sz w:val="24"/>
                <w:szCs w:val="24"/>
              </w:rPr>
              <w:t xml:space="preserve"> </w:t>
            </w:r>
            <w:r w:rsidRPr="009F7DD3">
              <w:rPr>
                <w:rFonts w:ascii="Times New Roman" w:hAnsi="Times New Roman" w:cs="Times New Roman"/>
                <w:color w:val="auto"/>
                <w:sz w:val="24"/>
                <w:szCs w:val="24"/>
              </w:rPr>
              <w:t>un 2.ciparam (ar burtu/ bez burta):</w:t>
            </w:r>
          </w:p>
          <w:p w:rsidR="006C6038" w:rsidRPr="009F7DD3" w:rsidRDefault="006C6038" w:rsidP="006C6038">
            <w:pPr>
              <w:pStyle w:val="Normal1"/>
              <w:numPr>
                <w:ilvl w:val="0"/>
                <w:numId w:val="42"/>
              </w:numPr>
              <w:ind w:left="1429"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 xml:space="preserve">Profesionālā vidējā izglītība (3. līmeņa profesionālā kvalifikācija), īstenojama pēc pamatizglītības ieguves. Mācību ilgums 4 gadi. Koda 1. un 2.cipars - </w:t>
            </w:r>
            <w:r w:rsidRPr="009F7DD3">
              <w:rPr>
                <w:rFonts w:ascii="Times New Roman" w:hAnsi="Times New Roman" w:cs="Times New Roman"/>
                <w:b/>
                <w:color w:val="auto"/>
                <w:sz w:val="24"/>
                <w:szCs w:val="24"/>
              </w:rPr>
              <w:t>33</w:t>
            </w:r>
            <w:r w:rsidRPr="009F7DD3">
              <w:rPr>
                <w:rFonts w:ascii="Times New Roman" w:hAnsi="Times New Roman" w:cs="Times New Roman"/>
                <w:color w:val="auto"/>
                <w:sz w:val="24"/>
                <w:szCs w:val="24"/>
              </w:rPr>
              <w:t>;</w:t>
            </w:r>
          </w:p>
          <w:p w:rsidR="006C6038" w:rsidRPr="009F7DD3" w:rsidRDefault="006C6038" w:rsidP="006C6038">
            <w:pPr>
              <w:pStyle w:val="Normal1"/>
              <w:numPr>
                <w:ilvl w:val="0"/>
                <w:numId w:val="42"/>
              </w:numPr>
              <w:ind w:left="1429"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 xml:space="preserve">Profesionālā vidējā izglītība (3. līmeņa profesionālā kvalifikācija), īstenojama pēc vispārējās vidējās izglītības ieguves. Mācību ilgums 1,5–3 gadi. Koda 1. un 2.cipars - </w:t>
            </w:r>
            <w:r w:rsidRPr="009F7DD3">
              <w:rPr>
                <w:rFonts w:ascii="Times New Roman" w:hAnsi="Times New Roman" w:cs="Times New Roman"/>
                <w:b/>
                <w:color w:val="auto"/>
                <w:sz w:val="24"/>
                <w:szCs w:val="24"/>
              </w:rPr>
              <w:t>35b</w:t>
            </w:r>
            <w:r w:rsidRPr="009F7DD3">
              <w:rPr>
                <w:rFonts w:ascii="Times New Roman" w:hAnsi="Times New Roman" w:cs="Times New Roman"/>
                <w:color w:val="auto"/>
                <w:sz w:val="24"/>
                <w:szCs w:val="24"/>
              </w:rPr>
              <w:t>;</w:t>
            </w:r>
          </w:p>
          <w:p w:rsidR="006C6038" w:rsidRPr="009F7DD3" w:rsidRDefault="006C6038" w:rsidP="006C6038">
            <w:pPr>
              <w:pStyle w:val="Normal1"/>
              <w:numPr>
                <w:ilvl w:val="0"/>
                <w:numId w:val="42"/>
              </w:numPr>
              <w:ind w:left="1429"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 xml:space="preserve">Profesionālā vidējā izglītība (3. līmeņa profesionālā kvalifikācija), turpinājums izglītības programmai ar koda 1. un 2. ciparu 32. Mācību ilgums 2 gadi. Koda 1. un 2.cipars – </w:t>
            </w:r>
            <w:r w:rsidRPr="009F7DD3">
              <w:rPr>
                <w:rFonts w:ascii="Times New Roman" w:hAnsi="Times New Roman" w:cs="Times New Roman"/>
                <w:b/>
                <w:color w:val="auto"/>
                <w:sz w:val="24"/>
                <w:szCs w:val="24"/>
              </w:rPr>
              <w:t>37</w:t>
            </w:r>
            <w:r w:rsidR="00D9013E" w:rsidRPr="009F7DD3">
              <w:rPr>
                <w:rFonts w:ascii="Times New Roman" w:hAnsi="Times New Roman" w:cs="Times New Roman"/>
                <w:color w:val="auto"/>
                <w:sz w:val="24"/>
                <w:szCs w:val="24"/>
              </w:rPr>
              <w:t>;</w:t>
            </w:r>
          </w:p>
          <w:p w:rsidR="00D9013E" w:rsidRPr="009F7DD3" w:rsidRDefault="00D9013E" w:rsidP="00D9013E">
            <w:pPr>
              <w:pStyle w:val="Normal1"/>
              <w:numPr>
                <w:ilvl w:val="0"/>
                <w:numId w:val="42"/>
              </w:numPr>
              <w:ind w:left="1429"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 xml:space="preserve">Arodizglītība (2.līmeņa profesionālā kvalifikācija), īstenojama pēc pamatizglītības ieguves. Mācību ilgums 1 gads. Koda 1. un 2.cipars – </w:t>
            </w:r>
            <w:r w:rsidRPr="009F7DD3">
              <w:rPr>
                <w:rFonts w:ascii="Times New Roman" w:hAnsi="Times New Roman" w:cs="Times New Roman"/>
                <w:b/>
                <w:color w:val="auto"/>
                <w:sz w:val="24"/>
                <w:szCs w:val="24"/>
              </w:rPr>
              <w:t>32a;</w:t>
            </w:r>
          </w:p>
          <w:p w:rsidR="00D9013E" w:rsidRPr="009F7DD3" w:rsidRDefault="00D9013E" w:rsidP="00D9013E">
            <w:pPr>
              <w:pStyle w:val="Normal1"/>
              <w:numPr>
                <w:ilvl w:val="0"/>
                <w:numId w:val="42"/>
              </w:numPr>
              <w:ind w:left="1429" w:hanging="357"/>
              <w:jc w:val="both"/>
              <w:rPr>
                <w:rFonts w:ascii="Times New Roman" w:hAnsi="Times New Roman" w:cs="Times New Roman"/>
                <w:color w:val="auto"/>
                <w:sz w:val="24"/>
                <w:szCs w:val="24"/>
              </w:rPr>
            </w:pPr>
            <w:r w:rsidRPr="009F7DD3">
              <w:rPr>
                <w:rFonts w:ascii="Times New Roman" w:hAnsi="Times New Roman" w:cs="Times New Roman"/>
                <w:color w:val="auto"/>
                <w:sz w:val="24"/>
                <w:szCs w:val="24"/>
              </w:rPr>
              <w:t xml:space="preserve">Arodizglītība (2.līmeņa profesionālā kvalifikācija), īstenojama pēc daļējas pamatizglītības programmas apguves. Mācību ilgums 3 gads. Koda 1. un 2.cipars – </w:t>
            </w:r>
            <w:r w:rsidRPr="009F7DD3">
              <w:rPr>
                <w:rFonts w:ascii="Times New Roman" w:hAnsi="Times New Roman" w:cs="Times New Roman"/>
                <w:b/>
                <w:color w:val="auto"/>
                <w:sz w:val="24"/>
                <w:szCs w:val="24"/>
              </w:rPr>
              <w:t>32b;</w:t>
            </w:r>
          </w:p>
          <w:p w:rsidR="006C6038" w:rsidRPr="009F7DD3" w:rsidRDefault="00D9013E" w:rsidP="00CE333F">
            <w:pPr>
              <w:pStyle w:val="Normal1"/>
              <w:numPr>
                <w:ilvl w:val="0"/>
                <w:numId w:val="42"/>
              </w:numPr>
              <w:tabs>
                <w:tab w:val="left" w:pos="993"/>
                <w:tab w:val="left" w:pos="1134"/>
              </w:tabs>
              <w:ind w:left="1429" w:hanging="357"/>
              <w:jc w:val="both"/>
              <w:rPr>
                <w:color w:val="auto"/>
              </w:rPr>
            </w:pPr>
            <w:r w:rsidRPr="009F7DD3">
              <w:rPr>
                <w:rFonts w:ascii="Times New Roman" w:hAnsi="Times New Roman" w:cs="Times New Roman"/>
                <w:color w:val="auto"/>
                <w:sz w:val="24"/>
                <w:szCs w:val="24"/>
              </w:rPr>
              <w:t xml:space="preserve">Arodizglītība (2.līmeņa profesionālā kvalifikācija), īstenojama pēc vispārējās vai profesionālās vidējās izglītības ieguves. Mācību ilgums 1 gads. Koda 1. un 2.cipars – </w:t>
            </w:r>
            <w:r w:rsidRPr="009F7DD3">
              <w:rPr>
                <w:rFonts w:ascii="Times New Roman" w:hAnsi="Times New Roman" w:cs="Times New Roman"/>
                <w:b/>
                <w:color w:val="auto"/>
                <w:sz w:val="24"/>
                <w:szCs w:val="24"/>
              </w:rPr>
              <w:t>35a.</w:t>
            </w:r>
          </w:p>
          <w:p w:rsidR="006C6038" w:rsidRPr="009F7DD3" w:rsidRDefault="006C6038" w:rsidP="00A62F73">
            <w:pPr>
              <w:tabs>
                <w:tab w:val="left" w:pos="993"/>
                <w:tab w:val="left" w:pos="1134"/>
              </w:tabs>
              <w:ind w:firstLine="720"/>
              <w:jc w:val="both"/>
            </w:pPr>
          </w:p>
          <w:p w:rsidR="00A62F73" w:rsidRPr="009F7DD3" w:rsidRDefault="00457A1C" w:rsidP="00A62F73">
            <w:pPr>
              <w:tabs>
                <w:tab w:val="left" w:pos="993"/>
                <w:tab w:val="left" w:pos="1134"/>
              </w:tabs>
              <w:ind w:firstLine="720"/>
              <w:jc w:val="both"/>
              <w:rPr>
                <w:bCs/>
              </w:rPr>
            </w:pPr>
            <w:r w:rsidRPr="009F7DD3">
              <w:t xml:space="preserve"> </w:t>
            </w:r>
            <w:r w:rsidR="00252757" w:rsidRPr="009F7DD3">
              <w:t xml:space="preserve">Līdz ar to projekta iesniedzēji 8.1.4. SAM ietvaros ir </w:t>
            </w:r>
            <w:r w:rsidR="00D9013E" w:rsidRPr="009F7DD3">
              <w:t xml:space="preserve">Daugavpils medicīnas koledža, </w:t>
            </w:r>
            <w:r w:rsidR="00252757" w:rsidRPr="009F7DD3">
              <w:rPr>
                <w:bCs/>
              </w:rPr>
              <w:t xml:space="preserve">Jēkabpils </w:t>
            </w:r>
            <w:proofErr w:type="spellStart"/>
            <w:r w:rsidR="00252757" w:rsidRPr="009F7DD3">
              <w:rPr>
                <w:bCs/>
              </w:rPr>
              <w:t>Agrobiznesa</w:t>
            </w:r>
            <w:proofErr w:type="spellEnd"/>
            <w:r w:rsidR="00252757" w:rsidRPr="009F7DD3">
              <w:rPr>
                <w:bCs/>
              </w:rPr>
              <w:t xml:space="preserve"> koledža, Liepājas Jūrniecības koledža, Malnavas koledža, Olaines Mehānikas un tehnoloģijas koledža, </w:t>
            </w:r>
            <w:r w:rsidR="00D9013E" w:rsidRPr="009F7DD3">
              <w:rPr>
                <w:bCs/>
              </w:rPr>
              <w:t xml:space="preserve">Rīgas 1.medicīnas koledža, </w:t>
            </w:r>
            <w:r w:rsidR="00252757" w:rsidRPr="009F7DD3">
              <w:rPr>
                <w:bCs/>
              </w:rPr>
              <w:t>Rīgas Celtniecības koledža</w:t>
            </w:r>
            <w:r w:rsidR="00D9013E" w:rsidRPr="009F7DD3">
              <w:rPr>
                <w:bCs/>
              </w:rPr>
              <w:t xml:space="preserve">, </w:t>
            </w:r>
            <w:r w:rsidR="00252757" w:rsidRPr="009F7DD3">
              <w:rPr>
                <w:bCs/>
              </w:rPr>
              <w:t>profesionālās izglītības kompetences centrs „Rīgas Tehniskā koledža”</w:t>
            </w:r>
            <w:r w:rsidR="00D9013E" w:rsidRPr="009F7DD3">
              <w:rPr>
                <w:bCs/>
              </w:rPr>
              <w:t xml:space="preserve"> un Rīgas Stradiņa universitātes Sarkanā Krusta medicīnas koledža</w:t>
            </w:r>
            <w:r w:rsidR="00252757" w:rsidRPr="009F7DD3">
              <w:rPr>
                <w:bCs/>
              </w:rPr>
              <w:t>.</w:t>
            </w:r>
            <w:r w:rsidR="00A62F73" w:rsidRPr="009F7DD3">
              <w:rPr>
                <w:bCs/>
              </w:rPr>
              <w:t xml:space="preserve"> </w:t>
            </w:r>
            <w:r w:rsidR="00FD2D7F" w:rsidRPr="00E96152">
              <w:rPr>
                <w:bCs/>
              </w:rPr>
              <w:t xml:space="preserve">Saskaņā ar Ministru kabineta 2016.gada 18.jūlija rīkojumu Nr.394 „Par Jēkabpils </w:t>
            </w:r>
            <w:proofErr w:type="spellStart"/>
            <w:r w:rsidR="00FD2D7F" w:rsidRPr="00E96152">
              <w:rPr>
                <w:bCs/>
              </w:rPr>
              <w:t>Agrobiznesa</w:t>
            </w:r>
            <w:proofErr w:type="spellEnd"/>
            <w:r w:rsidR="00FD2D7F" w:rsidRPr="00E96152">
              <w:rPr>
                <w:bCs/>
              </w:rPr>
              <w:t xml:space="preserve"> koledžas un Barkavas Profesionālās vidusskolas reorganizāciju un Jēkabpils </w:t>
            </w:r>
            <w:proofErr w:type="spellStart"/>
            <w:r w:rsidR="00FD2D7F" w:rsidRPr="00E96152">
              <w:rPr>
                <w:bCs/>
              </w:rPr>
              <w:t>Agrobiznesa</w:t>
            </w:r>
            <w:proofErr w:type="spellEnd"/>
            <w:r w:rsidR="00FD2D7F" w:rsidRPr="00E96152">
              <w:rPr>
                <w:bCs/>
              </w:rPr>
              <w:t xml:space="preserve"> koledžas izveidi” ar 2016.gada 1.novembri nolemts reorganizēt Jēkabpils </w:t>
            </w:r>
            <w:proofErr w:type="spellStart"/>
            <w:r w:rsidR="00FD2D7F" w:rsidRPr="00E96152">
              <w:rPr>
                <w:bCs/>
              </w:rPr>
              <w:t>Agrobiznesa</w:t>
            </w:r>
            <w:proofErr w:type="spellEnd"/>
            <w:r w:rsidR="00FD2D7F" w:rsidRPr="00E96152">
              <w:rPr>
                <w:bCs/>
              </w:rPr>
              <w:t xml:space="preserve"> koledžu un Barkavas Profesionālo vidusskolu, apvienojot tās un izveidojot Izglītības un zinātnes ministrijas padotībā esošu izglītības iestādi </w:t>
            </w:r>
            <w:r w:rsidR="00FD2D7F" w:rsidRPr="00E96152">
              <w:t>–</w:t>
            </w:r>
            <w:r w:rsidR="00FD2D7F" w:rsidRPr="00E96152">
              <w:rPr>
                <w:bCs/>
              </w:rPr>
              <w:t xml:space="preserve"> Jēkabpils </w:t>
            </w:r>
            <w:proofErr w:type="spellStart"/>
            <w:r w:rsidR="00FD2D7F" w:rsidRPr="00E96152">
              <w:rPr>
                <w:bCs/>
              </w:rPr>
              <w:t>Agrobiznesa</w:t>
            </w:r>
            <w:proofErr w:type="spellEnd"/>
            <w:r w:rsidR="00FD2D7F" w:rsidRPr="00E96152">
              <w:rPr>
                <w:bCs/>
              </w:rPr>
              <w:t xml:space="preserve"> koledžu.</w:t>
            </w:r>
            <w:r w:rsidR="00A62F73" w:rsidRPr="00E96152">
              <w:rPr>
                <w:bCs/>
              </w:rPr>
              <w:t xml:space="preserve"> Reorganizācijas rezultātā izveidotā </w:t>
            </w:r>
            <w:r w:rsidR="00FD2D7F" w:rsidRPr="00E96152">
              <w:rPr>
                <w:bCs/>
              </w:rPr>
              <w:t xml:space="preserve">Jēkabpils </w:t>
            </w:r>
            <w:proofErr w:type="spellStart"/>
            <w:r w:rsidR="00FD2D7F" w:rsidRPr="00E96152">
              <w:rPr>
                <w:bCs/>
              </w:rPr>
              <w:t>Agrobiznesa</w:t>
            </w:r>
            <w:proofErr w:type="spellEnd"/>
            <w:r w:rsidR="00FD2D7F" w:rsidRPr="00E96152">
              <w:rPr>
                <w:bCs/>
              </w:rPr>
              <w:t xml:space="preserve"> koledža</w:t>
            </w:r>
            <w:r w:rsidR="00A62F73" w:rsidRPr="00E96152">
              <w:rPr>
                <w:bCs/>
              </w:rPr>
              <w:t xml:space="preserve"> </w:t>
            </w:r>
            <w:r w:rsidR="00DF6413" w:rsidRPr="00E96152">
              <w:rPr>
                <w:bCs/>
              </w:rPr>
              <w:t>(ar struktūrvienību Barkavā</w:t>
            </w:r>
            <w:r w:rsidR="00DF6413" w:rsidRPr="009F7DD3">
              <w:rPr>
                <w:bCs/>
              </w:rPr>
              <w:t xml:space="preserve">) </w:t>
            </w:r>
            <w:r w:rsidR="00A62F73" w:rsidRPr="009F7DD3">
              <w:rPr>
                <w:bCs/>
              </w:rPr>
              <w:t xml:space="preserve">pārņems abu izglītības iestāžu īstenotās programmas, funkcijas, tiesības, saistības, </w:t>
            </w:r>
            <w:r w:rsidR="00CA3690">
              <w:rPr>
                <w:bCs/>
              </w:rPr>
              <w:t xml:space="preserve">prasības, </w:t>
            </w:r>
            <w:r w:rsidR="00A62F73" w:rsidRPr="009F7DD3">
              <w:rPr>
                <w:bCs/>
              </w:rPr>
              <w:t>finanšu līdzekļus, bilancē esošo mantu, lietvedību un arhīvu</w:t>
            </w:r>
            <w:r w:rsidR="00DF6413" w:rsidRPr="009F7DD3">
              <w:rPr>
                <w:bCs/>
              </w:rPr>
              <w:t>.</w:t>
            </w:r>
            <w:r w:rsidR="00A62F73" w:rsidRPr="009F7DD3">
              <w:rPr>
                <w:bCs/>
              </w:rPr>
              <w:t xml:space="preserve"> </w:t>
            </w:r>
            <w:r w:rsidR="00DF6413" w:rsidRPr="009F7DD3">
              <w:rPr>
                <w:bCs/>
              </w:rPr>
              <w:t>L</w:t>
            </w:r>
            <w:r w:rsidR="00A62F73" w:rsidRPr="009F7DD3">
              <w:rPr>
                <w:bCs/>
              </w:rPr>
              <w:t xml:space="preserve">īdz ar to </w:t>
            </w:r>
            <w:r w:rsidR="00DF6413" w:rsidRPr="009F7DD3">
              <w:rPr>
                <w:bCs/>
              </w:rPr>
              <w:t xml:space="preserve">izglītības procesa nodrošināšanai </w:t>
            </w:r>
            <w:r w:rsidR="00A62F73" w:rsidRPr="009F7DD3">
              <w:rPr>
                <w:bCs/>
              </w:rPr>
              <w:t xml:space="preserve">tiks </w:t>
            </w:r>
            <w:r w:rsidR="00DF6413" w:rsidRPr="009F7DD3">
              <w:rPr>
                <w:bCs/>
              </w:rPr>
              <w:t xml:space="preserve">saglabāti un izmantoti </w:t>
            </w:r>
            <w:r w:rsidR="00A62F73" w:rsidRPr="009F7DD3">
              <w:rPr>
                <w:bCs/>
              </w:rPr>
              <w:t xml:space="preserve">iepriekš veikto ieguldījumu </w:t>
            </w:r>
            <w:r w:rsidR="00DF6413" w:rsidRPr="009F7DD3">
              <w:rPr>
                <w:bCs/>
              </w:rPr>
              <w:t>rezultāti</w:t>
            </w:r>
            <w:r w:rsidR="00E10E57" w:rsidRPr="009F7DD3">
              <w:rPr>
                <w:bCs/>
              </w:rPr>
              <w:t xml:space="preserve">, kā arī </w:t>
            </w:r>
            <w:r w:rsidR="00E10E57" w:rsidRPr="009F7DD3">
              <w:t xml:space="preserve">8.1.4. SAM ietvaros projektu varēs īstenot </w:t>
            </w:r>
            <w:r w:rsidR="00E10E57" w:rsidRPr="009F7DD3">
              <w:rPr>
                <w:bCs/>
              </w:rPr>
              <w:t xml:space="preserve">Jēkabpils </w:t>
            </w:r>
            <w:proofErr w:type="spellStart"/>
            <w:r w:rsidR="00E10E57" w:rsidRPr="009F7DD3">
              <w:rPr>
                <w:bCs/>
              </w:rPr>
              <w:t>Agrobiznesa</w:t>
            </w:r>
            <w:proofErr w:type="spellEnd"/>
            <w:r w:rsidR="00E10E57" w:rsidRPr="009F7DD3">
              <w:rPr>
                <w:bCs/>
              </w:rPr>
              <w:t xml:space="preserve"> koledžas saistību un tiesību pārņēmēja </w:t>
            </w:r>
            <w:r w:rsidR="006C4120" w:rsidRPr="009F7DD3">
              <w:rPr>
                <w:bCs/>
              </w:rPr>
              <w:t xml:space="preserve">– </w:t>
            </w:r>
            <w:r w:rsidR="00FD2D7F" w:rsidRPr="00E96152">
              <w:rPr>
                <w:bCs/>
              </w:rPr>
              <w:t xml:space="preserve">Jēkabpils </w:t>
            </w:r>
            <w:proofErr w:type="spellStart"/>
            <w:r w:rsidR="00FD2D7F" w:rsidRPr="00E96152">
              <w:rPr>
                <w:bCs/>
              </w:rPr>
              <w:lastRenderedPageBreak/>
              <w:t>Agrobiznesa</w:t>
            </w:r>
            <w:proofErr w:type="spellEnd"/>
            <w:r w:rsidR="00FD2D7F" w:rsidRPr="00E96152">
              <w:rPr>
                <w:bCs/>
              </w:rPr>
              <w:t xml:space="preserve"> koledža</w:t>
            </w:r>
            <w:r w:rsidR="00E10E57" w:rsidRPr="00E96152">
              <w:rPr>
                <w:bCs/>
              </w:rPr>
              <w:t>.</w:t>
            </w:r>
            <w:r w:rsidR="00244BB9" w:rsidRPr="009F7DD3">
              <w:rPr>
                <w:bCs/>
              </w:rPr>
              <w:t xml:space="preserve"> </w:t>
            </w:r>
            <w:r w:rsidR="00244BB9" w:rsidRPr="009F7DD3">
              <w:t xml:space="preserve">Jēkabpils </w:t>
            </w:r>
            <w:proofErr w:type="spellStart"/>
            <w:r w:rsidR="00244BB9" w:rsidRPr="009F7DD3">
              <w:t>Agrobiznesa</w:t>
            </w:r>
            <w:proofErr w:type="spellEnd"/>
            <w:r w:rsidR="00244BB9" w:rsidRPr="009F7DD3">
              <w:t xml:space="preserve"> koledžas reorganizācija neietekmēs projekta sākotnējo mērķu sasniegšanu, jo neatkarīgi no tās rezultātiem ieguldījumi tiks veikti </w:t>
            </w:r>
            <w:r w:rsidR="00342412" w:rsidRPr="009F7DD3">
              <w:t>izglītības</w:t>
            </w:r>
            <w:r w:rsidR="00244BB9" w:rsidRPr="009F7DD3">
              <w:t xml:space="preserve"> vides uzlabošanā koledžas STEM jomas izglītības programmās.</w:t>
            </w:r>
          </w:p>
          <w:p w:rsidR="002061A6" w:rsidRPr="009F7DD3" w:rsidRDefault="002061A6" w:rsidP="002061A6">
            <w:pPr>
              <w:ind w:firstLine="720"/>
              <w:jc w:val="both"/>
            </w:pPr>
            <w:r w:rsidRPr="009F7DD3">
              <w:t xml:space="preserve">Metodoloģija koledžām pieejamā finansējuma noteikšanai iekļauta 8.1.4. SAM paplašinātā sākotnējā novērtējuma 5. pielikumā (pieejams: https://komitejas.esfondi.lv). Tā izstrādāta, lai sasniegtu koledžu infrastruktūras attīstības </w:t>
            </w:r>
            <w:r w:rsidR="00AA71A6" w:rsidRPr="009F7DD3">
              <w:t>uzdevumus</w:t>
            </w:r>
            <w:r w:rsidRPr="009F7DD3">
              <w:t>:</w:t>
            </w:r>
          </w:p>
          <w:p w:rsidR="002061A6" w:rsidRPr="009F7DD3" w:rsidRDefault="002061A6" w:rsidP="002061A6">
            <w:pPr>
              <w:pStyle w:val="Default"/>
              <w:numPr>
                <w:ilvl w:val="0"/>
                <w:numId w:val="40"/>
              </w:numPr>
              <w:jc w:val="both"/>
              <w:rPr>
                <w:color w:val="auto"/>
              </w:rPr>
            </w:pPr>
            <w:r w:rsidRPr="009F7DD3">
              <w:rPr>
                <w:color w:val="auto"/>
              </w:rPr>
              <w:t>STEM studiju programmu modernizācijas pabeigšana;</w:t>
            </w:r>
          </w:p>
          <w:p w:rsidR="002061A6" w:rsidRPr="009F7DD3" w:rsidRDefault="002061A6" w:rsidP="00CE333F">
            <w:pPr>
              <w:pStyle w:val="Default"/>
              <w:numPr>
                <w:ilvl w:val="0"/>
                <w:numId w:val="40"/>
              </w:numPr>
              <w:jc w:val="both"/>
              <w:rPr>
                <w:color w:val="auto"/>
              </w:rPr>
            </w:pPr>
            <w:r w:rsidRPr="009F7DD3">
              <w:rPr>
                <w:color w:val="auto"/>
              </w:rPr>
              <w:t>Nodrošināt Latvijas tautsaimniecības transformāci</w:t>
            </w:r>
            <w:r w:rsidR="007B0BB9" w:rsidRPr="009F7DD3">
              <w:rPr>
                <w:color w:val="auto"/>
              </w:rPr>
              <w:t xml:space="preserve">jai nepieciešamo </w:t>
            </w:r>
            <w:proofErr w:type="spellStart"/>
            <w:r w:rsidR="007B0BB9" w:rsidRPr="009F7DD3">
              <w:rPr>
                <w:color w:val="auto"/>
              </w:rPr>
              <w:t>cilvēkkapitālu</w:t>
            </w:r>
            <w:proofErr w:type="spellEnd"/>
            <w:r w:rsidR="007B0BB9" w:rsidRPr="009F7DD3">
              <w:rPr>
                <w:color w:val="auto"/>
              </w:rPr>
              <w:t>.</w:t>
            </w:r>
          </w:p>
          <w:p w:rsidR="002061A6" w:rsidRPr="009F7DD3" w:rsidRDefault="002061A6" w:rsidP="002061A6">
            <w:pPr>
              <w:pStyle w:val="Default"/>
              <w:ind w:firstLine="720"/>
              <w:jc w:val="both"/>
              <w:rPr>
                <w:color w:val="auto"/>
              </w:rPr>
            </w:pPr>
            <w:r w:rsidRPr="009F7DD3">
              <w:rPr>
                <w:color w:val="auto"/>
              </w:rPr>
              <w:t xml:space="preserve">Metodoloģija paredz, ka katram </w:t>
            </w:r>
            <w:r w:rsidRPr="009F7DD3">
              <w:rPr>
                <w:iCs/>
                <w:color w:val="auto"/>
              </w:rPr>
              <w:t>projekta iesniedzējam pieejamais</w:t>
            </w:r>
            <w:r w:rsidRPr="009F7DD3">
              <w:rPr>
                <w:color w:val="auto"/>
              </w:rPr>
              <w:t xml:space="preserve"> finansējums veidojas no sākotnējā finansējuma 300 000 </w:t>
            </w:r>
            <w:proofErr w:type="spellStart"/>
            <w:r w:rsidRPr="009F7DD3">
              <w:rPr>
                <w:i/>
                <w:color w:val="auto"/>
              </w:rPr>
              <w:t>euro</w:t>
            </w:r>
            <w:proofErr w:type="spellEnd"/>
            <w:r w:rsidRPr="009F7DD3">
              <w:rPr>
                <w:color w:val="auto"/>
              </w:rPr>
              <w:t xml:space="preserve"> apmērā un finansējuma </w:t>
            </w:r>
            <w:r w:rsidRPr="009F7DD3">
              <w:rPr>
                <w:bCs/>
                <w:color w:val="auto"/>
              </w:rPr>
              <w:t>pirmā līmeņa profesionālās augstākās izglītības</w:t>
            </w:r>
            <w:r w:rsidR="00CE333F" w:rsidRPr="009F7DD3">
              <w:rPr>
                <w:bCs/>
                <w:color w:val="auto"/>
              </w:rPr>
              <w:t>,</w:t>
            </w:r>
            <w:r w:rsidRPr="009F7DD3">
              <w:rPr>
                <w:bCs/>
                <w:color w:val="auto"/>
              </w:rPr>
              <w:t xml:space="preserve"> profesionālās vidējās izglītības</w:t>
            </w:r>
            <w:r w:rsidR="007B0BB9" w:rsidRPr="009F7DD3">
              <w:rPr>
                <w:bCs/>
                <w:color w:val="auto"/>
              </w:rPr>
              <w:t xml:space="preserve"> </w:t>
            </w:r>
            <w:r w:rsidR="00CE333F" w:rsidRPr="009F7DD3">
              <w:rPr>
                <w:bCs/>
                <w:color w:val="auto"/>
              </w:rPr>
              <w:t xml:space="preserve">vai </w:t>
            </w:r>
            <w:r w:rsidR="007B0BB9" w:rsidRPr="009F7DD3">
              <w:rPr>
                <w:bCs/>
                <w:color w:val="auto"/>
              </w:rPr>
              <w:t>arodizglītība</w:t>
            </w:r>
            <w:r w:rsidR="00CE333F" w:rsidRPr="009F7DD3">
              <w:rPr>
                <w:bCs/>
                <w:color w:val="auto"/>
              </w:rPr>
              <w:t>s</w:t>
            </w:r>
            <w:r w:rsidR="007B0BB9" w:rsidRPr="009F7DD3">
              <w:rPr>
                <w:bCs/>
                <w:color w:val="auto"/>
              </w:rPr>
              <w:t xml:space="preserve"> </w:t>
            </w:r>
            <w:r w:rsidRPr="009F7DD3">
              <w:rPr>
                <w:bCs/>
                <w:color w:val="auto"/>
              </w:rPr>
              <w:t xml:space="preserve"> (STEM jomas) (turpmāk – profesionālās izglītības) kvalitātes paaugstināšanai. F</w:t>
            </w:r>
            <w:r w:rsidRPr="009F7DD3">
              <w:rPr>
                <w:color w:val="auto"/>
              </w:rPr>
              <w:t xml:space="preserve">inansējumu </w:t>
            </w:r>
            <w:r w:rsidRPr="009F7DD3">
              <w:rPr>
                <w:bCs/>
                <w:color w:val="auto"/>
              </w:rPr>
              <w:t xml:space="preserve">profesionālās izglītības </w:t>
            </w:r>
            <w:r w:rsidRPr="009F7DD3">
              <w:rPr>
                <w:color w:val="auto"/>
              </w:rPr>
              <w:t>kvalitātes paaugstināšanai nosaka, pamatojoties uz vairākiem koledžu raksturlielumiem un projekta ietekmi uz tautsaimniecības transformāciju:</w:t>
            </w:r>
          </w:p>
          <w:p w:rsidR="002061A6" w:rsidRPr="009F7DD3" w:rsidRDefault="002061A6" w:rsidP="002061A6">
            <w:pPr>
              <w:pStyle w:val="Default"/>
              <w:numPr>
                <w:ilvl w:val="0"/>
                <w:numId w:val="39"/>
              </w:numPr>
              <w:ind w:left="1077" w:hanging="357"/>
              <w:jc w:val="both"/>
              <w:rPr>
                <w:color w:val="auto"/>
              </w:rPr>
            </w:pPr>
            <w:r w:rsidRPr="009F7DD3">
              <w:rPr>
                <w:color w:val="auto"/>
              </w:rPr>
              <w:t>koledžas kapacitātes koeficients, ko aprēķina, ņemot vērā kopējo izglītojamo skaitu STEM izglītības programmās 2015./2016.ak.g., kā arī kopējo kvalifikāciju ieguvušo personu skaitu (STEM programmas) 2014./2015.ak.g.;</w:t>
            </w:r>
          </w:p>
          <w:p w:rsidR="002061A6" w:rsidRPr="009F7DD3" w:rsidRDefault="002061A6" w:rsidP="002061A6">
            <w:pPr>
              <w:pStyle w:val="Default"/>
              <w:numPr>
                <w:ilvl w:val="0"/>
                <w:numId w:val="39"/>
              </w:numPr>
              <w:ind w:left="1077" w:hanging="357"/>
              <w:jc w:val="both"/>
              <w:rPr>
                <w:color w:val="auto"/>
              </w:rPr>
            </w:pPr>
            <w:r w:rsidRPr="009F7DD3">
              <w:rPr>
                <w:color w:val="auto"/>
              </w:rPr>
              <w:t>projekta ietekme uz Latvijas Viedās specializācijas stratēģijas (RIS3) ietvaros noteikto specializācijas jomu (Viedās specializācijas jomu) ieviešanu, ko nosaka, ņemot vērā konkrētas Latvijas Viedās specializācijas jomas eksporta īpatsvaru un iegūto 4.līmeņa profesionālo kvalifikāciju skaitu koledžā;</w:t>
            </w:r>
          </w:p>
          <w:p w:rsidR="002061A6" w:rsidRPr="009F7DD3" w:rsidRDefault="002061A6" w:rsidP="002061A6">
            <w:pPr>
              <w:pStyle w:val="Default"/>
              <w:numPr>
                <w:ilvl w:val="0"/>
                <w:numId w:val="39"/>
              </w:numPr>
              <w:ind w:left="1077" w:hanging="357"/>
              <w:jc w:val="both"/>
              <w:rPr>
                <w:color w:val="auto"/>
              </w:rPr>
            </w:pPr>
            <w:r w:rsidRPr="009F7DD3">
              <w:rPr>
                <w:color w:val="auto"/>
              </w:rPr>
              <w:t xml:space="preserve">resursu konsolidācijas koeficients: Koeficientu piemēro, ja reorganizācijas rezultātā koledža ir pārņēmusi vienu papildu pirmā līmeņa </w:t>
            </w:r>
            <w:r w:rsidR="00AA71A6" w:rsidRPr="009F7DD3">
              <w:rPr>
                <w:color w:val="auto"/>
              </w:rPr>
              <w:t xml:space="preserve">profesionālās </w:t>
            </w:r>
            <w:r w:rsidRPr="009F7DD3">
              <w:rPr>
                <w:color w:val="auto"/>
              </w:rPr>
              <w:t xml:space="preserve">augstākās izglītības </w:t>
            </w:r>
            <w:r w:rsidR="00AA71A6" w:rsidRPr="009F7DD3">
              <w:rPr>
                <w:color w:val="auto"/>
              </w:rPr>
              <w:t xml:space="preserve">studiju </w:t>
            </w:r>
            <w:r w:rsidRPr="009F7DD3">
              <w:rPr>
                <w:color w:val="auto"/>
              </w:rPr>
              <w:t>programmu.</w:t>
            </w:r>
          </w:p>
          <w:p w:rsidR="00807416" w:rsidRPr="009F7DD3" w:rsidRDefault="00807416" w:rsidP="00807416">
            <w:pPr>
              <w:pStyle w:val="Default"/>
              <w:ind w:left="1077"/>
              <w:jc w:val="both"/>
              <w:rPr>
                <w:color w:val="auto"/>
              </w:rPr>
            </w:pPr>
            <w:r w:rsidRPr="009F7DD3">
              <w:rPr>
                <w:color w:val="auto"/>
              </w:rPr>
              <w:t xml:space="preserve">Resursu konsolidācijas koeficients (1,3) tiek piemērots 2 koledžām </w:t>
            </w:r>
            <w:r w:rsidR="007B0BB9" w:rsidRPr="009F7DD3">
              <w:rPr>
                <w:color w:val="auto"/>
              </w:rPr>
              <w:t>–</w:t>
            </w:r>
            <w:r w:rsidRPr="009F7DD3">
              <w:rPr>
                <w:color w:val="auto"/>
              </w:rPr>
              <w:t xml:space="preserve"> O</w:t>
            </w:r>
            <w:r w:rsidR="007B0BB9" w:rsidRPr="009F7DD3">
              <w:rPr>
                <w:color w:val="auto"/>
              </w:rPr>
              <w:t>laines Mehānikas un tehnoloģijas koledžai</w:t>
            </w:r>
            <w:r w:rsidRPr="009F7DD3">
              <w:rPr>
                <w:color w:val="auto"/>
              </w:rPr>
              <w:t xml:space="preserve"> un </w:t>
            </w:r>
            <w:r w:rsidR="007B0BB9" w:rsidRPr="009F7DD3">
              <w:rPr>
                <w:color w:val="auto"/>
              </w:rPr>
              <w:t>profesionālās kompetences centam “Rīgas Tehniskā koledža”</w:t>
            </w:r>
            <w:r w:rsidRPr="009F7DD3">
              <w:rPr>
                <w:color w:val="auto"/>
              </w:rPr>
              <w:t>, jo tās no 02.02.2015. pārņēma Rīgas Uzņēmējdarbības koledžas īstenotās STEM jomas izglītības programmas, kuras  3.1.2.1.1.apakšaktivitātes</w:t>
            </w:r>
            <w:r w:rsidR="00CE333F" w:rsidRPr="009F7DD3">
              <w:rPr>
                <w:color w:val="auto"/>
              </w:rPr>
              <w:t xml:space="preserve"> „Augstākās izglītības iestāžu telpu un iekārtu modernizēšana studiju programmu kvalitātes uzlabošanai, tajā skaitā nodrošinot izglītības programmu apgūšanas iespējas arī personām ar funkcionāliem traucējumiem” (turpmāk – 3.1.2.1.1.apakšaktivitāte)</w:t>
            </w:r>
            <w:r w:rsidRPr="009F7DD3">
              <w:rPr>
                <w:color w:val="auto"/>
              </w:rPr>
              <w:t xml:space="preserve"> ietvaros netika modernizētas.</w:t>
            </w:r>
          </w:p>
          <w:p w:rsidR="007B0BB9" w:rsidRPr="009F7DD3" w:rsidRDefault="007B0BB9" w:rsidP="007B0BB9">
            <w:pPr>
              <w:ind w:firstLine="720"/>
              <w:jc w:val="both"/>
            </w:pPr>
            <w:r w:rsidRPr="009F7DD3">
              <w:rPr>
                <w:bCs/>
              </w:rPr>
              <w:lastRenderedPageBreak/>
              <w:t>Finansējuma aprēķina metodoloģija paredz sākotnējā (minimālā) finansējuma pamatsummu 300 000</w:t>
            </w:r>
            <w:r w:rsidRPr="009F7DD3">
              <w:rPr>
                <w:bCs/>
                <w:i/>
              </w:rPr>
              <w:t xml:space="preserve"> </w:t>
            </w:r>
            <w:proofErr w:type="spellStart"/>
            <w:r w:rsidRPr="009F7DD3">
              <w:rPr>
                <w:bCs/>
                <w:i/>
              </w:rPr>
              <w:t>euro</w:t>
            </w:r>
            <w:proofErr w:type="spellEnd"/>
            <w:r w:rsidRPr="009F7DD3">
              <w:rPr>
                <w:bCs/>
                <w:i/>
              </w:rPr>
              <w:t xml:space="preserve"> </w:t>
            </w:r>
            <w:r w:rsidRPr="009F7DD3">
              <w:rPr>
                <w:bCs/>
              </w:rPr>
              <w:t xml:space="preserve">apmērā, </w:t>
            </w:r>
            <w:r w:rsidRPr="009F7DD3">
              <w:rPr>
                <w:bCs/>
                <w:i/>
              </w:rPr>
              <w:t xml:space="preserve"> </w:t>
            </w:r>
            <w:r w:rsidRPr="009F7DD3">
              <w:rPr>
                <w:bCs/>
              </w:rPr>
              <w:t>kas</w:t>
            </w:r>
            <w:r w:rsidRPr="009F7DD3">
              <w:rPr>
                <w:bCs/>
                <w:i/>
              </w:rPr>
              <w:t xml:space="preserve"> </w:t>
            </w:r>
            <w:r w:rsidRPr="009F7DD3">
              <w:rPr>
                <w:bCs/>
              </w:rPr>
              <w:t xml:space="preserve">vērsts uz </w:t>
            </w:r>
            <w:r w:rsidRPr="009F7DD3">
              <w:t>koledžas turpmākas attīstības nodrošināšanu.</w:t>
            </w:r>
            <w:r w:rsidR="007725D1" w:rsidRPr="009F7DD3">
              <w:t xml:space="preserve"> Ja sākotnējo finansējumu palielina virs 300 000 </w:t>
            </w:r>
            <w:proofErr w:type="spellStart"/>
            <w:r w:rsidR="007725D1" w:rsidRPr="009F7DD3">
              <w:rPr>
                <w:i/>
                <w:iCs/>
              </w:rPr>
              <w:t>euro</w:t>
            </w:r>
            <w:proofErr w:type="spellEnd"/>
            <w:r w:rsidR="007725D1" w:rsidRPr="009F7DD3">
              <w:rPr>
                <w:i/>
                <w:iCs/>
              </w:rPr>
              <w:t>,</w:t>
            </w:r>
            <w:r w:rsidR="007725D1" w:rsidRPr="009F7DD3">
              <w:t xml:space="preserve"> tad būtiski samazinās koledžas kapacitātes rādītāja – tautsaimniecības transformācijai nepieciešamo kvalificēto cilvēkresursu sagatavošana - ietekme uz aprēķināto finansējuma apmēru. Ievērojot minēto apsvērumu, </w:t>
            </w:r>
            <w:r w:rsidR="00AA71A6" w:rsidRPr="009F7DD3">
              <w:t>Izglītības un zinātnes ministrijas</w:t>
            </w:r>
            <w:r w:rsidR="007725D1" w:rsidRPr="009F7DD3">
              <w:t xml:space="preserve"> eksperti noteica optimālo sākotnējā finansējuma apmēru – 300</w:t>
            </w:r>
            <w:r w:rsidR="00AA71A6" w:rsidRPr="009F7DD3">
              <w:t> </w:t>
            </w:r>
            <w:r w:rsidR="007725D1" w:rsidRPr="009F7DD3">
              <w:t xml:space="preserve">000 </w:t>
            </w:r>
            <w:proofErr w:type="spellStart"/>
            <w:r w:rsidR="007725D1" w:rsidRPr="009F7DD3">
              <w:rPr>
                <w:i/>
              </w:rPr>
              <w:t>euro</w:t>
            </w:r>
            <w:proofErr w:type="spellEnd"/>
            <w:r w:rsidR="007725D1" w:rsidRPr="009F7DD3">
              <w:rPr>
                <w:i/>
              </w:rPr>
              <w:t xml:space="preserve">. </w:t>
            </w:r>
          </w:p>
          <w:p w:rsidR="00AD523D" w:rsidRPr="009F7DD3" w:rsidRDefault="004F0B9B" w:rsidP="009111B0">
            <w:pPr>
              <w:ind w:firstLine="720"/>
              <w:jc w:val="both"/>
            </w:pPr>
            <w:r w:rsidRPr="009F7DD3">
              <w:t xml:space="preserve">Vienlaikus noteikts, ka viena projekta maksimālais attiecināmais finansējums ir 7 000 000 </w:t>
            </w:r>
            <w:proofErr w:type="spellStart"/>
            <w:r w:rsidRPr="009F7DD3">
              <w:rPr>
                <w:i/>
              </w:rPr>
              <w:t>euro</w:t>
            </w:r>
            <w:proofErr w:type="spellEnd"/>
            <w:r w:rsidRPr="009F7DD3">
              <w:t xml:space="preserve">. </w:t>
            </w:r>
            <w:r w:rsidR="00AD523D" w:rsidRPr="009F7DD3">
              <w:t xml:space="preserve">Tas noteikts ar </w:t>
            </w:r>
            <w:r w:rsidR="006E31A1" w:rsidRPr="009F7DD3">
              <w:t>nosacījumu</w:t>
            </w:r>
            <w:r w:rsidR="00AD523D" w:rsidRPr="009F7DD3">
              <w:t xml:space="preserve">, </w:t>
            </w:r>
            <w:r w:rsidR="006E31A1" w:rsidRPr="009F7DD3">
              <w:t xml:space="preserve">ka </w:t>
            </w:r>
            <w:r w:rsidR="00AD523D" w:rsidRPr="009F7DD3">
              <w:t xml:space="preserve">viens projekta iesniedzējs </w:t>
            </w:r>
            <w:r w:rsidR="006E31A1" w:rsidRPr="009F7DD3">
              <w:t xml:space="preserve">nevar saņemt </w:t>
            </w:r>
            <w:r w:rsidR="00AD523D" w:rsidRPr="009F7DD3">
              <w:t xml:space="preserve"> finansiālu atbalstu </w:t>
            </w:r>
            <w:r w:rsidR="006E31A1" w:rsidRPr="009F7DD3">
              <w:t xml:space="preserve">lielāku par </w:t>
            </w:r>
            <w:r w:rsidR="00AD523D" w:rsidRPr="009F7DD3">
              <w:t>50% no kopējā plānotā attiecināmā finansējuma</w:t>
            </w:r>
            <w:r w:rsidR="006E31A1" w:rsidRPr="009F7DD3">
              <w:t xml:space="preserve">. Maksimālais attiecināmā finansējuma apmērs noteikts, ņemot vērā IZM ekspertu viedokli. </w:t>
            </w:r>
            <w:r w:rsidR="00AD523D" w:rsidRPr="009F7DD3">
              <w:t xml:space="preserve">Tā kā projekta iesniedzējiem ir </w:t>
            </w:r>
            <w:r w:rsidR="00E8371C" w:rsidRPr="009F7DD3">
              <w:t xml:space="preserve">ievērojami </w:t>
            </w:r>
            <w:r w:rsidR="00AD523D" w:rsidRPr="009F7DD3">
              <w:t>atšķirīga kapacitāte</w:t>
            </w:r>
            <w:r w:rsidR="00721929" w:rsidRPr="009F7DD3">
              <w:t xml:space="preserve"> un ietekme uz Latvijas Viedās specializācijas stratēģijas ietvaros noteiktajām specializācijas jomām, ir</w:t>
            </w:r>
            <w:r w:rsidR="0003628A" w:rsidRPr="009F7DD3">
              <w:t xml:space="preserve"> </w:t>
            </w:r>
            <w:r w:rsidR="00721929" w:rsidRPr="009F7DD3">
              <w:t>nepieciešams sabalansēt finansējuma sadalījumu</w:t>
            </w:r>
            <w:r w:rsidR="00EE1D47" w:rsidRPr="009F7DD3">
              <w:t>, nosakot viena projekta maksimālā attiecināmā finansējuma apjomu</w:t>
            </w:r>
            <w:r w:rsidR="00721929" w:rsidRPr="009F7DD3">
              <w:t>.</w:t>
            </w:r>
          </w:p>
          <w:p w:rsidR="00457A1C" w:rsidRPr="009F7DD3" w:rsidRDefault="00457A1C" w:rsidP="009111B0">
            <w:pPr>
              <w:ind w:firstLine="720"/>
              <w:jc w:val="both"/>
            </w:pPr>
            <w:r w:rsidRPr="009F7DD3">
              <w:t xml:space="preserve">Plānotais </w:t>
            </w:r>
            <w:r w:rsidRPr="009F7DD3">
              <w:rPr>
                <w:b/>
              </w:rPr>
              <w:t>projektu ilgums</w:t>
            </w:r>
            <w:r w:rsidRPr="009F7DD3">
              <w:t xml:space="preserve"> aptuveni 2 – 4 gadi.</w:t>
            </w:r>
            <w:r w:rsidR="00F25B61" w:rsidRPr="009F7DD3">
              <w:t xml:space="preserve"> Projektus plānots īstenot ne ilgāk kā līdz 202</w:t>
            </w:r>
            <w:r w:rsidR="00834DED" w:rsidRPr="009F7DD3">
              <w:t>2</w:t>
            </w:r>
            <w:r w:rsidR="00F25B61" w:rsidRPr="009F7DD3">
              <w:t>.gada 31.decembrim.</w:t>
            </w:r>
          </w:p>
          <w:p w:rsidR="00D73044" w:rsidRPr="009F7DD3" w:rsidRDefault="00D73044" w:rsidP="009111B0">
            <w:pPr>
              <w:ind w:firstLine="720"/>
              <w:jc w:val="both"/>
            </w:pPr>
            <w:r w:rsidRPr="009F7DD3">
              <w:t xml:space="preserve">8.1.4. SAM ietvaros līdz 2023. gada 31. decembrim sasniedzami šādi </w:t>
            </w:r>
            <w:r w:rsidRPr="009F7DD3">
              <w:rPr>
                <w:b/>
              </w:rPr>
              <w:t>uzraudzības rādītāji</w:t>
            </w:r>
            <w:r w:rsidRPr="009F7DD3">
              <w:t xml:space="preserve">: </w:t>
            </w:r>
          </w:p>
          <w:p w:rsidR="00D73044" w:rsidRPr="009F7DD3" w:rsidRDefault="00D73044" w:rsidP="00D73044">
            <w:pPr>
              <w:pStyle w:val="ListParagraph"/>
              <w:numPr>
                <w:ilvl w:val="0"/>
                <w:numId w:val="37"/>
              </w:numPr>
              <w:tabs>
                <w:tab w:val="left" w:pos="426"/>
                <w:tab w:val="left" w:pos="1134"/>
              </w:tabs>
            </w:pPr>
            <w:r w:rsidRPr="009F7DD3">
              <w:t>iznākuma rādītājs – pakalpojumu sniegšanas veiktspēja atbalstītajā koledžas izglītības infrastruktūrā, – 1023 personas;</w:t>
            </w:r>
          </w:p>
          <w:p w:rsidR="00D73044" w:rsidRPr="009F7DD3" w:rsidRDefault="00D73044" w:rsidP="00D73044">
            <w:pPr>
              <w:pStyle w:val="ListParagraph"/>
              <w:numPr>
                <w:ilvl w:val="0"/>
                <w:numId w:val="37"/>
              </w:numPr>
              <w:tabs>
                <w:tab w:val="left" w:pos="426"/>
                <w:tab w:val="left" w:pos="1134"/>
              </w:tabs>
            </w:pPr>
            <w:r w:rsidRPr="009F7DD3">
              <w:t>rezultāta rādītājs – koledžu īpatsvars, kurās ir pilnībā modernizēta pirmā līmeņa profesionālās augstākās izglītības STEM, tajā skaitā medicīnas un radošās industrijas, studiju programmu mācību vide, no kopējā koledžu skaita, kas īsteno minētās prioritārās programmas,  – 61 procents;</w:t>
            </w:r>
          </w:p>
          <w:p w:rsidR="00D73044" w:rsidRPr="009F7DD3" w:rsidRDefault="00D73044" w:rsidP="00D73044">
            <w:pPr>
              <w:pStyle w:val="ListParagraph"/>
              <w:numPr>
                <w:ilvl w:val="0"/>
                <w:numId w:val="37"/>
              </w:numPr>
            </w:pPr>
            <w:r w:rsidRPr="009F7DD3">
              <w:t xml:space="preserve">finanšu rādītājs – līdz 2018. gada 31. decembrim sertificēti izdevumi 3 546 300 </w:t>
            </w:r>
            <w:proofErr w:type="spellStart"/>
            <w:r w:rsidRPr="009F7DD3">
              <w:rPr>
                <w:i/>
              </w:rPr>
              <w:t>euro</w:t>
            </w:r>
            <w:proofErr w:type="spellEnd"/>
            <w:r w:rsidRPr="009F7DD3">
              <w:rPr>
                <w:i/>
              </w:rPr>
              <w:t xml:space="preserve"> </w:t>
            </w:r>
            <w:r w:rsidRPr="009F7DD3">
              <w:t>apmērā.</w:t>
            </w:r>
          </w:p>
          <w:p w:rsidR="00E02C2D" w:rsidRPr="009F7DD3" w:rsidRDefault="00341998" w:rsidP="00DC5D53">
            <w:pPr>
              <w:ind w:firstLine="720"/>
              <w:contextualSpacing/>
              <w:jc w:val="both"/>
            </w:pPr>
            <w:r w:rsidRPr="009F7DD3">
              <w:t xml:space="preserve">Noteikumu projektā paredzēta iespēja plānot  </w:t>
            </w:r>
            <w:r w:rsidRPr="009F7DD3">
              <w:rPr>
                <w:b/>
              </w:rPr>
              <w:t>neparedzētās izmaksas</w:t>
            </w:r>
            <w:r w:rsidRPr="009F7DD3">
              <w:t xml:space="preserve"> papildu darbu vai pakalpojumu veikšanai, kas neparedzamu apstākļu dēļ </w:t>
            </w:r>
            <w:r w:rsidR="00457A1C" w:rsidRPr="009F7DD3">
              <w:t>ir kļuvuši nepieciešami noslēgtās vienošanās</w:t>
            </w:r>
            <w:r w:rsidRPr="009F7DD3">
              <w:t xml:space="preserve"> par projekta īstenošanu izpildes nodrošināšanai ne vairāk kā divu procentu apmērā no kopējām projekta attiecināmajām tiešajām izmaksām.</w:t>
            </w:r>
            <w:r w:rsidR="005B64B7" w:rsidRPr="009F7DD3">
              <w:t xml:space="preserve"> </w:t>
            </w:r>
            <w:r w:rsidR="00E02C2D" w:rsidRPr="009F7DD3">
              <w:t xml:space="preserve">Projektu atbalstāmās darbības </w:t>
            </w:r>
            <w:r w:rsidR="00DC5D53" w:rsidRPr="009F7DD3">
              <w:t>plānots īstenot</w:t>
            </w:r>
            <w:r w:rsidR="00E02C2D" w:rsidRPr="009F7DD3">
              <w:t xml:space="preserve"> līdz 202</w:t>
            </w:r>
            <w:r w:rsidR="00381039" w:rsidRPr="009F7DD3">
              <w:t>2</w:t>
            </w:r>
            <w:r w:rsidR="00E02C2D" w:rsidRPr="009F7DD3">
              <w:t>.</w:t>
            </w:r>
            <w:r w:rsidR="00DC5D53" w:rsidRPr="009F7DD3">
              <w:t>g</w:t>
            </w:r>
            <w:r w:rsidR="00E02C2D" w:rsidRPr="009F7DD3">
              <w:t>ada</w:t>
            </w:r>
            <w:r w:rsidR="00DC5D53" w:rsidRPr="009F7DD3">
              <w:t xml:space="preserve"> beigām</w:t>
            </w:r>
            <w:r w:rsidR="00E02C2D" w:rsidRPr="009F7DD3">
              <w:t xml:space="preserve">, un veicot iepirkumus, nav iespējams paredzēt vai pakalpojumu izmaksas visu projekta īstenošanas laiku saglabāsies šobrīd vidēji aprēķinātā pakalpojuma izmaksu līmenī. Turklāt projektu ietvaros tiek plānota </w:t>
            </w:r>
            <w:r w:rsidR="00720368" w:rsidRPr="009F7DD3">
              <w:t xml:space="preserve">ēku un </w:t>
            </w:r>
            <w:r w:rsidR="00E02C2D" w:rsidRPr="009F7DD3">
              <w:t xml:space="preserve">telpu atjaunošana un pārbūve. Pamatojoties uz līdzšinējo pieredzi būvniecības projektos, secināts, ka veicot telpu apsekošanu un </w:t>
            </w:r>
            <w:r w:rsidR="00E02C2D" w:rsidRPr="009F7DD3">
              <w:lastRenderedPageBreak/>
              <w:t>novērtēšanu pirms tehniskā projekta izstrādes nav iespējams pilnībā noteikt un finanšu tāmē iestrādāt visas nepieciešamās būvdarbu pozīcijas, tāpēc noteikumu projektā nepieciešams noteikt arī neparedzētās izmaksas.</w:t>
            </w:r>
          </w:p>
          <w:p w:rsidR="00A532E7" w:rsidRPr="009F7DD3" w:rsidRDefault="00A532E7" w:rsidP="00DC5D53">
            <w:pPr>
              <w:ind w:firstLine="720"/>
              <w:contextualSpacing/>
              <w:jc w:val="both"/>
            </w:pPr>
            <w:r w:rsidRPr="009F7DD3">
              <w:t xml:space="preserve">Noteikumu projektā paredzēta iespēja (ja nepieciešams) jaunradītu darbavietu vai esošo darbavietu atjaunošanai </w:t>
            </w:r>
            <w:r w:rsidRPr="009F7DD3">
              <w:rPr>
                <w:bCs/>
              </w:rPr>
              <w:t xml:space="preserve">nepieciešamā aprīkojuma </w:t>
            </w:r>
            <w:r w:rsidRPr="009F7DD3">
              <w:t>(biroja mēbeles un tehnika, datorprogrammas un licences) iegādei attiecībā uz projekta vadības personālu.</w:t>
            </w:r>
          </w:p>
          <w:p w:rsidR="001410BB" w:rsidRPr="00E96152" w:rsidRDefault="001410BB" w:rsidP="00DC5D53">
            <w:pPr>
              <w:ind w:firstLine="720"/>
              <w:contextualSpacing/>
              <w:jc w:val="both"/>
              <w:rPr>
                <w:lang w:eastAsia="en-US"/>
              </w:rPr>
            </w:pPr>
            <w:r w:rsidRPr="00E96152">
              <w:t xml:space="preserve">Saskaņā ar noteikumu projekta 31.punktā ietverto regulējumu </w:t>
            </w:r>
            <w:r w:rsidRPr="00E96152">
              <w:rPr>
                <w:lang w:eastAsia="en-US"/>
              </w:rPr>
              <w:t>izmaksu-ieguvumu analīze ir veicama pirms projektu iesnieguma iesniegšanas un ir iesniedzama kopā ar projekta iesniegumu.</w:t>
            </w:r>
          </w:p>
          <w:p w:rsidR="002977AA" w:rsidRDefault="002977AA" w:rsidP="00DC5D53">
            <w:pPr>
              <w:ind w:firstLine="720"/>
              <w:contextualSpacing/>
              <w:jc w:val="both"/>
              <w:rPr>
                <w:lang w:eastAsia="en-US"/>
              </w:rPr>
            </w:pPr>
            <w:r w:rsidRPr="00E96152">
              <w:rPr>
                <w:lang w:eastAsia="en-US"/>
              </w:rPr>
              <w:t xml:space="preserve">Noteikumu projektā noteikts, ka gadījumā, ja projekta ietvaros tiek plānota būvniecība, projekta iesniedzējs projekta iesniegumā norāda būves enerģijas patēriņu pirms projekta īstenošanas, kā arī finansējuma saņēmējam ir pienākums informēt sadarbības iestādi par būves enerģijas patēriņu pēc projekta īstenošanas. Minētā informācija projekta iesniedzējam un finansējuma saņēmējam jāsniedz atbilstoši Ministru kabineta 2010.gada 30.septembra noteikumiem Nr.923 “Kārtība, kādā uzskaita valsts enerģijas </w:t>
            </w:r>
            <w:proofErr w:type="spellStart"/>
            <w:r w:rsidRPr="00E96152">
              <w:rPr>
                <w:lang w:eastAsia="en-US"/>
              </w:rPr>
              <w:t>galapatēriņa</w:t>
            </w:r>
            <w:proofErr w:type="spellEnd"/>
            <w:r w:rsidRPr="00E96152">
              <w:rPr>
                <w:lang w:eastAsia="en-US"/>
              </w:rPr>
              <w:t xml:space="preserve"> ietaupījumu un nodrošina energoefektivitātes monitoringa sistēmas darbību” un Ekonomikas ministrijas izstrādātajiem norādījumiem “Metodiskie ieteikumi enerģijas ietaupījumu ziņošanai”.</w:t>
            </w:r>
          </w:p>
          <w:p w:rsidR="000411EA" w:rsidRPr="009F7DD3" w:rsidRDefault="000411EA" w:rsidP="00605F42">
            <w:pPr>
              <w:ind w:firstLine="720"/>
              <w:contextualSpacing/>
              <w:jc w:val="both"/>
            </w:pPr>
            <w:r w:rsidRPr="009F7DD3">
              <w:t xml:space="preserve">Noteikumu projektā norādītie ieguldījumi infrastruktūras </w:t>
            </w:r>
            <w:r w:rsidRPr="00E96152">
              <w:rPr>
                <w:b/>
              </w:rPr>
              <w:t>objektu pielāgošanā personām ar funkcionāliem traucējumiem</w:t>
            </w:r>
            <w:r w:rsidRPr="009F7DD3">
              <w:t xml:space="preserve"> nedublēsies ar 3.1.2.1.1.aktivitātes </w:t>
            </w:r>
            <w:r w:rsidR="0063175C" w:rsidRPr="009F7DD3">
              <w:t>ietvaros veiktajiem ieguldījumiem koledžu infrastruktūrā</w:t>
            </w:r>
            <w:r w:rsidRPr="009F7DD3">
              <w:t>.</w:t>
            </w:r>
          </w:p>
          <w:p w:rsidR="00605F42" w:rsidRPr="00E96152" w:rsidRDefault="008213BA" w:rsidP="00605F42">
            <w:pPr>
              <w:ind w:firstLine="720"/>
              <w:jc w:val="both"/>
            </w:pPr>
            <w:r w:rsidRPr="00605F42">
              <w:t xml:space="preserve">Noteikumu projektā noteikts, ja projekta īstenošanas laikā finansējuma saņēmējam ir paredzēts </w:t>
            </w:r>
            <w:r w:rsidRPr="00E96152">
              <w:rPr>
                <w:b/>
              </w:rPr>
              <w:t>avanss</w:t>
            </w:r>
            <w:r w:rsidRPr="00605F42">
              <w:t>, to var izmaksāt pa daļām. Viens avansa maksājums nepārsniedz 30 procentus</w:t>
            </w:r>
            <w:r w:rsidRPr="009F7DD3">
              <w:t xml:space="preserve">, bet avansa un starpposma maksājumu kopsumma var būt 100 procenti no projektam piešķirtā Eiropas Reģionālās attīstības fonda finansējuma un valsts budžeta līdzfinansējuma kopsummas, ņemot vērā, ka viens no finansējuma saņēmējiem ir Rīgas Stradiņa universitātes </w:t>
            </w:r>
            <w:r w:rsidR="00B24AC3" w:rsidRPr="009F7DD3">
              <w:t>Sarkanā Krusta medicīnas koledža</w:t>
            </w:r>
            <w:r w:rsidR="00605F42">
              <w:t xml:space="preserve"> (turpmāk – RSU SKMK)</w:t>
            </w:r>
            <w:r w:rsidRPr="009F7DD3">
              <w:t xml:space="preserve">, kas ir Rīgas Stradiņa universitātes </w:t>
            </w:r>
            <w:r w:rsidRPr="00E96152">
              <w:t>(</w:t>
            </w:r>
            <w:r w:rsidR="00605F42" w:rsidRPr="00E96152">
              <w:t>valsts budžeta daļēji finansētas</w:t>
            </w:r>
            <w:r w:rsidR="00605F42" w:rsidRPr="00E96152">
              <w:rPr>
                <w:b/>
                <w:sz w:val="20"/>
                <w:szCs w:val="20"/>
              </w:rPr>
              <w:t xml:space="preserve"> </w:t>
            </w:r>
            <w:r w:rsidRPr="00E96152">
              <w:t>atvasinātas publiskas personas) aģentūra</w:t>
            </w:r>
            <w:r w:rsidR="00BF490A" w:rsidRPr="00E96152">
              <w:t xml:space="preserve"> </w:t>
            </w:r>
            <w:r w:rsidR="00605F42" w:rsidRPr="00E96152">
              <w:t>un īsteno projektu tai deleģēto valsts pārvaldes uzdevumu ietvaros.</w:t>
            </w:r>
            <w:r w:rsidR="00605F42" w:rsidRPr="00E96152">
              <w:rPr>
                <w:sz w:val="20"/>
                <w:szCs w:val="20"/>
              </w:rPr>
              <w:t xml:space="preserve"> </w:t>
            </w:r>
            <w:r w:rsidR="00BF490A" w:rsidRPr="00E96152">
              <w:t>RSU SKMK</w:t>
            </w:r>
            <w:r w:rsidR="00605F42" w:rsidRPr="00E96152">
              <w:t xml:space="preserve"> darbības tiesiskais pamats ir Augstskolu likums, Profesionālās izglītības likums, Publisko aģentūru likums, </w:t>
            </w:r>
            <w:r w:rsidR="00BF490A" w:rsidRPr="00E96152">
              <w:t xml:space="preserve">RSU SKMK </w:t>
            </w:r>
            <w:r w:rsidR="00605F42" w:rsidRPr="00E96152">
              <w:t xml:space="preserve">nolikums un citi normatīvie akti. </w:t>
            </w:r>
          </w:p>
          <w:p w:rsidR="00605F42" w:rsidRPr="00E96152" w:rsidRDefault="00605F42" w:rsidP="00605F42">
            <w:pPr>
              <w:ind w:firstLine="720"/>
              <w:jc w:val="both"/>
            </w:pPr>
            <w:r w:rsidRPr="00E96152">
              <w:t xml:space="preserve">RSU SKMK darbības mērķis ir sniegt personām ar vidējo izglītību iespēju iegūt pirmā līmeņa profesionālo augstāko izglītību un ceturto profesionālās kvalifikācijas līmeni programmās, kas tiek īstenotas izglītības tematiskajā grupā „veselības aprūpe un sociālā labklājība”, kā arī piedāvāt pakalpojumus tālākizglītības jomā un </w:t>
            </w:r>
            <w:r w:rsidRPr="00E96152">
              <w:lastRenderedPageBreak/>
              <w:t xml:space="preserve">piedalīties zinātniskajā darbībā atbilstoši studiju programmu profilam. </w:t>
            </w:r>
          </w:p>
          <w:p w:rsidR="00605F42" w:rsidRPr="00E96152" w:rsidRDefault="00605F42" w:rsidP="00605F42">
            <w:pPr>
              <w:ind w:firstLine="720"/>
              <w:jc w:val="both"/>
            </w:pPr>
            <w:r w:rsidRPr="00E96152">
              <w:t>RSU SKMK darbības pamatvirzienu skaitā ir:</w:t>
            </w:r>
          </w:p>
          <w:p w:rsidR="00605F42" w:rsidRPr="00E96152" w:rsidRDefault="00605F42" w:rsidP="007E2881">
            <w:pPr>
              <w:pStyle w:val="Default"/>
              <w:jc w:val="both"/>
              <w:rPr>
                <w:rFonts w:eastAsia="Times New Roman"/>
                <w:color w:val="auto"/>
                <w:lang w:eastAsia="lv-LV"/>
              </w:rPr>
            </w:pPr>
            <w:r w:rsidRPr="00E96152">
              <w:rPr>
                <w:rFonts w:eastAsia="Times New Roman"/>
                <w:color w:val="auto"/>
                <w:lang w:eastAsia="lv-LV"/>
              </w:rPr>
              <w:t xml:space="preserve">1. izstrādāt un īstenot pirmā līmeņa profesionālās augstākās izglītības programmas, kas dod iespēju iegūt ceturto profesionālās kvalifikācijas līmeni „veselības aprūpes un sociālās labklājības” izglītības tematiskajā grupā; </w:t>
            </w:r>
          </w:p>
          <w:p w:rsidR="00605F42" w:rsidRPr="00E96152" w:rsidRDefault="00605F42">
            <w:pPr>
              <w:autoSpaceDE w:val="0"/>
              <w:autoSpaceDN w:val="0"/>
              <w:adjustRightInd w:val="0"/>
              <w:jc w:val="both"/>
            </w:pPr>
            <w:r w:rsidRPr="00E96152">
              <w:t>2. izstrādāt un īstenot profesionālās vidējās izglītības programmas, kas dod iespēju iegūt trešo profesionālās kvalifikācijas līmeni, un arodizglītības programmas, kas dod iespēju iegūt otro profesionālās kvalifikācijas līmeni „veselības aprūpes un sociālās labklājības” izglītības tematiskajā grupā.</w:t>
            </w:r>
          </w:p>
          <w:p w:rsidR="00605F42" w:rsidRPr="00E96152" w:rsidRDefault="00605F42" w:rsidP="00605F42">
            <w:pPr>
              <w:ind w:firstLine="720"/>
              <w:jc w:val="both"/>
            </w:pPr>
            <w:r w:rsidRPr="00E96152">
              <w:t>RSU SKMK uzdevumi:</w:t>
            </w:r>
          </w:p>
          <w:p w:rsidR="00605F42" w:rsidRPr="00E96152" w:rsidRDefault="00605F42" w:rsidP="007E2881">
            <w:pPr>
              <w:autoSpaceDE w:val="0"/>
              <w:autoSpaceDN w:val="0"/>
              <w:adjustRightInd w:val="0"/>
              <w:jc w:val="both"/>
              <w:rPr>
                <w:color w:val="000000"/>
              </w:rPr>
            </w:pPr>
            <w:r w:rsidRPr="00E96152">
              <w:rPr>
                <w:color w:val="000000"/>
              </w:rPr>
              <w:t xml:space="preserve">1. sniegt veselības aprūpes un sociālās labklājības nozarēm nepieciešamo pirmā līmeņa profesionālo augstāko izglītību, metodisko palīdzību, kā arī zinātnisko ekspertīzi; </w:t>
            </w:r>
          </w:p>
          <w:p w:rsidR="00605F42" w:rsidRPr="00E96152" w:rsidRDefault="00605F42" w:rsidP="007E2881">
            <w:pPr>
              <w:autoSpaceDE w:val="0"/>
              <w:autoSpaceDN w:val="0"/>
              <w:adjustRightInd w:val="0"/>
              <w:jc w:val="both"/>
              <w:rPr>
                <w:color w:val="000000"/>
              </w:rPr>
            </w:pPr>
            <w:r w:rsidRPr="00E96152">
              <w:rPr>
                <w:color w:val="000000"/>
              </w:rPr>
              <w:t xml:space="preserve">2. sadarbībā ar darba devējiem izstrādāt un īstenot studiju programmas atbilstoši profesiju standartiem un valsts profesionālās izglītības standartiem; </w:t>
            </w:r>
          </w:p>
          <w:p w:rsidR="00605F42" w:rsidRPr="00E96152" w:rsidRDefault="00605F42" w:rsidP="007E2881">
            <w:pPr>
              <w:autoSpaceDE w:val="0"/>
              <w:autoSpaceDN w:val="0"/>
              <w:adjustRightInd w:val="0"/>
              <w:jc w:val="both"/>
              <w:rPr>
                <w:color w:val="000000"/>
              </w:rPr>
            </w:pPr>
            <w:r w:rsidRPr="00E96152">
              <w:rPr>
                <w:color w:val="000000"/>
              </w:rPr>
              <w:t xml:space="preserve">3. sagatavot studiju programmās nepieciešamos studiju materiālus un informatīvus izdevumus, metodiskos ieteikumus, noslēguma pārbaudījumu saturu un metodes, kā arī organizēt noslēguma pārbaudījumus; </w:t>
            </w:r>
          </w:p>
          <w:p w:rsidR="00605F42" w:rsidRPr="00E96152" w:rsidRDefault="00605F42" w:rsidP="007E2881">
            <w:pPr>
              <w:autoSpaceDE w:val="0"/>
              <w:autoSpaceDN w:val="0"/>
              <w:adjustRightInd w:val="0"/>
              <w:jc w:val="both"/>
              <w:rPr>
                <w:color w:val="000000"/>
              </w:rPr>
            </w:pPr>
            <w:r w:rsidRPr="00E96152">
              <w:rPr>
                <w:color w:val="000000"/>
              </w:rPr>
              <w:t xml:space="preserve">4. nodrošināt studiju procesa un pārbaudījumu kvalitāti, RSU SKMK iegūto profesionālās izglītības un profesionālo kvalifikāciju atzīšanu Latvijā un ārvalstīs; </w:t>
            </w:r>
          </w:p>
          <w:p w:rsidR="00605F42" w:rsidRPr="00E96152" w:rsidRDefault="00605F42" w:rsidP="007E2881">
            <w:pPr>
              <w:autoSpaceDE w:val="0"/>
              <w:autoSpaceDN w:val="0"/>
              <w:adjustRightInd w:val="0"/>
              <w:jc w:val="both"/>
              <w:rPr>
                <w:color w:val="000000"/>
              </w:rPr>
            </w:pPr>
            <w:r w:rsidRPr="00E96152">
              <w:rPr>
                <w:color w:val="000000"/>
              </w:rPr>
              <w:t xml:space="preserve">5. piedalīties ES, Latvijas, RSU, kā arī citos fundamentālo un lietišķo pētījumu projektos un programmās; </w:t>
            </w:r>
          </w:p>
          <w:p w:rsidR="00605F42" w:rsidRPr="00E96152" w:rsidRDefault="00605F42" w:rsidP="007E2881">
            <w:pPr>
              <w:autoSpaceDE w:val="0"/>
              <w:autoSpaceDN w:val="0"/>
              <w:adjustRightInd w:val="0"/>
              <w:jc w:val="both"/>
              <w:rPr>
                <w:color w:val="000000"/>
              </w:rPr>
            </w:pPr>
            <w:r w:rsidRPr="00E96152">
              <w:rPr>
                <w:color w:val="000000"/>
              </w:rPr>
              <w:t xml:space="preserve">6. sadarboties ar veselības aprūpes iestādēm Latvijā un ārvalstīs; </w:t>
            </w:r>
          </w:p>
          <w:p w:rsidR="00605F42" w:rsidRPr="00E96152" w:rsidRDefault="00605F42" w:rsidP="007E2881">
            <w:pPr>
              <w:autoSpaceDE w:val="0"/>
              <w:autoSpaceDN w:val="0"/>
              <w:adjustRightInd w:val="0"/>
              <w:jc w:val="both"/>
              <w:rPr>
                <w:color w:val="000000"/>
              </w:rPr>
            </w:pPr>
            <w:r w:rsidRPr="00E96152">
              <w:rPr>
                <w:color w:val="000000"/>
              </w:rPr>
              <w:t xml:space="preserve">7. organizēt seminārus un konferences, rīkot publiskus pasākumus, nodrošināt RSU SKMK pasākumu publicitāti; </w:t>
            </w:r>
          </w:p>
          <w:p w:rsidR="00605F42" w:rsidRPr="00E96152" w:rsidRDefault="00605F42" w:rsidP="00131DD2">
            <w:pPr>
              <w:autoSpaceDE w:val="0"/>
              <w:autoSpaceDN w:val="0"/>
              <w:adjustRightInd w:val="0"/>
              <w:jc w:val="both"/>
              <w:rPr>
                <w:color w:val="000000"/>
              </w:rPr>
            </w:pPr>
            <w:r w:rsidRPr="00E96152">
              <w:rPr>
                <w:color w:val="000000"/>
              </w:rPr>
              <w:t xml:space="preserve">8. veikt saimniecisko un citu darbību, kas nav pretrunā ar normatīvajiem aktiem un RSU SKMK darbības pamatvirzieniem; </w:t>
            </w:r>
          </w:p>
          <w:p w:rsidR="00605F42" w:rsidRPr="00605F42" w:rsidRDefault="00605F42" w:rsidP="00131DD2">
            <w:pPr>
              <w:autoSpaceDE w:val="0"/>
              <w:autoSpaceDN w:val="0"/>
              <w:adjustRightInd w:val="0"/>
              <w:jc w:val="both"/>
              <w:rPr>
                <w:color w:val="000000"/>
              </w:rPr>
            </w:pPr>
            <w:r w:rsidRPr="00E96152">
              <w:rPr>
                <w:color w:val="000000"/>
              </w:rPr>
              <w:t>9. efektīvi un lietderīgi izmantot valsts un RSU budžeta ietvaros piešķirto finansējumu.</w:t>
            </w:r>
            <w:r w:rsidR="00BC1427" w:rsidRPr="00BC1427">
              <w:rPr>
                <w:color w:val="000000"/>
              </w:rPr>
              <w:t xml:space="preserve"> </w:t>
            </w:r>
          </w:p>
          <w:p w:rsidR="00A9466D" w:rsidRPr="009F7DD3" w:rsidRDefault="00A9466D" w:rsidP="00A9466D">
            <w:pPr>
              <w:tabs>
                <w:tab w:val="left" w:pos="426"/>
                <w:tab w:val="left" w:pos="1134"/>
              </w:tabs>
              <w:ind w:firstLine="711"/>
              <w:jc w:val="both"/>
            </w:pPr>
            <w:r w:rsidRPr="009F7DD3">
              <w:t>8.1.4.SAM ietvaros plānotās ERAF investīcijas koledžu infrastruktūrā papildinās 2014.</w:t>
            </w:r>
            <w:r w:rsidRPr="009F7DD3">
              <w:rPr>
                <w:lang w:bidi="lo-LA"/>
              </w:rPr>
              <w:t xml:space="preserve"> –</w:t>
            </w:r>
            <w:r w:rsidRPr="009F7DD3">
              <w:t xml:space="preserve">2020.gada plānošanas perioda 8.2.1. SAM “Samazināt studiju programmu fragmentāciju un stiprināt resursu koplietošanu”, 8.2.2. SAM “Stiprināt augstākās izglītības institūciju akadēmisko personālu stratēģiskās specializācijas jomās” un 8.2.3. SAM “Nodrošināt labāku pārvaldību augstākās izglītības institūcijās” ietvaros plānotās ESF investīcijas augstākās izglītības institūcijās, tajā skaitā koledžās, ar mērķi konsolidēt un efektīvi izmantot pieejamos resursus, stiprināt izcilību studiju programmās, kā arī stiprināt akadēmiskā personāla kapacitāti un augstākās izglītības institūciju pārvaldību. </w:t>
            </w:r>
          </w:p>
          <w:p w:rsidR="00834DED" w:rsidRDefault="00834DED" w:rsidP="00716A01">
            <w:pPr>
              <w:ind w:firstLine="720"/>
              <w:contextualSpacing/>
              <w:jc w:val="both"/>
            </w:pPr>
            <w:r w:rsidRPr="009F7DD3">
              <w:t>Ņemot vērā to, ka augstskolu aģentūras L</w:t>
            </w:r>
            <w:r w:rsidR="00E910FF" w:rsidRPr="009F7DD3">
              <w:t>atvijas Kultūras akadēmijas Latvijas Kultūras koledža</w:t>
            </w:r>
            <w:r w:rsidR="00611A86">
              <w:t xml:space="preserve"> </w:t>
            </w:r>
            <w:r w:rsidR="00611A86" w:rsidRPr="00F24E21">
              <w:t>(turpmāk – LKA LKK)</w:t>
            </w:r>
            <w:r w:rsidR="00E910FF" w:rsidRPr="00F24E21">
              <w:t xml:space="preserve">, </w:t>
            </w:r>
            <w:r w:rsidR="00E910FF" w:rsidRPr="00F24E21">
              <w:lastRenderedPageBreak/>
              <w:t xml:space="preserve">Latvijas Universitātes Rīgas Medicīnas koledža </w:t>
            </w:r>
            <w:r w:rsidR="00611A86" w:rsidRPr="00F24E21">
              <w:t xml:space="preserve">(turpmāk – LU RMK) </w:t>
            </w:r>
            <w:r w:rsidR="00E910FF" w:rsidRPr="00F24E21">
              <w:t>un Latvijas Universitātes P.Stradiņa medicīnas koledža</w:t>
            </w:r>
            <w:r w:rsidR="00611A86" w:rsidRPr="00F24E21">
              <w:t xml:space="preserve"> (turpmāk – LU SMK)</w:t>
            </w:r>
            <w:r w:rsidR="00E910FF" w:rsidRPr="00F24E21">
              <w:t xml:space="preserve"> </w:t>
            </w:r>
            <w:r w:rsidRPr="00F24E21">
              <w:t xml:space="preserve">saskaņā ar stratēģiskajiem </w:t>
            </w:r>
            <w:proofErr w:type="spellStart"/>
            <w:r w:rsidRPr="00F24E21">
              <w:t>priekšatlases</w:t>
            </w:r>
            <w:proofErr w:type="spellEnd"/>
            <w:r w:rsidRPr="00F24E21">
              <w:t xml:space="preserve"> kritērijiem nevar pretendēt uz atbalstu 8.1.4. </w:t>
            </w:r>
            <w:r w:rsidR="00CE333F" w:rsidRPr="00F24E21">
              <w:t xml:space="preserve">SAM </w:t>
            </w:r>
            <w:r w:rsidRPr="00F24E21">
              <w:t xml:space="preserve">ietvaros, jo neīsteno profesionālās vidējās izglītības vai arodizglītības programmas, paredzēts, ka minētās augstskolu aģentūras varēs pretendēt uz atbalsta saņemšanu 8.1.1. SAM </w:t>
            </w:r>
            <w:r w:rsidR="00CE333F" w:rsidRPr="00F24E21">
              <w:t xml:space="preserve">„Palielināt modernizēto STEM, tajā skaitā medicīnas un radošās industrijas, studiju programmu skaitu” </w:t>
            </w:r>
            <w:r w:rsidR="00611A86" w:rsidRPr="00F24E21">
              <w:t xml:space="preserve">(turpmāk – 8.1.1. SAM) </w:t>
            </w:r>
            <w:r w:rsidRPr="00F24E21">
              <w:t>ietvaros</w:t>
            </w:r>
            <w:r w:rsidR="00B24AC3" w:rsidRPr="009F7DD3">
              <w:t>.</w:t>
            </w:r>
            <w:r w:rsidRPr="009F7DD3">
              <w:t xml:space="preserve"> </w:t>
            </w:r>
          </w:p>
          <w:p w:rsidR="00F24E21" w:rsidRPr="00F24E21" w:rsidRDefault="00F24E21" w:rsidP="00F24E21">
            <w:pPr>
              <w:ind w:firstLine="720"/>
              <w:jc w:val="both"/>
            </w:pPr>
            <w:r w:rsidRPr="00F24E21">
              <w:t xml:space="preserve">Paredzēts, ka LKA LKK iesaistīsies Latvijas Kultūras akadēmijas 8.1.1. SAM projekta īstenošanā ar savu projekta daļu 150 584 </w:t>
            </w:r>
            <w:r w:rsidRPr="00F24E21">
              <w:rPr>
                <w:i/>
                <w:iCs/>
              </w:rPr>
              <w:t> </w:t>
            </w:r>
            <w:proofErr w:type="spellStart"/>
            <w:r w:rsidRPr="00F24E21">
              <w:rPr>
                <w:i/>
                <w:iCs/>
              </w:rPr>
              <w:t>euro</w:t>
            </w:r>
            <w:proofErr w:type="spellEnd"/>
            <w:r w:rsidRPr="00F24E21">
              <w:rPr>
                <w:i/>
                <w:iCs/>
              </w:rPr>
              <w:t xml:space="preserve"> </w:t>
            </w:r>
            <w:r w:rsidRPr="00F24E21">
              <w:t>apmērā.</w:t>
            </w:r>
            <w:r>
              <w:t xml:space="preserve"> </w:t>
            </w:r>
            <w:r w:rsidRPr="00F24E21">
              <w:t>Latvijas Universitātes 8.1.1. SAM projekta īstenošanā iesaistīsies  LU RMK un LU SMK</w:t>
            </w:r>
            <w:r w:rsidRPr="00F24E21">
              <w:t xml:space="preserve">, kur </w:t>
            </w:r>
            <w:r w:rsidRPr="00F24E21">
              <w:t xml:space="preserve">LU RMK projekta daļas apmērs – 728 826 </w:t>
            </w:r>
            <w:proofErr w:type="spellStart"/>
            <w:r w:rsidRPr="00F24E21">
              <w:rPr>
                <w:i/>
                <w:iCs/>
              </w:rPr>
              <w:t>euro</w:t>
            </w:r>
            <w:proofErr w:type="spellEnd"/>
            <w:r w:rsidRPr="00F24E21">
              <w:t>, bet LU SMK projekta daļas apmērs</w:t>
            </w:r>
            <w:r w:rsidRPr="00F24E21">
              <w:t xml:space="preserve"> </w:t>
            </w:r>
            <w:r w:rsidRPr="00F24E21">
              <w:t xml:space="preserve">–  626 429 </w:t>
            </w:r>
            <w:proofErr w:type="spellStart"/>
            <w:r w:rsidRPr="00F24E21">
              <w:rPr>
                <w:i/>
                <w:iCs/>
              </w:rPr>
              <w:t>euro</w:t>
            </w:r>
            <w:proofErr w:type="spellEnd"/>
            <w:r w:rsidRPr="00F24E21">
              <w:t>.</w:t>
            </w:r>
          </w:p>
          <w:p w:rsidR="00F24E21" w:rsidRPr="00F24E21" w:rsidRDefault="00F24E21" w:rsidP="00F24E21">
            <w:pPr>
              <w:ind w:firstLine="720"/>
              <w:contextualSpacing/>
              <w:jc w:val="both"/>
            </w:pPr>
            <w:r w:rsidRPr="00F24E21">
              <w:t>Lai nodrošinātu vienotu augstākās izglītības institūciju izglītības un pētniecības infrastruktūras attīstību, minēto koledžu attīstības stratēģijas tiks iekļautas attiecīgās augstskolas kopējā attīstības stratēģijā. Pēc 8.1.1. SAM projektu apstiprināšanas Latvijas Universitāte un Latvijas Kultūras akadēmija kā finansējuma saņēmēji slēgs Vienošanos ar katru no projektā iesaistītajām institūcijām par tās projekta daļas īstenošanu, kurā detalizēti atrunās atbildību, pienākumus, savstarpējo norēķinu kārtību u.c. ar projekta īstenošanu saistītus jautājumus, nosakot, ka LKA LKK, LU RMK un LU SMK būs atbildīgas par konkrētās projekta daļas īstenošanu, vienlaikus nodrošinot projekta kopējo mērķu sasniegšanu</w:t>
            </w:r>
            <w:r>
              <w:t>.</w:t>
            </w:r>
          </w:p>
          <w:p w:rsidR="00147B95" w:rsidRPr="009F7DD3" w:rsidRDefault="00EC7729" w:rsidP="00CE333F">
            <w:pPr>
              <w:ind w:firstLine="720"/>
              <w:contextualSpacing/>
              <w:jc w:val="both"/>
            </w:pPr>
            <w:r w:rsidRPr="009F7DD3">
              <w:t>Specifiskā atbalsta ietvaros plānotās atbalstāmās darbības koledžās atbilst darbības programmas „Izaugsme un nodarbinātība” 8.prioritārajam virzienam „Izglītība, prasmes un mūžizglītība” noteiktajai intervences kategorijai un intervences laukuma kodam 49. “Izglītības infrastruktūra terciārajā izglītībā” un 13. “Publiskās infrastruktūras atjaunošana energoefektivitātes uzlabošanai, projektu demonstrēšana un atbalsta pasākumi”.</w:t>
            </w:r>
          </w:p>
        </w:tc>
      </w:tr>
      <w:tr w:rsidR="0072604C" w:rsidRPr="009F7DD3" w:rsidTr="001629C3">
        <w:tc>
          <w:tcPr>
            <w:tcW w:w="213" w:type="pct"/>
            <w:tcBorders>
              <w:top w:val="outset" w:sz="6" w:space="0" w:color="000000"/>
              <w:left w:val="outset" w:sz="6" w:space="0" w:color="000000"/>
              <w:bottom w:val="outset" w:sz="6" w:space="0" w:color="000000"/>
              <w:right w:val="outset" w:sz="6" w:space="0" w:color="000000"/>
            </w:tcBorders>
          </w:tcPr>
          <w:p w:rsidR="0072604C" w:rsidRPr="009F7DD3" w:rsidRDefault="00B77F92" w:rsidP="00CD0FA2">
            <w:pPr>
              <w:spacing w:before="100" w:beforeAutospacing="1" w:after="100" w:afterAutospacing="1"/>
            </w:pPr>
            <w:r w:rsidRPr="009F7DD3">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9F7DD3" w:rsidRDefault="0072604C" w:rsidP="00CD0FA2">
            <w:pPr>
              <w:spacing w:before="100" w:beforeAutospacing="1" w:after="100" w:afterAutospacing="1"/>
            </w:pPr>
            <w:r w:rsidRPr="009F7DD3">
              <w:t>Projekta izstrādē iesaistītās institūcijas</w:t>
            </w:r>
          </w:p>
        </w:tc>
        <w:tc>
          <w:tcPr>
            <w:tcW w:w="3681" w:type="pct"/>
            <w:gridSpan w:val="2"/>
            <w:tcBorders>
              <w:top w:val="outset" w:sz="6" w:space="0" w:color="000000"/>
              <w:left w:val="outset" w:sz="6" w:space="0" w:color="000000"/>
              <w:bottom w:val="outset" w:sz="6" w:space="0" w:color="000000"/>
              <w:right w:val="outset" w:sz="6" w:space="0" w:color="000000"/>
            </w:tcBorders>
          </w:tcPr>
          <w:p w:rsidR="00720F8B" w:rsidRPr="009F7DD3" w:rsidRDefault="00EF394B" w:rsidP="00EB6067">
            <w:pPr>
              <w:jc w:val="both"/>
              <w:rPr>
                <w:bCs/>
                <w:iCs/>
              </w:rPr>
            </w:pPr>
            <w:r w:rsidRPr="009F7DD3">
              <w:rPr>
                <w:bCs/>
                <w:iCs/>
              </w:rPr>
              <w:t>Izglītības un zinātnes ministrija.</w:t>
            </w:r>
          </w:p>
        </w:tc>
      </w:tr>
      <w:tr w:rsidR="0072604C" w:rsidRPr="009F7DD3" w:rsidTr="001629C3">
        <w:trPr>
          <w:trHeight w:val="35"/>
        </w:trPr>
        <w:tc>
          <w:tcPr>
            <w:tcW w:w="213" w:type="pct"/>
            <w:tcBorders>
              <w:top w:val="outset" w:sz="6" w:space="0" w:color="000000"/>
              <w:left w:val="outset" w:sz="6" w:space="0" w:color="000000"/>
              <w:bottom w:val="outset" w:sz="6" w:space="0" w:color="000000"/>
              <w:right w:val="outset" w:sz="6" w:space="0" w:color="000000"/>
            </w:tcBorders>
          </w:tcPr>
          <w:p w:rsidR="0072604C" w:rsidRPr="009F7DD3" w:rsidRDefault="00B77F92" w:rsidP="00CD0FA2">
            <w:pPr>
              <w:spacing w:before="100" w:beforeAutospacing="1" w:after="100" w:afterAutospacing="1"/>
            </w:pPr>
            <w:r w:rsidRPr="009F7DD3">
              <w:t>4</w:t>
            </w:r>
            <w:r w:rsidR="0072604C" w:rsidRPr="009F7DD3">
              <w:t>.</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9F7DD3" w:rsidRDefault="0072604C" w:rsidP="00CD0FA2">
            <w:pPr>
              <w:spacing w:before="100" w:beforeAutospacing="1" w:after="100" w:afterAutospacing="1"/>
            </w:pPr>
            <w:r w:rsidRPr="009F7DD3">
              <w:t>Cita informācija</w:t>
            </w:r>
          </w:p>
        </w:tc>
        <w:tc>
          <w:tcPr>
            <w:tcW w:w="3681" w:type="pct"/>
            <w:gridSpan w:val="2"/>
            <w:tcBorders>
              <w:top w:val="outset" w:sz="6" w:space="0" w:color="000000"/>
              <w:left w:val="outset" w:sz="6" w:space="0" w:color="000000"/>
              <w:bottom w:val="outset" w:sz="6" w:space="0" w:color="000000"/>
              <w:right w:val="outset" w:sz="6" w:space="0" w:color="000000"/>
            </w:tcBorders>
          </w:tcPr>
          <w:p w:rsidR="0072604C" w:rsidRPr="009F7DD3" w:rsidRDefault="00CE7B1C" w:rsidP="00CE7B1C">
            <w:pPr>
              <w:spacing w:before="100" w:beforeAutospacing="1" w:after="100" w:afterAutospacing="1"/>
              <w:jc w:val="both"/>
              <w:rPr>
                <w:bCs/>
                <w:iCs/>
              </w:rPr>
            </w:pPr>
            <w:r w:rsidRPr="00C858D8">
              <w:t>8.</w:t>
            </w:r>
            <w:r>
              <w:t>1</w:t>
            </w:r>
            <w:r w:rsidRPr="00C858D8">
              <w:t xml:space="preserve">.4. SAM projekta iesniegumu vērtēšanas kritēriji ir apstiprināti </w:t>
            </w:r>
            <w:r>
              <w:t xml:space="preserve">ar Eiropas Savienības </w:t>
            </w:r>
            <w:r w:rsidRPr="00C858D8">
              <w:t xml:space="preserve">fondu </w:t>
            </w:r>
            <w:r>
              <w:t>u</w:t>
            </w:r>
            <w:r w:rsidRPr="00C858D8">
              <w:t>zraudzības komitejas 201</w:t>
            </w:r>
            <w:r>
              <w:t>6</w:t>
            </w:r>
            <w:r w:rsidRPr="00C858D8">
              <w:t xml:space="preserve">.gada </w:t>
            </w:r>
            <w:r>
              <w:t>4</w:t>
            </w:r>
            <w:r w:rsidRPr="00C858D8">
              <w:t>.</w:t>
            </w:r>
            <w:r>
              <w:t>jūlija lēmumu Nr.</w:t>
            </w:r>
            <w:r w:rsidRPr="00C858D8">
              <w:t xml:space="preserve"> </w:t>
            </w:r>
            <w:r>
              <w:t>L-2016/41.</w:t>
            </w:r>
          </w:p>
        </w:tc>
      </w:tr>
      <w:tr w:rsidR="0072604C" w:rsidRPr="009F7DD3" w:rsidTr="001629C3">
        <w:tc>
          <w:tcPr>
            <w:tcW w:w="5000" w:type="pct"/>
            <w:gridSpan w:val="5"/>
            <w:tcBorders>
              <w:top w:val="single" w:sz="4" w:space="0" w:color="auto"/>
              <w:left w:val="single" w:sz="4" w:space="0" w:color="auto"/>
              <w:bottom w:val="outset" w:sz="6" w:space="0" w:color="000000"/>
              <w:right w:val="single" w:sz="4" w:space="0" w:color="auto"/>
            </w:tcBorders>
            <w:vAlign w:val="center"/>
          </w:tcPr>
          <w:p w:rsidR="0072604C" w:rsidRPr="009F7DD3" w:rsidRDefault="00B77F92" w:rsidP="00CD0FA2">
            <w:pPr>
              <w:spacing w:before="100" w:beforeAutospacing="1" w:after="100" w:afterAutospacing="1"/>
              <w:jc w:val="center"/>
              <w:rPr>
                <w:b/>
                <w:bCs/>
              </w:rPr>
            </w:pPr>
            <w:r w:rsidRPr="009F7DD3">
              <w:rPr>
                <w:b/>
              </w:rPr>
              <w:t>II. Tiesību akta projekta ietekme uz sabiedrību, tautsaimniecības attīstību un administratīvo slogu</w:t>
            </w:r>
          </w:p>
        </w:tc>
      </w:tr>
      <w:tr w:rsidR="0072604C" w:rsidRPr="009F7DD3" w:rsidTr="001629C3">
        <w:tc>
          <w:tcPr>
            <w:tcW w:w="260" w:type="pct"/>
            <w:gridSpan w:val="2"/>
            <w:tcBorders>
              <w:top w:val="outset" w:sz="6" w:space="0" w:color="000000"/>
              <w:left w:val="outset" w:sz="6" w:space="0" w:color="000000"/>
              <w:bottom w:val="outset" w:sz="6" w:space="0" w:color="000000"/>
              <w:right w:val="outset" w:sz="6" w:space="0" w:color="000000"/>
            </w:tcBorders>
          </w:tcPr>
          <w:p w:rsidR="0072604C" w:rsidRPr="009F7DD3" w:rsidRDefault="0072604C" w:rsidP="00101A77">
            <w:pPr>
              <w:spacing w:before="100" w:beforeAutospacing="1" w:after="100" w:afterAutospacing="1"/>
              <w:jc w:val="center"/>
            </w:pPr>
            <w:r w:rsidRPr="009F7DD3">
              <w:t>1.</w:t>
            </w:r>
          </w:p>
        </w:tc>
        <w:tc>
          <w:tcPr>
            <w:tcW w:w="1214" w:type="pct"/>
            <w:gridSpan w:val="2"/>
            <w:tcBorders>
              <w:top w:val="outset" w:sz="6" w:space="0" w:color="000000"/>
              <w:left w:val="outset" w:sz="6" w:space="0" w:color="000000"/>
              <w:bottom w:val="outset" w:sz="6" w:space="0" w:color="000000"/>
              <w:right w:val="outset" w:sz="6" w:space="0" w:color="000000"/>
            </w:tcBorders>
          </w:tcPr>
          <w:p w:rsidR="0072604C" w:rsidRPr="009F7DD3" w:rsidRDefault="00B77F92" w:rsidP="00CD0FA2">
            <w:pPr>
              <w:spacing w:before="100" w:beforeAutospacing="1" w:after="100" w:afterAutospacing="1"/>
            </w:pPr>
            <w:r w:rsidRPr="009F7DD3">
              <w:t xml:space="preserve">Sabiedrības </w:t>
            </w:r>
            <w:proofErr w:type="spellStart"/>
            <w:r w:rsidRPr="009F7DD3">
              <w:t>mērķgrupas</w:t>
            </w:r>
            <w:proofErr w:type="spellEnd"/>
            <w:r w:rsidRPr="009F7DD3">
              <w:t>, kuras tiesiskais regulējums ietekmē vai varētu ietekmēt</w:t>
            </w:r>
          </w:p>
        </w:tc>
        <w:tc>
          <w:tcPr>
            <w:tcW w:w="3525" w:type="pct"/>
            <w:tcBorders>
              <w:top w:val="outset" w:sz="6" w:space="0" w:color="000000"/>
              <w:left w:val="outset" w:sz="6" w:space="0" w:color="000000"/>
              <w:bottom w:val="outset" w:sz="6" w:space="0" w:color="000000"/>
              <w:right w:val="outset" w:sz="6" w:space="0" w:color="000000"/>
            </w:tcBorders>
          </w:tcPr>
          <w:p w:rsidR="00EB327C" w:rsidRPr="009F7DD3" w:rsidRDefault="00EB327C" w:rsidP="00DC5D53">
            <w:pPr>
              <w:ind w:firstLine="720"/>
              <w:jc w:val="both"/>
              <w:rPr>
                <w:bCs/>
                <w:spacing w:val="-2"/>
                <w:sz w:val="28"/>
                <w:szCs w:val="28"/>
              </w:rPr>
            </w:pPr>
            <w:r w:rsidRPr="009F7DD3">
              <w:t xml:space="preserve">Tiesiskais regulējums ietekmē koledžas, kas īsteno STEM, tai skaitā medicīnas un radošas industrijas, pirmā līmeņa profesionālās augstākās izglītības studiju programmas un profesionālās vidējās izglītības </w:t>
            </w:r>
            <w:r w:rsidR="00390D20" w:rsidRPr="00E96152">
              <w:t>vai arodizglītības</w:t>
            </w:r>
            <w:r w:rsidR="00390D20" w:rsidRPr="009F7DD3">
              <w:t xml:space="preserve"> </w:t>
            </w:r>
            <w:r w:rsidRPr="009F7DD3">
              <w:lastRenderedPageBreak/>
              <w:t xml:space="preserve">programmas, </w:t>
            </w:r>
            <w:r w:rsidR="00FB09DB" w:rsidRPr="009F7DD3">
              <w:t xml:space="preserve">iepriekš minēto </w:t>
            </w:r>
            <w:r w:rsidRPr="009F7DD3">
              <w:t>koledžu akadēmisko personālu un pedagogus, studējošos un audzēkņus.</w:t>
            </w:r>
          </w:p>
          <w:p w:rsidR="00EB327C" w:rsidRPr="009F7DD3" w:rsidRDefault="00EB327C" w:rsidP="00951965">
            <w:pPr>
              <w:ind w:firstLine="720"/>
              <w:jc w:val="both"/>
              <w:rPr>
                <w:i/>
              </w:rPr>
            </w:pPr>
            <w:r w:rsidRPr="009F7DD3">
              <w:t xml:space="preserve">2015./2016.ak.g. ir </w:t>
            </w:r>
            <w:r w:rsidR="007C524D" w:rsidRPr="009F7DD3">
              <w:t>9</w:t>
            </w:r>
            <w:r w:rsidRPr="009F7DD3">
              <w:t xml:space="preserve"> koledžas, kas </w:t>
            </w:r>
            <w:r w:rsidR="00FB09DB" w:rsidRPr="009F7DD3">
              <w:t>atbilst iepriekš minētajiem kritērijiem</w:t>
            </w:r>
            <w:r w:rsidRPr="009F7DD3">
              <w:t xml:space="preserve">, </w:t>
            </w:r>
            <w:r w:rsidR="00FB09DB" w:rsidRPr="009F7DD3">
              <w:t>un tajās</w:t>
            </w:r>
            <w:r w:rsidRPr="009F7DD3">
              <w:t xml:space="preserve"> izglītību </w:t>
            </w:r>
            <w:r w:rsidR="00147D34" w:rsidRPr="009F7DD3">
              <w:t xml:space="preserve">STEM programmās </w:t>
            </w:r>
            <w:r w:rsidRPr="009F7DD3">
              <w:t xml:space="preserve">apgūst </w:t>
            </w:r>
            <w:r w:rsidR="007C524D" w:rsidRPr="009F7DD3">
              <w:t xml:space="preserve">4334 </w:t>
            </w:r>
            <w:r w:rsidRPr="009F7DD3">
              <w:t xml:space="preserve">studējošie un </w:t>
            </w:r>
            <w:r w:rsidR="00951965" w:rsidRPr="009F7DD3">
              <w:t>3313</w:t>
            </w:r>
            <w:r w:rsidRPr="009F7DD3">
              <w:t xml:space="preserve"> audzēkņi</w:t>
            </w:r>
            <w:r w:rsidR="00EF5A62" w:rsidRPr="009F7DD3">
              <w:t xml:space="preserve"> vidējās izglītības </w:t>
            </w:r>
            <w:r w:rsidR="00951965" w:rsidRPr="009F7DD3">
              <w:t xml:space="preserve">un </w:t>
            </w:r>
            <w:r w:rsidR="007C524D" w:rsidRPr="009F7DD3">
              <w:t>arodizglītības programmās</w:t>
            </w:r>
            <w:r w:rsidRPr="009F7DD3">
              <w:t>.</w:t>
            </w:r>
          </w:p>
        </w:tc>
      </w:tr>
      <w:tr w:rsidR="00B77F92" w:rsidRPr="009F7DD3"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9F7DD3" w:rsidRDefault="00B77F92" w:rsidP="00101A77">
            <w:pPr>
              <w:ind w:left="57" w:right="57"/>
              <w:jc w:val="center"/>
            </w:pPr>
            <w:r w:rsidRPr="009F7DD3">
              <w:lastRenderedPageBreak/>
              <w:t>2.</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9F7DD3" w:rsidRDefault="00B77F92" w:rsidP="00B77F92">
            <w:pPr>
              <w:ind w:left="57" w:right="57"/>
            </w:pPr>
            <w:r w:rsidRPr="009F7DD3">
              <w:t>Tiesiskā regulējuma ietekme uz tautsaimniecību un administratīvo slogu</w:t>
            </w:r>
          </w:p>
        </w:tc>
        <w:tc>
          <w:tcPr>
            <w:tcW w:w="3525" w:type="pct"/>
            <w:tcBorders>
              <w:top w:val="outset" w:sz="6" w:space="0" w:color="000000"/>
              <w:left w:val="outset" w:sz="6" w:space="0" w:color="000000"/>
              <w:bottom w:val="outset" w:sz="6" w:space="0" w:color="000000"/>
              <w:right w:val="outset" w:sz="6" w:space="0" w:color="000000"/>
            </w:tcBorders>
          </w:tcPr>
          <w:p w:rsidR="00503FA0" w:rsidRPr="009F7DD3" w:rsidRDefault="00797E17" w:rsidP="00DC5D53">
            <w:pPr>
              <w:ind w:firstLine="720"/>
              <w:contextualSpacing/>
              <w:jc w:val="both"/>
              <w:rPr>
                <w:highlight w:val="yellow"/>
              </w:rPr>
            </w:pPr>
            <w:r w:rsidRPr="009F7DD3">
              <w:t>8.1.4.</w:t>
            </w:r>
            <w:r w:rsidR="00DC49CE" w:rsidRPr="009F7DD3">
              <w:t> </w:t>
            </w:r>
            <w:r w:rsidR="00887BE0" w:rsidRPr="009F7DD3">
              <w:t xml:space="preserve">SAM </w:t>
            </w:r>
            <w:r w:rsidRPr="009F7DD3">
              <w:t xml:space="preserve">īstenošanai nav tiešas ietekmes </w:t>
            </w:r>
            <w:r w:rsidRPr="009F7DD3">
              <w:rPr>
                <w:b/>
              </w:rPr>
              <w:t>uz makroekonomisko vidi</w:t>
            </w:r>
            <w:r w:rsidRPr="009F7DD3">
              <w:t xml:space="preserve">, taču </w:t>
            </w:r>
            <w:r w:rsidR="00DC49CE" w:rsidRPr="009F7DD3">
              <w:t>8.1.4. </w:t>
            </w:r>
            <w:r w:rsidRPr="009F7DD3">
              <w:t>SAM aktivitātes ir vērstas uz izglītības kvalitātes un atbilstības uzlabošanu un zinoša un prasmīga darbaspēka sagatavošanu, lai veicinātu tautsaimniecības attīstību valstī kopumā.</w:t>
            </w:r>
            <w:r w:rsidR="00503FA0" w:rsidRPr="009F7DD3">
              <w:rPr>
                <w:highlight w:val="yellow"/>
              </w:rPr>
              <w:t xml:space="preserve"> </w:t>
            </w:r>
          </w:p>
          <w:p w:rsidR="00503FA0" w:rsidRPr="009F7DD3" w:rsidRDefault="00887BE0" w:rsidP="00DC5D53">
            <w:pPr>
              <w:ind w:firstLine="720"/>
              <w:contextualSpacing/>
              <w:jc w:val="both"/>
            </w:pPr>
            <w:r w:rsidRPr="009F7DD3">
              <w:t xml:space="preserve">8.1.4. SAM </w:t>
            </w:r>
            <w:r w:rsidR="00797E17" w:rsidRPr="009F7DD3">
              <w:t>īstenošana atstās netiešu pozitīvu ietekmi</w:t>
            </w:r>
            <w:r w:rsidR="00797E17" w:rsidRPr="009F7DD3">
              <w:rPr>
                <w:b/>
              </w:rPr>
              <w:t xml:space="preserve"> uz uzņēmējdarbības vidi</w:t>
            </w:r>
            <w:r w:rsidR="00797E17" w:rsidRPr="009F7DD3">
              <w:t xml:space="preserve">. Saskaņā ar Ekonomikas ministrijas  Darba tirgus vidēja un ilgtermiņa prognozēm </w:t>
            </w:r>
            <w:r w:rsidRPr="009F7DD3">
              <w:t xml:space="preserve">8.1.4. SAM </w:t>
            </w:r>
            <w:r w:rsidR="00797E17" w:rsidRPr="009F7DD3">
              <w:t>ieguldījumi tiek plānoti infrastruktūras un mācību aprīkojuma modernizācij</w:t>
            </w:r>
            <w:r w:rsidR="009551A8" w:rsidRPr="009F7DD3">
              <w:t>ai</w:t>
            </w:r>
            <w:r w:rsidR="00797E17" w:rsidRPr="009F7DD3">
              <w:t xml:space="preserve"> </w:t>
            </w:r>
            <w:r w:rsidR="00C6231E" w:rsidRPr="009F7DD3">
              <w:t xml:space="preserve">izglītības </w:t>
            </w:r>
            <w:r w:rsidR="00797E17" w:rsidRPr="009F7DD3">
              <w:t>programmās, kas atbilst tautsaimniecībai svarīgākajām nozarēm. 8.1.4.</w:t>
            </w:r>
            <w:r w:rsidRPr="009F7DD3">
              <w:t xml:space="preserve"> SAM </w:t>
            </w:r>
            <w:r w:rsidR="00797E17" w:rsidRPr="009F7DD3">
              <w:t xml:space="preserve">investīciju ieguldījumi </w:t>
            </w:r>
            <w:r w:rsidR="00FF04D6" w:rsidRPr="009F7DD3">
              <w:t xml:space="preserve">sekmēs </w:t>
            </w:r>
            <w:r w:rsidR="00797E17" w:rsidRPr="009F7DD3">
              <w:t xml:space="preserve">izglītības kvalitātes uzlabošanos, jo </w:t>
            </w:r>
            <w:r w:rsidR="006F7D3F" w:rsidRPr="009F7DD3">
              <w:t xml:space="preserve">izglītības </w:t>
            </w:r>
            <w:r w:rsidR="00797E17" w:rsidRPr="009F7DD3">
              <w:t xml:space="preserve">procesā tiks izmantots mūsdienu prasībām atbilstošs mācību aprīkojums un iekārtas STEM </w:t>
            </w:r>
            <w:r w:rsidR="006F7D3F" w:rsidRPr="009F7DD3">
              <w:t xml:space="preserve">izglītības </w:t>
            </w:r>
            <w:r w:rsidR="00797E17" w:rsidRPr="009F7DD3">
              <w:t xml:space="preserve">programmās. Koledžās </w:t>
            </w:r>
            <w:r w:rsidR="00C6231E" w:rsidRPr="009F7DD3">
              <w:t xml:space="preserve">izglītojamie </w:t>
            </w:r>
            <w:r w:rsidR="00797E17" w:rsidRPr="009F7DD3">
              <w:t xml:space="preserve">apgūst darba tirgū pieprasītas profesijas un prasmes STEM jomās, tādējādi darba devējiem būs pieejams kvalificētāks, mūsdienu darba tirgus prasībām atbilstošāks darbaspēks. Līdztekus profesionālās augstākās </w:t>
            </w:r>
            <w:r w:rsidR="006F7D3F" w:rsidRPr="009F7DD3">
              <w:t xml:space="preserve">un vidējās </w:t>
            </w:r>
            <w:r w:rsidR="00797E17" w:rsidRPr="009F7DD3">
              <w:t>izglītības kvalitātes pieaugumam koledžās pieaugs arī koledžu prestižs</w:t>
            </w:r>
            <w:r w:rsidR="00C95694" w:rsidRPr="009F7DD3">
              <w:t>,</w:t>
            </w:r>
            <w:r w:rsidR="00797E17" w:rsidRPr="009F7DD3">
              <w:t xml:space="preserve"> un tiks veicināta koledžu atpazīstamība.</w:t>
            </w:r>
          </w:p>
          <w:p w:rsidR="00B77F92" w:rsidRPr="009F7DD3" w:rsidRDefault="00503FA0" w:rsidP="00DC5D53">
            <w:pPr>
              <w:ind w:firstLine="720"/>
              <w:contextualSpacing/>
              <w:jc w:val="both"/>
            </w:pPr>
            <w:r w:rsidRPr="009F7DD3">
              <w:t>Sabiedrības grupām un institūcijām 8.</w:t>
            </w:r>
            <w:r w:rsidR="000629DD" w:rsidRPr="009F7DD3">
              <w:t>1</w:t>
            </w:r>
            <w:r w:rsidR="00887BE0" w:rsidRPr="009F7DD3">
              <w:t xml:space="preserve">.4. SAM </w:t>
            </w:r>
            <w:r w:rsidRPr="009F7DD3">
              <w:t>ietvaros plānotais tiesiskais regulējums nemaina tiesības un pienākumus, kā arī veicamās darbības.</w:t>
            </w:r>
          </w:p>
          <w:p w:rsidR="00FA25BA" w:rsidRPr="009F7DD3" w:rsidRDefault="00FA25BA" w:rsidP="00390D20">
            <w:pPr>
              <w:ind w:firstLine="720"/>
              <w:jc w:val="both"/>
              <w:rPr>
                <w:b/>
              </w:rPr>
            </w:pPr>
            <w:r w:rsidRPr="009F7DD3">
              <w:rPr>
                <w:b/>
              </w:rPr>
              <w:t>Ietekme uz administratī</w:t>
            </w:r>
            <w:r w:rsidR="00390D20" w:rsidRPr="009F7DD3">
              <w:rPr>
                <w:b/>
              </w:rPr>
              <w:t>vajām procedūrām un to izmaksām</w:t>
            </w:r>
            <w:r w:rsidRPr="009F7DD3">
              <w:rPr>
                <w:b/>
              </w:rPr>
              <w:t xml:space="preserve"> </w:t>
            </w:r>
          </w:p>
          <w:p w:rsidR="00FA25BA" w:rsidRPr="009F7DD3" w:rsidRDefault="00FA25BA" w:rsidP="00390D20">
            <w:pPr>
              <w:shd w:val="clear" w:color="auto" w:fill="FFFFFF"/>
              <w:ind w:right="113" w:firstLine="720"/>
              <w:jc w:val="both"/>
            </w:pPr>
            <w:r w:rsidRPr="009F7DD3">
              <w:t>Kopumā sabiedrības grupām un institūcijām 8.1.4. SAM ietvaros plānotais tiesiskais regulējums nemaina tiesības un pienākumus, kā arī veicamās darbības.</w:t>
            </w:r>
          </w:p>
          <w:p w:rsidR="00FA25BA" w:rsidRPr="009F7DD3" w:rsidRDefault="00FA25BA" w:rsidP="000903F3">
            <w:pPr>
              <w:ind w:firstLine="720"/>
              <w:contextualSpacing/>
              <w:jc w:val="both"/>
            </w:pPr>
            <w:r w:rsidRPr="009F7DD3">
              <w:t>8.1.4. SAM ietvaros finansējuma saņēmējs nodrošina noteikumu projekta 1</w:t>
            </w:r>
            <w:r w:rsidR="000903F3" w:rsidRPr="009F7DD3">
              <w:t>3</w:t>
            </w:r>
            <w:r w:rsidRPr="009F7DD3">
              <w:t>.</w:t>
            </w:r>
            <w:r w:rsidR="00BE257F" w:rsidRPr="009F7DD3">
              <w:t xml:space="preserve"> punktā</w:t>
            </w:r>
            <w:r w:rsidRPr="009F7DD3">
              <w:t xml:space="preserve"> un 33.2 apakšpunktā minētos informācijas sniegšanas pasākumus.</w:t>
            </w:r>
          </w:p>
        </w:tc>
      </w:tr>
      <w:tr w:rsidR="00FA25BA" w:rsidRPr="009F7DD3"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9F7DD3" w:rsidRDefault="00B77F92" w:rsidP="00101A77">
            <w:pPr>
              <w:ind w:left="57" w:right="57"/>
              <w:jc w:val="center"/>
            </w:pPr>
            <w:r w:rsidRPr="009F7DD3">
              <w:t>3.</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9F7DD3" w:rsidRDefault="00B77F92" w:rsidP="00B77F92">
            <w:pPr>
              <w:ind w:left="57" w:right="57"/>
            </w:pPr>
            <w:r w:rsidRPr="009F7DD3">
              <w:t>Administratīvo izmaksu monetārs novērtējums</w:t>
            </w:r>
          </w:p>
        </w:tc>
        <w:tc>
          <w:tcPr>
            <w:tcW w:w="3525" w:type="pct"/>
            <w:tcBorders>
              <w:top w:val="outset" w:sz="6" w:space="0" w:color="000000"/>
              <w:left w:val="outset" w:sz="6" w:space="0" w:color="000000"/>
              <w:bottom w:val="outset" w:sz="6" w:space="0" w:color="000000"/>
              <w:right w:val="outset" w:sz="6" w:space="0" w:color="000000"/>
            </w:tcBorders>
          </w:tcPr>
          <w:p w:rsidR="00C349CD" w:rsidRPr="009F7DD3" w:rsidRDefault="00C349CD" w:rsidP="00C349CD">
            <w:pPr>
              <w:pStyle w:val="NoSpacing"/>
              <w:ind w:left="132" w:right="152"/>
              <w:jc w:val="both"/>
              <w:rPr>
                <w:rFonts w:ascii="Times New Roman" w:hAnsi="Times New Roman"/>
                <w:sz w:val="24"/>
                <w:szCs w:val="24"/>
                <w:lang w:eastAsia="lv-LV"/>
              </w:rPr>
            </w:pPr>
            <w:r w:rsidRPr="009F7DD3">
              <w:rPr>
                <w:rFonts w:ascii="Times New Roman" w:hAnsi="Times New Roman"/>
                <w:b/>
                <w:sz w:val="24"/>
                <w:szCs w:val="24"/>
                <w:lang w:eastAsia="lv-LV"/>
              </w:rPr>
              <w:t>Administratīvās izmaksas</w:t>
            </w:r>
            <w:r w:rsidR="00B6794D" w:rsidRPr="009F7DD3">
              <w:rPr>
                <w:rFonts w:ascii="Times New Roman" w:hAnsi="Times New Roman"/>
                <w:sz w:val="24"/>
                <w:szCs w:val="24"/>
                <w:lang w:eastAsia="lv-LV"/>
              </w:rPr>
              <w:t xml:space="preserve"> (C)</w:t>
            </w:r>
          </w:p>
          <w:p w:rsidR="00A671BB" w:rsidRPr="009F7DD3" w:rsidRDefault="00A671BB" w:rsidP="00C349CD">
            <w:pPr>
              <w:pStyle w:val="NoSpacing"/>
              <w:ind w:left="132" w:right="152"/>
              <w:jc w:val="both"/>
              <w:rPr>
                <w:rFonts w:ascii="Times New Roman" w:hAnsi="Times New Roman"/>
                <w:sz w:val="24"/>
                <w:szCs w:val="24"/>
                <w:lang w:eastAsia="lv-LV"/>
              </w:rPr>
            </w:pPr>
            <w:r w:rsidRPr="009F7DD3">
              <w:rPr>
                <w:rFonts w:ascii="Times New Roman" w:hAnsi="Times New Roman"/>
                <w:sz w:val="24"/>
                <w:szCs w:val="24"/>
                <w:lang w:eastAsia="lv-LV"/>
              </w:rPr>
              <w:t>Finansējuma saņēmēja izmaksas par noteikumu projekta 13. punktā noteikto projekta iesnieguma iesniegšanu:</w:t>
            </w:r>
          </w:p>
          <w:p w:rsidR="00C349CD" w:rsidRPr="009F7DD3" w:rsidRDefault="00A671BB" w:rsidP="00C349CD">
            <w:pPr>
              <w:pStyle w:val="NoSpacing"/>
              <w:ind w:left="132" w:right="152"/>
              <w:jc w:val="both"/>
              <w:rPr>
                <w:rFonts w:ascii="Times New Roman" w:hAnsi="Times New Roman"/>
                <w:i/>
                <w:sz w:val="24"/>
                <w:szCs w:val="24"/>
                <w:lang w:eastAsia="lv-LV"/>
              </w:rPr>
            </w:pPr>
            <w:r w:rsidRPr="009F7DD3">
              <w:rPr>
                <w:rFonts w:ascii="Times New Roman" w:hAnsi="Times New Roman"/>
                <w:sz w:val="24"/>
                <w:szCs w:val="24"/>
                <w:lang w:eastAsia="lv-LV"/>
              </w:rPr>
              <w:t xml:space="preserve"> </w:t>
            </w:r>
            <w:r w:rsidR="00B6794D" w:rsidRPr="009F7DD3">
              <w:rPr>
                <w:rFonts w:ascii="Times New Roman" w:hAnsi="Times New Roman"/>
                <w:sz w:val="24"/>
                <w:szCs w:val="24"/>
                <w:lang w:eastAsia="lv-LV"/>
              </w:rPr>
              <w:t>C=</w:t>
            </w:r>
            <w:r w:rsidRPr="009F7DD3">
              <w:rPr>
                <w:rFonts w:ascii="Times New Roman" w:hAnsi="Times New Roman"/>
                <w:sz w:val="24"/>
                <w:szCs w:val="24"/>
                <w:lang w:eastAsia="lv-LV"/>
              </w:rPr>
              <w:t xml:space="preserve"> </w:t>
            </w:r>
            <w:r w:rsidR="00B6794D" w:rsidRPr="009F7DD3">
              <w:rPr>
                <w:rFonts w:ascii="Times New Roman" w:hAnsi="Times New Roman"/>
                <w:sz w:val="24"/>
                <w:szCs w:val="24"/>
                <w:lang w:eastAsia="lv-LV"/>
              </w:rPr>
              <w:t xml:space="preserve">(f * l) x (n * b) = </w:t>
            </w:r>
            <w:r w:rsidR="00C349CD" w:rsidRPr="009F7DD3">
              <w:rPr>
                <w:rFonts w:ascii="Times New Roman" w:hAnsi="Times New Roman"/>
                <w:sz w:val="24"/>
                <w:szCs w:val="24"/>
                <w:lang w:eastAsia="lv-LV"/>
              </w:rPr>
              <w:t>(5</w:t>
            </w:r>
            <w:r w:rsidR="00A763F4" w:rsidRPr="009F7DD3">
              <w:rPr>
                <w:rFonts w:ascii="Times New Roman" w:hAnsi="Times New Roman"/>
                <w:sz w:val="24"/>
                <w:szCs w:val="24"/>
                <w:lang w:eastAsia="lv-LV"/>
              </w:rPr>
              <w:t>,</w:t>
            </w:r>
            <w:r w:rsidR="00880765" w:rsidRPr="009F7DD3">
              <w:rPr>
                <w:rFonts w:ascii="Times New Roman" w:hAnsi="Times New Roman"/>
                <w:sz w:val="24"/>
                <w:szCs w:val="24"/>
                <w:lang w:eastAsia="lv-LV"/>
              </w:rPr>
              <w:t>34</w:t>
            </w:r>
            <w:r w:rsidR="00C349CD" w:rsidRPr="009F7DD3">
              <w:rPr>
                <w:rFonts w:ascii="Times New Roman" w:hAnsi="Times New Roman"/>
                <w:sz w:val="24"/>
                <w:szCs w:val="24"/>
                <w:lang w:eastAsia="lv-LV"/>
              </w:rPr>
              <w:t xml:space="preserve"> * 4) * (2 * 2) = 23</w:t>
            </w:r>
            <w:r w:rsidR="00A763F4" w:rsidRPr="009F7DD3">
              <w:rPr>
                <w:rFonts w:ascii="Times New Roman" w:hAnsi="Times New Roman"/>
                <w:sz w:val="24"/>
                <w:szCs w:val="24"/>
                <w:lang w:eastAsia="lv-LV"/>
              </w:rPr>
              <w:t>,</w:t>
            </w:r>
            <w:r w:rsidR="00C349CD" w:rsidRPr="009F7DD3">
              <w:rPr>
                <w:rFonts w:ascii="Times New Roman" w:hAnsi="Times New Roman"/>
                <w:sz w:val="24"/>
                <w:szCs w:val="24"/>
                <w:lang w:eastAsia="lv-LV"/>
              </w:rPr>
              <w:t xml:space="preserve">12 * 4 = </w:t>
            </w:r>
            <w:r w:rsidR="001645EB" w:rsidRPr="009F7DD3">
              <w:rPr>
                <w:rFonts w:ascii="Times New Roman" w:hAnsi="Times New Roman"/>
                <w:sz w:val="24"/>
                <w:szCs w:val="24"/>
                <w:lang w:eastAsia="lv-LV"/>
              </w:rPr>
              <w:t>85,44</w:t>
            </w:r>
            <w:r w:rsidR="00C349CD" w:rsidRPr="009F7DD3">
              <w:rPr>
                <w:rFonts w:ascii="Times New Roman" w:hAnsi="Times New Roman"/>
                <w:sz w:val="24"/>
                <w:szCs w:val="24"/>
                <w:lang w:eastAsia="lv-LV"/>
              </w:rPr>
              <w:t xml:space="preserve"> </w:t>
            </w:r>
            <w:proofErr w:type="spellStart"/>
            <w:r w:rsidR="00C349CD" w:rsidRPr="009F7DD3">
              <w:rPr>
                <w:rFonts w:ascii="Times New Roman" w:hAnsi="Times New Roman"/>
                <w:i/>
                <w:sz w:val="24"/>
                <w:szCs w:val="24"/>
                <w:lang w:eastAsia="lv-LV"/>
              </w:rPr>
              <w:t>euro</w:t>
            </w:r>
            <w:proofErr w:type="spellEnd"/>
            <w:r w:rsidR="001645EB" w:rsidRPr="009F7DD3">
              <w:rPr>
                <w:rFonts w:ascii="Times New Roman" w:hAnsi="Times New Roman"/>
                <w:i/>
                <w:sz w:val="24"/>
                <w:szCs w:val="24"/>
                <w:lang w:eastAsia="lv-LV"/>
              </w:rPr>
              <w:t>.</w:t>
            </w:r>
          </w:p>
          <w:p w:rsidR="00B6794D" w:rsidRPr="009F7DD3" w:rsidRDefault="00B6794D" w:rsidP="00C349CD">
            <w:pPr>
              <w:pStyle w:val="NoSpacing"/>
              <w:ind w:left="132"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f </w:t>
            </w:r>
            <w:r w:rsidR="00A671BB" w:rsidRPr="009F7DD3">
              <w:rPr>
                <w:rFonts w:ascii="Times New Roman" w:hAnsi="Times New Roman"/>
                <w:sz w:val="24"/>
                <w:szCs w:val="24"/>
                <w:lang w:eastAsia="lv-LV"/>
              </w:rPr>
              <w:t>–</w:t>
            </w:r>
            <w:r w:rsidRPr="009F7DD3">
              <w:rPr>
                <w:rFonts w:ascii="Times New Roman" w:hAnsi="Times New Roman"/>
                <w:sz w:val="24"/>
                <w:szCs w:val="24"/>
                <w:lang w:eastAsia="lv-LV"/>
              </w:rPr>
              <w:t xml:space="preserve"> darbaspēka</w:t>
            </w:r>
            <w:r w:rsidR="00A671BB" w:rsidRPr="009F7DD3">
              <w:rPr>
                <w:rFonts w:ascii="Times New Roman" w:hAnsi="Times New Roman"/>
                <w:sz w:val="24"/>
                <w:szCs w:val="24"/>
                <w:lang w:eastAsia="lv-LV"/>
              </w:rPr>
              <w:t xml:space="preserve"> </w:t>
            </w:r>
            <w:r w:rsidRPr="009F7DD3">
              <w:rPr>
                <w:rFonts w:ascii="Times New Roman" w:hAnsi="Times New Roman"/>
                <w:sz w:val="24"/>
                <w:szCs w:val="24"/>
                <w:lang w:eastAsia="lv-LV"/>
              </w:rPr>
              <w:t>atlīdzības vidējā stundas likme;</w:t>
            </w:r>
          </w:p>
          <w:p w:rsidR="00B6794D" w:rsidRPr="009F7DD3" w:rsidRDefault="00B6794D" w:rsidP="00C349CD">
            <w:pPr>
              <w:pStyle w:val="NoSpacing"/>
              <w:ind w:left="132"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l </w:t>
            </w:r>
            <w:r w:rsidR="00A671BB" w:rsidRPr="009F7DD3">
              <w:rPr>
                <w:rFonts w:ascii="Times New Roman" w:hAnsi="Times New Roman"/>
                <w:sz w:val="24"/>
                <w:szCs w:val="24"/>
                <w:lang w:eastAsia="lv-LV"/>
              </w:rPr>
              <w:t>–</w:t>
            </w:r>
            <w:r w:rsidRPr="009F7DD3">
              <w:rPr>
                <w:rFonts w:ascii="Times New Roman" w:hAnsi="Times New Roman"/>
                <w:sz w:val="24"/>
                <w:szCs w:val="24"/>
                <w:lang w:eastAsia="lv-LV"/>
              </w:rPr>
              <w:t xml:space="preserve"> laiks, kas nepieciešams informācijas ievadīšanai;</w:t>
            </w:r>
          </w:p>
          <w:p w:rsidR="00A671BB" w:rsidRPr="009F7DD3" w:rsidRDefault="00A671BB" w:rsidP="00C349CD">
            <w:pPr>
              <w:pStyle w:val="NoSpacing"/>
              <w:ind w:left="132" w:right="152"/>
              <w:jc w:val="both"/>
              <w:rPr>
                <w:rFonts w:ascii="Times New Roman" w:hAnsi="Times New Roman"/>
                <w:sz w:val="24"/>
                <w:szCs w:val="24"/>
                <w:lang w:eastAsia="lv-LV"/>
              </w:rPr>
            </w:pPr>
            <w:r w:rsidRPr="009F7DD3">
              <w:rPr>
                <w:rFonts w:ascii="Times New Roman" w:hAnsi="Times New Roman"/>
                <w:sz w:val="24"/>
                <w:szCs w:val="24"/>
                <w:lang w:eastAsia="lv-LV"/>
              </w:rPr>
              <w:t>n – projekta vadības personāla skaits, kas ievieto informāciju;</w:t>
            </w:r>
          </w:p>
          <w:p w:rsidR="00A671BB" w:rsidRPr="009F7DD3" w:rsidRDefault="00A671BB" w:rsidP="00C349CD">
            <w:pPr>
              <w:pStyle w:val="NoSpacing"/>
              <w:ind w:left="132" w:right="152"/>
              <w:jc w:val="both"/>
              <w:rPr>
                <w:rFonts w:ascii="Times New Roman" w:hAnsi="Times New Roman"/>
                <w:sz w:val="24"/>
                <w:szCs w:val="24"/>
                <w:lang w:eastAsia="lv-LV"/>
              </w:rPr>
            </w:pPr>
            <w:r w:rsidRPr="009F7DD3">
              <w:rPr>
                <w:rFonts w:ascii="Times New Roman" w:hAnsi="Times New Roman"/>
                <w:sz w:val="24"/>
                <w:szCs w:val="24"/>
                <w:lang w:eastAsia="lv-LV"/>
              </w:rPr>
              <w:lastRenderedPageBreak/>
              <w:t>b – informācijas sniegšanas biežums.</w:t>
            </w:r>
          </w:p>
          <w:p w:rsidR="00B6794D" w:rsidRPr="009F7DD3" w:rsidRDefault="00100F56" w:rsidP="00C349CD">
            <w:pPr>
              <w:pStyle w:val="NoSpacing"/>
              <w:ind w:left="132"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 </w:t>
            </w:r>
          </w:p>
          <w:p w:rsidR="00C349CD" w:rsidRPr="009F7DD3" w:rsidRDefault="001645EB" w:rsidP="001645EB">
            <w:pPr>
              <w:shd w:val="clear" w:color="auto" w:fill="FFFFFF"/>
              <w:ind w:left="57" w:right="113"/>
              <w:jc w:val="both"/>
            </w:pPr>
            <w:r w:rsidRPr="009F7DD3">
              <w:t xml:space="preserve">Aprēķinam izmantots pieņēmums, ka </w:t>
            </w:r>
            <w:r w:rsidR="000F3D49" w:rsidRPr="009F7DD3">
              <w:t xml:space="preserve">projekta iesniegums tiek iesniegts elektroniski, </w:t>
            </w:r>
            <w:r w:rsidRPr="009F7DD3">
              <w:t xml:space="preserve">šo pienākumu veic darbinieki ar vidējo mēneša darba samaksu sabiedriskajā sektorā, kas </w:t>
            </w:r>
            <w:r w:rsidR="00612FAD" w:rsidRPr="009F7DD3">
              <w:t xml:space="preserve">2015.gadā Latvijā bija 855 </w:t>
            </w:r>
            <w:proofErr w:type="spellStart"/>
            <w:r w:rsidR="00612FAD" w:rsidRPr="009F7DD3">
              <w:rPr>
                <w:i/>
              </w:rPr>
              <w:t>euro</w:t>
            </w:r>
            <w:proofErr w:type="spellEnd"/>
            <w:r w:rsidR="00612FAD" w:rsidRPr="009F7DD3">
              <w:t xml:space="preserve"> </w:t>
            </w:r>
            <w:r w:rsidRPr="009F7DD3">
              <w:t>mēnesī (</w:t>
            </w:r>
            <w:hyperlink r:id="rId8" w:history="1">
              <w:r w:rsidRPr="009F7DD3">
                <w:rPr>
                  <w:rStyle w:val="Hyperlink"/>
                  <w:color w:val="auto"/>
                </w:rPr>
                <w:t>http://www.csb.gov.lv/statistikas-temas/darba-samaksa-galvenie-raditaji-30270.html</w:t>
              </w:r>
            </w:hyperlink>
            <w:r w:rsidRPr="009F7DD3">
              <w:t xml:space="preserve">), kam atbilst stundas samaksas likme 5,34 </w:t>
            </w:r>
            <w:proofErr w:type="spellStart"/>
            <w:r w:rsidRPr="009F7DD3">
              <w:rPr>
                <w:i/>
              </w:rPr>
              <w:t>euro</w:t>
            </w:r>
            <w:proofErr w:type="spellEnd"/>
            <w:r w:rsidRPr="009F7DD3">
              <w:t>. A</w:t>
            </w:r>
            <w:r w:rsidR="00C349CD" w:rsidRPr="009F7DD3">
              <w:t>prēķinam tiek izmantots pieņēmums, ka finansējuma saņēmējs datu ievadei un i</w:t>
            </w:r>
            <w:r w:rsidR="00612FAD" w:rsidRPr="009F7DD3">
              <w:t xml:space="preserve">esniegšanai sadarbības iestādē </w:t>
            </w:r>
            <w:r w:rsidR="00C349CD" w:rsidRPr="009F7DD3">
              <w:t xml:space="preserve">izmanto Kohēzijas politikas </w:t>
            </w:r>
            <w:r w:rsidR="00612FAD" w:rsidRPr="009F7DD3">
              <w:t>v</w:t>
            </w:r>
            <w:r w:rsidR="00C349CD" w:rsidRPr="009F7DD3">
              <w:t xml:space="preserve">adības informācijas sistēmu, nodrošinot “četru acu principu” un īstenotais projekts ir </w:t>
            </w:r>
            <w:proofErr w:type="spellStart"/>
            <w:r w:rsidR="00C349CD" w:rsidRPr="009F7DD3">
              <w:t>mazapjomīgs</w:t>
            </w:r>
            <w:proofErr w:type="spellEnd"/>
            <w:r w:rsidR="00C349CD" w:rsidRPr="009F7DD3">
              <w:t xml:space="preserve"> un nav nepieciešams pievienot pamatojošos  dokumentus lielā apjomā.</w:t>
            </w:r>
          </w:p>
          <w:p w:rsidR="00C349CD" w:rsidRPr="009F7DD3" w:rsidRDefault="00C349CD" w:rsidP="0077295E">
            <w:pPr>
              <w:jc w:val="both"/>
            </w:pPr>
          </w:p>
          <w:p w:rsidR="00A671BB" w:rsidRPr="009F7DD3" w:rsidRDefault="0077295E" w:rsidP="0077295E">
            <w:pPr>
              <w:jc w:val="both"/>
            </w:pPr>
            <w:r w:rsidRPr="009F7DD3">
              <w:t>Finansējuma saņēmēja izmaksas par noteikumu projekta 33.2.</w:t>
            </w:r>
            <w:r w:rsidR="00612FAD" w:rsidRPr="009F7DD3">
              <w:t>apkš</w:t>
            </w:r>
            <w:r w:rsidRPr="009F7DD3">
              <w:t>punktā noteikto informācijas ievietošanu tīmekļa vietnē</w:t>
            </w:r>
            <w:r w:rsidR="00A671BB" w:rsidRPr="009F7DD3">
              <w:t>:</w:t>
            </w:r>
          </w:p>
          <w:p w:rsidR="00A671BB" w:rsidRPr="009F7DD3" w:rsidRDefault="00A671BB" w:rsidP="00A671BB">
            <w:pPr>
              <w:jc w:val="both"/>
            </w:pPr>
            <w:r w:rsidRPr="009F7DD3">
              <w:t>C</w:t>
            </w:r>
            <w:r w:rsidR="002A3936" w:rsidRPr="009F7DD3">
              <w:t xml:space="preserve"> </w:t>
            </w:r>
            <w:r w:rsidRPr="009F7DD3">
              <w:t>=</w:t>
            </w:r>
            <w:r w:rsidR="002A3936" w:rsidRPr="009F7DD3">
              <w:t xml:space="preserve"> </w:t>
            </w:r>
            <w:r w:rsidRPr="009F7DD3">
              <w:t>(f * l) x (n * b) = (5,34 *  0,5) * 4 * 4 = 42,72 </w:t>
            </w:r>
            <w:proofErr w:type="spellStart"/>
            <w:r w:rsidRPr="009F7DD3">
              <w:rPr>
                <w:i/>
              </w:rPr>
              <w:t>euro</w:t>
            </w:r>
            <w:proofErr w:type="spellEnd"/>
            <w:r w:rsidRPr="009F7DD3">
              <w:t>.</w:t>
            </w:r>
          </w:p>
          <w:p w:rsidR="00A671BB" w:rsidRPr="009F7DD3" w:rsidRDefault="00A671BB" w:rsidP="00A671BB">
            <w:pPr>
              <w:pStyle w:val="NoSpacing"/>
              <w:ind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f </w:t>
            </w:r>
            <w:r w:rsidR="002A3936" w:rsidRPr="009F7DD3">
              <w:rPr>
                <w:rFonts w:ascii="Times New Roman" w:hAnsi="Times New Roman"/>
                <w:sz w:val="24"/>
                <w:szCs w:val="24"/>
                <w:lang w:eastAsia="lv-LV"/>
              </w:rPr>
              <w:t>–</w:t>
            </w:r>
            <w:r w:rsidRPr="009F7DD3">
              <w:rPr>
                <w:rFonts w:ascii="Times New Roman" w:hAnsi="Times New Roman"/>
                <w:sz w:val="24"/>
                <w:szCs w:val="24"/>
                <w:lang w:eastAsia="lv-LV"/>
              </w:rPr>
              <w:t xml:space="preserve"> darbaspēka atlīdzības vidējā stundas likme;</w:t>
            </w:r>
          </w:p>
          <w:p w:rsidR="00A671BB" w:rsidRPr="009F7DD3" w:rsidRDefault="00A671BB" w:rsidP="00A671BB">
            <w:pPr>
              <w:pStyle w:val="NoSpacing"/>
              <w:ind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l </w:t>
            </w:r>
            <w:r w:rsidR="002A3936" w:rsidRPr="009F7DD3">
              <w:rPr>
                <w:rFonts w:ascii="Times New Roman" w:hAnsi="Times New Roman"/>
                <w:sz w:val="24"/>
                <w:szCs w:val="24"/>
                <w:lang w:eastAsia="lv-LV"/>
              </w:rPr>
              <w:t>–</w:t>
            </w:r>
            <w:r w:rsidRPr="009F7DD3">
              <w:rPr>
                <w:rFonts w:ascii="Times New Roman" w:hAnsi="Times New Roman"/>
                <w:sz w:val="24"/>
                <w:szCs w:val="24"/>
                <w:lang w:eastAsia="lv-LV"/>
              </w:rPr>
              <w:t xml:space="preserve"> </w:t>
            </w:r>
            <w:r w:rsidRPr="009F7DD3">
              <w:rPr>
                <w:rFonts w:ascii="Times New Roman" w:hAnsi="Times New Roman"/>
                <w:sz w:val="24"/>
                <w:szCs w:val="24"/>
              </w:rPr>
              <w:t>laiks, kas nepieciešamas informācijas ievadīšanai tīmekļa vietnē</w:t>
            </w:r>
            <w:r w:rsidRPr="009F7DD3">
              <w:rPr>
                <w:rFonts w:ascii="Times New Roman" w:hAnsi="Times New Roman"/>
                <w:sz w:val="24"/>
                <w:szCs w:val="24"/>
                <w:lang w:eastAsia="lv-LV"/>
              </w:rPr>
              <w:t>;</w:t>
            </w:r>
          </w:p>
          <w:p w:rsidR="00A671BB" w:rsidRPr="009F7DD3" w:rsidRDefault="00A671BB" w:rsidP="00A671BB">
            <w:pPr>
              <w:pStyle w:val="NoSpacing"/>
              <w:ind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n </w:t>
            </w:r>
            <w:r w:rsidR="002A3936" w:rsidRPr="009F7DD3">
              <w:rPr>
                <w:rFonts w:ascii="Times New Roman" w:hAnsi="Times New Roman"/>
                <w:sz w:val="24"/>
                <w:szCs w:val="24"/>
                <w:lang w:eastAsia="lv-LV"/>
              </w:rPr>
              <w:t>–</w:t>
            </w:r>
            <w:r w:rsidRPr="009F7DD3">
              <w:rPr>
                <w:rFonts w:ascii="Times New Roman" w:hAnsi="Times New Roman"/>
                <w:sz w:val="24"/>
                <w:szCs w:val="24"/>
                <w:lang w:eastAsia="lv-LV"/>
              </w:rPr>
              <w:t xml:space="preserve"> </w:t>
            </w:r>
            <w:r w:rsidRPr="009F7DD3">
              <w:rPr>
                <w:rFonts w:ascii="Times New Roman" w:hAnsi="Times New Roman"/>
                <w:sz w:val="24"/>
                <w:szCs w:val="24"/>
              </w:rPr>
              <w:t>informācijas sagatavošanas un ievietošanas tīmekļa vietnē biežums gadā</w:t>
            </w:r>
            <w:r w:rsidRPr="009F7DD3">
              <w:rPr>
                <w:rFonts w:ascii="Times New Roman" w:hAnsi="Times New Roman"/>
                <w:sz w:val="24"/>
                <w:szCs w:val="24"/>
                <w:lang w:eastAsia="lv-LV"/>
              </w:rPr>
              <w:t>;</w:t>
            </w:r>
          </w:p>
          <w:p w:rsidR="00A671BB" w:rsidRPr="009F7DD3" w:rsidRDefault="00A671BB" w:rsidP="00A671BB">
            <w:pPr>
              <w:pStyle w:val="NoSpacing"/>
              <w:ind w:right="152"/>
              <w:jc w:val="both"/>
              <w:rPr>
                <w:rFonts w:ascii="Times New Roman" w:hAnsi="Times New Roman"/>
                <w:sz w:val="24"/>
                <w:szCs w:val="24"/>
                <w:lang w:eastAsia="lv-LV"/>
              </w:rPr>
            </w:pPr>
            <w:r w:rsidRPr="009F7DD3">
              <w:rPr>
                <w:rFonts w:ascii="Times New Roman" w:hAnsi="Times New Roman"/>
                <w:sz w:val="24"/>
                <w:szCs w:val="24"/>
                <w:lang w:eastAsia="lv-LV"/>
              </w:rPr>
              <w:t xml:space="preserve">b </w:t>
            </w:r>
            <w:r w:rsidR="002A3936" w:rsidRPr="009F7DD3">
              <w:rPr>
                <w:rFonts w:ascii="Times New Roman" w:hAnsi="Times New Roman"/>
                <w:sz w:val="24"/>
                <w:szCs w:val="24"/>
                <w:lang w:eastAsia="lv-LV"/>
              </w:rPr>
              <w:t>–</w:t>
            </w:r>
            <w:r w:rsidRPr="009F7DD3">
              <w:rPr>
                <w:rFonts w:ascii="Times New Roman" w:hAnsi="Times New Roman"/>
                <w:sz w:val="24"/>
                <w:szCs w:val="24"/>
                <w:lang w:eastAsia="lv-LV"/>
              </w:rPr>
              <w:t xml:space="preserve"> </w:t>
            </w:r>
            <w:r w:rsidRPr="009F7DD3">
              <w:rPr>
                <w:rFonts w:ascii="Times New Roman" w:hAnsi="Times New Roman"/>
                <w:sz w:val="24"/>
                <w:szCs w:val="24"/>
              </w:rPr>
              <w:t>projekta īstenošanas gadu skaits</w:t>
            </w:r>
            <w:r w:rsidRPr="009F7DD3">
              <w:rPr>
                <w:rFonts w:ascii="Times New Roman" w:hAnsi="Times New Roman"/>
                <w:sz w:val="24"/>
                <w:szCs w:val="24"/>
                <w:lang w:eastAsia="lv-LV"/>
              </w:rPr>
              <w:t>.</w:t>
            </w:r>
          </w:p>
          <w:p w:rsidR="00A671BB" w:rsidRPr="009F7DD3" w:rsidRDefault="00A671BB" w:rsidP="0077295E">
            <w:pPr>
              <w:jc w:val="both"/>
            </w:pPr>
          </w:p>
          <w:p w:rsidR="00FA25BA" w:rsidRPr="009F7DD3" w:rsidRDefault="00FA25BA" w:rsidP="000C6113">
            <w:pPr>
              <w:ind w:right="57"/>
              <w:jc w:val="both"/>
              <w:rPr>
                <w:iCs/>
              </w:rPr>
            </w:pPr>
            <w:r w:rsidRPr="009F7DD3">
              <w:t>Administratīvo izmaksu monetārs novērtējums par ar datu ievadīšanu un informācijas ievietošanu tīmekļa vietnē saistītajiem izdevumiem ir veikts indikatīvi.</w:t>
            </w:r>
          </w:p>
        </w:tc>
      </w:tr>
      <w:tr w:rsidR="00B77F92" w:rsidRPr="009F7DD3"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9F7DD3" w:rsidRDefault="00B77F92" w:rsidP="00101A77">
            <w:pPr>
              <w:ind w:left="57" w:right="57"/>
              <w:jc w:val="center"/>
            </w:pPr>
            <w:r w:rsidRPr="009F7DD3">
              <w:lastRenderedPageBreak/>
              <w:t>4.</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9F7DD3" w:rsidRDefault="00B77F92" w:rsidP="00B77F92">
            <w:pPr>
              <w:ind w:left="57" w:right="57"/>
            </w:pPr>
            <w:r w:rsidRPr="009F7DD3">
              <w:t> Cita informācija</w:t>
            </w:r>
          </w:p>
        </w:tc>
        <w:tc>
          <w:tcPr>
            <w:tcW w:w="3525" w:type="pct"/>
            <w:tcBorders>
              <w:top w:val="outset" w:sz="6" w:space="0" w:color="000000"/>
              <w:left w:val="outset" w:sz="6" w:space="0" w:color="000000"/>
              <w:bottom w:val="outset" w:sz="6" w:space="0" w:color="000000"/>
              <w:right w:val="outset" w:sz="6" w:space="0" w:color="000000"/>
            </w:tcBorders>
          </w:tcPr>
          <w:p w:rsidR="00C14A85" w:rsidRPr="009F7DD3" w:rsidRDefault="00887BE0" w:rsidP="00DC5D53">
            <w:pPr>
              <w:ind w:firstLine="720"/>
              <w:jc w:val="both"/>
            </w:pPr>
            <w:r w:rsidRPr="009F7DD3">
              <w:t xml:space="preserve">8.1.4. SAM </w:t>
            </w:r>
            <w:r w:rsidR="009551A8" w:rsidRPr="009F7DD3">
              <w:t xml:space="preserve">īstenošana atstās netiešu pozitīvu ietekmi </w:t>
            </w:r>
            <w:r w:rsidR="009551A8" w:rsidRPr="009F7DD3">
              <w:rPr>
                <w:b/>
              </w:rPr>
              <w:t xml:space="preserve">uz ekonomisko un sociālo vidi </w:t>
            </w:r>
            <w:r w:rsidR="009551A8" w:rsidRPr="009F7DD3">
              <w:t xml:space="preserve">– palielināsies pirmā līmeņa profesionālo augstāko izglītību ieguvušo studentu </w:t>
            </w:r>
            <w:r w:rsidR="006F7D3F" w:rsidRPr="009F7DD3">
              <w:t xml:space="preserve">un profesionālo vidējo izglītību ieguvušo audzēkņu </w:t>
            </w:r>
            <w:r w:rsidR="009551A8" w:rsidRPr="009F7DD3">
              <w:t xml:space="preserve">skaits, kas veicinās izglītotākas sabiedrības attīstību, palielināsies darbavietu skaits, pieaugs dažāda veida nodokļu ieņēmumi. Kopumā situācija pozitīvi ietekmēs izglītības rezultātus, veicinot </w:t>
            </w:r>
            <w:r w:rsidR="00C95694" w:rsidRPr="009F7DD3">
              <w:t xml:space="preserve">izglītojamo </w:t>
            </w:r>
            <w:r w:rsidR="009551A8" w:rsidRPr="009F7DD3">
              <w:t xml:space="preserve">kompetenču attīstību un spēju pielāgoties mainīgajām dzīves situācijām un darba tirgus prasībām. Koledžu absolventi, apguvuši profesionālās prasmes mūsdienīgā </w:t>
            </w:r>
            <w:r w:rsidR="006F7D3F" w:rsidRPr="009F7DD3">
              <w:t xml:space="preserve">izglītības </w:t>
            </w:r>
            <w:r w:rsidR="009551A8" w:rsidRPr="009F7DD3">
              <w:t xml:space="preserve">vidē, būs pieprasīti arī darba tirgū, tādējādi arī mazinot bezdarba līmeni koledžu absolventu vidū. Koledžu </w:t>
            </w:r>
            <w:r w:rsidR="006F7D3F" w:rsidRPr="009F7DD3">
              <w:t xml:space="preserve">izglītības </w:t>
            </w:r>
            <w:r w:rsidR="009551A8" w:rsidRPr="009F7DD3">
              <w:t xml:space="preserve">vides un kvalitātes uzlabošanās dos arī papildus sociālos ieguvumus </w:t>
            </w:r>
            <w:r w:rsidR="00720368" w:rsidRPr="009F7DD3">
              <w:t>–</w:t>
            </w:r>
            <w:r w:rsidR="009551A8" w:rsidRPr="009F7DD3">
              <w:t xml:space="preserve"> kultūras</w:t>
            </w:r>
            <w:r w:rsidR="00720368" w:rsidRPr="009F7DD3">
              <w:t xml:space="preserve"> </w:t>
            </w:r>
            <w:r w:rsidR="009551A8" w:rsidRPr="009F7DD3">
              <w:t xml:space="preserve">līmeņa attīstību, sociālo saliedētību, drošāku sabiedrisko vidi. </w:t>
            </w:r>
          </w:p>
          <w:p w:rsidR="009551A8" w:rsidRPr="009F7DD3" w:rsidRDefault="00C14A85" w:rsidP="00DC5D53">
            <w:pPr>
              <w:ind w:firstLine="720"/>
              <w:jc w:val="both"/>
              <w:rPr>
                <w:b/>
                <w:bCs/>
              </w:rPr>
            </w:pPr>
            <w:r w:rsidRPr="009F7DD3">
              <w:t>8.</w:t>
            </w:r>
            <w:r w:rsidR="000629DD" w:rsidRPr="009F7DD3">
              <w:t>1</w:t>
            </w:r>
            <w:r w:rsidRPr="009F7DD3">
              <w:t xml:space="preserve">.4. </w:t>
            </w:r>
            <w:r w:rsidR="00887BE0" w:rsidRPr="009F7DD3">
              <w:t>SAM</w:t>
            </w:r>
            <w:r w:rsidR="00887BE0" w:rsidRPr="009F7DD3">
              <w:rPr>
                <w:bCs/>
              </w:rPr>
              <w:t xml:space="preserve"> </w:t>
            </w:r>
            <w:r w:rsidRPr="009F7DD3">
              <w:rPr>
                <w:bCs/>
              </w:rPr>
              <w:t xml:space="preserve">nav </w:t>
            </w:r>
            <w:r w:rsidR="00B829DC" w:rsidRPr="009F7DD3">
              <w:rPr>
                <w:b/>
                <w:bCs/>
              </w:rPr>
              <w:t>ietekmes uz vidi</w:t>
            </w:r>
            <w:r w:rsidR="009551A8" w:rsidRPr="009F7DD3">
              <w:rPr>
                <w:b/>
                <w:bCs/>
              </w:rPr>
              <w:t xml:space="preserve">. </w:t>
            </w:r>
          </w:p>
          <w:p w:rsidR="009551A8" w:rsidRPr="009F7DD3" w:rsidRDefault="00887BE0" w:rsidP="00DC5D53">
            <w:pPr>
              <w:pStyle w:val="Default"/>
              <w:ind w:firstLine="720"/>
              <w:jc w:val="both"/>
              <w:rPr>
                <w:bCs/>
                <w:color w:val="auto"/>
              </w:rPr>
            </w:pPr>
            <w:r w:rsidRPr="009F7DD3">
              <w:rPr>
                <w:rFonts w:eastAsia="Times New Roman"/>
                <w:color w:val="auto"/>
              </w:rPr>
              <w:t xml:space="preserve">8.1.4. SAM </w:t>
            </w:r>
            <w:r w:rsidR="009551A8" w:rsidRPr="009F7DD3">
              <w:rPr>
                <w:rFonts w:eastAsia="Times New Roman"/>
                <w:color w:val="auto"/>
              </w:rPr>
              <w:t xml:space="preserve">ietvaros tiek plānota netieša pozitīva ietekme uz </w:t>
            </w:r>
            <w:r w:rsidR="009551A8" w:rsidRPr="009F7DD3">
              <w:rPr>
                <w:b/>
                <w:color w:val="auto"/>
              </w:rPr>
              <w:t>horizontālo principu</w:t>
            </w:r>
            <w:r w:rsidR="009551A8" w:rsidRPr="009F7DD3">
              <w:rPr>
                <w:rFonts w:eastAsia="Times New Roman"/>
                <w:color w:val="auto"/>
              </w:rPr>
              <w:t xml:space="preserve"> „</w:t>
            </w:r>
            <w:r w:rsidR="009551A8" w:rsidRPr="009F7DD3">
              <w:rPr>
                <w:rFonts w:eastAsia="Times New Roman"/>
                <w:b/>
                <w:color w:val="auto"/>
              </w:rPr>
              <w:t xml:space="preserve">Vienlīdzīgas iespējas”. </w:t>
            </w:r>
            <w:r w:rsidR="009551A8" w:rsidRPr="009F7DD3">
              <w:rPr>
                <w:rFonts w:eastAsia="Times New Roman"/>
                <w:color w:val="auto"/>
              </w:rPr>
              <w:lastRenderedPageBreak/>
              <w:t xml:space="preserve">Veicot ieguldījumus koledžu infrastruktūras attīstībā, </w:t>
            </w:r>
            <w:r w:rsidR="009551A8" w:rsidRPr="009F7DD3">
              <w:rPr>
                <w:rFonts w:eastAsia="ヒラギノ角ゴ Pro W3"/>
                <w:color w:val="auto"/>
              </w:rPr>
              <w:t>iespējamas specifiskas darbības vides un informācijas pieejamības nodrošināšanai</w:t>
            </w:r>
            <w:r w:rsidR="009551A8" w:rsidRPr="009F7DD3">
              <w:rPr>
                <w:bCs/>
                <w:color w:val="auto"/>
              </w:rPr>
              <w:t xml:space="preserve">, kas īpaši veicina vides un informācijas pieejamību personām ar kustību traucējumiem, redzes, dzirdes vai garīga rakstura traucējumiem </w:t>
            </w:r>
            <w:r w:rsidR="009551A8" w:rsidRPr="009F7DD3">
              <w:rPr>
                <w:rFonts w:eastAsia="ヒラギノ角ゴ Pro W3"/>
                <w:color w:val="auto"/>
              </w:rPr>
              <w:t>(nav obligāta prasība)</w:t>
            </w:r>
            <w:r w:rsidR="009551A8" w:rsidRPr="009F7DD3">
              <w:rPr>
                <w:rFonts w:eastAsia="Times New Roman"/>
                <w:color w:val="auto"/>
              </w:rPr>
              <w:t xml:space="preserve">. </w:t>
            </w:r>
            <w:r w:rsidR="00720368" w:rsidRPr="009F7DD3">
              <w:rPr>
                <w:bCs/>
                <w:color w:val="auto"/>
              </w:rPr>
              <w:t>Noteikumu projektā paredzēts, ka finansējuma saņēmējs uzkrāj datus par objektu skaitu, kuros ERAF ieguldījumu rezultātā ir nodrošināta vides un informācijas pieejamība</w:t>
            </w:r>
            <w:r w:rsidR="006A00C7" w:rsidRPr="009F7DD3">
              <w:rPr>
                <w:bCs/>
                <w:color w:val="auto"/>
              </w:rPr>
              <w:t xml:space="preserve"> (ja attiecināms)</w:t>
            </w:r>
            <w:r w:rsidR="00720368" w:rsidRPr="009F7DD3">
              <w:rPr>
                <w:bCs/>
                <w:color w:val="auto"/>
              </w:rPr>
              <w:t>.</w:t>
            </w:r>
          </w:p>
          <w:p w:rsidR="00C14A85" w:rsidRPr="009F7DD3" w:rsidRDefault="00887BE0" w:rsidP="005F1FE1">
            <w:pPr>
              <w:ind w:firstLine="720"/>
              <w:jc w:val="both"/>
            </w:pPr>
            <w:r w:rsidRPr="009F7DD3">
              <w:t xml:space="preserve">8.1.4. SAM </w:t>
            </w:r>
            <w:r w:rsidR="009551A8" w:rsidRPr="009F7DD3">
              <w:t xml:space="preserve">ietvaros tiek plānota arī netieša pozitīva ietekme uz </w:t>
            </w:r>
            <w:r w:rsidR="009551A8" w:rsidRPr="009F7DD3">
              <w:rPr>
                <w:b/>
              </w:rPr>
              <w:t>horizontālo principu „Ilgtspējīga attīstība”.</w:t>
            </w:r>
            <w:r w:rsidR="009551A8" w:rsidRPr="009F7DD3">
              <w:t xml:space="preserve"> Veicot ieguldījumus koledžu infrastruktūras attīstībā, </w:t>
            </w:r>
            <w:r w:rsidR="009551A8" w:rsidRPr="009F7DD3">
              <w:rPr>
                <w:rFonts w:eastAsia="ヒラギノ角ゴ Pro W3"/>
              </w:rPr>
              <w:t>publiskajos iepirkumos var piemērot zaļā publiskā iepirkuma kritērijus (nav obligāta prasība).</w:t>
            </w:r>
            <w:r w:rsidR="005F1FE1" w:rsidRPr="009F7DD3">
              <w:rPr>
                <w:rFonts w:eastAsia="Calibri"/>
                <w:bCs/>
              </w:rPr>
              <w:t xml:space="preserve"> Noteikumu projektā paredzēts, ka finansējuma saņēmējs </w:t>
            </w:r>
            <w:r w:rsidR="005F1FE1" w:rsidRPr="009F7DD3">
              <w:rPr>
                <w:bCs/>
              </w:rPr>
              <w:t xml:space="preserve">uzkrāj datus </w:t>
            </w:r>
            <w:r w:rsidR="005F1FE1" w:rsidRPr="009F7DD3">
              <w:rPr>
                <w:rFonts w:eastAsia="Calibri"/>
                <w:bCs/>
              </w:rPr>
              <w:t>par projekta īstenošanā izmantoto zaļo publisko iepirkumu skaitu (ja attiecināms).</w:t>
            </w:r>
          </w:p>
        </w:tc>
      </w:tr>
    </w:tbl>
    <w:p w:rsidR="00D46C2D" w:rsidRPr="009F7DD3" w:rsidRDefault="00D46C2D"/>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273"/>
        <w:gridCol w:w="1352"/>
        <w:gridCol w:w="1276"/>
        <w:gridCol w:w="1246"/>
        <w:gridCol w:w="1387"/>
      </w:tblGrid>
      <w:tr w:rsidR="00BF3649" w:rsidRPr="009F7DD3" w:rsidTr="00995202">
        <w:trPr>
          <w:trHeight w:val="361"/>
          <w:jc w:val="center"/>
        </w:trPr>
        <w:tc>
          <w:tcPr>
            <w:tcW w:w="8763" w:type="dxa"/>
            <w:gridSpan w:val="6"/>
            <w:vAlign w:val="center"/>
          </w:tcPr>
          <w:p w:rsidR="00BF3649" w:rsidRPr="009F7DD3" w:rsidRDefault="00BF3649" w:rsidP="00016659">
            <w:pPr>
              <w:pStyle w:val="naisnod"/>
              <w:spacing w:before="0" w:after="0"/>
              <w:rPr>
                <w:b w:val="0"/>
                <w:i/>
              </w:rPr>
            </w:pPr>
            <w:r w:rsidRPr="009F7DD3">
              <w:br w:type="page"/>
              <w:t>III. Tiesību akta projekta ietekme uz valsts budžetu un pašvaldību budžetiem</w:t>
            </w:r>
          </w:p>
        </w:tc>
      </w:tr>
      <w:tr w:rsidR="00BF3649" w:rsidRPr="009F7DD3" w:rsidTr="00995202">
        <w:trPr>
          <w:jc w:val="center"/>
        </w:trPr>
        <w:tc>
          <w:tcPr>
            <w:tcW w:w="2229" w:type="dxa"/>
            <w:vMerge w:val="restart"/>
            <w:vAlign w:val="center"/>
          </w:tcPr>
          <w:p w:rsidR="00BF3649" w:rsidRPr="009F7DD3" w:rsidRDefault="00BF3649" w:rsidP="00016659">
            <w:pPr>
              <w:pStyle w:val="naisf"/>
              <w:spacing w:before="0" w:after="0"/>
              <w:jc w:val="center"/>
              <w:rPr>
                <w:b/>
              </w:rPr>
            </w:pPr>
            <w:r w:rsidRPr="009F7DD3">
              <w:rPr>
                <w:b/>
              </w:rPr>
              <w:t>Rādītāji</w:t>
            </w:r>
          </w:p>
          <w:p w:rsidR="00BF3649" w:rsidRPr="009F7DD3" w:rsidRDefault="00BF3649" w:rsidP="00016659"/>
          <w:p w:rsidR="00BF3649" w:rsidRPr="009F7DD3" w:rsidRDefault="00BF3649" w:rsidP="00016659"/>
          <w:p w:rsidR="00BF3649" w:rsidRPr="009F7DD3" w:rsidRDefault="00BF3649" w:rsidP="00016659"/>
        </w:tc>
        <w:tc>
          <w:tcPr>
            <w:tcW w:w="2625" w:type="dxa"/>
            <w:gridSpan w:val="2"/>
            <w:vMerge w:val="restart"/>
            <w:vAlign w:val="center"/>
          </w:tcPr>
          <w:p w:rsidR="00BF3649" w:rsidRPr="009F7DD3" w:rsidRDefault="00BF3649" w:rsidP="00BA17C8">
            <w:pPr>
              <w:pStyle w:val="naisf"/>
              <w:spacing w:before="0" w:after="0"/>
              <w:jc w:val="center"/>
              <w:rPr>
                <w:b/>
              </w:rPr>
            </w:pPr>
            <w:r w:rsidRPr="009F7DD3">
              <w:rPr>
                <w:b/>
              </w:rPr>
              <w:t>201</w:t>
            </w:r>
            <w:r w:rsidR="00BA17C8" w:rsidRPr="009F7DD3">
              <w:rPr>
                <w:b/>
              </w:rPr>
              <w:t>6</w:t>
            </w:r>
            <w:r w:rsidRPr="009F7DD3">
              <w:rPr>
                <w:b/>
              </w:rPr>
              <w:t>.gads</w:t>
            </w:r>
          </w:p>
        </w:tc>
        <w:tc>
          <w:tcPr>
            <w:tcW w:w="3909" w:type="dxa"/>
            <w:gridSpan w:val="3"/>
            <w:vAlign w:val="center"/>
          </w:tcPr>
          <w:p w:rsidR="00BF3649" w:rsidRPr="009F7DD3" w:rsidRDefault="00BF3649" w:rsidP="00016659">
            <w:pPr>
              <w:pStyle w:val="naisf"/>
              <w:spacing w:before="0" w:after="0"/>
              <w:jc w:val="center"/>
              <w:rPr>
                <w:b/>
                <w:i/>
              </w:rPr>
            </w:pPr>
            <w:r w:rsidRPr="009F7DD3">
              <w:t>Turpmākie trīs gadi (</w:t>
            </w:r>
            <w:proofErr w:type="spellStart"/>
            <w:r w:rsidRPr="009F7DD3">
              <w:rPr>
                <w:i/>
              </w:rPr>
              <w:t>euro</w:t>
            </w:r>
            <w:proofErr w:type="spellEnd"/>
            <w:r w:rsidRPr="009F7DD3">
              <w:t>)</w:t>
            </w:r>
          </w:p>
        </w:tc>
      </w:tr>
      <w:tr w:rsidR="00BF3649" w:rsidRPr="009F7DD3" w:rsidTr="00995202">
        <w:trPr>
          <w:jc w:val="center"/>
        </w:trPr>
        <w:tc>
          <w:tcPr>
            <w:tcW w:w="2229" w:type="dxa"/>
            <w:vMerge/>
            <w:vAlign w:val="center"/>
          </w:tcPr>
          <w:p w:rsidR="00BF3649" w:rsidRPr="009F7DD3" w:rsidRDefault="00BF3649" w:rsidP="00016659">
            <w:pPr>
              <w:pStyle w:val="naisf"/>
              <w:spacing w:before="0" w:after="0"/>
              <w:jc w:val="center"/>
              <w:rPr>
                <w:b/>
                <w:i/>
              </w:rPr>
            </w:pPr>
          </w:p>
        </w:tc>
        <w:tc>
          <w:tcPr>
            <w:tcW w:w="2625" w:type="dxa"/>
            <w:gridSpan w:val="2"/>
            <w:vMerge/>
            <w:vAlign w:val="center"/>
          </w:tcPr>
          <w:p w:rsidR="00BF3649" w:rsidRPr="009F7DD3" w:rsidRDefault="00BF3649" w:rsidP="00016659">
            <w:pPr>
              <w:pStyle w:val="naisf"/>
              <w:spacing w:before="0" w:after="0"/>
              <w:jc w:val="center"/>
              <w:rPr>
                <w:b/>
                <w:i/>
              </w:rPr>
            </w:pPr>
          </w:p>
        </w:tc>
        <w:tc>
          <w:tcPr>
            <w:tcW w:w="1276" w:type="dxa"/>
            <w:vAlign w:val="center"/>
          </w:tcPr>
          <w:p w:rsidR="00BF3649" w:rsidRPr="009F7DD3" w:rsidRDefault="00BF3649" w:rsidP="00BA17C8">
            <w:pPr>
              <w:pStyle w:val="naisf"/>
              <w:spacing w:before="0" w:after="0"/>
              <w:jc w:val="center"/>
              <w:rPr>
                <w:b/>
                <w:i/>
              </w:rPr>
            </w:pPr>
            <w:r w:rsidRPr="009F7DD3">
              <w:rPr>
                <w:b/>
                <w:bCs/>
              </w:rPr>
              <w:t>201</w:t>
            </w:r>
            <w:r w:rsidR="00BA17C8" w:rsidRPr="009F7DD3">
              <w:rPr>
                <w:b/>
                <w:bCs/>
              </w:rPr>
              <w:t>7</w:t>
            </w:r>
            <w:r w:rsidRPr="009F7DD3">
              <w:rPr>
                <w:b/>
                <w:bCs/>
              </w:rPr>
              <w:t>.</w:t>
            </w:r>
          </w:p>
        </w:tc>
        <w:tc>
          <w:tcPr>
            <w:tcW w:w="1246" w:type="dxa"/>
            <w:vAlign w:val="center"/>
          </w:tcPr>
          <w:p w:rsidR="00BF3649" w:rsidRPr="009F7DD3" w:rsidRDefault="00BF3649" w:rsidP="00BA17C8">
            <w:pPr>
              <w:pStyle w:val="naisf"/>
              <w:spacing w:before="0" w:after="0"/>
              <w:jc w:val="center"/>
              <w:rPr>
                <w:b/>
                <w:i/>
              </w:rPr>
            </w:pPr>
            <w:r w:rsidRPr="009F7DD3">
              <w:rPr>
                <w:b/>
                <w:bCs/>
              </w:rPr>
              <w:t>201</w:t>
            </w:r>
            <w:r w:rsidR="00BA17C8" w:rsidRPr="009F7DD3">
              <w:rPr>
                <w:b/>
                <w:bCs/>
              </w:rPr>
              <w:t>8</w:t>
            </w:r>
            <w:r w:rsidRPr="009F7DD3">
              <w:rPr>
                <w:b/>
                <w:bCs/>
              </w:rPr>
              <w:t>.</w:t>
            </w:r>
          </w:p>
        </w:tc>
        <w:tc>
          <w:tcPr>
            <w:tcW w:w="1387" w:type="dxa"/>
            <w:vAlign w:val="center"/>
          </w:tcPr>
          <w:p w:rsidR="00BF3649" w:rsidRPr="009F7DD3" w:rsidRDefault="00BF3649" w:rsidP="00BA17C8">
            <w:pPr>
              <w:pStyle w:val="naisf"/>
              <w:spacing w:before="0" w:after="0"/>
              <w:jc w:val="center"/>
              <w:rPr>
                <w:b/>
                <w:i/>
              </w:rPr>
            </w:pPr>
            <w:r w:rsidRPr="009F7DD3">
              <w:rPr>
                <w:b/>
                <w:bCs/>
              </w:rPr>
              <w:t>201</w:t>
            </w:r>
            <w:r w:rsidR="00BA17C8" w:rsidRPr="009F7DD3">
              <w:rPr>
                <w:b/>
                <w:bCs/>
              </w:rPr>
              <w:t>9</w:t>
            </w:r>
            <w:r w:rsidRPr="009F7DD3">
              <w:rPr>
                <w:b/>
                <w:bCs/>
              </w:rPr>
              <w:t>.</w:t>
            </w:r>
          </w:p>
        </w:tc>
      </w:tr>
      <w:tr w:rsidR="00BF3649" w:rsidRPr="009F7DD3" w:rsidTr="00995202">
        <w:trPr>
          <w:jc w:val="center"/>
        </w:trPr>
        <w:tc>
          <w:tcPr>
            <w:tcW w:w="2229" w:type="dxa"/>
            <w:vMerge/>
            <w:vAlign w:val="center"/>
          </w:tcPr>
          <w:p w:rsidR="00BF3649" w:rsidRPr="009F7DD3" w:rsidRDefault="00BF3649" w:rsidP="00016659">
            <w:pPr>
              <w:pStyle w:val="naisf"/>
              <w:spacing w:before="0" w:after="0"/>
              <w:jc w:val="center"/>
              <w:rPr>
                <w:b/>
                <w:i/>
              </w:rPr>
            </w:pPr>
          </w:p>
        </w:tc>
        <w:tc>
          <w:tcPr>
            <w:tcW w:w="1273" w:type="dxa"/>
            <w:vAlign w:val="center"/>
          </w:tcPr>
          <w:p w:rsidR="00BF3649" w:rsidRPr="009F7DD3" w:rsidRDefault="00BF3649" w:rsidP="0091265B">
            <w:pPr>
              <w:pStyle w:val="naisf"/>
              <w:spacing w:before="0" w:after="0"/>
              <w:ind w:firstLine="0"/>
              <w:rPr>
                <w:b/>
                <w:i/>
              </w:rPr>
            </w:pPr>
            <w:r w:rsidRPr="009F7DD3">
              <w:t>saskaņā ar valsts budžetu kārtējam gadam</w:t>
            </w:r>
          </w:p>
        </w:tc>
        <w:tc>
          <w:tcPr>
            <w:tcW w:w="1352" w:type="dxa"/>
            <w:vAlign w:val="center"/>
          </w:tcPr>
          <w:p w:rsidR="00BF3649" w:rsidRPr="009F7DD3" w:rsidRDefault="00BF3649" w:rsidP="0091265B">
            <w:pPr>
              <w:pStyle w:val="naisf"/>
              <w:spacing w:before="0" w:after="0"/>
              <w:ind w:firstLine="0"/>
              <w:rPr>
                <w:b/>
                <w:i/>
              </w:rPr>
            </w:pPr>
            <w:r w:rsidRPr="009F7DD3">
              <w:t>izmaiņas kārtējā gadā, salīdzinot ar valsts budžetu kārtējam gadam</w:t>
            </w:r>
          </w:p>
        </w:tc>
        <w:tc>
          <w:tcPr>
            <w:tcW w:w="1276" w:type="dxa"/>
            <w:vAlign w:val="center"/>
          </w:tcPr>
          <w:p w:rsidR="00BF3649" w:rsidRPr="009F7DD3" w:rsidRDefault="00BF3649" w:rsidP="0091265B">
            <w:pPr>
              <w:pStyle w:val="naisf"/>
              <w:spacing w:before="0" w:after="0"/>
              <w:ind w:firstLine="0"/>
              <w:rPr>
                <w:b/>
                <w:i/>
              </w:rPr>
            </w:pPr>
            <w:r w:rsidRPr="009F7DD3">
              <w:t>izmaiņas, salīdzinot ar kārtējo (n) gadu</w:t>
            </w:r>
          </w:p>
        </w:tc>
        <w:tc>
          <w:tcPr>
            <w:tcW w:w="1246" w:type="dxa"/>
            <w:vAlign w:val="center"/>
          </w:tcPr>
          <w:p w:rsidR="00BF3649" w:rsidRPr="009F7DD3" w:rsidRDefault="00BF3649" w:rsidP="0091265B">
            <w:pPr>
              <w:pStyle w:val="naisf"/>
              <w:spacing w:before="0" w:after="0"/>
              <w:ind w:firstLine="0"/>
              <w:rPr>
                <w:b/>
                <w:i/>
              </w:rPr>
            </w:pPr>
            <w:r w:rsidRPr="009F7DD3">
              <w:t>izmaiņas, salīdzinot ar kārtējo (n) gadu</w:t>
            </w:r>
          </w:p>
        </w:tc>
        <w:tc>
          <w:tcPr>
            <w:tcW w:w="1387" w:type="dxa"/>
            <w:vAlign w:val="center"/>
          </w:tcPr>
          <w:p w:rsidR="00BF3649" w:rsidRPr="009F7DD3" w:rsidRDefault="00BF3649" w:rsidP="0091265B">
            <w:pPr>
              <w:pStyle w:val="naisf"/>
              <w:spacing w:before="0" w:after="0"/>
              <w:ind w:firstLine="0"/>
              <w:rPr>
                <w:b/>
                <w:i/>
              </w:rPr>
            </w:pPr>
            <w:r w:rsidRPr="009F7DD3">
              <w:t>izmaiņas, salīdzinot ar kārtējo (n) gadu</w:t>
            </w:r>
          </w:p>
        </w:tc>
      </w:tr>
      <w:tr w:rsidR="00BF3649" w:rsidRPr="009F7DD3" w:rsidTr="00995202">
        <w:trPr>
          <w:jc w:val="center"/>
        </w:trPr>
        <w:tc>
          <w:tcPr>
            <w:tcW w:w="2229" w:type="dxa"/>
            <w:vAlign w:val="center"/>
          </w:tcPr>
          <w:p w:rsidR="00BF3649" w:rsidRPr="009F7DD3" w:rsidRDefault="00BF3649" w:rsidP="00887BE0">
            <w:pPr>
              <w:pStyle w:val="naisf"/>
              <w:spacing w:before="0" w:after="0"/>
              <w:ind w:firstLine="0"/>
              <w:jc w:val="center"/>
              <w:rPr>
                <w:bCs/>
              </w:rPr>
            </w:pPr>
            <w:r w:rsidRPr="009F7DD3">
              <w:rPr>
                <w:bCs/>
              </w:rPr>
              <w:t>1</w:t>
            </w:r>
          </w:p>
        </w:tc>
        <w:tc>
          <w:tcPr>
            <w:tcW w:w="1273" w:type="dxa"/>
            <w:vAlign w:val="center"/>
          </w:tcPr>
          <w:p w:rsidR="00BF3649" w:rsidRPr="009F7DD3" w:rsidRDefault="00BF3649" w:rsidP="00887BE0">
            <w:pPr>
              <w:pStyle w:val="naisf"/>
              <w:spacing w:before="0" w:after="0"/>
              <w:ind w:firstLine="0"/>
              <w:jc w:val="center"/>
              <w:rPr>
                <w:bCs/>
              </w:rPr>
            </w:pPr>
            <w:r w:rsidRPr="009F7DD3">
              <w:rPr>
                <w:bCs/>
              </w:rPr>
              <w:t>2</w:t>
            </w:r>
          </w:p>
        </w:tc>
        <w:tc>
          <w:tcPr>
            <w:tcW w:w="1352" w:type="dxa"/>
            <w:vAlign w:val="center"/>
          </w:tcPr>
          <w:p w:rsidR="00BF3649" w:rsidRPr="009F7DD3" w:rsidRDefault="00BF3649" w:rsidP="00887BE0">
            <w:pPr>
              <w:pStyle w:val="naisf"/>
              <w:spacing w:before="0" w:after="0"/>
              <w:ind w:firstLine="0"/>
              <w:jc w:val="center"/>
              <w:rPr>
                <w:bCs/>
              </w:rPr>
            </w:pPr>
            <w:r w:rsidRPr="009F7DD3">
              <w:rPr>
                <w:bCs/>
              </w:rPr>
              <w:t>3</w:t>
            </w:r>
          </w:p>
        </w:tc>
        <w:tc>
          <w:tcPr>
            <w:tcW w:w="1276" w:type="dxa"/>
            <w:vAlign w:val="center"/>
          </w:tcPr>
          <w:p w:rsidR="00BF3649" w:rsidRPr="009F7DD3" w:rsidRDefault="00BF3649" w:rsidP="00887BE0">
            <w:pPr>
              <w:pStyle w:val="naisf"/>
              <w:spacing w:before="0" w:after="0"/>
              <w:ind w:firstLine="0"/>
              <w:jc w:val="center"/>
              <w:rPr>
                <w:bCs/>
              </w:rPr>
            </w:pPr>
            <w:r w:rsidRPr="009F7DD3">
              <w:rPr>
                <w:bCs/>
              </w:rPr>
              <w:t>4</w:t>
            </w:r>
          </w:p>
        </w:tc>
        <w:tc>
          <w:tcPr>
            <w:tcW w:w="1246" w:type="dxa"/>
            <w:vAlign w:val="center"/>
          </w:tcPr>
          <w:p w:rsidR="00BF3649" w:rsidRPr="009F7DD3" w:rsidRDefault="00BF3649" w:rsidP="00887BE0">
            <w:pPr>
              <w:pStyle w:val="naisf"/>
              <w:spacing w:before="0" w:after="0"/>
              <w:ind w:firstLine="0"/>
              <w:jc w:val="center"/>
              <w:rPr>
                <w:bCs/>
              </w:rPr>
            </w:pPr>
            <w:r w:rsidRPr="009F7DD3">
              <w:rPr>
                <w:bCs/>
              </w:rPr>
              <w:t>5</w:t>
            </w:r>
          </w:p>
        </w:tc>
        <w:tc>
          <w:tcPr>
            <w:tcW w:w="1387" w:type="dxa"/>
            <w:vAlign w:val="center"/>
          </w:tcPr>
          <w:p w:rsidR="00BF3649" w:rsidRPr="009F7DD3" w:rsidRDefault="00BF3649" w:rsidP="00887BE0">
            <w:pPr>
              <w:pStyle w:val="naisf"/>
              <w:spacing w:before="0" w:after="0"/>
              <w:ind w:firstLine="0"/>
              <w:jc w:val="center"/>
              <w:rPr>
                <w:bCs/>
              </w:rPr>
            </w:pPr>
            <w:r w:rsidRPr="009F7DD3">
              <w:rPr>
                <w:bCs/>
              </w:rPr>
              <w:t>6</w:t>
            </w:r>
          </w:p>
        </w:tc>
      </w:tr>
      <w:tr w:rsidR="003C4140" w:rsidRPr="009F7DD3" w:rsidTr="00E96152">
        <w:trPr>
          <w:trHeight w:val="379"/>
          <w:jc w:val="center"/>
        </w:trPr>
        <w:tc>
          <w:tcPr>
            <w:tcW w:w="2229" w:type="dxa"/>
          </w:tcPr>
          <w:p w:rsidR="003C4140" w:rsidRPr="009F7DD3" w:rsidRDefault="003C4140" w:rsidP="0091265B">
            <w:pPr>
              <w:pStyle w:val="naisf"/>
              <w:spacing w:before="0" w:after="0"/>
              <w:ind w:firstLine="0"/>
              <w:rPr>
                <w:i/>
              </w:rPr>
            </w:pPr>
            <w:r w:rsidRPr="009F7DD3">
              <w:t>1.Budžeta ieņēmumi:</w:t>
            </w:r>
          </w:p>
        </w:tc>
        <w:tc>
          <w:tcPr>
            <w:tcW w:w="1273" w:type="dxa"/>
          </w:tcPr>
          <w:p w:rsidR="003C4140" w:rsidRPr="009F7DD3" w:rsidRDefault="003C4140" w:rsidP="00E53DB2">
            <w:pPr>
              <w:pStyle w:val="naisf"/>
              <w:spacing w:before="0" w:after="0"/>
              <w:ind w:firstLine="0"/>
              <w:jc w:val="center"/>
            </w:pPr>
            <w:r w:rsidRPr="009F7DD3">
              <w:t>0</w:t>
            </w:r>
          </w:p>
        </w:tc>
        <w:tc>
          <w:tcPr>
            <w:tcW w:w="1352" w:type="dxa"/>
          </w:tcPr>
          <w:p w:rsidR="003C4140" w:rsidRPr="009F7DD3" w:rsidRDefault="006A00C7" w:rsidP="0091265B">
            <w:pPr>
              <w:pStyle w:val="naisf"/>
              <w:spacing w:before="0" w:after="0"/>
              <w:ind w:firstLine="0"/>
              <w:jc w:val="center"/>
            </w:pPr>
            <w:r w:rsidRPr="009F7DD3">
              <w:t>0</w:t>
            </w:r>
          </w:p>
        </w:tc>
        <w:tc>
          <w:tcPr>
            <w:tcW w:w="1276" w:type="dxa"/>
          </w:tcPr>
          <w:p w:rsidR="003C4140" w:rsidRPr="009F7DD3" w:rsidRDefault="006A00C7" w:rsidP="006A00C7">
            <w:pPr>
              <w:pStyle w:val="naisf"/>
              <w:spacing w:before="0" w:after="0"/>
              <w:ind w:firstLine="0"/>
              <w:jc w:val="center"/>
            </w:pPr>
            <w:r w:rsidRPr="009F7DD3">
              <w:t>2</w:t>
            </w:r>
            <w:r w:rsidR="003C4140" w:rsidRPr="009F7DD3">
              <w:t> </w:t>
            </w:r>
            <w:r w:rsidRPr="009F7DD3">
              <w:t>411</w:t>
            </w:r>
            <w:r w:rsidR="003C4140" w:rsidRPr="009F7DD3">
              <w:t> </w:t>
            </w:r>
            <w:r w:rsidRPr="009F7DD3">
              <w:t>484</w:t>
            </w:r>
          </w:p>
        </w:tc>
        <w:tc>
          <w:tcPr>
            <w:tcW w:w="1246" w:type="dxa"/>
          </w:tcPr>
          <w:p w:rsidR="003C4140" w:rsidRPr="00E96152" w:rsidRDefault="00BC1427" w:rsidP="00E96152">
            <w:pPr>
              <w:pStyle w:val="naisf"/>
              <w:spacing w:before="0" w:after="0"/>
              <w:ind w:firstLine="0"/>
              <w:jc w:val="center"/>
            </w:pPr>
            <w:r w:rsidRPr="00E96152">
              <w:t>3 014 354</w:t>
            </w:r>
          </w:p>
        </w:tc>
        <w:tc>
          <w:tcPr>
            <w:tcW w:w="1387" w:type="dxa"/>
          </w:tcPr>
          <w:p w:rsidR="003C4140" w:rsidRPr="00E96152" w:rsidRDefault="00BC1427" w:rsidP="00E96152">
            <w:pPr>
              <w:spacing w:after="75"/>
              <w:jc w:val="center"/>
            </w:pPr>
            <w:r w:rsidRPr="00E96152">
              <w:t>3 014 354</w:t>
            </w:r>
          </w:p>
        </w:tc>
      </w:tr>
      <w:tr w:rsidR="003C4140" w:rsidRPr="009F7DD3" w:rsidTr="00E96152">
        <w:trPr>
          <w:jc w:val="center"/>
        </w:trPr>
        <w:tc>
          <w:tcPr>
            <w:tcW w:w="2229" w:type="dxa"/>
          </w:tcPr>
          <w:p w:rsidR="003C4140" w:rsidRPr="009F7DD3" w:rsidRDefault="003C4140" w:rsidP="00016659">
            <w:r w:rsidRPr="009F7DD3">
              <w:rPr>
                <w:rFonts w:eastAsia="Calibri"/>
              </w:rPr>
              <w:t>1.1. valsts pamatbudžets, tai skaitā ieņēmumi no maksas pakalpojumiem un citi pašu ieņēmumi</w:t>
            </w:r>
          </w:p>
        </w:tc>
        <w:tc>
          <w:tcPr>
            <w:tcW w:w="1273" w:type="dxa"/>
          </w:tcPr>
          <w:p w:rsidR="003C4140" w:rsidRPr="009F7DD3" w:rsidRDefault="003C4140" w:rsidP="00E53DB2">
            <w:pPr>
              <w:pStyle w:val="naisf"/>
              <w:spacing w:before="0" w:after="0"/>
              <w:ind w:firstLine="0"/>
              <w:jc w:val="center"/>
            </w:pPr>
            <w:r w:rsidRPr="009F7DD3">
              <w:rPr>
                <w:rFonts w:eastAsia="Calibri"/>
              </w:rPr>
              <w:t>0</w:t>
            </w:r>
          </w:p>
        </w:tc>
        <w:tc>
          <w:tcPr>
            <w:tcW w:w="1352" w:type="dxa"/>
          </w:tcPr>
          <w:p w:rsidR="003C4140" w:rsidRPr="009F7DD3" w:rsidRDefault="006A00C7" w:rsidP="0091265B">
            <w:pPr>
              <w:pStyle w:val="naisf"/>
              <w:spacing w:before="0" w:after="0"/>
              <w:ind w:firstLine="0"/>
              <w:jc w:val="center"/>
            </w:pPr>
            <w:r w:rsidRPr="009F7DD3">
              <w:t>0</w:t>
            </w:r>
          </w:p>
        </w:tc>
        <w:tc>
          <w:tcPr>
            <w:tcW w:w="1276" w:type="dxa"/>
          </w:tcPr>
          <w:p w:rsidR="003C4140" w:rsidRPr="009F7DD3" w:rsidRDefault="006A00C7" w:rsidP="00D73044">
            <w:pPr>
              <w:pStyle w:val="naisf"/>
              <w:spacing w:before="0" w:after="0"/>
              <w:ind w:firstLine="0"/>
              <w:jc w:val="center"/>
            </w:pPr>
            <w:r w:rsidRPr="009F7DD3">
              <w:t>2 411 484</w:t>
            </w:r>
          </w:p>
        </w:tc>
        <w:tc>
          <w:tcPr>
            <w:tcW w:w="1246" w:type="dxa"/>
          </w:tcPr>
          <w:p w:rsidR="00585D26" w:rsidRPr="00E96152" w:rsidRDefault="00BC1427" w:rsidP="00E96152">
            <w:pPr>
              <w:pStyle w:val="naisf"/>
              <w:spacing w:before="0" w:after="0"/>
              <w:ind w:firstLine="0"/>
              <w:jc w:val="center"/>
            </w:pPr>
            <w:r w:rsidRPr="00E96152">
              <w:t>3 014 354</w:t>
            </w:r>
          </w:p>
        </w:tc>
        <w:tc>
          <w:tcPr>
            <w:tcW w:w="1387" w:type="dxa"/>
          </w:tcPr>
          <w:p w:rsidR="003C4140" w:rsidRPr="00E96152" w:rsidRDefault="00BC1427" w:rsidP="00E96152">
            <w:pPr>
              <w:pStyle w:val="naisf"/>
              <w:spacing w:before="0" w:after="0"/>
              <w:ind w:firstLine="0"/>
              <w:jc w:val="center"/>
            </w:pPr>
            <w:r w:rsidRPr="00E96152">
              <w:t>3 014 354</w:t>
            </w:r>
          </w:p>
        </w:tc>
      </w:tr>
      <w:tr w:rsidR="00623724" w:rsidRPr="009F7DD3" w:rsidTr="006C268C">
        <w:trPr>
          <w:jc w:val="center"/>
        </w:trPr>
        <w:tc>
          <w:tcPr>
            <w:tcW w:w="2229" w:type="dxa"/>
          </w:tcPr>
          <w:p w:rsidR="00623724" w:rsidRPr="009F7DD3" w:rsidRDefault="00623724" w:rsidP="00016659">
            <w:r w:rsidRPr="009F7DD3">
              <w:rPr>
                <w:rFonts w:eastAsia="Calibri"/>
              </w:rPr>
              <w:t>1.2. valsts speciālais budžets</w:t>
            </w:r>
          </w:p>
        </w:tc>
        <w:tc>
          <w:tcPr>
            <w:tcW w:w="1273" w:type="dxa"/>
            <w:vAlign w:val="center"/>
          </w:tcPr>
          <w:p w:rsidR="00623724" w:rsidRPr="009F7DD3" w:rsidRDefault="00623724" w:rsidP="00E53DB2">
            <w:pPr>
              <w:pStyle w:val="naisf"/>
              <w:spacing w:before="0" w:after="0"/>
              <w:ind w:firstLine="0"/>
              <w:jc w:val="center"/>
            </w:pPr>
            <w:r w:rsidRPr="009F7DD3">
              <w:rPr>
                <w:rFonts w:eastAsia="Calibri"/>
              </w:rPr>
              <w:t>0</w:t>
            </w:r>
          </w:p>
        </w:tc>
        <w:tc>
          <w:tcPr>
            <w:tcW w:w="1352" w:type="dxa"/>
            <w:vAlign w:val="center"/>
          </w:tcPr>
          <w:p w:rsidR="00623724" w:rsidRPr="009F7DD3" w:rsidRDefault="00623724" w:rsidP="0091265B">
            <w:pPr>
              <w:pStyle w:val="naisf"/>
              <w:spacing w:before="0" w:after="0"/>
              <w:ind w:firstLine="0"/>
              <w:jc w:val="center"/>
            </w:pPr>
            <w:r w:rsidRPr="009F7DD3">
              <w:rPr>
                <w:rFonts w:eastAsia="Calibri"/>
              </w:rPr>
              <w:t>0</w:t>
            </w:r>
          </w:p>
        </w:tc>
        <w:tc>
          <w:tcPr>
            <w:tcW w:w="1276" w:type="dxa"/>
            <w:vAlign w:val="center"/>
          </w:tcPr>
          <w:p w:rsidR="00623724" w:rsidRPr="009F7DD3" w:rsidRDefault="00623724" w:rsidP="0091265B">
            <w:pPr>
              <w:pStyle w:val="naisf"/>
              <w:spacing w:before="0" w:after="0"/>
              <w:ind w:firstLine="0"/>
              <w:jc w:val="center"/>
            </w:pPr>
            <w:r w:rsidRPr="009F7DD3">
              <w:rPr>
                <w:rFonts w:eastAsia="Calibri"/>
              </w:rPr>
              <w:t>0</w:t>
            </w:r>
          </w:p>
        </w:tc>
        <w:tc>
          <w:tcPr>
            <w:tcW w:w="1246" w:type="dxa"/>
            <w:vAlign w:val="center"/>
          </w:tcPr>
          <w:p w:rsidR="00623724" w:rsidRPr="009F7DD3" w:rsidRDefault="00623724" w:rsidP="0091265B">
            <w:pPr>
              <w:pStyle w:val="naisf"/>
              <w:spacing w:before="0" w:after="0"/>
              <w:ind w:firstLine="0"/>
              <w:jc w:val="center"/>
            </w:pPr>
            <w:r w:rsidRPr="009F7DD3">
              <w:rPr>
                <w:rFonts w:eastAsia="Calibri"/>
              </w:rPr>
              <w:t>0</w:t>
            </w:r>
          </w:p>
        </w:tc>
        <w:tc>
          <w:tcPr>
            <w:tcW w:w="1387" w:type="dxa"/>
            <w:vAlign w:val="center"/>
          </w:tcPr>
          <w:p w:rsidR="00623724" w:rsidRPr="009F7DD3" w:rsidRDefault="00623724" w:rsidP="0091265B">
            <w:pPr>
              <w:pStyle w:val="naisf"/>
              <w:spacing w:before="0" w:after="0"/>
              <w:ind w:firstLine="0"/>
              <w:jc w:val="center"/>
            </w:pPr>
            <w:r w:rsidRPr="009F7DD3">
              <w:rPr>
                <w:rFonts w:eastAsia="Calibri"/>
              </w:rPr>
              <w:t>0</w:t>
            </w:r>
          </w:p>
        </w:tc>
      </w:tr>
      <w:tr w:rsidR="00623724" w:rsidRPr="009F7DD3" w:rsidTr="006C268C">
        <w:trPr>
          <w:jc w:val="center"/>
        </w:trPr>
        <w:tc>
          <w:tcPr>
            <w:tcW w:w="2229" w:type="dxa"/>
          </w:tcPr>
          <w:p w:rsidR="00623724" w:rsidRPr="009F7DD3" w:rsidRDefault="00623724" w:rsidP="00016659">
            <w:r w:rsidRPr="009F7DD3">
              <w:rPr>
                <w:rFonts w:eastAsia="Calibri"/>
              </w:rPr>
              <w:t>1.3. pašvaldību budžets</w:t>
            </w:r>
          </w:p>
        </w:tc>
        <w:tc>
          <w:tcPr>
            <w:tcW w:w="1273" w:type="dxa"/>
            <w:vAlign w:val="center"/>
          </w:tcPr>
          <w:p w:rsidR="00623724" w:rsidRPr="009F7DD3" w:rsidRDefault="00623724" w:rsidP="00E53DB2">
            <w:pPr>
              <w:pStyle w:val="naisf"/>
              <w:spacing w:before="0" w:after="0"/>
              <w:ind w:firstLine="0"/>
              <w:jc w:val="center"/>
            </w:pPr>
            <w:r w:rsidRPr="009F7DD3">
              <w:rPr>
                <w:rFonts w:eastAsia="Calibri"/>
              </w:rPr>
              <w:t>0</w:t>
            </w:r>
          </w:p>
        </w:tc>
        <w:tc>
          <w:tcPr>
            <w:tcW w:w="1352" w:type="dxa"/>
            <w:vAlign w:val="center"/>
          </w:tcPr>
          <w:p w:rsidR="00623724" w:rsidRPr="009F7DD3" w:rsidRDefault="00623724" w:rsidP="0091265B">
            <w:pPr>
              <w:pStyle w:val="naisf"/>
              <w:spacing w:before="0" w:after="0"/>
              <w:ind w:firstLine="0"/>
              <w:jc w:val="center"/>
            </w:pPr>
            <w:r w:rsidRPr="009F7DD3">
              <w:rPr>
                <w:rFonts w:eastAsia="Calibri"/>
              </w:rPr>
              <w:t>0</w:t>
            </w:r>
          </w:p>
        </w:tc>
        <w:tc>
          <w:tcPr>
            <w:tcW w:w="1276" w:type="dxa"/>
            <w:vAlign w:val="center"/>
          </w:tcPr>
          <w:p w:rsidR="00623724" w:rsidRPr="009F7DD3" w:rsidRDefault="00623724" w:rsidP="0091265B">
            <w:pPr>
              <w:pStyle w:val="naisf"/>
              <w:spacing w:before="0" w:after="0"/>
              <w:ind w:firstLine="0"/>
              <w:jc w:val="center"/>
            </w:pPr>
            <w:r w:rsidRPr="009F7DD3">
              <w:rPr>
                <w:rFonts w:eastAsia="Calibri"/>
              </w:rPr>
              <w:t>0</w:t>
            </w:r>
          </w:p>
        </w:tc>
        <w:tc>
          <w:tcPr>
            <w:tcW w:w="1246" w:type="dxa"/>
            <w:vAlign w:val="center"/>
          </w:tcPr>
          <w:p w:rsidR="00623724" w:rsidRPr="009F7DD3" w:rsidRDefault="00623724" w:rsidP="0091265B">
            <w:pPr>
              <w:pStyle w:val="naisf"/>
              <w:spacing w:before="0" w:after="0"/>
              <w:ind w:firstLine="0"/>
              <w:jc w:val="center"/>
            </w:pPr>
            <w:r w:rsidRPr="009F7DD3">
              <w:rPr>
                <w:rFonts w:eastAsia="Calibri"/>
              </w:rPr>
              <w:t>0</w:t>
            </w:r>
          </w:p>
        </w:tc>
        <w:tc>
          <w:tcPr>
            <w:tcW w:w="1387" w:type="dxa"/>
            <w:vAlign w:val="center"/>
          </w:tcPr>
          <w:p w:rsidR="00623724" w:rsidRPr="009F7DD3" w:rsidRDefault="00623724" w:rsidP="0091265B">
            <w:pPr>
              <w:pStyle w:val="naisf"/>
              <w:spacing w:before="0" w:after="0"/>
              <w:ind w:firstLine="0"/>
              <w:jc w:val="center"/>
            </w:pPr>
            <w:r w:rsidRPr="009F7DD3">
              <w:rPr>
                <w:rFonts w:eastAsia="Calibri"/>
              </w:rPr>
              <w:t>0</w:t>
            </w:r>
          </w:p>
        </w:tc>
      </w:tr>
      <w:tr w:rsidR="003C4140" w:rsidRPr="009F7DD3" w:rsidTr="00995202">
        <w:trPr>
          <w:jc w:val="center"/>
        </w:trPr>
        <w:tc>
          <w:tcPr>
            <w:tcW w:w="2229" w:type="dxa"/>
          </w:tcPr>
          <w:p w:rsidR="003C4140" w:rsidRPr="009F7DD3" w:rsidRDefault="003C4140" w:rsidP="00016659">
            <w:r w:rsidRPr="009F7DD3">
              <w:t>2. Budžeta izdevumi:</w:t>
            </w:r>
          </w:p>
        </w:tc>
        <w:tc>
          <w:tcPr>
            <w:tcW w:w="1273" w:type="dxa"/>
          </w:tcPr>
          <w:p w:rsidR="003C4140" w:rsidRPr="009F7DD3" w:rsidRDefault="003C4140" w:rsidP="00E53DB2">
            <w:pPr>
              <w:pStyle w:val="naisf"/>
              <w:spacing w:before="0" w:after="0"/>
              <w:ind w:firstLine="0"/>
              <w:jc w:val="center"/>
            </w:pPr>
            <w:r w:rsidRPr="009F7DD3">
              <w:t>0</w:t>
            </w:r>
          </w:p>
        </w:tc>
        <w:tc>
          <w:tcPr>
            <w:tcW w:w="1352" w:type="dxa"/>
          </w:tcPr>
          <w:p w:rsidR="003C4140" w:rsidRPr="009F7DD3" w:rsidRDefault="006A00C7" w:rsidP="0091265B">
            <w:pPr>
              <w:pStyle w:val="naisf"/>
              <w:spacing w:before="0" w:after="0"/>
              <w:ind w:firstLine="0"/>
              <w:jc w:val="center"/>
            </w:pPr>
            <w:r w:rsidRPr="009F7DD3">
              <w:t>0</w:t>
            </w:r>
          </w:p>
        </w:tc>
        <w:tc>
          <w:tcPr>
            <w:tcW w:w="1276" w:type="dxa"/>
          </w:tcPr>
          <w:p w:rsidR="003C4140" w:rsidRPr="009F7DD3" w:rsidRDefault="006A00C7" w:rsidP="006A00C7">
            <w:pPr>
              <w:pStyle w:val="naisf"/>
              <w:spacing w:before="0" w:after="0"/>
              <w:ind w:firstLine="0"/>
              <w:jc w:val="center"/>
              <w:rPr>
                <w:highlight w:val="yellow"/>
              </w:rPr>
            </w:pPr>
            <w:r w:rsidRPr="009F7DD3">
              <w:t>2</w:t>
            </w:r>
            <w:r w:rsidR="003C4140" w:rsidRPr="009F7DD3">
              <w:t> </w:t>
            </w:r>
            <w:r w:rsidRPr="009F7DD3">
              <w:t>837</w:t>
            </w:r>
            <w:r w:rsidR="003C4140" w:rsidRPr="009F7DD3">
              <w:t> </w:t>
            </w:r>
            <w:r w:rsidRPr="009F7DD3">
              <w:t>040</w:t>
            </w:r>
          </w:p>
        </w:tc>
        <w:tc>
          <w:tcPr>
            <w:tcW w:w="1246" w:type="dxa"/>
          </w:tcPr>
          <w:p w:rsidR="00C8649E" w:rsidRPr="00C8649E" w:rsidRDefault="00C8649E" w:rsidP="003C4140">
            <w:pPr>
              <w:jc w:val="center"/>
              <w:rPr>
                <w:highlight w:val="yellow"/>
              </w:rPr>
            </w:pPr>
            <w:r w:rsidRPr="009F7DD3">
              <w:t>3 546 299</w:t>
            </w:r>
          </w:p>
        </w:tc>
        <w:tc>
          <w:tcPr>
            <w:tcW w:w="1387" w:type="dxa"/>
          </w:tcPr>
          <w:p w:rsidR="00C8649E" w:rsidRPr="00C8649E" w:rsidRDefault="00C8649E" w:rsidP="003C4140">
            <w:pPr>
              <w:jc w:val="center"/>
              <w:rPr>
                <w:highlight w:val="yellow"/>
              </w:rPr>
            </w:pPr>
            <w:r w:rsidRPr="009F7DD3">
              <w:t>3 546 299</w:t>
            </w:r>
          </w:p>
        </w:tc>
      </w:tr>
      <w:tr w:rsidR="003C4140" w:rsidRPr="009F7DD3" w:rsidTr="006C268C">
        <w:trPr>
          <w:jc w:val="center"/>
        </w:trPr>
        <w:tc>
          <w:tcPr>
            <w:tcW w:w="2229" w:type="dxa"/>
          </w:tcPr>
          <w:p w:rsidR="003C4140" w:rsidRPr="009F7DD3" w:rsidRDefault="003C4140" w:rsidP="00016659">
            <w:r w:rsidRPr="009F7DD3">
              <w:rPr>
                <w:rFonts w:eastAsia="Calibri"/>
              </w:rPr>
              <w:t>2.1. valsts pamatbudžets</w:t>
            </w:r>
          </w:p>
        </w:tc>
        <w:tc>
          <w:tcPr>
            <w:tcW w:w="1273" w:type="dxa"/>
            <w:shd w:val="clear" w:color="auto" w:fill="auto"/>
            <w:vAlign w:val="center"/>
          </w:tcPr>
          <w:p w:rsidR="003C4140" w:rsidRPr="009F7DD3" w:rsidRDefault="003C4140" w:rsidP="00E53DB2">
            <w:pPr>
              <w:pStyle w:val="naisf"/>
              <w:spacing w:before="0" w:after="0"/>
              <w:ind w:firstLine="0"/>
              <w:jc w:val="center"/>
            </w:pPr>
            <w:r w:rsidRPr="009F7DD3">
              <w:rPr>
                <w:rFonts w:eastAsia="Calibri"/>
              </w:rPr>
              <w:t>0</w:t>
            </w:r>
          </w:p>
        </w:tc>
        <w:tc>
          <w:tcPr>
            <w:tcW w:w="1352" w:type="dxa"/>
            <w:shd w:val="clear" w:color="auto" w:fill="auto"/>
          </w:tcPr>
          <w:p w:rsidR="003C4140" w:rsidRPr="009F7DD3" w:rsidRDefault="006A00C7" w:rsidP="000C0381">
            <w:pPr>
              <w:pStyle w:val="naisf"/>
              <w:spacing w:before="0" w:after="0"/>
              <w:ind w:firstLine="0"/>
              <w:jc w:val="center"/>
            </w:pPr>
            <w:r w:rsidRPr="009F7DD3">
              <w:t>0</w:t>
            </w:r>
          </w:p>
        </w:tc>
        <w:tc>
          <w:tcPr>
            <w:tcW w:w="1276" w:type="dxa"/>
          </w:tcPr>
          <w:p w:rsidR="003C4140" w:rsidRPr="009F7DD3" w:rsidRDefault="006A00C7" w:rsidP="00D73044">
            <w:pPr>
              <w:pStyle w:val="naisf"/>
              <w:spacing w:before="0" w:after="0"/>
              <w:ind w:firstLine="0"/>
              <w:jc w:val="center"/>
              <w:rPr>
                <w:highlight w:val="yellow"/>
              </w:rPr>
            </w:pPr>
            <w:r w:rsidRPr="009F7DD3">
              <w:t>2 837 040</w:t>
            </w:r>
          </w:p>
        </w:tc>
        <w:tc>
          <w:tcPr>
            <w:tcW w:w="1246" w:type="dxa"/>
          </w:tcPr>
          <w:p w:rsidR="003C4140" w:rsidRPr="009F7DD3" w:rsidRDefault="003C4140" w:rsidP="00C8649E">
            <w:pPr>
              <w:jc w:val="center"/>
            </w:pPr>
            <w:r w:rsidRPr="009F7DD3">
              <w:t>3 546 </w:t>
            </w:r>
            <w:r w:rsidR="00C8649E">
              <w:t>299</w:t>
            </w:r>
          </w:p>
        </w:tc>
        <w:tc>
          <w:tcPr>
            <w:tcW w:w="1387" w:type="dxa"/>
          </w:tcPr>
          <w:p w:rsidR="003C4140" w:rsidRPr="009F7DD3" w:rsidRDefault="003C4140" w:rsidP="00C8649E">
            <w:pPr>
              <w:jc w:val="center"/>
            </w:pPr>
            <w:r w:rsidRPr="009F7DD3">
              <w:t>3 546 </w:t>
            </w:r>
            <w:r w:rsidR="00C8649E">
              <w:t>299</w:t>
            </w:r>
          </w:p>
        </w:tc>
      </w:tr>
      <w:tr w:rsidR="00623724" w:rsidRPr="009F7DD3" w:rsidTr="006C268C">
        <w:trPr>
          <w:jc w:val="center"/>
        </w:trPr>
        <w:tc>
          <w:tcPr>
            <w:tcW w:w="2229" w:type="dxa"/>
          </w:tcPr>
          <w:p w:rsidR="00623724" w:rsidRPr="009F7DD3" w:rsidRDefault="00623724" w:rsidP="00016659">
            <w:r w:rsidRPr="009F7DD3">
              <w:rPr>
                <w:rFonts w:eastAsia="Calibri"/>
              </w:rPr>
              <w:t>2.2. valsts speciālais budžets</w:t>
            </w:r>
          </w:p>
        </w:tc>
        <w:tc>
          <w:tcPr>
            <w:tcW w:w="1273" w:type="dxa"/>
            <w:shd w:val="clear" w:color="auto" w:fill="auto"/>
            <w:vAlign w:val="center"/>
          </w:tcPr>
          <w:p w:rsidR="00623724" w:rsidRPr="009F7DD3" w:rsidRDefault="00623724" w:rsidP="00E53DB2">
            <w:pPr>
              <w:pStyle w:val="naisf"/>
              <w:spacing w:before="0" w:after="0"/>
              <w:ind w:firstLine="0"/>
              <w:jc w:val="center"/>
            </w:pPr>
            <w:r w:rsidRPr="009F7DD3">
              <w:rPr>
                <w:rFonts w:eastAsia="Calibri"/>
              </w:rPr>
              <w:t>0</w:t>
            </w:r>
          </w:p>
        </w:tc>
        <w:tc>
          <w:tcPr>
            <w:tcW w:w="1352" w:type="dxa"/>
            <w:shd w:val="clear" w:color="auto" w:fill="auto"/>
            <w:vAlign w:val="center"/>
          </w:tcPr>
          <w:p w:rsidR="00623724" w:rsidRPr="009F7DD3" w:rsidRDefault="00623724" w:rsidP="000C0381">
            <w:pPr>
              <w:pStyle w:val="naisf"/>
              <w:spacing w:before="0" w:after="0"/>
              <w:ind w:firstLine="0"/>
              <w:jc w:val="center"/>
            </w:pPr>
            <w:r w:rsidRPr="009F7DD3">
              <w:rPr>
                <w:rFonts w:eastAsia="Calibri"/>
              </w:rPr>
              <w:t>0</w:t>
            </w:r>
          </w:p>
        </w:tc>
        <w:tc>
          <w:tcPr>
            <w:tcW w:w="1276" w:type="dxa"/>
            <w:vAlign w:val="center"/>
          </w:tcPr>
          <w:p w:rsidR="00623724" w:rsidRPr="009F7DD3" w:rsidRDefault="00623724" w:rsidP="000C0381">
            <w:pPr>
              <w:pStyle w:val="naisf"/>
              <w:spacing w:before="0" w:after="0"/>
              <w:ind w:firstLine="0"/>
              <w:jc w:val="center"/>
            </w:pPr>
            <w:r w:rsidRPr="009F7DD3">
              <w:rPr>
                <w:rFonts w:eastAsia="Calibri"/>
              </w:rPr>
              <w:t>0</w:t>
            </w:r>
          </w:p>
        </w:tc>
        <w:tc>
          <w:tcPr>
            <w:tcW w:w="1246" w:type="dxa"/>
            <w:vAlign w:val="center"/>
          </w:tcPr>
          <w:p w:rsidR="00623724" w:rsidRPr="009F7DD3" w:rsidRDefault="00623724" w:rsidP="000C0381">
            <w:pPr>
              <w:pStyle w:val="naisf"/>
              <w:spacing w:before="0" w:after="0"/>
              <w:ind w:firstLine="0"/>
              <w:jc w:val="center"/>
            </w:pPr>
            <w:r w:rsidRPr="009F7DD3">
              <w:rPr>
                <w:rFonts w:eastAsia="Calibri"/>
              </w:rPr>
              <w:t>0</w:t>
            </w:r>
          </w:p>
        </w:tc>
        <w:tc>
          <w:tcPr>
            <w:tcW w:w="1387" w:type="dxa"/>
            <w:vAlign w:val="center"/>
          </w:tcPr>
          <w:p w:rsidR="00623724" w:rsidRPr="009F7DD3" w:rsidRDefault="00623724" w:rsidP="000C0381">
            <w:pPr>
              <w:pStyle w:val="naisf"/>
              <w:spacing w:before="0" w:after="0"/>
              <w:ind w:firstLine="0"/>
              <w:jc w:val="center"/>
            </w:pPr>
            <w:r w:rsidRPr="009F7DD3">
              <w:rPr>
                <w:rFonts w:eastAsia="Calibri"/>
              </w:rPr>
              <w:t>0</w:t>
            </w:r>
          </w:p>
        </w:tc>
      </w:tr>
      <w:tr w:rsidR="00623724" w:rsidRPr="009F7DD3" w:rsidTr="006C268C">
        <w:trPr>
          <w:jc w:val="center"/>
        </w:trPr>
        <w:tc>
          <w:tcPr>
            <w:tcW w:w="2229" w:type="dxa"/>
          </w:tcPr>
          <w:p w:rsidR="00623724" w:rsidRPr="009F7DD3" w:rsidRDefault="00623724" w:rsidP="00016659">
            <w:r w:rsidRPr="009F7DD3">
              <w:rPr>
                <w:rFonts w:eastAsia="Calibri"/>
              </w:rPr>
              <w:lastRenderedPageBreak/>
              <w:t>2.3. pašvaldību budžets</w:t>
            </w:r>
          </w:p>
        </w:tc>
        <w:tc>
          <w:tcPr>
            <w:tcW w:w="1273" w:type="dxa"/>
            <w:shd w:val="clear" w:color="auto" w:fill="auto"/>
            <w:vAlign w:val="center"/>
          </w:tcPr>
          <w:p w:rsidR="00623724" w:rsidRPr="009F7DD3" w:rsidRDefault="00623724" w:rsidP="00E53DB2">
            <w:pPr>
              <w:pStyle w:val="naisf"/>
              <w:spacing w:before="0" w:after="0"/>
              <w:ind w:firstLine="0"/>
              <w:jc w:val="center"/>
            </w:pPr>
            <w:r w:rsidRPr="009F7DD3">
              <w:rPr>
                <w:rFonts w:eastAsia="Calibri"/>
              </w:rPr>
              <w:t>0</w:t>
            </w:r>
          </w:p>
        </w:tc>
        <w:tc>
          <w:tcPr>
            <w:tcW w:w="1352" w:type="dxa"/>
            <w:shd w:val="clear" w:color="auto" w:fill="auto"/>
            <w:vAlign w:val="center"/>
          </w:tcPr>
          <w:p w:rsidR="00623724" w:rsidRPr="009F7DD3" w:rsidRDefault="00623724" w:rsidP="000C0381">
            <w:pPr>
              <w:pStyle w:val="naisf"/>
              <w:spacing w:before="0" w:after="0"/>
              <w:ind w:firstLine="0"/>
              <w:jc w:val="center"/>
            </w:pPr>
            <w:r w:rsidRPr="009F7DD3">
              <w:rPr>
                <w:rFonts w:eastAsia="Calibri"/>
              </w:rPr>
              <w:t>0</w:t>
            </w:r>
          </w:p>
        </w:tc>
        <w:tc>
          <w:tcPr>
            <w:tcW w:w="1276" w:type="dxa"/>
            <w:vAlign w:val="center"/>
          </w:tcPr>
          <w:p w:rsidR="00623724" w:rsidRPr="009F7DD3" w:rsidRDefault="00623724" w:rsidP="000C0381">
            <w:pPr>
              <w:pStyle w:val="naisf"/>
              <w:spacing w:before="0" w:after="0"/>
              <w:ind w:firstLine="0"/>
              <w:jc w:val="center"/>
            </w:pPr>
            <w:r w:rsidRPr="009F7DD3">
              <w:rPr>
                <w:rFonts w:eastAsia="Calibri"/>
              </w:rPr>
              <w:t>0</w:t>
            </w:r>
          </w:p>
        </w:tc>
        <w:tc>
          <w:tcPr>
            <w:tcW w:w="1246" w:type="dxa"/>
            <w:vAlign w:val="center"/>
          </w:tcPr>
          <w:p w:rsidR="00623724" w:rsidRPr="009F7DD3" w:rsidRDefault="00623724" w:rsidP="000C0381">
            <w:pPr>
              <w:pStyle w:val="naisf"/>
              <w:spacing w:before="0" w:after="0"/>
              <w:ind w:firstLine="0"/>
              <w:jc w:val="center"/>
            </w:pPr>
            <w:r w:rsidRPr="009F7DD3">
              <w:rPr>
                <w:rFonts w:eastAsia="Calibri"/>
              </w:rPr>
              <w:t>0</w:t>
            </w:r>
          </w:p>
        </w:tc>
        <w:tc>
          <w:tcPr>
            <w:tcW w:w="1387" w:type="dxa"/>
            <w:vAlign w:val="center"/>
          </w:tcPr>
          <w:p w:rsidR="00623724" w:rsidRPr="009F7DD3" w:rsidRDefault="00623724" w:rsidP="000C0381">
            <w:pPr>
              <w:pStyle w:val="naisf"/>
              <w:spacing w:before="0" w:after="0"/>
              <w:ind w:firstLine="0"/>
              <w:jc w:val="center"/>
            </w:pPr>
            <w:r w:rsidRPr="009F7DD3">
              <w:rPr>
                <w:rFonts w:eastAsia="Calibri"/>
              </w:rPr>
              <w:t>0</w:t>
            </w:r>
          </w:p>
        </w:tc>
      </w:tr>
      <w:tr w:rsidR="00BF3649" w:rsidRPr="009F7DD3" w:rsidTr="00995202">
        <w:trPr>
          <w:jc w:val="center"/>
        </w:trPr>
        <w:tc>
          <w:tcPr>
            <w:tcW w:w="2229" w:type="dxa"/>
          </w:tcPr>
          <w:p w:rsidR="00BF3649" w:rsidRPr="009F7DD3" w:rsidRDefault="00BF3649" w:rsidP="00016659">
            <w:r w:rsidRPr="009F7DD3">
              <w:t>3. Finansiālā ietekme:</w:t>
            </w:r>
          </w:p>
        </w:tc>
        <w:tc>
          <w:tcPr>
            <w:tcW w:w="1273" w:type="dxa"/>
            <w:shd w:val="clear" w:color="auto" w:fill="auto"/>
          </w:tcPr>
          <w:p w:rsidR="00BF3649" w:rsidRPr="009F7DD3" w:rsidRDefault="00E53DB2" w:rsidP="00E53DB2">
            <w:pPr>
              <w:pStyle w:val="naisf"/>
              <w:spacing w:before="0" w:after="0"/>
              <w:ind w:firstLine="0"/>
              <w:jc w:val="center"/>
            </w:pPr>
            <w:r w:rsidRPr="009F7DD3">
              <w:t>0</w:t>
            </w:r>
          </w:p>
        </w:tc>
        <w:tc>
          <w:tcPr>
            <w:tcW w:w="1352" w:type="dxa"/>
            <w:shd w:val="clear" w:color="auto" w:fill="auto"/>
          </w:tcPr>
          <w:p w:rsidR="00BF3649" w:rsidRPr="009F7DD3" w:rsidRDefault="006A00C7" w:rsidP="000C0381">
            <w:pPr>
              <w:pStyle w:val="naisf"/>
              <w:spacing w:before="0" w:after="0"/>
              <w:ind w:firstLine="0"/>
              <w:jc w:val="center"/>
            </w:pPr>
            <w:r w:rsidRPr="009F7DD3">
              <w:t>0</w:t>
            </w:r>
          </w:p>
        </w:tc>
        <w:tc>
          <w:tcPr>
            <w:tcW w:w="1276" w:type="dxa"/>
          </w:tcPr>
          <w:p w:rsidR="00BF3649" w:rsidRPr="009F7DD3" w:rsidRDefault="000C0381" w:rsidP="006A00C7">
            <w:pPr>
              <w:pStyle w:val="naisf"/>
              <w:spacing w:before="0" w:after="0"/>
              <w:ind w:firstLine="0"/>
              <w:jc w:val="center"/>
            </w:pPr>
            <w:r w:rsidRPr="009F7DD3">
              <w:t xml:space="preserve">- </w:t>
            </w:r>
            <w:r w:rsidR="006A00C7" w:rsidRPr="009F7DD3">
              <w:t>425</w:t>
            </w:r>
            <w:r w:rsidR="003C4140" w:rsidRPr="009F7DD3">
              <w:t> </w:t>
            </w:r>
            <w:r w:rsidR="006A00C7" w:rsidRPr="009F7DD3">
              <w:t>556</w:t>
            </w:r>
          </w:p>
        </w:tc>
        <w:tc>
          <w:tcPr>
            <w:tcW w:w="1246" w:type="dxa"/>
          </w:tcPr>
          <w:p w:rsidR="00BF3649" w:rsidRPr="00E96152" w:rsidRDefault="00BC1427" w:rsidP="009D1185">
            <w:pPr>
              <w:pStyle w:val="naisf"/>
              <w:spacing w:before="0" w:after="0"/>
              <w:ind w:firstLine="0"/>
              <w:jc w:val="center"/>
            </w:pPr>
            <w:r w:rsidRPr="00E96152">
              <w:t>- 531 945</w:t>
            </w:r>
          </w:p>
        </w:tc>
        <w:tc>
          <w:tcPr>
            <w:tcW w:w="1387" w:type="dxa"/>
          </w:tcPr>
          <w:p w:rsidR="00BF3649" w:rsidRPr="00E96152" w:rsidRDefault="00BC1427" w:rsidP="009D1185">
            <w:pPr>
              <w:pStyle w:val="naisf"/>
              <w:spacing w:before="0" w:after="0"/>
              <w:ind w:firstLine="0"/>
              <w:jc w:val="center"/>
            </w:pPr>
            <w:r w:rsidRPr="00E96152">
              <w:t>- 531 945</w:t>
            </w:r>
          </w:p>
        </w:tc>
      </w:tr>
      <w:tr w:rsidR="00321969" w:rsidRPr="009F7DD3" w:rsidTr="006C268C">
        <w:trPr>
          <w:jc w:val="center"/>
        </w:trPr>
        <w:tc>
          <w:tcPr>
            <w:tcW w:w="2229" w:type="dxa"/>
          </w:tcPr>
          <w:p w:rsidR="00321969" w:rsidRPr="009F7DD3" w:rsidRDefault="00321969" w:rsidP="00016659">
            <w:r w:rsidRPr="009F7DD3">
              <w:rPr>
                <w:rFonts w:eastAsia="Calibri"/>
              </w:rPr>
              <w:t>3.1. valsts pamatbudžets</w:t>
            </w:r>
          </w:p>
        </w:tc>
        <w:tc>
          <w:tcPr>
            <w:tcW w:w="1273" w:type="dxa"/>
            <w:shd w:val="clear" w:color="auto" w:fill="auto"/>
            <w:vAlign w:val="center"/>
          </w:tcPr>
          <w:p w:rsidR="00321969" w:rsidRPr="009F7DD3" w:rsidRDefault="00321969" w:rsidP="00E53DB2">
            <w:pPr>
              <w:pStyle w:val="naisf"/>
              <w:spacing w:before="0" w:after="0"/>
              <w:ind w:firstLine="0"/>
              <w:jc w:val="center"/>
            </w:pPr>
            <w:r w:rsidRPr="009F7DD3">
              <w:rPr>
                <w:rFonts w:eastAsia="Calibri"/>
              </w:rPr>
              <w:t>0</w:t>
            </w:r>
          </w:p>
        </w:tc>
        <w:tc>
          <w:tcPr>
            <w:tcW w:w="1352" w:type="dxa"/>
            <w:shd w:val="clear" w:color="auto" w:fill="auto"/>
          </w:tcPr>
          <w:p w:rsidR="00321969" w:rsidRPr="009F7DD3" w:rsidRDefault="006A00C7" w:rsidP="000C0381">
            <w:pPr>
              <w:pStyle w:val="naisf"/>
              <w:spacing w:before="0" w:after="0"/>
              <w:ind w:firstLine="0"/>
              <w:jc w:val="center"/>
            </w:pPr>
            <w:r w:rsidRPr="009F7DD3">
              <w:t>0</w:t>
            </w:r>
          </w:p>
        </w:tc>
        <w:tc>
          <w:tcPr>
            <w:tcW w:w="1276" w:type="dxa"/>
          </w:tcPr>
          <w:p w:rsidR="00321969" w:rsidRPr="009F7DD3" w:rsidRDefault="003C4140" w:rsidP="000C0381">
            <w:pPr>
              <w:pStyle w:val="naisf"/>
              <w:spacing w:before="0" w:after="0"/>
              <w:ind w:firstLine="0"/>
              <w:jc w:val="center"/>
            </w:pPr>
            <w:r w:rsidRPr="009F7DD3">
              <w:t xml:space="preserve">- </w:t>
            </w:r>
            <w:r w:rsidR="006A00C7" w:rsidRPr="009F7DD3">
              <w:t>425 556</w:t>
            </w:r>
          </w:p>
        </w:tc>
        <w:tc>
          <w:tcPr>
            <w:tcW w:w="1246" w:type="dxa"/>
          </w:tcPr>
          <w:p w:rsidR="00321969" w:rsidRPr="00E96152" w:rsidRDefault="00BC1427" w:rsidP="009D1185">
            <w:pPr>
              <w:pStyle w:val="naisf"/>
              <w:spacing w:before="0" w:after="0"/>
              <w:ind w:firstLine="0"/>
              <w:jc w:val="center"/>
            </w:pPr>
            <w:r w:rsidRPr="00E96152">
              <w:t>- 531 945</w:t>
            </w:r>
          </w:p>
        </w:tc>
        <w:tc>
          <w:tcPr>
            <w:tcW w:w="1387" w:type="dxa"/>
          </w:tcPr>
          <w:p w:rsidR="00321969" w:rsidRPr="00E96152" w:rsidRDefault="00BC1427" w:rsidP="009D1185">
            <w:pPr>
              <w:pStyle w:val="naisf"/>
              <w:spacing w:before="0" w:after="0"/>
              <w:ind w:firstLine="0"/>
              <w:jc w:val="center"/>
            </w:pPr>
            <w:r w:rsidRPr="00E96152">
              <w:t>- 531 945</w:t>
            </w:r>
          </w:p>
        </w:tc>
      </w:tr>
      <w:tr w:rsidR="00321969" w:rsidRPr="009F7DD3" w:rsidTr="006C268C">
        <w:trPr>
          <w:jc w:val="center"/>
        </w:trPr>
        <w:tc>
          <w:tcPr>
            <w:tcW w:w="2229" w:type="dxa"/>
          </w:tcPr>
          <w:p w:rsidR="00321969" w:rsidRPr="009F7DD3" w:rsidRDefault="00321969" w:rsidP="00016659">
            <w:r w:rsidRPr="009F7DD3">
              <w:rPr>
                <w:rFonts w:eastAsia="Calibri"/>
              </w:rPr>
              <w:t>3.2. speciālais budžets</w:t>
            </w:r>
          </w:p>
        </w:tc>
        <w:tc>
          <w:tcPr>
            <w:tcW w:w="1273" w:type="dxa"/>
            <w:shd w:val="clear" w:color="auto" w:fill="auto"/>
            <w:vAlign w:val="center"/>
          </w:tcPr>
          <w:p w:rsidR="00321969" w:rsidRPr="009F7DD3" w:rsidRDefault="00321969" w:rsidP="00E53DB2">
            <w:pPr>
              <w:pStyle w:val="naisf"/>
              <w:spacing w:before="0" w:after="0"/>
              <w:ind w:firstLine="0"/>
              <w:jc w:val="center"/>
            </w:pPr>
            <w:r w:rsidRPr="009F7DD3">
              <w:rPr>
                <w:rFonts w:eastAsia="Calibri"/>
              </w:rPr>
              <w:t>0</w:t>
            </w:r>
          </w:p>
        </w:tc>
        <w:tc>
          <w:tcPr>
            <w:tcW w:w="1352" w:type="dxa"/>
            <w:shd w:val="clear" w:color="auto" w:fill="auto"/>
            <w:vAlign w:val="center"/>
          </w:tcPr>
          <w:p w:rsidR="00321969" w:rsidRPr="009F7DD3" w:rsidRDefault="00321969" w:rsidP="000C0381">
            <w:pPr>
              <w:pStyle w:val="naisf"/>
              <w:spacing w:before="0" w:after="0"/>
              <w:ind w:firstLine="0"/>
              <w:jc w:val="center"/>
            </w:pPr>
            <w:r w:rsidRPr="009F7DD3">
              <w:rPr>
                <w:rFonts w:eastAsia="Calibri"/>
              </w:rPr>
              <w:t>0</w:t>
            </w:r>
          </w:p>
        </w:tc>
        <w:tc>
          <w:tcPr>
            <w:tcW w:w="1276" w:type="dxa"/>
            <w:vAlign w:val="center"/>
          </w:tcPr>
          <w:p w:rsidR="00321969" w:rsidRPr="009F7DD3" w:rsidRDefault="00321969" w:rsidP="000C0381">
            <w:pPr>
              <w:pStyle w:val="naisf"/>
              <w:spacing w:before="0" w:after="0"/>
              <w:ind w:firstLine="0"/>
              <w:jc w:val="center"/>
            </w:pPr>
            <w:r w:rsidRPr="009F7DD3">
              <w:rPr>
                <w:rFonts w:eastAsia="Calibri"/>
              </w:rPr>
              <w:t>0</w:t>
            </w:r>
          </w:p>
        </w:tc>
        <w:tc>
          <w:tcPr>
            <w:tcW w:w="1246" w:type="dxa"/>
            <w:vAlign w:val="center"/>
          </w:tcPr>
          <w:p w:rsidR="00321969" w:rsidRPr="00E96152" w:rsidRDefault="00321969" w:rsidP="000C0381">
            <w:pPr>
              <w:pStyle w:val="naisf"/>
              <w:spacing w:before="0" w:after="0"/>
              <w:ind w:firstLine="0"/>
              <w:jc w:val="center"/>
            </w:pPr>
            <w:r w:rsidRPr="00E96152">
              <w:rPr>
                <w:rFonts w:eastAsia="Calibri"/>
              </w:rPr>
              <w:t>0</w:t>
            </w:r>
          </w:p>
        </w:tc>
        <w:tc>
          <w:tcPr>
            <w:tcW w:w="1387" w:type="dxa"/>
            <w:vAlign w:val="center"/>
          </w:tcPr>
          <w:p w:rsidR="00321969" w:rsidRPr="00E96152" w:rsidRDefault="00321969" w:rsidP="000C0381">
            <w:pPr>
              <w:pStyle w:val="naisf"/>
              <w:spacing w:before="0" w:after="0"/>
              <w:ind w:firstLine="0"/>
              <w:jc w:val="center"/>
            </w:pPr>
            <w:r w:rsidRPr="00E96152">
              <w:rPr>
                <w:rFonts w:eastAsia="Calibri"/>
              </w:rPr>
              <w:t>0</w:t>
            </w:r>
          </w:p>
        </w:tc>
      </w:tr>
      <w:tr w:rsidR="00321969" w:rsidRPr="009F7DD3" w:rsidTr="006C268C">
        <w:trPr>
          <w:jc w:val="center"/>
        </w:trPr>
        <w:tc>
          <w:tcPr>
            <w:tcW w:w="2229" w:type="dxa"/>
          </w:tcPr>
          <w:p w:rsidR="00321969" w:rsidRPr="009F7DD3" w:rsidRDefault="00321969" w:rsidP="00016659">
            <w:r w:rsidRPr="009F7DD3">
              <w:rPr>
                <w:rFonts w:eastAsia="Calibri"/>
              </w:rPr>
              <w:t>3.3. pašvaldību budžets</w:t>
            </w:r>
          </w:p>
        </w:tc>
        <w:tc>
          <w:tcPr>
            <w:tcW w:w="1273" w:type="dxa"/>
            <w:shd w:val="clear" w:color="auto" w:fill="auto"/>
            <w:vAlign w:val="center"/>
          </w:tcPr>
          <w:p w:rsidR="00321969" w:rsidRPr="009F7DD3" w:rsidRDefault="00321969" w:rsidP="00E53DB2">
            <w:pPr>
              <w:pStyle w:val="naisf"/>
              <w:spacing w:before="0" w:after="0"/>
              <w:ind w:firstLine="0"/>
              <w:jc w:val="center"/>
            </w:pPr>
            <w:r w:rsidRPr="009F7DD3">
              <w:rPr>
                <w:rFonts w:eastAsia="Calibri"/>
              </w:rPr>
              <w:t>0</w:t>
            </w:r>
          </w:p>
        </w:tc>
        <w:tc>
          <w:tcPr>
            <w:tcW w:w="1352" w:type="dxa"/>
            <w:shd w:val="clear" w:color="auto" w:fill="auto"/>
            <w:vAlign w:val="center"/>
          </w:tcPr>
          <w:p w:rsidR="00321969" w:rsidRPr="009F7DD3" w:rsidRDefault="00321969" w:rsidP="000C0381">
            <w:pPr>
              <w:pStyle w:val="naisf"/>
              <w:spacing w:before="0" w:after="0"/>
              <w:ind w:firstLine="0"/>
              <w:jc w:val="center"/>
            </w:pPr>
            <w:r w:rsidRPr="009F7DD3">
              <w:rPr>
                <w:rFonts w:eastAsia="Calibri"/>
              </w:rPr>
              <w:t>0</w:t>
            </w:r>
          </w:p>
        </w:tc>
        <w:tc>
          <w:tcPr>
            <w:tcW w:w="1276" w:type="dxa"/>
            <w:vAlign w:val="center"/>
          </w:tcPr>
          <w:p w:rsidR="00321969" w:rsidRPr="009F7DD3" w:rsidRDefault="00321969" w:rsidP="000C0381">
            <w:pPr>
              <w:pStyle w:val="naisf"/>
              <w:spacing w:before="0" w:after="0"/>
              <w:ind w:firstLine="0"/>
              <w:jc w:val="center"/>
            </w:pPr>
            <w:r w:rsidRPr="009F7DD3">
              <w:rPr>
                <w:rFonts w:eastAsia="Calibri"/>
              </w:rPr>
              <w:t>0</w:t>
            </w:r>
          </w:p>
        </w:tc>
        <w:tc>
          <w:tcPr>
            <w:tcW w:w="1246" w:type="dxa"/>
            <w:vAlign w:val="center"/>
          </w:tcPr>
          <w:p w:rsidR="00321969" w:rsidRPr="00E96152" w:rsidRDefault="00321969" w:rsidP="000C0381">
            <w:pPr>
              <w:pStyle w:val="naisf"/>
              <w:spacing w:before="0" w:after="0"/>
              <w:ind w:firstLine="0"/>
              <w:jc w:val="center"/>
            </w:pPr>
            <w:r w:rsidRPr="00E96152">
              <w:rPr>
                <w:rFonts w:eastAsia="Calibri"/>
              </w:rPr>
              <w:t>0</w:t>
            </w:r>
          </w:p>
        </w:tc>
        <w:tc>
          <w:tcPr>
            <w:tcW w:w="1387" w:type="dxa"/>
            <w:vAlign w:val="center"/>
          </w:tcPr>
          <w:p w:rsidR="00321969" w:rsidRPr="00E96152" w:rsidRDefault="00321969" w:rsidP="000C0381">
            <w:pPr>
              <w:pStyle w:val="naisf"/>
              <w:spacing w:before="0" w:after="0"/>
              <w:ind w:firstLine="0"/>
              <w:jc w:val="center"/>
            </w:pPr>
            <w:r w:rsidRPr="00E96152">
              <w:rPr>
                <w:rFonts w:eastAsia="Calibri"/>
              </w:rPr>
              <w:t>0</w:t>
            </w:r>
          </w:p>
        </w:tc>
      </w:tr>
      <w:tr w:rsidR="00F964F4" w:rsidRPr="009F7DD3" w:rsidTr="00995202">
        <w:trPr>
          <w:trHeight w:val="1380"/>
          <w:jc w:val="center"/>
        </w:trPr>
        <w:tc>
          <w:tcPr>
            <w:tcW w:w="2229" w:type="dxa"/>
          </w:tcPr>
          <w:p w:rsidR="00F964F4" w:rsidRPr="009F7DD3" w:rsidRDefault="00F964F4" w:rsidP="00F964F4">
            <w:r w:rsidRPr="009F7DD3">
              <w:t>4. Finanšu līdzekļi papildu izdevumu finansēšanai (kompensējošu izdevumu samazinājumu norāda ar "+" zīmi)</w:t>
            </w:r>
          </w:p>
        </w:tc>
        <w:tc>
          <w:tcPr>
            <w:tcW w:w="1273" w:type="dxa"/>
          </w:tcPr>
          <w:p w:rsidR="00F964F4" w:rsidRPr="009F7DD3" w:rsidRDefault="00C8649E" w:rsidP="00F964F4">
            <w:pPr>
              <w:pStyle w:val="naisf"/>
              <w:spacing w:before="0" w:after="0"/>
              <w:ind w:firstLine="0"/>
              <w:jc w:val="center"/>
            </w:pPr>
            <w:r>
              <w:t>0</w:t>
            </w:r>
          </w:p>
        </w:tc>
        <w:tc>
          <w:tcPr>
            <w:tcW w:w="1352" w:type="dxa"/>
          </w:tcPr>
          <w:p w:rsidR="00F964F4" w:rsidRPr="009F7DD3" w:rsidRDefault="00C8649E" w:rsidP="00F964F4">
            <w:pPr>
              <w:jc w:val="center"/>
            </w:pPr>
            <w:r>
              <w:t>0</w:t>
            </w:r>
          </w:p>
        </w:tc>
        <w:tc>
          <w:tcPr>
            <w:tcW w:w="1276" w:type="dxa"/>
          </w:tcPr>
          <w:p w:rsidR="00F964F4" w:rsidRPr="009F7DD3" w:rsidRDefault="00C8649E" w:rsidP="00F964F4">
            <w:pPr>
              <w:jc w:val="center"/>
            </w:pPr>
            <w:r w:rsidRPr="009F7DD3">
              <w:t>425 556</w:t>
            </w:r>
          </w:p>
        </w:tc>
        <w:tc>
          <w:tcPr>
            <w:tcW w:w="1246" w:type="dxa"/>
          </w:tcPr>
          <w:p w:rsidR="00F964F4" w:rsidRPr="00E96152" w:rsidRDefault="00BC1427" w:rsidP="00E96152">
            <w:pPr>
              <w:spacing w:after="75"/>
              <w:jc w:val="center"/>
            </w:pPr>
            <w:r w:rsidRPr="00E96152">
              <w:t>531 945</w:t>
            </w:r>
          </w:p>
        </w:tc>
        <w:tc>
          <w:tcPr>
            <w:tcW w:w="1387" w:type="dxa"/>
          </w:tcPr>
          <w:p w:rsidR="00F964F4" w:rsidRPr="00E96152" w:rsidRDefault="00BC1427" w:rsidP="00E96152">
            <w:pPr>
              <w:spacing w:after="75"/>
              <w:jc w:val="center"/>
            </w:pPr>
            <w:r w:rsidRPr="00E96152">
              <w:t>531 945</w:t>
            </w:r>
          </w:p>
        </w:tc>
      </w:tr>
      <w:tr w:rsidR="00E53DB2" w:rsidRPr="009F7DD3" w:rsidTr="00995202">
        <w:trPr>
          <w:jc w:val="center"/>
        </w:trPr>
        <w:tc>
          <w:tcPr>
            <w:tcW w:w="2229" w:type="dxa"/>
          </w:tcPr>
          <w:p w:rsidR="00E53DB2" w:rsidRPr="009F7DD3" w:rsidRDefault="00E53DB2" w:rsidP="00016659">
            <w:r w:rsidRPr="009F7DD3">
              <w:t>5. Precizēta finansiālā ietekme:</w:t>
            </w:r>
          </w:p>
        </w:tc>
        <w:tc>
          <w:tcPr>
            <w:tcW w:w="1273" w:type="dxa"/>
          </w:tcPr>
          <w:p w:rsidR="00E53DB2" w:rsidRPr="009F7DD3" w:rsidRDefault="006E1301" w:rsidP="006A00C7">
            <w:pPr>
              <w:jc w:val="center"/>
            </w:pPr>
            <w:r w:rsidRPr="009F7DD3">
              <w:t>0</w:t>
            </w:r>
          </w:p>
        </w:tc>
        <w:tc>
          <w:tcPr>
            <w:tcW w:w="1352" w:type="dxa"/>
          </w:tcPr>
          <w:p w:rsidR="00E53DB2" w:rsidRPr="009F7DD3" w:rsidRDefault="006E1301" w:rsidP="006A00C7">
            <w:pPr>
              <w:jc w:val="center"/>
            </w:pPr>
            <w:r w:rsidRPr="009F7DD3">
              <w:t>0</w:t>
            </w:r>
          </w:p>
        </w:tc>
        <w:tc>
          <w:tcPr>
            <w:tcW w:w="1276" w:type="dxa"/>
          </w:tcPr>
          <w:p w:rsidR="00E53DB2" w:rsidRPr="009F7DD3" w:rsidRDefault="006E1301" w:rsidP="00E53DB2">
            <w:pPr>
              <w:jc w:val="center"/>
            </w:pPr>
            <w:r w:rsidRPr="009F7DD3">
              <w:t>0</w:t>
            </w:r>
          </w:p>
        </w:tc>
        <w:tc>
          <w:tcPr>
            <w:tcW w:w="1246" w:type="dxa"/>
          </w:tcPr>
          <w:p w:rsidR="00E53DB2" w:rsidRPr="009F7DD3" w:rsidRDefault="006E1301" w:rsidP="00E53DB2">
            <w:pPr>
              <w:jc w:val="center"/>
            </w:pPr>
            <w:r w:rsidRPr="009F7DD3">
              <w:t>0</w:t>
            </w:r>
          </w:p>
        </w:tc>
        <w:tc>
          <w:tcPr>
            <w:tcW w:w="1387" w:type="dxa"/>
          </w:tcPr>
          <w:p w:rsidR="00E53DB2" w:rsidRPr="009F7DD3" w:rsidRDefault="006E1301" w:rsidP="00E53DB2">
            <w:pPr>
              <w:jc w:val="center"/>
            </w:pPr>
            <w:r w:rsidRPr="009F7DD3">
              <w:t>0</w:t>
            </w:r>
          </w:p>
        </w:tc>
      </w:tr>
      <w:tr w:rsidR="00321969" w:rsidRPr="009F7DD3" w:rsidTr="00995202">
        <w:trPr>
          <w:jc w:val="center"/>
        </w:trPr>
        <w:tc>
          <w:tcPr>
            <w:tcW w:w="2229" w:type="dxa"/>
          </w:tcPr>
          <w:p w:rsidR="00321969" w:rsidRPr="009F7DD3" w:rsidRDefault="00321969" w:rsidP="00016659">
            <w:r w:rsidRPr="009F7DD3">
              <w:rPr>
                <w:rFonts w:eastAsia="Calibri"/>
              </w:rPr>
              <w:t>5.1. valsts pamatbudžets</w:t>
            </w:r>
          </w:p>
        </w:tc>
        <w:tc>
          <w:tcPr>
            <w:tcW w:w="1273" w:type="dxa"/>
          </w:tcPr>
          <w:p w:rsidR="00321969" w:rsidRPr="009F7DD3" w:rsidDel="006E1301" w:rsidRDefault="00321969" w:rsidP="006A00C7">
            <w:pPr>
              <w:jc w:val="center"/>
            </w:pPr>
            <w:r w:rsidRPr="009F7DD3">
              <w:t>0</w:t>
            </w:r>
          </w:p>
        </w:tc>
        <w:tc>
          <w:tcPr>
            <w:tcW w:w="1352" w:type="dxa"/>
          </w:tcPr>
          <w:p w:rsidR="00321969" w:rsidRPr="009F7DD3" w:rsidDel="006E1301" w:rsidRDefault="00321969" w:rsidP="006A00C7">
            <w:pPr>
              <w:jc w:val="center"/>
            </w:pPr>
            <w:r w:rsidRPr="009F7DD3">
              <w:t>0</w:t>
            </w:r>
          </w:p>
        </w:tc>
        <w:tc>
          <w:tcPr>
            <w:tcW w:w="1276" w:type="dxa"/>
          </w:tcPr>
          <w:p w:rsidR="00321969" w:rsidRPr="009F7DD3" w:rsidDel="006E1301" w:rsidRDefault="00321969" w:rsidP="00E53DB2">
            <w:pPr>
              <w:jc w:val="center"/>
            </w:pPr>
            <w:r w:rsidRPr="009F7DD3">
              <w:t>0</w:t>
            </w:r>
          </w:p>
        </w:tc>
        <w:tc>
          <w:tcPr>
            <w:tcW w:w="1246" w:type="dxa"/>
          </w:tcPr>
          <w:p w:rsidR="00321969" w:rsidRPr="009F7DD3" w:rsidDel="006E1301" w:rsidRDefault="00321969" w:rsidP="00E53DB2">
            <w:pPr>
              <w:jc w:val="center"/>
            </w:pPr>
            <w:r w:rsidRPr="009F7DD3">
              <w:t>0</w:t>
            </w:r>
          </w:p>
        </w:tc>
        <w:tc>
          <w:tcPr>
            <w:tcW w:w="1387" w:type="dxa"/>
          </w:tcPr>
          <w:p w:rsidR="00321969" w:rsidRPr="009F7DD3" w:rsidDel="006E1301" w:rsidRDefault="00321969" w:rsidP="00E53DB2">
            <w:pPr>
              <w:jc w:val="center"/>
            </w:pPr>
            <w:r w:rsidRPr="009F7DD3">
              <w:t>0</w:t>
            </w:r>
          </w:p>
        </w:tc>
      </w:tr>
      <w:tr w:rsidR="00321969" w:rsidRPr="009F7DD3" w:rsidTr="00995202">
        <w:trPr>
          <w:jc w:val="center"/>
        </w:trPr>
        <w:tc>
          <w:tcPr>
            <w:tcW w:w="2229" w:type="dxa"/>
          </w:tcPr>
          <w:p w:rsidR="00321969" w:rsidRPr="009F7DD3" w:rsidRDefault="00321969" w:rsidP="00016659">
            <w:r w:rsidRPr="009F7DD3">
              <w:rPr>
                <w:rFonts w:eastAsia="Calibri"/>
              </w:rPr>
              <w:t>5.2. speciālais budžets</w:t>
            </w:r>
          </w:p>
        </w:tc>
        <w:tc>
          <w:tcPr>
            <w:tcW w:w="1273" w:type="dxa"/>
          </w:tcPr>
          <w:p w:rsidR="00321969" w:rsidRPr="009F7DD3" w:rsidDel="006E1301" w:rsidRDefault="00321969" w:rsidP="006A00C7">
            <w:pPr>
              <w:jc w:val="center"/>
            </w:pPr>
            <w:r w:rsidRPr="009F7DD3">
              <w:t>0</w:t>
            </w:r>
          </w:p>
        </w:tc>
        <w:tc>
          <w:tcPr>
            <w:tcW w:w="1352" w:type="dxa"/>
          </w:tcPr>
          <w:p w:rsidR="00321969" w:rsidRPr="009F7DD3" w:rsidDel="006E1301" w:rsidRDefault="00321969" w:rsidP="006A00C7">
            <w:pPr>
              <w:jc w:val="center"/>
            </w:pPr>
            <w:r w:rsidRPr="009F7DD3">
              <w:t>0</w:t>
            </w:r>
          </w:p>
        </w:tc>
        <w:tc>
          <w:tcPr>
            <w:tcW w:w="1276" w:type="dxa"/>
          </w:tcPr>
          <w:p w:rsidR="00321969" w:rsidRPr="009F7DD3" w:rsidDel="006E1301" w:rsidRDefault="00321969" w:rsidP="00E53DB2">
            <w:pPr>
              <w:jc w:val="center"/>
            </w:pPr>
            <w:r w:rsidRPr="009F7DD3">
              <w:t>0</w:t>
            </w:r>
          </w:p>
        </w:tc>
        <w:tc>
          <w:tcPr>
            <w:tcW w:w="1246" w:type="dxa"/>
          </w:tcPr>
          <w:p w:rsidR="00321969" w:rsidRPr="009F7DD3" w:rsidDel="006E1301" w:rsidRDefault="00321969" w:rsidP="00E53DB2">
            <w:pPr>
              <w:jc w:val="center"/>
            </w:pPr>
            <w:r w:rsidRPr="009F7DD3">
              <w:t>0</w:t>
            </w:r>
          </w:p>
        </w:tc>
        <w:tc>
          <w:tcPr>
            <w:tcW w:w="1387" w:type="dxa"/>
          </w:tcPr>
          <w:p w:rsidR="00321969" w:rsidRPr="009F7DD3" w:rsidDel="006E1301" w:rsidRDefault="00321969" w:rsidP="00E53DB2">
            <w:pPr>
              <w:jc w:val="center"/>
            </w:pPr>
            <w:r w:rsidRPr="009F7DD3">
              <w:t>0</w:t>
            </w:r>
          </w:p>
        </w:tc>
      </w:tr>
      <w:tr w:rsidR="00321969" w:rsidRPr="009F7DD3" w:rsidTr="00995202">
        <w:trPr>
          <w:jc w:val="center"/>
        </w:trPr>
        <w:tc>
          <w:tcPr>
            <w:tcW w:w="2229" w:type="dxa"/>
          </w:tcPr>
          <w:p w:rsidR="00321969" w:rsidRPr="009F7DD3" w:rsidRDefault="00321969" w:rsidP="00016659">
            <w:r w:rsidRPr="009F7DD3">
              <w:rPr>
                <w:rFonts w:eastAsia="Calibri"/>
              </w:rPr>
              <w:t>5.3. pašvaldību budžets</w:t>
            </w:r>
          </w:p>
        </w:tc>
        <w:tc>
          <w:tcPr>
            <w:tcW w:w="1273" w:type="dxa"/>
          </w:tcPr>
          <w:p w:rsidR="00321969" w:rsidRPr="009F7DD3" w:rsidDel="006E1301" w:rsidRDefault="00321969" w:rsidP="006A00C7">
            <w:pPr>
              <w:jc w:val="center"/>
            </w:pPr>
            <w:r w:rsidRPr="009F7DD3">
              <w:t>0</w:t>
            </w:r>
          </w:p>
        </w:tc>
        <w:tc>
          <w:tcPr>
            <w:tcW w:w="1352" w:type="dxa"/>
          </w:tcPr>
          <w:p w:rsidR="00321969" w:rsidRPr="009F7DD3" w:rsidDel="006E1301" w:rsidRDefault="00321969" w:rsidP="006A00C7">
            <w:pPr>
              <w:jc w:val="center"/>
            </w:pPr>
            <w:r w:rsidRPr="009F7DD3">
              <w:t>0</w:t>
            </w:r>
          </w:p>
        </w:tc>
        <w:tc>
          <w:tcPr>
            <w:tcW w:w="1276" w:type="dxa"/>
          </w:tcPr>
          <w:p w:rsidR="00321969" w:rsidRPr="009F7DD3" w:rsidDel="006E1301" w:rsidRDefault="00321969" w:rsidP="00E53DB2">
            <w:pPr>
              <w:jc w:val="center"/>
            </w:pPr>
            <w:r w:rsidRPr="009F7DD3">
              <w:t>0</w:t>
            </w:r>
          </w:p>
        </w:tc>
        <w:tc>
          <w:tcPr>
            <w:tcW w:w="1246" w:type="dxa"/>
          </w:tcPr>
          <w:p w:rsidR="00321969" w:rsidRPr="009F7DD3" w:rsidDel="006E1301" w:rsidRDefault="00321969" w:rsidP="00E53DB2">
            <w:pPr>
              <w:jc w:val="center"/>
            </w:pPr>
            <w:r w:rsidRPr="009F7DD3">
              <w:t>0</w:t>
            </w:r>
          </w:p>
        </w:tc>
        <w:tc>
          <w:tcPr>
            <w:tcW w:w="1387" w:type="dxa"/>
          </w:tcPr>
          <w:p w:rsidR="00321969" w:rsidRPr="009F7DD3" w:rsidDel="006E1301" w:rsidRDefault="00321969" w:rsidP="00E53DB2">
            <w:pPr>
              <w:jc w:val="center"/>
            </w:pPr>
            <w:r w:rsidRPr="009F7DD3">
              <w:t>0</w:t>
            </w:r>
          </w:p>
        </w:tc>
      </w:tr>
      <w:tr w:rsidR="00BF3649" w:rsidRPr="009F7DD3" w:rsidTr="00995202">
        <w:trPr>
          <w:jc w:val="center"/>
        </w:trPr>
        <w:tc>
          <w:tcPr>
            <w:tcW w:w="2229" w:type="dxa"/>
            <w:shd w:val="clear" w:color="auto" w:fill="auto"/>
          </w:tcPr>
          <w:p w:rsidR="00BF3649" w:rsidRPr="009F7DD3" w:rsidRDefault="00BF3649" w:rsidP="00016659">
            <w:r w:rsidRPr="009F7DD3">
              <w:t>6. Detalizēts ieņēmumu un izdevumu aprēķins (ja nepie</w:t>
            </w:r>
            <w:r w:rsidRPr="009F7DD3">
              <w:softHyphen/>
              <w:t>ciešams, detalizētu ieņēmumu un izdevumu aprēķinu var pie</w:t>
            </w:r>
            <w:r w:rsidRPr="009F7DD3">
              <w:softHyphen/>
              <w:t>vienot anotācijas pielikumā):</w:t>
            </w:r>
          </w:p>
        </w:tc>
        <w:tc>
          <w:tcPr>
            <w:tcW w:w="6534" w:type="dxa"/>
            <w:gridSpan w:val="5"/>
            <w:vMerge w:val="restart"/>
            <w:shd w:val="clear" w:color="auto" w:fill="auto"/>
            <w:vAlign w:val="center"/>
          </w:tcPr>
          <w:p w:rsidR="00E87ED4" w:rsidRPr="009F7DD3" w:rsidRDefault="00BF3649" w:rsidP="00D11178">
            <w:pPr>
              <w:ind w:firstLine="663"/>
              <w:jc w:val="both"/>
              <w:rPr>
                <w:bCs/>
              </w:rPr>
            </w:pPr>
            <w:r w:rsidRPr="009F7DD3">
              <w:rPr>
                <w:lang w:bidi="lo-LA"/>
              </w:rPr>
              <w:t>8.</w:t>
            </w:r>
            <w:r w:rsidR="00887BE0" w:rsidRPr="009F7DD3">
              <w:rPr>
                <w:lang w:bidi="lo-LA"/>
              </w:rPr>
              <w:t xml:space="preserve">1.4. SAM </w:t>
            </w:r>
            <w:r w:rsidRPr="009F7DD3">
              <w:rPr>
                <w:lang w:bidi="lo-LA"/>
              </w:rPr>
              <w:t xml:space="preserve">plānotais </w:t>
            </w:r>
            <w:r w:rsidR="00887BE0" w:rsidRPr="009F7DD3">
              <w:rPr>
                <w:lang w:bidi="lo-LA"/>
              </w:rPr>
              <w:t xml:space="preserve">kopējais finansējums (kopējās attiecināmās izmaksas) ir </w:t>
            </w:r>
            <w:r w:rsidR="00E87ED4" w:rsidRPr="009F7DD3">
              <w:t xml:space="preserve">14 185 198 </w:t>
            </w:r>
            <w:proofErr w:type="spellStart"/>
            <w:r w:rsidR="00E87ED4" w:rsidRPr="009F7DD3">
              <w:rPr>
                <w:i/>
              </w:rPr>
              <w:t>euro</w:t>
            </w:r>
            <w:proofErr w:type="spellEnd"/>
            <w:r w:rsidR="00E87ED4" w:rsidRPr="009F7DD3">
              <w:t>, tai skaitā ERAF 12</w:t>
            </w:r>
            <w:r w:rsidR="00C94D60" w:rsidRPr="009F7DD3">
              <w:t> </w:t>
            </w:r>
            <w:r w:rsidR="00E87ED4" w:rsidRPr="009F7DD3">
              <w:t xml:space="preserve">057 418 </w:t>
            </w:r>
            <w:proofErr w:type="spellStart"/>
            <w:r w:rsidR="00E87ED4" w:rsidRPr="009F7DD3">
              <w:rPr>
                <w:i/>
              </w:rPr>
              <w:t>euro</w:t>
            </w:r>
            <w:proofErr w:type="spellEnd"/>
            <w:r w:rsidR="00E87ED4" w:rsidRPr="009F7DD3">
              <w:t xml:space="preserve"> un valsts budžeta finansējums 2 127 780 </w:t>
            </w:r>
            <w:proofErr w:type="spellStart"/>
            <w:r w:rsidR="00E87ED4" w:rsidRPr="009F7DD3">
              <w:rPr>
                <w:i/>
              </w:rPr>
              <w:t>euro</w:t>
            </w:r>
            <w:proofErr w:type="spellEnd"/>
            <w:r w:rsidR="00E87ED4" w:rsidRPr="009F7DD3">
              <w:t>.</w:t>
            </w:r>
            <w:r w:rsidR="00E87ED4" w:rsidRPr="009F7DD3">
              <w:rPr>
                <w:bCs/>
              </w:rPr>
              <w:t xml:space="preserve"> ERAF finansējuma intensitāte - 85 %.</w:t>
            </w:r>
            <w:r w:rsidR="007734CA" w:rsidRPr="009F7DD3">
              <w:rPr>
                <w:bCs/>
              </w:rPr>
              <w:t xml:space="preserve"> </w:t>
            </w:r>
          </w:p>
          <w:p w:rsidR="00BF3649" w:rsidRPr="009F7DD3" w:rsidRDefault="00BF3649" w:rsidP="00D11178">
            <w:pPr>
              <w:ind w:firstLine="663"/>
              <w:jc w:val="both"/>
              <w:rPr>
                <w:lang w:bidi="lo-LA"/>
              </w:rPr>
            </w:pPr>
            <w:r w:rsidRPr="009F7DD3">
              <w:rPr>
                <w:lang w:bidi="lo-LA"/>
              </w:rPr>
              <w:t xml:space="preserve">Budžeta ieņēmumi ir finansējuma </w:t>
            </w:r>
            <w:r w:rsidR="00887BE0" w:rsidRPr="009F7DD3">
              <w:rPr>
                <w:lang w:bidi="lo-LA"/>
              </w:rPr>
              <w:t>ERAF</w:t>
            </w:r>
            <w:r w:rsidRPr="009F7DD3">
              <w:rPr>
                <w:lang w:bidi="lo-LA"/>
              </w:rPr>
              <w:t xml:space="preserve"> daļ</w:t>
            </w:r>
            <w:r w:rsidR="00C94D60" w:rsidRPr="009F7DD3">
              <w:rPr>
                <w:lang w:bidi="lo-LA"/>
              </w:rPr>
              <w:t>a 85 procentu apmērā no projektu</w:t>
            </w:r>
            <w:r w:rsidRPr="009F7DD3">
              <w:rPr>
                <w:lang w:bidi="lo-LA"/>
              </w:rPr>
              <w:t xml:space="preserve"> attiecināmām izmaksām. Budž</w:t>
            </w:r>
            <w:r w:rsidR="00C94D60" w:rsidRPr="009F7DD3">
              <w:rPr>
                <w:lang w:bidi="lo-LA"/>
              </w:rPr>
              <w:t>eta izdevumi ir kopējie projektu</w:t>
            </w:r>
            <w:r w:rsidRPr="009F7DD3">
              <w:rPr>
                <w:lang w:bidi="lo-LA"/>
              </w:rPr>
              <w:t xml:space="preserve"> ieviešanai nepieciešamie publiskā finansējuma (</w:t>
            </w:r>
            <w:r w:rsidR="00887BE0" w:rsidRPr="009F7DD3">
              <w:rPr>
                <w:lang w:bidi="lo-LA"/>
              </w:rPr>
              <w:t>ERAF</w:t>
            </w:r>
            <w:r w:rsidRPr="009F7DD3">
              <w:rPr>
                <w:lang w:bidi="lo-LA"/>
              </w:rPr>
              <w:t xml:space="preserve"> un valsts budžeta) līdzekļi</w:t>
            </w:r>
            <w:r w:rsidR="00C94D60" w:rsidRPr="009F7DD3">
              <w:rPr>
                <w:lang w:bidi="lo-LA"/>
              </w:rPr>
              <w:t xml:space="preserve"> 100 procentu apmērā no projektu</w:t>
            </w:r>
            <w:r w:rsidRPr="009F7DD3">
              <w:rPr>
                <w:lang w:bidi="lo-LA"/>
              </w:rPr>
              <w:t xml:space="preserve"> attiecināmām izmaksām. </w:t>
            </w:r>
          </w:p>
          <w:p w:rsidR="00BF3649" w:rsidRPr="009F7DD3" w:rsidRDefault="00BF3649" w:rsidP="00D11178">
            <w:pPr>
              <w:ind w:firstLine="663"/>
              <w:jc w:val="both"/>
              <w:rPr>
                <w:lang w:bidi="lo-LA"/>
              </w:rPr>
            </w:pPr>
            <w:r w:rsidRPr="009F7DD3">
              <w:rPr>
                <w:lang w:bidi="lo-LA"/>
              </w:rPr>
              <w:t>Projektu</w:t>
            </w:r>
            <w:r w:rsidR="00887BE0" w:rsidRPr="009F7DD3">
              <w:rPr>
                <w:lang w:bidi="lo-LA"/>
              </w:rPr>
              <w:t>s</w:t>
            </w:r>
            <w:r w:rsidRPr="009F7DD3">
              <w:rPr>
                <w:lang w:bidi="lo-LA"/>
              </w:rPr>
              <w:t xml:space="preserve"> plānots </w:t>
            </w:r>
            <w:r w:rsidR="00D057A8" w:rsidRPr="009F7DD3">
              <w:rPr>
                <w:lang w:bidi="lo-LA"/>
              </w:rPr>
              <w:t xml:space="preserve">indikatīvi </w:t>
            </w:r>
            <w:r w:rsidRPr="009F7DD3">
              <w:rPr>
                <w:lang w:bidi="lo-LA"/>
              </w:rPr>
              <w:t>ieviest no 201</w:t>
            </w:r>
            <w:r w:rsidR="00887BE0" w:rsidRPr="009F7DD3">
              <w:rPr>
                <w:lang w:bidi="lo-LA"/>
              </w:rPr>
              <w:t>7</w:t>
            </w:r>
            <w:r w:rsidRPr="009F7DD3">
              <w:rPr>
                <w:lang w:bidi="lo-LA"/>
              </w:rPr>
              <w:t>.gada I ceturkšņa līdz 20</w:t>
            </w:r>
            <w:r w:rsidR="00887BE0" w:rsidRPr="009F7DD3">
              <w:rPr>
                <w:lang w:bidi="lo-LA"/>
              </w:rPr>
              <w:t>2</w:t>
            </w:r>
            <w:r w:rsidR="005B6259" w:rsidRPr="009F7DD3">
              <w:rPr>
                <w:lang w:bidi="lo-LA"/>
              </w:rPr>
              <w:t>2</w:t>
            </w:r>
            <w:r w:rsidRPr="009F7DD3">
              <w:rPr>
                <w:lang w:bidi="lo-LA"/>
              </w:rPr>
              <w:t xml:space="preserve">.gada </w:t>
            </w:r>
            <w:r w:rsidR="00F964F4" w:rsidRPr="009F7DD3">
              <w:rPr>
                <w:lang w:bidi="lo-LA"/>
              </w:rPr>
              <w:t>IV</w:t>
            </w:r>
            <w:r w:rsidRPr="009F7DD3">
              <w:rPr>
                <w:lang w:bidi="lo-LA"/>
              </w:rPr>
              <w:t xml:space="preserve"> ceturksnim (projekt</w:t>
            </w:r>
            <w:r w:rsidR="00D057A8" w:rsidRPr="009F7DD3">
              <w:rPr>
                <w:lang w:bidi="lo-LA"/>
              </w:rPr>
              <w:t>u</w:t>
            </w:r>
            <w:r w:rsidRPr="009F7DD3">
              <w:rPr>
                <w:lang w:bidi="lo-LA"/>
              </w:rPr>
              <w:t xml:space="preserve"> īstenošanas laiks </w:t>
            </w:r>
            <w:r w:rsidR="00887BE0" w:rsidRPr="009F7DD3">
              <w:rPr>
                <w:lang w:bidi="lo-LA"/>
              </w:rPr>
              <w:t>2–4</w:t>
            </w:r>
            <w:r w:rsidRPr="009F7DD3">
              <w:rPr>
                <w:lang w:bidi="lo-LA"/>
              </w:rPr>
              <w:t xml:space="preserve"> gadi). </w:t>
            </w:r>
            <w:r w:rsidR="00F400F8" w:rsidRPr="009F7DD3">
              <w:rPr>
                <w:lang w:bidi="lo-LA"/>
              </w:rPr>
              <w:t>8.1.4. SAM īsteno vienā projektu iesniegumu atlases kārtā par visu specifiskajam atbalstam pieejamo finansējumu.</w:t>
            </w:r>
          </w:p>
          <w:p w:rsidR="006F7E14" w:rsidRPr="009F7DD3" w:rsidRDefault="006F7E14" w:rsidP="009C4000">
            <w:pPr>
              <w:ind w:firstLine="663"/>
              <w:jc w:val="both"/>
              <w:rPr>
                <w:lang w:bidi="lo-LA"/>
              </w:rPr>
            </w:pPr>
            <w:r w:rsidRPr="009F7DD3">
              <w:rPr>
                <w:lang w:bidi="lo-LA"/>
              </w:rPr>
              <w:t xml:space="preserve">8.1.4. SAM </w:t>
            </w:r>
            <w:r w:rsidR="008D7852" w:rsidRPr="009F7DD3">
              <w:rPr>
                <w:lang w:bidi="lo-LA"/>
              </w:rPr>
              <w:t xml:space="preserve">projektu </w:t>
            </w:r>
            <w:r w:rsidRPr="009F7DD3">
              <w:rPr>
                <w:lang w:bidi="lo-LA"/>
              </w:rPr>
              <w:t xml:space="preserve">ietvaros plānots atbalsts gan koledžu infrastruktūras attīstībai, gan aprīkojuma iegādei, līdz ar to iespējami projekti ar dažādu atbalsta veidu. Pirmie varētu noslēgties projekti, kuros plānots atbalsts aprīkojuma iegādei, savukārt projekti, kuros plānots atbalsts infrastruktūras attīstībai noslēgtos vēlākā laika posmā. Līdz 2018.gada beigām varētu </w:t>
            </w:r>
            <w:r w:rsidR="00F740AD" w:rsidRPr="009F7DD3">
              <w:rPr>
                <w:lang w:bidi="lo-LA"/>
              </w:rPr>
              <w:t>būt</w:t>
            </w:r>
            <w:r w:rsidRPr="009F7DD3">
              <w:rPr>
                <w:lang w:bidi="lo-LA"/>
              </w:rPr>
              <w:t xml:space="preserve"> noslēgušies būvdarbu iepirkumi un uzsākti būvdarbi, noslēgti līgumi par aprīkojuma iegādi. </w:t>
            </w:r>
          </w:p>
          <w:p w:rsidR="003D3583" w:rsidRPr="009F7DD3" w:rsidRDefault="003D3583" w:rsidP="00390D20">
            <w:pPr>
              <w:ind w:firstLine="663"/>
              <w:jc w:val="both"/>
              <w:rPr>
                <w:i/>
                <w:lang w:bidi="lo-LA"/>
              </w:rPr>
            </w:pPr>
            <w:r w:rsidRPr="009F7DD3">
              <w:rPr>
                <w:lang w:bidi="lo-LA"/>
              </w:rPr>
              <w:lastRenderedPageBreak/>
              <w:t xml:space="preserve">2017.gadā tiek plānots finansējums 20 procentu apmērā no kopējā plānotā finansējuma, t.i., 2 837 040 </w:t>
            </w:r>
            <w:proofErr w:type="spellStart"/>
            <w:r w:rsidRPr="009F7DD3">
              <w:rPr>
                <w:i/>
                <w:lang w:bidi="lo-LA"/>
              </w:rPr>
              <w:t>euro</w:t>
            </w:r>
            <w:proofErr w:type="spellEnd"/>
            <w:r w:rsidRPr="009F7DD3">
              <w:rPr>
                <w:i/>
                <w:lang w:bidi="lo-LA"/>
              </w:rPr>
              <w:t xml:space="preserve"> (</w:t>
            </w:r>
            <w:r w:rsidRPr="009F7DD3">
              <w:rPr>
                <w:lang w:bidi="lo-LA"/>
              </w:rPr>
              <w:t>t.sk.</w:t>
            </w:r>
            <w:r w:rsidRPr="009F7DD3">
              <w:rPr>
                <w:i/>
                <w:lang w:bidi="lo-LA"/>
              </w:rPr>
              <w:t xml:space="preserve"> </w:t>
            </w:r>
            <w:r w:rsidRPr="009F7DD3">
              <w:rPr>
                <w:lang w:bidi="lo-LA"/>
              </w:rPr>
              <w:t>ERAF</w:t>
            </w:r>
            <w:r w:rsidRPr="009F7DD3">
              <w:rPr>
                <w:i/>
                <w:lang w:bidi="lo-LA"/>
              </w:rPr>
              <w:t xml:space="preserve"> </w:t>
            </w:r>
            <w:r w:rsidRPr="009F7DD3">
              <w:t>2</w:t>
            </w:r>
            <w:r w:rsidR="00390D20" w:rsidRPr="009F7DD3">
              <w:t> </w:t>
            </w:r>
            <w:r w:rsidRPr="009F7DD3">
              <w:t xml:space="preserve">411 484 </w:t>
            </w:r>
            <w:proofErr w:type="spellStart"/>
            <w:r w:rsidRPr="009F7DD3">
              <w:rPr>
                <w:i/>
              </w:rPr>
              <w:t>euro</w:t>
            </w:r>
            <w:proofErr w:type="spellEnd"/>
            <w:r w:rsidRPr="009F7DD3">
              <w:t xml:space="preserve">, valsts budžets 425 556 </w:t>
            </w:r>
            <w:proofErr w:type="spellStart"/>
            <w:r w:rsidRPr="009F7DD3">
              <w:rPr>
                <w:i/>
              </w:rPr>
              <w:t>euro</w:t>
            </w:r>
            <w:proofErr w:type="spellEnd"/>
            <w:r w:rsidRPr="009F7DD3">
              <w:t>),</w:t>
            </w:r>
            <w:r w:rsidRPr="009F7DD3">
              <w:rPr>
                <w:lang w:bidi="lo-LA"/>
              </w:rPr>
              <w:t xml:space="preserve"> 2018.gadā – 25 procenti, t.i., </w:t>
            </w:r>
            <w:r w:rsidRPr="009F7DD3">
              <w:t xml:space="preserve">3 546 299 </w:t>
            </w:r>
            <w:proofErr w:type="spellStart"/>
            <w:r w:rsidRPr="009F7DD3">
              <w:rPr>
                <w:i/>
              </w:rPr>
              <w:t>euro</w:t>
            </w:r>
            <w:proofErr w:type="spellEnd"/>
            <w:r w:rsidRPr="009F7DD3">
              <w:t xml:space="preserve"> (t.sk. ERAF 3 014 354 </w:t>
            </w:r>
            <w:proofErr w:type="spellStart"/>
            <w:r w:rsidRPr="009F7DD3">
              <w:rPr>
                <w:i/>
              </w:rPr>
              <w:t>euro</w:t>
            </w:r>
            <w:proofErr w:type="spellEnd"/>
            <w:r w:rsidRPr="009F7DD3">
              <w:t xml:space="preserve">, valsts budžets 531 945 </w:t>
            </w:r>
            <w:proofErr w:type="spellStart"/>
            <w:r w:rsidRPr="009F7DD3">
              <w:rPr>
                <w:i/>
              </w:rPr>
              <w:t>euro</w:t>
            </w:r>
            <w:proofErr w:type="spellEnd"/>
            <w:r w:rsidRPr="009F7DD3">
              <w:t xml:space="preserve">), </w:t>
            </w:r>
            <w:r w:rsidRPr="009F7DD3">
              <w:rPr>
                <w:lang w:bidi="lo-LA"/>
              </w:rPr>
              <w:t xml:space="preserve">2019.gadā – 25 procenti, t.i., </w:t>
            </w:r>
            <w:r w:rsidRPr="009F7DD3">
              <w:t xml:space="preserve">3 546 299 </w:t>
            </w:r>
            <w:proofErr w:type="spellStart"/>
            <w:r w:rsidRPr="009F7DD3">
              <w:rPr>
                <w:i/>
              </w:rPr>
              <w:t>euro</w:t>
            </w:r>
            <w:proofErr w:type="spellEnd"/>
            <w:r w:rsidRPr="009F7DD3">
              <w:t xml:space="preserve"> (t.sk. ERAF 3 014 354 </w:t>
            </w:r>
            <w:proofErr w:type="spellStart"/>
            <w:r w:rsidRPr="009F7DD3">
              <w:rPr>
                <w:i/>
              </w:rPr>
              <w:t>euro</w:t>
            </w:r>
            <w:proofErr w:type="spellEnd"/>
            <w:r w:rsidRPr="009F7DD3">
              <w:t xml:space="preserve">, valsts budžets 531 945 </w:t>
            </w:r>
            <w:proofErr w:type="spellStart"/>
            <w:r w:rsidRPr="009F7DD3">
              <w:rPr>
                <w:i/>
              </w:rPr>
              <w:t>euro</w:t>
            </w:r>
            <w:proofErr w:type="spellEnd"/>
            <w:r w:rsidRPr="009F7DD3">
              <w:t>)</w:t>
            </w:r>
            <w:r w:rsidRPr="009F7DD3">
              <w:rPr>
                <w:i/>
                <w:lang w:bidi="lo-LA"/>
              </w:rPr>
              <w:t>,</w:t>
            </w:r>
            <w:r w:rsidRPr="009F7DD3">
              <w:rPr>
                <w:lang w:bidi="lo-LA"/>
              </w:rPr>
              <w:t xml:space="preserve"> 2020.gadā – </w:t>
            </w:r>
            <w:r w:rsidR="005B6259" w:rsidRPr="009F7DD3">
              <w:rPr>
                <w:lang w:bidi="lo-LA"/>
              </w:rPr>
              <w:t>15</w:t>
            </w:r>
            <w:r w:rsidRPr="009F7DD3">
              <w:rPr>
                <w:lang w:bidi="lo-LA"/>
              </w:rPr>
              <w:t xml:space="preserve"> procenti, t.i., 2 </w:t>
            </w:r>
            <w:r w:rsidR="005B6259" w:rsidRPr="009F7DD3">
              <w:rPr>
                <w:lang w:bidi="lo-LA"/>
              </w:rPr>
              <w:t>127</w:t>
            </w:r>
            <w:r w:rsidRPr="009F7DD3">
              <w:rPr>
                <w:lang w:bidi="lo-LA"/>
              </w:rPr>
              <w:t xml:space="preserve"> </w:t>
            </w:r>
            <w:r w:rsidR="005B6259" w:rsidRPr="009F7DD3">
              <w:rPr>
                <w:lang w:bidi="lo-LA"/>
              </w:rPr>
              <w:t>78</w:t>
            </w:r>
            <w:r w:rsidRPr="009F7DD3">
              <w:rPr>
                <w:lang w:bidi="lo-LA"/>
              </w:rPr>
              <w:t xml:space="preserve">0 </w:t>
            </w:r>
            <w:proofErr w:type="spellStart"/>
            <w:r w:rsidRPr="009F7DD3">
              <w:rPr>
                <w:i/>
                <w:lang w:bidi="lo-LA"/>
              </w:rPr>
              <w:t>euro</w:t>
            </w:r>
            <w:proofErr w:type="spellEnd"/>
            <w:r w:rsidRPr="009F7DD3">
              <w:rPr>
                <w:i/>
                <w:lang w:bidi="lo-LA"/>
              </w:rPr>
              <w:t xml:space="preserve"> (</w:t>
            </w:r>
            <w:r w:rsidRPr="009F7DD3">
              <w:rPr>
                <w:lang w:bidi="lo-LA"/>
              </w:rPr>
              <w:t>t.sk.</w:t>
            </w:r>
            <w:r w:rsidRPr="009F7DD3">
              <w:rPr>
                <w:i/>
                <w:lang w:bidi="lo-LA"/>
              </w:rPr>
              <w:t xml:space="preserve"> </w:t>
            </w:r>
            <w:r w:rsidRPr="009F7DD3">
              <w:rPr>
                <w:lang w:bidi="lo-LA"/>
              </w:rPr>
              <w:t>ERAF</w:t>
            </w:r>
            <w:r w:rsidRPr="009F7DD3">
              <w:rPr>
                <w:i/>
                <w:lang w:bidi="lo-LA"/>
              </w:rPr>
              <w:t xml:space="preserve"> </w:t>
            </w:r>
            <w:r w:rsidR="005B6259" w:rsidRPr="009F7DD3">
              <w:t>1</w:t>
            </w:r>
            <w:r w:rsidRPr="009F7DD3">
              <w:t xml:space="preserve"> </w:t>
            </w:r>
            <w:r w:rsidR="005B6259" w:rsidRPr="009F7DD3">
              <w:t>808</w:t>
            </w:r>
            <w:r w:rsidRPr="009F7DD3">
              <w:t xml:space="preserve"> </w:t>
            </w:r>
            <w:r w:rsidR="005B6259" w:rsidRPr="009F7DD3">
              <w:t>613</w:t>
            </w:r>
            <w:r w:rsidRPr="009F7DD3">
              <w:t xml:space="preserve"> </w:t>
            </w:r>
            <w:proofErr w:type="spellStart"/>
            <w:r w:rsidRPr="009F7DD3">
              <w:rPr>
                <w:i/>
              </w:rPr>
              <w:t>euro</w:t>
            </w:r>
            <w:proofErr w:type="spellEnd"/>
            <w:r w:rsidRPr="009F7DD3">
              <w:t xml:space="preserve">, valsts budžets </w:t>
            </w:r>
            <w:r w:rsidR="005B6259" w:rsidRPr="009F7DD3">
              <w:t>319</w:t>
            </w:r>
            <w:r w:rsidRPr="009F7DD3">
              <w:t xml:space="preserve"> </w:t>
            </w:r>
            <w:r w:rsidR="005B6259" w:rsidRPr="009F7DD3">
              <w:t>167</w:t>
            </w:r>
            <w:r w:rsidRPr="009F7DD3">
              <w:t xml:space="preserve"> </w:t>
            </w:r>
            <w:proofErr w:type="spellStart"/>
            <w:r w:rsidRPr="009F7DD3">
              <w:rPr>
                <w:i/>
              </w:rPr>
              <w:t>euro</w:t>
            </w:r>
            <w:proofErr w:type="spellEnd"/>
            <w:r w:rsidRPr="009F7DD3">
              <w:t>)</w:t>
            </w:r>
            <w:r w:rsidRPr="009F7DD3">
              <w:rPr>
                <w:i/>
                <w:lang w:bidi="lo-LA"/>
              </w:rPr>
              <w:t>,</w:t>
            </w:r>
            <w:r w:rsidRPr="009F7DD3">
              <w:rPr>
                <w:lang w:bidi="lo-LA"/>
              </w:rPr>
              <w:t xml:space="preserve"> 2021.gadā – 10 procenti, t.i., </w:t>
            </w:r>
            <w:r w:rsidRPr="009F7DD3">
              <w:t xml:space="preserve">1 418 520 </w:t>
            </w:r>
            <w:proofErr w:type="spellStart"/>
            <w:r w:rsidRPr="009F7DD3">
              <w:rPr>
                <w:i/>
                <w:lang w:bidi="lo-LA"/>
              </w:rPr>
              <w:t>euro</w:t>
            </w:r>
            <w:proofErr w:type="spellEnd"/>
            <w:r w:rsidRPr="009F7DD3">
              <w:rPr>
                <w:i/>
                <w:lang w:bidi="lo-LA"/>
              </w:rPr>
              <w:t xml:space="preserve"> (</w:t>
            </w:r>
            <w:r w:rsidRPr="009F7DD3">
              <w:rPr>
                <w:lang w:bidi="lo-LA"/>
              </w:rPr>
              <w:t>t.sk.</w:t>
            </w:r>
            <w:r w:rsidRPr="009F7DD3">
              <w:rPr>
                <w:i/>
                <w:lang w:bidi="lo-LA"/>
              </w:rPr>
              <w:t xml:space="preserve"> </w:t>
            </w:r>
            <w:r w:rsidRPr="009F7DD3">
              <w:rPr>
                <w:lang w:bidi="lo-LA"/>
              </w:rPr>
              <w:t>ERAF</w:t>
            </w:r>
            <w:r w:rsidRPr="009F7DD3">
              <w:rPr>
                <w:i/>
                <w:lang w:bidi="lo-LA"/>
              </w:rPr>
              <w:t xml:space="preserve"> </w:t>
            </w:r>
            <w:r w:rsidRPr="009F7DD3">
              <w:t xml:space="preserve">1 205 742 </w:t>
            </w:r>
            <w:proofErr w:type="spellStart"/>
            <w:r w:rsidRPr="009F7DD3">
              <w:rPr>
                <w:i/>
              </w:rPr>
              <w:t>euro</w:t>
            </w:r>
            <w:proofErr w:type="spellEnd"/>
            <w:r w:rsidRPr="009F7DD3">
              <w:t xml:space="preserve">, valsts budžets 212 778 </w:t>
            </w:r>
            <w:proofErr w:type="spellStart"/>
            <w:r w:rsidRPr="009F7DD3">
              <w:rPr>
                <w:i/>
              </w:rPr>
              <w:t>euro</w:t>
            </w:r>
            <w:proofErr w:type="spellEnd"/>
            <w:r w:rsidRPr="009F7DD3">
              <w:t>)</w:t>
            </w:r>
            <w:r w:rsidR="005B6259" w:rsidRPr="009F7DD3">
              <w:t xml:space="preserve">, 2022.gadā – 5 procenti, t.i. 709 260 </w:t>
            </w:r>
            <w:proofErr w:type="spellStart"/>
            <w:r w:rsidR="005B6259" w:rsidRPr="009F7DD3">
              <w:rPr>
                <w:i/>
              </w:rPr>
              <w:t>euro</w:t>
            </w:r>
            <w:proofErr w:type="spellEnd"/>
            <w:r w:rsidR="005B6259" w:rsidRPr="009F7DD3">
              <w:t xml:space="preserve"> (t.sk. ERAF 602 871 </w:t>
            </w:r>
            <w:proofErr w:type="spellStart"/>
            <w:r w:rsidR="005B6259" w:rsidRPr="009F7DD3">
              <w:rPr>
                <w:i/>
              </w:rPr>
              <w:t>euro</w:t>
            </w:r>
            <w:proofErr w:type="spellEnd"/>
            <w:r w:rsidR="005B6259" w:rsidRPr="009F7DD3">
              <w:t xml:space="preserve">, valsts budžets 106 389 </w:t>
            </w:r>
            <w:proofErr w:type="spellStart"/>
            <w:r w:rsidR="005B6259" w:rsidRPr="009F7DD3">
              <w:rPr>
                <w:i/>
              </w:rPr>
              <w:t>euro</w:t>
            </w:r>
            <w:proofErr w:type="spellEnd"/>
            <w:r w:rsidR="005B6259" w:rsidRPr="009F7DD3">
              <w:t>).</w:t>
            </w:r>
          </w:p>
          <w:p w:rsidR="009C4000" w:rsidRPr="009F7DD3" w:rsidRDefault="009C4000" w:rsidP="00F400F8">
            <w:pPr>
              <w:ind w:firstLine="663"/>
              <w:jc w:val="both"/>
              <w:rPr>
                <w:lang w:bidi="lo-LA"/>
              </w:rPr>
            </w:pPr>
            <w:r w:rsidRPr="009F7DD3">
              <w:rPr>
                <w:lang w:bidi="lo-LA"/>
              </w:rPr>
              <w:t>Budžeta ilgtermiņa saistībās 2017., 2018. un 2019. gadam šobrīd finansējums projektiem nav paredzēts. 8.1.4. SAM projekt</w:t>
            </w:r>
            <w:r w:rsidR="00C94D60" w:rsidRPr="009F7DD3">
              <w:rPr>
                <w:lang w:bidi="lo-LA"/>
              </w:rPr>
              <w:t>u</w:t>
            </w:r>
            <w:r w:rsidRPr="009F7DD3">
              <w:rPr>
                <w:lang w:bidi="lo-LA"/>
              </w:rPr>
              <w:t xml:space="preserve"> īstenošanai nepieciešamais finansējums tiks iestrādāts budžeta ilgtermiņa saistībās likumprojekta “Par vidēja termiņa budžeta ietvaru 2017., 2018. un 2019.gadam” sagatavošanas laikā.</w:t>
            </w:r>
          </w:p>
          <w:p w:rsidR="004F3141" w:rsidRPr="009F7DD3" w:rsidRDefault="00BF3649" w:rsidP="00D057A8">
            <w:pPr>
              <w:ind w:firstLine="720"/>
              <w:jc w:val="both"/>
              <w:rPr>
                <w:b/>
              </w:rPr>
            </w:pPr>
            <w:r w:rsidRPr="009F7DD3" w:rsidDel="00D11178">
              <w:rPr>
                <w:lang w:bidi="lo-LA"/>
              </w:rPr>
              <w:t>Finansējuma sadalījums pa gadiem norādīts indikatīvi un var tikt precizēts pēc 8.</w:t>
            </w:r>
            <w:r w:rsidR="00D057A8" w:rsidRPr="009F7DD3">
              <w:rPr>
                <w:lang w:bidi="lo-LA"/>
              </w:rPr>
              <w:t>1</w:t>
            </w:r>
            <w:r w:rsidRPr="009F7DD3" w:rsidDel="00D11178">
              <w:rPr>
                <w:lang w:bidi="lo-LA"/>
              </w:rPr>
              <w:t xml:space="preserve">.4. </w:t>
            </w:r>
            <w:r w:rsidR="00D057A8" w:rsidRPr="009F7DD3" w:rsidDel="00D11178">
              <w:rPr>
                <w:lang w:bidi="lo-LA"/>
              </w:rPr>
              <w:t xml:space="preserve">SAM </w:t>
            </w:r>
            <w:r w:rsidRPr="009F7DD3" w:rsidDel="00D11178">
              <w:rPr>
                <w:lang w:bidi="lo-LA"/>
              </w:rPr>
              <w:t>projekt</w:t>
            </w:r>
            <w:r w:rsidR="00D057A8" w:rsidRPr="009F7DD3">
              <w:rPr>
                <w:lang w:bidi="lo-LA"/>
              </w:rPr>
              <w:t>u</w:t>
            </w:r>
            <w:r w:rsidRPr="009F7DD3" w:rsidDel="00D11178">
              <w:rPr>
                <w:lang w:bidi="lo-LA"/>
              </w:rPr>
              <w:t xml:space="preserve"> apstiprināšanas.</w:t>
            </w:r>
          </w:p>
        </w:tc>
      </w:tr>
      <w:tr w:rsidR="00BF3649" w:rsidRPr="009F7DD3" w:rsidTr="00995202">
        <w:trPr>
          <w:jc w:val="center"/>
        </w:trPr>
        <w:tc>
          <w:tcPr>
            <w:tcW w:w="2229" w:type="dxa"/>
          </w:tcPr>
          <w:p w:rsidR="00BF3649" w:rsidRPr="009F7DD3" w:rsidRDefault="00BF3649" w:rsidP="00016659">
            <w:r w:rsidRPr="009F7DD3">
              <w:t>6.1. detalizēts ieņēmumu aprēķins</w:t>
            </w:r>
          </w:p>
        </w:tc>
        <w:tc>
          <w:tcPr>
            <w:tcW w:w="6534" w:type="dxa"/>
            <w:gridSpan w:val="5"/>
            <w:vMerge/>
          </w:tcPr>
          <w:p w:rsidR="00BF3649" w:rsidRPr="009F7DD3" w:rsidRDefault="00BF3649" w:rsidP="00016659">
            <w:pPr>
              <w:pStyle w:val="naisf"/>
              <w:spacing w:before="0" w:after="0"/>
              <w:ind w:left="57" w:right="113"/>
              <w:rPr>
                <w:b/>
                <w:i/>
              </w:rPr>
            </w:pPr>
          </w:p>
        </w:tc>
      </w:tr>
      <w:tr w:rsidR="00BF3649" w:rsidRPr="009F7DD3" w:rsidTr="00995202">
        <w:trPr>
          <w:jc w:val="center"/>
        </w:trPr>
        <w:tc>
          <w:tcPr>
            <w:tcW w:w="2229" w:type="dxa"/>
          </w:tcPr>
          <w:p w:rsidR="00BF3649" w:rsidRPr="009F7DD3" w:rsidRDefault="00BF3649" w:rsidP="00016659">
            <w:r w:rsidRPr="009F7DD3">
              <w:t>6.2. detalizēts izdevumu aprēķins</w:t>
            </w:r>
          </w:p>
          <w:p w:rsidR="001F4D68" w:rsidRPr="009F7DD3" w:rsidRDefault="001F4D68" w:rsidP="00016659"/>
          <w:p w:rsidR="001F4D68" w:rsidRPr="009F7DD3" w:rsidRDefault="001F4D68" w:rsidP="00016659"/>
        </w:tc>
        <w:tc>
          <w:tcPr>
            <w:tcW w:w="6534" w:type="dxa"/>
            <w:gridSpan w:val="5"/>
            <w:vMerge/>
          </w:tcPr>
          <w:p w:rsidR="00BF3649" w:rsidRPr="009F7DD3" w:rsidRDefault="00BF3649" w:rsidP="00016659">
            <w:pPr>
              <w:pStyle w:val="naisf"/>
              <w:spacing w:before="0" w:after="0"/>
              <w:ind w:left="57" w:right="113"/>
              <w:rPr>
                <w:b/>
                <w:i/>
              </w:rPr>
            </w:pPr>
          </w:p>
        </w:tc>
      </w:tr>
      <w:tr w:rsidR="00BF3649" w:rsidRPr="009F7DD3" w:rsidTr="00995202">
        <w:trPr>
          <w:trHeight w:val="556"/>
          <w:jc w:val="center"/>
        </w:trPr>
        <w:tc>
          <w:tcPr>
            <w:tcW w:w="2229" w:type="dxa"/>
          </w:tcPr>
          <w:p w:rsidR="00BF3649" w:rsidRPr="009F7DD3" w:rsidRDefault="00BF3649" w:rsidP="00016659">
            <w:r w:rsidRPr="009F7DD3">
              <w:t>7. Cita informācija</w:t>
            </w:r>
          </w:p>
        </w:tc>
        <w:tc>
          <w:tcPr>
            <w:tcW w:w="6534" w:type="dxa"/>
            <w:gridSpan w:val="5"/>
          </w:tcPr>
          <w:p w:rsidR="004E550F" w:rsidRPr="009F7DD3" w:rsidRDefault="00C24586" w:rsidP="006C48A7">
            <w:pPr>
              <w:pStyle w:val="naisf"/>
              <w:tabs>
                <w:tab w:val="left" w:pos="4644"/>
              </w:tabs>
              <w:spacing w:before="0" w:after="0"/>
              <w:ind w:firstLine="0"/>
            </w:pPr>
            <w:r w:rsidRPr="009F7DD3">
              <w:t>Nepieciešamais finansējums 8.1.4.SAM īstenošanai pēc projekt</w:t>
            </w:r>
            <w:r w:rsidR="006C48A7" w:rsidRPr="009F7DD3">
              <w:t>u</w:t>
            </w:r>
            <w:r w:rsidRPr="009F7DD3">
              <w:t xml:space="preserve"> iesniegum</w:t>
            </w:r>
            <w:r w:rsidR="006C48A7" w:rsidRPr="009F7DD3">
              <w:t>u</w:t>
            </w:r>
            <w:r w:rsidRPr="009F7DD3">
              <w:t xml:space="preserve"> apstiprināšanas tiks piesaistīts normatīvajos aktos noteiktajā kārtībā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r w:rsidR="003C4140" w:rsidRPr="009F7DD3">
              <w:t>.</w:t>
            </w:r>
          </w:p>
        </w:tc>
      </w:tr>
    </w:tbl>
    <w:p w:rsidR="00BF3649" w:rsidRPr="009F7DD3" w:rsidRDefault="00BF3649"/>
    <w:p w:rsidR="002764B8" w:rsidRPr="009F7DD3" w:rsidRDefault="002764B8"/>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1668"/>
        <w:gridCol w:w="265"/>
        <w:gridCol w:w="723"/>
        <w:gridCol w:w="1394"/>
        <w:gridCol w:w="1111"/>
        <w:gridCol w:w="1506"/>
        <w:gridCol w:w="1970"/>
      </w:tblGrid>
      <w:tr w:rsidR="00016659" w:rsidRPr="009F7DD3" w:rsidTr="001629C3">
        <w:trPr>
          <w:trHeight w:val="421"/>
          <w:jc w:val="center"/>
        </w:trPr>
        <w:tc>
          <w:tcPr>
            <w:tcW w:w="8873" w:type="dxa"/>
            <w:gridSpan w:val="8"/>
            <w:tcBorders>
              <w:top w:val="single" w:sz="4" w:space="0" w:color="auto"/>
              <w:left w:val="single" w:sz="4" w:space="0" w:color="auto"/>
              <w:bottom w:val="single" w:sz="4" w:space="0" w:color="auto"/>
              <w:right w:val="single" w:sz="4" w:space="0" w:color="auto"/>
            </w:tcBorders>
            <w:vAlign w:val="center"/>
          </w:tcPr>
          <w:p w:rsidR="00016659" w:rsidRPr="009F7DD3" w:rsidRDefault="00016659" w:rsidP="00016659">
            <w:pPr>
              <w:rPr>
                <w:b/>
              </w:rPr>
            </w:pPr>
            <w:r w:rsidRPr="009F7DD3">
              <w:rPr>
                <w:b/>
              </w:rPr>
              <w:t>V. Tiesību akta projekta atbilstība Latvijas Republikas starptautiskajām saistībām</w:t>
            </w:r>
          </w:p>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1.</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Saistības pret Eiropas Savienību</w:t>
            </w:r>
          </w:p>
        </w:tc>
        <w:tc>
          <w:tcPr>
            <w:tcW w:w="5981" w:type="dxa"/>
            <w:gridSpan w:val="4"/>
            <w:tcBorders>
              <w:top w:val="outset" w:sz="6" w:space="0" w:color="auto"/>
              <w:left w:val="outset" w:sz="6" w:space="0" w:color="auto"/>
              <w:bottom w:val="outset" w:sz="6" w:space="0" w:color="auto"/>
              <w:right w:val="outset" w:sz="6" w:space="0" w:color="auto"/>
            </w:tcBorders>
          </w:tcPr>
          <w:p w:rsidR="00D73044" w:rsidRPr="009F7DD3" w:rsidRDefault="00D73044" w:rsidP="006F7D3F">
            <w:pPr>
              <w:ind w:left="57" w:right="113"/>
              <w:jc w:val="both"/>
            </w:pPr>
            <w:r w:rsidRPr="009F7DD3">
              <w:t xml:space="preserve">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w:t>
            </w:r>
            <w:r w:rsidR="006F7D3F" w:rsidRPr="009F7DD3">
              <w:t>R</w:t>
            </w:r>
            <w:r w:rsidRPr="009F7DD3">
              <w:t>egula Nr.1303/2013).</w:t>
            </w:r>
          </w:p>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2.</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Citas starptautiskās saistības</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9F7DD3" w:rsidRDefault="00016659" w:rsidP="00016659">
            <w:pPr>
              <w:ind w:left="57" w:right="113"/>
              <w:jc w:val="both"/>
            </w:pPr>
            <w:r w:rsidRPr="009F7DD3">
              <w:t>Noteikumu projekts šo jomu neskar.</w:t>
            </w:r>
          </w:p>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3.</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Cita informācija</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9F7DD3" w:rsidRDefault="00D242E7" w:rsidP="005B6259">
            <w:pPr>
              <w:ind w:left="57" w:right="113"/>
              <w:jc w:val="both"/>
            </w:pPr>
            <w:r w:rsidRPr="009F7DD3">
              <w:t xml:space="preserve">Saskaņā ar </w:t>
            </w:r>
            <w:r w:rsidRPr="009F7DD3">
              <w:rPr>
                <w:bCs/>
              </w:rPr>
              <w:t xml:space="preserve">Darbības programmas „Izaugsme un nodarbinātība” 7.pielikumā „Koordinācija ar Eiropas Savienības stratēģiju Baltijas jūras reģionam minēto, </w:t>
            </w:r>
            <w:r w:rsidRPr="009F7DD3">
              <w:t xml:space="preserve">8.1.4. SAM ietvaros koordinācija ar </w:t>
            </w:r>
            <w:r w:rsidRPr="009F7DD3">
              <w:rPr>
                <w:rStyle w:val="st"/>
              </w:rPr>
              <w:t xml:space="preserve">ES </w:t>
            </w:r>
            <w:r w:rsidRPr="009F7DD3">
              <w:rPr>
                <w:rStyle w:val="Emphasis"/>
                <w:i w:val="0"/>
              </w:rPr>
              <w:t>stratēģiju Baltijas jūras reģionam</w:t>
            </w:r>
            <w:r w:rsidRPr="009F7DD3">
              <w:rPr>
                <w:i/>
              </w:rPr>
              <w:t xml:space="preserve"> </w:t>
            </w:r>
            <w:r w:rsidRPr="009F7DD3">
              <w:t>nav paredzēta.</w:t>
            </w:r>
          </w:p>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rsidR="00016659" w:rsidRPr="009F7DD3" w:rsidRDefault="00016659" w:rsidP="00016659">
            <w:pPr>
              <w:rPr>
                <w:b/>
              </w:rPr>
            </w:pPr>
            <w:r w:rsidRPr="009F7DD3">
              <w:rPr>
                <w:b/>
              </w:rPr>
              <w:t>1.tabula</w:t>
            </w:r>
          </w:p>
          <w:p w:rsidR="00016659" w:rsidRPr="009F7DD3" w:rsidRDefault="00016659" w:rsidP="00016659">
            <w:r w:rsidRPr="009F7DD3">
              <w:rPr>
                <w:b/>
              </w:rPr>
              <w:t>Tiesību akta projekta atbilstība ES tiesību aktiem</w:t>
            </w:r>
          </w:p>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lastRenderedPageBreak/>
              <w:t>Attiecīgā ES tiesību akta datums, numurs un nosaukums</w:t>
            </w:r>
          </w:p>
        </w:tc>
        <w:tc>
          <w:tcPr>
            <w:tcW w:w="6969" w:type="dxa"/>
            <w:gridSpan w:val="6"/>
            <w:tcBorders>
              <w:top w:val="outset" w:sz="6" w:space="0" w:color="auto"/>
              <w:left w:val="outset" w:sz="6" w:space="0" w:color="auto"/>
              <w:bottom w:val="outset" w:sz="6" w:space="0" w:color="auto"/>
              <w:right w:val="outset" w:sz="6" w:space="0" w:color="auto"/>
            </w:tcBorders>
          </w:tcPr>
          <w:p w:rsidR="00016659" w:rsidRPr="009F7DD3" w:rsidRDefault="006F7D3F" w:rsidP="00016659">
            <w:r w:rsidRPr="009F7DD3">
              <w:t>R</w:t>
            </w:r>
            <w:r w:rsidR="00016659" w:rsidRPr="009F7DD3">
              <w:t>egula Nr.1303/2013.</w:t>
            </w:r>
          </w:p>
          <w:p w:rsidR="00016659" w:rsidRPr="009F7DD3" w:rsidRDefault="00016659" w:rsidP="00016659"/>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vAlign w:val="center"/>
          </w:tcPr>
          <w:p w:rsidR="00016659" w:rsidRPr="009F7DD3" w:rsidRDefault="00016659" w:rsidP="00016659">
            <w:r w:rsidRPr="009F7DD3">
              <w:t>A</w:t>
            </w:r>
          </w:p>
        </w:tc>
        <w:tc>
          <w:tcPr>
            <w:tcW w:w="2382" w:type="dxa"/>
            <w:gridSpan w:val="3"/>
            <w:tcBorders>
              <w:top w:val="outset" w:sz="6" w:space="0" w:color="auto"/>
              <w:left w:val="outset" w:sz="6" w:space="0" w:color="auto"/>
              <w:bottom w:val="outset" w:sz="6" w:space="0" w:color="auto"/>
              <w:right w:val="outset" w:sz="6" w:space="0" w:color="auto"/>
            </w:tcBorders>
            <w:vAlign w:val="center"/>
          </w:tcPr>
          <w:p w:rsidR="00016659" w:rsidRPr="009F7DD3" w:rsidRDefault="00016659" w:rsidP="00016659">
            <w:r w:rsidRPr="009F7DD3">
              <w:t>B</w:t>
            </w:r>
          </w:p>
        </w:tc>
        <w:tc>
          <w:tcPr>
            <w:tcW w:w="2617" w:type="dxa"/>
            <w:gridSpan w:val="2"/>
            <w:tcBorders>
              <w:top w:val="outset" w:sz="6" w:space="0" w:color="auto"/>
              <w:left w:val="outset" w:sz="6" w:space="0" w:color="auto"/>
              <w:bottom w:val="outset" w:sz="6" w:space="0" w:color="auto"/>
              <w:right w:val="outset" w:sz="6" w:space="0" w:color="auto"/>
            </w:tcBorders>
            <w:vAlign w:val="center"/>
          </w:tcPr>
          <w:p w:rsidR="00016659" w:rsidRPr="009F7DD3" w:rsidRDefault="00016659" w:rsidP="00016659">
            <w:r w:rsidRPr="009F7DD3">
              <w:t>C</w:t>
            </w:r>
          </w:p>
        </w:tc>
        <w:tc>
          <w:tcPr>
            <w:tcW w:w="1970" w:type="dxa"/>
            <w:tcBorders>
              <w:top w:val="outset" w:sz="6" w:space="0" w:color="auto"/>
              <w:left w:val="outset" w:sz="6" w:space="0" w:color="auto"/>
              <w:bottom w:val="outset" w:sz="6" w:space="0" w:color="auto"/>
              <w:right w:val="outset" w:sz="6" w:space="0" w:color="auto"/>
            </w:tcBorders>
            <w:vAlign w:val="center"/>
          </w:tcPr>
          <w:p w:rsidR="00016659" w:rsidRPr="009F7DD3" w:rsidRDefault="00016659" w:rsidP="00016659">
            <w:r w:rsidRPr="009F7DD3">
              <w:t>D</w:t>
            </w:r>
          </w:p>
        </w:tc>
      </w:tr>
      <w:tr w:rsidR="00016659"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Attiecīgā ES tiesību akta panta numurs (uzskaitot katru tiesību akta vienību – pantu, daļu, punktu, apakšpunktu)</w:t>
            </w:r>
          </w:p>
        </w:tc>
        <w:tc>
          <w:tcPr>
            <w:tcW w:w="2382" w:type="dxa"/>
            <w:gridSpan w:val="3"/>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Projekta vienība, kas pārņem vai ievieš katru šīs tabulas A ailē minēto ES tiesību akta vienību, vai tiesību akts, kur attiecīgā ES tiesību akta vienība pārņemta vai ieviesta</w:t>
            </w:r>
          </w:p>
        </w:tc>
        <w:tc>
          <w:tcPr>
            <w:tcW w:w="2617" w:type="dxa"/>
            <w:gridSpan w:val="2"/>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Informācija par to, vai šīs tabulas A ailē minētās ES tiesību akta vienības tiek pārņemtas vai ieviestas pilnībā vai daļēji.</w:t>
            </w:r>
          </w:p>
          <w:p w:rsidR="00016659" w:rsidRPr="009F7DD3" w:rsidRDefault="00016659" w:rsidP="00016659">
            <w:r w:rsidRPr="009F7DD3">
              <w:t>Ja attiecīgā ES tiesību akta vienība tiek pārņemta vai ieviesta daļēji, sniedz attiecīgu skaidrojumu, kā arī precīzi norāda, kad un kādā veidā ES tiesību akta vienība tiks pārņemta vai ieviesta pilnībā.</w:t>
            </w:r>
          </w:p>
          <w:p w:rsidR="00016659" w:rsidRPr="009F7DD3" w:rsidRDefault="00016659" w:rsidP="00016659">
            <w:r w:rsidRPr="009F7DD3">
              <w:t>Norāda institūciju, kas ir atbildīga par šo saistību izpildi pilnībā</w:t>
            </w:r>
          </w:p>
        </w:tc>
        <w:tc>
          <w:tcPr>
            <w:tcW w:w="1970" w:type="dxa"/>
            <w:tcBorders>
              <w:top w:val="outset" w:sz="6" w:space="0" w:color="auto"/>
              <w:left w:val="outset" w:sz="6" w:space="0" w:color="auto"/>
              <w:bottom w:val="outset" w:sz="6" w:space="0" w:color="auto"/>
              <w:right w:val="outset" w:sz="6" w:space="0" w:color="auto"/>
            </w:tcBorders>
          </w:tcPr>
          <w:p w:rsidR="00016659" w:rsidRPr="009F7DD3" w:rsidRDefault="00016659" w:rsidP="00016659">
            <w:r w:rsidRPr="009F7DD3">
              <w:t>Informācija par to, vai šīs tabulas B ailē minētās projekta vienības paredz stingrākas prasības nekā šīs tabulas A ailē minētās ES tiesību akta vienības.</w:t>
            </w:r>
          </w:p>
          <w:p w:rsidR="00016659" w:rsidRPr="009F7DD3" w:rsidRDefault="00016659" w:rsidP="00016659">
            <w:r w:rsidRPr="009F7DD3">
              <w:t>Ja projekts satur stingrā</w:t>
            </w:r>
            <w:r w:rsidRPr="009F7DD3">
              <w:softHyphen/>
              <w:t>kas prasības nekā attie</w:t>
            </w:r>
            <w:r w:rsidRPr="009F7DD3">
              <w:softHyphen/>
              <w:t>cīgais ES tiesību akts, norāda pamatojumu un samērīgumu.</w:t>
            </w:r>
          </w:p>
          <w:p w:rsidR="00016659" w:rsidRPr="009F7DD3" w:rsidRDefault="00016659" w:rsidP="00016659">
            <w:r w:rsidRPr="009F7DD3">
              <w:t>Norāda iespējamās alternatīvas (t.sk. alternatīvas, kas neparedz tiesiskā regulējuma izstrādi) – kādos gadījumos būtu iespējams izvairīties no stingrāku prasību noteikšanas, nekā paredzēts attiecīgajos ES tiesību aktos</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6F7D3F">
            <w:r w:rsidRPr="009F7DD3">
              <w:t xml:space="preserve">Regula Nr.1303/2013 </w:t>
            </w:r>
            <w:r w:rsidR="000A03CC" w:rsidRPr="009F7DD3">
              <w:t>61. panta 7. punkta "b" apakšpunkt</w:t>
            </w:r>
            <w:r w:rsidRPr="009F7DD3">
              <w:t>s</w:t>
            </w:r>
            <w:r w:rsidR="000A03CC" w:rsidRPr="009F7DD3">
              <w:t xml:space="preserve"> </w:t>
            </w:r>
            <w:r w:rsidRPr="009F7DD3">
              <w:t>un 65. panta 8. punkts</w:t>
            </w:r>
          </w:p>
        </w:tc>
        <w:tc>
          <w:tcPr>
            <w:tcW w:w="2382"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3D4B4C">
            <w:r w:rsidRPr="009F7DD3">
              <w:t xml:space="preserve">Noteikumu projekta </w:t>
            </w:r>
            <w:r w:rsidR="003D4B4C" w:rsidRPr="009F7DD3">
              <w:t>32</w:t>
            </w:r>
            <w:r w:rsidRPr="009F7DD3">
              <w:t>.punkts</w:t>
            </w:r>
          </w:p>
        </w:tc>
        <w:tc>
          <w:tcPr>
            <w:tcW w:w="2617"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1D4EDF">
            <w:r w:rsidRPr="009F7DD3">
              <w:t xml:space="preserve">Vienība tiek ieviesta pilnībā. </w:t>
            </w:r>
          </w:p>
          <w:p w:rsidR="006F7D3F" w:rsidRPr="009F7DD3" w:rsidRDefault="006F7D3F" w:rsidP="00417564">
            <w:r w:rsidRPr="009F7DD3">
              <w:t>Atbildīgās institūcijas – koledžas (projekta īstenotāji).</w:t>
            </w:r>
          </w:p>
        </w:tc>
        <w:tc>
          <w:tcPr>
            <w:tcW w:w="1970" w:type="dxa"/>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Netiek paredzētas stingrākas prasības.</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Regula Nr.1303/2013 XII pielikuma 2.2.apakšpunkts</w:t>
            </w:r>
          </w:p>
        </w:tc>
        <w:tc>
          <w:tcPr>
            <w:tcW w:w="2382"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3D4B4C">
            <w:r w:rsidRPr="009F7DD3">
              <w:t xml:space="preserve">Noteikumu projekta </w:t>
            </w:r>
            <w:r w:rsidR="003D4B4C" w:rsidRPr="009F7DD3">
              <w:t>33</w:t>
            </w:r>
            <w:r w:rsidRPr="009F7DD3">
              <w:t>.1.apkšpunkts</w:t>
            </w:r>
          </w:p>
        </w:tc>
        <w:tc>
          <w:tcPr>
            <w:tcW w:w="2617"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417564">
            <w:r w:rsidRPr="009F7DD3">
              <w:t xml:space="preserve">Vienība tiek ieviesta pilnībā. </w:t>
            </w:r>
          </w:p>
          <w:p w:rsidR="006F7D3F" w:rsidRPr="009F7DD3" w:rsidRDefault="006F7D3F" w:rsidP="00DD42AE">
            <w:r w:rsidRPr="009F7DD3">
              <w:t>Atbildīgās institūcijas – koledžas (projekta īstenotāji).</w:t>
            </w:r>
          </w:p>
        </w:tc>
        <w:tc>
          <w:tcPr>
            <w:tcW w:w="1970" w:type="dxa"/>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Netiek paredzētas stingrākas prasības.</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lastRenderedPageBreak/>
              <w:t>Kā ir izmantota ES tiesību aktā paredzētā rīcības brīvība dalīb</w:t>
            </w:r>
            <w:r w:rsidRPr="009F7DD3">
              <w:softHyphen/>
              <w:t>valstij pārņemt vai ieviest noteiktas ES tiesību akta normas?</w:t>
            </w:r>
          </w:p>
          <w:p w:rsidR="006F7D3F" w:rsidRPr="009F7DD3" w:rsidRDefault="006F7D3F" w:rsidP="00016659">
            <w:r w:rsidRPr="009F7DD3">
              <w:t>Kādēļ?</w:t>
            </w:r>
          </w:p>
        </w:tc>
        <w:tc>
          <w:tcPr>
            <w:tcW w:w="6969" w:type="dxa"/>
            <w:gridSpan w:val="6"/>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Saistības sniegt paziņojumu ES insti</w:t>
            </w:r>
            <w:r w:rsidRPr="009F7DD3">
              <w:softHyphen/>
              <w:t>tūcijām un ES dalīb</w:t>
            </w:r>
            <w:r w:rsidRPr="009F7DD3">
              <w:softHyphen/>
              <w:t>valstīm atbilstoši normatīvajiem aktiem, kas regulē informācijas sniegšanu par tehnisko noteikumu, valsts atbalsta piešķir</w:t>
            </w:r>
            <w:r w:rsidRPr="009F7DD3">
              <w:softHyphen/>
              <w:t>šanas un finanšu noteikumu (attiecībā uz monetāro politiku) projektiem</w:t>
            </w:r>
          </w:p>
        </w:tc>
        <w:tc>
          <w:tcPr>
            <w:tcW w:w="6969" w:type="dxa"/>
            <w:gridSpan w:val="6"/>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Cita informācija</w:t>
            </w:r>
          </w:p>
        </w:tc>
        <w:tc>
          <w:tcPr>
            <w:tcW w:w="6969" w:type="dxa"/>
            <w:gridSpan w:val="6"/>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Nav.</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rsidR="006F7D3F" w:rsidRPr="009F7DD3" w:rsidRDefault="006F7D3F" w:rsidP="0071698E">
            <w:pPr>
              <w:jc w:val="both"/>
              <w:rPr>
                <w:b/>
              </w:rPr>
            </w:pPr>
            <w:r w:rsidRPr="009F7DD3">
              <w:rPr>
                <w:b/>
              </w:rPr>
              <w:t>2.tabula</w:t>
            </w:r>
          </w:p>
          <w:p w:rsidR="006F7D3F" w:rsidRPr="009F7DD3" w:rsidRDefault="006F7D3F" w:rsidP="0071698E">
            <w:pPr>
              <w:jc w:val="both"/>
              <w:rPr>
                <w:b/>
              </w:rPr>
            </w:pPr>
            <w:r w:rsidRPr="009F7DD3">
              <w:rPr>
                <w:b/>
              </w:rPr>
              <w:t>Ar tiesību akta projektu izpildītās vai uzņemtās saistības, kas izriet no starptautiskajiem tiesību aktiem vai starptautiskas institūcijas vai organizācijas dokumentiem.</w:t>
            </w:r>
          </w:p>
          <w:p w:rsidR="006F7D3F" w:rsidRPr="009F7DD3" w:rsidRDefault="006F7D3F" w:rsidP="0071698E">
            <w:pPr>
              <w:jc w:val="both"/>
              <w:rPr>
                <w:b/>
              </w:rPr>
            </w:pPr>
            <w:r w:rsidRPr="009F7DD3">
              <w:rPr>
                <w:b/>
              </w:rPr>
              <w:t>Pasākumi šo saistību izpildei</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vAlign w:val="center"/>
          </w:tcPr>
          <w:p w:rsidR="006F7D3F" w:rsidRPr="009F7DD3" w:rsidRDefault="006F7D3F" w:rsidP="00016659">
            <w:r w:rsidRPr="009F7DD3">
              <w:t>Attiecīgā starptautiskā tiesību akta vai starptautiskas institūcijas vai organizācijas dokumenta (turpmāk – starptautiskais dokuments) datums, numurs un nosaukums</w:t>
            </w:r>
          </w:p>
        </w:tc>
        <w:tc>
          <w:tcPr>
            <w:tcW w:w="6704" w:type="dxa"/>
            <w:gridSpan w:val="5"/>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vAlign w:val="center"/>
          </w:tcPr>
          <w:p w:rsidR="006F7D3F" w:rsidRPr="009F7DD3" w:rsidRDefault="006F7D3F" w:rsidP="00016659">
            <w:r w:rsidRPr="009F7DD3">
              <w:t>A</w:t>
            </w:r>
          </w:p>
        </w:tc>
        <w:tc>
          <w:tcPr>
            <w:tcW w:w="3228" w:type="dxa"/>
            <w:gridSpan w:val="3"/>
            <w:tcBorders>
              <w:top w:val="outset" w:sz="6" w:space="0" w:color="auto"/>
              <w:left w:val="outset" w:sz="6" w:space="0" w:color="auto"/>
              <w:bottom w:val="outset" w:sz="6" w:space="0" w:color="auto"/>
              <w:right w:val="outset" w:sz="6" w:space="0" w:color="auto"/>
            </w:tcBorders>
            <w:vAlign w:val="center"/>
          </w:tcPr>
          <w:p w:rsidR="006F7D3F" w:rsidRPr="009F7DD3" w:rsidRDefault="006F7D3F" w:rsidP="00016659">
            <w:r w:rsidRPr="009F7DD3">
              <w:t>B</w:t>
            </w:r>
          </w:p>
        </w:tc>
        <w:tc>
          <w:tcPr>
            <w:tcW w:w="3476" w:type="dxa"/>
            <w:gridSpan w:val="2"/>
            <w:tcBorders>
              <w:top w:val="outset" w:sz="6" w:space="0" w:color="auto"/>
              <w:left w:val="outset" w:sz="6" w:space="0" w:color="auto"/>
              <w:bottom w:val="outset" w:sz="6" w:space="0" w:color="auto"/>
              <w:right w:val="outset" w:sz="6" w:space="0" w:color="auto"/>
            </w:tcBorders>
            <w:vAlign w:val="center"/>
          </w:tcPr>
          <w:p w:rsidR="006F7D3F" w:rsidRPr="009F7DD3" w:rsidRDefault="006F7D3F" w:rsidP="00016659">
            <w:r w:rsidRPr="009F7DD3">
              <w:t>C</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lastRenderedPageBreak/>
              <w:t>Starptautiskās saistības (pēc būtības), kas izriet no norādītā starptautiskā dokumenta.</w:t>
            </w:r>
          </w:p>
          <w:p w:rsidR="006F7D3F" w:rsidRPr="009F7DD3" w:rsidRDefault="006F7D3F" w:rsidP="00016659">
            <w:r w:rsidRPr="009F7DD3">
              <w:t>Konkrēti veicamie pasākumi vai uzdevumi, kas nepieciešami šo starptautisko saistību izpildei</w:t>
            </w:r>
          </w:p>
        </w:tc>
        <w:tc>
          <w:tcPr>
            <w:tcW w:w="3228"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476"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Informācija par to, vai starptautiskās saistības, kas minētas šīs tabulas A ailē, tiek izpildītas pilnībā vai daļēji.</w:t>
            </w:r>
          </w:p>
          <w:p w:rsidR="006F7D3F" w:rsidRPr="009F7DD3" w:rsidRDefault="006F7D3F" w:rsidP="00016659">
            <w:r w:rsidRPr="009F7DD3">
              <w:t>Ja attiecīgās starptautiskās saistības tiek izpildītas daļēji, sniedz skaidrojumu, kā arī precīzi norāda, kad un kādā veidā starptautiskās saistības tiks izpildītas pilnībā.</w:t>
            </w:r>
          </w:p>
          <w:p w:rsidR="006F7D3F" w:rsidRPr="009F7DD3" w:rsidRDefault="006F7D3F" w:rsidP="00016659">
            <w:r w:rsidRPr="009F7DD3">
              <w:t>Norāda institūciju, kas ir atbildīga par šo saistību izpildi pilnībā</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c>
          <w:tcPr>
            <w:tcW w:w="3228"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c>
          <w:tcPr>
            <w:tcW w:w="3476" w:type="dxa"/>
            <w:gridSpan w:val="2"/>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Vai starptautiskajā dokumentā paredzētās saistības nav pretrunā ar jau esošajām Latvijas Republikas starptautis</w:t>
            </w:r>
            <w:r w:rsidRPr="009F7DD3">
              <w:softHyphen/>
              <w:t>kajām saistībām</w:t>
            </w:r>
          </w:p>
        </w:tc>
        <w:tc>
          <w:tcPr>
            <w:tcW w:w="6704" w:type="dxa"/>
            <w:gridSpan w:val="5"/>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Noteikumu projekts šo jomu neskar.</w:t>
            </w:r>
          </w:p>
        </w:tc>
      </w:tr>
      <w:tr w:rsidR="006F7D3F" w:rsidRPr="009F7DD3"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Cita informācija</w:t>
            </w:r>
          </w:p>
        </w:tc>
        <w:tc>
          <w:tcPr>
            <w:tcW w:w="6704" w:type="dxa"/>
            <w:gridSpan w:val="5"/>
            <w:tcBorders>
              <w:top w:val="outset" w:sz="6" w:space="0" w:color="auto"/>
              <w:left w:val="outset" w:sz="6" w:space="0" w:color="auto"/>
              <w:bottom w:val="outset" w:sz="6" w:space="0" w:color="auto"/>
              <w:right w:val="outset" w:sz="6" w:space="0" w:color="auto"/>
            </w:tcBorders>
          </w:tcPr>
          <w:p w:rsidR="006F7D3F" w:rsidRPr="009F7DD3" w:rsidRDefault="006F7D3F" w:rsidP="00016659">
            <w:r w:rsidRPr="009F7DD3">
              <w:t>Nav.</w:t>
            </w:r>
          </w:p>
        </w:tc>
      </w:tr>
    </w:tbl>
    <w:p w:rsidR="00016659" w:rsidRPr="009F7DD3" w:rsidRDefault="00016659"/>
    <w:tbl>
      <w:tblPr>
        <w:tblW w:w="5129"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82"/>
        <w:gridCol w:w="2769"/>
        <w:gridCol w:w="5603"/>
      </w:tblGrid>
      <w:tr w:rsidR="00BF3649" w:rsidRPr="009F7DD3" w:rsidTr="001629C3">
        <w:tc>
          <w:tcPr>
            <w:tcW w:w="8931" w:type="dxa"/>
            <w:gridSpan w:val="3"/>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jc w:val="center"/>
              <w:rPr>
                <w:b/>
                <w:bCs/>
              </w:rPr>
            </w:pPr>
            <w:r w:rsidRPr="009F7DD3">
              <w:rPr>
                <w:b/>
                <w:bCs/>
              </w:rPr>
              <w:t xml:space="preserve">VI. </w:t>
            </w:r>
            <w:r w:rsidRPr="009F7DD3">
              <w:rPr>
                <w:b/>
              </w:rPr>
              <w:t>Sabiedrības līdzdalība un komunikācijas aktivitātes</w:t>
            </w:r>
          </w:p>
        </w:tc>
      </w:tr>
      <w:tr w:rsidR="00BF3649" w:rsidRPr="009F7DD3" w:rsidTr="001629C3">
        <w:tc>
          <w:tcPr>
            <w:tcW w:w="486" w:type="dxa"/>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jc w:val="center"/>
            </w:pPr>
            <w:r w:rsidRPr="009F7DD3">
              <w:t>1.</w:t>
            </w:r>
          </w:p>
        </w:tc>
        <w:tc>
          <w:tcPr>
            <w:tcW w:w="2793" w:type="dxa"/>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pPr>
            <w:r w:rsidRPr="009F7DD3">
              <w:t>Plānotās sabiedrības līdzdalības un komunikācijas aktivitātes saistībā ar projektu</w:t>
            </w:r>
          </w:p>
        </w:tc>
        <w:tc>
          <w:tcPr>
            <w:tcW w:w="5652" w:type="dxa"/>
            <w:tcBorders>
              <w:top w:val="outset" w:sz="6" w:space="0" w:color="000000"/>
              <w:left w:val="outset" w:sz="6" w:space="0" w:color="000000"/>
              <w:bottom w:val="outset" w:sz="6" w:space="0" w:color="000000"/>
              <w:right w:val="outset" w:sz="6" w:space="0" w:color="000000"/>
            </w:tcBorders>
          </w:tcPr>
          <w:p w:rsidR="00BF3649" w:rsidRPr="009F7DD3" w:rsidRDefault="000629DD" w:rsidP="00CE7B1C">
            <w:pPr>
              <w:shd w:val="clear" w:color="auto" w:fill="FFFFFF"/>
              <w:jc w:val="both"/>
            </w:pPr>
            <w:r w:rsidRPr="009F7DD3">
              <w:rPr>
                <w:bCs/>
              </w:rPr>
              <w:t xml:space="preserve">Sabiedrības pārstāvji varēs līdzdarboties noteikumu projekta izstrādē, sniedzot atzinumu un viedokli par </w:t>
            </w:r>
            <w:r w:rsidR="00417564" w:rsidRPr="009F7DD3">
              <w:t xml:space="preserve">Eiropas Savienības </w:t>
            </w:r>
            <w:r w:rsidRPr="009F7DD3">
              <w:t>struktūrfondu un Kohēzijas fonda 2014.-2020.gada plānošanas perioda Izglītības, prasmju un mūžizglītības</w:t>
            </w:r>
            <w:r w:rsidRPr="009F7DD3">
              <w:rPr>
                <w:b/>
                <w:bCs/>
              </w:rPr>
              <w:t xml:space="preserve"> </w:t>
            </w:r>
            <w:r w:rsidRPr="009F7DD3">
              <w:t xml:space="preserve">prioritārā virziena </w:t>
            </w:r>
            <w:r w:rsidRPr="009F7DD3">
              <w:rPr>
                <w:bCs/>
              </w:rPr>
              <w:t xml:space="preserve">apakškomitejā iesniegtajiem projektu iesniegumu vērtēšanas kritērijiem, kritēriju piemērošanas metodiku un 8.1.4. </w:t>
            </w:r>
            <w:r w:rsidR="00417564" w:rsidRPr="009F7DD3">
              <w:rPr>
                <w:bCs/>
              </w:rPr>
              <w:t xml:space="preserve">SAM </w:t>
            </w:r>
            <w:r w:rsidRPr="009F7DD3">
              <w:rPr>
                <w:bCs/>
              </w:rPr>
              <w:t>paplašināto sākotnējo novērtējumu</w:t>
            </w:r>
            <w:r w:rsidR="00F15DF8" w:rsidRPr="009F7DD3">
              <w:rPr>
                <w:bCs/>
              </w:rPr>
              <w:t xml:space="preserve"> </w:t>
            </w:r>
            <w:r w:rsidR="00F15DF8" w:rsidRPr="009F7DD3">
              <w:t>(pieejams: https://komitejas.esfondi.lv)</w:t>
            </w:r>
            <w:r w:rsidRPr="009F7DD3">
              <w:rPr>
                <w:bCs/>
              </w:rPr>
              <w:t xml:space="preserve">, kā arī par Valsts sekretāru sanāksmē izsludināto noteikumu projektu. </w:t>
            </w:r>
            <w:r w:rsidR="00973D2B" w:rsidRPr="009F7DD3">
              <w:rPr>
                <w:bCs/>
              </w:rPr>
              <w:t>Vienlaikus n</w:t>
            </w:r>
            <w:r w:rsidR="00973D2B" w:rsidRPr="009F7DD3">
              <w:t xml:space="preserve">oteikumu projekts, tā sākotnējās ietekmes novērtējuma ziņojums (anotācija), kā arī projektu iesniegumu vērtēšanas kritēriji 8.1.4. </w:t>
            </w:r>
            <w:r w:rsidR="00417564" w:rsidRPr="009F7DD3">
              <w:t xml:space="preserve">SAM </w:t>
            </w:r>
            <w:r w:rsidR="00CE7B1C" w:rsidRPr="009F7DD3">
              <w:t>tik</w:t>
            </w:r>
            <w:r w:rsidR="00CE7B1C">
              <w:t>a</w:t>
            </w:r>
            <w:r w:rsidR="00CE7B1C" w:rsidRPr="009F7DD3">
              <w:t xml:space="preserve"> </w:t>
            </w:r>
            <w:r w:rsidR="00973D2B" w:rsidRPr="009F7DD3">
              <w:t xml:space="preserve">publicēti tīmekļa vietnē </w:t>
            </w:r>
            <w:hyperlink r:id="rId9" w:history="1">
              <w:r w:rsidR="00973D2B" w:rsidRPr="009F7DD3">
                <w:t>www.izm.gov.lv</w:t>
              </w:r>
            </w:hyperlink>
            <w:r w:rsidR="00973D2B" w:rsidRPr="009F7DD3">
              <w:t>.</w:t>
            </w:r>
          </w:p>
        </w:tc>
      </w:tr>
      <w:tr w:rsidR="00BF3649" w:rsidRPr="009F7DD3" w:rsidTr="001629C3">
        <w:tc>
          <w:tcPr>
            <w:tcW w:w="486" w:type="dxa"/>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jc w:val="center"/>
            </w:pPr>
            <w:r w:rsidRPr="009F7DD3">
              <w:t>2.</w:t>
            </w:r>
          </w:p>
        </w:tc>
        <w:tc>
          <w:tcPr>
            <w:tcW w:w="2793" w:type="dxa"/>
            <w:tcBorders>
              <w:top w:val="outset" w:sz="6" w:space="0" w:color="000000"/>
              <w:left w:val="outset" w:sz="6" w:space="0" w:color="000000"/>
              <w:bottom w:val="outset" w:sz="6" w:space="0" w:color="000000"/>
              <w:right w:val="outset" w:sz="6" w:space="0" w:color="000000"/>
            </w:tcBorders>
          </w:tcPr>
          <w:p w:rsidR="00BF3649" w:rsidRPr="009F7DD3" w:rsidRDefault="007D27E5" w:rsidP="00016659">
            <w:pPr>
              <w:spacing w:before="100" w:beforeAutospacing="1" w:after="100" w:afterAutospacing="1"/>
            </w:pPr>
            <w:r w:rsidRPr="009F7DD3">
              <w:t>Sabiedrības līdzdalība projekta izstrādē</w:t>
            </w:r>
          </w:p>
        </w:tc>
        <w:tc>
          <w:tcPr>
            <w:tcW w:w="5652" w:type="dxa"/>
            <w:tcBorders>
              <w:top w:val="outset" w:sz="6" w:space="0" w:color="000000"/>
              <w:left w:val="outset" w:sz="6" w:space="0" w:color="000000"/>
              <w:bottom w:val="outset" w:sz="6" w:space="0" w:color="000000"/>
              <w:right w:val="outset" w:sz="6" w:space="0" w:color="000000"/>
            </w:tcBorders>
          </w:tcPr>
          <w:p w:rsidR="00BF3649" w:rsidRPr="009F7DD3" w:rsidRDefault="00B309A3" w:rsidP="0084327B">
            <w:pPr>
              <w:spacing w:before="75" w:after="75"/>
              <w:jc w:val="both"/>
            </w:pPr>
            <w:r w:rsidRPr="009F7DD3">
              <w:rPr>
                <w:bCs/>
              </w:rPr>
              <w:t xml:space="preserve">Sabiedrības līdzdalība noteikumu projekta izstrādē </w:t>
            </w:r>
            <w:r w:rsidR="0084327B" w:rsidRPr="009F7DD3">
              <w:rPr>
                <w:bCs/>
              </w:rPr>
              <w:t>tik</w:t>
            </w:r>
            <w:r w:rsidR="0084327B">
              <w:rPr>
                <w:bCs/>
              </w:rPr>
              <w:t>a</w:t>
            </w:r>
            <w:r w:rsidR="0084327B" w:rsidRPr="009F7DD3">
              <w:rPr>
                <w:bCs/>
              </w:rPr>
              <w:t xml:space="preserve"> </w:t>
            </w:r>
            <w:r w:rsidRPr="009F7DD3">
              <w:rPr>
                <w:bCs/>
              </w:rPr>
              <w:t>nodrošināta,</w:t>
            </w:r>
            <w:r w:rsidRPr="009F7DD3">
              <w:t xml:space="preserve"> </w:t>
            </w:r>
            <w:r w:rsidRPr="009F7DD3">
              <w:rPr>
                <w:bCs/>
              </w:rPr>
              <w:t xml:space="preserve">ievietojot noteikumu projektu tīmekļa vietnē </w:t>
            </w:r>
            <w:hyperlink r:id="rId10" w:history="1">
              <w:r w:rsidRPr="009F7DD3">
                <w:rPr>
                  <w:rStyle w:val="Hyperlink"/>
                  <w:bCs/>
                  <w:color w:val="auto"/>
                </w:rPr>
                <w:t>www.izm.gov.lv</w:t>
              </w:r>
            </w:hyperlink>
            <w:r w:rsidRPr="009F7DD3">
              <w:rPr>
                <w:bCs/>
              </w:rPr>
              <w:t xml:space="preserve"> un aicinot sabiedrības pārstāvjus rakstiski sniegt viedokli par noteikumu projektu tā izstrādes stadijā – nosūtot elektroniski uz e-pastu: </w:t>
            </w:r>
            <w:hyperlink r:id="rId11" w:history="1">
              <w:r w:rsidRPr="009F7DD3">
                <w:rPr>
                  <w:rStyle w:val="Hyperlink"/>
                  <w:bCs/>
                  <w:color w:val="auto"/>
                </w:rPr>
                <w:t>pasts@izm.gov.lv</w:t>
              </w:r>
            </w:hyperlink>
            <w:r w:rsidRPr="009F7DD3">
              <w:rPr>
                <w:bCs/>
              </w:rPr>
              <w:t xml:space="preserve"> vai sniedzot viedokli klātienē.</w:t>
            </w:r>
          </w:p>
        </w:tc>
      </w:tr>
      <w:tr w:rsidR="00BF3649" w:rsidRPr="009F7DD3" w:rsidTr="001629C3">
        <w:tc>
          <w:tcPr>
            <w:tcW w:w="486" w:type="dxa"/>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jc w:val="center"/>
            </w:pPr>
            <w:r w:rsidRPr="009F7DD3">
              <w:lastRenderedPageBreak/>
              <w:t>3.</w:t>
            </w:r>
          </w:p>
        </w:tc>
        <w:tc>
          <w:tcPr>
            <w:tcW w:w="2793" w:type="dxa"/>
            <w:tcBorders>
              <w:top w:val="outset" w:sz="6" w:space="0" w:color="000000"/>
              <w:left w:val="outset" w:sz="6" w:space="0" w:color="000000"/>
              <w:bottom w:val="outset" w:sz="6" w:space="0" w:color="000000"/>
              <w:right w:val="outset" w:sz="6" w:space="0" w:color="000000"/>
            </w:tcBorders>
          </w:tcPr>
          <w:p w:rsidR="00BF3649" w:rsidRPr="009F7DD3" w:rsidRDefault="007D27E5" w:rsidP="00016659">
            <w:pPr>
              <w:spacing w:before="100" w:beforeAutospacing="1" w:after="100" w:afterAutospacing="1"/>
            </w:pPr>
            <w:r w:rsidRPr="009F7DD3">
              <w:t>Sabiedrības līdzdalības rezultāti</w:t>
            </w:r>
          </w:p>
        </w:tc>
        <w:tc>
          <w:tcPr>
            <w:tcW w:w="5652" w:type="dxa"/>
            <w:tcBorders>
              <w:top w:val="outset" w:sz="6" w:space="0" w:color="000000"/>
              <w:left w:val="outset" w:sz="6" w:space="0" w:color="000000"/>
              <w:bottom w:val="outset" w:sz="6" w:space="0" w:color="000000"/>
              <w:right w:val="outset" w:sz="6" w:space="0" w:color="000000"/>
            </w:tcBorders>
          </w:tcPr>
          <w:p w:rsidR="00BF3649" w:rsidRPr="009F7DD3" w:rsidRDefault="00973D2B" w:rsidP="00666F6B">
            <w:pPr>
              <w:jc w:val="both"/>
            </w:pPr>
            <w:r w:rsidRPr="009F7DD3">
              <w:t>Partneru un ieinteresēto organizāciju izteiktie iebildumi un priekšlikumi, tiks analizēti un iestrādāti noteikumu projektā.</w:t>
            </w:r>
          </w:p>
        </w:tc>
      </w:tr>
      <w:tr w:rsidR="00BF3649" w:rsidRPr="009F7DD3" w:rsidTr="001629C3">
        <w:tc>
          <w:tcPr>
            <w:tcW w:w="486" w:type="dxa"/>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jc w:val="center"/>
            </w:pPr>
            <w:r w:rsidRPr="009F7DD3">
              <w:t>4.</w:t>
            </w:r>
          </w:p>
        </w:tc>
        <w:tc>
          <w:tcPr>
            <w:tcW w:w="2793" w:type="dxa"/>
            <w:tcBorders>
              <w:top w:val="outset" w:sz="6" w:space="0" w:color="000000"/>
              <w:left w:val="outset" w:sz="6" w:space="0" w:color="000000"/>
              <w:bottom w:val="outset" w:sz="6" w:space="0" w:color="000000"/>
              <w:right w:val="outset" w:sz="6" w:space="0" w:color="000000"/>
            </w:tcBorders>
          </w:tcPr>
          <w:p w:rsidR="00BF3649" w:rsidRPr="009F7DD3" w:rsidRDefault="00BF3649" w:rsidP="00016659">
            <w:pPr>
              <w:spacing w:before="100" w:beforeAutospacing="1" w:after="100" w:afterAutospacing="1"/>
            </w:pPr>
            <w:r w:rsidRPr="009F7DD3">
              <w:t>Cita informācija</w:t>
            </w:r>
          </w:p>
        </w:tc>
        <w:tc>
          <w:tcPr>
            <w:tcW w:w="5652" w:type="dxa"/>
            <w:tcBorders>
              <w:top w:val="outset" w:sz="6" w:space="0" w:color="000000"/>
              <w:left w:val="outset" w:sz="6" w:space="0" w:color="000000"/>
              <w:bottom w:val="outset" w:sz="6" w:space="0" w:color="000000"/>
              <w:right w:val="outset" w:sz="6" w:space="0" w:color="000000"/>
            </w:tcBorders>
          </w:tcPr>
          <w:p w:rsidR="00BF3649" w:rsidRPr="009F7DD3" w:rsidRDefault="00C24586" w:rsidP="00F964F4">
            <w:pPr>
              <w:spacing w:before="100" w:beforeAutospacing="1" w:after="100" w:afterAutospacing="1"/>
              <w:jc w:val="both"/>
              <w:rPr>
                <w:iCs/>
              </w:rPr>
            </w:pPr>
            <w:r w:rsidRPr="009F7DD3">
              <w:t>Īstenojot projektu, finansējuma saņēmēji nodrošina informācijas un publicitātes pasākumus, atbilstoši  normatīvajiem aktiem par kārtību, kādā Eiropas Savienības struktūrfondu un Kohēzijas fonda ieviešanā 2014.–2020. gada plānošanas periodā nodrošināma komunikācijas un vizuālās identitātes prasību ievērošana.</w:t>
            </w:r>
          </w:p>
        </w:tc>
      </w:tr>
    </w:tbl>
    <w:p w:rsidR="00BF3649" w:rsidRPr="009F7DD3" w:rsidRDefault="00BF3649"/>
    <w:tbl>
      <w:tblPr>
        <w:tblW w:w="52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3"/>
        <w:gridCol w:w="3484"/>
        <w:gridCol w:w="5047"/>
      </w:tblGrid>
      <w:tr w:rsidR="0063775D" w:rsidRPr="009F7DD3" w:rsidTr="001629C3">
        <w:tc>
          <w:tcPr>
            <w:tcW w:w="5000" w:type="pct"/>
            <w:gridSpan w:val="3"/>
            <w:tcBorders>
              <w:top w:val="outset" w:sz="6" w:space="0" w:color="000000"/>
              <w:left w:val="outset" w:sz="6" w:space="0" w:color="000000"/>
              <w:bottom w:val="outset" w:sz="6" w:space="0" w:color="000000"/>
              <w:right w:val="outset" w:sz="6" w:space="0" w:color="000000"/>
            </w:tcBorders>
          </w:tcPr>
          <w:p w:rsidR="0063775D" w:rsidRPr="009F7DD3" w:rsidRDefault="0063775D" w:rsidP="000A4631">
            <w:pPr>
              <w:pStyle w:val="NormalWeb"/>
              <w:jc w:val="both"/>
              <w:rPr>
                <w:b/>
                <w:bCs/>
              </w:rPr>
            </w:pPr>
            <w:r w:rsidRPr="009F7DD3">
              <w:rPr>
                <w:b/>
                <w:bCs/>
              </w:rPr>
              <w:t xml:space="preserve">VII. </w:t>
            </w:r>
            <w:r w:rsidR="002358F8" w:rsidRPr="009F7DD3">
              <w:rPr>
                <w:b/>
              </w:rPr>
              <w:t>Tiesību akta projekta izpildes nodrošināšana un tās ietekme uz institūcijām</w:t>
            </w:r>
          </w:p>
        </w:tc>
      </w:tr>
      <w:tr w:rsidR="0063775D" w:rsidRPr="009F7DD3" w:rsidTr="001629C3">
        <w:tc>
          <w:tcPr>
            <w:tcW w:w="257" w:type="pct"/>
            <w:tcBorders>
              <w:top w:val="outset" w:sz="6" w:space="0" w:color="000000"/>
              <w:left w:val="outset" w:sz="6" w:space="0" w:color="000000"/>
              <w:bottom w:val="outset" w:sz="6" w:space="0" w:color="000000"/>
              <w:right w:val="outset" w:sz="6" w:space="0" w:color="000000"/>
            </w:tcBorders>
          </w:tcPr>
          <w:p w:rsidR="0063775D" w:rsidRPr="009F7DD3" w:rsidRDefault="0063775D" w:rsidP="00691202">
            <w:pPr>
              <w:spacing w:before="100" w:beforeAutospacing="1" w:after="100" w:afterAutospacing="1"/>
              <w:jc w:val="center"/>
            </w:pPr>
            <w:r w:rsidRPr="009F7DD3">
              <w:t>1.</w:t>
            </w:r>
          </w:p>
        </w:tc>
        <w:tc>
          <w:tcPr>
            <w:tcW w:w="1937" w:type="pct"/>
            <w:tcBorders>
              <w:top w:val="outset" w:sz="6" w:space="0" w:color="000000"/>
              <w:left w:val="outset" w:sz="6" w:space="0" w:color="000000"/>
              <w:bottom w:val="outset" w:sz="6" w:space="0" w:color="000000"/>
              <w:right w:val="outset" w:sz="6" w:space="0" w:color="000000"/>
            </w:tcBorders>
          </w:tcPr>
          <w:p w:rsidR="0063775D" w:rsidRPr="009F7DD3" w:rsidRDefault="0063775D" w:rsidP="000A4631">
            <w:pPr>
              <w:spacing w:before="100" w:beforeAutospacing="1" w:after="100" w:afterAutospacing="1"/>
            </w:pPr>
            <w:r w:rsidRPr="009F7DD3">
              <w:t>Projekta izpildē iesaistītās institūcijas</w:t>
            </w:r>
          </w:p>
        </w:tc>
        <w:tc>
          <w:tcPr>
            <w:tcW w:w="2806" w:type="pct"/>
            <w:tcBorders>
              <w:top w:val="outset" w:sz="6" w:space="0" w:color="000000"/>
              <w:left w:val="outset" w:sz="6" w:space="0" w:color="000000"/>
              <w:bottom w:val="outset" w:sz="6" w:space="0" w:color="000000"/>
              <w:right w:val="outset" w:sz="6" w:space="0" w:color="000000"/>
            </w:tcBorders>
          </w:tcPr>
          <w:p w:rsidR="0063775D" w:rsidRPr="009F7DD3" w:rsidRDefault="002133BE" w:rsidP="00417564">
            <w:pPr>
              <w:spacing w:before="100" w:beforeAutospacing="1" w:after="100" w:afterAutospacing="1"/>
              <w:jc w:val="both"/>
            </w:pPr>
            <w:r w:rsidRPr="009F7DD3">
              <w:t xml:space="preserve">Atbildīgās iestādes funkcijas pilda </w:t>
            </w:r>
            <w:r w:rsidR="00417564" w:rsidRPr="009F7DD3">
              <w:t>Izglītības un zinātnes ministrija</w:t>
            </w:r>
            <w:r w:rsidRPr="009F7DD3">
              <w:t xml:space="preserve">, sadarbības iestādes funkcijas – Centrālā finanšu un līgumu aģentūra. </w:t>
            </w:r>
            <w:r w:rsidR="00B829DC" w:rsidRPr="009F7DD3">
              <w:t>Finansējuma saņēmēj</w:t>
            </w:r>
            <w:r w:rsidR="00956B3B" w:rsidRPr="009F7DD3">
              <w:t>i</w:t>
            </w:r>
            <w:r w:rsidR="00B829DC" w:rsidRPr="009F7DD3">
              <w:rPr>
                <w:bCs/>
                <w:iCs/>
              </w:rPr>
              <w:t xml:space="preserve"> </w:t>
            </w:r>
            <w:r w:rsidR="00B829DC" w:rsidRPr="009F7DD3">
              <w:t>ir</w:t>
            </w:r>
            <w:r w:rsidR="00B829DC" w:rsidRPr="009F7DD3">
              <w:rPr>
                <w:bCs/>
                <w:iCs/>
              </w:rPr>
              <w:t xml:space="preserve"> </w:t>
            </w:r>
            <w:r w:rsidR="00956B3B" w:rsidRPr="009F7DD3">
              <w:rPr>
                <w:bCs/>
                <w:iCs/>
              </w:rPr>
              <w:t xml:space="preserve">koledžas. </w:t>
            </w:r>
          </w:p>
        </w:tc>
      </w:tr>
      <w:tr w:rsidR="0063775D" w:rsidRPr="009F7DD3" w:rsidTr="001629C3">
        <w:tc>
          <w:tcPr>
            <w:tcW w:w="257" w:type="pct"/>
            <w:tcBorders>
              <w:top w:val="outset" w:sz="6" w:space="0" w:color="000000"/>
              <w:left w:val="outset" w:sz="6" w:space="0" w:color="000000"/>
              <w:bottom w:val="outset" w:sz="6" w:space="0" w:color="000000"/>
              <w:right w:val="outset" w:sz="6" w:space="0" w:color="000000"/>
            </w:tcBorders>
          </w:tcPr>
          <w:p w:rsidR="0063775D" w:rsidRPr="009F7DD3" w:rsidRDefault="0063775D" w:rsidP="00691202">
            <w:pPr>
              <w:spacing w:before="100" w:beforeAutospacing="1" w:after="100" w:afterAutospacing="1"/>
              <w:jc w:val="center"/>
            </w:pPr>
            <w:r w:rsidRPr="009F7DD3">
              <w:t>2.</w:t>
            </w:r>
          </w:p>
        </w:tc>
        <w:tc>
          <w:tcPr>
            <w:tcW w:w="1937" w:type="pct"/>
            <w:tcBorders>
              <w:top w:val="outset" w:sz="6" w:space="0" w:color="000000"/>
              <w:left w:val="outset" w:sz="6" w:space="0" w:color="000000"/>
              <w:bottom w:val="outset" w:sz="6" w:space="0" w:color="000000"/>
              <w:right w:val="outset" w:sz="6" w:space="0" w:color="000000"/>
            </w:tcBorders>
          </w:tcPr>
          <w:p w:rsidR="002358F8" w:rsidRPr="009F7DD3" w:rsidRDefault="002358F8" w:rsidP="002358F8">
            <w:r w:rsidRPr="009F7DD3">
              <w:t xml:space="preserve">Projekta izpildes ietekme uz pārvaldes funkcijām un institucionālo struktūru. </w:t>
            </w:r>
          </w:p>
          <w:p w:rsidR="0063775D" w:rsidRPr="009F7DD3" w:rsidRDefault="002358F8" w:rsidP="000A4631">
            <w:pPr>
              <w:spacing w:before="100" w:beforeAutospacing="1" w:after="100" w:afterAutospacing="1"/>
            </w:pPr>
            <w:r w:rsidRPr="009F7DD3">
              <w:t>Jaunu institūciju izveide, esošu institūciju likvidācija vai reorganizācija, to ietekme uz institūcijas cilvēkresursiem</w:t>
            </w:r>
          </w:p>
        </w:tc>
        <w:tc>
          <w:tcPr>
            <w:tcW w:w="2806" w:type="pct"/>
            <w:tcBorders>
              <w:top w:val="outset" w:sz="6" w:space="0" w:color="000000"/>
              <w:left w:val="outset" w:sz="6" w:space="0" w:color="000000"/>
              <w:bottom w:val="outset" w:sz="6" w:space="0" w:color="000000"/>
              <w:right w:val="outset" w:sz="6" w:space="0" w:color="000000"/>
            </w:tcBorders>
          </w:tcPr>
          <w:p w:rsidR="00091842" w:rsidRPr="009F7DD3" w:rsidRDefault="00313BE8" w:rsidP="0029303E">
            <w:pPr>
              <w:jc w:val="both"/>
            </w:pPr>
            <w:r w:rsidRPr="009F7DD3">
              <w:t>Noteikumu projekts tiks īstenots esošo institūciju un cilvēkresursu ietvaros.</w:t>
            </w:r>
          </w:p>
        </w:tc>
      </w:tr>
      <w:tr w:rsidR="0063775D" w:rsidRPr="009F7DD3" w:rsidTr="001629C3">
        <w:tc>
          <w:tcPr>
            <w:tcW w:w="257" w:type="pct"/>
            <w:tcBorders>
              <w:top w:val="outset" w:sz="6" w:space="0" w:color="000000"/>
              <w:left w:val="outset" w:sz="6" w:space="0" w:color="000000"/>
              <w:bottom w:val="outset" w:sz="6" w:space="0" w:color="000000"/>
              <w:right w:val="outset" w:sz="6" w:space="0" w:color="000000"/>
            </w:tcBorders>
          </w:tcPr>
          <w:p w:rsidR="0063775D" w:rsidRPr="009F7DD3" w:rsidRDefault="002358F8" w:rsidP="00691202">
            <w:pPr>
              <w:spacing w:before="100" w:beforeAutospacing="1" w:after="100" w:afterAutospacing="1"/>
              <w:jc w:val="center"/>
            </w:pPr>
            <w:r w:rsidRPr="009F7DD3">
              <w:t>3</w:t>
            </w:r>
            <w:r w:rsidR="0063775D" w:rsidRPr="009F7DD3">
              <w:t>.</w:t>
            </w:r>
          </w:p>
        </w:tc>
        <w:tc>
          <w:tcPr>
            <w:tcW w:w="1937" w:type="pct"/>
            <w:tcBorders>
              <w:top w:val="outset" w:sz="6" w:space="0" w:color="000000"/>
              <w:left w:val="outset" w:sz="6" w:space="0" w:color="000000"/>
              <w:bottom w:val="outset" w:sz="6" w:space="0" w:color="000000"/>
              <w:right w:val="outset" w:sz="6" w:space="0" w:color="000000"/>
            </w:tcBorders>
          </w:tcPr>
          <w:p w:rsidR="0063775D" w:rsidRPr="009F7DD3" w:rsidRDefault="0063775D" w:rsidP="000A4631">
            <w:pPr>
              <w:spacing w:before="100" w:beforeAutospacing="1" w:after="100" w:afterAutospacing="1"/>
            </w:pPr>
            <w:r w:rsidRPr="009F7DD3">
              <w:t>Cita informācija</w:t>
            </w:r>
          </w:p>
        </w:tc>
        <w:tc>
          <w:tcPr>
            <w:tcW w:w="2806" w:type="pct"/>
            <w:tcBorders>
              <w:top w:val="outset" w:sz="6" w:space="0" w:color="000000"/>
              <w:left w:val="outset" w:sz="6" w:space="0" w:color="000000"/>
              <w:bottom w:val="outset" w:sz="6" w:space="0" w:color="000000"/>
              <w:right w:val="outset" w:sz="6" w:space="0" w:color="000000"/>
            </w:tcBorders>
          </w:tcPr>
          <w:p w:rsidR="0063775D" w:rsidRPr="009F7DD3" w:rsidRDefault="0063775D" w:rsidP="006C4515">
            <w:pPr>
              <w:spacing w:before="100" w:beforeAutospacing="1" w:after="100" w:afterAutospacing="1"/>
            </w:pPr>
            <w:r w:rsidRPr="009F7DD3">
              <w:t>Nav</w:t>
            </w:r>
            <w:r w:rsidR="000A5BB7" w:rsidRPr="009F7DD3">
              <w:t>.</w:t>
            </w:r>
          </w:p>
        </w:tc>
      </w:tr>
    </w:tbl>
    <w:p w:rsidR="00A57AA7" w:rsidRPr="009F7DD3" w:rsidRDefault="00A57AA7"/>
    <w:p w:rsidR="00013EF9" w:rsidRPr="009F7DD3" w:rsidRDefault="00BA17C8" w:rsidP="00013EF9">
      <w:pPr>
        <w:rPr>
          <w:b/>
        </w:rPr>
      </w:pPr>
      <w:r w:rsidRPr="009F7DD3">
        <w:rPr>
          <w:b/>
        </w:rPr>
        <w:t>Anotācijas IV sadaļa – projekts š</w:t>
      </w:r>
      <w:r w:rsidR="000F61E3" w:rsidRPr="009F7DD3">
        <w:rPr>
          <w:b/>
        </w:rPr>
        <w:t>o</w:t>
      </w:r>
      <w:r w:rsidRPr="009F7DD3">
        <w:rPr>
          <w:b/>
        </w:rPr>
        <w:t xml:space="preserve"> jom</w:t>
      </w:r>
      <w:r w:rsidR="000F61E3" w:rsidRPr="009F7DD3">
        <w:rPr>
          <w:b/>
        </w:rPr>
        <w:t>u</w:t>
      </w:r>
      <w:r w:rsidRPr="009F7DD3">
        <w:rPr>
          <w:b/>
        </w:rPr>
        <w:t xml:space="preserve"> neskar.</w:t>
      </w:r>
    </w:p>
    <w:p w:rsidR="00BA17C8" w:rsidRPr="009F7DD3" w:rsidRDefault="00BA17C8" w:rsidP="00013EF9">
      <w:pPr>
        <w:rPr>
          <w:b/>
        </w:rPr>
      </w:pPr>
    </w:p>
    <w:p w:rsidR="00BA17C8" w:rsidRPr="009F7DD3" w:rsidRDefault="00BA17C8" w:rsidP="00013EF9"/>
    <w:p w:rsidR="00820903" w:rsidRPr="00820903" w:rsidRDefault="00BC1427" w:rsidP="00BA45C8">
      <w:r w:rsidRPr="00BC1427">
        <w:t>Izglītības un zinātnes ministr</w:t>
      </w:r>
      <w:r w:rsidR="00BA45C8">
        <w:t>s</w:t>
      </w:r>
      <w:r w:rsidRPr="00BC1427">
        <w:t xml:space="preserve">                                  </w:t>
      </w:r>
      <w:r w:rsidRPr="00BC1427">
        <w:tab/>
      </w:r>
      <w:r w:rsidRPr="00BC1427">
        <w:tab/>
      </w:r>
      <w:r w:rsidRPr="00BC1427">
        <w:tab/>
      </w:r>
      <w:r w:rsidR="00820903">
        <w:tab/>
      </w:r>
      <w:proofErr w:type="spellStart"/>
      <w:r w:rsidR="00BA45C8">
        <w:t>K.Šadurskis</w:t>
      </w:r>
      <w:proofErr w:type="spellEnd"/>
    </w:p>
    <w:p w:rsidR="00FD55F9" w:rsidRPr="009F7DD3" w:rsidRDefault="00FD55F9" w:rsidP="00FD55F9">
      <w:pPr>
        <w:pStyle w:val="naiskr"/>
        <w:tabs>
          <w:tab w:val="left" w:pos="6870"/>
        </w:tabs>
        <w:spacing w:before="0" w:after="0"/>
      </w:pPr>
    </w:p>
    <w:p w:rsidR="00FD55F9" w:rsidRPr="009F7DD3" w:rsidRDefault="00FD55F9" w:rsidP="00FD55F9">
      <w:pPr>
        <w:pStyle w:val="naiskr"/>
        <w:tabs>
          <w:tab w:val="left" w:pos="6870"/>
        </w:tabs>
        <w:spacing w:before="0" w:after="0"/>
      </w:pPr>
    </w:p>
    <w:p w:rsidR="0071698E" w:rsidRPr="009F7DD3" w:rsidRDefault="00FD55F9" w:rsidP="00AE213A">
      <w:pPr>
        <w:autoSpaceDE w:val="0"/>
        <w:autoSpaceDN w:val="0"/>
        <w:adjustRightInd w:val="0"/>
      </w:pPr>
      <w:r w:rsidRPr="009F7DD3">
        <w:t xml:space="preserve">Vīza: </w:t>
      </w:r>
    </w:p>
    <w:p w:rsidR="00806BCE" w:rsidRPr="009F7DD3" w:rsidRDefault="00956B3B" w:rsidP="00806BCE">
      <w:pPr>
        <w:autoSpaceDE w:val="0"/>
        <w:autoSpaceDN w:val="0"/>
        <w:adjustRightInd w:val="0"/>
        <w:rPr>
          <w:lang w:eastAsia="zh-CN"/>
        </w:rPr>
      </w:pPr>
      <w:r w:rsidRPr="009F7DD3">
        <w:rPr>
          <w:lang w:eastAsia="zh-CN"/>
        </w:rPr>
        <w:t>Valsts sekretāre</w:t>
      </w:r>
      <w:r w:rsidR="00806BCE" w:rsidRPr="009F7DD3">
        <w:rPr>
          <w:lang w:eastAsia="zh-CN"/>
        </w:rPr>
        <w:tab/>
        <w:t xml:space="preserve"> </w:t>
      </w:r>
      <w:r w:rsidR="00806BCE" w:rsidRPr="009F7DD3">
        <w:rPr>
          <w:lang w:eastAsia="zh-CN"/>
        </w:rPr>
        <w:tab/>
      </w:r>
      <w:r w:rsidR="00806BCE" w:rsidRPr="009F7DD3">
        <w:rPr>
          <w:lang w:eastAsia="zh-CN"/>
        </w:rPr>
        <w:tab/>
      </w:r>
      <w:r w:rsidRPr="009F7DD3">
        <w:rPr>
          <w:lang w:eastAsia="zh-CN"/>
        </w:rPr>
        <w:tab/>
      </w:r>
      <w:r w:rsidRPr="009F7DD3">
        <w:rPr>
          <w:lang w:eastAsia="zh-CN"/>
        </w:rPr>
        <w:tab/>
      </w:r>
      <w:r w:rsidRPr="009F7DD3">
        <w:rPr>
          <w:lang w:eastAsia="zh-CN"/>
        </w:rPr>
        <w:tab/>
      </w:r>
      <w:r w:rsidRPr="009F7DD3">
        <w:rPr>
          <w:lang w:eastAsia="zh-CN"/>
        </w:rPr>
        <w:tab/>
      </w:r>
      <w:r w:rsidRPr="009F7DD3">
        <w:rPr>
          <w:lang w:eastAsia="zh-CN"/>
        </w:rPr>
        <w:tab/>
      </w:r>
      <w:proofErr w:type="spellStart"/>
      <w:r w:rsidRPr="009F7DD3">
        <w:rPr>
          <w:lang w:eastAsia="zh-CN"/>
        </w:rPr>
        <w:t>L.Lejiņa</w:t>
      </w:r>
      <w:proofErr w:type="spellEnd"/>
    </w:p>
    <w:p w:rsidR="003521CD" w:rsidRDefault="003521CD" w:rsidP="00782A57">
      <w:pPr>
        <w:pStyle w:val="Header"/>
        <w:tabs>
          <w:tab w:val="left" w:pos="2340"/>
        </w:tabs>
        <w:rPr>
          <w:sz w:val="20"/>
          <w:szCs w:val="20"/>
        </w:rPr>
      </w:pPr>
    </w:p>
    <w:p w:rsidR="00E96152" w:rsidRDefault="00E96152" w:rsidP="00782A57">
      <w:pPr>
        <w:pStyle w:val="Header"/>
        <w:tabs>
          <w:tab w:val="left" w:pos="2340"/>
        </w:tabs>
        <w:rPr>
          <w:sz w:val="20"/>
          <w:szCs w:val="20"/>
        </w:rPr>
      </w:pPr>
    </w:p>
    <w:p w:rsidR="00E96152" w:rsidRDefault="00E96152" w:rsidP="00782A57">
      <w:pPr>
        <w:pStyle w:val="Header"/>
        <w:tabs>
          <w:tab w:val="left" w:pos="2340"/>
        </w:tabs>
        <w:rPr>
          <w:sz w:val="20"/>
          <w:szCs w:val="20"/>
        </w:rPr>
      </w:pPr>
    </w:p>
    <w:p w:rsidR="00E96152" w:rsidRPr="009F7DD3" w:rsidRDefault="00E96152" w:rsidP="00782A57">
      <w:pPr>
        <w:pStyle w:val="Header"/>
        <w:tabs>
          <w:tab w:val="left" w:pos="2340"/>
        </w:tabs>
        <w:rPr>
          <w:sz w:val="20"/>
          <w:szCs w:val="20"/>
        </w:rPr>
      </w:pPr>
    </w:p>
    <w:p w:rsidR="00782A57" w:rsidRPr="009F7DD3" w:rsidRDefault="00BA45C8" w:rsidP="00782A57">
      <w:pPr>
        <w:pStyle w:val="Header"/>
        <w:tabs>
          <w:tab w:val="left" w:pos="2340"/>
        </w:tabs>
        <w:rPr>
          <w:sz w:val="20"/>
          <w:szCs w:val="20"/>
        </w:rPr>
      </w:pPr>
      <w:r>
        <w:rPr>
          <w:sz w:val="20"/>
          <w:szCs w:val="20"/>
        </w:rPr>
        <w:t>19</w:t>
      </w:r>
      <w:r w:rsidR="00F03F3B" w:rsidRPr="009F7DD3">
        <w:rPr>
          <w:sz w:val="20"/>
          <w:szCs w:val="20"/>
        </w:rPr>
        <w:t>.</w:t>
      </w:r>
      <w:r w:rsidR="00E2547F" w:rsidRPr="009F7DD3">
        <w:rPr>
          <w:sz w:val="20"/>
          <w:szCs w:val="20"/>
        </w:rPr>
        <w:t>0</w:t>
      </w:r>
      <w:r w:rsidR="00E2547F">
        <w:rPr>
          <w:sz w:val="20"/>
          <w:szCs w:val="20"/>
        </w:rPr>
        <w:t>8</w:t>
      </w:r>
      <w:r w:rsidR="00F03F3B" w:rsidRPr="009F7DD3">
        <w:rPr>
          <w:sz w:val="20"/>
          <w:szCs w:val="20"/>
        </w:rPr>
        <w:t>.</w:t>
      </w:r>
      <w:r w:rsidR="00782A57" w:rsidRPr="009F7DD3">
        <w:rPr>
          <w:sz w:val="20"/>
          <w:szCs w:val="20"/>
        </w:rPr>
        <w:t>201</w:t>
      </w:r>
      <w:r w:rsidR="00417564" w:rsidRPr="009F7DD3">
        <w:rPr>
          <w:sz w:val="20"/>
          <w:szCs w:val="20"/>
        </w:rPr>
        <w:t>6</w:t>
      </w:r>
      <w:r w:rsidR="00782A57" w:rsidRPr="009F7DD3">
        <w:rPr>
          <w:sz w:val="20"/>
          <w:szCs w:val="20"/>
        </w:rPr>
        <w:t xml:space="preserve">. </w:t>
      </w:r>
      <w:r w:rsidR="00E2547F" w:rsidRPr="009F7DD3">
        <w:rPr>
          <w:sz w:val="20"/>
          <w:szCs w:val="20"/>
        </w:rPr>
        <w:t>1</w:t>
      </w:r>
      <w:r>
        <w:rPr>
          <w:sz w:val="20"/>
          <w:szCs w:val="20"/>
        </w:rPr>
        <w:t>4</w:t>
      </w:r>
      <w:r w:rsidR="00782A57" w:rsidRPr="009F7DD3">
        <w:rPr>
          <w:sz w:val="20"/>
          <w:szCs w:val="20"/>
        </w:rPr>
        <w:t>:</w:t>
      </w:r>
      <w:r>
        <w:rPr>
          <w:sz w:val="20"/>
          <w:szCs w:val="20"/>
        </w:rPr>
        <w:t>00</w:t>
      </w:r>
    </w:p>
    <w:p w:rsidR="00782A57" w:rsidRPr="009F7DD3" w:rsidRDefault="00E2547F" w:rsidP="00782A57">
      <w:pPr>
        <w:rPr>
          <w:sz w:val="20"/>
          <w:szCs w:val="20"/>
        </w:rPr>
      </w:pPr>
      <w:r w:rsidRPr="009F7DD3">
        <w:rPr>
          <w:sz w:val="20"/>
          <w:szCs w:val="20"/>
        </w:rPr>
        <w:t>4</w:t>
      </w:r>
      <w:r w:rsidR="00BA45C8">
        <w:rPr>
          <w:sz w:val="20"/>
          <w:szCs w:val="20"/>
        </w:rPr>
        <w:t>96</w:t>
      </w:r>
      <w:r>
        <w:rPr>
          <w:sz w:val="20"/>
          <w:szCs w:val="20"/>
        </w:rPr>
        <w:t>1</w:t>
      </w:r>
    </w:p>
    <w:p w:rsidR="00956B3B" w:rsidRPr="009F7DD3" w:rsidRDefault="00956B3B" w:rsidP="00956B3B">
      <w:pPr>
        <w:jc w:val="both"/>
        <w:rPr>
          <w:sz w:val="20"/>
          <w:szCs w:val="20"/>
        </w:rPr>
      </w:pPr>
      <w:proofErr w:type="spellStart"/>
      <w:r w:rsidRPr="009F7DD3">
        <w:rPr>
          <w:sz w:val="20"/>
          <w:szCs w:val="20"/>
        </w:rPr>
        <w:t>V.Abizāre-Vagre</w:t>
      </w:r>
      <w:proofErr w:type="spellEnd"/>
    </w:p>
    <w:p w:rsidR="00956B3B" w:rsidRPr="009F7DD3" w:rsidRDefault="00956B3B" w:rsidP="00956B3B">
      <w:pPr>
        <w:jc w:val="both"/>
        <w:rPr>
          <w:sz w:val="20"/>
          <w:szCs w:val="20"/>
        </w:rPr>
      </w:pPr>
      <w:r w:rsidRPr="009F7DD3">
        <w:rPr>
          <w:sz w:val="20"/>
          <w:szCs w:val="20"/>
        </w:rPr>
        <w:t>Izglītības un zinātnes ministrijas</w:t>
      </w:r>
    </w:p>
    <w:p w:rsidR="00956B3B" w:rsidRPr="009F7DD3" w:rsidRDefault="00956B3B" w:rsidP="00956B3B">
      <w:pPr>
        <w:jc w:val="both"/>
        <w:rPr>
          <w:sz w:val="20"/>
          <w:szCs w:val="20"/>
        </w:rPr>
      </w:pPr>
      <w:r w:rsidRPr="009F7DD3">
        <w:rPr>
          <w:sz w:val="20"/>
          <w:szCs w:val="20"/>
        </w:rPr>
        <w:t>Struktūrfondu departamenta</w:t>
      </w:r>
      <w:r w:rsidR="000C3BB3" w:rsidRPr="009F7DD3">
        <w:rPr>
          <w:sz w:val="20"/>
          <w:szCs w:val="20"/>
        </w:rPr>
        <w:t xml:space="preserve"> </w:t>
      </w:r>
      <w:r w:rsidRPr="009F7DD3">
        <w:rPr>
          <w:sz w:val="20"/>
          <w:szCs w:val="20"/>
        </w:rPr>
        <w:t>vecākā referente</w:t>
      </w:r>
    </w:p>
    <w:p w:rsidR="00956B3B" w:rsidRPr="009F7DD3" w:rsidRDefault="00956B3B" w:rsidP="00956B3B">
      <w:pPr>
        <w:pStyle w:val="PlainText"/>
        <w:jc w:val="both"/>
        <w:rPr>
          <w:rFonts w:ascii="Times New Roman" w:hAnsi="Times New Roman" w:cs="Times New Roman"/>
        </w:rPr>
      </w:pPr>
      <w:r w:rsidRPr="009F7DD3">
        <w:rPr>
          <w:rFonts w:ascii="Times New Roman" w:hAnsi="Times New Roman" w:cs="Times New Roman"/>
        </w:rPr>
        <w:t>67047864, vesma.abizare</w:t>
      </w:r>
      <w:r w:rsidR="00692DB5" w:rsidRPr="009F7DD3">
        <w:rPr>
          <w:rFonts w:ascii="Times New Roman" w:hAnsi="Times New Roman" w:cs="Times New Roman"/>
        </w:rPr>
        <w:t>-vagr</w:t>
      </w:r>
      <w:bookmarkStart w:id="0" w:name="_GoBack"/>
      <w:bookmarkEnd w:id="0"/>
      <w:r w:rsidR="00692DB5" w:rsidRPr="009F7DD3">
        <w:rPr>
          <w:rFonts w:ascii="Times New Roman" w:hAnsi="Times New Roman" w:cs="Times New Roman"/>
        </w:rPr>
        <w:t>e</w:t>
      </w:r>
      <w:r w:rsidRPr="009F7DD3">
        <w:rPr>
          <w:rFonts w:ascii="Times New Roman" w:hAnsi="Times New Roman" w:cs="Times New Roman"/>
        </w:rPr>
        <w:t>@izm.gov.lv</w:t>
      </w:r>
    </w:p>
    <w:sectPr w:rsidR="00956B3B" w:rsidRPr="009F7DD3" w:rsidSect="002D5FF1">
      <w:headerReference w:type="even" r:id="rId12"/>
      <w:headerReference w:type="default" r:id="rId13"/>
      <w:footerReference w:type="default" r:id="rId14"/>
      <w:footerReference w:type="first" r:id="rId15"/>
      <w:pgSz w:w="11906" w:h="16838"/>
      <w:pgMar w:top="1418" w:right="1416" w:bottom="1134" w:left="1843"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FC" w:rsidRDefault="004737FC">
      <w:r>
        <w:separator/>
      </w:r>
    </w:p>
  </w:endnote>
  <w:endnote w:type="continuationSeparator" w:id="0">
    <w:p w:rsidR="004737FC" w:rsidRDefault="0047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FC" w:rsidRPr="00A37AAD" w:rsidRDefault="004737FC" w:rsidP="00737586">
    <w:pPr>
      <w:jc w:val="both"/>
      <w:rPr>
        <w:sz w:val="20"/>
        <w:szCs w:val="20"/>
      </w:rPr>
    </w:pPr>
    <w:r>
      <w:rPr>
        <w:sz w:val="20"/>
        <w:szCs w:val="20"/>
      </w:rPr>
      <w:t>IZM</w:t>
    </w:r>
    <w:r w:rsidRPr="00737586">
      <w:rPr>
        <w:sz w:val="20"/>
        <w:szCs w:val="20"/>
      </w:rPr>
      <w:t>Anot_</w:t>
    </w:r>
    <w:r>
      <w:rPr>
        <w:sz w:val="20"/>
        <w:szCs w:val="20"/>
      </w:rPr>
      <w:t xml:space="preserve">814_SAM_19082016; </w:t>
    </w:r>
    <w:r w:rsidRPr="00A37AAD">
      <w:rPr>
        <w:sz w:val="20"/>
        <w:szCs w:val="20"/>
      </w:rPr>
      <w:t>Ministru kabineta noteikumu projekt</w:t>
    </w:r>
    <w:r>
      <w:rPr>
        <w:sz w:val="20"/>
        <w:szCs w:val="20"/>
      </w:rPr>
      <w:t>a</w:t>
    </w:r>
    <w:r w:rsidRPr="00A37AAD">
      <w:rPr>
        <w:sz w:val="20"/>
        <w:szCs w:val="20"/>
      </w:rPr>
      <w:t xml:space="preserve"> „</w:t>
    </w:r>
    <w:r w:rsidRPr="00954D9A">
      <w:rPr>
        <w:sz w:val="20"/>
        <w:szCs w:val="20"/>
      </w:rPr>
      <w:t>Darbības programmas „Izaugsme un nodarbinātība” 8.1.4. specifiskā atbalsta mērķa „</w:t>
    </w:r>
    <w:bookmarkStart w:id="1" w:name="OLE_LINK1"/>
    <w:bookmarkStart w:id="2" w:name="OLE_LINK2"/>
    <w:r w:rsidRPr="00954D9A">
      <w:rPr>
        <w:sz w:val="20"/>
        <w:szCs w:val="20"/>
      </w:rPr>
      <w:t>Uzlabot pirmā līmeņa profesionālās augstākās izglītības STEM, tajā skaitā medicīnas un radošās industrijas, studiju mācību vidi koledžās</w:t>
    </w:r>
    <w:bookmarkEnd w:id="1"/>
    <w:bookmarkEnd w:id="2"/>
    <w:r w:rsidRPr="00954D9A">
      <w:rPr>
        <w:sz w:val="20"/>
        <w:szCs w:val="20"/>
      </w:rPr>
      <w:t>” īstenošanas noteikumi</w:t>
    </w:r>
    <w:r w:rsidRPr="00A37AAD">
      <w:rPr>
        <w:sz w:val="20"/>
        <w:szCs w:val="20"/>
      </w:rPr>
      <w:t>”</w:t>
    </w:r>
    <w:r>
      <w:rPr>
        <w:sz w:val="20"/>
        <w:szCs w:val="20"/>
      </w:rPr>
      <w:t xml:space="preserve"> </w:t>
    </w:r>
    <w:r w:rsidRPr="0007450A">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FC" w:rsidRPr="00A37AAD" w:rsidRDefault="004737FC" w:rsidP="00737586">
    <w:pPr>
      <w:jc w:val="both"/>
      <w:rPr>
        <w:sz w:val="20"/>
        <w:szCs w:val="20"/>
      </w:rPr>
    </w:pPr>
    <w:r>
      <w:rPr>
        <w:sz w:val="20"/>
        <w:szCs w:val="20"/>
      </w:rPr>
      <w:t>IZM</w:t>
    </w:r>
    <w:r w:rsidRPr="00737586">
      <w:rPr>
        <w:sz w:val="20"/>
        <w:szCs w:val="20"/>
      </w:rPr>
      <w:t>Anot_</w:t>
    </w:r>
    <w:r>
      <w:rPr>
        <w:sz w:val="20"/>
        <w:szCs w:val="20"/>
      </w:rPr>
      <w:t xml:space="preserve">814_SAM_19082016; </w:t>
    </w:r>
    <w:r w:rsidRPr="00A37AAD">
      <w:rPr>
        <w:sz w:val="20"/>
        <w:szCs w:val="20"/>
      </w:rPr>
      <w:t>Ministru kabineta noteikumu projekt</w:t>
    </w:r>
    <w:r>
      <w:rPr>
        <w:sz w:val="20"/>
        <w:szCs w:val="20"/>
      </w:rPr>
      <w:t>a</w:t>
    </w:r>
    <w:r w:rsidRPr="00A37AAD">
      <w:rPr>
        <w:sz w:val="20"/>
        <w:szCs w:val="20"/>
      </w:rPr>
      <w:t xml:space="preserve"> „</w:t>
    </w:r>
    <w:r w:rsidRPr="00954D9A">
      <w:rPr>
        <w:sz w:val="20"/>
        <w:szCs w:val="20"/>
      </w:rPr>
      <w:t>Darbības programmas „Izaugsme un nodarbinātība” 8.1.4. specifiskā atbalsta mērķa „Uzlabot pirmā līmeņa profesionālās augstākās izglītības STEM, tajā skaitā medicīnas un radošās industrijas, studiju mācību vidi koledžās” īstenošanas noteikumi</w:t>
    </w:r>
    <w:r w:rsidRPr="00A37AAD">
      <w:rPr>
        <w:sz w:val="20"/>
        <w:szCs w:val="20"/>
      </w:rPr>
      <w:t>”</w:t>
    </w:r>
    <w:r>
      <w:rPr>
        <w:sz w:val="20"/>
        <w:szCs w:val="20"/>
      </w:rPr>
      <w:t xml:space="preserve"> </w:t>
    </w:r>
    <w:r w:rsidRPr="0007450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FC" w:rsidRDefault="004737FC">
      <w:r>
        <w:separator/>
      </w:r>
    </w:p>
  </w:footnote>
  <w:footnote w:type="continuationSeparator" w:id="0">
    <w:p w:rsidR="004737FC" w:rsidRDefault="00473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FC" w:rsidRDefault="004737FC"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7FC" w:rsidRDefault="004737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7FC" w:rsidRDefault="004737FC"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5C8">
      <w:rPr>
        <w:rStyle w:val="PageNumber"/>
        <w:noProof/>
      </w:rPr>
      <w:t>17</w:t>
    </w:r>
    <w:r>
      <w:rPr>
        <w:rStyle w:val="PageNumber"/>
      </w:rPr>
      <w:fldChar w:fldCharType="end"/>
    </w:r>
  </w:p>
  <w:p w:rsidR="004737FC" w:rsidRDefault="0047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0"/>
    <w:multiLevelType w:val="hybridMultilevel"/>
    <w:tmpl w:val="470E63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956D2"/>
    <w:multiLevelType w:val="hybridMultilevel"/>
    <w:tmpl w:val="54C4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9378D"/>
    <w:multiLevelType w:val="hybridMultilevel"/>
    <w:tmpl w:val="A63AA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41FF"/>
    <w:multiLevelType w:val="hybridMultilevel"/>
    <w:tmpl w:val="49A49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4607A9"/>
    <w:multiLevelType w:val="hybridMultilevel"/>
    <w:tmpl w:val="713A3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144BC8"/>
    <w:multiLevelType w:val="hybridMultilevel"/>
    <w:tmpl w:val="F640AF9C"/>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801779"/>
    <w:multiLevelType w:val="hybridMultilevel"/>
    <w:tmpl w:val="3EB63218"/>
    <w:lvl w:ilvl="0" w:tplc="A4640F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C43D3E"/>
    <w:multiLevelType w:val="hybridMultilevel"/>
    <w:tmpl w:val="4E22F358"/>
    <w:lvl w:ilvl="0" w:tplc="04260017">
      <w:start w:val="1"/>
      <w:numFmt w:val="lowerLetter"/>
      <w:lvlText w:val="%1)"/>
      <w:lvlJc w:val="left"/>
      <w:pPr>
        <w:ind w:left="1440" w:hanging="360"/>
      </w:pPr>
      <w:rPr>
        <w:rFonts w:hint="default"/>
        <w:color w:val="auto"/>
        <w:sz w:val="23"/>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3061D6"/>
    <w:multiLevelType w:val="multilevel"/>
    <w:tmpl w:val="D81423E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786F44"/>
    <w:multiLevelType w:val="hybridMultilevel"/>
    <w:tmpl w:val="97FC1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97279"/>
    <w:multiLevelType w:val="hybridMultilevel"/>
    <w:tmpl w:val="0A5A7BFC"/>
    <w:lvl w:ilvl="0" w:tplc="D5944BDA">
      <w:start w:val="1"/>
      <w:numFmt w:val="decimal"/>
      <w:lvlText w:val="%1)"/>
      <w:lvlJc w:val="left"/>
      <w:pPr>
        <w:ind w:left="1434" w:hanging="360"/>
      </w:pPr>
      <w:rPr>
        <w:rFonts w:ascii="Times New Roman" w:hAnsi="Times New Roman" w:cs="Times New Roman"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5" w15:restartNumberingAfterBreak="0">
    <w:nsid w:val="245631AE"/>
    <w:multiLevelType w:val="hybridMultilevel"/>
    <w:tmpl w:val="4B102E6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025024"/>
    <w:multiLevelType w:val="hybridMultilevel"/>
    <w:tmpl w:val="99D635C8"/>
    <w:lvl w:ilvl="0" w:tplc="A784092A">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3E1DA3"/>
    <w:multiLevelType w:val="hybridMultilevel"/>
    <w:tmpl w:val="F210EA40"/>
    <w:lvl w:ilvl="0" w:tplc="A1FCD4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A32AE4"/>
    <w:multiLevelType w:val="multilevel"/>
    <w:tmpl w:val="5E9286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90A20DD"/>
    <w:multiLevelType w:val="hybridMultilevel"/>
    <w:tmpl w:val="122440E0"/>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EE28FC"/>
    <w:multiLevelType w:val="hybridMultilevel"/>
    <w:tmpl w:val="60668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4E3D22"/>
    <w:multiLevelType w:val="hybridMultilevel"/>
    <w:tmpl w:val="E882765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DA28ED"/>
    <w:multiLevelType w:val="hybridMultilevel"/>
    <w:tmpl w:val="A6E2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B8C395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6050E1"/>
    <w:multiLevelType w:val="multilevel"/>
    <w:tmpl w:val="33A6E182"/>
    <w:lvl w:ilvl="0">
      <w:start w:val="45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0250152"/>
    <w:multiLevelType w:val="multilevel"/>
    <w:tmpl w:val="4E56C1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D4566A"/>
    <w:multiLevelType w:val="hybridMultilevel"/>
    <w:tmpl w:val="27A6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E70D05"/>
    <w:multiLevelType w:val="hybridMultilevel"/>
    <w:tmpl w:val="397E1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C801BA"/>
    <w:multiLevelType w:val="hybridMultilevel"/>
    <w:tmpl w:val="CC5472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2B055A"/>
    <w:multiLevelType w:val="hybridMultilevel"/>
    <w:tmpl w:val="E5EC09D6"/>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9100538"/>
    <w:multiLevelType w:val="hybridMultilevel"/>
    <w:tmpl w:val="B16E38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0462525"/>
    <w:multiLevelType w:val="hybridMultilevel"/>
    <w:tmpl w:val="70000C1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1D5036B"/>
    <w:multiLevelType w:val="hybridMultilevel"/>
    <w:tmpl w:val="BFAE1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A079A3"/>
    <w:multiLevelType w:val="hybridMultilevel"/>
    <w:tmpl w:val="7C7AF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1702C8"/>
    <w:multiLevelType w:val="hybridMultilevel"/>
    <w:tmpl w:val="8DBC02E6"/>
    <w:lvl w:ilvl="0" w:tplc="43FCA474">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2B178B"/>
    <w:multiLevelType w:val="hybridMultilevel"/>
    <w:tmpl w:val="E0D28A56"/>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E24072"/>
    <w:multiLevelType w:val="hybridMultilevel"/>
    <w:tmpl w:val="50A8B194"/>
    <w:lvl w:ilvl="0" w:tplc="049C2780">
      <w:numFmt w:val="bullet"/>
      <w:lvlText w:val="-"/>
      <w:lvlJc w:val="left"/>
      <w:pPr>
        <w:ind w:left="720" w:hanging="360"/>
      </w:pPr>
      <w:rPr>
        <w:rFonts w:ascii="Times New Roman" w:hAnsi="Times New Roman" w:cs="Times New Roman" w:hint="default"/>
        <w:color w:val="auto"/>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9" w15:restartNumberingAfterBreak="0">
    <w:nsid w:val="77071823"/>
    <w:multiLevelType w:val="hybridMultilevel"/>
    <w:tmpl w:val="4AAAAFC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761724"/>
    <w:multiLevelType w:val="hybridMultilevel"/>
    <w:tmpl w:val="FEE2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9635F1"/>
    <w:multiLevelType w:val="hybridMultilevel"/>
    <w:tmpl w:val="491059C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8F6AA8"/>
    <w:multiLevelType w:val="hybridMultilevel"/>
    <w:tmpl w:val="DD0832A6"/>
    <w:lvl w:ilvl="0" w:tplc="90DE2F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25"/>
  </w:num>
  <w:num w:numId="5">
    <w:abstractNumId w:val="40"/>
  </w:num>
  <w:num w:numId="6">
    <w:abstractNumId w:val="2"/>
  </w:num>
  <w:num w:numId="7">
    <w:abstractNumId w:val="42"/>
  </w:num>
  <w:num w:numId="8">
    <w:abstractNumId w:val="17"/>
  </w:num>
  <w:num w:numId="9">
    <w:abstractNumId w:val="12"/>
  </w:num>
  <w:num w:numId="10">
    <w:abstractNumId w:val="9"/>
  </w:num>
  <w:num w:numId="11">
    <w:abstractNumId w:val="34"/>
  </w:num>
  <w:num w:numId="12">
    <w:abstractNumId w:val="5"/>
  </w:num>
  <w:num w:numId="13">
    <w:abstractNumId w:val="6"/>
  </w:num>
  <w:num w:numId="14">
    <w:abstractNumId w:val="4"/>
  </w:num>
  <w:num w:numId="15">
    <w:abstractNumId w:val="23"/>
  </w:num>
  <w:num w:numId="16">
    <w:abstractNumId w:val="31"/>
  </w:num>
  <w:num w:numId="17">
    <w:abstractNumId w:val="22"/>
  </w:num>
  <w:num w:numId="18">
    <w:abstractNumId w:val="15"/>
  </w:num>
  <w:num w:numId="19">
    <w:abstractNumId w:val="21"/>
  </w:num>
  <w:num w:numId="20">
    <w:abstractNumId w:val="1"/>
  </w:num>
  <w:num w:numId="21">
    <w:abstractNumId w:val="35"/>
  </w:num>
  <w:num w:numId="22">
    <w:abstractNumId w:val="27"/>
  </w:num>
  <w:num w:numId="23">
    <w:abstractNumId w:val="16"/>
  </w:num>
  <w:num w:numId="24">
    <w:abstractNumId w:val="29"/>
  </w:num>
  <w:num w:numId="25">
    <w:abstractNumId w:val="19"/>
  </w:num>
  <w:num w:numId="26">
    <w:abstractNumId w:val="8"/>
  </w:num>
  <w:num w:numId="27">
    <w:abstractNumId w:val="30"/>
  </w:num>
  <w:num w:numId="28">
    <w:abstractNumId w:val="26"/>
  </w:num>
  <w:num w:numId="29">
    <w:abstractNumId w:val="0"/>
  </w:num>
  <w:num w:numId="30">
    <w:abstractNumId w:val="36"/>
  </w:num>
  <w:num w:numId="31">
    <w:abstractNumId w:val="39"/>
  </w:num>
  <w:num w:numId="32">
    <w:abstractNumId w:val="41"/>
  </w:num>
  <w:num w:numId="33">
    <w:abstractNumId w:val="32"/>
  </w:num>
  <w:num w:numId="34">
    <w:abstractNumId w:val="28"/>
  </w:num>
  <w:num w:numId="35">
    <w:abstractNumId w:val="38"/>
  </w:num>
  <w:num w:numId="36">
    <w:abstractNumId w:val="24"/>
  </w:num>
  <w:num w:numId="37">
    <w:abstractNumId w:val="3"/>
  </w:num>
  <w:num w:numId="38">
    <w:abstractNumId w:val="37"/>
  </w:num>
  <w:num w:numId="39">
    <w:abstractNumId w:val="10"/>
  </w:num>
  <w:num w:numId="40">
    <w:abstractNumId w:val="33"/>
  </w:num>
  <w:num w:numId="41">
    <w:abstractNumId w:val="20"/>
  </w:num>
  <w:num w:numId="42">
    <w:abstractNumId w:val="1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3293"/>
    <w:rsid w:val="000040A9"/>
    <w:rsid w:val="00005DFA"/>
    <w:rsid w:val="00011FC3"/>
    <w:rsid w:val="00013EF9"/>
    <w:rsid w:val="00015BE4"/>
    <w:rsid w:val="000164A1"/>
    <w:rsid w:val="00016659"/>
    <w:rsid w:val="00016FEA"/>
    <w:rsid w:val="000205A7"/>
    <w:rsid w:val="0002158B"/>
    <w:rsid w:val="000219BD"/>
    <w:rsid w:val="00023887"/>
    <w:rsid w:val="00030A52"/>
    <w:rsid w:val="00031039"/>
    <w:rsid w:val="000326BA"/>
    <w:rsid w:val="000328EC"/>
    <w:rsid w:val="0003431E"/>
    <w:rsid w:val="00034605"/>
    <w:rsid w:val="00035450"/>
    <w:rsid w:val="00035F21"/>
    <w:rsid w:val="0003628A"/>
    <w:rsid w:val="00040488"/>
    <w:rsid w:val="000411EA"/>
    <w:rsid w:val="000460B9"/>
    <w:rsid w:val="00046D03"/>
    <w:rsid w:val="000473CC"/>
    <w:rsid w:val="0005006A"/>
    <w:rsid w:val="00052408"/>
    <w:rsid w:val="00053101"/>
    <w:rsid w:val="00054C02"/>
    <w:rsid w:val="00055E6C"/>
    <w:rsid w:val="00057A45"/>
    <w:rsid w:val="00061756"/>
    <w:rsid w:val="000629DD"/>
    <w:rsid w:val="000637F3"/>
    <w:rsid w:val="000650EE"/>
    <w:rsid w:val="00067040"/>
    <w:rsid w:val="00071DE1"/>
    <w:rsid w:val="0007335D"/>
    <w:rsid w:val="0007450A"/>
    <w:rsid w:val="000745B5"/>
    <w:rsid w:val="0007504C"/>
    <w:rsid w:val="00075C69"/>
    <w:rsid w:val="00076EF5"/>
    <w:rsid w:val="000773A0"/>
    <w:rsid w:val="00080965"/>
    <w:rsid w:val="000844D3"/>
    <w:rsid w:val="00084F09"/>
    <w:rsid w:val="0008516D"/>
    <w:rsid w:val="000875FE"/>
    <w:rsid w:val="000903F3"/>
    <w:rsid w:val="00091842"/>
    <w:rsid w:val="0009238F"/>
    <w:rsid w:val="00093CE0"/>
    <w:rsid w:val="000947C0"/>
    <w:rsid w:val="00094944"/>
    <w:rsid w:val="0009620B"/>
    <w:rsid w:val="0009645B"/>
    <w:rsid w:val="00097499"/>
    <w:rsid w:val="000A00D8"/>
    <w:rsid w:val="000A03CC"/>
    <w:rsid w:val="000A2E3E"/>
    <w:rsid w:val="000A3A79"/>
    <w:rsid w:val="000A4631"/>
    <w:rsid w:val="000A4B58"/>
    <w:rsid w:val="000A5BB7"/>
    <w:rsid w:val="000B664E"/>
    <w:rsid w:val="000B772F"/>
    <w:rsid w:val="000C0381"/>
    <w:rsid w:val="000C0D48"/>
    <w:rsid w:val="000C35CA"/>
    <w:rsid w:val="000C3BB3"/>
    <w:rsid w:val="000C444F"/>
    <w:rsid w:val="000C6113"/>
    <w:rsid w:val="000C740C"/>
    <w:rsid w:val="000D1A11"/>
    <w:rsid w:val="000D32BA"/>
    <w:rsid w:val="000D5011"/>
    <w:rsid w:val="000D5B46"/>
    <w:rsid w:val="000E32B9"/>
    <w:rsid w:val="000E52AF"/>
    <w:rsid w:val="000E581B"/>
    <w:rsid w:val="000E59B9"/>
    <w:rsid w:val="000E60C5"/>
    <w:rsid w:val="000E705D"/>
    <w:rsid w:val="000F1E99"/>
    <w:rsid w:val="000F3D49"/>
    <w:rsid w:val="000F61E3"/>
    <w:rsid w:val="001007C0"/>
    <w:rsid w:val="00100ED8"/>
    <w:rsid w:val="00100F56"/>
    <w:rsid w:val="0010189D"/>
    <w:rsid w:val="0010194C"/>
    <w:rsid w:val="00101A77"/>
    <w:rsid w:val="00102296"/>
    <w:rsid w:val="00103B43"/>
    <w:rsid w:val="00104BA2"/>
    <w:rsid w:val="00106273"/>
    <w:rsid w:val="00107CE4"/>
    <w:rsid w:val="001116A8"/>
    <w:rsid w:val="00116660"/>
    <w:rsid w:val="001210A7"/>
    <w:rsid w:val="00123489"/>
    <w:rsid w:val="001252AC"/>
    <w:rsid w:val="001256C9"/>
    <w:rsid w:val="00126108"/>
    <w:rsid w:val="00131DD2"/>
    <w:rsid w:val="00135B78"/>
    <w:rsid w:val="001410BB"/>
    <w:rsid w:val="00142C8F"/>
    <w:rsid w:val="00143DB4"/>
    <w:rsid w:val="00144FB8"/>
    <w:rsid w:val="001454CE"/>
    <w:rsid w:val="00146622"/>
    <w:rsid w:val="00147B95"/>
    <w:rsid w:val="00147D34"/>
    <w:rsid w:val="00151D4E"/>
    <w:rsid w:val="00152791"/>
    <w:rsid w:val="001538A9"/>
    <w:rsid w:val="001554D2"/>
    <w:rsid w:val="001564E4"/>
    <w:rsid w:val="00160C6C"/>
    <w:rsid w:val="00160F31"/>
    <w:rsid w:val="001629C3"/>
    <w:rsid w:val="001645EB"/>
    <w:rsid w:val="001676C1"/>
    <w:rsid w:val="00167B6E"/>
    <w:rsid w:val="00172FC8"/>
    <w:rsid w:val="00173197"/>
    <w:rsid w:val="00175FE2"/>
    <w:rsid w:val="00177452"/>
    <w:rsid w:val="0018044A"/>
    <w:rsid w:val="001833F9"/>
    <w:rsid w:val="00186DDC"/>
    <w:rsid w:val="001903DC"/>
    <w:rsid w:val="0019050A"/>
    <w:rsid w:val="001966C0"/>
    <w:rsid w:val="00197710"/>
    <w:rsid w:val="001A3B2F"/>
    <w:rsid w:val="001A495C"/>
    <w:rsid w:val="001A4C78"/>
    <w:rsid w:val="001B25AF"/>
    <w:rsid w:val="001B264B"/>
    <w:rsid w:val="001B2754"/>
    <w:rsid w:val="001C2768"/>
    <w:rsid w:val="001C2FA3"/>
    <w:rsid w:val="001C3481"/>
    <w:rsid w:val="001C391D"/>
    <w:rsid w:val="001C3946"/>
    <w:rsid w:val="001C3F9C"/>
    <w:rsid w:val="001C489E"/>
    <w:rsid w:val="001D11D4"/>
    <w:rsid w:val="001D3BEE"/>
    <w:rsid w:val="001D3ECA"/>
    <w:rsid w:val="001D47A9"/>
    <w:rsid w:val="001D4EDF"/>
    <w:rsid w:val="001D6E35"/>
    <w:rsid w:val="001E0386"/>
    <w:rsid w:val="001E21C4"/>
    <w:rsid w:val="001F201E"/>
    <w:rsid w:val="001F427E"/>
    <w:rsid w:val="001F4D68"/>
    <w:rsid w:val="001F77D1"/>
    <w:rsid w:val="001F7DD0"/>
    <w:rsid w:val="001F7E4A"/>
    <w:rsid w:val="00200F66"/>
    <w:rsid w:val="002018F0"/>
    <w:rsid w:val="00201CB9"/>
    <w:rsid w:val="002061A6"/>
    <w:rsid w:val="002120B6"/>
    <w:rsid w:val="00212CB3"/>
    <w:rsid w:val="002133BE"/>
    <w:rsid w:val="00214299"/>
    <w:rsid w:val="00214C14"/>
    <w:rsid w:val="00215247"/>
    <w:rsid w:val="00216346"/>
    <w:rsid w:val="00221ADE"/>
    <w:rsid w:val="002222D9"/>
    <w:rsid w:val="00222714"/>
    <w:rsid w:val="002267D6"/>
    <w:rsid w:val="00227DB7"/>
    <w:rsid w:val="00231118"/>
    <w:rsid w:val="00231C2B"/>
    <w:rsid w:val="00233CF7"/>
    <w:rsid w:val="00234CA7"/>
    <w:rsid w:val="002358F8"/>
    <w:rsid w:val="0024327C"/>
    <w:rsid w:val="002434D6"/>
    <w:rsid w:val="002444D7"/>
    <w:rsid w:val="00244BB9"/>
    <w:rsid w:val="002465D6"/>
    <w:rsid w:val="00246C24"/>
    <w:rsid w:val="00247039"/>
    <w:rsid w:val="0024771D"/>
    <w:rsid w:val="00252757"/>
    <w:rsid w:val="00253B7F"/>
    <w:rsid w:val="00254075"/>
    <w:rsid w:val="00254EB8"/>
    <w:rsid w:val="00257617"/>
    <w:rsid w:val="0026330D"/>
    <w:rsid w:val="00264888"/>
    <w:rsid w:val="002655BA"/>
    <w:rsid w:val="0026684F"/>
    <w:rsid w:val="00267539"/>
    <w:rsid w:val="00270EEA"/>
    <w:rsid w:val="002764B8"/>
    <w:rsid w:val="00277C45"/>
    <w:rsid w:val="00281DD1"/>
    <w:rsid w:val="0028258A"/>
    <w:rsid w:val="00282D42"/>
    <w:rsid w:val="00284A74"/>
    <w:rsid w:val="0028541D"/>
    <w:rsid w:val="00286C33"/>
    <w:rsid w:val="00287335"/>
    <w:rsid w:val="00287B3F"/>
    <w:rsid w:val="00290CD6"/>
    <w:rsid w:val="00292174"/>
    <w:rsid w:val="0029303E"/>
    <w:rsid w:val="002935F0"/>
    <w:rsid w:val="00295590"/>
    <w:rsid w:val="00296B9D"/>
    <w:rsid w:val="0029714A"/>
    <w:rsid w:val="00297635"/>
    <w:rsid w:val="002977AA"/>
    <w:rsid w:val="00297F53"/>
    <w:rsid w:val="002A06CC"/>
    <w:rsid w:val="002A0BDF"/>
    <w:rsid w:val="002A179C"/>
    <w:rsid w:val="002A249E"/>
    <w:rsid w:val="002A2A18"/>
    <w:rsid w:val="002A3936"/>
    <w:rsid w:val="002A3B30"/>
    <w:rsid w:val="002A3CA8"/>
    <w:rsid w:val="002A7D63"/>
    <w:rsid w:val="002B0E2F"/>
    <w:rsid w:val="002B1874"/>
    <w:rsid w:val="002B5960"/>
    <w:rsid w:val="002B65FF"/>
    <w:rsid w:val="002B6BAD"/>
    <w:rsid w:val="002B7380"/>
    <w:rsid w:val="002C0DBF"/>
    <w:rsid w:val="002C0FE8"/>
    <w:rsid w:val="002C2C45"/>
    <w:rsid w:val="002C2F91"/>
    <w:rsid w:val="002C3D37"/>
    <w:rsid w:val="002C458D"/>
    <w:rsid w:val="002C6C0C"/>
    <w:rsid w:val="002D0A38"/>
    <w:rsid w:val="002D2047"/>
    <w:rsid w:val="002D28B7"/>
    <w:rsid w:val="002D30A2"/>
    <w:rsid w:val="002D537F"/>
    <w:rsid w:val="002D5FF1"/>
    <w:rsid w:val="002D758C"/>
    <w:rsid w:val="002E0EEE"/>
    <w:rsid w:val="002E2EF1"/>
    <w:rsid w:val="002E36DB"/>
    <w:rsid w:val="002E7C61"/>
    <w:rsid w:val="002F54E7"/>
    <w:rsid w:val="00300F58"/>
    <w:rsid w:val="00301E40"/>
    <w:rsid w:val="00302DF2"/>
    <w:rsid w:val="00305AEE"/>
    <w:rsid w:val="00310936"/>
    <w:rsid w:val="0031173B"/>
    <w:rsid w:val="00313BE8"/>
    <w:rsid w:val="003145F8"/>
    <w:rsid w:val="003160A2"/>
    <w:rsid w:val="0031744E"/>
    <w:rsid w:val="00321929"/>
    <w:rsid w:val="00321969"/>
    <w:rsid w:val="003222AA"/>
    <w:rsid w:val="003229E3"/>
    <w:rsid w:val="00322F02"/>
    <w:rsid w:val="00323752"/>
    <w:rsid w:val="00323BBA"/>
    <w:rsid w:val="00325B3E"/>
    <w:rsid w:val="0033121E"/>
    <w:rsid w:val="0033346D"/>
    <w:rsid w:val="003348E1"/>
    <w:rsid w:val="003355BE"/>
    <w:rsid w:val="00335BF2"/>
    <w:rsid w:val="003366B8"/>
    <w:rsid w:val="003368B0"/>
    <w:rsid w:val="00336C17"/>
    <w:rsid w:val="00337EFC"/>
    <w:rsid w:val="00341998"/>
    <w:rsid w:val="00342412"/>
    <w:rsid w:val="00343007"/>
    <w:rsid w:val="00345053"/>
    <w:rsid w:val="003472FC"/>
    <w:rsid w:val="00347BB0"/>
    <w:rsid w:val="003521CD"/>
    <w:rsid w:val="00352CB6"/>
    <w:rsid w:val="00353E34"/>
    <w:rsid w:val="00354795"/>
    <w:rsid w:val="00355359"/>
    <w:rsid w:val="0035678C"/>
    <w:rsid w:val="0035690D"/>
    <w:rsid w:val="003606AD"/>
    <w:rsid w:val="0036246B"/>
    <w:rsid w:val="00362B79"/>
    <w:rsid w:val="003630A9"/>
    <w:rsid w:val="00371EAD"/>
    <w:rsid w:val="003723BB"/>
    <w:rsid w:val="003726E1"/>
    <w:rsid w:val="0037305E"/>
    <w:rsid w:val="003747BF"/>
    <w:rsid w:val="00376D80"/>
    <w:rsid w:val="0038024C"/>
    <w:rsid w:val="00381039"/>
    <w:rsid w:val="00382DF4"/>
    <w:rsid w:val="00383A20"/>
    <w:rsid w:val="003866B2"/>
    <w:rsid w:val="00386D54"/>
    <w:rsid w:val="0038714B"/>
    <w:rsid w:val="00390D20"/>
    <w:rsid w:val="003915F9"/>
    <w:rsid w:val="00391A41"/>
    <w:rsid w:val="0039373A"/>
    <w:rsid w:val="00396683"/>
    <w:rsid w:val="003A1B1A"/>
    <w:rsid w:val="003A3AD4"/>
    <w:rsid w:val="003A5266"/>
    <w:rsid w:val="003A77BD"/>
    <w:rsid w:val="003B07AA"/>
    <w:rsid w:val="003B0A8C"/>
    <w:rsid w:val="003B1174"/>
    <w:rsid w:val="003B11DD"/>
    <w:rsid w:val="003B2F6C"/>
    <w:rsid w:val="003B3004"/>
    <w:rsid w:val="003B5F9A"/>
    <w:rsid w:val="003C1451"/>
    <w:rsid w:val="003C25D4"/>
    <w:rsid w:val="003C2CC1"/>
    <w:rsid w:val="003C4140"/>
    <w:rsid w:val="003C446F"/>
    <w:rsid w:val="003C763C"/>
    <w:rsid w:val="003C7C85"/>
    <w:rsid w:val="003D076C"/>
    <w:rsid w:val="003D3583"/>
    <w:rsid w:val="003D4B4C"/>
    <w:rsid w:val="003E0241"/>
    <w:rsid w:val="003E04A2"/>
    <w:rsid w:val="003E15A7"/>
    <w:rsid w:val="003E2D58"/>
    <w:rsid w:val="003E6042"/>
    <w:rsid w:val="003E657B"/>
    <w:rsid w:val="003E79DE"/>
    <w:rsid w:val="003F2B8E"/>
    <w:rsid w:val="003F3652"/>
    <w:rsid w:val="00410C9C"/>
    <w:rsid w:val="0041100B"/>
    <w:rsid w:val="00411ECA"/>
    <w:rsid w:val="00417564"/>
    <w:rsid w:val="004221DF"/>
    <w:rsid w:val="004238D5"/>
    <w:rsid w:val="00423CA2"/>
    <w:rsid w:val="00426858"/>
    <w:rsid w:val="00426C42"/>
    <w:rsid w:val="00426CAA"/>
    <w:rsid w:val="0042733E"/>
    <w:rsid w:val="004276F2"/>
    <w:rsid w:val="00430D0C"/>
    <w:rsid w:val="00436450"/>
    <w:rsid w:val="00436CD1"/>
    <w:rsid w:val="00440079"/>
    <w:rsid w:val="004429C5"/>
    <w:rsid w:val="0044472C"/>
    <w:rsid w:val="00445CA8"/>
    <w:rsid w:val="00450064"/>
    <w:rsid w:val="00450CFD"/>
    <w:rsid w:val="00451F5F"/>
    <w:rsid w:val="0045427B"/>
    <w:rsid w:val="004574F0"/>
    <w:rsid w:val="00457A1C"/>
    <w:rsid w:val="00462DBD"/>
    <w:rsid w:val="00466AC2"/>
    <w:rsid w:val="00467465"/>
    <w:rsid w:val="00467A8A"/>
    <w:rsid w:val="00467CDC"/>
    <w:rsid w:val="00467F17"/>
    <w:rsid w:val="00472F1C"/>
    <w:rsid w:val="004737FC"/>
    <w:rsid w:val="00474D3C"/>
    <w:rsid w:val="004771C0"/>
    <w:rsid w:val="00482B5D"/>
    <w:rsid w:val="00484987"/>
    <w:rsid w:val="00484A60"/>
    <w:rsid w:val="004870F1"/>
    <w:rsid w:val="00491E6B"/>
    <w:rsid w:val="00491F95"/>
    <w:rsid w:val="00492FF8"/>
    <w:rsid w:val="00493F81"/>
    <w:rsid w:val="004967CD"/>
    <w:rsid w:val="004A00FE"/>
    <w:rsid w:val="004A01EE"/>
    <w:rsid w:val="004A024F"/>
    <w:rsid w:val="004A06BE"/>
    <w:rsid w:val="004A0B1A"/>
    <w:rsid w:val="004A0EAF"/>
    <w:rsid w:val="004A145F"/>
    <w:rsid w:val="004A290E"/>
    <w:rsid w:val="004A4C00"/>
    <w:rsid w:val="004A5A62"/>
    <w:rsid w:val="004B0E40"/>
    <w:rsid w:val="004B10D4"/>
    <w:rsid w:val="004B130C"/>
    <w:rsid w:val="004B16AB"/>
    <w:rsid w:val="004B3BAE"/>
    <w:rsid w:val="004B4CF4"/>
    <w:rsid w:val="004B515D"/>
    <w:rsid w:val="004B7ED6"/>
    <w:rsid w:val="004C061E"/>
    <w:rsid w:val="004C18E9"/>
    <w:rsid w:val="004C4BCE"/>
    <w:rsid w:val="004C5D29"/>
    <w:rsid w:val="004C6ED2"/>
    <w:rsid w:val="004C77F0"/>
    <w:rsid w:val="004C794F"/>
    <w:rsid w:val="004D0540"/>
    <w:rsid w:val="004D35DE"/>
    <w:rsid w:val="004E07A7"/>
    <w:rsid w:val="004E1373"/>
    <w:rsid w:val="004E550F"/>
    <w:rsid w:val="004E5809"/>
    <w:rsid w:val="004F0B9B"/>
    <w:rsid w:val="004F3141"/>
    <w:rsid w:val="004F3DBD"/>
    <w:rsid w:val="004F53AF"/>
    <w:rsid w:val="004F5A60"/>
    <w:rsid w:val="004F60F5"/>
    <w:rsid w:val="00502401"/>
    <w:rsid w:val="005026CF"/>
    <w:rsid w:val="00503FA0"/>
    <w:rsid w:val="0051049B"/>
    <w:rsid w:val="00511D8F"/>
    <w:rsid w:val="005128AE"/>
    <w:rsid w:val="00514D1B"/>
    <w:rsid w:val="00514DCE"/>
    <w:rsid w:val="00515BB7"/>
    <w:rsid w:val="00521B2E"/>
    <w:rsid w:val="00521B66"/>
    <w:rsid w:val="005236E8"/>
    <w:rsid w:val="00523EAC"/>
    <w:rsid w:val="005256A8"/>
    <w:rsid w:val="005256F3"/>
    <w:rsid w:val="00526C0F"/>
    <w:rsid w:val="00530BE6"/>
    <w:rsid w:val="00532181"/>
    <w:rsid w:val="005333D0"/>
    <w:rsid w:val="0053406C"/>
    <w:rsid w:val="00534946"/>
    <w:rsid w:val="005349D2"/>
    <w:rsid w:val="00537635"/>
    <w:rsid w:val="005422C6"/>
    <w:rsid w:val="00544402"/>
    <w:rsid w:val="005454DA"/>
    <w:rsid w:val="005458FD"/>
    <w:rsid w:val="00547057"/>
    <w:rsid w:val="00550C4E"/>
    <w:rsid w:val="00561C3C"/>
    <w:rsid w:val="00561DBD"/>
    <w:rsid w:val="0056208F"/>
    <w:rsid w:val="005621A7"/>
    <w:rsid w:val="00572EFA"/>
    <w:rsid w:val="00575F25"/>
    <w:rsid w:val="00576736"/>
    <w:rsid w:val="00576E3C"/>
    <w:rsid w:val="0058195C"/>
    <w:rsid w:val="00582FA1"/>
    <w:rsid w:val="005846E1"/>
    <w:rsid w:val="00584858"/>
    <w:rsid w:val="00585D26"/>
    <w:rsid w:val="005911C4"/>
    <w:rsid w:val="005918CC"/>
    <w:rsid w:val="00596A99"/>
    <w:rsid w:val="005A355D"/>
    <w:rsid w:val="005A6EE9"/>
    <w:rsid w:val="005A726F"/>
    <w:rsid w:val="005B098C"/>
    <w:rsid w:val="005B16C5"/>
    <w:rsid w:val="005B255F"/>
    <w:rsid w:val="005B2D87"/>
    <w:rsid w:val="005B31B9"/>
    <w:rsid w:val="005B443E"/>
    <w:rsid w:val="005B48CC"/>
    <w:rsid w:val="005B58FB"/>
    <w:rsid w:val="005B6259"/>
    <w:rsid w:val="005B64B7"/>
    <w:rsid w:val="005B6D49"/>
    <w:rsid w:val="005C1B7D"/>
    <w:rsid w:val="005C1F28"/>
    <w:rsid w:val="005C3484"/>
    <w:rsid w:val="005C444B"/>
    <w:rsid w:val="005C4840"/>
    <w:rsid w:val="005C5780"/>
    <w:rsid w:val="005D22F0"/>
    <w:rsid w:val="005D2969"/>
    <w:rsid w:val="005D2B28"/>
    <w:rsid w:val="005D349B"/>
    <w:rsid w:val="005E1655"/>
    <w:rsid w:val="005E3276"/>
    <w:rsid w:val="005E3EA3"/>
    <w:rsid w:val="005E5199"/>
    <w:rsid w:val="005F1AA1"/>
    <w:rsid w:val="005F1FE1"/>
    <w:rsid w:val="005F2B9E"/>
    <w:rsid w:val="005F50D8"/>
    <w:rsid w:val="005F5E9E"/>
    <w:rsid w:val="006006AF"/>
    <w:rsid w:val="00602090"/>
    <w:rsid w:val="00604FC1"/>
    <w:rsid w:val="00605F42"/>
    <w:rsid w:val="006103B7"/>
    <w:rsid w:val="00610A65"/>
    <w:rsid w:val="00611614"/>
    <w:rsid w:val="00611A86"/>
    <w:rsid w:val="00612FAD"/>
    <w:rsid w:val="00613D82"/>
    <w:rsid w:val="00617064"/>
    <w:rsid w:val="00617251"/>
    <w:rsid w:val="00617BA4"/>
    <w:rsid w:val="00623724"/>
    <w:rsid w:val="006248F0"/>
    <w:rsid w:val="00624B30"/>
    <w:rsid w:val="00626B4C"/>
    <w:rsid w:val="00626F77"/>
    <w:rsid w:val="0063175C"/>
    <w:rsid w:val="00631FCB"/>
    <w:rsid w:val="00632550"/>
    <w:rsid w:val="006330A8"/>
    <w:rsid w:val="00634B8D"/>
    <w:rsid w:val="00636163"/>
    <w:rsid w:val="0063775D"/>
    <w:rsid w:val="00640C17"/>
    <w:rsid w:val="00641CD0"/>
    <w:rsid w:val="006430C6"/>
    <w:rsid w:val="006454F5"/>
    <w:rsid w:val="00645D0B"/>
    <w:rsid w:val="0064665D"/>
    <w:rsid w:val="006549F3"/>
    <w:rsid w:val="00656F13"/>
    <w:rsid w:val="00657209"/>
    <w:rsid w:val="00663CEA"/>
    <w:rsid w:val="00664063"/>
    <w:rsid w:val="00665941"/>
    <w:rsid w:val="00666F6B"/>
    <w:rsid w:val="00671614"/>
    <w:rsid w:val="00671D41"/>
    <w:rsid w:val="0067509B"/>
    <w:rsid w:val="00677278"/>
    <w:rsid w:val="00677AF3"/>
    <w:rsid w:val="00677CE4"/>
    <w:rsid w:val="0068284C"/>
    <w:rsid w:val="006836F3"/>
    <w:rsid w:val="00685D78"/>
    <w:rsid w:val="00686085"/>
    <w:rsid w:val="00687723"/>
    <w:rsid w:val="00687DB4"/>
    <w:rsid w:val="00690A88"/>
    <w:rsid w:val="00690AA7"/>
    <w:rsid w:val="00690DFD"/>
    <w:rsid w:val="00690F81"/>
    <w:rsid w:val="00691202"/>
    <w:rsid w:val="00692C33"/>
    <w:rsid w:val="00692DB5"/>
    <w:rsid w:val="0069791F"/>
    <w:rsid w:val="006A00C7"/>
    <w:rsid w:val="006A052E"/>
    <w:rsid w:val="006A20B8"/>
    <w:rsid w:val="006A36CC"/>
    <w:rsid w:val="006A6118"/>
    <w:rsid w:val="006A647E"/>
    <w:rsid w:val="006A7ABC"/>
    <w:rsid w:val="006A7B71"/>
    <w:rsid w:val="006B2D21"/>
    <w:rsid w:val="006B7621"/>
    <w:rsid w:val="006C0F84"/>
    <w:rsid w:val="006C268C"/>
    <w:rsid w:val="006C4120"/>
    <w:rsid w:val="006C418C"/>
    <w:rsid w:val="006C4515"/>
    <w:rsid w:val="006C45DD"/>
    <w:rsid w:val="006C48A7"/>
    <w:rsid w:val="006C5847"/>
    <w:rsid w:val="006C6038"/>
    <w:rsid w:val="006C73B3"/>
    <w:rsid w:val="006C78CD"/>
    <w:rsid w:val="006D1582"/>
    <w:rsid w:val="006D215B"/>
    <w:rsid w:val="006D298D"/>
    <w:rsid w:val="006D53CE"/>
    <w:rsid w:val="006D5575"/>
    <w:rsid w:val="006E1301"/>
    <w:rsid w:val="006E19B8"/>
    <w:rsid w:val="006E31A1"/>
    <w:rsid w:val="006F27C9"/>
    <w:rsid w:val="006F450C"/>
    <w:rsid w:val="006F5586"/>
    <w:rsid w:val="006F5F14"/>
    <w:rsid w:val="006F60A1"/>
    <w:rsid w:val="006F7D3F"/>
    <w:rsid w:val="006F7D70"/>
    <w:rsid w:val="006F7E14"/>
    <w:rsid w:val="00700DD7"/>
    <w:rsid w:val="00704912"/>
    <w:rsid w:val="007051E3"/>
    <w:rsid w:val="00705FFB"/>
    <w:rsid w:val="007116C5"/>
    <w:rsid w:val="0071302D"/>
    <w:rsid w:val="00713776"/>
    <w:rsid w:val="007147A6"/>
    <w:rsid w:val="00715333"/>
    <w:rsid w:val="00715E63"/>
    <w:rsid w:val="0071698E"/>
    <w:rsid w:val="007169E4"/>
    <w:rsid w:val="00716A01"/>
    <w:rsid w:val="00717104"/>
    <w:rsid w:val="00720368"/>
    <w:rsid w:val="00720F8B"/>
    <w:rsid w:val="00721508"/>
    <w:rsid w:val="00721929"/>
    <w:rsid w:val="00722553"/>
    <w:rsid w:val="00722685"/>
    <w:rsid w:val="00723653"/>
    <w:rsid w:val="0072604C"/>
    <w:rsid w:val="00727203"/>
    <w:rsid w:val="00732323"/>
    <w:rsid w:val="00732C06"/>
    <w:rsid w:val="00732E99"/>
    <w:rsid w:val="007358F4"/>
    <w:rsid w:val="00736543"/>
    <w:rsid w:val="00737586"/>
    <w:rsid w:val="007376A3"/>
    <w:rsid w:val="00740AE0"/>
    <w:rsid w:val="00740DAA"/>
    <w:rsid w:val="00741FC8"/>
    <w:rsid w:val="00744AC4"/>
    <w:rsid w:val="00746D3D"/>
    <w:rsid w:val="00750429"/>
    <w:rsid w:val="007528B3"/>
    <w:rsid w:val="007545EF"/>
    <w:rsid w:val="007546E7"/>
    <w:rsid w:val="00755FFA"/>
    <w:rsid w:val="0075695E"/>
    <w:rsid w:val="00757037"/>
    <w:rsid w:val="007576E7"/>
    <w:rsid w:val="00757D2B"/>
    <w:rsid w:val="007601AB"/>
    <w:rsid w:val="00762636"/>
    <w:rsid w:val="00762FCE"/>
    <w:rsid w:val="007658D5"/>
    <w:rsid w:val="007665B5"/>
    <w:rsid w:val="00771B77"/>
    <w:rsid w:val="007725D1"/>
    <w:rsid w:val="0077295E"/>
    <w:rsid w:val="007734CA"/>
    <w:rsid w:val="00774C6E"/>
    <w:rsid w:val="00775D3D"/>
    <w:rsid w:val="0077757C"/>
    <w:rsid w:val="00782018"/>
    <w:rsid w:val="00782A57"/>
    <w:rsid w:val="00782F77"/>
    <w:rsid w:val="00783428"/>
    <w:rsid w:val="00784919"/>
    <w:rsid w:val="0078779A"/>
    <w:rsid w:val="007917BC"/>
    <w:rsid w:val="00791A6C"/>
    <w:rsid w:val="00792483"/>
    <w:rsid w:val="007929F2"/>
    <w:rsid w:val="00793179"/>
    <w:rsid w:val="0079601D"/>
    <w:rsid w:val="00797E17"/>
    <w:rsid w:val="007A0F64"/>
    <w:rsid w:val="007A1164"/>
    <w:rsid w:val="007A1448"/>
    <w:rsid w:val="007A1990"/>
    <w:rsid w:val="007A2DEC"/>
    <w:rsid w:val="007A35D5"/>
    <w:rsid w:val="007A5BDA"/>
    <w:rsid w:val="007A7C02"/>
    <w:rsid w:val="007B01C3"/>
    <w:rsid w:val="007B0BB9"/>
    <w:rsid w:val="007B2CCC"/>
    <w:rsid w:val="007B37AE"/>
    <w:rsid w:val="007B6C75"/>
    <w:rsid w:val="007B766C"/>
    <w:rsid w:val="007B7E40"/>
    <w:rsid w:val="007C232A"/>
    <w:rsid w:val="007C297E"/>
    <w:rsid w:val="007C524D"/>
    <w:rsid w:val="007C62D8"/>
    <w:rsid w:val="007C763C"/>
    <w:rsid w:val="007D27E5"/>
    <w:rsid w:val="007D5AA1"/>
    <w:rsid w:val="007D6A9E"/>
    <w:rsid w:val="007E0B03"/>
    <w:rsid w:val="007E24B1"/>
    <w:rsid w:val="007E2881"/>
    <w:rsid w:val="007E604C"/>
    <w:rsid w:val="007E69C2"/>
    <w:rsid w:val="007F01EA"/>
    <w:rsid w:val="007F2D02"/>
    <w:rsid w:val="007F2ED7"/>
    <w:rsid w:val="007F3F31"/>
    <w:rsid w:val="007F7480"/>
    <w:rsid w:val="007F7BC7"/>
    <w:rsid w:val="00802288"/>
    <w:rsid w:val="008059E5"/>
    <w:rsid w:val="008065AD"/>
    <w:rsid w:val="00806BCE"/>
    <w:rsid w:val="00807416"/>
    <w:rsid w:val="00812231"/>
    <w:rsid w:val="00813E4D"/>
    <w:rsid w:val="00820903"/>
    <w:rsid w:val="00821142"/>
    <w:rsid w:val="008213BA"/>
    <w:rsid w:val="00821B25"/>
    <w:rsid w:val="008229F3"/>
    <w:rsid w:val="00824744"/>
    <w:rsid w:val="0082500A"/>
    <w:rsid w:val="008250A3"/>
    <w:rsid w:val="00831FDA"/>
    <w:rsid w:val="00834DED"/>
    <w:rsid w:val="00836C42"/>
    <w:rsid w:val="00836F56"/>
    <w:rsid w:val="00841C52"/>
    <w:rsid w:val="0084327B"/>
    <w:rsid w:val="00843BCD"/>
    <w:rsid w:val="00844783"/>
    <w:rsid w:val="00853F9F"/>
    <w:rsid w:val="00854D93"/>
    <w:rsid w:val="00855934"/>
    <w:rsid w:val="00856CB1"/>
    <w:rsid w:val="00857092"/>
    <w:rsid w:val="0086158F"/>
    <w:rsid w:val="00866FED"/>
    <w:rsid w:val="008670DF"/>
    <w:rsid w:val="00867A1C"/>
    <w:rsid w:val="00871A91"/>
    <w:rsid w:val="00873F27"/>
    <w:rsid w:val="0087467A"/>
    <w:rsid w:val="00875606"/>
    <w:rsid w:val="00876169"/>
    <w:rsid w:val="00877A11"/>
    <w:rsid w:val="00880765"/>
    <w:rsid w:val="00883457"/>
    <w:rsid w:val="008834D1"/>
    <w:rsid w:val="00884B11"/>
    <w:rsid w:val="00886C16"/>
    <w:rsid w:val="00886DB4"/>
    <w:rsid w:val="00887BE0"/>
    <w:rsid w:val="00891350"/>
    <w:rsid w:val="0089342E"/>
    <w:rsid w:val="008A0F49"/>
    <w:rsid w:val="008A556A"/>
    <w:rsid w:val="008A619A"/>
    <w:rsid w:val="008B0FBE"/>
    <w:rsid w:val="008B149A"/>
    <w:rsid w:val="008B1E9C"/>
    <w:rsid w:val="008B30E7"/>
    <w:rsid w:val="008B3106"/>
    <w:rsid w:val="008B4D46"/>
    <w:rsid w:val="008B5F8C"/>
    <w:rsid w:val="008B63B8"/>
    <w:rsid w:val="008C3607"/>
    <w:rsid w:val="008C4309"/>
    <w:rsid w:val="008C4650"/>
    <w:rsid w:val="008C782C"/>
    <w:rsid w:val="008D0724"/>
    <w:rsid w:val="008D35FC"/>
    <w:rsid w:val="008D563C"/>
    <w:rsid w:val="008D62AE"/>
    <w:rsid w:val="008D68EE"/>
    <w:rsid w:val="008D730D"/>
    <w:rsid w:val="008D7852"/>
    <w:rsid w:val="008D7962"/>
    <w:rsid w:val="008E5441"/>
    <w:rsid w:val="008E5FAC"/>
    <w:rsid w:val="008F0484"/>
    <w:rsid w:val="008F068B"/>
    <w:rsid w:val="008F193A"/>
    <w:rsid w:val="008F25E9"/>
    <w:rsid w:val="008F3517"/>
    <w:rsid w:val="008F44AD"/>
    <w:rsid w:val="009032FA"/>
    <w:rsid w:val="009058F1"/>
    <w:rsid w:val="009077DF"/>
    <w:rsid w:val="00910608"/>
    <w:rsid w:val="00910645"/>
    <w:rsid w:val="009111B0"/>
    <w:rsid w:val="00911685"/>
    <w:rsid w:val="00911DAB"/>
    <w:rsid w:val="0091265B"/>
    <w:rsid w:val="0091273E"/>
    <w:rsid w:val="009169B2"/>
    <w:rsid w:val="00916D86"/>
    <w:rsid w:val="009170B8"/>
    <w:rsid w:val="009178A9"/>
    <w:rsid w:val="00920D0B"/>
    <w:rsid w:val="00921766"/>
    <w:rsid w:val="00921D4F"/>
    <w:rsid w:val="009244A7"/>
    <w:rsid w:val="009250BB"/>
    <w:rsid w:val="009314F6"/>
    <w:rsid w:val="00931687"/>
    <w:rsid w:val="0093455F"/>
    <w:rsid w:val="00942CBC"/>
    <w:rsid w:val="00943216"/>
    <w:rsid w:val="00944018"/>
    <w:rsid w:val="00947511"/>
    <w:rsid w:val="00947995"/>
    <w:rsid w:val="0095130B"/>
    <w:rsid w:val="00951965"/>
    <w:rsid w:val="00951CB7"/>
    <w:rsid w:val="00954D9A"/>
    <w:rsid w:val="009551A8"/>
    <w:rsid w:val="009563DD"/>
    <w:rsid w:val="00956B3B"/>
    <w:rsid w:val="00960BDA"/>
    <w:rsid w:val="00962C0C"/>
    <w:rsid w:val="00962F39"/>
    <w:rsid w:val="009633D8"/>
    <w:rsid w:val="00964D08"/>
    <w:rsid w:val="00964F4C"/>
    <w:rsid w:val="00966F8A"/>
    <w:rsid w:val="00967A64"/>
    <w:rsid w:val="00967C83"/>
    <w:rsid w:val="00973916"/>
    <w:rsid w:val="00973D2B"/>
    <w:rsid w:val="009756E1"/>
    <w:rsid w:val="00977526"/>
    <w:rsid w:val="00977E74"/>
    <w:rsid w:val="00984A74"/>
    <w:rsid w:val="00984B4C"/>
    <w:rsid w:val="00985838"/>
    <w:rsid w:val="009868C1"/>
    <w:rsid w:val="0099255C"/>
    <w:rsid w:val="00995202"/>
    <w:rsid w:val="00995831"/>
    <w:rsid w:val="0099629F"/>
    <w:rsid w:val="00996E1E"/>
    <w:rsid w:val="00997B78"/>
    <w:rsid w:val="009A2420"/>
    <w:rsid w:val="009A32EF"/>
    <w:rsid w:val="009A5066"/>
    <w:rsid w:val="009A552F"/>
    <w:rsid w:val="009A663E"/>
    <w:rsid w:val="009A6EAC"/>
    <w:rsid w:val="009A7D7C"/>
    <w:rsid w:val="009B0119"/>
    <w:rsid w:val="009B214E"/>
    <w:rsid w:val="009B34D7"/>
    <w:rsid w:val="009B3F1C"/>
    <w:rsid w:val="009C0AB2"/>
    <w:rsid w:val="009C1FF4"/>
    <w:rsid w:val="009C25AF"/>
    <w:rsid w:val="009C2F20"/>
    <w:rsid w:val="009C4000"/>
    <w:rsid w:val="009C4DF5"/>
    <w:rsid w:val="009C5B69"/>
    <w:rsid w:val="009C77C6"/>
    <w:rsid w:val="009D1185"/>
    <w:rsid w:val="009E1C13"/>
    <w:rsid w:val="009E5A5C"/>
    <w:rsid w:val="009E6704"/>
    <w:rsid w:val="009F155A"/>
    <w:rsid w:val="009F5C5E"/>
    <w:rsid w:val="009F703C"/>
    <w:rsid w:val="009F716E"/>
    <w:rsid w:val="009F7786"/>
    <w:rsid w:val="009F7DD3"/>
    <w:rsid w:val="00A00CF8"/>
    <w:rsid w:val="00A01ED6"/>
    <w:rsid w:val="00A02D86"/>
    <w:rsid w:val="00A04138"/>
    <w:rsid w:val="00A050F3"/>
    <w:rsid w:val="00A06749"/>
    <w:rsid w:val="00A1129E"/>
    <w:rsid w:val="00A20426"/>
    <w:rsid w:val="00A20996"/>
    <w:rsid w:val="00A257D1"/>
    <w:rsid w:val="00A27954"/>
    <w:rsid w:val="00A32B15"/>
    <w:rsid w:val="00A34456"/>
    <w:rsid w:val="00A34DD2"/>
    <w:rsid w:val="00A357F5"/>
    <w:rsid w:val="00A37AAD"/>
    <w:rsid w:val="00A37FF2"/>
    <w:rsid w:val="00A40C50"/>
    <w:rsid w:val="00A4239D"/>
    <w:rsid w:val="00A43892"/>
    <w:rsid w:val="00A43A0C"/>
    <w:rsid w:val="00A44A09"/>
    <w:rsid w:val="00A50281"/>
    <w:rsid w:val="00A512DF"/>
    <w:rsid w:val="00A532E7"/>
    <w:rsid w:val="00A5372F"/>
    <w:rsid w:val="00A549A7"/>
    <w:rsid w:val="00A5747C"/>
    <w:rsid w:val="00A57AA7"/>
    <w:rsid w:val="00A628B0"/>
    <w:rsid w:val="00A62F73"/>
    <w:rsid w:val="00A642C2"/>
    <w:rsid w:val="00A65BF5"/>
    <w:rsid w:val="00A66C4C"/>
    <w:rsid w:val="00A671BB"/>
    <w:rsid w:val="00A709E2"/>
    <w:rsid w:val="00A70A30"/>
    <w:rsid w:val="00A72845"/>
    <w:rsid w:val="00A763F4"/>
    <w:rsid w:val="00A81550"/>
    <w:rsid w:val="00A87F63"/>
    <w:rsid w:val="00A9466D"/>
    <w:rsid w:val="00A94D5A"/>
    <w:rsid w:val="00A95F5D"/>
    <w:rsid w:val="00A963D4"/>
    <w:rsid w:val="00A96657"/>
    <w:rsid w:val="00AA0631"/>
    <w:rsid w:val="00AA0C78"/>
    <w:rsid w:val="00AA1A0B"/>
    <w:rsid w:val="00AA2179"/>
    <w:rsid w:val="00AA418C"/>
    <w:rsid w:val="00AA4285"/>
    <w:rsid w:val="00AA472F"/>
    <w:rsid w:val="00AA65A9"/>
    <w:rsid w:val="00AA71A6"/>
    <w:rsid w:val="00AB00F9"/>
    <w:rsid w:val="00AB22ED"/>
    <w:rsid w:val="00AB2C02"/>
    <w:rsid w:val="00AB3D02"/>
    <w:rsid w:val="00AB55B9"/>
    <w:rsid w:val="00AB5BF0"/>
    <w:rsid w:val="00AC041A"/>
    <w:rsid w:val="00AC171D"/>
    <w:rsid w:val="00AC21F3"/>
    <w:rsid w:val="00AC2697"/>
    <w:rsid w:val="00AC3B6B"/>
    <w:rsid w:val="00AC527E"/>
    <w:rsid w:val="00AC6357"/>
    <w:rsid w:val="00AC662E"/>
    <w:rsid w:val="00AD4A69"/>
    <w:rsid w:val="00AD523D"/>
    <w:rsid w:val="00AD657F"/>
    <w:rsid w:val="00AE213A"/>
    <w:rsid w:val="00AE2ED5"/>
    <w:rsid w:val="00AE4276"/>
    <w:rsid w:val="00AE4B1D"/>
    <w:rsid w:val="00AE52E7"/>
    <w:rsid w:val="00AE7D8B"/>
    <w:rsid w:val="00AF031B"/>
    <w:rsid w:val="00AF35B4"/>
    <w:rsid w:val="00AF4753"/>
    <w:rsid w:val="00AF6C5F"/>
    <w:rsid w:val="00AF7124"/>
    <w:rsid w:val="00B007E3"/>
    <w:rsid w:val="00B0093E"/>
    <w:rsid w:val="00B04808"/>
    <w:rsid w:val="00B04B78"/>
    <w:rsid w:val="00B05E25"/>
    <w:rsid w:val="00B078F4"/>
    <w:rsid w:val="00B11316"/>
    <w:rsid w:val="00B116F8"/>
    <w:rsid w:val="00B124F6"/>
    <w:rsid w:val="00B132DB"/>
    <w:rsid w:val="00B14583"/>
    <w:rsid w:val="00B150A4"/>
    <w:rsid w:val="00B15FE2"/>
    <w:rsid w:val="00B17C08"/>
    <w:rsid w:val="00B2148C"/>
    <w:rsid w:val="00B224BC"/>
    <w:rsid w:val="00B22C96"/>
    <w:rsid w:val="00B24AC3"/>
    <w:rsid w:val="00B264B7"/>
    <w:rsid w:val="00B27D98"/>
    <w:rsid w:val="00B309A3"/>
    <w:rsid w:val="00B31EBD"/>
    <w:rsid w:val="00B336A1"/>
    <w:rsid w:val="00B342EB"/>
    <w:rsid w:val="00B34807"/>
    <w:rsid w:val="00B35333"/>
    <w:rsid w:val="00B35C6A"/>
    <w:rsid w:val="00B367AB"/>
    <w:rsid w:val="00B40520"/>
    <w:rsid w:val="00B436BE"/>
    <w:rsid w:val="00B46597"/>
    <w:rsid w:val="00B46E55"/>
    <w:rsid w:val="00B47190"/>
    <w:rsid w:val="00B51F5C"/>
    <w:rsid w:val="00B5294A"/>
    <w:rsid w:val="00B5578A"/>
    <w:rsid w:val="00B57E38"/>
    <w:rsid w:val="00B60E96"/>
    <w:rsid w:val="00B61851"/>
    <w:rsid w:val="00B61DF1"/>
    <w:rsid w:val="00B62927"/>
    <w:rsid w:val="00B62F42"/>
    <w:rsid w:val="00B63B8C"/>
    <w:rsid w:val="00B6427D"/>
    <w:rsid w:val="00B658AC"/>
    <w:rsid w:val="00B66E72"/>
    <w:rsid w:val="00B6794D"/>
    <w:rsid w:val="00B70A9B"/>
    <w:rsid w:val="00B7219C"/>
    <w:rsid w:val="00B72FE7"/>
    <w:rsid w:val="00B747E4"/>
    <w:rsid w:val="00B7638E"/>
    <w:rsid w:val="00B77A29"/>
    <w:rsid w:val="00B77F92"/>
    <w:rsid w:val="00B817AC"/>
    <w:rsid w:val="00B829DC"/>
    <w:rsid w:val="00B867E3"/>
    <w:rsid w:val="00B87FDD"/>
    <w:rsid w:val="00B901F8"/>
    <w:rsid w:val="00B94487"/>
    <w:rsid w:val="00B96190"/>
    <w:rsid w:val="00B969D7"/>
    <w:rsid w:val="00BA0328"/>
    <w:rsid w:val="00BA17C8"/>
    <w:rsid w:val="00BA1D5B"/>
    <w:rsid w:val="00BA2E3D"/>
    <w:rsid w:val="00BA45C8"/>
    <w:rsid w:val="00BA776F"/>
    <w:rsid w:val="00BB201A"/>
    <w:rsid w:val="00BB28B5"/>
    <w:rsid w:val="00BB387B"/>
    <w:rsid w:val="00BC1328"/>
    <w:rsid w:val="00BC1427"/>
    <w:rsid w:val="00BC3512"/>
    <w:rsid w:val="00BC51D3"/>
    <w:rsid w:val="00BC5D2A"/>
    <w:rsid w:val="00BC7585"/>
    <w:rsid w:val="00BD0F10"/>
    <w:rsid w:val="00BD1727"/>
    <w:rsid w:val="00BD1A46"/>
    <w:rsid w:val="00BD3548"/>
    <w:rsid w:val="00BD4BFE"/>
    <w:rsid w:val="00BD521A"/>
    <w:rsid w:val="00BD5E34"/>
    <w:rsid w:val="00BE005F"/>
    <w:rsid w:val="00BE04B4"/>
    <w:rsid w:val="00BE16A2"/>
    <w:rsid w:val="00BE257F"/>
    <w:rsid w:val="00BE39ED"/>
    <w:rsid w:val="00BE3DD9"/>
    <w:rsid w:val="00BE60CB"/>
    <w:rsid w:val="00BE70DD"/>
    <w:rsid w:val="00BE7FE2"/>
    <w:rsid w:val="00BF0B60"/>
    <w:rsid w:val="00BF21EA"/>
    <w:rsid w:val="00BF3649"/>
    <w:rsid w:val="00BF3BD2"/>
    <w:rsid w:val="00BF490A"/>
    <w:rsid w:val="00BF59F5"/>
    <w:rsid w:val="00BF65A1"/>
    <w:rsid w:val="00BF771B"/>
    <w:rsid w:val="00C06009"/>
    <w:rsid w:val="00C06CB4"/>
    <w:rsid w:val="00C07E60"/>
    <w:rsid w:val="00C100BB"/>
    <w:rsid w:val="00C10111"/>
    <w:rsid w:val="00C122FD"/>
    <w:rsid w:val="00C13E6B"/>
    <w:rsid w:val="00C14A85"/>
    <w:rsid w:val="00C1517F"/>
    <w:rsid w:val="00C1700A"/>
    <w:rsid w:val="00C1773E"/>
    <w:rsid w:val="00C2121E"/>
    <w:rsid w:val="00C22286"/>
    <w:rsid w:val="00C24586"/>
    <w:rsid w:val="00C2601D"/>
    <w:rsid w:val="00C2761A"/>
    <w:rsid w:val="00C30928"/>
    <w:rsid w:val="00C33062"/>
    <w:rsid w:val="00C349CD"/>
    <w:rsid w:val="00C34C41"/>
    <w:rsid w:val="00C350A3"/>
    <w:rsid w:val="00C420C5"/>
    <w:rsid w:val="00C42345"/>
    <w:rsid w:val="00C443F9"/>
    <w:rsid w:val="00C45BF3"/>
    <w:rsid w:val="00C52140"/>
    <w:rsid w:val="00C52368"/>
    <w:rsid w:val="00C55A90"/>
    <w:rsid w:val="00C55DC5"/>
    <w:rsid w:val="00C610FD"/>
    <w:rsid w:val="00C611CF"/>
    <w:rsid w:val="00C614B8"/>
    <w:rsid w:val="00C6231E"/>
    <w:rsid w:val="00C62E4D"/>
    <w:rsid w:val="00C63AC6"/>
    <w:rsid w:val="00C6430F"/>
    <w:rsid w:val="00C73D3A"/>
    <w:rsid w:val="00C7699B"/>
    <w:rsid w:val="00C807AC"/>
    <w:rsid w:val="00C817DE"/>
    <w:rsid w:val="00C82731"/>
    <w:rsid w:val="00C82F4B"/>
    <w:rsid w:val="00C85409"/>
    <w:rsid w:val="00C858D8"/>
    <w:rsid w:val="00C8649E"/>
    <w:rsid w:val="00C90E35"/>
    <w:rsid w:val="00C9138C"/>
    <w:rsid w:val="00C93E1B"/>
    <w:rsid w:val="00C94D60"/>
    <w:rsid w:val="00C95167"/>
    <w:rsid w:val="00C95694"/>
    <w:rsid w:val="00C9636E"/>
    <w:rsid w:val="00CA0A6B"/>
    <w:rsid w:val="00CA3690"/>
    <w:rsid w:val="00CA5CED"/>
    <w:rsid w:val="00CA6E5C"/>
    <w:rsid w:val="00CA76AB"/>
    <w:rsid w:val="00CA7A26"/>
    <w:rsid w:val="00CB1182"/>
    <w:rsid w:val="00CB1236"/>
    <w:rsid w:val="00CB1C6C"/>
    <w:rsid w:val="00CB214E"/>
    <w:rsid w:val="00CB2377"/>
    <w:rsid w:val="00CB27A1"/>
    <w:rsid w:val="00CB2B40"/>
    <w:rsid w:val="00CB38B9"/>
    <w:rsid w:val="00CB5F0C"/>
    <w:rsid w:val="00CB6A96"/>
    <w:rsid w:val="00CC1ED7"/>
    <w:rsid w:val="00CC3A53"/>
    <w:rsid w:val="00CC5568"/>
    <w:rsid w:val="00CC5F38"/>
    <w:rsid w:val="00CD0FA2"/>
    <w:rsid w:val="00CD1B4B"/>
    <w:rsid w:val="00CD6705"/>
    <w:rsid w:val="00CE0E91"/>
    <w:rsid w:val="00CE333F"/>
    <w:rsid w:val="00CE4056"/>
    <w:rsid w:val="00CE4365"/>
    <w:rsid w:val="00CE4A7F"/>
    <w:rsid w:val="00CE524F"/>
    <w:rsid w:val="00CE6F3A"/>
    <w:rsid w:val="00CE76DB"/>
    <w:rsid w:val="00CE7B1C"/>
    <w:rsid w:val="00CF2D7A"/>
    <w:rsid w:val="00D01A70"/>
    <w:rsid w:val="00D029C2"/>
    <w:rsid w:val="00D02FF8"/>
    <w:rsid w:val="00D032FE"/>
    <w:rsid w:val="00D03AE8"/>
    <w:rsid w:val="00D04615"/>
    <w:rsid w:val="00D057A8"/>
    <w:rsid w:val="00D07097"/>
    <w:rsid w:val="00D070A8"/>
    <w:rsid w:val="00D07EBA"/>
    <w:rsid w:val="00D1073B"/>
    <w:rsid w:val="00D11178"/>
    <w:rsid w:val="00D14905"/>
    <w:rsid w:val="00D17780"/>
    <w:rsid w:val="00D178C4"/>
    <w:rsid w:val="00D242E7"/>
    <w:rsid w:val="00D26283"/>
    <w:rsid w:val="00D325FE"/>
    <w:rsid w:val="00D44E08"/>
    <w:rsid w:val="00D45175"/>
    <w:rsid w:val="00D46C2D"/>
    <w:rsid w:val="00D50B30"/>
    <w:rsid w:val="00D5219F"/>
    <w:rsid w:val="00D53E42"/>
    <w:rsid w:val="00D55D73"/>
    <w:rsid w:val="00D605F6"/>
    <w:rsid w:val="00D63695"/>
    <w:rsid w:val="00D64A76"/>
    <w:rsid w:val="00D67F5E"/>
    <w:rsid w:val="00D71246"/>
    <w:rsid w:val="00D73044"/>
    <w:rsid w:val="00D754F7"/>
    <w:rsid w:val="00D76DE8"/>
    <w:rsid w:val="00D80B23"/>
    <w:rsid w:val="00D868BC"/>
    <w:rsid w:val="00D87FD1"/>
    <w:rsid w:val="00D9013E"/>
    <w:rsid w:val="00D91CD8"/>
    <w:rsid w:val="00D957AC"/>
    <w:rsid w:val="00D963F1"/>
    <w:rsid w:val="00D96E9D"/>
    <w:rsid w:val="00DA4C9D"/>
    <w:rsid w:val="00DA5B0B"/>
    <w:rsid w:val="00DA636D"/>
    <w:rsid w:val="00DB1825"/>
    <w:rsid w:val="00DB40E4"/>
    <w:rsid w:val="00DB6086"/>
    <w:rsid w:val="00DB6C17"/>
    <w:rsid w:val="00DC49CE"/>
    <w:rsid w:val="00DC5D53"/>
    <w:rsid w:val="00DD0753"/>
    <w:rsid w:val="00DD0EC4"/>
    <w:rsid w:val="00DD1DEF"/>
    <w:rsid w:val="00DD1E1A"/>
    <w:rsid w:val="00DD3174"/>
    <w:rsid w:val="00DD32B2"/>
    <w:rsid w:val="00DD42AE"/>
    <w:rsid w:val="00DD6BC2"/>
    <w:rsid w:val="00DD6C8F"/>
    <w:rsid w:val="00DD731B"/>
    <w:rsid w:val="00DD7DFD"/>
    <w:rsid w:val="00DD7FB7"/>
    <w:rsid w:val="00DE0C0E"/>
    <w:rsid w:val="00DE158A"/>
    <w:rsid w:val="00DE24E9"/>
    <w:rsid w:val="00DE4771"/>
    <w:rsid w:val="00DE4FAB"/>
    <w:rsid w:val="00DF0C9C"/>
    <w:rsid w:val="00DF0EF6"/>
    <w:rsid w:val="00DF2EE1"/>
    <w:rsid w:val="00DF31AC"/>
    <w:rsid w:val="00DF60D0"/>
    <w:rsid w:val="00DF6413"/>
    <w:rsid w:val="00E02C2D"/>
    <w:rsid w:val="00E04AEF"/>
    <w:rsid w:val="00E05A92"/>
    <w:rsid w:val="00E07C14"/>
    <w:rsid w:val="00E07FE4"/>
    <w:rsid w:val="00E108AB"/>
    <w:rsid w:val="00E10A77"/>
    <w:rsid w:val="00E10E57"/>
    <w:rsid w:val="00E110D1"/>
    <w:rsid w:val="00E128F3"/>
    <w:rsid w:val="00E1386A"/>
    <w:rsid w:val="00E14D94"/>
    <w:rsid w:val="00E14FDA"/>
    <w:rsid w:val="00E17042"/>
    <w:rsid w:val="00E20981"/>
    <w:rsid w:val="00E20BB7"/>
    <w:rsid w:val="00E21F3E"/>
    <w:rsid w:val="00E2321B"/>
    <w:rsid w:val="00E2547F"/>
    <w:rsid w:val="00E27DB5"/>
    <w:rsid w:val="00E30C7B"/>
    <w:rsid w:val="00E3213D"/>
    <w:rsid w:val="00E3241F"/>
    <w:rsid w:val="00E32DB5"/>
    <w:rsid w:val="00E337D5"/>
    <w:rsid w:val="00E33A9D"/>
    <w:rsid w:val="00E33CDA"/>
    <w:rsid w:val="00E34463"/>
    <w:rsid w:val="00E34F18"/>
    <w:rsid w:val="00E35FFA"/>
    <w:rsid w:val="00E4065C"/>
    <w:rsid w:val="00E40A92"/>
    <w:rsid w:val="00E42D13"/>
    <w:rsid w:val="00E44CD2"/>
    <w:rsid w:val="00E45737"/>
    <w:rsid w:val="00E46B9E"/>
    <w:rsid w:val="00E47057"/>
    <w:rsid w:val="00E50EEC"/>
    <w:rsid w:val="00E50F88"/>
    <w:rsid w:val="00E510E3"/>
    <w:rsid w:val="00E51764"/>
    <w:rsid w:val="00E53B42"/>
    <w:rsid w:val="00E53DB2"/>
    <w:rsid w:val="00E557E4"/>
    <w:rsid w:val="00E60166"/>
    <w:rsid w:val="00E60781"/>
    <w:rsid w:val="00E60A0F"/>
    <w:rsid w:val="00E60D96"/>
    <w:rsid w:val="00E61B60"/>
    <w:rsid w:val="00E61BBC"/>
    <w:rsid w:val="00E61C89"/>
    <w:rsid w:val="00E65185"/>
    <w:rsid w:val="00E6640D"/>
    <w:rsid w:val="00E6670C"/>
    <w:rsid w:val="00E67824"/>
    <w:rsid w:val="00E711A2"/>
    <w:rsid w:val="00E71563"/>
    <w:rsid w:val="00E7367F"/>
    <w:rsid w:val="00E772EC"/>
    <w:rsid w:val="00E80CBA"/>
    <w:rsid w:val="00E81087"/>
    <w:rsid w:val="00E81A55"/>
    <w:rsid w:val="00E82232"/>
    <w:rsid w:val="00E8256B"/>
    <w:rsid w:val="00E8371C"/>
    <w:rsid w:val="00E847E5"/>
    <w:rsid w:val="00E84A74"/>
    <w:rsid w:val="00E85CA7"/>
    <w:rsid w:val="00E87E65"/>
    <w:rsid w:val="00E87ED4"/>
    <w:rsid w:val="00E910FF"/>
    <w:rsid w:val="00E931C1"/>
    <w:rsid w:val="00E95C3B"/>
    <w:rsid w:val="00E960D6"/>
    <w:rsid w:val="00E96152"/>
    <w:rsid w:val="00E96954"/>
    <w:rsid w:val="00EA1337"/>
    <w:rsid w:val="00EA39F5"/>
    <w:rsid w:val="00EA65FD"/>
    <w:rsid w:val="00EA6B96"/>
    <w:rsid w:val="00EB22F0"/>
    <w:rsid w:val="00EB2452"/>
    <w:rsid w:val="00EB327C"/>
    <w:rsid w:val="00EB5B64"/>
    <w:rsid w:val="00EB6067"/>
    <w:rsid w:val="00EB6D76"/>
    <w:rsid w:val="00EC2D4A"/>
    <w:rsid w:val="00EC7729"/>
    <w:rsid w:val="00ED2D4F"/>
    <w:rsid w:val="00ED47C6"/>
    <w:rsid w:val="00ED4AA9"/>
    <w:rsid w:val="00ED4CAF"/>
    <w:rsid w:val="00ED5A0D"/>
    <w:rsid w:val="00ED677B"/>
    <w:rsid w:val="00ED745D"/>
    <w:rsid w:val="00ED7553"/>
    <w:rsid w:val="00EE1D47"/>
    <w:rsid w:val="00EE29E3"/>
    <w:rsid w:val="00EE3244"/>
    <w:rsid w:val="00EE3497"/>
    <w:rsid w:val="00EE3EF9"/>
    <w:rsid w:val="00EE5510"/>
    <w:rsid w:val="00EF287C"/>
    <w:rsid w:val="00EF394B"/>
    <w:rsid w:val="00EF42D0"/>
    <w:rsid w:val="00EF5A62"/>
    <w:rsid w:val="00EF664D"/>
    <w:rsid w:val="00F02D3C"/>
    <w:rsid w:val="00F03F3B"/>
    <w:rsid w:val="00F04BC9"/>
    <w:rsid w:val="00F0685E"/>
    <w:rsid w:val="00F06E98"/>
    <w:rsid w:val="00F072DA"/>
    <w:rsid w:val="00F075EC"/>
    <w:rsid w:val="00F125D3"/>
    <w:rsid w:val="00F126C8"/>
    <w:rsid w:val="00F1288A"/>
    <w:rsid w:val="00F13C5D"/>
    <w:rsid w:val="00F14D0D"/>
    <w:rsid w:val="00F15DF8"/>
    <w:rsid w:val="00F16368"/>
    <w:rsid w:val="00F24E21"/>
    <w:rsid w:val="00F25B61"/>
    <w:rsid w:val="00F2729A"/>
    <w:rsid w:val="00F27E56"/>
    <w:rsid w:val="00F31ECC"/>
    <w:rsid w:val="00F31F7E"/>
    <w:rsid w:val="00F32A96"/>
    <w:rsid w:val="00F32C53"/>
    <w:rsid w:val="00F33A00"/>
    <w:rsid w:val="00F35D08"/>
    <w:rsid w:val="00F400F8"/>
    <w:rsid w:val="00F41B55"/>
    <w:rsid w:val="00F44A3B"/>
    <w:rsid w:val="00F452D2"/>
    <w:rsid w:val="00F469BB"/>
    <w:rsid w:val="00F47E01"/>
    <w:rsid w:val="00F55522"/>
    <w:rsid w:val="00F6212D"/>
    <w:rsid w:val="00F62C69"/>
    <w:rsid w:val="00F62EBA"/>
    <w:rsid w:val="00F70ACA"/>
    <w:rsid w:val="00F7216E"/>
    <w:rsid w:val="00F72D25"/>
    <w:rsid w:val="00F73C69"/>
    <w:rsid w:val="00F73F7E"/>
    <w:rsid w:val="00F740AD"/>
    <w:rsid w:val="00F7459D"/>
    <w:rsid w:val="00F75F36"/>
    <w:rsid w:val="00F76107"/>
    <w:rsid w:val="00F76627"/>
    <w:rsid w:val="00F80103"/>
    <w:rsid w:val="00F8285A"/>
    <w:rsid w:val="00F828E7"/>
    <w:rsid w:val="00F834F6"/>
    <w:rsid w:val="00F8678F"/>
    <w:rsid w:val="00F86A25"/>
    <w:rsid w:val="00F876D9"/>
    <w:rsid w:val="00F928E9"/>
    <w:rsid w:val="00F92993"/>
    <w:rsid w:val="00F94810"/>
    <w:rsid w:val="00F95411"/>
    <w:rsid w:val="00F95CEB"/>
    <w:rsid w:val="00F964F4"/>
    <w:rsid w:val="00F96509"/>
    <w:rsid w:val="00F96D3A"/>
    <w:rsid w:val="00F96D92"/>
    <w:rsid w:val="00FA15B7"/>
    <w:rsid w:val="00FA1619"/>
    <w:rsid w:val="00FA25BA"/>
    <w:rsid w:val="00FA508F"/>
    <w:rsid w:val="00FA567A"/>
    <w:rsid w:val="00FA593C"/>
    <w:rsid w:val="00FB09DB"/>
    <w:rsid w:val="00FB0A96"/>
    <w:rsid w:val="00FB0F08"/>
    <w:rsid w:val="00FB19CA"/>
    <w:rsid w:val="00FB4188"/>
    <w:rsid w:val="00FC120B"/>
    <w:rsid w:val="00FC1F7B"/>
    <w:rsid w:val="00FC54B9"/>
    <w:rsid w:val="00FD1183"/>
    <w:rsid w:val="00FD1DB6"/>
    <w:rsid w:val="00FD2D7F"/>
    <w:rsid w:val="00FD55F9"/>
    <w:rsid w:val="00FD6020"/>
    <w:rsid w:val="00FD62CD"/>
    <w:rsid w:val="00FE1AA4"/>
    <w:rsid w:val="00FE2556"/>
    <w:rsid w:val="00FE3D0E"/>
    <w:rsid w:val="00FE63AE"/>
    <w:rsid w:val="00FE7564"/>
    <w:rsid w:val="00FE7709"/>
    <w:rsid w:val="00FF04D6"/>
    <w:rsid w:val="00FF2558"/>
    <w:rsid w:val="00FF3B69"/>
    <w:rsid w:val="00FF46FB"/>
    <w:rsid w:val="00FF510D"/>
    <w:rsid w:val="00FF52D2"/>
    <w:rsid w:val="00FF5604"/>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19062BD-C416-46C1-9B13-A47C0B25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H&amp;P List Paragraph,2,Strip,Colorful List - Accent 12"/>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H&amp;P List Paragraph Char,2 Char,Strip Char,Colorful List - Accent 12 Char"/>
    <w:link w:val="ListParagraph"/>
    <w:uiPriority w:val="34"/>
    <w:qFormat/>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basedOn w:val="DefaultParagraphFont"/>
    <w:link w:val="Header"/>
    <w:uiPriority w:val="99"/>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character" w:styleId="FollowedHyperlink">
    <w:name w:val="FollowedHyperlink"/>
    <w:basedOn w:val="DefaultParagraphFont"/>
    <w:uiPriority w:val="99"/>
    <w:semiHidden/>
    <w:unhideWhenUsed/>
    <w:rsid w:val="00D04615"/>
    <w:rPr>
      <w:color w:val="800080" w:themeColor="followedHyperlink"/>
      <w:u w:val="single"/>
    </w:rPr>
  </w:style>
  <w:style w:type="paragraph" w:styleId="Revision">
    <w:name w:val="Revision"/>
    <w:hidden/>
    <w:uiPriority w:val="99"/>
    <w:semiHidden/>
    <w:rsid w:val="00B078F4"/>
    <w:rPr>
      <w:sz w:val="24"/>
      <w:szCs w:val="24"/>
    </w:rPr>
  </w:style>
  <w:style w:type="paragraph" w:customStyle="1" w:styleId="Normal1">
    <w:name w:val="Normal1"/>
    <w:rsid w:val="006C6038"/>
    <w:rPr>
      <w:rFonts w:ascii="Calibri" w:hAnsi="Calibri" w:cs="Calibri"/>
      <w:color w:val="000000"/>
      <w:sz w:val="22"/>
      <w:szCs w:val="22"/>
    </w:rPr>
  </w:style>
  <w:style w:type="character" w:customStyle="1" w:styleId="st">
    <w:name w:val="st"/>
    <w:rsid w:val="003B11DD"/>
  </w:style>
  <w:style w:type="paragraph" w:styleId="BodyText">
    <w:name w:val="Body Text"/>
    <w:basedOn w:val="Normal"/>
    <w:link w:val="BodyTextChar"/>
    <w:unhideWhenUsed/>
    <w:rsid w:val="00D9013E"/>
    <w:pPr>
      <w:spacing w:after="120"/>
      <w:jc w:val="both"/>
    </w:pPr>
    <w:rPr>
      <w:szCs w:val="20"/>
      <w:lang w:eastAsia="en-US"/>
    </w:rPr>
  </w:style>
  <w:style w:type="character" w:customStyle="1" w:styleId="BodyTextChar">
    <w:name w:val="Body Text Char"/>
    <w:basedOn w:val="DefaultParagraphFont"/>
    <w:link w:val="BodyText"/>
    <w:rsid w:val="00D9013E"/>
    <w:rPr>
      <w:sz w:val="24"/>
      <w:lang w:eastAsia="en-US"/>
    </w:rPr>
  </w:style>
  <w:style w:type="paragraph" w:styleId="NoSpacing">
    <w:name w:val="No Spacing"/>
    <w:uiPriority w:val="1"/>
    <w:qFormat/>
    <w:rsid w:val="00C349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98304093">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tatistikas-temas/darba-samaksa-galvenie-raditaji-3027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5683-4641-4940-83B1-7DDC195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4961</Words>
  <Characters>35704</Characters>
  <Application>Microsoft Office Word</Application>
  <DocSecurity>0</DocSecurity>
  <Lines>297</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8.1.4. specifiskā atbalsta mērķa „Uzlabot pirmā līmeņa profesionālās augstākās izglītības STEM, tajā skaitā medicīnas un radošās industrijas, studiju mācību vidi koledžās” īstenošanas noteikumi</vt:lpstr>
      <vt:lpstr>Ministru kabineta noteikumu projekts "Dzelzceļa tehniskās ekspluatācijas noteikumi"</vt:lpstr>
    </vt:vector>
  </TitlesOfParts>
  <Company>IZM</Company>
  <LinksUpToDate>false</LinksUpToDate>
  <CharactersWithSpaces>40584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8.1.4. specifiskā atbalsta mērķa „Uzlabot pirmā līmeņa profesionālās augstākās izglītības STEM, tajā skaitā medicīnas un radošās industrijas, studiju mācību vidi koledžās” īstenošanas noteikumi</dc:title>
  <dc:subject>Anotācija</dc:subject>
  <dc:creator>I.Kalva</dc:creator>
  <cp:keywords>IZM</cp:keywords>
  <dc:description>67047941, inese.kalva@izm.gov.lv</dc:description>
  <cp:lastModifiedBy>Vēsma Abizāre-Vagre</cp:lastModifiedBy>
  <cp:revision>9</cp:revision>
  <cp:lastPrinted>2016-08-03T09:26:00Z</cp:lastPrinted>
  <dcterms:created xsi:type="dcterms:W3CDTF">2016-08-19T08:23:00Z</dcterms:created>
  <dcterms:modified xsi:type="dcterms:W3CDTF">2016-08-19T11:03:00Z</dcterms:modified>
</cp:coreProperties>
</file>