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FFB6B" w14:textId="77777777" w:rsidR="003523F8" w:rsidRPr="00511CD3" w:rsidRDefault="003523F8" w:rsidP="00E7642A">
      <w:pPr>
        <w:pStyle w:val="Header"/>
        <w:tabs>
          <w:tab w:val="clear" w:pos="4320"/>
          <w:tab w:val="clear" w:pos="8640"/>
        </w:tabs>
        <w:spacing w:after="0" w:line="240" w:lineRule="auto"/>
        <w:jc w:val="center"/>
        <w:rPr>
          <w:rStyle w:val="SubtleReference"/>
          <w:rFonts w:ascii="Times New Roman" w:hAnsi="Times New Roman"/>
        </w:rPr>
      </w:pPr>
      <w:r w:rsidRPr="00C07278">
        <w:rPr>
          <w:rFonts w:ascii="Times New Roman" w:hAnsi="Times New Roman"/>
          <w:b/>
          <w:noProof/>
          <w:color w:val="FF0000"/>
          <w:sz w:val="24"/>
          <w:szCs w:val="24"/>
          <w:lang w:val="lv-LV" w:eastAsia="lv-LV"/>
        </w:rPr>
        <w:drawing>
          <wp:inline distT="0" distB="0" distL="0" distR="0" wp14:anchorId="43A7352D" wp14:editId="00AFC885">
            <wp:extent cx="3514725" cy="394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3943350"/>
                    </a:xfrm>
                    <a:prstGeom prst="rect">
                      <a:avLst/>
                    </a:prstGeom>
                    <a:noFill/>
                    <a:ln>
                      <a:noFill/>
                    </a:ln>
                  </pic:spPr>
                </pic:pic>
              </a:graphicData>
            </a:graphic>
          </wp:inline>
        </w:drawing>
      </w:r>
    </w:p>
    <w:p w14:paraId="5ABD36F3" w14:textId="77777777" w:rsidR="003523F8" w:rsidRPr="00C07278" w:rsidRDefault="003523F8" w:rsidP="00E7642A">
      <w:pPr>
        <w:pStyle w:val="Header"/>
        <w:spacing w:after="0" w:line="240" w:lineRule="auto"/>
        <w:ind w:firstLine="720"/>
        <w:jc w:val="center"/>
        <w:rPr>
          <w:rFonts w:ascii="Times New Roman" w:hAnsi="Times New Roman"/>
          <w:b/>
          <w:sz w:val="28"/>
          <w:szCs w:val="28"/>
          <w:lang w:val="lv-LV"/>
        </w:rPr>
      </w:pPr>
    </w:p>
    <w:p w14:paraId="27F1E484" w14:textId="77777777" w:rsidR="003523F8" w:rsidRDefault="003523F8" w:rsidP="00E7642A">
      <w:pPr>
        <w:pStyle w:val="Header"/>
        <w:spacing w:after="0" w:line="240" w:lineRule="auto"/>
        <w:jc w:val="center"/>
        <w:rPr>
          <w:rFonts w:ascii="Times New Roman" w:hAnsi="Times New Roman"/>
          <w:b/>
          <w:sz w:val="28"/>
          <w:szCs w:val="28"/>
          <w:lang w:val="lv-LV"/>
        </w:rPr>
      </w:pPr>
      <w:r w:rsidRPr="00C07278">
        <w:rPr>
          <w:rFonts w:ascii="Times New Roman" w:hAnsi="Times New Roman"/>
          <w:b/>
          <w:sz w:val="28"/>
          <w:szCs w:val="28"/>
          <w:lang w:val="lv-LV"/>
        </w:rPr>
        <w:t xml:space="preserve">Informatīvais ziņojums “Par </w:t>
      </w:r>
      <w:r w:rsidR="004513C8" w:rsidRPr="00C07278">
        <w:rPr>
          <w:rFonts w:ascii="Times New Roman" w:hAnsi="Times New Roman"/>
          <w:b/>
          <w:sz w:val="28"/>
          <w:szCs w:val="28"/>
          <w:lang w:val="lv-LV"/>
        </w:rPr>
        <w:t xml:space="preserve">pētniecības </w:t>
      </w:r>
      <w:r w:rsidRPr="00C07278">
        <w:rPr>
          <w:rFonts w:ascii="Times New Roman" w:hAnsi="Times New Roman"/>
          <w:b/>
          <w:sz w:val="28"/>
          <w:szCs w:val="28"/>
          <w:lang w:val="lv-LV"/>
        </w:rPr>
        <w:t>un inovācijas infrastruktūras un pētnieciskās darbības koncentrācijas teritoriālo kartējumu”</w:t>
      </w:r>
    </w:p>
    <w:p w14:paraId="4CFB12C3" w14:textId="77777777" w:rsidR="008A5CAD" w:rsidRDefault="008A5CAD" w:rsidP="00E7642A">
      <w:pPr>
        <w:pStyle w:val="Header"/>
        <w:spacing w:after="0" w:line="240" w:lineRule="auto"/>
        <w:jc w:val="center"/>
        <w:rPr>
          <w:rFonts w:ascii="Times New Roman" w:hAnsi="Times New Roman"/>
          <w:b/>
          <w:sz w:val="28"/>
          <w:szCs w:val="28"/>
          <w:lang w:val="lv-LV"/>
        </w:rPr>
      </w:pPr>
    </w:p>
    <w:p w14:paraId="570B9B1B" w14:textId="77777777" w:rsidR="008A5CAD" w:rsidRDefault="008A5CAD" w:rsidP="00E7642A">
      <w:pPr>
        <w:pStyle w:val="Header"/>
        <w:spacing w:after="0" w:line="240" w:lineRule="auto"/>
        <w:jc w:val="center"/>
        <w:rPr>
          <w:rFonts w:ascii="Times New Roman" w:hAnsi="Times New Roman"/>
          <w:b/>
          <w:sz w:val="28"/>
          <w:szCs w:val="28"/>
          <w:lang w:val="lv-LV"/>
        </w:rPr>
      </w:pPr>
    </w:p>
    <w:p w14:paraId="734A3399" w14:textId="77777777" w:rsidR="008A5CAD" w:rsidRDefault="008A5CAD" w:rsidP="00E7642A">
      <w:pPr>
        <w:pStyle w:val="Header"/>
        <w:spacing w:after="0" w:line="240" w:lineRule="auto"/>
        <w:jc w:val="center"/>
        <w:rPr>
          <w:rFonts w:ascii="Times New Roman" w:hAnsi="Times New Roman"/>
          <w:b/>
          <w:sz w:val="28"/>
          <w:szCs w:val="28"/>
          <w:lang w:val="lv-LV"/>
        </w:rPr>
      </w:pPr>
    </w:p>
    <w:p w14:paraId="00AA57CB" w14:textId="77777777" w:rsidR="008A5CAD" w:rsidRDefault="008A5CAD" w:rsidP="00E7642A">
      <w:pPr>
        <w:pStyle w:val="Header"/>
        <w:spacing w:after="0" w:line="240" w:lineRule="auto"/>
        <w:jc w:val="center"/>
        <w:rPr>
          <w:rFonts w:ascii="Times New Roman" w:hAnsi="Times New Roman"/>
          <w:b/>
          <w:sz w:val="28"/>
          <w:szCs w:val="28"/>
          <w:lang w:val="lv-LV"/>
        </w:rPr>
      </w:pPr>
    </w:p>
    <w:p w14:paraId="21F6A6BE" w14:textId="77777777" w:rsidR="008A5CAD" w:rsidRDefault="008A5CAD" w:rsidP="00E7642A">
      <w:pPr>
        <w:pStyle w:val="Header"/>
        <w:spacing w:after="0" w:line="240" w:lineRule="auto"/>
        <w:jc w:val="center"/>
        <w:rPr>
          <w:rFonts w:ascii="Times New Roman" w:hAnsi="Times New Roman"/>
          <w:b/>
          <w:sz w:val="28"/>
          <w:szCs w:val="28"/>
          <w:lang w:val="lv-LV"/>
        </w:rPr>
      </w:pPr>
    </w:p>
    <w:p w14:paraId="0E679002" w14:textId="77777777" w:rsidR="008A5CAD" w:rsidRDefault="008A5CAD" w:rsidP="00E7642A">
      <w:pPr>
        <w:pStyle w:val="Header"/>
        <w:spacing w:after="0" w:line="240" w:lineRule="auto"/>
        <w:jc w:val="center"/>
        <w:rPr>
          <w:rFonts w:ascii="Times New Roman" w:hAnsi="Times New Roman"/>
          <w:b/>
          <w:sz w:val="28"/>
          <w:szCs w:val="28"/>
          <w:lang w:val="lv-LV"/>
        </w:rPr>
      </w:pPr>
    </w:p>
    <w:p w14:paraId="360C588F" w14:textId="77777777" w:rsidR="008A5CAD" w:rsidRDefault="008A5CAD" w:rsidP="00E7642A">
      <w:pPr>
        <w:pStyle w:val="Header"/>
        <w:spacing w:after="0" w:line="240" w:lineRule="auto"/>
        <w:jc w:val="center"/>
        <w:rPr>
          <w:rFonts w:ascii="Times New Roman" w:hAnsi="Times New Roman"/>
          <w:b/>
          <w:sz w:val="28"/>
          <w:szCs w:val="28"/>
          <w:lang w:val="lv-LV"/>
        </w:rPr>
      </w:pPr>
    </w:p>
    <w:p w14:paraId="12AE2E25" w14:textId="77777777" w:rsidR="008A5CAD" w:rsidRDefault="008A5CAD" w:rsidP="00E7642A">
      <w:pPr>
        <w:pStyle w:val="Header"/>
        <w:spacing w:after="0" w:line="240" w:lineRule="auto"/>
        <w:jc w:val="center"/>
        <w:rPr>
          <w:rFonts w:ascii="Times New Roman" w:hAnsi="Times New Roman"/>
          <w:b/>
          <w:sz w:val="28"/>
          <w:szCs w:val="28"/>
          <w:lang w:val="lv-LV"/>
        </w:rPr>
      </w:pPr>
    </w:p>
    <w:p w14:paraId="3F2D0879" w14:textId="77777777" w:rsidR="008A5CAD" w:rsidRDefault="008A5CAD" w:rsidP="00E7642A">
      <w:pPr>
        <w:pStyle w:val="Header"/>
        <w:spacing w:after="0" w:line="240" w:lineRule="auto"/>
        <w:jc w:val="center"/>
        <w:rPr>
          <w:rFonts w:ascii="Times New Roman" w:hAnsi="Times New Roman"/>
          <w:b/>
          <w:sz w:val="28"/>
          <w:szCs w:val="28"/>
          <w:lang w:val="lv-LV"/>
        </w:rPr>
      </w:pPr>
    </w:p>
    <w:p w14:paraId="07B0169E" w14:textId="77777777" w:rsidR="008A5CAD" w:rsidRDefault="008A5CAD" w:rsidP="00E7642A">
      <w:pPr>
        <w:pStyle w:val="Header"/>
        <w:spacing w:after="0" w:line="240" w:lineRule="auto"/>
        <w:jc w:val="center"/>
        <w:rPr>
          <w:rFonts w:ascii="Times New Roman" w:hAnsi="Times New Roman"/>
          <w:b/>
          <w:sz w:val="28"/>
          <w:szCs w:val="28"/>
          <w:lang w:val="lv-LV"/>
        </w:rPr>
      </w:pPr>
    </w:p>
    <w:p w14:paraId="09605D74" w14:textId="77777777" w:rsidR="008A5CAD" w:rsidRDefault="008A5CAD" w:rsidP="00E7642A">
      <w:pPr>
        <w:pStyle w:val="Header"/>
        <w:spacing w:after="0" w:line="240" w:lineRule="auto"/>
        <w:jc w:val="center"/>
        <w:rPr>
          <w:rFonts w:ascii="Times New Roman" w:hAnsi="Times New Roman"/>
          <w:b/>
          <w:sz w:val="28"/>
          <w:szCs w:val="28"/>
          <w:lang w:val="lv-LV"/>
        </w:rPr>
      </w:pPr>
    </w:p>
    <w:p w14:paraId="50EDEB81" w14:textId="77777777" w:rsidR="008A5CAD" w:rsidRDefault="008A5CAD" w:rsidP="00E7642A">
      <w:pPr>
        <w:pStyle w:val="Header"/>
        <w:spacing w:after="0" w:line="240" w:lineRule="auto"/>
        <w:jc w:val="center"/>
        <w:rPr>
          <w:rFonts w:ascii="Times New Roman" w:hAnsi="Times New Roman"/>
          <w:b/>
          <w:sz w:val="28"/>
          <w:szCs w:val="28"/>
          <w:lang w:val="lv-LV"/>
        </w:rPr>
      </w:pPr>
    </w:p>
    <w:p w14:paraId="52708ED3" w14:textId="77777777" w:rsidR="008A5CAD" w:rsidRDefault="008A5CAD" w:rsidP="00E7642A">
      <w:pPr>
        <w:pStyle w:val="Header"/>
        <w:spacing w:after="0" w:line="240" w:lineRule="auto"/>
        <w:jc w:val="center"/>
        <w:rPr>
          <w:rFonts w:ascii="Times New Roman" w:hAnsi="Times New Roman"/>
          <w:b/>
          <w:sz w:val="28"/>
          <w:szCs w:val="28"/>
          <w:lang w:val="lv-LV"/>
        </w:rPr>
      </w:pPr>
    </w:p>
    <w:p w14:paraId="4324221F" w14:textId="77777777" w:rsidR="008A5CAD" w:rsidRDefault="008A5CAD" w:rsidP="00E7642A">
      <w:pPr>
        <w:pStyle w:val="Header"/>
        <w:spacing w:after="0" w:line="240" w:lineRule="auto"/>
        <w:jc w:val="center"/>
        <w:rPr>
          <w:rFonts w:ascii="Times New Roman" w:hAnsi="Times New Roman"/>
          <w:b/>
          <w:sz w:val="28"/>
          <w:szCs w:val="28"/>
          <w:lang w:val="lv-LV"/>
        </w:rPr>
      </w:pPr>
    </w:p>
    <w:p w14:paraId="5C3DE78F" w14:textId="77777777" w:rsidR="008A5CAD" w:rsidRDefault="008A5CAD" w:rsidP="00E7642A">
      <w:pPr>
        <w:pStyle w:val="Header"/>
        <w:spacing w:after="0" w:line="240" w:lineRule="auto"/>
        <w:jc w:val="center"/>
        <w:rPr>
          <w:rFonts w:ascii="Times New Roman" w:hAnsi="Times New Roman"/>
          <w:b/>
          <w:sz w:val="28"/>
          <w:szCs w:val="28"/>
          <w:lang w:val="lv-LV"/>
        </w:rPr>
      </w:pPr>
    </w:p>
    <w:p w14:paraId="3DAAEB4A" w14:textId="77777777" w:rsidR="008A5CAD" w:rsidRDefault="008A5CAD" w:rsidP="00E7642A">
      <w:pPr>
        <w:pStyle w:val="Header"/>
        <w:spacing w:after="0" w:line="240" w:lineRule="auto"/>
        <w:jc w:val="center"/>
        <w:rPr>
          <w:rFonts w:ascii="Times New Roman" w:hAnsi="Times New Roman"/>
          <w:b/>
          <w:sz w:val="28"/>
          <w:szCs w:val="28"/>
          <w:lang w:val="lv-LV"/>
        </w:rPr>
      </w:pPr>
    </w:p>
    <w:p w14:paraId="61114DD9" w14:textId="77777777" w:rsidR="008A5CAD" w:rsidRDefault="008A5CAD" w:rsidP="00E7642A">
      <w:pPr>
        <w:pStyle w:val="Header"/>
        <w:spacing w:after="0" w:line="240" w:lineRule="auto"/>
        <w:jc w:val="center"/>
        <w:rPr>
          <w:rFonts w:ascii="Times New Roman" w:hAnsi="Times New Roman"/>
          <w:b/>
          <w:sz w:val="28"/>
          <w:szCs w:val="28"/>
          <w:lang w:val="lv-LV"/>
        </w:rPr>
      </w:pPr>
    </w:p>
    <w:p w14:paraId="6FE4611C" w14:textId="77777777" w:rsidR="008A5CAD" w:rsidRDefault="008A5CAD" w:rsidP="00E7642A">
      <w:pPr>
        <w:pStyle w:val="Header"/>
        <w:spacing w:after="0" w:line="240" w:lineRule="auto"/>
        <w:jc w:val="center"/>
        <w:rPr>
          <w:rFonts w:ascii="Times New Roman" w:hAnsi="Times New Roman"/>
          <w:b/>
          <w:sz w:val="28"/>
          <w:szCs w:val="28"/>
          <w:lang w:val="lv-LV"/>
        </w:rPr>
      </w:pPr>
    </w:p>
    <w:p w14:paraId="276E62DD" w14:textId="77777777" w:rsidR="008A5CAD" w:rsidRDefault="008A5CAD" w:rsidP="00E7642A">
      <w:pPr>
        <w:pStyle w:val="Header"/>
        <w:spacing w:after="0" w:line="240" w:lineRule="auto"/>
        <w:jc w:val="center"/>
        <w:rPr>
          <w:rFonts w:ascii="Times New Roman" w:hAnsi="Times New Roman"/>
          <w:b/>
          <w:sz w:val="28"/>
          <w:szCs w:val="28"/>
          <w:lang w:val="lv-LV"/>
        </w:rPr>
      </w:pPr>
    </w:p>
    <w:p w14:paraId="50D37D25" w14:textId="5C74CB82" w:rsidR="008A5CAD" w:rsidRPr="00C07278" w:rsidRDefault="008A5CAD" w:rsidP="00E7642A">
      <w:pPr>
        <w:pStyle w:val="Header"/>
        <w:spacing w:after="0" w:line="240" w:lineRule="auto"/>
        <w:jc w:val="center"/>
        <w:rPr>
          <w:rFonts w:ascii="Times New Roman" w:hAnsi="Times New Roman"/>
          <w:b/>
          <w:sz w:val="28"/>
          <w:szCs w:val="28"/>
          <w:lang w:val="lv-LV"/>
        </w:rPr>
      </w:pPr>
      <w:r>
        <w:rPr>
          <w:rFonts w:ascii="Times New Roman" w:hAnsi="Times New Roman"/>
          <w:b/>
          <w:sz w:val="28"/>
          <w:szCs w:val="28"/>
          <w:lang w:val="lv-LV"/>
        </w:rPr>
        <w:t>2016</w:t>
      </w:r>
    </w:p>
    <w:p w14:paraId="05D86670" w14:textId="77777777" w:rsidR="003523F8" w:rsidRPr="00C07278" w:rsidRDefault="003523F8" w:rsidP="00E7642A">
      <w:pPr>
        <w:pStyle w:val="Header"/>
        <w:spacing w:after="0" w:line="240" w:lineRule="auto"/>
        <w:jc w:val="both"/>
        <w:rPr>
          <w:rFonts w:ascii="Times New Roman" w:hAnsi="Times New Roman"/>
          <w:sz w:val="24"/>
          <w:szCs w:val="24"/>
          <w:lang w:val="lv-LV"/>
        </w:rPr>
      </w:pPr>
    </w:p>
    <w:p w14:paraId="085CD86E" w14:textId="3862AB04" w:rsidR="00B65219" w:rsidRPr="00C07278" w:rsidRDefault="00494117" w:rsidP="00E7642A">
      <w:pPr>
        <w:spacing w:after="160" w:line="259" w:lineRule="auto"/>
        <w:ind w:left="0"/>
        <w:jc w:val="left"/>
      </w:pPr>
      <w:r>
        <w:rPr>
          <w:rFonts w:ascii="Times New Roman" w:hAnsi="Times New Roman"/>
          <w:sz w:val="24"/>
          <w:szCs w:val="24"/>
        </w:rPr>
        <w:lastRenderedPageBreak/>
        <w:br w:type="page"/>
      </w:r>
      <w:bookmarkStart w:id="0" w:name="_Toc399943515"/>
    </w:p>
    <w:sdt>
      <w:sdtPr>
        <w:rPr>
          <w:rFonts w:ascii="Times New Roman" w:eastAsiaTheme="minorEastAsia" w:hAnsi="Times New Roman" w:cs="Times New Roman"/>
          <w:color w:val="auto"/>
          <w:sz w:val="24"/>
          <w:szCs w:val="24"/>
          <w:lang w:val="lv-LV" w:eastAsia="zh-TW"/>
        </w:rPr>
        <w:id w:val="-337006486"/>
        <w:docPartObj>
          <w:docPartGallery w:val="Table of Contents"/>
          <w:docPartUnique/>
        </w:docPartObj>
      </w:sdtPr>
      <w:sdtEndPr>
        <w:rPr>
          <w:b/>
          <w:bCs/>
          <w:noProof/>
        </w:rPr>
      </w:sdtEndPr>
      <w:sdtContent>
        <w:p w14:paraId="6CE7BB24" w14:textId="77777777" w:rsidR="00B65219" w:rsidRPr="000375E5" w:rsidRDefault="00B65219" w:rsidP="00E7642A">
          <w:pPr>
            <w:pStyle w:val="TOCHeading"/>
            <w:spacing w:before="120" w:after="120" w:line="276" w:lineRule="auto"/>
            <w:jc w:val="center"/>
            <w:rPr>
              <w:rFonts w:ascii="Times New Roman" w:hAnsi="Times New Roman" w:cs="Times New Roman"/>
              <w:color w:val="auto"/>
              <w:sz w:val="24"/>
              <w:szCs w:val="24"/>
              <w:lang w:val="lv-LV"/>
            </w:rPr>
          </w:pPr>
          <w:r w:rsidRPr="00622DBF">
            <w:rPr>
              <w:rFonts w:ascii="Times New Roman" w:hAnsi="Times New Roman" w:cs="Times New Roman"/>
              <w:b/>
              <w:color w:val="auto"/>
              <w:sz w:val="24"/>
              <w:szCs w:val="24"/>
              <w:lang w:val="lv-LV"/>
            </w:rPr>
            <w:t>Saturs</w:t>
          </w:r>
        </w:p>
        <w:p w14:paraId="1103435A" w14:textId="77777777" w:rsidR="00B65219" w:rsidRPr="00FB4DF5" w:rsidRDefault="00B65219" w:rsidP="00E7642A">
          <w:pPr>
            <w:spacing w:before="120" w:after="120" w:line="276" w:lineRule="auto"/>
            <w:rPr>
              <w:rFonts w:ascii="Times New Roman" w:hAnsi="Times New Roman"/>
              <w:sz w:val="24"/>
              <w:szCs w:val="24"/>
            </w:rPr>
          </w:pPr>
        </w:p>
        <w:p w14:paraId="07C04829" w14:textId="77777777" w:rsidR="00E0256A" w:rsidRPr="00E0256A" w:rsidRDefault="00417751" w:rsidP="00E7642A">
          <w:pPr>
            <w:pStyle w:val="TOC1"/>
            <w:tabs>
              <w:tab w:val="right" w:leader="dot" w:pos="9061"/>
            </w:tabs>
            <w:rPr>
              <w:rFonts w:ascii="Times New Roman" w:hAnsi="Times New Roman" w:cs="Times New Roman"/>
              <w:noProof/>
              <w:sz w:val="24"/>
              <w:szCs w:val="24"/>
              <w:lang w:eastAsia="lv-LV"/>
            </w:rPr>
          </w:pPr>
          <w:r w:rsidRPr="00E0256A">
            <w:rPr>
              <w:rFonts w:ascii="Times New Roman" w:hAnsi="Times New Roman" w:cs="Times New Roman"/>
              <w:sz w:val="24"/>
              <w:szCs w:val="24"/>
            </w:rPr>
            <w:fldChar w:fldCharType="begin"/>
          </w:r>
          <w:r w:rsidR="00B65219" w:rsidRPr="00E0256A">
            <w:rPr>
              <w:rFonts w:ascii="Times New Roman" w:hAnsi="Times New Roman" w:cs="Times New Roman"/>
              <w:sz w:val="24"/>
              <w:szCs w:val="24"/>
            </w:rPr>
            <w:instrText xml:space="preserve"> TOC \o "1-3" \h \z \u </w:instrText>
          </w:r>
          <w:r w:rsidRPr="00E0256A">
            <w:rPr>
              <w:rFonts w:ascii="Times New Roman" w:hAnsi="Times New Roman" w:cs="Times New Roman"/>
              <w:sz w:val="24"/>
              <w:szCs w:val="24"/>
            </w:rPr>
            <w:fldChar w:fldCharType="separate"/>
          </w:r>
          <w:hyperlink w:anchor="_Toc458673266" w:history="1">
            <w:r w:rsidR="00E0256A" w:rsidRPr="00E0256A">
              <w:rPr>
                <w:rStyle w:val="Hyperlink"/>
                <w:rFonts w:ascii="Times New Roman" w:hAnsi="Times New Roman" w:cs="Times New Roman"/>
                <w:noProof/>
                <w:sz w:val="24"/>
                <w:szCs w:val="24"/>
                <w:lang w:eastAsia="en-US"/>
              </w:rPr>
              <w:t xml:space="preserve">Dokumentā </w:t>
            </w:r>
            <w:r w:rsidR="00E0256A" w:rsidRPr="00E0256A">
              <w:rPr>
                <w:rStyle w:val="Hyperlink"/>
                <w:rFonts w:ascii="Times New Roman" w:hAnsi="Times New Roman" w:cs="Times New Roman"/>
                <w:noProof/>
                <w:sz w:val="24"/>
                <w:szCs w:val="24"/>
              </w:rPr>
              <w:t>izmantotie</w:t>
            </w:r>
            <w:r w:rsidR="00E0256A" w:rsidRPr="00E0256A">
              <w:rPr>
                <w:rStyle w:val="Hyperlink"/>
                <w:rFonts w:ascii="Times New Roman" w:hAnsi="Times New Roman" w:cs="Times New Roman"/>
                <w:noProof/>
                <w:sz w:val="24"/>
                <w:szCs w:val="24"/>
                <w:lang w:eastAsia="en-US"/>
              </w:rPr>
              <w:t xml:space="preserve"> saīsinājumi</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_Toc458673266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769D03E4" w14:textId="77777777" w:rsidR="00E0256A" w:rsidRPr="00E0256A" w:rsidRDefault="007E42EE" w:rsidP="00E7642A">
          <w:pPr>
            <w:pStyle w:val="TOC1"/>
            <w:tabs>
              <w:tab w:val="right" w:leader="dot" w:pos="9061"/>
            </w:tabs>
            <w:rPr>
              <w:rFonts w:ascii="Times New Roman" w:hAnsi="Times New Roman" w:cs="Times New Roman"/>
              <w:noProof/>
              <w:sz w:val="24"/>
              <w:szCs w:val="24"/>
              <w:lang w:eastAsia="lv-LV"/>
            </w:rPr>
          </w:pPr>
          <w:hyperlink w:anchor="_Toc458673267" w:history="1">
            <w:r w:rsidR="00E0256A" w:rsidRPr="00E0256A">
              <w:rPr>
                <w:rStyle w:val="Hyperlink"/>
                <w:rFonts w:ascii="Times New Roman" w:hAnsi="Times New Roman" w:cs="Times New Roman"/>
                <w:noProof/>
                <w:sz w:val="24"/>
                <w:szCs w:val="24"/>
              </w:rPr>
              <w:t>Ievads</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_Toc458673267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00AB281C" w14:textId="77777777" w:rsidR="00E0256A" w:rsidRPr="00E0256A" w:rsidRDefault="007E42EE" w:rsidP="00E7642A">
          <w:pPr>
            <w:pStyle w:val="TOC1"/>
            <w:tabs>
              <w:tab w:val="left" w:pos="440"/>
              <w:tab w:val="right" w:leader="dot" w:pos="9061"/>
            </w:tabs>
            <w:rPr>
              <w:rFonts w:ascii="Times New Roman" w:hAnsi="Times New Roman" w:cs="Times New Roman"/>
              <w:noProof/>
              <w:sz w:val="24"/>
              <w:szCs w:val="24"/>
              <w:lang w:eastAsia="lv-LV"/>
            </w:rPr>
          </w:pPr>
          <w:hyperlink w:anchor="_Toc458673268" w:history="1">
            <w:r w:rsidR="00E0256A" w:rsidRPr="00E0256A">
              <w:rPr>
                <w:rStyle w:val="Hyperlink"/>
                <w:rFonts w:ascii="Times New Roman" w:hAnsi="Times New Roman" w:cs="Times New Roman"/>
                <w:noProof/>
                <w:sz w:val="24"/>
                <w:szCs w:val="24"/>
              </w:rPr>
              <w:t>1.</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Zinātnes un pētniecības esošā institucionālā kapacitāte un cilvēkresursi</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_Toc458673268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412E6B66"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69" w:history="1">
            <w:r w:rsidR="00E0256A" w:rsidRPr="00E0256A">
              <w:rPr>
                <w:rStyle w:val="Hyperlink"/>
                <w:rFonts w:ascii="Times New Roman" w:hAnsi="Times New Roman" w:cs="Times New Roman"/>
                <w:noProof/>
                <w:sz w:val="24"/>
                <w:szCs w:val="24"/>
              </w:rPr>
              <w:t>1.1.</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Zinātnisko institūciju raksturojums</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_Toc458673269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2CDB0EDC"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70" w:history="1">
            <w:r w:rsidR="00E0256A" w:rsidRPr="00E0256A">
              <w:rPr>
                <w:rStyle w:val="Hyperlink"/>
                <w:rFonts w:ascii="Times New Roman" w:hAnsi="Times New Roman" w:cs="Times New Roman"/>
                <w:noProof/>
                <w:sz w:val="24"/>
                <w:szCs w:val="24"/>
              </w:rPr>
              <w:t>1.2.</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Cilvēkresursu situācijas raksturojums zinātnes jomā</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_Toc458673270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6AD5D4F4" w14:textId="77777777" w:rsidR="00E0256A" w:rsidRPr="00E0256A" w:rsidRDefault="007E42EE" w:rsidP="00E7642A">
          <w:pPr>
            <w:pStyle w:val="TOC1"/>
            <w:tabs>
              <w:tab w:val="left" w:pos="440"/>
              <w:tab w:val="right" w:leader="dot" w:pos="9061"/>
            </w:tabs>
            <w:rPr>
              <w:rFonts w:ascii="Times New Roman" w:hAnsi="Times New Roman" w:cs="Times New Roman"/>
              <w:noProof/>
              <w:sz w:val="24"/>
              <w:szCs w:val="24"/>
              <w:lang w:eastAsia="lv-LV"/>
            </w:rPr>
          </w:pPr>
          <w:hyperlink w:anchor="_Toc458673271" w:history="1">
            <w:r w:rsidR="00E0256A" w:rsidRPr="00E0256A">
              <w:rPr>
                <w:rStyle w:val="Hyperlink"/>
                <w:rFonts w:ascii="Times New Roman" w:hAnsi="Times New Roman" w:cs="Times New Roman"/>
                <w:noProof/>
                <w:sz w:val="24"/>
                <w:szCs w:val="24"/>
              </w:rPr>
              <w:t>2.</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ES struktūrfondu ieguldījumi zinātnisko institūciju pētnieciskās infrastruktūras modernizācijai</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_Toc458673271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285775F9"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72" w:history="1">
            <w:r w:rsidR="00E0256A" w:rsidRPr="00E0256A">
              <w:rPr>
                <w:rStyle w:val="Hyperlink"/>
                <w:rFonts w:ascii="Times New Roman" w:hAnsi="Times New Roman" w:cs="Times New Roman"/>
                <w:noProof/>
                <w:sz w:val="24"/>
                <w:szCs w:val="24"/>
              </w:rPr>
              <w:t>2.1.</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ES struktūrfondu ieguldījumi 2004.–2006. gada plānošanas periodā pētniecības un attīstības infrastruktūras modernizēšanai</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_Toc458673272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3E55A980"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73" w:history="1">
            <w:r w:rsidR="00E0256A" w:rsidRPr="00E0256A">
              <w:rPr>
                <w:rStyle w:val="Hyperlink"/>
                <w:rFonts w:ascii="Times New Roman" w:hAnsi="Times New Roman" w:cs="Times New Roman"/>
                <w:noProof/>
                <w:sz w:val="24"/>
                <w:szCs w:val="24"/>
              </w:rPr>
              <w:t>2.2.</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VNPC izveide un infrastruktūra</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_Toc458673273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77545762"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74" w:history="1">
            <w:r w:rsidR="00E0256A" w:rsidRPr="00E0256A">
              <w:rPr>
                <w:rStyle w:val="Hyperlink"/>
                <w:rFonts w:ascii="Times New Roman" w:hAnsi="Times New Roman" w:cs="Times New Roman"/>
                <w:noProof/>
                <w:sz w:val="24"/>
                <w:szCs w:val="24"/>
              </w:rPr>
              <w:t>2.3.</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Komercpētniecības infrastruktūras attīstība</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_Toc458673274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79A93A2B"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75" w:history="1">
            <w:r w:rsidR="00E0256A" w:rsidRPr="00E0256A">
              <w:rPr>
                <w:rStyle w:val="Hyperlink"/>
                <w:rFonts w:ascii="Times New Roman" w:hAnsi="Times New Roman" w:cs="Times New Roman"/>
                <w:noProof/>
                <w:sz w:val="24"/>
                <w:szCs w:val="24"/>
              </w:rPr>
              <w:t>2.4.</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Latvijas akadēmiskā pamattīkla attīstība</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_Toc458673275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6C296F4A"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76" w:history="1">
            <w:r w:rsidR="00E0256A" w:rsidRPr="00E0256A">
              <w:rPr>
                <w:rStyle w:val="Hyperlink"/>
                <w:rFonts w:ascii="Times New Roman" w:hAnsi="Times New Roman" w:cs="Times New Roman"/>
                <w:noProof/>
                <w:sz w:val="24"/>
                <w:szCs w:val="24"/>
              </w:rPr>
              <w:t>2.5.</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ES struktūrfondu 2007.–2013.gada plānošanas periodā gūtās mācības</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_Toc458673276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0C9F6AD6" w14:textId="77777777" w:rsidR="00E0256A" w:rsidRPr="00E0256A" w:rsidRDefault="007E42EE" w:rsidP="00E7642A">
          <w:pPr>
            <w:pStyle w:val="TOC1"/>
            <w:tabs>
              <w:tab w:val="left" w:pos="440"/>
              <w:tab w:val="right" w:leader="dot" w:pos="9061"/>
            </w:tabs>
            <w:rPr>
              <w:rFonts w:ascii="Times New Roman" w:hAnsi="Times New Roman" w:cs="Times New Roman"/>
              <w:noProof/>
              <w:sz w:val="24"/>
              <w:szCs w:val="24"/>
              <w:lang w:eastAsia="lv-LV"/>
            </w:rPr>
          </w:pPr>
          <w:hyperlink w:anchor="_Toc458673277" w:history="1">
            <w:r w:rsidR="00E0256A" w:rsidRPr="00E0256A">
              <w:rPr>
                <w:rStyle w:val="Hyperlink"/>
                <w:rFonts w:ascii="Times New Roman" w:hAnsi="Times New Roman" w:cs="Times New Roman"/>
                <w:noProof/>
                <w:sz w:val="24"/>
                <w:szCs w:val="24"/>
              </w:rPr>
              <w:t>3.</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Citu atbalsta programmu līdzšinējie un plānotie ieguldījumi zinātnes nozaru attīstībai un sadarbības veicināšanai ar uzņēmējdarbības un augstākās izglītības sektoru</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_Toc458673277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5AD25E72" w14:textId="77777777" w:rsidR="00E0256A" w:rsidRPr="00E0256A" w:rsidRDefault="007E42EE" w:rsidP="00E7642A">
          <w:pPr>
            <w:pStyle w:val="TOC1"/>
            <w:tabs>
              <w:tab w:val="left" w:pos="440"/>
              <w:tab w:val="right" w:leader="dot" w:pos="9061"/>
            </w:tabs>
            <w:rPr>
              <w:rFonts w:ascii="Times New Roman" w:hAnsi="Times New Roman" w:cs="Times New Roman"/>
              <w:noProof/>
              <w:sz w:val="24"/>
              <w:szCs w:val="24"/>
              <w:lang w:eastAsia="lv-LV"/>
            </w:rPr>
          </w:pPr>
          <w:hyperlink w:anchor="_Toc458673278" w:history="1">
            <w:r w:rsidR="00E0256A" w:rsidRPr="00E0256A">
              <w:rPr>
                <w:rStyle w:val="Hyperlink"/>
                <w:rFonts w:ascii="Times New Roman" w:hAnsi="Times New Roman" w:cs="Times New Roman"/>
                <w:noProof/>
                <w:sz w:val="24"/>
                <w:szCs w:val="24"/>
              </w:rPr>
              <w:t>4.</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Zinātnisko institūciju institucionālās kapacitātes stiprināšana</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_Toc458673278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537E18EC" w14:textId="77777777" w:rsidR="00E0256A" w:rsidRPr="00E0256A" w:rsidRDefault="007E42EE" w:rsidP="00E7642A">
          <w:pPr>
            <w:pStyle w:val="TOC1"/>
            <w:tabs>
              <w:tab w:val="left" w:pos="440"/>
              <w:tab w:val="right" w:leader="dot" w:pos="9061"/>
            </w:tabs>
            <w:rPr>
              <w:rFonts w:ascii="Times New Roman" w:hAnsi="Times New Roman" w:cs="Times New Roman"/>
              <w:noProof/>
              <w:sz w:val="24"/>
              <w:szCs w:val="24"/>
              <w:lang w:eastAsia="lv-LV"/>
            </w:rPr>
          </w:pPr>
          <w:hyperlink w:anchor="_Toc458673279" w:history="1">
            <w:r w:rsidR="00E0256A" w:rsidRPr="00E0256A">
              <w:rPr>
                <w:rStyle w:val="Hyperlink"/>
                <w:rFonts w:ascii="Times New Roman" w:hAnsi="Times New Roman" w:cs="Times New Roman"/>
                <w:noProof/>
                <w:sz w:val="24"/>
                <w:szCs w:val="24"/>
              </w:rPr>
              <w:t>5.</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Pētniecības, tehnoloģijas attīstības un inovāciju infrastruktūra Lietuvā un Igaunijā</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_Toc458673279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278F09F3" w14:textId="77777777" w:rsidR="00E0256A" w:rsidRPr="00E0256A" w:rsidRDefault="007E42EE" w:rsidP="00E7642A">
          <w:pPr>
            <w:pStyle w:val="TOC1"/>
            <w:tabs>
              <w:tab w:val="left" w:pos="440"/>
              <w:tab w:val="right" w:leader="dot" w:pos="9061"/>
            </w:tabs>
            <w:rPr>
              <w:rFonts w:ascii="Times New Roman" w:hAnsi="Times New Roman" w:cs="Times New Roman"/>
              <w:noProof/>
              <w:sz w:val="24"/>
              <w:szCs w:val="24"/>
              <w:lang w:eastAsia="lv-LV"/>
            </w:rPr>
          </w:pPr>
          <w:hyperlink w:anchor="_Toc458673280" w:history="1">
            <w:r w:rsidR="00E0256A" w:rsidRPr="00E0256A">
              <w:rPr>
                <w:rStyle w:val="Hyperlink"/>
                <w:rFonts w:ascii="Times New Roman" w:hAnsi="Times New Roman" w:cs="Times New Roman"/>
                <w:noProof/>
                <w:sz w:val="24"/>
                <w:szCs w:val="24"/>
              </w:rPr>
              <w:t>6.</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Ieguldījumi pētnieciskās infrastruktūras pilnveidei ES struktūrfondu 2014. – 2020. gada plānošanas periodā</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_Toc458673280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357D7E8D"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81" w:history="1">
            <w:r w:rsidR="00E0256A" w:rsidRPr="00E0256A">
              <w:rPr>
                <w:rStyle w:val="Hyperlink"/>
                <w:rFonts w:ascii="Times New Roman" w:hAnsi="Times New Roman" w:cs="Times New Roman"/>
                <w:noProof/>
                <w:sz w:val="24"/>
                <w:szCs w:val="24"/>
              </w:rPr>
              <w:t>6.1.</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Stratēģiskie kritēriji un indikatīvais 2014.–2020. gada plānošanas perioda investīciju kartējums</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_Toc458673281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2A6CC7CF"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82" w:history="1">
            <w:r w:rsidR="00E0256A" w:rsidRPr="00E0256A">
              <w:rPr>
                <w:rStyle w:val="Hyperlink"/>
                <w:rFonts w:ascii="Times New Roman" w:hAnsi="Times New Roman" w:cs="Times New Roman"/>
                <w:noProof/>
                <w:sz w:val="24"/>
                <w:szCs w:val="24"/>
              </w:rPr>
              <w:t>6.2.</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Ieviešanas nosacījumi un atbalstāmās darbības</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_Toc458673282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2A3A08D9" w14:textId="77777777" w:rsidR="00E0256A" w:rsidRPr="00E0256A" w:rsidRDefault="007E42EE" w:rsidP="00E7642A">
          <w:pPr>
            <w:pStyle w:val="TOC1"/>
            <w:tabs>
              <w:tab w:val="left" w:pos="660"/>
              <w:tab w:val="right" w:leader="dot" w:pos="9061"/>
            </w:tabs>
            <w:rPr>
              <w:rFonts w:ascii="Times New Roman" w:hAnsi="Times New Roman" w:cs="Times New Roman"/>
              <w:noProof/>
              <w:sz w:val="24"/>
              <w:szCs w:val="24"/>
              <w:lang w:eastAsia="lv-LV"/>
            </w:rPr>
          </w:pPr>
          <w:hyperlink w:anchor="_Toc458673283" w:history="1">
            <w:r w:rsidR="00E0256A" w:rsidRPr="00E0256A">
              <w:rPr>
                <w:rStyle w:val="Hyperlink"/>
                <w:rFonts w:ascii="Times New Roman" w:hAnsi="Times New Roman" w:cs="Times New Roman"/>
                <w:noProof/>
                <w:sz w:val="24"/>
                <w:szCs w:val="24"/>
              </w:rPr>
              <w:t>6.3.</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Sinerģija un demarkācija ar citiem specifiskajiem atbalsta mērķiem</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_Toc458673283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0F722C99" w14:textId="77777777" w:rsidR="00E0256A" w:rsidRPr="00E0256A" w:rsidRDefault="007E42EE" w:rsidP="00E7642A">
          <w:pPr>
            <w:pStyle w:val="TOC1"/>
            <w:tabs>
              <w:tab w:val="left" w:pos="440"/>
              <w:tab w:val="right" w:leader="dot" w:pos="9061"/>
            </w:tabs>
            <w:rPr>
              <w:rFonts w:ascii="Times New Roman" w:hAnsi="Times New Roman" w:cs="Times New Roman"/>
              <w:noProof/>
              <w:sz w:val="24"/>
              <w:szCs w:val="24"/>
              <w:lang w:eastAsia="lv-LV"/>
            </w:rPr>
          </w:pPr>
          <w:hyperlink w:anchor="_Toc458673284" w:history="1">
            <w:r w:rsidR="00E0256A" w:rsidRPr="00E0256A">
              <w:rPr>
                <w:rStyle w:val="Hyperlink"/>
                <w:rFonts w:ascii="Times New Roman" w:hAnsi="Times New Roman" w:cs="Times New Roman"/>
                <w:noProof/>
                <w:sz w:val="24"/>
                <w:szCs w:val="24"/>
              </w:rPr>
              <w:t>7.</w:t>
            </w:r>
            <w:r w:rsidR="00E0256A" w:rsidRPr="00E0256A">
              <w:rPr>
                <w:rFonts w:ascii="Times New Roman" w:hAnsi="Times New Roman" w:cs="Times New Roman"/>
                <w:noProof/>
                <w:sz w:val="24"/>
                <w:szCs w:val="24"/>
                <w:lang w:eastAsia="lv-LV"/>
              </w:rPr>
              <w:tab/>
            </w:r>
            <w:r w:rsidR="00E0256A" w:rsidRPr="00E0256A">
              <w:rPr>
                <w:rStyle w:val="Hyperlink"/>
                <w:rFonts w:ascii="Times New Roman" w:hAnsi="Times New Roman" w:cs="Times New Roman"/>
                <w:noProof/>
                <w:sz w:val="24"/>
                <w:szCs w:val="24"/>
              </w:rPr>
              <w:t>Plānotais 1.1.1.4. pasākuma ieviešanas nosacījumu izstrādes laika grafiks</w:t>
            </w:r>
            <w:r w:rsidR="00E0256A" w:rsidRPr="00E0256A">
              <w:rPr>
                <w:rFonts w:ascii="Times New Roman" w:hAnsi="Times New Roman" w:cs="Times New Roman"/>
                <w:noProof/>
                <w:webHidden/>
                <w:sz w:val="24"/>
                <w:szCs w:val="24"/>
              </w:rPr>
              <w:tab/>
            </w:r>
            <w:r w:rsidR="00E0256A" w:rsidRPr="00E0256A">
              <w:rPr>
                <w:rFonts w:ascii="Times New Roman" w:hAnsi="Times New Roman" w:cs="Times New Roman"/>
                <w:noProof/>
                <w:webHidden/>
                <w:sz w:val="24"/>
                <w:szCs w:val="24"/>
              </w:rPr>
              <w:fldChar w:fldCharType="begin"/>
            </w:r>
            <w:r w:rsidR="00E0256A" w:rsidRPr="00E0256A">
              <w:rPr>
                <w:rFonts w:ascii="Times New Roman" w:hAnsi="Times New Roman" w:cs="Times New Roman"/>
                <w:noProof/>
                <w:webHidden/>
                <w:sz w:val="24"/>
                <w:szCs w:val="24"/>
              </w:rPr>
              <w:instrText xml:space="preserve"> PAGEREF _Toc458673284 \h </w:instrText>
            </w:r>
            <w:r w:rsidR="00E0256A" w:rsidRPr="00E0256A">
              <w:rPr>
                <w:rFonts w:ascii="Times New Roman" w:hAnsi="Times New Roman" w:cs="Times New Roman"/>
                <w:noProof/>
                <w:webHidden/>
                <w:sz w:val="24"/>
                <w:szCs w:val="24"/>
              </w:rPr>
            </w:r>
            <w:r w:rsidR="00E0256A" w:rsidRPr="00E0256A">
              <w:rPr>
                <w:rFonts w:ascii="Times New Roman" w:hAnsi="Times New Roman" w:cs="Times New Roman"/>
                <w:noProof/>
                <w:webHidden/>
                <w:sz w:val="24"/>
                <w:szCs w:val="24"/>
              </w:rPr>
              <w:fldChar w:fldCharType="separate"/>
            </w:r>
            <w:r w:rsidR="00E7642A">
              <w:rPr>
                <w:rFonts w:ascii="Times New Roman" w:hAnsi="Times New Roman" w:cs="Times New Roman"/>
                <w:noProof/>
                <w:webHidden/>
                <w:sz w:val="24"/>
                <w:szCs w:val="24"/>
              </w:rPr>
              <w:t>2</w:t>
            </w:r>
            <w:r w:rsidR="00E0256A" w:rsidRPr="00E0256A">
              <w:rPr>
                <w:rFonts w:ascii="Times New Roman" w:hAnsi="Times New Roman" w:cs="Times New Roman"/>
                <w:noProof/>
                <w:webHidden/>
                <w:sz w:val="24"/>
                <w:szCs w:val="24"/>
              </w:rPr>
              <w:fldChar w:fldCharType="end"/>
            </w:r>
          </w:hyperlink>
        </w:p>
        <w:p w14:paraId="65EC4984" w14:textId="194EE0E9" w:rsidR="004F7B16" w:rsidRPr="00E0256A" w:rsidRDefault="00417751" w:rsidP="00E7642A">
          <w:pPr>
            <w:pStyle w:val="TOC1"/>
            <w:tabs>
              <w:tab w:val="left" w:pos="440"/>
              <w:tab w:val="right" w:leader="dot" w:pos="9344"/>
            </w:tabs>
            <w:spacing w:before="120" w:after="120"/>
            <w:rPr>
              <w:rFonts w:ascii="Times New Roman" w:hAnsi="Times New Roman" w:cs="Times New Roman"/>
              <w:sz w:val="24"/>
              <w:szCs w:val="24"/>
            </w:rPr>
          </w:pPr>
          <w:r w:rsidRPr="00E0256A">
            <w:rPr>
              <w:rFonts w:ascii="Times New Roman" w:hAnsi="Times New Roman" w:cs="Times New Roman"/>
              <w:b/>
              <w:bCs/>
              <w:noProof/>
              <w:sz w:val="24"/>
              <w:szCs w:val="24"/>
            </w:rPr>
            <w:fldChar w:fldCharType="end"/>
          </w:r>
          <w:r w:rsidR="00927940" w:rsidRPr="00E0256A">
            <w:rPr>
              <w:rFonts w:ascii="Times New Roman" w:hAnsi="Times New Roman" w:cs="Times New Roman"/>
              <w:b/>
              <w:bCs/>
              <w:noProof/>
              <w:sz w:val="24"/>
              <w:szCs w:val="24"/>
            </w:rPr>
            <w:br w:type="page"/>
          </w:r>
        </w:p>
      </w:sdtContent>
    </w:sdt>
    <w:p w14:paraId="34CD4969" w14:textId="77777777" w:rsidR="003523F8" w:rsidRPr="00C07278" w:rsidRDefault="003523F8" w:rsidP="00E7642A">
      <w:pPr>
        <w:pStyle w:val="Heading1"/>
        <w:spacing w:before="0"/>
        <w:rPr>
          <w:rFonts w:ascii="Times New Roman" w:hAnsi="Times New Roman"/>
          <w:sz w:val="24"/>
          <w:szCs w:val="24"/>
          <w:lang w:eastAsia="en-US"/>
        </w:rPr>
      </w:pPr>
      <w:bookmarkStart w:id="1" w:name="_Toc458673266"/>
      <w:r w:rsidRPr="00C07278">
        <w:rPr>
          <w:rFonts w:ascii="Times New Roman" w:hAnsi="Times New Roman"/>
          <w:color w:val="auto"/>
          <w:sz w:val="24"/>
          <w:szCs w:val="24"/>
          <w:lang w:eastAsia="en-US"/>
        </w:rPr>
        <w:lastRenderedPageBreak/>
        <w:t xml:space="preserve">Dokumentā </w:t>
      </w:r>
      <w:r w:rsidRPr="00C07278">
        <w:rPr>
          <w:rFonts w:ascii="Times New Roman" w:hAnsi="Times New Roman"/>
          <w:color w:val="auto"/>
          <w:sz w:val="24"/>
          <w:szCs w:val="24"/>
        </w:rPr>
        <w:t>izmantotie</w:t>
      </w:r>
      <w:r w:rsidRPr="00C07278">
        <w:rPr>
          <w:rFonts w:ascii="Times New Roman" w:hAnsi="Times New Roman"/>
          <w:color w:val="auto"/>
          <w:sz w:val="24"/>
          <w:szCs w:val="24"/>
          <w:lang w:eastAsia="en-US"/>
        </w:rPr>
        <w:t xml:space="preserve"> saīsinājumi</w:t>
      </w:r>
      <w:bookmarkEnd w:id="0"/>
      <w:bookmarkEnd w:id="1"/>
    </w:p>
    <w:p w14:paraId="42860FAB" w14:textId="77777777" w:rsidR="00401BC2" w:rsidRPr="00C07278" w:rsidRDefault="003B40DA" w:rsidP="00E7642A">
      <w:pPr>
        <w:ind w:left="2127" w:hanging="1702"/>
        <w:rPr>
          <w:rFonts w:ascii="Times New Roman" w:hAnsi="Times New Roman"/>
          <w:color w:val="000000"/>
          <w:sz w:val="24"/>
          <w:szCs w:val="24"/>
        </w:rPr>
      </w:pPr>
      <w:r w:rsidRPr="00C07278">
        <w:rPr>
          <w:rFonts w:ascii="Times New Roman" w:hAnsi="Times New Roman"/>
          <w:sz w:val="24"/>
          <w:szCs w:val="24"/>
        </w:rPr>
        <w:tab/>
      </w:r>
      <w:r w:rsidRPr="00C07278">
        <w:rPr>
          <w:rFonts w:ascii="Times New Roman" w:hAnsi="Times New Roman"/>
          <w:sz w:val="24"/>
          <w:szCs w:val="24"/>
        </w:rPr>
        <w:tab/>
      </w:r>
    </w:p>
    <w:p w14:paraId="2C13FAC0"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APIA</w:t>
      </w:r>
      <w:r w:rsidRPr="00C07278">
        <w:rPr>
          <w:rFonts w:ascii="Times New Roman" w:hAnsi="Times New Roman"/>
          <w:color w:val="000000"/>
          <w:sz w:val="24"/>
          <w:szCs w:val="24"/>
        </w:rPr>
        <w:tab/>
        <w:t>Atklāta projektu iesniegumu atlase</w:t>
      </w:r>
    </w:p>
    <w:p w14:paraId="1587533F" w14:textId="77777777" w:rsidR="00BC08CA" w:rsidRDefault="00BC08CA" w:rsidP="00E7642A">
      <w:pPr>
        <w:ind w:left="2127" w:hanging="2127"/>
        <w:rPr>
          <w:rFonts w:ascii="Times New Roman" w:hAnsi="Times New Roman"/>
          <w:sz w:val="24"/>
          <w:szCs w:val="24"/>
        </w:rPr>
      </w:pPr>
      <w:r>
        <w:rPr>
          <w:rFonts w:ascii="Times New Roman" w:hAnsi="Times New Roman"/>
          <w:sz w:val="24"/>
          <w:szCs w:val="24"/>
        </w:rPr>
        <w:t>AREI</w:t>
      </w:r>
      <w:r>
        <w:rPr>
          <w:rFonts w:ascii="Times New Roman" w:hAnsi="Times New Roman"/>
          <w:sz w:val="24"/>
          <w:szCs w:val="24"/>
        </w:rPr>
        <w:tab/>
        <w:t>Agroresursu un ekonomikas institūts</w:t>
      </w:r>
    </w:p>
    <w:p w14:paraId="039153E9" w14:textId="77777777" w:rsidR="00BC08CA" w:rsidRPr="00C07278" w:rsidRDefault="00BC08CA" w:rsidP="00E7642A">
      <w:pPr>
        <w:ind w:left="2127" w:hanging="2127"/>
        <w:rPr>
          <w:rFonts w:ascii="Times New Roman" w:hAnsi="Times New Roman"/>
          <w:i/>
          <w:color w:val="000000"/>
          <w:sz w:val="24"/>
          <w:szCs w:val="24"/>
          <w:lang w:val="en-US"/>
        </w:rPr>
      </w:pPr>
      <w:r w:rsidRPr="00C07278">
        <w:rPr>
          <w:rFonts w:ascii="Times New Roman" w:hAnsi="Times New Roman"/>
          <w:color w:val="000000"/>
          <w:sz w:val="24"/>
          <w:szCs w:val="24"/>
        </w:rPr>
        <w:t>BBMRI</w:t>
      </w:r>
      <w:r w:rsidRPr="00C07278">
        <w:rPr>
          <w:rFonts w:ascii="Times New Roman" w:hAnsi="Times New Roman"/>
          <w:color w:val="000000"/>
          <w:sz w:val="24"/>
          <w:szCs w:val="24"/>
        </w:rPr>
        <w:tab/>
        <w:t>Biobanku un biomolekulāro resursu pētniecības infrastruktūra (</w:t>
      </w:r>
      <w:r w:rsidRPr="00C07278">
        <w:rPr>
          <w:rFonts w:ascii="Times New Roman" w:hAnsi="Times New Roman"/>
          <w:i/>
          <w:color w:val="000000"/>
          <w:sz w:val="24"/>
          <w:szCs w:val="24"/>
          <w:lang w:val="en-US"/>
        </w:rPr>
        <w:t>Biobanking and Biomolecular Resources Research Infrastructure)</w:t>
      </w:r>
    </w:p>
    <w:p w14:paraId="794CB1B6"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BIOR</w:t>
      </w:r>
      <w:r w:rsidRPr="00C07278">
        <w:rPr>
          <w:rFonts w:ascii="Times New Roman" w:hAnsi="Times New Roman"/>
          <w:sz w:val="24"/>
          <w:szCs w:val="24"/>
        </w:rPr>
        <w:tab/>
        <w:t>Pārtikas drošības, dzīvnieku veselības un vides zinātniskais institūts "BIOR"</w:t>
      </w:r>
    </w:p>
    <w:p w14:paraId="0E4A896F"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BMC</w:t>
      </w:r>
      <w:r w:rsidRPr="00C07278">
        <w:rPr>
          <w:rFonts w:ascii="Times New Roman" w:hAnsi="Times New Roman"/>
          <w:sz w:val="24"/>
          <w:szCs w:val="24"/>
        </w:rPr>
        <w:tab/>
        <w:t>Latvijas Biomedicīnas pētījumu un studiju centrs</w:t>
      </w:r>
    </w:p>
    <w:p w14:paraId="5C87139B" w14:textId="77777777" w:rsidR="00BC08CA" w:rsidDel="00D04B99" w:rsidRDefault="00BC08CA" w:rsidP="00E7642A">
      <w:pPr>
        <w:ind w:left="2127" w:hanging="2127"/>
        <w:rPr>
          <w:rFonts w:ascii="Arial" w:hAnsi="Arial" w:cs="Arial"/>
          <w:color w:val="58595B"/>
          <w:sz w:val="18"/>
          <w:szCs w:val="18"/>
          <w:shd w:val="clear" w:color="auto" w:fill="FFFFFF"/>
        </w:rPr>
      </w:pPr>
      <w:r>
        <w:rPr>
          <w:rFonts w:ascii="Times New Roman" w:hAnsi="Times New Roman"/>
          <w:color w:val="000000"/>
          <w:sz w:val="24"/>
          <w:szCs w:val="24"/>
        </w:rPr>
        <w:t>CFI</w:t>
      </w:r>
      <w:r>
        <w:rPr>
          <w:rFonts w:ascii="Times New Roman" w:hAnsi="Times New Roman"/>
          <w:color w:val="000000"/>
          <w:sz w:val="24"/>
          <w:szCs w:val="24"/>
        </w:rPr>
        <w:tab/>
      </w:r>
      <w:r w:rsidRPr="00401BC2">
        <w:rPr>
          <w:rFonts w:ascii="Times New Roman" w:hAnsi="Times New Roman"/>
          <w:sz w:val="24"/>
          <w:szCs w:val="24"/>
        </w:rPr>
        <w:t>Latv</w:t>
      </w:r>
      <w:bookmarkStart w:id="2" w:name="_GoBack"/>
      <w:bookmarkEnd w:id="2"/>
      <w:r w:rsidRPr="00401BC2">
        <w:rPr>
          <w:rFonts w:ascii="Times New Roman" w:hAnsi="Times New Roman"/>
          <w:sz w:val="24"/>
          <w:szCs w:val="24"/>
        </w:rPr>
        <w:t>ijas Universitātes Cietvielu fizikas institūts</w:t>
      </w:r>
    </w:p>
    <w:p w14:paraId="4508088F"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CFLA</w:t>
      </w:r>
      <w:r w:rsidRPr="00C07278">
        <w:rPr>
          <w:rFonts w:ascii="Times New Roman" w:hAnsi="Times New Roman"/>
          <w:sz w:val="24"/>
          <w:szCs w:val="24"/>
        </w:rPr>
        <w:tab/>
        <w:t>Centrālā finanšu un līgumu aģentūra</w:t>
      </w:r>
    </w:p>
    <w:p w14:paraId="603D3B53" w14:textId="77777777" w:rsidR="00BC08CA"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CLARIN</w:t>
      </w:r>
      <w:r w:rsidRPr="00C07278">
        <w:rPr>
          <w:rFonts w:ascii="Times New Roman" w:hAnsi="Times New Roman"/>
          <w:color w:val="000000"/>
          <w:sz w:val="24"/>
          <w:szCs w:val="24"/>
        </w:rPr>
        <w:tab/>
        <w:t>Valodas resursu un tehnoloģiju infrastruktūra (</w:t>
      </w:r>
      <w:r w:rsidRPr="00C07278">
        <w:rPr>
          <w:rFonts w:ascii="Times New Roman" w:hAnsi="Times New Roman"/>
          <w:i/>
          <w:color w:val="000000"/>
          <w:sz w:val="24"/>
          <w:szCs w:val="24"/>
          <w:lang w:val="en-US"/>
        </w:rPr>
        <w:t>Research Infrastructure to Make Language Resources and Technology Available and Useful to Scholars of All Disciplines</w:t>
      </w:r>
      <w:r w:rsidRPr="00C07278">
        <w:rPr>
          <w:rFonts w:ascii="Times New Roman" w:hAnsi="Times New Roman"/>
          <w:color w:val="000000"/>
          <w:sz w:val="24"/>
          <w:szCs w:val="24"/>
        </w:rPr>
        <w:t>)</w:t>
      </w:r>
    </w:p>
    <w:p w14:paraId="2819D624"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CSP</w:t>
      </w:r>
      <w:r w:rsidRPr="00C07278">
        <w:rPr>
          <w:rFonts w:ascii="Times New Roman" w:hAnsi="Times New Roman"/>
          <w:color w:val="000000"/>
          <w:sz w:val="24"/>
          <w:szCs w:val="24"/>
        </w:rPr>
        <w:tab/>
      </w:r>
      <w:r w:rsidRPr="00C07278">
        <w:rPr>
          <w:rFonts w:ascii="Times New Roman" w:hAnsi="Times New Roman"/>
          <w:color w:val="000000"/>
          <w:sz w:val="24"/>
          <w:szCs w:val="24"/>
        </w:rPr>
        <w:tab/>
        <w:t>Centrālā statistikas pārvalde</w:t>
      </w:r>
    </w:p>
    <w:p w14:paraId="0238E7A4" w14:textId="77777777" w:rsidR="00BC08CA" w:rsidRDefault="00BC08CA" w:rsidP="00E7642A">
      <w:pPr>
        <w:ind w:left="2127" w:hanging="2127"/>
        <w:rPr>
          <w:rFonts w:ascii="Times New Roman" w:hAnsi="Times New Roman"/>
          <w:sz w:val="24"/>
          <w:szCs w:val="24"/>
        </w:rPr>
      </w:pPr>
      <w:r>
        <w:rPr>
          <w:rFonts w:ascii="Times New Roman" w:hAnsi="Times New Roman"/>
          <w:sz w:val="24"/>
          <w:szCs w:val="24"/>
        </w:rPr>
        <w:t>DI</w:t>
      </w:r>
      <w:r>
        <w:rPr>
          <w:rFonts w:ascii="Times New Roman" w:hAnsi="Times New Roman"/>
          <w:sz w:val="24"/>
          <w:szCs w:val="24"/>
        </w:rPr>
        <w:tab/>
        <w:t>Dārzkopības institūts</w:t>
      </w:r>
    </w:p>
    <w:p w14:paraId="5C1B39C5" w14:textId="77777777" w:rsidR="00BC08CA"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DP</w:t>
      </w:r>
      <w:r w:rsidRPr="00C07278">
        <w:rPr>
          <w:rFonts w:ascii="Times New Roman" w:hAnsi="Times New Roman"/>
          <w:color w:val="000000"/>
          <w:sz w:val="24"/>
          <w:szCs w:val="24"/>
        </w:rPr>
        <w:tab/>
        <w:t>Darbības programma</w:t>
      </w:r>
    </w:p>
    <w:p w14:paraId="1B842771" w14:textId="77777777" w:rsidR="00BC08CA" w:rsidRPr="00C07278"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DU</w:t>
      </w:r>
      <w:r>
        <w:rPr>
          <w:rFonts w:ascii="Times New Roman" w:hAnsi="Times New Roman"/>
          <w:color w:val="000000"/>
          <w:sz w:val="24"/>
          <w:szCs w:val="24"/>
        </w:rPr>
        <w:tab/>
        <w:t>Daugavpils Universitāte</w:t>
      </w:r>
    </w:p>
    <w:p w14:paraId="37E9E19C"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EDI</w:t>
      </w:r>
      <w:r w:rsidRPr="00C07278">
        <w:rPr>
          <w:rFonts w:ascii="Times New Roman" w:hAnsi="Times New Roman"/>
          <w:sz w:val="24"/>
          <w:szCs w:val="24"/>
        </w:rPr>
        <w:tab/>
        <w:t>Elektronikas un datorzinātņu institūts</w:t>
      </w:r>
    </w:p>
    <w:p w14:paraId="2280E30F"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ELIXIR</w:t>
      </w:r>
      <w:r w:rsidRPr="00C07278">
        <w:rPr>
          <w:rFonts w:ascii="Times New Roman" w:hAnsi="Times New Roman"/>
          <w:color w:val="000000"/>
          <w:sz w:val="24"/>
          <w:szCs w:val="24"/>
        </w:rPr>
        <w:tab/>
        <w:t>Eiropas dzīvības zinātnes bioloģiskās informācijas infrastruktūra dzīvības zinātnēs (</w:t>
      </w:r>
      <w:r w:rsidRPr="00C07278">
        <w:rPr>
          <w:rFonts w:ascii="Times New Roman" w:hAnsi="Times New Roman"/>
          <w:i/>
          <w:color w:val="000000"/>
          <w:sz w:val="24"/>
          <w:szCs w:val="24"/>
        </w:rPr>
        <w:t>The European Life-science Infrastructure for Biological Information</w:t>
      </w:r>
      <w:r w:rsidRPr="00C07278">
        <w:rPr>
          <w:rFonts w:ascii="Times New Roman" w:hAnsi="Times New Roman"/>
          <w:color w:val="000000"/>
          <w:sz w:val="24"/>
          <w:szCs w:val="24"/>
        </w:rPr>
        <w:t>)</w:t>
      </w:r>
    </w:p>
    <w:p w14:paraId="45937191"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EM</w:t>
      </w:r>
      <w:r w:rsidRPr="00C07278">
        <w:rPr>
          <w:rFonts w:ascii="Times New Roman" w:hAnsi="Times New Roman"/>
          <w:color w:val="000000"/>
          <w:sz w:val="24"/>
          <w:szCs w:val="24"/>
        </w:rPr>
        <w:tab/>
        <w:t>Ekonomikas ministrija</w:t>
      </w:r>
    </w:p>
    <w:p w14:paraId="4478AD94"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ERAF</w:t>
      </w:r>
      <w:r w:rsidRPr="00C07278">
        <w:rPr>
          <w:rFonts w:ascii="Times New Roman" w:hAnsi="Times New Roman"/>
          <w:sz w:val="24"/>
          <w:szCs w:val="24"/>
        </w:rPr>
        <w:tab/>
        <w:t>Eiropas Reģionālās attīstības fonds</w:t>
      </w:r>
    </w:p>
    <w:p w14:paraId="64A7E1CD"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ERIC</w:t>
      </w:r>
      <w:r w:rsidRPr="00C07278">
        <w:rPr>
          <w:rFonts w:ascii="Times New Roman" w:hAnsi="Times New Roman"/>
          <w:color w:val="000000"/>
          <w:sz w:val="24"/>
          <w:szCs w:val="24"/>
        </w:rPr>
        <w:tab/>
      </w:r>
      <w:r w:rsidRPr="00C07278">
        <w:rPr>
          <w:rFonts w:ascii="Times New Roman" w:hAnsi="Times New Roman"/>
          <w:sz w:val="24"/>
          <w:szCs w:val="24"/>
        </w:rPr>
        <w:t>Eiropas pētniecības infrastruktūras konsorcijs (</w:t>
      </w:r>
      <w:r w:rsidRPr="00C07278">
        <w:rPr>
          <w:rFonts w:ascii="Times New Roman" w:hAnsi="Times New Roman"/>
          <w:i/>
          <w:sz w:val="24"/>
          <w:szCs w:val="24"/>
        </w:rPr>
        <w:t>European Research Infrastructure Consortium</w:t>
      </w:r>
      <w:r w:rsidRPr="00C07278">
        <w:rPr>
          <w:rFonts w:ascii="Times New Roman" w:hAnsi="Times New Roman"/>
          <w:sz w:val="24"/>
          <w:szCs w:val="24"/>
        </w:rPr>
        <w:t>)</w:t>
      </w:r>
    </w:p>
    <w:p w14:paraId="178E69EA"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ES</w:t>
      </w:r>
      <w:r w:rsidRPr="00C07278">
        <w:rPr>
          <w:rFonts w:ascii="Times New Roman" w:hAnsi="Times New Roman"/>
          <w:color w:val="000000"/>
          <w:sz w:val="24"/>
          <w:szCs w:val="24"/>
        </w:rPr>
        <w:tab/>
        <w:t>Eiropas Savienība</w:t>
      </w:r>
    </w:p>
    <w:p w14:paraId="4D81F3D3"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ESFRI</w:t>
      </w:r>
      <w:r w:rsidRPr="00C07278">
        <w:rPr>
          <w:rFonts w:ascii="Times New Roman" w:hAnsi="Times New Roman"/>
          <w:sz w:val="24"/>
          <w:szCs w:val="24"/>
        </w:rPr>
        <w:tab/>
        <w:t>Eiropas stratēģiskais forums par Pētniecības infrastruktūrām (</w:t>
      </w:r>
      <w:r w:rsidRPr="00C07278">
        <w:rPr>
          <w:rFonts w:ascii="Times New Roman" w:hAnsi="Times New Roman"/>
          <w:i/>
          <w:sz w:val="24"/>
          <w:szCs w:val="24"/>
        </w:rPr>
        <w:t>European Strategy Forum on Research Infrastructures</w:t>
      </w:r>
      <w:r w:rsidRPr="00C07278">
        <w:rPr>
          <w:rFonts w:ascii="Times New Roman" w:hAnsi="Times New Roman"/>
          <w:sz w:val="24"/>
          <w:szCs w:val="24"/>
        </w:rPr>
        <w:t>)</w:t>
      </w:r>
    </w:p>
    <w:p w14:paraId="0D73B9E0"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ESS</w:t>
      </w:r>
      <w:r w:rsidRPr="00C07278">
        <w:rPr>
          <w:rFonts w:ascii="Times New Roman" w:hAnsi="Times New Roman"/>
          <w:color w:val="000000"/>
          <w:sz w:val="24"/>
          <w:szCs w:val="24"/>
        </w:rPr>
        <w:tab/>
        <w:t>Eiropas Sociālais pētījums (</w:t>
      </w:r>
      <w:r w:rsidRPr="00C07278">
        <w:rPr>
          <w:rFonts w:ascii="Times New Roman" w:hAnsi="Times New Roman"/>
          <w:i/>
          <w:color w:val="000000"/>
          <w:sz w:val="24"/>
          <w:szCs w:val="24"/>
          <w:lang w:val="en-US"/>
        </w:rPr>
        <w:t>European Social Survey</w:t>
      </w:r>
      <w:r w:rsidRPr="00C07278">
        <w:rPr>
          <w:rFonts w:ascii="Times New Roman" w:hAnsi="Times New Roman"/>
          <w:color w:val="000000"/>
          <w:sz w:val="24"/>
          <w:szCs w:val="24"/>
        </w:rPr>
        <w:t>)</w:t>
      </w:r>
    </w:p>
    <w:p w14:paraId="2BAE8025"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EU-OPENSCREEN</w:t>
      </w:r>
      <w:r w:rsidRPr="00C07278">
        <w:rPr>
          <w:rFonts w:ascii="Times New Roman" w:hAnsi="Times New Roman"/>
          <w:color w:val="000000"/>
          <w:sz w:val="24"/>
          <w:szCs w:val="24"/>
        </w:rPr>
        <w:tab/>
        <w:t>Atvērtā skrīninga platforma ķīmiskajā bioloģijā (</w:t>
      </w:r>
      <w:r w:rsidRPr="00C07278">
        <w:rPr>
          <w:rFonts w:ascii="Times New Roman" w:hAnsi="Times New Roman"/>
          <w:i/>
          <w:color w:val="000000"/>
          <w:sz w:val="24"/>
          <w:szCs w:val="24"/>
          <w:lang w:val="en-US"/>
        </w:rPr>
        <w:t>European Infrastructure of Open Screening Platforms for Chemical Biology</w:t>
      </w:r>
      <w:r w:rsidRPr="00C07278">
        <w:rPr>
          <w:rFonts w:ascii="Times New Roman" w:hAnsi="Times New Roman"/>
          <w:color w:val="000000"/>
          <w:sz w:val="24"/>
          <w:szCs w:val="24"/>
        </w:rPr>
        <w:t>)</w:t>
      </w:r>
    </w:p>
    <w:p w14:paraId="6076E701"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FEI</w:t>
      </w:r>
      <w:r w:rsidRPr="00C07278">
        <w:rPr>
          <w:rFonts w:ascii="Times New Roman" w:hAnsi="Times New Roman"/>
          <w:sz w:val="24"/>
          <w:szCs w:val="24"/>
        </w:rPr>
        <w:tab/>
      </w:r>
      <w:r w:rsidRPr="00C07278">
        <w:rPr>
          <w:rFonts w:ascii="Times New Roman" w:hAnsi="Times New Roman"/>
          <w:sz w:val="24"/>
          <w:szCs w:val="24"/>
        </w:rPr>
        <w:tab/>
        <w:t>Fizikālās enerģētikas institūts</w:t>
      </w:r>
    </w:p>
    <w:p w14:paraId="4C88E9DA"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sz w:val="24"/>
          <w:szCs w:val="24"/>
        </w:rPr>
        <w:t>FM</w:t>
      </w:r>
      <w:r w:rsidRPr="00C07278">
        <w:rPr>
          <w:rFonts w:ascii="Times New Roman" w:hAnsi="Times New Roman"/>
          <w:sz w:val="24"/>
          <w:szCs w:val="24"/>
        </w:rPr>
        <w:tab/>
      </w:r>
      <w:r w:rsidRPr="00C07278">
        <w:rPr>
          <w:rFonts w:ascii="Times New Roman" w:hAnsi="Times New Roman"/>
          <w:sz w:val="24"/>
          <w:szCs w:val="24"/>
        </w:rPr>
        <w:tab/>
      </w:r>
      <w:r w:rsidRPr="00C07278">
        <w:rPr>
          <w:rFonts w:ascii="Times New Roman" w:hAnsi="Times New Roman"/>
          <w:color w:val="000000"/>
          <w:sz w:val="24"/>
          <w:szCs w:val="24"/>
        </w:rPr>
        <w:t>Finanšu ministrija</w:t>
      </w:r>
    </w:p>
    <w:p w14:paraId="3B803DE4"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INSTRUCT</w:t>
      </w:r>
      <w:r w:rsidRPr="00C07278">
        <w:rPr>
          <w:rFonts w:ascii="Times New Roman" w:hAnsi="Times New Roman"/>
          <w:color w:val="000000"/>
          <w:sz w:val="24"/>
          <w:szCs w:val="24"/>
        </w:rPr>
        <w:tab/>
        <w:t>Integrētā strukturālās bioloģijas infrastruktūra (</w:t>
      </w:r>
      <w:r w:rsidRPr="00C07278">
        <w:rPr>
          <w:rFonts w:ascii="Times New Roman" w:hAnsi="Times New Roman"/>
          <w:i/>
          <w:color w:val="000000"/>
          <w:sz w:val="24"/>
          <w:szCs w:val="24"/>
          <w:lang w:val="en-US"/>
        </w:rPr>
        <w:t>An Integrated Structural Biology Infrastructure for Europe</w:t>
      </w:r>
      <w:r w:rsidRPr="00C07278">
        <w:rPr>
          <w:rFonts w:ascii="Times New Roman" w:hAnsi="Times New Roman"/>
          <w:color w:val="000000"/>
          <w:sz w:val="24"/>
          <w:szCs w:val="24"/>
        </w:rPr>
        <w:t>)</w:t>
      </w:r>
    </w:p>
    <w:p w14:paraId="41D32AAC"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IPIA</w:t>
      </w:r>
      <w:r w:rsidRPr="00C07278">
        <w:rPr>
          <w:rFonts w:ascii="Times New Roman" w:hAnsi="Times New Roman"/>
          <w:sz w:val="24"/>
          <w:szCs w:val="24"/>
        </w:rPr>
        <w:tab/>
        <w:t>Ierobežota projektu iesniegumu atlase</w:t>
      </w:r>
    </w:p>
    <w:p w14:paraId="5D18CFF7"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ISMA</w:t>
      </w:r>
      <w:r w:rsidRPr="00C07278">
        <w:rPr>
          <w:rFonts w:ascii="Times New Roman" w:hAnsi="Times New Roman"/>
          <w:sz w:val="24"/>
          <w:szCs w:val="24"/>
        </w:rPr>
        <w:tab/>
        <w:t>Informācijas sistēmu menedžmenta augstskola</w:t>
      </w:r>
    </w:p>
    <w:p w14:paraId="1BEF1B83"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IZM</w:t>
      </w:r>
      <w:r w:rsidRPr="00C07278">
        <w:rPr>
          <w:rFonts w:ascii="Times New Roman" w:hAnsi="Times New Roman"/>
          <w:color w:val="000000"/>
          <w:sz w:val="24"/>
          <w:szCs w:val="24"/>
        </w:rPr>
        <w:tab/>
      </w:r>
      <w:r w:rsidRPr="00C07278">
        <w:rPr>
          <w:rFonts w:ascii="Times New Roman" w:hAnsi="Times New Roman"/>
          <w:sz w:val="24"/>
          <w:szCs w:val="24"/>
        </w:rPr>
        <w:t>Izglītības un zinātnes ministrija</w:t>
      </w:r>
    </w:p>
    <w:p w14:paraId="3EFF2FD4"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 xml:space="preserve">JIVE </w:t>
      </w:r>
      <w:r>
        <w:rPr>
          <w:rFonts w:ascii="Times New Roman" w:hAnsi="Times New Roman"/>
          <w:color w:val="000000"/>
          <w:sz w:val="24"/>
          <w:szCs w:val="24"/>
        </w:rPr>
        <w:tab/>
      </w:r>
      <w:r w:rsidRPr="00564753">
        <w:rPr>
          <w:rFonts w:ascii="Times New Roman" w:hAnsi="Times New Roman"/>
          <w:sz w:val="24"/>
          <w:szCs w:val="24"/>
        </w:rPr>
        <w:t>Ļoti garas bāzes interferometrijas apvienotais institūts</w:t>
      </w:r>
      <w:r>
        <w:rPr>
          <w:rFonts w:ascii="Times New Roman" w:hAnsi="Times New Roman"/>
          <w:sz w:val="24"/>
          <w:szCs w:val="24"/>
        </w:rPr>
        <w:t xml:space="preserve"> (</w:t>
      </w:r>
      <w:r w:rsidRPr="00307830">
        <w:rPr>
          <w:rFonts w:ascii="Times New Roman" w:hAnsi="Times New Roman"/>
          <w:i/>
          <w:sz w:val="24"/>
          <w:szCs w:val="24"/>
        </w:rPr>
        <w:t>Joint Institute for Very Long Baseline Interferometry</w:t>
      </w:r>
      <w:r w:rsidRPr="00307830">
        <w:rPr>
          <w:rFonts w:ascii="Times New Roman" w:hAnsi="Times New Roman"/>
          <w:sz w:val="24"/>
          <w:szCs w:val="24"/>
        </w:rPr>
        <w:t>)</w:t>
      </w:r>
    </w:p>
    <w:p w14:paraId="5EDABD8B" w14:textId="77777777" w:rsidR="00BC08CA" w:rsidRPr="00C07278"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 xml:space="preserve">JVLMA </w:t>
      </w:r>
      <w:r>
        <w:rPr>
          <w:rFonts w:ascii="Times New Roman" w:hAnsi="Times New Roman"/>
          <w:color w:val="000000"/>
          <w:sz w:val="24"/>
          <w:szCs w:val="24"/>
        </w:rPr>
        <w:tab/>
        <w:t>Jāzepa Vītola Latvijas Mūzikas akadēmija</w:t>
      </w:r>
    </w:p>
    <w:p w14:paraId="08A65C0F"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KĶI</w:t>
      </w:r>
      <w:r w:rsidRPr="00C07278">
        <w:rPr>
          <w:rFonts w:ascii="Times New Roman" w:hAnsi="Times New Roman"/>
          <w:sz w:val="24"/>
          <w:szCs w:val="24"/>
        </w:rPr>
        <w:tab/>
        <w:t xml:space="preserve">Latvijas </w:t>
      </w:r>
      <w:r>
        <w:rPr>
          <w:rFonts w:ascii="Times New Roman" w:hAnsi="Times New Roman"/>
          <w:sz w:val="24"/>
          <w:szCs w:val="24"/>
        </w:rPr>
        <w:t>V</w:t>
      </w:r>
      <w:r w:rsidRPr="00C07278">
        <w:rPr>
          <w:rFonts w:ascii="Times New Roman" w:hAnsi="Times New Roman"/>
          <w:sz w:val="24"/>
          <w:szCs w:val="24"/>
        </w:rPr>
        <w:t>alsts Koksnes ķīmijas institūts</w:t>
      </w:r>
    </w:p>
    <w:p w14:paraId="712667C4"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LHEI</w:t>
      </w:r>
      <w:r w:rsidRPr="00C07278">
        <w:rPr>
          <w:rFonts w:ascii="Times New Roman" w:hAnsi="Times New Roman"/>
          <w:sz w:val="24"/>
          <w:szCs w:val="24"/>
        </w:rPr>
        <w:tab/>
        <w:t>Latvijas Hidroekoloģijas institūts</w:t>
      </w:r>
    </w:p>
    <w:p w14:paraId="6967AC82" w14:textId="77777777" w:rsidR="00BC08CA" w:rsidRPr="00550B46" w:rsidRDefault="00BC08CA" w:rsidP="00E7642A">
      <w:pPr>
        <w:ind w:left="2127" w:hanging="2127"/>
        <w:rPr>
          <w:rFonts w:ascii="Times New Roman" w:hAnsi="Times New Roman"/>
          <w:sz w:val="24"/>
          <w:szCs w:val="24"/>
        </w:rPr>
      </w:pPr>
      <w:r w:rsidRPr="00550B46">
        <w:rPr>
          <w:rFonts w:ascii="Times New Roman" w:hAnsi="Times New Roman"/>
          <w:sz w:val="24"/>
          <w:szCs w:val="24"/>
        </w:rPr>
        <w:t>LIAA</w:t>
      </w:r>
      <w:r w:rsidRPr="00550B46">
        <w:rPr>
          <w:rFonts w:ascii="Times New Roman" w:hAnsi="Times New Roman"/>
          <w:sz w:val="24"/>
          <w:szCs w:val="24"/>
        </w:rPr>
        <w:tab/>
        <w:t>Latvijas Investīciju un attīstības aģentūra</w:t>
      </w:r>
    </w:p>
    <w:p w14:paraId="4951DD0E" w14:textId="77777777" w:rsidR="00BC08CA"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LiepU</w:t>
      </w:r>
      <w:r>
        <w:rPr>
          <w:rFonts w:ascii="Times New Roman" w:hAnsi="Times New Roman"/>
          <w:color w:val="000000"/>
          <w:sz w:val="24"/>
          <w:szCs w:val="24"/>
        </w:rPr>
        <w:tab/>
        <w:t>Liepājas Universitāte</w:t>
      </w:r>
    </w:p>
    <w:p w14:paraId="649A3627" w14:textId="77777777" w:rsidR="00BC08CA" w:rsidRDefault="00BC08CA" w:rsidP="00E7642A">
      <w:pPr>
        <w:ind w:left="2127" w:hanging="2127"/>
        <w:rPr>
          <w:rFonts w:ascii="Times New Roman" w:hAnsi="Times New Roman"/>
          <w:sz w:val="24"/>
          <w:szCs w:val="24"/>
        </w:rPr>
      </w:pPr>
      <w:r>
        <w:rPr>
          <w:rFonts w:ascii="Times New Roman" w:hAnsi="Times New Roman"/>
          <w:sz w:val="24"/>
          <w:szCs w:val="24"/>
        </w:rPr>
        <w:t>LLU</w:t>
      </w:r>
      <w:r>
        <w:rPr>
          <w:rFonts w:ascii="Times New Roman" w:hAnsi="Times New Roman"/>
          <w:sz w:val="24"/>
          <w:szCs w:val="24"/>
        </w:rPr>
        <w:tab/>
        <w:t>Latvijas Lauksaimniecības universitāte</w:t>
      </w:r>
    </w:p>
    <w:p w14:paraId="0B1C6EBB" w14:textId="77777777" w:rsidR="00BC08CA"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LMA MVI</w:t>
      </w:r>
      <w:r>
        <w:rPr>
          <w:rFonts w:ascii="Times New Roman" w:hAnsi="Times New Roman"/>
          <w:color w:val="000000"/>
          <w:sz w:val="24"/>
          <w:szCs w:val="24"/>
        </w:rPr>
        <w:tab/>
        <w:t>Latvijas Mākslas akadēmijas Mākslas vēstures institūts</w:t>
      </w:r>
    </w:p>
    <w:p w14:paraId="5CD0B960" w14:textId="77777777" w:rsidR="00BC08CA" w:rsidRDefault="00BC08CA" w:rsidP="00E7642A">
      <w:pPr>
        <w:ind w:left="2127" w:hanging="2127"/>
        <w:rPr>
          <w:rFonts w:ascii="Times New Roman" w:hAnsi="Times New Roman"/>
          <w:sz w:val="24"/>
          <w:szCs w:val="24"/>
        </w:rPr>
      </w:pPr>
      <w:r w:rsidRPr="00C07278">
        <w:rPr>
          <w:rFonts w:ascii="Times New Roman" w:hAnsi="Times New Roman"/>
          <w:sz w:val="24"/>
          <w:szCs w:val="24"/>
        </w:rPr>
        <w:lastRenderedPageBreak/>
        <w:t>LTZI</w:t>
      </w:r>
      <w:r w:rsidRPr="00C07278">
        <w:rPr>
          <w:rFonts w:ascii="Times New Roman" w:hAnsi="Times New Roman"/>
          <w:sz w:val="24"/>
          <w:szCs w:val="24"/>
        </w:rPr>
        <w:tab/>
        <w:t>Latvijas Lauksaimniecības universitātes  aģentūra “Lauksaimniecības tehnikas zinātniskais institūts”</w:t>
      </w:r>
    </w:p>
    <w:p w14:paraId="4E646F9E"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LU BI</w:t>
      </w:r>
      <w:r w:rsidRPr="00C07278">
        <w:rPr>
          <w:rFonts w:ascii="Times New Roman" w:hAnsi="Times New Roman"/>
          <w:sz w:val="24"/>
          <w:szCs w:val="24"/>
        </w:rPr>
        <w:tab/>
        <w:t>Latvijas Universitātes aģentūra “Latvijas Universitātes Bioloģijas institūts”</w:t>
      </w:r>
    </w:p>
    <w:p w14:paraId="7E1ACEC5"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LU CFI</w:t>
      </w:r>
      <w:r w:rsidRPr="00C07278">
        <w:rPr>
          <w:rFonts w:ascii="Times New Roman" w:hAnsi="Times New Roman"/>
          <w:color w:val="000000"/>
          <w:sz w:val="24"/>
          <w:szCs w:val="24"/>
        </w:rPr>
        <w:tab/>
      </w:r>
      <w:r w:rsidRPr="00C07278">
        <w:rPr>
          <w:rFonts w:ascii="Times New Roman" w:hAnsi="Times New Roman"/>
          <w:sz w:val="24"/>
          <w:szCs w:val="24"/>
        </w:rPr>
        <w:t>Latvijas Universitātes Cietvielu fizikas institūts</w:t>
      </w:r>
    </w:p>
    <w:p w14:paraId="657B5B9E"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LU FI</w:t>
      </w:r>
      <w:r w:rsidRPr="00C07278">
        <w:rPr>
          <w:rFonts w:ascii="Times New Roman" w:hAnsi="Times New Roman"/>
          <w:color w:val="000000"/>
          <w:sz w:val="24"/>
          <w:szCs w:val="24"/>
        </w:rPr>
        <w:tab/>
      </w:r>
      <w:r w:rsidRPr="00C07278">
        <w:rPr>
          <w:rFonts w:ascii="Times New Roman" w:hAnsi="Times New Roman"/>
          <w:sz w:val="24"/>
          <w:szCs w:val="24"/>
        </w:rPr>
        <w:t>Latvijas Universitātes aģentūra “Latvijas Universitātes Fizikas institūts”</w:t>
      </w:r>
    </w:p>
    <w:p w14:paraId="4876A692"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LU FSI</w:t>
      </w:r>
      <w:r w:rsidRPr="00C07278">
        <w:rPr>
          <w:rFonts w:ascii="Times New Roman" w:hAnsi="Times New Roman"/>
          <w:sz w:val="24"/>
          <w:szCs w:val="24"/>
        </w:rPr>
        <w:tab/>
        <w:t>Latvijas Universitātes aģentūra “Latvijas Universitātes Filozofijas un socioloģijas institūts”</w:t>
      </w:r>
    </w:p>
    <w:p w14:paraId="0AE117A4"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LU LFMI</w:t>
      </w:r>
      <w:r w:rsidRPr="00C07278">
        <w:rPr>
          <w:rFonts w:ascii="Times New Roman" w:hAnsi="Times New Roman"/>
          <w:sz w:val="24"/>
          <w:szCs w:val="24"/>
        </w:rPr>
        <w:tab/>
        <w:t>Latvijas Universitātes aģentūra “Latvijas Universitātes Literatūras, folkloras un mākslas institūts”</w:t>
      </w:r>
    </w:p>
    <w:p w14:paraId="7854B7EE"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LU LVaI</w:t>
      </w:r>
      <w:r w:rsidRPr="00C07278">
        <w:rPr>
          <w:rFonts w:ascii="Times New Roman" w:hAnsi="Times New Roman"/>
          <w:sz w:val="24"/>
          <w:szCs w:val="24"/>
        </w:rPr>
        <w:tab/>
        <w:t>Latvijas Universitātes aģentūra “Latvijas Universitātes Latviešu valodas institūts”</w:t>
      </w:r>
    </w:p>
    <w:p w14:paraId="65211EFE"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LU LVI</w:t>
      </w:r>
      <w:r w:rsidRPr="00C07278">
        <w:rPr>
          <w:rFonts w:ascii="Times New Roman" w:hAnsi="Times New Roman"/>
          <w:sz w:val="24"/>
          <w:szCs w:val="24"/>
        </w:rPr>
        <w:tab/>
      </w:r>
      <w:r w:rsidRPr="00C07278">
        <w:rPr>
          <w:rFonts w:ascii="Times New Roman" w:hAnsi="Times New Roman"/>
          <w:sz w:val="24"/>
          <w:szCs w:val="24"/>
        </w:rPr>
        <w:tab/>
        <w:t>Latvijas Universitātes aģentūra “Latvijas Universitātes Latvijas vēstures institūts”</w:t>
      </w:r>
    </w:p>
    <w:p w14:paraId="42AEE817"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LU MII</w:t>
      </w:r>
      <w:r w:rsidRPr="00C07278">
        <w:rPr>
          <w:rFonts w:ascii="Times New Roman" w:hAnsi="Times New Roman"/>
          <w:sz w:val="24"/>
          <w:szCs w:val="24"/>
        </w:rPr>
        <w:tab/>
        <w:t>Latvijas Universitātes aģentūra “Latvijas Universitātes Matemātikas un informātikas institūts”</w:t>
      </w:r>
      <w:r w:rsidRPr="00C07278">
        <w:rPr>
          <w:rFonts w:ascii="Times New Roman" w:hAnsi="Times New Roman"/>
          <w:sz w:val="24"/>
          <w:szCs w:val="24"/>
        </w:rPr>
        <w:tab/>
      </w:r>
    </w:p>
    <w:p w14:paraId="4B0A90D3"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LU PMI</w:t>
      </w:r>
      <w:r w:rsidRPr="00C07278">
        <w:rPr>
          <w:rFonts w:ascii="Times New Roman" w:hAnsi="Times New Roman"/>
          <w:sz w:val="24"/>
          <w:szCs w:val="24"/>
        </w:rPr>
        <w:tab/>
      </w:r>
      <w:r w:rsidRPr="00C07278">
        <w:rPr>
          <w:rFonts w:ascii="Times New Roman" w:hAnsi="Times New Roman"/>
          <w:sz w:val="24"/>
          <w:szCs w:val="24"/>
        </w:rPr>
        <w:tab/>
        <w:t>Latvijas Universitātes aģentūra “Latvijas Universitātes Polimēru mehānikas institūts”</w:t>
      </w:r>
    </w:p>
    <w:p w14:paraId="6F62B9A7" w14:textId="77777777" w:rsidR="00BC08CA" w:rsidRDefault="00BC08CA" w:rsidP="00E7642A">
      <w:pPr>
        <w:ind w:left="2127" w:hanging="2127"/>
        <w:rPr>
          <w:rFonts w:ascii="Times New Roman" w:hAnsi="Times New Roman"/>
          <w:sz w:val="24"/>
          <w:szCs w:val="24"/>
        </w:rPr>
      </w:pPr>
      <w:r>
        <w:rPr>
          <w:rFonts w:ascii="Times New Roman" w:hAnsi="Times New Roman"/>
          <w:sz w:val="24"/>
          <w:szCs w:val="24"/>
        </w:rPr>
        <w:t>LU</w:t>
      </w:r>
      <w:r>
        <w:rPr>
          <w:rFonts w:ascii="Times New Roman" w:hAnsi="Times New Roman"/>
          <w:sz w:val="24"/>
          <w:szCs w:val="24"/>
        </w:rPr>
        <w:tab/>
        <w:t>Latvijas Universitāte</w:t>
      </w:r>
    </w:p>
    <w:p w14:paraId="3979350D"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LVAEI</w:t>
      </w:r>
      <w:r w:rsidRPr="00C07278">
        <w:rPr>
          <w:rFonts w:ascii="Times New Roman" w:hAnsi="Times New Roman"/>
          <w:sz w:val="24"/>
          <w:szCs w:val="24"/>
        </w:rPr>
        <w:tab/>
        <w:t>Latvijas Valsts agrārās ekonomikas institūts</w:t>
      </w:r>
    </w:p>
    <w:p w14:paraId="79F51773"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LVAI</w:t>
      </w:r>
      <w:r w:rsidRPr="00C07278">
        <w:rPr>
          <w:rFonts w:ascii="Times New Roman" w:hAnsi="Times New Roman"/>
          <w:sz w:val="24"/>
          <w:szCs w:val="24"/>
        </w:rPr>
        <w:tab/>
        <w:t>Latvijas Valsts augļkopības institūts</w:t>
      </w:r>
    </w:p>
    <w:p w14:paraId="4A918DEA" w14:textId="77777777" w:rsidR="00BC08CA"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MK</w:t>
      </w:r>
      <w:r w:rsidRPr="00C07278">
        <w:rPr>
          <w:rFonts w:ascii="Times New Roman" w:hAnsi="Times New Roman"/>
          <w:color w:val="000000"/>
          <w:sz w:val="24"/>
          <w:szCs w:val="24"/>
        </w:rPr>
        <w:tab/>
        <w:t xml:space="preserve">Ministru kabinets </w:t>
      </w:r>
    </w:p>
    <w:p w14:paraId="4CFE1CA7" w14:textId="77777777" w:rsidR="00BC08CA" w:rsidRPr="00C07278"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NBD</w:t>
      </w:r>
      <w:r>
        <w:rPr>
          <w:rFonts w:ascii="Times New Roman" w:hAnsi="Times New Roman"/>
          <w:color w:val="000000"/>
          <w:sz w:val="24"/>
          <w:szCs w:val="24"/>
        </w:rPr>
        <w:tab/>
        <w:t>Nacionālais Botāniskais dārzs</w:t>
      </w:r>
    </w:p>
    <w:p w14:paraId="4B9E19EB"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OSI</w:t>
      </w:r>
      <w:r w:rsidRPr="00C07278">
        <w:rPr>
          <w:rFonts w:ascii="Times New Roman" w:hAnsi="Times New Roman"/>
          <w:sz w:val="24"/>
          <w:szCs w:val="24"/>
        </w:rPr>
        <w:tab/>
        <w:t>Latvijas Organiskās sintēzes institūts</w:t>
      </w:r>
    </w:p>
    <w:p w14:paraId="0B5531C1"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PDPC</w:t>
      </w:r>
      <w:r w:rsidRPr="00C07278">
        <w:rPr>
          <w:rFonts w:ascii="Times New Roman" w:hAnsi="Times New Roman"/>
          <w:color w:val="000000"/>
          <w:sz w:val="24"/>
          <w:szCs w:val="24"/>
        </w:rPr>
        <w:tab/>
        <w:t>SIA “Pūres Dārzkopības pētījumu centrs”</w:t>
      </w:r>
    </w:p>
    <w:p w14:paraId="5E62635F"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PLE</w:t>
      </w:r>
      <w:r w:rsidRPr="00C07278">
        <w:rPr>
          <w:rFonts w:ascii="Times New Roman" w:hAnsi="Times New Roman"/>
          <w:color w:val="000000"/>
          <w:sz w:val="24"/>
          <w:szCs w:val="24"/>
        </w:rPr>
        <w:tab/>
      </w:r>
      <w:r w:rsidRPr="00C07278">
        <w:rPr>
          <w:rFonts w:ascii="Times New Roman" w:hAnsi="Times New Roman"/>
          <w:sz w:val="24"/>
          <w:szCs w:val="24"/>
        </w:rPr>
        <w:t>Pilna darba laika ekvivalents</w:t>
      </w:r>
    </w:p>
    <w:p w14:paraId="7F8B1E6E"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PO</w:t>
      </w:r>
      <w:r w:rsidRPr="00C07278">
        <w:rPr>
          <w:rFonts w:ascii="Times New Roman" w:hAnsi="Times New Roman"/>
          <w:color w:val="000000"/>
          <w:sz w:val="24"/>
          <w:szCs w:val="24"/>
        </w:rPr>
        <w:tab/>
        <w:t>Pētniecības organizācija</w:t>
      </w:r>
    </w:p>
    <w:p w14:paraId="171B69E2" w14:textId="4E9D966E" w:rsidR="00BC08CA" w:rsidRPr="00C07278" w:rsidRDefault="00BC08CA" w:rsidP="00E7642A">
      <w:pPr>
        <w:ind w:left="2127" w:hanging="2127"/>
        <w:rPr>
          <w:rFonts w:ascii="Times New Roman" w:hAnsi="Times New Roman"/>
          <w:sz w:val="24"/>
          <w:szCs w:val="24"/>
        </w:rPr>
      </w:pPr>
      <w:r>
        <w:rPr>
          <w:rFonts w:ascii="Times New Roman" w:hAnsi="Times New Roman"/>
          <w:sz w:val="24"/>
          <w:szCs w:val="24"/>
        </w:rPr>
        <w:t>PSKUS</w:t>
      </w:r>
      <w:r>
        <w:rPr>
          <w:rFonts w:ascii="Times New Roman" w:hAnsi="Times New Roman"/>
          <w:sz w:val="24"/>
          <w:szCs w:val="24"/>
        </w:rPr>
        <w:tab/>
      </w:r>
      <w:r w:rsidR="0038404D">
        <w:rPr>
          <w:rFonts w:ascii="Times New Roman" w:hAnsi="Times New Roman"/>
          <w:sz w:val="24"/>
          <w:szCs w:val="24"/>
        </w:rPr>
        <w:t xml:space="preserve">Paula </w:t>
      </w:r>
      <w:r>
        <w:rPr>
          <w:rFonts w:ascii="Times New Roman" w:hAnsi="Times New Roman"/>
          <w:sz w:val="24"/>
          <w:szCs w:val="24"/>
        </w:rPr>
        <w:t>Stradiņa klīniskā universitātes slimnīca</w:t>
      </w:r>
    </w:p>
    <w:p w14:paraId="11B9C9C3" w14:textId="77777777" w:rsidR="00BC08CA"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RPIVA</w:t>
      </w:r>
      <w:r>
        <w:rPr>
          <w:rFonts w:ascii="Times New Roman" w:hAnsi="Times New Roman"/>
          <w:color w:val="000000"/>
          <w:sz w:val="24"/>
          <w:szCs w:val="24"/>
        </w:rPr>
        <w:tab/>
        <w:t>Rīgas Pedagoģijas un izglītības vadības akadēmija</w:t>
      </w:r>
    </w:p>
    <w:p w14:paraId="1F7DFC55" w14:textId="77777777" w:rsidR="00BC08CA" w:rsidRDefault="00BC08CA" w:rsidP="00E7642A">
      <w:pPr>
        <w:ind w:left="2127" w:hanging="2127"/>
        <w:rPr>
          <w:rFonts w:ascii="Times New Roman" w:hAnsi="Times New Roman"/>
          <w:sz w:val="24"/>
          <w:szCs w:val="24"/>
        </w:rPr>
      </w:pPr>
      <w:r>
        <w:rPr>
          <w:rFonts w:ascii="Times New Roman" w:hAnsi="Times New Roman"/>
          <w:sz w:val="24"/>
          <w:szCs w:val="24"/>
        </w:rPr>
        <w:t>RSU</w:t>
      </w:r>
      <w:r>
        <w:rPr>
          <w:rFonts w:ascii="Times New Roman" w:hAnsi="Times New Roman"/>
          <w:sz w:val="24"/>
          <w:szCs w:val="24"/>
        </w:rPr>
        <w:tab/>
        <w:t>Rīgas Stradiņa universitāte</w:t>
      </w:r>
    </w:p>
    <w:p w14:paraId="3F460F16" w14:textId="77777777" w:rsidR="00BC08CA"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RTA</w:t>
      </w:r>
      <w:r>
        <w:rPr>
          <w:rFonts w:ascii="Times New Roman" w:hAnsi="Times New Roman"/>
          <w:color w:val="000000"/>
          <w:sz w:val="24"/>
          <w:szCs w:val="24"/>
        </w:rPr>
        <w:tab/>
        <w:t>Rēzeknes Tehnoloģiju akadēmija</w:t>
      </w:r>
    </w:p>
    <w:p w14:paraId="7DBDA065"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RTU NĶI</w:t>
      </w:r>
      <w:r w:rsidRPr="00C07278">
        <w:rPr>
          <w:rFonts w:ascii="Times New Roman" w:hAnsi="Times New Roman"/>
          <w:color w:val="000000"/>
          <w:sz w:val="24"/>
          <w:szCs w:val="24"/>
        </w:rPr>
        <w:tab/>
        <w:t>Rīgas Tehniskās universitātes aģentūrā “Rīgas Tehniskās universitātes Neorganiskās sintēzes institūts”</w:t>
      </w:r>
    </w:p>
    <w:p w14:paraId="6EBF47FC" w14:textId="77777777" w:rsidR="00BC08CA" w:rsidRDefault="00BC08CA" w:rsidP="00E7642A">
      <w:pPr>
        <w:ind w:left="2127" w:hanging="2127"/>
        <w:rPr>
          <w:rFonts w:ascii="Times New Roman" w:hAnsi="Times New Roman"/>
          <w:sz w:val="24"/>
          <w:szCs w:val="24"/>
        </w:rPr>
      </w:pPr>
      <w:r>
        <w:rPr>
          <w:rFonts w:ascii="Times New Roman" w:hAnsi="Times New Roman"/>
          <w:sz w:val="24"/>
          <w:szCs w:val="24"/>
        </w:rPr>
        <w:t>RTU</w:t>
      </w:r>
      <w:r>
        <w:rPr>
          <w:rFonts w:ascii="Times New Roman" w:hAnsi="Times New Roman"/>
          <w:sz w:val="24"/>
          <w:szCs w:val="24"/>
        </w:rPr>
        <w:tab/>
        <w:t>Rīgas Tehniskā universitāte</w:t>
      </w:r>
    </w:p>
    <w:p w14:paraId="3B399425"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SAM</w:t>
      </w:r>
      <w:r w:rsidRPr="00C07278">
        <w:rPr>
          <w:rFonts w:ascii="Times New Roman" w:hAnsi="Times New Roman"/>
          <w:color w:val="000000"/>
          <w:sz w:val="24"/>
          <w:szCs w:val="24"/>
        </w:rPr>
        <w:tab/>
        <w:t>Specifiskais atbalsta mērķis</w:t>
      </w:r>
    </w:p>
    <w:p w14:paraId="2AF52430"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Silava</w:t>
      </w:r>
      <w:r w:rsidRPr="00C07278">
        <w:rPr>
          <w:rFonts w:ascii="Times New Roman" w:hAnsi="Times New Roman"/>
          <w:sz w:val="24"/>
          <w:szCs w:val="24"/>
        </w:rPr>
        <w:tab/>
        <w:t>Latvijas valsts Mežzinātnes institūts "Silava"</w:t>
      </w:r>
    </w:p>
    <w:p w14:paraId="197A09A0" w14:textId="77777777" w:rsidR="00BC08CA"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TSI</w:t>
      </w:r>
      <w:r>
        <w:rPr>
          <w:rFonts w:ascii="Times New Roman" w:hAnsi="Times New Roman"/>
          <w:color w:val="000000"/>
          <w:sz w:val="24"/>
          <w:szCs w:val="24"/>
        </w:rPr>
        <w:tab/>
        <w:t>Transporta un sakaru institūts</w:t>
      </w:r>
    </w:p>
    <w:p w14:paraId="79CFFDD6" w14:textId="77777777" w:rsidR="00BC08CA" w:rsidRDefault="00BC08CA" w:rsidP="00E7642A">
      <w:pPr>
        <w:ind w:left="2127" w:hanging="2127"/>
        <w:rPr>
          <w:rFonts w:ascii="Times New Roman" w:hAnsi="Times New Roman"/>
          <w:color w:val="000000"/>
          <w:sz w:val="24"/>
          <w:szCs w:val="24"/>
        </w:rPr>
      </w:pPr>
      <w:r w:rsidRPr="006638C6">
        <w:rPr>
          <w:rFonts w:ascii="Times New Roman" w:hAnsi="Times New Roman"/>
          <w:color w:val="000000"/>
          <w:sz w:val="24"/>
          <w:szCs w:val="24"/>
        </w:rPr>
        <w:t xml:space="preserve">VeA IZZI VSRC </w:t>
      </w:r>
      <w:r w:rsidRPr="006638C6">
        <w:rPr>
          <w:rFonts w:ascii="Times New Roman" w:hAnsi="Times New Roman"/>
          <w:color w:val="000000"/>
          <w:sz w:val="24"/>
          <w:szCs w:val="24"/>
        </w:rPr>
        <w:tab/>
        <w:t>Ventspils Augstskolas Inženierzinātņu institūts “Ventspils Starptautiskais radioastronomijas centrs”</w:t>
      </w:r>
    </w:p>
    <w:p w14:paraId="3B49FC38" w14:textId="77777777" w:rsidR="00BC08CA" w:rsidRDefault="00BC08CA" w:rsidP="00E7642A">
      <w:pPr>
        <w:ind w:left="2127" w:hanging="2127"/>
        <w:rPr>
          <w:rFonts w:ascii="Times New Roman" w:hAnsi="Times New Roman"/>
          <w:color w:val="000000"/>
          <w:sz w:val="24"/>
          <w:szCs w:val="24"/>
        </w:rPr>
      </w:pPr>
      <w:r>
        <w:rPr>
          <w:rFonts w:ascii="Times New Roman" w:hAnsi="Times New Roman"/>
          <w:color w:val="000000"/>
          <w:sz w:val="24"/>
          <w:szCs w:val="24"/>
        </w:rPr>
        <w:t>VeA</w:t>
      </w:r>
      <w:r>
        <w:rPr>
          <w:rFonts w:ascii="Times New Roman" w:hAnsi="Times New Roman"/>
          <w:color w:val="000000"/>
          <w:sz w:val="24"/>
          <w:szCs w:val="24"/>
        </w:rPr>
        <w:tab/>
        <w:t>Ventspils Augstskola</w:t>
      </w:r>
    </w:p>
    <w:p w14:paraId="205DC564"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ViA SSII</w:t>
      </w:r>
      <w:r w:rsidRPr="00C07278">
        <w:rPr>
          <w:rFonts w:ascii="Times New Roman" w:hAnsi="Times New Roman"/>
          <w:color w:val="000000"/>
          <w:sz w:val="24"/>
          <w:szCs w:val="24"/>
        </w:rPr>
        <w:tab/>
        <w:t>Vidzemes augstskolas aģentūra "Sociotehnisko sistēmu inženierijas institūts"</w:t>
      </w:r>
    </w:p>
    <w:p w14:paraId="486A4706"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color w:val="000000"/>
          <w:sz w:val="24"/>
          <w:szCs w:val="24"/>
        </w:rPr>
        <w:t>VIAA</w:t>
      </w:r>
      <w:r w:rsidRPr="00C07278">
        <w:rPr>
          <w:rFonts w:ascii="Times New Roman" w:hAnsi="Times New Roman"/>
          <w:color w:val="000000"/>
          <w:sz w:val="24"/>
          <w:szCs w:val="24"/>
        </w:rPr>
        <w:tab/>
        <w:t>Valsts izglītības attīstības aģentūra</w:t>
      </w:r>
    </w:p>
    <w:p w14:paraId="303385C6"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VNPC</w:t>
      </w:r>
      <w:r w:rsidRPr="00C07278">
        <w:rPr>
          <w:rFonts w:ascii="Times New Roman" w:hAnsi="Times New Roman"/>
          <w:color w:val="000000"/>
          <w:sz w:val="24"/>
          <w:szCs w:val="24"/>
        </w:rPr>
        <w:tab/>
        <w:t>Valsts nozīmes pētniecības centrs</w:t>
      </w:r>
    </w:p>
    <w:p w14:paraId="439FD98B"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VPLSI</w:t>
      </w:r>
      <w:r w:rsidRPr="00C07278">
        <w:rPr>
          <w:rFonts w:ascii="Times New Roman" w:hAnsi="Times New Roman"/>
          <w:sz w:val="24"/>
          <w:szCs w:val="24"/>
        </w:rPr>
        <w:tab/>
        <w:t>Valsts Priekuļu laukaugu selekcijas institūts</w:t>
      </w:r>
    </w:p>
    <w:p w14:paraId="66697073" w14:textId="77777777" w:rsidR="00BC08CA" w:rsidRPr="00C07278" w:rsidRDefault="00BC08CA" w:rsidP="00E7642A">
      <w:pPr>
        <w:ind w:left="2127" w:hanging="2127"/>
        <w:rPr>
          <w:rFonts w:ascii="Times New Roman" w:hAnsi="Times New Roman"/>
          <w:sz w:val="24"/>
          <w:szCs w:val="24"/>
        </w:rPr>
      </w:pPr>
      <w:r w:rsidRPr="00C07278">
        <w:rPr>
          <w:rFonts w:ascii="Times New Roman" w:hAnsi="Times New Roman"/>
          <w:sz w:val="24"/>
          <w:szCs w:val="24"/>
        </w:rPr>
        <w:t>VSGSI</w:t>
      </w:r>
      <w:r w:rsidRPr="00C07278">
        <w:rPr>
          <w:rFonts w:ascii="Times New Roman" w:hAnsi="Times New Roman"/>
          <w:sz w:val="24"/>
          <w:szCs w:val="24"/>
        </w:rPr>
        <w:tab/>
        <w:t>Valsts Stendes graudaugu selekcijas institūts</w:t>
      </w:r>
    </w:p>
    <w:p w14:paraId="760BEC80" w14:textId="77777777" w:rsidR="00BC08CA" w:rsidRPr="00C07278" w:rsidRDefault="00BC08CA" w:rsidP="00E7642A">
      <w:pPr>
        <w:ind w:left="2127" w:hanging="2127"/>
        <w:rPr>
          <w:rFonts w:ascii="Times New Roman" w:hAnsi="Times New Roman"/>
          <w:color w:val="000000"/>
          <w:sz w:val="24"/>
          <w:szCs w:val="24"/>
        </w:rPr>
      </w:pPr>
      <w:r w:rsidRPr="00C07278">
        <w:rPr>
          <w:rFonts w:ascii="Times New Roman" w:hAnsi="Times New Roman"/>
          <w:color w:val="000000"/>
          <w:sz w:val="24"/>
          <w:szCs w:val="24"/>
        </w:rPr>
        <w:t>ZIR</w:t>
      </w:r>
      <w:r w:rsidRPr="00C07278">
        <w:rPr>
          <w:rFonts w:ascii="Times New Roman" w:hAnsi="Times New Roman"/>
          <w:color w:val="000000"/>
          <w:sz w:val="24"/>
          <w:szCs w:val="24"/>
        </w:rPr>
        <w:tab/>
        <w:t>Zinātnisko institūciju reģistrs</w:t>
      </w:r>
    </w:p>
    <w:p w14:paraId="427CECF3" w14:textId="77777777" w:rsidR="00BC08CA" w:rsidRDefault="00BC08CA" w:rsidP="00E7642A">
      <w:pPr>
        <w:ind w:left="2127" w:hanging="2127"/>
      </w:pPr>
      <w:r w:rsidRPr="00C07278">
        <w:rPr>
          <w:rFonts w:ascii="Times New Roman" w:hAnsi="Times New Roman"/>
          <w:color w:val="000000"/>
          <w:sz w:val="24"/>
          <w:szCs w:val="24"/>
        </w:rPr>
        <w:t>ZZI</w:t>
      </w:r>
      <w:r w:rsidRPr="00C07278">
        <w:rPr>
          <w:rFonts w:ascii="Times New Roman" w:hAnsi="Times New Roman"/>
          <w:color w:val="000000"/>
          <w:sz w:val="24"/>
          <w:szCs w:val="24"/>
        </w:rPr>
        <w:tab/>
      </w:r>
      <w:hyperlink r:id="rId9" w:history="1">
        <w:r w:rsidRPr="00C07278">
          <w:rPr>
            <w:rFonts w:ascii="Times New Roman" w:hAnsi="Times New Roman"/>
            <w:color w:val="000000"/>
            <w:sz w:val="24"/>
            <w:szCs w:val="24"/>
          </w:rPr>
          <w:t>Latvijas Lauksaimniecības universitātes aģentūra “Zemkopības zinātniskais institūts”</w:t>
        </w:r>
      </w:hyperlink>
      <w:r>
        <w:br w:type="page"/>
      </w:r>
    </w:p>
    <w:p w14:paraId="4D9B0942" w14:textId="77777777" w:rsidR="003523F8" w:rsidRPr="00C07278" w:rsidRDefault="003523F8" w:rsidP="00E7642A">
      <w:pPr>
        <w:pStyle w:val="Heading1"/>
        <w:spacing w:before="120" w:after="120"/>
        <w:jc w:val="center"/>
        <w:rPr>
          <w:rFonts w:ascii="Times New Roman" w:hAnsi="Times New Roman"/>
          <w:color w:val="auto"/>
          <w:sz w:val="24"/>
          <w:szCs w:val="24"/>
        </w:rPr>
      </w:pPr>
      <w:bookmarkStart w:id="3" w:name="_Toc458673267"/>
      <w:r w:rsidRPr="00C07278">
        <w:rPr>
          <w:rFonts w:ascii="Times New Roman" w:hAnsi="Times New Roman"/>
          <w:color w:val="auto"/>
          <w:sz w:val="24"/>
          <w:szCs w:val="24"/>
        </w:rPr>
        <w:lastRenderedPageBreak/>
        <w:t>Ievads</w:t>
      </w:r>
      <w:bookmarkEnd w:id="3"/>
    </w:p>
    <w:p w14:paraId="4FBF00CB" w14:textId="77777777" w:rsidR="00BA02E6" w:rsidRPr="002678BB" w:rsidRDefault="00BA02E6" w:rsidP="00E7642A">
      <w:pPr>
        <w:pStyle w:val="Header"/>
        <w:spacing w:after="0" w:line="240" w:lineRule="auto"/>
        <w:ind w:firstLine="567"/>
        <w:jc w:val="both"/>
        <w:rPr>
          <w:rFonts w:ascii="Times New Roman" w:hAnsi="Times New Roman"/>
          <w:sz w:val="24"/>
          <w:szCs w:val="24"/>
          <w:lang w:val="lv-LV"/>
        </w:rPr>
      </w:pPr>
      <w:r w:rsidRPr="00C07278">
        <w:rPr>
          <w:rFonts w:ascii="Times New Roman" w:hAnsi="Times New Roman"/>
          <w:sz w:val="24"/>
          <w:szCs w:val="24"/>
          <w:lang w:val="lv-LV"/>
        </w:rPr>
        <w:t>Informatīvā ziņojuma mērķis ir informēt Ministru kabinetu par ES struktūrfondu 2004.</w:t>
      </w:r>
      <w:r w:rsidR="00D00E6D" w:rsidRPr="00D00E6D">
        <w:rPr>
          <w:rFonts w:ascii="Times New Roman" w:hAnsi="Times New Roman"/>
          <w:sz w:val="24"/>
          <w:szCs w:val="24"/>
          <w:lang w:val="lv-LV"/>
        </w:rPr>
        <w:t xml:space="preserve"> </w:t>
      </w:r>
      <w:r w:rsidR="00D00E6D" w:rsidRPr="002678BB">
        <w:rPr>
          <w:rFonts w:ascii="Times New Roman" w:hAnsi="Times New Roman"/>
          <w:sz w:val="24"/>
          <w:szCs w:val="24"/>
          <w:lang w:val="lv-LV"/>
        </w:rPr>
        <w:t xml:space="preserve">– </w:t>
      </w:r>
      <w:r w:rsidRPr="00C07278">
        <w:rPr>
          <w:rFonts w:ascii="Times New Roman" w:hAnsi="Times New Roman"/>
          <w:sz w:val="24"/>
          <w:szCs w:val="24"/>
          <w:lang w:val="lv-LV"/>
        </w:rPr>
        <w:t>2006. gada un 2007.</w:t>
      </w:r>
      <w:r w:rsidR="00D00E6D">
        <w:rPr>
          <w:rFonts w:ascii="Times New Roman" w:hAnsi="Times New Roman"/>
          <w:sz w:val="24"/>
          <w:szCs w:val="24"/>
          <w:lang w:val="lv-LV"/>
        </w:rPr>
        <w:t> </w:t>
      </w:r>
      <w:r w:rsidR="00D00E6D" w:rsidRPr="002678BB">
        <w:rPr>
          <w:rFonts w:ascii="Times New Roman" w:hAnsi="Times New Roman"/>
          <w:sz w:val="24"/>
          <w:szCs w:val="24"/>
          <w:lang w:val="lv-LV"/>
        </w:rPr>
        <w:t>–</w:t>
      </w:r>
      <w:r w:rsidR="00D00E6D">
        <w:rPr>
          <w:rFonts w:ascii="Times New Roman" w:hAnsi="Times New Roman"/>
          <w:sz w:val="24"/>
          <w:szCs w:val="24"/>
          <w:lang w:val="lv-LV"/>
        </w:rPr>
        <w:t> </w:t>
      </w:r>
      <w:r w:rsidRPr="00C07278">
        <w:rPr>
          <w:rFonts w:ascii="Times New Roman" w:hAnsi="Times New Roman"/>
          <w:sz w:val="24"/>
          <w:szCs w:val="24"/>
          <w:lang w:val="lv-LV"/>
        </w:rPr>
        <w:t>2013.</w:t>
      </w:r>
      <w:r w:rsidR="008B1832" w:rsidRPr="008B1832">
        <w:rPr>
          <w:rFonts w:ascii="Times New Roman" w:hAnsi="Times New Roman"/>
          <w:sz w:val="24"/>
          <w:szCs w:val="24"/>
          <w:lang w:val="lv-LV"/>
        </w:rPr>
        <w:t> </w:t>
      </w:r>
      <w:r w:rsidRPr="00C07278">
        <w:rPr>
          <w:rFonts w:ascii="Times New Roman" w:hAnsi="Times New Roman"/>
          <w:sz w:val="24"/>
          <w:szCs w:val="24"/>
          <w:lang w:val="lv-LV"/>
        </w:rPr>
        <w:t>gada plānošanas perioda ietvaros</w:t>
      </w:r>
      <w:r w:rsidR="006C1AFD" w:rsidRPr="00C07278">
        <w:rPr>
          <w:rFonts w:ascii="Times New Roman" w:hAnsi="Times New Roman"/>
          <w:sz w:val="24"/>
          <w:szCs w:val="24"/>
          <w:lang w:val="lv-LV"/>
        </w:rPr>
        <w:t xml:space="preserve"> pilnveidoto un modernizēto pētniecības un attīstības infrastruktūru un sniegt priekšlikumus </w:t>
      </w:r>
      <w:r w:rsidRPr="00C07278">
        <w:rPr>
          <w:rFonts w:ascii="Times New Roman" w:hAnsi="Times New Roman"/>
          <w:sz w:val="24"/>
          <w:szCs w:val="24"/>
          <w:lang w:val="lv-LV"/>
        </w:rPr>
        <w:t>SAM 1.1.1. “</w:t>
      </w:r>
      <w:r w:rsidRPr="00511CD3">
        <w:rPr>
          <w:rFonts w:ascii="Times New Roman" w:hAnsi="Times New Roman"/>
          <w:i/>
          <w:sz w:val="24"/>
          <w:szCs w:val="24"/>
          <w:lang w:val="lv-LV"/>
        </w:rPr>
        <w:t>Palielināt Latvijas zinātnisko institūciju pētniecisko un inovatīvo kapacitāti un spēju piesaistīt ārējo finansējumu, ieguldot cilvēkresursos un infrastruktūrā</w:t>
      </w:r>
      <w:r w:rsidRPr="00C07278">
        <w:rPr>
          <w:rFonts w:ascii="Times New Roman" w:hAnsi="Times New Roman"/>
          <w:sz w:val="24"/>
          <w:szCs w:val="24"/>
          <w:lang w:val="lv-LV"/>
        </w:rPr>
        <w:t>” ietvaros plānotā 1.1.1.4.</w:t>
      </w:r>
      <w:r w:rsidR="008E6B76">
        <w:rPr>
          <w:rFonts w:ascii="Times New Roman" w:hAnsi="Times New Roman"/>
          <w:sz w:val="24"/>
          <w:szCs w:val="24"/>
          <w:lang w:val="lv-LV"/>
        </w:rPr>
        <w:t xml:space="preserve"> </w:t>
      </w:r>
      <w:r w:rsidRPr="00C07278">
        <w:rPr>
          <w:rFonts w:ascii="Times New Roman" w:hAnsi="Times New Roman"/>
          <w:sz w:val="24"/>
          <w:szCs w:val="24"/>
          <w:lang w:val="lv-LV"/>
        </w:rPr>
        <w:t>pasākuma “</w:t>
      </w:r>
      <w:r w:rsidRPr="00511CD3">
        <w:rPr>
          <w:rFonts w:ascii="Times New Roman" w:hAnsi="Times New Roman"/>
          <w:i/>
          <w:sz w:val="24"/>
          <w:szCs w:val="24"/>
          <w:lang w:val="lv-LV"/>
        </w:rPr>
        <w:t xml:space="preserve">P&amp;A infrastruktūras attīstīšana Viedās specializācijas jomās un zinātnisko institūciju institucionālās </w:t>
      </w:r>
      <w:r w:rsidRPr="002678BB">
        <w:rPr>
          <w:rFonts w:ascii="Times New Roman" w:hAnsi="Times New Roman"/>
          <w:i/>
          <w:sz w:val="24"/>
          <w:szCs w:val="24"/>
          <w:lang w:val="lv-LV"/>
        </w:rPr>
        <w:t>kapacitātes stiprināšana</w:t>
      </w:r>
      <w:r w:rsidRPr="002678BB">
        <w:rPr>
          <w:rFonts w:ascii="Times New Roman" w:hAnsi="Times New Roman"/>
          <w:sz w:val="24"/>
          <w:szCs w:val="24"/>
          <w:lang w:val="lv-LV"/>
        </w:rPr>
        <w:t>” ieviešanas nosacījumu izstrādei.</w:t>
      </w:r>
    </w:p>
    <w:p w14:paraId="6D8E4116" w14:textId="7A03166D" w:rsidR="001A3ED4" w:rsidRPr="00E0256A" w:rsidRDefault="001A3ED4" w:rsidP="00E7642A">
      <w:pPr>
        <w:pStyle w:val="Header"/>
        <w:spacing w:after="0" w:line="240" w:lineRule="auto"/>
        <w:ind w:firstLine="567"/>
        <w:jc w:val="both"/>
        <w:rPr>
          <w:rFonts w:ascii="Times New Roman" w:hAnsi="Times New Roman"/>
          <w:sz w:val="24"/>
          <w:szCs w:val="24"/>
          <w:lang w:val="lv-LV"/>
        </w:rPr>
      </w:pPr>
      <w:r w:rsidRPr="002678BB">
        <w:rPr>
          <w:rFonts w:ascii="Times New Roman" w:hAnsi="Times New Roman"/>
          <w:sz w:val="24"/>
          <w:szCs w:val="24"/>
          <w:lang w:val="lv-LV"/>
        </w:rPr>
        <w:t xml:space="preserve">Saskaņā ar </w:t>
      </w:r>
      <w:r w:rsidR="002678BB" w:rsidRPr="002678BB">
        <w:rPr>
          <w:rFonts w:ascii="Times New Roman" w:hAnsi="Times New Roman"/>
          <w:sz w:val="24"/>
          <w:szCs w:val="24"/>
          <w:lang w:val="lv-LV"/>
        </w:rPr>
        <w:t>Komisijas 2014. gada 17. jūnija Regulas (ES) Nr.</w:t>
      </w:r>
      <w:r w:rsidR="002678BB" w:rsidRPr="002678BB">
        <w:rPr>
          <w:rStyle w:val="apple-converted-space"/>
          <w:rFonts w:ascii="Times New Roman" w:hAnsi="Times New Roman"/>
          <w:sz w:val="24"/>
          <w:szCs w:val="24"/>
          <w:lang w:val="lv-LV"/>
        </w:rPr>
        <w:t> </w:t>
      </w:r>
      <w:hyperlink r:id="rId10" w:tgtFrame="_blank" w:history="1">
        <w:r w:rsidR="002678BB" w:rsidRPr="002678BB">
          <w:rPr>
            <w:rStyle w:val="Hyperlink"/>
            <w:rFonts w:ascii="Times New Roman" w:hAnsi="Times New Roman"/>
            <w:color w:val="auto"/>
            <w:sz w:val="24"/>
            <w:szCs w:val="24"/>
            <w:u w:val="none"/>
            <w:lang w:val="lv-LV"/>
          </w:rPr>
          <w:t>651/2014</w:t>
        </w:r>
      </w:hyperlink>
      <w:r w:rsidR="002678BB" w:rsidRPr="002678BB">
        <w:rPr>
          <w:rFonts w:ascii="Times New Roman" w:hAnsi="Times New Roman"/>
          <w:sz w:val="24"/>
          <w:szCs w:val="24"/>
          <w:lang w:val="lv-LV"/>
        </w:rPr>
        <w:t>, ar ko noteiktas atbalsta kategorijas atzīst par saderīgām ar iekšējo tirgu, piemērojot Līguma 107. un 108. pantu (Eiropas Savienības Oficiālais Vēstnesis, 2014. gada 26. jūnijs, Nr. L 187) (turpmāk – Komisijas regula Nr.</w:t>
      </w:r>
      <w:r w:rsidR="002678BB" w:rsidRPr="002678BB">
        <w:rPr>
          <w:rStyle w:val="apple-converted-space"/>
          <w:rFonts w:ascii="Times New Roman" w:hAnsi="Times New Roman"/>
          <w:sz w:val="24"/>
          <w:szCs w:val="24"/>
          <w:lang w:val="lv-LV"/>
        </w:rPr>
        <w:t> </w:t>
      </w:r>
      <w:hyperlink r:id="rId11" w:tgtFrame="_blank" w:history="1">
        <w:r w:rsidR="00566937" w:rsidRPr="002678BB">
          <w:rPr>
            <w:rStyle w:val="Hyperlink"/>
            <w:rFonts w:ascii="Times New Roman" w:hAnsi="Times New Roman"/>
            <w:color w:val="auto"/>
            <w:sz w:val="24"/>
            <w:szCs w:val="24"/>
            <w:u w:val="none"/>
            <w:lang w:val="lv-LV"/>
          </w:rPr>
          <w:t>651/2014</w:t>
        </w:r>
      </w:hyperlink>
      <w:r w:rsidR="002678BB" w:rsidRPr="002678BB">
        <w:rPr>
          <w:rFonts w:ascii="Times New Roman" w:hAnsi="Times New Roman"/>
          <w:sz w:val="24"/>
          <w:szCs w:val="24"/>
          <w:lang w:val="lv-LV"/>
        </w:rPr>
        <w:t>)</w:t>
      </w:r>
      <w:r w:rsidR="002678BB">
        <w:rPr>
          <w:rFonts w:ascii="Times New Roman" w:hAnsi="Times New Roman"/>
          <w:sz w:val="24"/>
          <w:szCs w:val="24"/>
          <w:lang w:val="lv-LV"/>
        </w:rPr>
        <w:t xml:space="preserve"> </w:t>
      </w:r>
      <w:r w:rsidR="002678BB" w:rsidRPr="002678BB">
        <w:rPr>
          <w:rFonts w:ascii="Times New Roman" w:hAnsi="Times New Roman"/>
          <w:sz w:val="24"/>
          <w:szCs w:val="24"/>
          <w:lang w:val="lv-LV"/>
        </w:rPr>
        <w:t>2.</w:t>
      </w:r>
      <w:r w:rsidR="008B1832" w:rsidRPr="00F66097">
        <w:rPr>
          <w:rFonts w:ascii="Times New Roman" w:hAnsi="Times New Roman"/>
          <w:sz w:val="24"/>
          <w:szCs w:val="24"/>
          <w:lang w:val="lv-LV"/>
        </w:rPr>
        <w:t> </w:t>
      </w:r>
      <w:r w:rsidR="002678BB" w:rsidRPr="002678BB">
        <w:rPr>
          <w:rFonts w:ascii="Times New Roman" w:hAnsi="Times New Roman"/>
          <w:sz w:val="24"/>
          <w:szCs w:val="24"/>
          <w:lang w:val="lv-LV"/>
        </w:rPr>
        <w:t>panta 91.</w:t>
      </w:r>
      <w:r w:rsidR="008B1832" w:rsidRPr="00F66097">
        <w:rPr>
          <w:rFonts w:ascii="Times New Roman" w:hAnsi="Times New Roman"/>
          <w:sz w:val="24"/>
          <w:szCs w:val="24"/>
          <w:lang w:val="lv-LV"/>
        </w:rPr>
        <w:t> </w:t>
      </w:r>
      <w:r w:rsidR="002678BB" w:rsidRPr="002678BB">
        <w:rPr>
          <w:rFonts w:ascii="Times New Roman" w:hAnsi="Times New Roman"/>
          <w:sz w:val="24"/>
          <w:szCs w:val="24"/>
          <w:lang w:val="lv-LV"/>
        </w:rPr>
        <w:t xml:space="preserve">punktu </w:t>
      </w:r>
      <w:r w:rsidRPr="002678BB">
        <w:rPr>
          <w:rFonts w:ascii="Times New Roman" w:hAnsi="Times New Roman"/>
          <w:sz w:val="24"/>
          <w:szCs w:val="24"/>
          <w:lang w:val="lv-LV"/>
        </w:rPr>
        <w:t>“</w:t>
      </w:r>
      <w:r w:rsidRPr="002678BB">
        <w:rPr>
          <w:rFonts w:ascii="Times New Roman" w:hAnsi="Times New Roman"/>
          <w:bCs/>
          <w:sz w:val="24"/>
          <w:szCs w:val="24"/>
          <w:lang w:val="lv-LV"/>
        </w:rPr>
        <w:t>pētniecības infrastruktūra</w:t>
      </w:r>
      <w:r w:rsidRPr="002678BB">
        <w:rPr>
          <w:rFonts w:ascii="Times New Roman" w:hAnsi="Times New Roman"/>
          <w:sz w:val="24"/>
          <w:szCs w:val="24"/>
          <w:lang w:val="lv-LV"/>
        </w:rPr>
        <w:t xml:space="preserve">” ir telpas un iekārtas, resursi un saistītie pakalpojumi, ko zinātnieki izmanto, lai veiktu pētniecību </w:t>
      </w:r>
      <w:r w:rsidRPr="00E0256A">
        <w:rPr>
          <w:rFonts w:ascii="Times New Roman" w:hAnsi="Times New Roman"/>
          <w:sz w:val="24"/>
          <w:szCs w:val="24"/>
          <w:lang w:val="lv-LV"/>
        </w:rPr>
        <w:t xml:space="preserve">attiecīgajās jomās, un tā ietver zinātniskās iekārtas un instrumentu komplektus, uz zināšanām balstītus resursus, piemēram, kolekcijas, arhīvus vai strukturētu zinātnisku informāciju, informācijas un komunikāciju tehnoloģijas infrastruktūru, piemēram, </w:t>
      </w:r>
      <w:r w:rsidRPr="00E0256A">
        <w:rPr>
          <w:rStyle w:val="italic"/>
          <w:rFonts w:ascii="Times New Roman" w:hAnsi="Times New Roman"/>
          <w:sz w:val="24"/>
          <w:szCs w:val="24"/>
          <w:lang w:val="lv-LV"/>
        </w:rPr>
        <w:t>GRID</w:t>
      </w:r>
      <w:r w:rsidRPr="00E0256A">
        <w:rPr>
          <w:rFonts w:ascii="Times New Roman" w:hAnsi="Times New Roman"/>
          <w:sz w:val="24"/>
          <w:szCs w:val="24"/>
          <w:lang w:val="lv-LV"/>
        </w:rPr>
        <w:t xml:space="preserve"> tipa tīmekli, datortehniku, programmatūru un sakaru tehniku, vai ikvienu citu līdzekli, kurš ir būtisks pētniecības veikšanai.</w:t>
      </w:r>
    </w:p>
    <w:p w14:paraId="0563E4ED" w14:textId="4E3BD2C5" w:rsidR="002833BC" w:rsidRPr="00E0256A" w:rsidRDefault="00C76098" w:rsidP="00E7642A">
      <w:pPr>
        <w:pStyle w:val="NormalWeb"/>
        <w:spacing w:before="0" w:beforeAutospacing="0" w:after="0" w:afterAutospacing="0"/>
        <w:ind w:firstLine="567"/>
        <w:jc w:val="both"/>
        <w:rPr>
          <w:rFonts w:eastAsia="Calibri"/>
          <w:lang w:eastAsia="en-US"/>
        </w:rPr>
      </w:pPr>
      <w:r w:rsidRPr="00E0256A">
        <w:rPr>
          <w:rFonts w:eastAsia="Calibri"/>
          <w:lang w:eastAsia="en-US"/>
        </w:rPr>
        <w:t xml:space="preserve">Priekšnoteikums </w:t>
      </w:r>
      <w:r w:rsidR="002833BC" w:rsidRPr="00E0256A">
        <w:rPr>
          <w:rFonts w:eastAsia="Calibri"/>
          <w:lang w:eastAsia="en-US"/>
        </w:rPr>
        <w:t>ES struktūrfondu 2014.</w:t>
      </w:r>
      <w:r w:rsidR="00D00E6D" w:rsidRPr="00E0256A">
        <w:t>–</w:t>
      </w:r>
      <w:r w:rsidR="002833BC" w:rsidRPr="00E0256A">
        <w:rPr>
          <w:rFonts w:eastAsia="Calibri"/>
          <w:lang w:eastAsia="en-US"/>
        </w:rPr>
        <w:t>2020.</w:t>
      </w:r>
      <w:r w:rsidR="008E6B76" w:rsidRPr="00E0256A">
        <w:rPr>
          <w:rFonts w:eastAsia="Calibri"/>
          <w:lang w:eastAsia="en-US"/>
        </w:rPr>
        <w:t xml:space="preserve"> </w:t>
      </w:r>
      <w:r w:rsidR="002833BC" w:rsidRPr="00E0256A">
        <w:rPr>
          <w:rFonts w:eastAsia="Calibri"/>
          <w:lang w:eastAsia="en-US"/>
        </w:rPr>
        <w:t>gada plānošanas perioda investīcij</w:t>
      </w:r>
      <w:r w:rsidRPr="00E0256A">
        <w:rPr>
          <w:rFonts w:eastAsia="Calibri"/>
          <w:lang w:eastAsia="en-US"/>
        </w:rPr>
        <w:t>ām</w:t>
      </w:r>
      <w:r w:rsidR="002833BC" w:rsidRPr="00E0256A">
        <w:rPr>
          <w:rFonts w:eastAsia="Calibri"/>
          <w:lang w:eastAsia="en-US"/>
        </w:rPr>
        <w:t xml:space="preserve"> pētniecībā un attīstībā</w:t>
      </w:r>
      <w:r w:rsidR="006C1AFD" w:rsidRPr="00E0256A">
        <w:rPr>
          <w:rFonts w:eastAsia="Calibri"/>
          <w:lang w:eastAsia="en-US"/>
        </w:rPr>
        <w:t xml:space="preserve"> ir zinātnisko institūciju konsolidācija un konkurētspējīgo zinātnisko institūciju rīcībspējas uzlabošana. </w:t>
      </w:r>
      <w:r w:rsidRPr="00E0256A">
        <w:rPr>
          <w:rFonts w:eastAsia="Calibri"/>
          <w:lang w:eastAsia="en-US"/>
        </w:rPr>
        <w:t xml:space="preserve">Vienlaikus, </w:t>
      </w:r>
      <w:r w:rsidR="006C1AFD" w:rsidRPr="00E0256A">
        <w:rPr>
          <w:rFonts w:eastAsia="Calibri"/>
          <w:lang w:eastAsia="en-US"/>
        </w:rPr>
        <w:t xml:space="preserve">ES Padome iesaka Latvijai turpmākos pasākumus </w:t>
      </w:r>
      <w:r w:rsidR="00064160" w:rsidRPr="00E0256A">
        <w:rPr>
          <w:rFonts w:eastAsia="Calibri"/>
          <w:lang w:eastAsia="en-US"/>
        </w:rPr>
        <w:t>zinātnisko institūciju</w:t>
      </w:r>
      <w:r w:rsidR="006C1AFD" w:rsidRPr="00E0256A">
        <w:rPr>
          <w:rFonts w:eastAsia="Calibri"/>
          <w:lang w:eastAsia="en-US"/>
        </w:rPr>
        <w:t xml:space="preserve"> modernizācijai īstenot</w:t>
      </w:r>
      <w:r w:rsidRPr="00E0256A">
        <w:rPr>
          <w:rFonts w:eastAsia="Calibri"/>
          <w:lang w:eastAsia="en-US"/>
        </w:rPr>
        <w:t>,</w:t>
      </w:r>
      <w:r w:rsidR="006C1AFD" w:rsidRPr="00E0256A">
        <w:rPr>
          <w:rFonts w:eastAsia="Calibri"/>
          <w:lang w:eastAsia="en-US"/>
        </w:rPr>
        <w:t xml:space="preserve"> pamatojoties</w:t>
      </w:r>
      <w:r w:rsidR="007139A5" w:rsidRPr="00E0256A">
        <w:rPr>
          <w:rFonts w:eastAsia="Calibri"/>
          <w:lang w:eastAsia="en-US"/>
        </w:rPr>
        <w:t xml:space="preserve"> </w:t>
      </w:r>
      <w:r w:rsidR="006C1AFD" w:rsidRPr="00E0256A">
        <w:rPr>
          <w:rFonts w:eastAsia="Calibri"/>
          <w:lang w:eastAsia="en-US"/>
        </w:rPr>
        <w:t xml:space="preserve">uz </w:t>
      </w:r>
      <w:r w:rsidR="007139A5" w:rsidRPr="00E0256A">
        <w:rPr>
          <w:rFonts w:eastAsia="Calibri"/>
          <w:lang w:eastAsia="en-US"/>
        </w:rPr>
        <w:t>starptautiskā</w:t>
      </w:r>
      <w:r w:rsidR="006C1AFD" w:rsidRPr="00E0256A">
        <w:rPr>
          <w:rFonts w:eastAsia="Calibri"/>
          <w:lang w:eastAsia="en-US"/>
        </w:rPr>
        <w:t xml:space="preserve"> </w:t>
      </w:r>
      <w:r w:rsidR="007139A5" w:rsidRPr="00E0256A">
        <w:rPr>
          <w:rFonts w:eastAsia="Calibri"/>
          <w:lang w:eastAsia="en-US"/>
        </w:rPr>
        <w:t>zinātnisko institūciju novērtējuma rezultātiem un rekomendācijām</w:t>
      </w:r>
      <w:r w:rsidR="006C1AFD" w:rsidRPr="00E0256A">
        <w:rPr>
          <w:rFonts w:eastAsia="Calibri"/>
          <w:lang w:eastAsia="en-US"/>
        </w:rPr>
        <w:t>.</w:t>
      </w:r>
      <w:r w:rsidR="007139A5" w:rsidRPr="00E0256A">
        <w:rPr>
          <w:rFonts w:eastAsia="Calibri"/>
          <w:lang w:eastAsia="en-US"/>
        </w:rPr>
        <w:t xml:space="preserve"> </w:t>
      </w:r>
    </w:p>
    <w:p w14:paraId="64521C5B" w14:textId="12074338" w:rsidR="0001274E" w:rsidRPr="00E0256A" w:rsidRDefault="0001274E" w:rsidP="00E7642A">
      <w:pPr>
        <w:tabs>
          <w:tab w:val="left" w:pos="0"/>
          <w:tab w:val="left" w:pos="567"/>
        </w:tabs>
        <w:ind w:left="0"/>
        <w:rPr>
          <w:rFonts w:ascii="Times New Roman" w:hAnsi="Times New Roman"/>
          <w:sz w:val="24"/>
          <w:szCs w:val="24"/>
        </w:rPr>
      </w:pPr>
      <w:r w:rsidRPr="00E0256A">
        <w:rPr>
          <w:rFonts w:ascii="Times New Roman" w:hAnsi="Times New Roman"/>
          <w:sz w:val="24"/>
          <w:szCs w:val="24"/>
        </w:rPr>
        <w:tab/>
        <w:t>Nacionālā</w:t>
      </w:r>
      <w:r w:rsidR="007139A5" w:rsidRPr="00E0256A">
        <w:rPr>
          <w:rFonts w:ascii="Times New Roman" w:hAnsi="Times New Roman"/>
          <w:sz w:val="24"/>
          <w:szCs w:val="24"/>
        </w:rPr>
        <w:t>s</w:t>
      </w:r>
      <w:r w:rsidRPr="00E0256A">
        <w:rPr>
          <w:rFonts w:ascii="Times New Roman" w:hAnsi="Times New Roman"/>
          <w:sz w:val="24"/>
          <w:szCs w:val="24"/>
        </w:rPr>
        <w:t xml:space="preserve"> attīstības plān</w:t>
      </w:r>
      <w:r w:rsidR="007139A5" w:rsidRPr="00E0256A">
        <w:rPr>
          <w:rFonts w:ascii="Times New Roman" w:hAnsi="Times New Roman"/>
          <w:sz w:val="24"/>
          <w:szCs w:val="24"/>
        </w:rPr>
        <w:t>s</w:t>
      </w:r>
      <w:r w:rsidRPr="00E0256A">
        <w:rPr>
          <w:rFonts w:ascii="Times New Roman" w:hAnsi="Times New Roman"/>
          <w:sz w:val="24"/>
          <w:szCs w:val="24"/>
        </w:rPr>
        <w:t xml:space="preserve"> </w:t>
      </w:r>
      <w:r w:rsidR="007139A5" w:rsidRPr="00E0256A">
        <w:rPr>
          <w:rFonts w:ascii="Times New Roman" w:hAnsi="Times New Roman"/>
          <w:sz w:val="24"/>
          <w:szCs w:val="24"/>
        </w:rPr>
        <w:t>paredz</w:t>
      </w:r>
      <w:r w:rsidRPr="00E0256A">
        <w:rPr>
          <w:rFonts w:ascii="Times New Roman" w:hAnsi="Times New Roman"/>
          <w:sz w:val="24"/>
          <w:szCs w:val="24"/>
        </w:rPr>
        <w:t xml:space="preserve">, </w:t>
      </w:r>
      <w:r w:rsidR="007139A5" w:rsidRPr="00E0256A">
        <w:rPr>
          <w:rFonts w:ascii="Times New Roman" w:hAnsi="Times New Roman"/>
          <w:sz w:val="24"/>
          <w:szCs w:val="24"/>
        </w:rPr>
        <w:t xml:space="preserve">ka </w:t>
      </w:r>
      <w:r w:rsidRPr="00E0256A">
        <w:rPr>
          <w:rFonts w:ascii="Times New Roman" w:hAnsi="Times New Roman"/>
          <w:sz w:val="24"/>
          <w:szCs w:val="24"/>
        </w:rPr>
        <w:t>2020.</w:t>
      </w:r>
      <w:r w:rsidR="008B1832" w:rsidRPr="00E0256A">
        <w:rPr>
          <w:rFonts w:ascii="Times New Roman" w:hAnsi="Times New Roman"/>
          <w:sz w:val="24"/>
          <w:szCs w:val="24"/>
        </w:rPr>
        <w:t> </w:t>
      </w:r>
      <w:r w:rsidRPr="00E0256A">
        <w:rPr>
          <w:rFonts w:ascii="Times New Roman" w:hAnsi="Times New Roman"/>
          <w:sz w:val="24"/>
          <w:szCs w:val="24"/>
        </w:rPr>
        <w:t>gadā</w:t>
      </w:r>
      <w:r w:rsidR="007139A5" w:rsidRPr="00E0256A">
        <w:rPr>
          <w:rFonts w:ascii="Times New Roman" w:hAnsi="Times New Roman"/>
          <w:sz w:val="24"/>
          <w:szCs w:val="24"/>
        </w:rPr>
        <w:t xml:space="preserve"> Latvijas zinātne </w:t>
      </w:r>
      <w:r w:rsidRPr="00E0256A">
        <w:rPr>
          <w:rFonts w:ascii="Times New Roman" w:hAnsi="Times New Roman"/>
          <w:sz w:val="24"/>
          <w:szCs w:val="24"/>
        </w:rPr>
        <w:t>būs koncentrēta zinātniskajos institūtos, kas ir konkurētspējīgi pasaules līmenī. Būtisku daļu no pētījumiem līdzfinansēs privāti uzņēmumi, akadēmiskā vide un privātais sektors strādās roku rokā pie jaunu, globāli konkurētspējīgu produktu radīšanas. Tieši zinātnes un uzņēmēju kopdarbs turpinās radīt aizvien jaunus inovatīvus un radošus, globālajā tirgū konkurētspējīgus produktus un pakalpojumus.</w:t>
      </w:r>
      <w:r w:rsidR="009F5747" w:rsidRPr="00E0256A">
        <w:rPr>
          <w:rFonts w:ascii="Times New Roman" w:hAnsi="Times New Roman"/>
          <w:sz w:val="24"/>
          <w:szCs w:val="24"/>
        </w:rPr>
        <w:t xml:space="preserve"> Tāpat </w:t>
      </w:r>
      <w:r w:rsidRPr="00E0256A">
        <w:rPr>
          <w:rFonts w:ascii="Times New Roman" w:hAnsi="Times New Roman"/>
          <w:sz w:val="24"/>
          <w:szCs w:val="24"/>
        </w:rPr>
        <w:t xml:space="preserve"> </w:t>
      </w:r>
      <w:r w:rsidR="009F5747" w:rsidRPr="00E0256A">
        <w:rPr>
          <w:rFonts w:ascii="Times New Roman" w:hAnsi="Times New Roman"/>
          <w:sz w:val="24"/>
          <w:szCs w:val="24"/>
        </w:rPr>
        <w:t xml:space="preserve">Nacionālās attīstības plāns paredz, ka 2020. gadā Latvijā starptautiski konkurētspējīgas augstskolas strādās starptautiski novērtēts un kvalificēts akadēmiskais personāls, kas sagatavos konkurētspējīgus absolventus, kas savu karjeru turpinās Latvijas zinātniskajās institūcijās. </w:t>
      </w:r>
      <w:r w:rsidRPr="00E0256A">
        <w:rPr>
          <w:rFonts w:ascii="Times New Roman" w:hAnsi="Times New Roman"/>
          <w:sz w:val="24"/>
          <w:szCs w:val="24"/>
        </w:rPr>
        <w:t xml:space="preserve">Lai </w:t>
      </w:r>
      <w:r w:rsidR="007139A5" w:rsidRPr="00E0256A">
        <w:rPr>
          <w:rFonts w:ascii="Times New Roman" w:hAnsi="Times New Roman"/>
          <w:sz w:val="24"/>
          <w:szCs w:val="24"/>
        </w:rPr>
        <w:t>šo</w:t>
      </w:r>
      <w:r w:rsidRPr="00E0256A">
        <w:rPr>
          <w:rFonts w:ascii="Times New Roman" w:hAnsi="Times New Roman"/>
          <w:sz w:val="24"/>
          <w:szCs w:val="24"/>
        </w:rPr>
        <w:t xml:space="preserve"> vīziju īstenotu, rīcības virzien</w:t>
      </w:r>
      <w:r w:rsidR="00D00E6D" w:rsidRPr="00E0256A">
        <w:rPr>
          <w:rFonts w:ascii="Times New Roman" w:hAnsi="Times New Roman"/>
          <w:sz w:val="24"/>
          <w:szCs w:val="24"/>
        </w:rPr>
        <w:t>a</w:t>
      </w:r>
      <w:r w:rsidRPr="00E0256A">
        <w:rPr>
          <w:rFonts w:ascii="Times New Roman" w:hAnsi="Times New Roman"/>
          <w:sz w:val="24"/>
          <w:szCs w:val="24"/>
        </w:rPr>
        <w:t xml:space="preserve"> „Attīstīta pētniecība, inovācija un augstākā izglītība”</w:t>
      </w:r>
      <w:r w:rsidR="007139A5" w:rsidRPr="00E0256A">
        <w:rPr>
          <w:rFonts w:ascii="Times New Roman" w:hAnsi="Times New Roman"/>
          <w:sz w:val="24"/>
          <w:szCs w:val="24"/>
        </w:rPr>
        <w:t xml:space="preserve"> prioritātes „Tautas saimniecības izaugsme” ietvaros paredz</w:t>
      </w:r>
      <w:r w:rsidR="00D00E6D" w:rsidRPr="00E0256A">
        <w:rPr>
          <w:rFonts w:ascii="Times New Roman" w:hAnsi="Times New Roman"/>
          <w:sz w:val="24"/>
          <w:szCs w:val="24"/>
        </w:rPr>
        <w:t>ēta</w:t>
      </w:r>
      <w:r w:rsidR="007139A5" w:rsidRPr="00E0256A">
        <w:rPr>
          <w:rFonts w:ascii="Times New Roman" w:hAnsi="Times New Roman"/>
          <w:sz w:val="24"/>
          <w:szCs w:val="24"/>
        </w:rPr>
        <w:t xml:space="preserve"> </w:t>
      </w:r>
      <w:r w:rsidRPr="00E0256A">
        <w:rPr>
          <w:rFonts w:ascii="Times New Roman" w:hAnsi="Times New Roman"/>
          <w:sz w:val="24"/>
          <w:szCs w:val="24"/>
        </w:rPr>
        <w:t>fundamentālu un lietišķu pētījumu īstenošan</w:t>
      </w:r>
      <w:r w:rsidR="00D00E6D" w:rsidRPr="00E0256A">
        <w:rPr>
          <w:rFonts w:ascii="Times New Roman" w:hAnsi="Times New Roman"/>
          <w:sz w:val="24"/>
          <w:szCs w:val="24"/>
        </w:rPr>
        <w:t>a</w:t>
      </w:r>
      <w:r w:rsidRPr="00E0256A">
        <w:rPr>
          <w:rFonts w:ascii="Times New Roman" w:hAnsi="Times New Roman"/>
          <w:sz w:val="24"/>
          <w:szCs w:val="24"/>
        </w:rPr>
        <w:t>, īpaši prioritārajos zinātnes virzienos</w:t>
      </w:r>
      <w:r w:rsidR="00C76098" w:rsidRPr="00E0256A">
        <w:rPr>
          <w:rFonts w:ascii="Times New Roman" w:hAnsi="Times New Roman"/>
          <w:sz w:val="24"/>
          <w:szCs w:val="24"/>
        </w:rPr>
        <w:t>,</w:t>
      </w:r>
      <w:r w:rsidRPr="00E0256A">
        <w:rPr>
          <w:rFonts w:ascii="Times New Roman" w:hAnsi="Times New Roman"/>
          <w:sz w:val="24"/>
          <w:szCs w:val="24"/>
        </w:rPr>
        <w:t xml:space="preserve"> </w:t>
      </w:r>
      <w:r w:rsidR="00C76098" w:rsidRPr="00E0256A">
        <w:rPr>
          <w:rFonts w:ascii="Times New Roman" w:hAnsi="Times New Roman"/>
          <w:sz w:val="24"/>
          <w:szCs w:val="24"/>
        </w:rPr>
        <w:t xml:space="preserve">ar </w:t>
      </w:r>
      <w:r w:rsidRPr="00E0256A">
        <w:rPr>
          <w:rFonts w:ascii="Times New Roman" w:hAnsi="Times New Roman"/>
          <w:sz w:val="24"/>
          <w:szCs w:val="24"/>
        </w:rPr>
        <w:t>komercializējamiem rezultātiem,</w:t>
      </w:r>
      <w:r w:rsidR="00C76098" w:rsidRPr="00E0256A">
        <w:rPr>
          <w:rFonts w:ascii="Times New Roman" w:hAnsi="Times New Roman"/>
          <w:sz w:val="24"/>
          <w:szCs w:val="24"/>
        </w:rPr>
        <w:t xml:space="preserve"> kā arī</w:t>
      </w:r>
      <w:r w:rsidRPr="00E0256A">
        <w:rPr>
          <w:rFonts w:ascii="Times New Roman" w:hAnsi="Times New Roman"/>
          <w:sz w:val="24"/>
          <w:szCs w:val="24"/>
        </w:rPr>
        <w:t xml:space="preserve"> pētniecības un tehnoloģiju pārneses infrastruktūras modernizācij</w:t>
      </w:r>
      <w:r w:rsidR="00D00E6D" w:rsidRPr="00E0256A">
        <w:rPr>
          <w:rFonts w:ascii="Times New Roman" w:hAnsi="Times New Roman"/>
          <w:sz w:val="24"/>
          <w:szCs w:val="24"/>
        </w:rPr>
        <w:t>a</w:t>
      </w:r>
      <w:r w:rsidR="00F80A14" w:rsidRPr="00E0256A">
        <w:rPr>
          <w:rFonts w:ascii="Times New Roman" w:hAnsi="Times New Roman"/>
          <w:sz w:val="24"/>
          <w:szCs w:val="24"/>
        </w:rPr>
        <w:t xml:space="preserve">, </w:t>
      </w:r>
      <w:r w:rsidRPr="00E0256A">
        <w:rPr>
          <w:rFonts w:ascii="Times New Roman" w:hAnsi="Times New Roman"/>
          <w:sz w:val="24"/>
          <w:szCs w:val="24"/>
        </w:rPr>
        <w:t>cilvēkresursu stiprināšan</w:t>
      </w:r>
      <w:r w:rsidR="00D00E6D" w:rsidRPr="00E0256A">
        <w:rPr>
          <w:rFonts w:ascii="Times New Roman" w:hAnsi="Times New Roman"/>
          <w:sz w:val="24"/>
          <w:szCs w:val="24"/>
        </w:rPr>
        <w:t>a</w:t>
      </w:r>
      <w:r w:rsidRPr="00E0256A">
        <w:rPr>
          <w:rFonts w:ascii="Times New Roman" w:hAnsi="Times New Roman"/>
          <w:sz w:val="24"/>
          <w:szCs w:val="24"/>
        </w:rPr>
        <w:t xml:space="preserve"> un mobilitāt</w:t>
      </w:r>
      <w:r w:rsidR="00D00E6D" w:rsidRPr="00E0256A">
        <w:rPr>
          <w:rFonts w:ascii="Times New Roman" w:hAnsi="Times New Roman"/>
          <w:sz w:val="24"/>
          <w:szCs w:val="24"/>
        </w:rPr>
        <w:t>e</w:t>
      </w:r>
      <w:r w:rsidRPr="00E0256A">
        <w:rPr>
          <w:rFonts w:ascii="Times New Roman" w:hAnsi="Times New Roman"/>
          <w:sz w:val="24"/>
          <w:szCs w:val="24"/>
        </w:rPr>
        <w:t xml:space="preserve"> nacionālā līmenī</w:t>
      </w:r>
      <w:r w:rsidRPr="00E0256A">
        <w:rPr>
          <w:rStyle w:val="FootnoteReference"/>
          <w:rFonts w:ascii="Times New Roman" w:hAnsi="Times New Roman"/>
          <w:sz w:val="24"/>
          <w:szCs w:val="24"/>
        </w:rPr>
        <w:footnoteReference w:id="1"/>
      </w:r>
      <w:r w:rsidRPr="00E0256A">
        <w:rPr>
          <w:rFonts w:ascii="Times New Roman" w:hAnsi="Times New Roman"/>
          <w:sz w:val="24"/>
          <w:szCs w:val="24"/>
        </w:rPr>
        <w:t>.</w:t>
      </w:r>
    </w:p>
    <w:p w14:paraId="3D16BB1B" w14:textId="459404F2" w:rsidR="0001274E" w:rsidRPr="00511CD3" w:rsidRDefault="0001274E" w:rsidP="00E7642A">
      <w:pPr>
        <w:tabs>
          <w:tab w:val="left" w:pos="0"/>
          <w:tab w:val="left" w:pos="567"/>
        </w:tabs>
        <w:ind w:left="0"/>
        <w:rPr>
          <w:rFonts w:ascii="Times New Roman" w:hAnsi="Times New Roman"/>
          <w:sz w:val="24"/>
          <w:szCs w:val="24"/>
        </w:rPr>
      </w:pPr>
      <w:r w:rsidRPr="00E0256A">
        <w:rPr>
          <w:rFonts w:ascii="Times New Roman" w:hAnsi="Times New Roman"/>
          <w:sz w:val="24"/>
          <w:szCs w:val="24"/>
        </w:rPr>
        <w:tab/>
      </w:r>
      <w:r w:rsidR="00D00E6D" w:rsidRPr="00E0256A">
        <w:rPr>
          <w:rFonts w:ascii="Times New Roman" w:hAnsi="Times New Roman"/>
          <w:sz w:val="24"/>
          <w:szCs w:val="24"/>
        </w:rPr>
        <w:t>Latvijas v</w:t>
      </w:r>
      <w:r w:rsidRPr="00E0256A">
        <w:rPr>
          <w:rFonts w:ascii="Times New Roman" w:hAnsi="Times New Roman"/>
          <w:sz w:val="24"/>
          <w:szCs w:val="24"/>
        </w:rPr>
        <w:t>iedās specializācijas stratēģij</w:t>
      </w:r>
      <w:r w:rsidR="002C3587" w:rsidRPr="00E0256A">
        <w:rPr>
          <w:rFonts w:ascii="Times New Roman" w:hAnsi="Times New Roman"/>
          <w:sz w:val="24"/>
          <w:szCs w:val="24"/>
        </w:rPr>
        <w:t xml:space="preserve">a nosaka, </w:t>
      </w:r>
      <w:r w:rsidRPr="00E0256A">
        <w:rPr>
          <w:rFonts w:ascii="Times New Roman" w:hAnsi="Times New Roman"/>
          <w:sz w:val="24"/>
          <w:szCs w:val="24"/>
        </w:rPr>
        <w:t>ka priekšnosacījums</w:t>
      </w:r>
      <w:r w:rsidRPr="00511CD3">
        <w:rPr>
          <w:rFonts w:ascii="Times New Roman" w:hAnsi="Times New Roman"/>
          <w:sz w:val="24"/>
          <w:szCs w:val="24"/>
        </w:rPr>
        <w:t xml:space="preserve"> Latvijas tautsaimniecības transformācijai uz zināšanām un inovācijām balstīt</w:t>
      </w:r>
      <w:r w:rsidR="002C3587" w:rsidRPr="00C07278">
        <w:rPr>
          <w:rFonts w:ascii="Times New Roman" w:hAnsi="Times New Roman"/>
          <w:sz w:val="24"/>
          <w:szCs w:val="24"/>
        </w:rPr>
        <w:t>u tau</w:t>
      </w:r>
      <w:r w:rsidR="00307830">
        <w:rPr>
          <w:rFonts w:ascii="Times New Roman" w:hAnsi="Times New Roman"/>
          <w:sz w:val="24"/>
          <w:szCs w:val="24"/>
        </w:rPr>
        <w:t>t</w:t>
      </w:r>
      <w:r w:rsidR="002C3587" w:rsidRPr="00C07278">
        <w:rPr>
          <w:rFonts w:ascii="Times New Roman" w:hAnsi="Times New Roman"/>
          <w:sz w:val="24"/>
          <w:szCs w:val="24"/>
        </w:rPr>
        <w:t>saimniecības</w:t>
      </w:r>
      <w:r w:rsidRPr="00511CD3">
        <w:rPr>
          <w:rFonts w:ascii="Times New Roman" w:hAnsi="Times New Roman"/>
          <w:sz w:val="24"/>
          <w:szCs w:val="24"/>
        </w:rPr>
        <w:t xml:space="preserve"> modeli</w:t>
      </w:r>
      <w:r w:rsidR="002C3587" w:rsidRPr="00C07278">
        <w:rPr>
          <w:rFonts w:ascii="Times New Roman" w:hAnsi="Times New Roman"/>
          <w:sz w:val="24"/>
          <w:szCs w:val="24"/>
        </w:rPr>
        <w:t xml:space="preserve"> ir pietiekama zinātnes un pētniecības kapacitāte. Tādējādi, </w:t>
      </w:r>
      <w:r w:rsidRPr="00511CD3">
        <w:rPr>
          <w:rFonts w:ascii="Times New Roman" w:hAnsi="Times New Roman"/>
          <w:sz w:val="24"/>
          <w:szCs w:val="24"/>
        </w:rPr>
        <w:t xml:space="preserve">pietiekams un kvalitatīvs cilvēkkapitāls, atbilstoša </w:t>
      </w:r>
      <w:r w:rsidR="00D00E6D">
        <w:rPr>
          <w:rFonts w:ascii="Times New Roman" w:hAnsi="Times New Roman"/>
          <w:sz w:val="24"/>
          <w:szCs w:val="24"/>
        </w:rPr>
        <w:t xml:space="preserve">pētniecības </w:t>
      </w:r>
      <w:r w:rsidRPr="00511CD3">
        <w:rPr>
          <w:rFonts w:ascii="Times New Roman" w:hAnsi="Times New Roman"/>
          <w:sz w:val="24"/>
          <w:szCs w:val="24"/>
        </w:rPr>
        <w:t xml:space="preserve">infrastruktūra, tai skaitā tehnoloģiju attīstībai un inovācijām nepieciešamā infrastruktūra, un ciešāka sadarbība ir priekšnosacījums, lai, izpildoties citiem labvēlīgiem apstākļiem, investīcijas pētniecībā </w:t>
      </w:r>
      <w:r w:rsidRPr="00511CD3">
        <w:rPr>
          <w:rFonts w:ascii="Times New Roman" w:hAnsi="Times New Roman"/>
          <w:sz w:val="24"/>
          <w:szCs w:val="24"/>
        </w:rPr>
        <w:lastRenderedPageBreak/>
        <w:t>un inovācijās būtu efektīvas.</w:t>
      </w:r>
      <w:r w:rsidR="00102DCA" w:rsidRPr="00C07278">
        <w:rPr>
          <w:rFonts w:ascii="Times New Roman" w:hAnsi="Times New Roman"/>
          <w:sz w:val="24"/>
          <w:szCs w:val="24"/>
        </w:rPr>
        <w:t xml:space="preserve"> </w:t>
      </w:r>
      <w:r w:rsidRPr="00511CD3">
        <w:rPr>
          <w:rFonts w:ascii="Times New Roman" w:hAnsi="Times New Roman"/>
          <w:sz w:val="24"/>
          <w:szCs w:val="24"/>
        </w:rPr>
        <w:t>Zinātnes, tehnoloģijas attīstības un inovācijas pamatnostādnes 2014.</w:t>
      </w:r>
      <w:r w:rsidR="00566937">
        <w:rPr>
          <w:rFonts w:ascii="Times New Roman" w:hAnsi="Times New Roman"/>
          <w:sz w:val="24"/>
          <w:szCs w:val="24"/>
        </w:rPr>
        <w:t>–</w:t>
      </w:r>
      <w:r w:rsidRPr="00511CD3">
        <w:rPr>
          <w:rFonts w:ascii="Times New Roman" w:hAnsi="Times New Roman"/>
          <w:sz w:val="24"/>
          <w:szCs w:val="24"/>
        </w:rPr>
        <w:t>2020.</w:t>
      </w:r>
      <w:r w:rsidR="008B1832">
        <w:rPr>
          <w:rFonts w:ascii="Times New Roman" w:hAnsi="Times New Roman"/>
          <w:sz w:val="24"/>
          <w:szCs w:val="24"/>
        </w:rPr>
        <w:t> </w:t>
      </w:r>
      <w:r w:rsidRPr="00511CD3">
        <w:rPr>
          <w:rFonts w:ascii="Times New Roman" w:hAnsi="Times New Roman"/>
          <w:sz w:val="24"/>
          <w:szCs w:val="24"/>
        </w:rPr>
        <w:t xml:space="preserve">gadam </w:t>
      </w:r>
      <w:r w:rsidR="002C3587" w:rsidRPr="00C07278">
        <w:rPr>
          <w:rFonts w:ascii="Times New Roman" w:hAnsi="Times New Roman"/>
          <w:sz w:val="24"/>
          <w:szCs w:val="24"/>
        </w:rPr>
        <w:t>nosaka</w:t>
      </w:r>
      <w:r w:rsidRPr="00511CD3">
        <w:rPr>
          <w:rFonts w:ascii="Times New Roman" w:hAnsi="Times New Roman"/>
          <w:sz w:val="24"/>
          <w:szCs w:val="24"/>
        </w:rPr>
        <w:t>, ka pētniecības infrastruktūras ieguldījumiem jābūt</w:t>
      </w:r>
      <w:r w:rsidR="00D00E6D">
        <w:rPr>
          <w:rFonts w:ascii="Times New Roman" w:hAnsi="Times New Roman"/>
          <w:sz w:val="24"/>
          <w:szCs w:val="24"/>
        </w:rPr>
        <w:t xml:space="preserve"> racionāliem un</w:t>
      </w:r>
      <w:r w:rsidRPr="00511CD3">
        <w:rPr>
          <w:rFonts w:ascii="Times New Roman" w:hAnsi="Times New Roman"/>
          <w:sz w:val="24"/>
          <w:szCs w:val="24"/>
        </w:rPr>
        <w:t xml:space="preserve"> cieši saistītiem ar cilvēkkapitāla veidošanu</w:t>
      </w:r>
      <w:r w:rsidR="00D00E6D">
        <w:rPr>
          <w:rFonts w:ascii="Times New Roman" w:hAnsi="Times New Roman"/>
          <w:sz w:val="24"/>
          <w:szCs w:val="24"/>
        </w:rPr>
        <w:t xml:space="preserve">, </w:t>
      </w:r>
      <w:r w:rsidR="00102DCA" w:rsidRPr="00C07278">
        <w:rPr>
          <w:rFonts w:ascii="Times New Roman" w:hAnsi="Times New Roman"/>
          <w:sz w:val="24"/>
          <w:szCs w:val="24"/>
        </w:rPr>
        <w:t xml:space="preserve">inovāciju </w:t>
      </w:r>
      <w:r w:rsidRPr="00511CD3">
        <w:rPr>
          <w:rFonts w:ascii="Times New Roman" w:hAnsi="Times New Roman"/>
          <w:sz w:val="24"/>
          <w:szCs w:val="24"/>
        </w:rPr>
        <w:t>sistēmai jāsekmē infrastruktūras apvienošana</w:t>
      </w:r>
      <w:r w:rsidR="00D00E6D">
        <w:rPr>
          <w:rFonts w:ascii="Times New Roman" w:hAnsi="Times New Roman"/>
          <w:sz w:val="24"/>
          <w:szCs w:val="24"/>
        </w:rPr>
        <w:t xml:space="preserve"> un</w:t>
      </w:r>
      <w:r w:rsidRPr="00511CD3">
        <w:rPr>
          <w:rFonts w:ascii="Times New Roman" w:hAnsi="Times New Roman"/>
          <w:sz w:val="24"/>
          <w:szCs w:val="24"/>
        </w:rPr>
        <w:t xml:space="preserve"> </w:t>
      </w:r>
      <w:r w:rsidR="00D00E6D">
        <w:rPr>
          <w:rFonts w:ascii="Times New Roman" w:hAnsi="Times New Roman"/>
          <w:sz w:val="24"/>
          <w:szCs w:val="24"/>
        </w:rPr>
        <w:t>institūciju</w:t>
      </w:r>
      <w:r w:rsidR="00D00E6D" w:rsidRPr="00511CD3">
        <w:rPr>
          <w:rFonts w:ascii="Times New Roman" w:hAnsi="Times New Roman"/>
          <w:sz w:val="24"/>
          <w:szCs w:val="24"/>
        </w:rPr>
        <w:t xml:space="preserve"> </w:t>
      </w:r>
      <w:r w:rsidRPr="00511CD3">
        <w:rPr>
          <w:rFonts w:ascii="Times New Roman" w:hAnsi="Times New Roman"/>
          <w:sz w:val="24"/>
          <w:szCs w:val="24"/>
        </w:rPr>
        <w:t xml:space="preserve">iespējas to uzturēt. </w:t>
      </w:r>
    </w:p>
    <w:p w14:paraId="2C14D1CD" w14:textId="38BC2D6D" w:rsidR="00BE2E34" w:rsidRPr="00C07278" w:rsidRDefault="0001274E" w:rsidP="00E7642A">
      <w:pPr>
        <w:tabs>
          <w:tab w:val="left" w:pos="0"/>
        </w:tabs>
        <w:ind w:left="0" w:firstLine="567"/>
        <w:rPr>
          <w:rFonts w:ascii="Times New Roman" w:hAnsi="Times New Roman"/>
          <w:sz w:val="24"/>
          <w:szCs w:val="24"/>
        </w:rPr>
      </w:pPr>
      <w:r w:rsidRPr="00511CD3">
        <w:rPr>
          <w:rFonts w:ascii="Times New Roman" w:hAnsi="Times New Roman"/>
          <w:sz w:val="24"/>
          <w:szCs w:val="24"/>
        </w:rPr>
        <w:t>Lai izstrādātu 1.1.1.4.</w:t>
      </w:r>
      <w:r w:rsidR="008B1832">
        <w:rPr>
          <w:rFonts w:ascii="Times New Roman" w:hAnsi="Times New Roman"/>
          <w:sz w:val="24"/>
          <w:szCs w:val="24"/>
        </w:rPr>
        <w:t> </w:t>
      </w:r>
      <w:r w:rsidRPr="00511CD3">
        <w:rPr>
          <w:rFonts w:ascii="Times New Roman" w:hAnsi="Times New Roman"/>
          <w:sz w:val="24"/>
          <w:szCs w:val="24"/>
        </w:rPr>
        <w:t>pasākuma “</w:t>
      </w:r>
      <w:r w:rsidRPr="00511CD3">
        <w:rPr>
          <w:rFonts w:ascii="Times New Roman" w:hAnsi="Times New Roman"/>
          <w:i/>
          <w:sz w:val="24"/>
          <w:szCs w:val="24"/>
        </w:rPr>
        <w:t>P&amp;A infrastruktūras attīstīšana Viedās specializācijas jomās un zinātnisko institūciju institucionālās kapacitātes stiprināšana</w:t>
      </w:r>
      <w:r w:rsidRPr="00511CD3">
        <w:rPr>
          <w:rFonts w:ascii="Times New Roman" w:hAnsi="Times New Roman"/>
          <w:sz w:val="24"/>
          <w:szCs w:val="24"/>
        </w:rPr>
        <w:t>” ieviešanas nosacījumus, priekšno</w:t>
      </w:r>
      <w:r w:rsidR="006C251C" w:rsidRPr="00C07278">
        <w:rPr>
          <w:rFonts w:ascii="Times New Roman" w:hAnsi="Times New Roman"/>
          <w:sz w:val="24"/>
          <w:szCs w:val="24"/>
        </w:rPr>
        <w:t>sacījums</w:t>
      </w:r>
      <w:r w:rsidRPr="00511CD3">
        <w:rPr>
          <w:rFonts w:ascii="Times New Roman" w:hAnsi="Times New Roman"/>
          <w:sz w:val="24"/>
          <w:szCs w:val="24"/>
        </w:rPr>
        <w:t xml:space="preserve"> ir ES struktūrfondu 2007.</w:t>
      </w:r>
      <w:r w:rsidR="00566937">
        <w:rPr>
          <w:rFonts w:ascii="Times New Roman" w:hAnsi="Times New Roman"/>
          <w:sz w:val="24"/>
          <w:szCs w:val="24"/>
        </w:rPr>
        <w:t>–</w:t>
      </w:r>
      <w:r w:rsidRPr="00511CD3">
        <w:rPr>
          <w:rFonts w:ascii="Times New Roman" w:hAnsi="Times New Roman"/>
          <w:sz w:val="24"/>
          <w:szCs w:val="24"/>
        </w:rPr>
        <w:t>2013.</w:t>
      </w:r>
      <w:r w:rsidR="008B1832">
        <w:rPr>
          <w:rFonts w:ascii="Times New Roman" w:hAnsi="Times New Roman"/>
          <w:sz w:val="24"/>
          <w:szCs w:val="24"/>
        </w:rPr>
        <w:t> </w:t>
      </w:r>
      <w:r w:rsidRPr="00511CD3">
        <w:rPr>
          <w:rFonts w:ascii="Times New Roman" w:hAnsi="Times New Roman"/>
          <w:sz w:val="24"/>
          <w:szCs w:val="24"/>
        </w:rPr>
        <w:t xml:space="preserve">gada plānošanas perioda investīciju </w:t>
      </w:r>
      <w:r w:rsidR="00F80A14" w:rsidRPr="00511CD3">
        <w:rPr>
          <w:rFonts w:ascii="Times New Roman" w:hAnsi="Times New Roman"/>
          <w:sz w:val="24"/>
          <w:szCs w:val="24"/>
        </w:rPr>
        <w:t>pētniecīb</w:t>
      </w:r>
      <w:r w:rsidR="00F80A14">
        <w:rPr>
          <w:rFonts w:ascii="Times New Roman" w:hAnsi="Times New Roman"/>
          <w:sz w:val="24"/>
          <w:szCs w:val="24"/>
        </w:rPr>
        <w:t>ā</w:t>
      </w:r>
      <w:r w:rsidR="00F80A14" w:rsidRPr="00511CD3">
        <w:rPr>
          <w:rFonts w:ascii="Times New Roman" w:hAnsi="Times New Roman"/>
          <w:sz w:val="24"/>
          <w:szCs w:val="24"/>
        </w:rPr>
        <w:t xml:space="preserve"> </w:t>
      </w:r>
      <w:r w:rsidRPr="00511CD3">
        <w:rPr>
          <w:rFonts w:ascii="Times New Roman" w:hAnsi="Times New Roman"/>
          <w:sz w:val="24"/>
          <w:szCs w:val="24"/>
        </w:rPr>
        <w:t>un attīstīb</w:t>
      </w:r>
      <w:r w:rsidR="00F80A14">
        <w:rPr>
          <w:rFonts w:ascii="Times New Roman" w:hAnsi="Times New Roman"/>
          <w:sz w:val="24"/>
          <w:szCs w:val="24"/>
        </w:rPr>
        <w:t>ā</w:t>
      </w:r>
      <w:r w:rsidRPr="00511CD3">
        <w:rPr>
          <w:rFonts w:ascii="Times New Roman" w:hAnsi="Times New Roman"/>
          <w:sz w:val="24"/>
          <w:szCs w:val="24"/>
        </w:rPr>
        <w:t>, tai skaitā VNPC, novērtējums</w:t>
      </w:r>
      <w:r w:rsidR="006C251C" w:rsidRPr="00C07278">
        <w:rPr>
          <w:rFonts w:ascii="Times New Roman" w:hAnsi="Times New Roman"/>
          <w:sz w:val="24"/>
          <w:szCs w:val="24"/>
        </w:rPr>
        <w:t>.</w:t>
      </w:r>
      <w:r w:rsidRPr="00511CD3">
        <w:rPr>
          <w:rFonts w:ascii="Times New Roman" w:hAnsi="Times New Roman"/>
          <w:sz w:val="24"/>
          <w:szCs w:val="24"/>
        </w:rPr>
        <w:t xml:space="preserve"> </w:t>
      </w:r>
      <w:r w:rsidR="006C251C" w:rsidRPr="00C07278">
        <w:rPr>
          <w:rFonts w:ascii="Times New Roman" w:hAnsi="Times New Roman"/>
          <w:sz w:val="24"/>
          <w:szCs w:val="24"/>
        </w:rPr>
        <w:t>A</w:t>
      </w:r>
      <w:r w:rsidR="00BE2E34" w:rsidRPr="00C07278">
        <w:rPr>
          <w:rFonts w:ascii="Times New Roman" w:hAnsi="Times New Roman"/>
          <w:sz w:val="24"/>
          <w:szCs w:val="24"/>
        </w:rPr>
        <w:t>tbilstoši 2014.</w:t>
      </w:r>
      <w:r w:rsidR="008B1832">
        <w:rPr>
          <w:rFonts w:ascii="Times New Roman" w:hAnsi="Times New Roman"/>
          <w:sz w:val="24"/>
          <w:szCs w:val="24"/>
        </w:rPr>
        <w:t> </w:t>
      </w:r>
      <w:r w:rsidR="00BE2E34" w:rsidRPr="00C07278">
        <w:rPr>
          <w:rFonts w:ascii="Times New Roman" w:hAnsi="Times New Roman"/>
          <w:sz w:val="24"/>
          <w:szCs w:val="24"/>
        </w:rPr>
        <w:t>gada 21.</w:t>
      </w:r>
      <w:r w:rsidR="008B1832">
        <w:rPr>
          <w:rFonts w:ascii="Times New Roman" w:hAnsi="Times New Roman"/>
          <w:sz w:val="24"/>
          <w:szCs w:val="24"/>
        </w:rPr>
        <w:t> </w:t>
      </w:r>
      <w:r w:rsidR="00BE2E34" w:rsidRPr="00C07278">
        <w:rPr>
          <w:rFonts w:ascii="Times New Roman" w:hAnsi="Times New Roman"/>
          <w:sz w:val="24"/>
          <w:szCs w:val="24"/>
        </w:rPr>
        <w:t>oktobrī MK sēdē izskatītajam informatīvajam ziņojumam „Par Zinātnes, tehnoloģiju attīstības un inovācijas pamatnostādņu 2014.</w:t>
      </w:r>
      <w:r w:rsidR="00566937">
        <w:rPr>
          <w:rFonts w:ascii="Times New Roman" w:hAnsi="Times New Roman"/>
          <w:sz w:val="24"/>
          <w:szCs w:val="24"/>
        </w:rPr>
        <w:t>–</w:t>
      </w:r>
      <w:r w:rsidR="00BE2E34" w:rsidRPr="00C07278">
        <w:rPr>
          <w:rFonts w:ascii="Times New Roman" w:hAnsi="Times New Roman"/>
          <w:sz w:val="24"/>
          <w:szCs w:val="24"/>
        </w:rPr>
        <w:t>2020.</w:t>
      </w:r>
      <w:r w:rsidR="008B1832">
        <w:rPr>
          <w:rFonts w:ascii="Times New Roman" w:hAnsi="Times New Roman"/>
          <w:sz w:val="24"/>
          <w:szCs w:val="24"/>
        </w:rPr>
        <w:t xml:space="preserve"> </w:t>
      </w:r>
      <w:r w:rsidR="00BE2E34" w:rsidRPr="00C07278">
        <w:rPr>
          <w:rFonts w:ascii="Times New Roman" w:hAnsi="Times New Roman"/>
          <w:sz w:val="24"/>
          <w:szCs w:val="24"/>
        </w:rPr>
        <w:t>gadam ieviešanas rīcības plāna, kas ietver Viedās specializācijas stratēģijas pasākumu plānu un rezultātu rādītāju sistēmas aprakstu, izstrādes progresu”</w:t>
      </w:r>
      <w:r w:rsidR="00BE2E34" w:rsidRPr="00C07278">
        <w:rPr>
          <w:rStyle w:val="FootnoteReference"/>
          <w:rFonts w:ascii="Times New Roman" w:hAnsi="Times New Roman"/>
          <w:sz w:val="24"/>
          <w:szCs w:val="24"/>
        </w:rPr>
        <w:footnoteReference w:id="2"/>
      </w:r>
      <w:r w:rsidR="00BE2E34" w:rsidRPr="00C07278">
        <w:rPr>
          <w:rFonts w:ascii="Times New Roman" w:hAnsi="Times New Roman"/>
          <w:sz w:val="24"/>
          <w:szCs w:val="24"/>
        </w:rPr>
        <w:t xml:space="preserve">, FM sadarbībā ar IZM un EM </w:t>
      </w:r>
      <w:r w:rsidR="006C251C" w:rsidRPr="00C07278">
        <w:rPr>
          <w:rFonts w:ascii="Times New Roman" w:hAnsi="Times New Roman"/>
          <w:sz w:val="24"/>
          <w:szCs w:val="24"/>
        </w:rPr>
        <w:t xml:space="preserve">ieguldījumu novērtējums </w:t>
      </w:r>
      <w:r w:rsidRPr="00C07278">
        <w:rPr>
          <w:rFonts w:ascii="Times New Roman" w:hAnsi="Times New Roman"/>
          <w:sz w:val="24"/>
          <w:szCs w:val="24"/>
        </w:rPr>
        <w:t xml:space="preserve">jānodrošina </w:t>
      </w:r>
      <w:r w:rsidR="00BE2E34" w:rsidRPr="00C07278">
        <w:rPr>
          <w:rFonts w:ascii="Times New Roman" w:hAnsi="Times New Roman"/>
          <w:sz w:val="24"/>
          <w:szCs w:val="24"/>
        </w:rPr>
        <w:t>līdz 2016.</w:t>
      </w:r>
      <w:r w:rsidR="008B1832">
        <w:rPr>
          <w:rFonts w:ascii="Times New Roman" w:hAnsi="Times New Roman"/>
          <w:sz w:val="24"/>
          <w:szCs w:val="24"/>
        </w:rPr>
        <w:t> </w:t>
      </w:r>
      <w:r w:rsidR="00BE2E34" w:rsidRPr="00C07278">
        <w:rPr>
          <w:rFonts w:ascii="Times New Roman" w:hAnsi="Times New Roman"/>
          <w:sz w:val="24"/>
          <w:szCs w:val="24"/>
        </w:rPr>
        <w:t>gada 1.</w:t>
      </w:r>
      <w:r w:rsidR="008B1832">
        <w:rPr>
          <w:rFonts w:ascii="Times New Roman" w:hAnsi="Times New Roman"/>
          <w:sz w:val="24"/>
          <w:szCs w:val="24"/>
        </w:rPr>
        <w:t> </w:t>
      </w:r>
      <w:r w:rsidR="00BE2E34" w:rsidRPr="00C07278">
        <w:rPr>
          <w:rFonts w:ascii="Times New Roman" w:hAnsi="Times New Roman"/>
          <w:sz w:val="24"/>
          <w:szCs w:val="24"/>
        </w:rPr>
        <w:t>aprīlim.</w:t>
      </w:r>
    </w:p>
    <w:p w14:paraId="2261CDB6" w14:textId="750F3047" w:rsidR="00E733AE" w:rsidRDefault="003523F8" w:rsidP="00E7642A">
      <w:pPr>
        <w:pStyle w:val="Header"/>
        <w:ind w:firstLine="567"/>
        <w:jc w:val="both"/>
        <w:rPr>
          <w:rFonts w:ascii="Times New Roman" w:hAnsi="Times New Roman"/>
          <w:sz w:val="24"/>
          <w:szCs w:val="24"/>
          <w:lang w:val="lv-LV"/>
        </w:rPr>
      </w:pPr>
      <w:r w:rsidRPr="00C07278">
        <w:rPr>
          <w:rFonts w:ascii="Times New Roman" w:hAnsi="Times New Roman"/>
          <w:sz w:val="24"/>
          <w:szCs w:val="24"/>
          <w:lang w:val="lv-LV"/>
        </w:rPr>
        <w:t>Saskaņā ar MK 2014.</w:t>
      </w:r>
      <w:r w:rsidR="008B1832">
        <w:rPr>
          <w:rFonts w:ascii="Times New Roman" w:hAnsi="Times New Roman"/>
          <w:sz w:val="24"/>
          <w:szCs w:val="24"/>
          <w:lang w:val="lv-LV"/>
        </w:rPr>
        <w:t> </w:t>
      </w:r>
      <w:r w:rsidRPr="00C07278">
        <w:rPr>
          <w:rFonts w:ascii="Times New Roman" w:hAnsi="Times New Roman"/>
          <w:sz w:val="24"/>
          <w:szCs w:val="24"/>
          <w:lang w:val="lv-LV"/>
        </w:rPr>
        <w:t>gada 4.</w:t>
      </w:r>
      <w:r w:rsidR="008B1832">
        <w:rPr>
          <w:rFonts w:ascii="Times New Roman" w:hAnsi="Times New Roman"/>
          <w:sz w:val="24"/>
          <w:szCs w:val="24"/>
          <w:lang w:val="lv-LV"/>
        </w:rPr>
        <w:t> </w:t>
      </w:r>
      <w:r w:rsidRPr="00C07278">
        <w:rPr>
          <w:rFonts w:ascii="Times New Roman" w:hAnsi="Times New Roman"/>
          <w:sz w:val="24"/>
          <w:szCs w:val="24"/>
          <w:lang w:val="lv-LV"/>
        </w:rPr>
        <w:t>februāra sēdes protokollēmuma (prot. Nr.</w:t>
      </w:r>
      <w:r w:rsidR="008B1832">
        <w:rPr>
          <w:rFonts w:ascii="Times New Roman" w:hAnsi="Times New Roman"/>
          <w:sz w:val="24"/>
          <w:szCs w:val="24"/>
          <w:lang w:val="lv-LV"/>
        </w:rPr>
        <w:t> </w:t>
      </w:r>
      <w:r w:rsidRPr="00C07278">
        <w:rPr>
          <w:rFonts w:ascii="Times New Roman" w:hAnsi="Times New Roman"/>
          <w:sz w:val="24"/>
          <w:szCs w:val="24"/>
          <w:lang w:val="lv-LV"/>
        </w:rPr>
        <w:t>7, 48.§)</w:t>
      </w:r>
      <w:r w:rsidR="004022B1" w:rsidRPr="00C07278">
        <w:rPr>
          <w:rStyle w:val="FootnoteReference"/>
          <w:rFonts w:ascii="Times New Roman" w:hAnsi="Times New Roman"/>
          <w:sz w:val="24"/>
          <w:szCs w:val="24"/>
          <w:lang w:val="lv-LV"/>
        </w:rPr>
        <w:footnoteReference w:id="3"/>
      </w:r>
      <w:r w:rsidRPr="00C07278">
        <w:rPr>
          <w:rFonts w:ascii="Times New Roman" w:hAnsi="Times New Roman"/>
          <w:sz w:val="24"/>
          <w:szCs w:val="24"/>
          <w:lang w:val="lv-LV"/>
        </w:rPr>
        <w:t xml:space="preserve"> „Programmas projekts “Darbības programma “Izaugsme un nodarbinātība” 2014.-2020.</w:t>
      </w:r>
      <w:r w:rsidR="008B1832">
        <w:rPr>
          <w:rFonts w:ascii="Times New Roman" w:hAnsi="Times New Roman"/>
          <w:sz w:val="24"/>
          <w:szCs w:val="24"/>
          <w:lang w:val="lv-LV"/>
        </w:rPr>
        <w:t> </w:t>
      </w:r>
      <w:r w:rsidRPr="00C07278">
        <w:rPr>
          <w:rFonts w:ascii="Times New Roman" w:hAnsi="Times New Roman"/>
          <w:sz w:val="24"/>
          <w:szCs w:val="24"/>
          <w:lang w:val="lv-LV"/>
        </w:rPr>
        <w:t>gada plānošanas periodam”</w:t>
      </w:r>
      <w:r w:rsidR="004022B1" w:rsidRPr="00C07278">
        <w:rPr>
          <w:rStyle w:val="FootnoteReference"/>
          <w:rFonts w:ascii="Times New Roman" w:hAnsi="Times New Roman"/>
          <w:sz w:val="24"/>
          <w:szCs w:val="24"/>
          <w:lang w:val="lv-LV"/>
        </w:rPr>
        <w:footnoteReference w:id="4"/>
      </w:r>
      <w:r w:rsidRPr="00C07278">
        <w:rPr>
          <w:rFonts w:ascii="Times New Roman" w:hAnsi="Times New Roman"/>
          <w:sz w:val="24"/>
          <w:szCs w:val="24"/>
          <w:lang w:val="lv-LV"/>
        </w:rPr>
        <w:t xml:space="preserve"> 3.1.</w:t>
      </w:r>
      <w:r w:rsidR="008B1832">
        <w:rPr>
          <w:rFonts w:ascii="Times New Roman" w:hAnsi="Times New Roman"/>
          <w:sz w:val="24"/>
          <w:szCs w:val="24"/>
          <w:lang w:val="lv-LV"/>
        </w:rPr>
        <w:t> </w:t>
      </w:r>
      <w:r w:rsidRPr="00C07278">
        <w:rPr>
          <w:rFonts w:ascii="Times New Roman" w:hAnsi="Times New Roman"/>
          <w:sz w:val="24"/>
          <w:szCs w:val="24"/>
          <w:lang w:val="lv-LV"/>
        </w:rPr>
        <w:t>apakšpunktu IZM sadarbībā ar EM jāveic zinātnes un inovāciju infrastruktūras un pētnieciskās darbības koncentrācijas teritoriālais kartējums un jāiestrādā zinātnisko institūciju attīstības pasākumu plāna projektā.</w:t>
      </w:r>
      <w:r w:rsidR="00AE6612" w:rsidRPr="00C07278">
        <w:rPr>
          <w:rFonts w:ascii="Times New Roman" w:hAnsi="Times New Roman"/>
          <w:sz w:val="24"/>
          <w:szCs w:val="24"/>
          <w:lang w:val="lv-LV"/>
        </w:rPr>
        <w:t xml:space="preserve"> </w:t>
      </w:r>
      <w:r w:rsidR="006B343F">
        <w:rPr>
          <w:rFonts w:ascii="Times New Roman" w:hAnsi="Times New Roman"/>
          <w:sz w:val="24"/>
          <w:szCs w:val="24"/>
          <w:lang w:val="lv-LV"/>
        </w:rPr>
        <w:t xml:space="preserve">Informatīvais ziņojums apraksta iepriekšējos un plānotos ieguldījumus </w:t>
      </w:r>
      <w:r w:rsidR="006B343F" w:rsidRPr="00C07278">
        <w:rPr>
          <w:rFonts w:ascii="Times New Roman" w:hAnsi="Times New Roman"/>
          <w:sz w:val="24"/>
          <w:szCs w:val="24"/>
          <w:lang w:val="lv-LV"/>
        </w:rPr>
        <w:t>zinātnes un in</w:t>
      </w:r>
      <w:r w:rsidR="006B343F">
        <w:rPr>
          <w:rFonts w:ascii="Times New Roman" w:hAnsi="Times New Roman"/>
          <w:sz w:val="24"/>
          <w:szCs w:val="24"/>
          <w:lang w:val="lv-LV"/>
        </w:rPr>
        <w:t>ovāciju infrastruktūrā</w:t>
      </w:r>
      <w:r w:rsidR="007F0F60">
        <w:rPr>
          <w:rFonts w:ascii="Times New Roman" w:hAnsi="Times New Roman"/>
          <w:sz w:val="24"/>
          <w:szCs w:val="24"/>
          <w:lang w:val="lv-LV"/>
        </w:rPr>
        <w:t>,</w:t>
      </w:r>
      <w:r w:rsidR="006B343F">
        <w:rPr>
          <w:rFonts w:ascii="Times New Roman" w:hAnsi="Times New Roman"/>
          <w:sz w:val="24"/>
          <w:szCs w:val="24"/>
          <w:lang w:val="lv-LV"/>
        </w:rPr>
        <w:t xml:space="preserve"> sasaistot tos ar viedās specializācijas jomām. </w:t>
      </w:r>
      <w:r w:rsidR="006B343F" w:rsidRPr="00A952E6">
        <w:rPr>
          <w:rFonts w:ascii="Times New Roman" w:hAnsi="Times New Roman"/>
          <w:sz w:val="24"/>
          <w:szCs w:val="24"/>
          <w:lang w:val="lv-LV"/>
        </w:rPr>
        <w:t>Zinātnes, tehnoloģijas attīstīb</w:t>
      </w:r>
      <w:r w:rsidR="006B343F" w:rsidRPr="006B343F">
        <w:rPr>
          <w:rFonts w:ascii="Times New Roman" w:hAnsi="Times New Roman"/>
          <w:sz w:val="24"/>
          <w:szCs w:val="24"/>
          <w:lang w:val="lv-LV"/>
        </w:rPr>
        <w:t>as un inovācijas pamatnostādn</w:t>
      </w:r>
      <w:r w:rsidR="006B343F">
        <w:rPr>
          <w:rFonts w:ascii="Times New Roman" w:hAnsi="Times New Roman"/>
          <w:sz w:val="24"/>
          <w:szCs w:val="24"/>
          <w:lang w:val="lv-LV"/>
        </w:rPr>
        <w:t xml:space="preserve">es  </w:t>
      </w:r>
      <w:r w:rsidR="006B343F" w:rsidRPr="00A952E6">
        <w:rPr>
          <w:rFonts w:ascii="Times New Roman" w:hAnsi="Times New Roman"/>
          <w:sz w:val="24"/>
          <w:szCs w:val="24"/>
          <w:lang w:val="lv-LV"/>
        </w:rPr>
        <w:t xml:space="preserve">2014.–2020. gadam </w:t>
      </w:r>
      <w:r w:rsidR="006B343F">
        <w:rPr>
          <w:rFonts w:ascii="Times New Roman" w:hAnsi="Times New Roman"/>
          <w:sz w:val="24"/>
          <w:szCs w:val="24"/>
          <w:lang w:val="lv-LV"/>
        </w:rPr>
        <w:t>paredz</w:t>
      </w:r>
      <w:r w:rsidR="006B343F" w:rsidRPr="006B343F">
        <w:rPr>
          <w:rFonts w:ascii="Times New Roman" w:hAnsi="Times New Roman"/>
          <w:sz w:val="24"/>
          <w:szCs w:val="24"/>
          <w:lang w:val="lv-LV"/>
        </w:rPr>
        <w:t xml:space="preserve"> zinātnes resursus vienlaikus palielināt no 5300 uz 7000 personāla vienībām un koncentrēt ne vairāk kā 20 zinātniska</w:t>
      </w:r>
      <w:r w:rsidR="006B343F">
        <w:rPr>
          <w:rFonts w:ascii="Times New Roman" w:hAnsi="Times New Roman"/>
          <w:sz w:val="24"/>
          <w:szCs w:val="24"/>
          <w:lang w:val="lv-LV"/>
        </w:rPr>
        <w:t>jās institūcijās</w:t>
      </w:r>
      <w:r w:rsidR="006B343F" w:rsidRPr="006B343F">
        <w:rPr>
          <w:rFonts w:ascii="Times New Roman" w:hAnsi="Times New Roman"/>
          <w:sz w:val="24"/>
          <w:szCs w:val="24"/>
          <w:lang w:val="lv-LV"/>
        </w:rPr>
        <w:t>, kas nodarbojas ar tautsaimniecībai vajadzīgu zinātni, kas īsteno valsts un nozares uzņēmumu pasūtījuma pētījumus, un, kas veiksmīgi konkurē ar citām Eiropas un pasaul</w:t>
      </w:r>
      <w:r w:rsidR="006B343F">
        <w:rPr>
          <w:rFonts w:ascii="Times New Roman" w:hAnsi="Times New Roman"/>
          <w:sz w:val="24"/>
          <w:szCs w:val="24"/>
          <w:lang w:val="lv-LV"/>
        </w:rPr>
        <w:t>es zinātniskajām institūcijām. A</w:t>
      </w:r>
      <w:r w:rsidR="006B343F" w:rsidRPr="006B343F">
        <w:rPr>
          <w:rFonts w:ascii="Times New Roman" w:hAnsi="Times New Roman"/>
          <w:sz w:val="24"/>
          <w:szCs w:val="24"/>
          <w:lang w:val="lv-LV"/>
        </w:rPr>
        <w:t>r tautsaimniecības ražojo</w:t>
      </w:r>
      <w:r w:rsidR="00E733AE">
        <w:rPr>
          <w:rFonts w:ascii="Times New Roman" w:hAnsi="Times New Roman"/>
          <w:sz w:val="24"/>
          <w:szCs w:val="24"/>
          <w:lang w:val="lv-LV"/>
        </w:rPr>
        <w:t xml:space="preserve">šām </w:t>
      </w:r>
      <w:r w:rsidR="007A470A">
        <w:rPr>
          <w:rFonts w:ascii="Times New Roman" w:hAnsi="Times New Roman"/>
          <w:sz w:val="24"/>
          <w:szCs w:val="24"/>
          <w:lang w:val="lv-LV"/>
        </w:rPr>
        <w:t xml:space="preserve">un pakalpojumus sniedzošajām </w:t>
      </w:r>
      <w:r w:rsidR="00E733AE">
        <w:rPr>
          <w:rFonts w:ascii="Times New Roman" w:hAnsi="Times New Roman"/>
          <w:sz w:val="24"/>
          <w:szCs w:val="24"/>
          <w:lang w:val="lv-LV"/>
        </w:rPr>
        <w:t xml:space="preserve">nozarēm saistīto </w:t>
      </w:r>
      <w:r w:rsidR="007A470A">
        <w:rPr>
          <w:rFonts w:ascii="Times New Roman" w:hAnsi="Times New Roman"/>
          <w:sz w:val="24"/>
          <w:szCs w:val="24"/>
          <w:lang w:val="lv-LV"/>
        </w:rPr>
        <w:t xml:space="preserve">no valsts budžeta finansēto </w:t>
      </w:r>
      <w:r w:rsidR="00E733AE">
        <w:rPr>
          <w:rFonts w:ascii="Times New Roman" w:hAnsi="Times New Roman"/>
          <w:sz w:val="24"/>
          <w:szCs w:val="24"/>
          <w:lang w:val="lv-LV"/>
        </w:rPr>
        <w:t xml:space="preserve">zinātni turpmāk </w:t>
      </w:r>
      <w:r w:rsidR="007A470A">
        <w:rPr>
          <w:rFonts w:ascii="Times New Roman" w:hAnsi="Times New Roman"/>
          <w:sz w:val="24"/>
          <w:szCs w:val="24"/>
          <w:lang w:val="lv-LV"/>
        </w:rPr>
        <w:t xml:space="preserve">plānots koncentrēt </w:t>
      </w:r>
      <w:r w:rsidR="00E733AE" w:rsidRPr="00E733AE">
        <w:rPr>
          <w:rFonts w:ascii="Times New Roman" w:hAnsi="Times New Roman"/>
          <w:sz w:val="24"/>
          <w:szCs w:val="24"/>
          <w:lang w:val="lv-LV"/>
        </w:rPr>
        <w:t>Latvij</w:t>
      </w:r>
      <w:r w:rsidR="00E733AE">
        <w:rPr>
          <w:rFonts w:ascii="Times New Roman" w:hAnsi="Times New Roman"/>
          <w:sz w:val="24"/>
          <w:szCs w:val="24"/>
          <w:lang w:val="lv-LV"/>
        </w:rPr>
        <w:t xml:space="preserve">as Organiskās sintēzes institūtā, </w:t>
      </w:r>
      <w:r w:rsidR="00E733AE" w:rsidRPr="00E733AE">
        <w:rPr>
          <w:rFonts w:ascii="Times New Roman" w:hAnsi="Times New Roman"/>
          <w:sz w:val="24"/>
          <w:szCs w:val="24"/>
          <w:lang w:val="lv-LV"/>
        </w:rPr>
        <w:t>Latvijas Biomedi</w:t>
      </w:r>
      <w:r w:rsidR="00E733AE">
        <w:rPr>
          <w:rFonts w:ascii="Times New Roman" w:hAnsi="Times New Roman"/>
          <w:sz w:val="24"/>
          <w:szCs w:val="24"/>
          <w:lang w:val="lv-LV"/>
        </w:rPr>
        <w:t xml:space="preserve">cīnas pētījumu un studiju centrā, </w:t>
      </w:r>
      <w:r w:rsidR="00E733AE" w:rsidRPr="00E733AE">
        <w:rPr>
          <w:rFonts w:ascii="Times New Roman" w:hAnsi="Times New Roman"/>
          <w:sz w:val="24"/>
          <w:szCs w:val="24"/>
          <w:lang w:val="lv-LV"/>
        </w:rPr>
        <w:t>Latvi</w:t>
      </w:r>
      <w:r w:rsidR="00E733AE">
        <w:rPr>
          <w:rFonts w:ascii="Times New Roman" w:hAnsi="Times New Roman"/>
          <w:sz w:val="24"/>
          <w:szCs w:val="24"/>
          <w:lang w:val="lv-LV"/>
        </w:rPr>
        <w:t>jas valsts Mežzinātnes institūtā</w:t>
      </w:r>
      <w:r w:rsidR="00E733AE" w:rsidRPr="00E733AE">
        <w:rPr>
          <w:rFonts w:ascii="Times New Roman" w:hAnsi="Times New Roman"/>
          <w:sz w:val="24"/>
          <w:szCs w:val="24"/>
          <w:lang w:val="lv-LV"/>
        </w:rPr>
        <w:t xml:space="preserve"> "Silava"</w:t>
      </w:r>
      <w:r w:rsidR="00E733AE">
        <w:rPr>
          <w:rFonts w:ascii="Times New Roman" w:hAnsi="Times New Roman"/>
          <w:sz w:val="24"/>
          <w:szCs w:val="24"/>
          <w:lang w:val="lv-LV"/>
        </w:rPr>
        <w:t>,</w:t>
      </w:r>
      <w:r w:rsidR="007276C6">
        <w:rPr>
          <w:rFonts w:ascii="Times New Roman" w:hAnsi="Times New Roman"/>
          <w:sz w:val="24"/>
          <w:szCs w:val="24"/>
          <w:lang w:val="lv-LV"/>
        </w:rPr>
        <w:t xml:space="preserve"> </w:t>
      </w:r>
      <w:r w:rsidR="00E733AE" w:rsidRPr="00E733AE">
        <w:rPr>
          <w:rFonts w:ascii="Times New Roman" w:hAnsi="Times New Roman"/>
          <w:sz w:val="24"/>
          <w:szCs w:val="24"/>
          <w:lang w:val="lv-LV"/>
        </w:rPr>
        <w:t>Latvijas V</w:t>
      </w:r>
      <w:r w:rsidR="007276C6">
        <w:rPr>
          <w:rFonts w:ascii="Times New Roman" w:hAnsi="Times New Roman"/>
          <w:sz w:val="24"/>
          <w:szCs w:val="24"/>
          <w:lang w:val="lv-LV"/>
        </w:rPr>
        <w:t xml:space="preserve">alsts koksnes ķīmijas institūtā, </w:t>
      </w:r>
      <w:r w:rsidR="00E733AE" w:rsidRPr="00E733AE">
        <w:rPr>
          <w:rFonts w:ascii="Times New Roman" w:hAnsi="Times New Roman"/>
          <w:sz w:val="24"/>
          <w:szCs w:val="24"/>
          <w:lang w:val="lv-LV"/>
        </w:rPr>
        <w:t>Elektr</w:t>
      </w:r>
      <w:r w:rsidR="007276C6">
        <w:rPr>
          <w:rFonts w:ascii="Times New Roman" w:hAnsi="Times New Roman"/>
          <w:sz w:val="24"/>
          <w:szCs w:val="24"/>
          <w:lang w:val="lv-LV"/>
        </w:rPr>
        <w:t xml:space="preserve">onikas un datorzinātņu institūtā, </w:t>
      </w:r>
      <w:r w:rsidR="00E733AE" w:rsidRPr="00E733AE">
        <w:rPr>
          <w:rFonts w:ascii="Times New Roman" w:hAnsi="Times New Roman"/>
          <w:sz w:val="24"/>
          <w:szCs w:val="24"/>
          <w:lang w:val="lv-LV"/>
        </w:rPr>
        <w:t>Pārtikas drošības, dzīvnieku veselības</w:t>
      </w:r>
      <w:r w:rsidR="007276C6">
        <w:rPr>
          <w:rFonts w:ascii="Times New Roman" w:hAnsi="Times New Roman"/>
          <w:sz w:val="24"/>
          <w:szCs w:val="24"/>
          <w:lang w:val="lv-LV"/>
        </w:rPr>
        <w:t xml:space="preserve"> un vides zinātniskajā institūtā</w:t>
      </w:r>
      <w:r w:rsidR="00E733AE" w:rsidRPr="00E733AE">
        <w:rPr>
          <w:rFonts w:ascii="Times New Roman" w:hAnsi="Times New Roman"/>
          <w:sz w:val="24"/>
          <w:szCs w:val="24"/>
          <w:lang w:val="lv-LV"/>
        </w:rPr>
        <w:t xml:space="preserve"> "BIOR"</w:t>
      </w:r>
      <w:r w:rsidR="007276C6">
        <w:rPr>
          <w:rFonts w:ascii="Times New Roman" w:hAnsi="Times New Roman"/>
          <w:sz w:val="24"/>
          <w:szCs w:val="24"/>
          <w:lang w:val="lv-LV"/>
        </w:rPr>
        <w:t xml:space="preserve">, </w:t>
      </w:r>
      <w:r w:rsidR="00E733AE" w:rsidRPr="00E733AE">
        <w:rPr>
          <w:rFonts w:ascii="Times New Roman" w:hAnsi="Times New Roman"/>
          <w:sz w:val="24"/>
          <w:szCs w:val="24"/>
          <w:lang w:val="lv-LV"/>
        </w:rPr>
        <w:t>Rīgas Tehnisk</w:t>
      </w:r>
      <w:r w:rsidR="007276C6">
        <w:rPr>
          <w:rFonts w:ascii="Times New Roman" w:hAnsi="Times New Roman"/>
          <w:sz w:val="24"/>
          <w:szCs w:val="24"/>
          <w:lang w:val="lv-LV"/>
        </w:rPr>
        <w:t xml:space="preserve">ajā universitātē, Rīgas Stradiņa universitātē, </w:t>
      </w:r>
      <w:r w:rsidR="00E733AE" w:rsidRPr="00E733AE">
        <w:rPr>
          <w:rFonts w:ascii="Times New Roman" w:hAnsi="Times New Roman"/>
          <w:sz w:val="24"/>
          <w:szCs w:val="24"/>
          <w:lang w:val="lv-LV"/>
        </w:rPr>
        <w:t>Latvij</w:t>
      </w:r>
      <w:r w:rsidR="007276C6">
        <w:rPr>
          <w:rFonts w:ascii="Times New Roman" w:hAnsi="Times New Roman"/>
          <w:sz w:val="24"/>
          <w:szCs w:val="24"/>
          <w:lang w:val="lv-LV"/>
        </w:rPr>
        <w:t>as Lauksaimniecības universitātē un tās institūtos</w:t>
      </w:r>
      <w:r w:rsidR="00E733AE" w:rsidRPr="00E733AE">
        <w:rPr>
          <w:rFonts w:ascii="Times New Roman" w:hAnsi="Times New Roman"/>
          <w:sz w:val="24"/>
          <w:szCs w:val="24"/>
          <w:lang w:val="lv-LV"/>
        </w:rPr>
        <w:t xml:space="preserve"> - Agr</w:t>
      </w:r>
      <w:r w:rsidR="007276C6">
        <w:rPr>
          <w:rFonts w:ascii="Times New Roman" w:hAnsi="Times New Roman"/>
          <w:sz w:val="24"/>
          <w:szCs w:val="24"/>
          <w:lang w:val="lv-LV"/>
        </w:rPr>
        <w:t>oresursu un ekonomikas institūts un Dārzkopības institūts, Ventspils augstskolā, Vidzemes augstskolā, Latvijas Universitātē</w:t>
      </w:r>
      <w:r w:rsidR="00E733AE" w:rsidRPr="00E733AE">
        <w:rPr>
          <w:rFonts w:ascii="Times New Roman" w:hAnsi="Times New Roman"/>
          <w:sz w:val="24"/>
          <w:szCs w:val="24"/>
          <w:lang w:val="lv-LV"/>
        </w:rPr>
        <w:t xml:space="preserve"> un </w:t>
      </w:r>
      <w:r w:rsidR="007276C6">
        <w:rPr>
          <w:rFonts w:ascii="Times New Roman" w:hAnsi="Times New Roman"/>
          <w:sz w:val="24"/>
          <w:szCs w:val="24"/>
          <w:lang w:val="lv-LV"/>
        </w:rPr>
        <w:t xml:space="preserve">tās institūtos </w:t>
      </w:r>
      <w:r w:rsidR="00E733AE" w:rsidRPr="00E733AE">
        <w:rPr>
          <w:rFonts w:ascii="Times New Roman" w:hAnsi="Times New Roman"/>
          <w:sz w:val="24"/>
          <w:szCs w:val="24"/>
          <w:lang w:val="lv-LV"/>
        </w:rPr>
        <w:t>LU Matemātikas un informātikas institūts</w:t>
      </w:r>
      <w:r w:rsidR="007276C6">
        <w:rPr>
          <w:rFonts w:ascii="Times New Roman" w:hAnsi="Times New Roman"/>
          <w:sz w:val="24"/>
          <w:szCs w:val="24"/>
          <w:lang w:val="lv-LV"/>
        </w:rPr>
        <w:t xml:space="preserve"> un LU Cietvielu fizikas institūts, kā arī Daugavpils Universitātē</w:t>
      </w:r>
      <w:r w:rsidR="008D490E">
        <w:rPr>
          <w:rFonts w:ascii="Times New Roman" w:hAnsi="Times New Roman"/>
          <w:sz w:val="24"/>
          <w:szCs w:val="24"/>
          <w:lang w:val="lv-LV"/>
        </w:rPr>
        <w:t>,</w:t>
      </w:r>
      <w:r w:rsidR="007276C6">
        <w:rPr>
          <w:rFonts w:ascii="Times New Roman" w:hAnsi="Times New Roman"/>
          <w:sz w:val="24"/>
          <w:szCs w:val="24"/>
          <w:lang w:val="lv-LV"/>
        </w:rPr>
        <w:t xml:space="preserve"> to integrējot ar Latvijas Hidreoekoloģijas institūtu. </w:t>
      </w:r>
    </w:p>
    <w:p w14:paraId="0E0CBF88" w14:textId="77777777" w:rsidR="00E733AE" w:rsidRDefault="00E733AE" w:rsidP="00E7642A">
      <w:pPr>
        <w:pStyle w:val="Header"/>
        <w:ind w:firstLine="567"/>
        <w:rPr>
          <w:rFonts w:ascii="Times New Roman" w:hAnsi="Times New Roman"/>
          <w:sz w:val="24"/>
          <w:szCs w:val="24"/>
          <w:lang w:val="lv-LV"/>
        </w:rPr>
      </w:pPr>
    </w:p>
    <w:p w14:paraId="534B7DA5" w14:textId="77777777" w:rsidR="00566937" w:rsidRDefault="00566937" w:rsidP="00E7642A">
      <w:pPr>
        <w:spacing w:after="160" w:line="259" w:lineRule="auto"/>
        <w:ind w:left="0"/>
        <w:jc w:val="left"/>
        <w:rPr>
          <w:rFonts w:ascii="Times New Roman" w:eastAsia="Times New Roman" w:hAnsi="Times New Roman"/>
          <w:b/>
          <w:bCs/>
          <w:sz w:val="24"/>
          <w:szCs w:val="24"/>
          <w:lang w:eastAsia="lv-LV"/>
        </w:rPr>
      </w:pPr>
      <w:r>
        <w:rPr>
          <w:rFonts w:ascii="Times New Roman" w:hAnsi="Times New Roman"/>
          <w:sz w:val="24"/>
          <w:szCs w:val="24"/>
        </w:rPr>
        <w:br w:type="page"/>
      </w:r>
    </w:p>
    <w:p w14:paraId="5A94595D" w14:textId="262778A1" w:rsidR="003523F8" w:rsidRPr="00D65977" w:rsidRDefault="003523F8" w:rsidP="00E7642A">
      <w:pPr>
        <w:pStyle w:val="Heading1"/>
        <w:numPr>
          <w:ilvl w:val="0"/>
          <w:numId w:val="1"/>
        </w:numPr>
        <w:spacing w:before="360" w:after="360"/>
        <w:ind w:left="357" w:hanging="357"/>
        <w:jc w:val="center"/>
        <w:rPr>
          <w:rFonts w:ascii="Times New Roman" w:hAnsi="Times New Roman"/>
          <w:color w:val="auto"/>
          <w:sz w:val="24"/>
          <w:szCs w:val="24"/>
        </w:rPr>
      </w:pPr>
      <w:bookmarkStart w:id="4" w:name="_Toc458673268"/>
      <w:r w:rsidRPr="00D65977">
        <w:rPr>
          <w:rFonts w:ascii="Times New Roman" w:hAnsi="Times New Roman"/>
          <w:color w:val="auto"/>
          <w:sz w:val="24"/>
          <w:szCs w:val="24"/>
        </w:rPr>
        <w:lastRenderedPageBreak/>
        <w:t xml:space="preserve">Zinātnes un pētniecības </w:t>
      </w:r>
      <w:r w:rsidRPr="00C07278">
        <w:rPr>
          <w:rFonts w:ascii="Times New Roman" w:hAnsi="Times New Roman"/>
          <w:color w:val="auto"/>
          <w:sz w:val="24"/>
          <w:szCs w:val="24"/>
        </w:rPr>
        <w:t>esošā institucionālā kapacitāte un cilvēkresursi</w:t>
      </w:r>
      <w:bookmarkEnd w:id="4"/>
    </w:p>
    <w:p w14:paraId="08352B24" w14:textId="77777777" w:rsidR="007F015A" w:rsidRPr="002678BB" w:rsidRDefault="000508F6" w:rsidP="00E7642A">
      <w:pPr>
        <w:pStyle w:val="Heading1"/>
        <w:numPr>
          <w:ilvl w:val="1"/>
          <w:numId w:val="1"/>
        </w:numPr>
        <w:spacing w:before="240" w:after="120"/>
        <w:ind w:left="567" w:hanging="567"/>
        <w:jc w:val="center"/>
      </w:pPr>
      <w:bookmarkStart w:id="5" w:name="_Toc458673269"/>
      <w:r>
        <w:rPr>
          <w:rFonts w:ascii="Times New Roman" w:hAnsi="Times New Roman"/>
          <w:color w:val="auto"/>
          <w:sz w:val="24"/>
          <w:szCs w:val="24"/>
        </w:rPr>
        <w:t>Z</w:t>
      </w:r>
      <w:r w:rsidR="00B7509A" w:rsidRPr="00C07278">
        <w:rPr>
          <w:rFonts w:ascii="Times New Roman" w:hAnsi="Times New Roman"/>
          <w:color w:val="auto"/>
          <w:sz w:val="24"/>
          <w:szCs w:val="24"/>
        </w:rPr>
        <w:t>inātnisko institūciju raksturojums</w:t>
      </w:r>
      <w:bookmarkEnd w:id="5"/>
    </w:p>
    <w:p w14:paraId="7AC4BC32" w14:textId="77777777" w:rsidR="000508F6" w:rsidRPr="00E0256A" w:rsidRDefault="00BB7DF6" w:rsidP="00E7642A">
      <w:pPr>
        <w:pStyle w:val="ListParagraph"/>
        <w:ind w:left="0" w:firstLine="567"/>
      </w:pPr>
      <w:r>
        <w:rPr>
          <w:rFonts w:cs="Times New Roman"/>
        </w:rPr>
        <w:t xml:space="preserve">Lielāko daļu Latvijā īstenotās pētniecības nodrošina valsts zinātniskās institūcijas – zinātniskie institūti un augstskolas. </w:t>
      </w:r>
      <w:r w:rsidR="007F015A">
        <w:rPr>
          <w:rFonts w:cs="Times New Roman"/>
        </w:rPr>
        <w:t>2016.</w:t>
      </w:r>
      <w:r w:rsidR="00D00E6D">
        <w:rPr>
          <w:rFonts w:cs="Times New Roman"/>
        </w:rPr>
        <w:t> </w:t>
      </w:r>
      <w:r w:rsidR="007F015A">
        <w:rPr>
          <w:rFonts w:cs="Times New Roman"/>
        </w:rPr>
        <w:t>gadā zinātnes b</w:t>
      </w:r>
      <w:r w:rsidR="007F015A" w:rsidRPr="003B28F4">
        <w:t>āzes finans</w:t>
      </w:r>
      <w:r w:rsidR="007F015A" w:rsidRPr="00A660BF">
        <w:t>ējum</w:t>
      </w:r>
      <w:r w:rsidR="007F015A">
        <w:t>u saņem</w:t>
      </w:r>
      <w:r w:rsidR="007F015A" w:rsidRPr="00A660BF">
        <w:t xml:space="preserve"> 21 zinātnisko institūciju reģistrā reģistrēta valsts zinātnisk</w:t>
      </w:r>
      <w:r w:rsidR="007F015A">
        <w:t>ā</w:t>
      </w:r>
      <w:r w:rsidR="007F015A" w:rsidRPr="00A660BF">
        <w:t xml:space="preserve"> </w:t>
      </w:r>
      <w:r w:rsidR="007F015A">
        <w:t>institūcija</w:t>
      </w:r>
      <w:r>
        <w:rPr>
          <w:rStyle w:val="FootnoteReference"/>
        </w:rPr>
        <w:footnoteReference w:id="5"/>
      </w:r>
      <w:r w:rsidR="006A5DE5">
        <w:t>, kurā atbilstoši MK pieņemtajiem lēmumiem tiek koncentrēti pētniecības resursi.</w:t>
      </w:r>
      <w:r>
        <w:t xml:space="preserve"> </w:t>
      </w:r>
      <w:r w:rsidR="007F015A">
        <w:t xml:space="preserve">Šīs </w:t>
      </w:r>
      <w:r w:rsidR="006452D3">
        <w:t xml:space="preserve">zinātniskās </w:t>
      </w:r>
      <w:r w:rsidR="007F015A">
        <w:t>institūcija</w:t>
      </w:r>
      <w:r>
        <w:t xml:space="preserve">s </w:t>
      </w:r>
      <w:r w:rsidR="007F015A" w:rsidRPr="00A660BF">
        <w:t>2014.</w:t>
      </w:r>
      <w:r w:rsidR="006452D3">
        <w:t> </w:t>
      </w:r>
      <w:r w:rsidR="007F015A" w:rsidRPr="00A660BF">
        <w:t>gadā īstenoja pētniecības projektus</w:t>
      </w:r>
      <w:r>
        <w:t xml:space="preserve"> par </w:t>
      </w:r>
      <w:r w:rsidR="007F015A" w:rsidRPr="00A660BF">
        <w:t xml:space="preserve">gandrīz 60 milj. </w:t>
      </w:r>
      <w:r w:rsidR="007F015A" w:rsidRPr="00A660BF">
        <w:rPr>
          <w:i/>
        </w:rPr>
        <w:t>euro</w:t>
      </w:r>
      <w:r w:rsidR="007F015A">
        <w:t xml:space="preserve">, no kuriem 18 procentus veidoja </w:t>
      </w:r>
      <w:r w:rsidR="008E133E">
        <w:t xml:space="preserve">starptautisku programmu </w:t>
      </w:r>
      <w:r w:rsidR="007F015A">
        <w:t>finansējums</w:t>
      </w:r>
      <w:r w:rsidR="007F015A" w:rsidRPr="00A660BF">
        <w:t xml:space="preserve">, </w:t>
      </w:r>
      <w:r w:rsidR="007F015A">
        <w:t xml:space="preserve">67 </w:t>
      </w:r>
      <w:r w:rsidR="007F015A" w:rsidRPr="00A660BF">
        <w:t>procentus valsts budžeta finansē</w:t>
      </w:r>
      <w:r w:rsidR="008E133E">
        <w:t xml:space="preserve">jums un </w:t>
      </w:r>
      <w:r w:rsidR="007F015A" w:rsidRPr="00A660BF">
        <w:t>15 procent</w:t>
      </w:r>
      <w:r w:rsidR="008E133E">
        <w:t>us</w:t>
      </w:r>
      <w:r w:rsidR="007F015A" w:rsidRPr="00A660BF">
        <w:t xml:space="preserve"> privātais finansējums</w:t>
      </w:r>
      <w:r w:rsidR="007F015A">
        <w:t xml:space="preserve"> līgumpētījumu īstenošanai</w:t>
      </w:r>
      <w:r w:rsidR="007F015A" w:rsidRPr="00A660BF">
        <w:t xml:space="preserve"> un ieņēmumi no intelektuālā īpašuma tiesību nodošanas. Starptautiskajos projektos visbūtiskākā loma ir</w:t>
      </w:r>
      <w:r w:rsidR="007F015A">
        <w:t xml:space="preserve"> Latvijas Universitātei (LU)</w:t>
      </w:r>
      <w:r w:rsidR="007F015A" w:rsidRPr="00A660BF">
        <w:t>,</w:t>
      </w:r>
      <w:r w:rsidR="007F015A">
        <w:t xml:space="preserve"> </w:t>
      </w:r>
      <w:r w:rsidR="007F015A" w:rsidRPr="00A660BF">
        <w:t xml:space="preserve"> </w:t>
      </w:r>
      <w:r w:rsidR="007F015A">
        <w:t xml:space="preserve">Rīgas Tehniskajai </w:t>
      </w:r>
      <w:r w:rsidR="007F015A" w:rsidRPr="00E0256A">
        <w:t>Universitātei (RTU)</w:t>
      </w:r>
      <w:r w:rsidR="008E133E" w:rsidRPr="00E0256A">
        <w:t xml:space="preserve"> un Latvijas organiskās sintēzes institūtam (OSI)</w:t>
      </w:r>
      <w:r w:rsidR="007F015A" w:rsidRPr="00E0256A">
        <w:t xml:space="preserve">, kas īstenojušas 72 procentus no kopējās starptautiski finansētās pētniecības. Savukārt vislielāko </w:t>
      </w:r>
      <w:r w:rsidR="008E133E" w:rsidRPr="00E0256A">
        <w:t xml:space="preserve">apjomu </w:t>
      </w:r>
      <w:r w:rsidR="007F015A" w:rsidRPr="00E0256A">
        <w:t>privāti finansē</w:t>
      </w:r>
      <w:r w:rsidR="008E133E" w:rsidRPr="00E0256A">
        <w:t>tas</w:t>
      </w:r>
      <w:r w:rsidR="007F015A" w:rsidRPr="00E0256A">
        <w:t xml:space="preserve"> pētniecīb</w:t>
      </w:r>
      <w:r w:rsidR="008E133E" w:rsidRPr="00E0256A">
        <w:t>as</w:t>
      </w:r>
      <w:r w:rsidR="007F015A" w:rsidRPr="00E0256A">
        <w:t xml:space="preserve"> īstenojušas  Latvijas Valsts Mežzinātnes institūts „Silava” (Silava), RTU, LU Matemātikas un informātikas institūt</w:t>
      </w:r>
      <w:r w:rsidR="008E133E" w:rsidRPr="00E0256A">
        <w:t>s</w:t>
      </w:r>
      <w:r w:rsidR="007F015A" w:rsidRPr="00E0256A">
        <w:t xml:space="preserve"> (LU MII) un OSI. </w:t>
      </w:r>
    </w:p>
    <w:p w14:paraId="6874CC3D" w14:textId="368DEDF3" w:rsidR="000508F6" w:rsidRPr="00E0256A" w:rsidRDefault="00405972" w:rsidP="00E7642A">
      <w:pPr>
        <w:pStyle w:val="NormalWeb"/>
        <w:spacing w:before="0" w:beforeAutospacing="0" w:after="0" w:afterAutospacing="0"/>
        <w:ind w:firstLine="567"/>
        <w:jc w:val="both"/>
      </w:pPr>
      <w:r w:rsidRPr="00E0256A">
        <w:t>Laikā no 2012.</w:t>
      </w:r>
      <w:r w:rsidR="008B1832" w:rsidRPr="00E0256A">
        <w:t> </w:t>
      </w:r>
      <w:r w:rsidRPr="00E0256A">
        <w:t>gada novembra līdz 2013.</w:t>
      </w:r>
      <w:r w:rsidR="008B1832" w:rsidRPr="00E0256A">
        <w:t> </w:t>
      </w:r>
      <w:r w:rsidRPr="00E0256A">
        <w:t xml:space="preserve">gada aprīlim, </w:t>
      </w:r>
      <w:r w:rsidR="000508F6" w:rsidRPr="00E0256A">
        <w:t>IZM sadarbībā ar Ziemeļu Ministru padomes sekretariātu Latvijā īstenoja Latvijas zinātnes starptautisko izvērtējumu</w:t>
      </w:r>
      <w:r w:rsidR="000508F6" w:rsidRPr="00E0256A">
        <w:rPr>
          <w:vertAlign w:val="superscript"/>
        </w:rPr>
        <w:footnoteReference w:id="6"/>
      </w:r>
      <w:r w:rsidRPr="00E0256A">
        <w:t xml:space="preserve"> Zinātniskās darbības likuma pārejas noteikumu 18.</w:t>
      </w:r>
      <w:r w:rsidR="008E6B76" w:rsidRPr="00E0256A">
        <w:t xml:space="preserve"> </w:t>
      </w:r>
      <w:r w:rsidRPr="00E0256A">
        <w:t>punktam</w:t>
      </w:r>
      <w:r w:rsidR="000008EB" w:rsidRPr="00E0256A">
        <w:t xml:space="preserve"> par laika periodu no 2006. līdz 2012.gadam.</w:t>
      </w:r>
      <w:r w:rsidRPr="00E0256A">
        <w:t xml:space="preserve"> </w:t>
      </w:r>
      <w:r w:rsidR="008E133E" w:rsidRPr="00E0256A">
        <w:t xml:space="preserve">Tā </w:t>
      </w:r>
      <w:r w:rsidR="000508F6" w:rsidRPr="00E0256A">
        <w:t>ietvaros tika izvērtētas 140 vērtēšanas vienības</w:t>
      </w:r>
      <w:r w:rsidR="008E133E" w:rsidRPr="00E0256A">
        <w:t xml:space="preserve"> - </w:t>
      </w:r>
      <w:r w:rsidR="00BB7DF6" w:rsidRPr="00E0256A">
        <w:t>gan atsevišķas</w:t>
      </w:r>
      <w:r w:rsidR="000508F6" w:rsidRPr="00E0256A">
        <w:t xml:space="preserve"> valsts dibinātās zinātniskās institūcijas</w:t>
      </w:r>
      <w:r w:rsidR="00BB7DF6" w:rsidRPr="00E0256A">
        <w:t>, gan to</w:t>
      </w:r>
      <w:r w:rsidR="000508F6" w:rsidRPr="00E0256A">
        <w:t xml:space="preserve"> struktūrvienības</w:t>
      </w:r>
      <w:r w:rsidR="00F80A14" w:rsidRPr="00E0256A">
        <w:t>, gan arī privāto tiesību juridisko personu dibinātās zinātniskās institūcijas vai to struktūrvienības</w:t>
      </w:r>
      <w:r w:rsidR="000508F6" w:rsidRPr="00E0256A">
        <w:rPr>
          <w:vertAlign w:val="superscript"/>
        </w:rPr>
        <w:footnoteReference w:id="7"/>
      </w:r>
      <w:r w:rsidR="000508F6" w:rsidRPr="00E0256A">
        <w:t>:</w:t>
      </w:r>
    </w:p>
    <w:p w14:paraId="63CC2696" w14:textId="77777777" w:rsidR="0091239D" w:rsidRPr="00E0256A" w:rsidRDefault="00CB0580" w:rsidP="00E7642A">
      <w:pPr>
        <w:pStyle w:val="NormalWeb"/>
        <w:numPr>
          <w:ilvl w:val="0"/>
          <w:numId w:val="3"/>
        </w:numPr>
        <w:spacing w:before="0" w:beforeAutospacing="0" w:after="0" w:afterAutospacing="0"/>
        <w:jc w:val="both"/>
      </w:pPr>
      <w:r w:rsidRPr="00E0256A">
        <w:t xml:space="preserve">kā spēcīgs starptautisks spēlētājs </w:t>
      </w:r>
      <w:r w:rsidR="000508F6" w:rsidRPr="00E0256A">
        <w:t xml:space="preserve">ar vērtējumu “5” </w:t>
      </w:r>
      <w:r w:rsidR="00485B39" w:rsidRPr="00E0256A">
        <w:t xml:space="preserve">novērtēts </w:t>
      </w:r>
      <w:r w:rsidR="00530E25" w:rsidRPr="00E0256A">
        <w:t xml:space="preserve">viens </w:t>
      </w:r>
      <w:r w:rsidR="000508F6" w:rsidRPr="00E0256A">
        <w:t xml:space="preserve">valsts </w:t>
      </w:r>
      <w:r w:rsidR="00485B39" w:rsidRPr="00E0256A">
        <w:t xml:space="preserve">zinātniskais institūts un </w:t>
      </w:r>
      <w:r w:rsidR="000508F6" w:rsidRPr="00E0256A">
        <w:t xml:space="preserve">ar vērtējumu “4” novērtētas 14 zinātniskās institūcijas </w:t>
      </w:r>
      <w:r w:rsidR="00BB7DF6" w:rsidRPr="00E0256A">
        <w:t>vai</w:t>
      </w:r>
      <w:r w:rsidR="00442C92" w:rsidRPr="00E0256A">
        <w:t xml:space="preserve"> to struktūrvienības</w:t>
      </w:r>
      <w:r w:rsidR="00530E25" w:rsidRPr="00E0256A">
        <w:t>;</w:t>
      </w:r>
    </w:p>
    <w:p w14:paraId="29F12DF2" w14:textId="62BC1D36" w:rsidR="0091239D" w:rsidRDefault="000508F6" w:rsidP="00E7642A">
      <w:pPr>
        <w:pStyle w:val="NormalWeb"/>
        <w:numPr>
          <w:ilvl w:val="0"/>
          <w:numId w:val="3"/>
        </w:numPr>
        <w:spacing w:before="0" w:beforeAutospacing="0" w:after="0" w:afterAutospacing="0"/>
        <w:jc w:val="both"/>
      </w:pPr>
      <w:r w:rsidRPr="00E0256A">
        <w:t xml:space="preserve">kā spēcīgi vietējie spēlētāji </w:t>
      </w:r>
      <w:r w:rsidR="003241EB" w:rsidRPr="00E0256A">
        <w:t xml:space="preserve">ar vērtējumu </w:t>
      </w:r>
      <w:r w:rsidRPr="00E0256A">
        <w:t>“3”</w:t>
      </w:r>
      <w:r w:rsidRPr="00C07278">
        <w:t xml:space="preserve"> novērtētas 35 zinātniskās institūcijas</w:t>
      </w:r>
      <w:r w:rsidR="007276C6">
        <w:t xml:space="preserve"> </w:t>
      </w:r>
      <w:r w:rsidR="007276C6" w:rsidRPr="00E0256A">
        <w:t>vai to struktūrvienības;</w:t>
      </w:r>
    </w:p>
    <w:p w14:paraId="247C7482" w14:textId="77777777" w:rsidR="0091239D" w:rsidRDefault="000508F6" w:rsidP="00E7642A">
      <w:pPr>
        <w:pStyle w:val="NormalWeb"/>
        <w:numPr>
          <w:ilvl w:val="0"/>
          <w:numId w:val="3"/>
        </w:numPr>
        <w:spacing w:before="0" w:beforeAutospacing="0" w:after="0" w:afterAutospacing="0"/>
        <w:jc w:val="both"/>
      </w:pPr>
      <w:r w:rsidRPr="00C07278">
        <w:t xml:space="preserve">kā apmierinoši vietējie spēlētāji </w:t>
      </w:r>
      <w:r w:rsidR="003241EB">
        <w:t xml:space="preserve">ar </w:t>
      </w:r>
      <w:r w:rsidRPr="00C07278">
        <w:t>vērtējum</w:t>
      </w:r>
      <w:r w:rsidR="003241EB">
        <w:t>u</w:t>
      </w:r>
      <w:r w:rsidRPr="00C07278">
        <w:t xml:space="preserve"> “2” novērtētas 67</w:t>
      </w:r>
      <w:r w:rsidR="0091239D">
        <w:t xml:space="preserve"> </w:t>
      </w:r>
      <w:r w:rsidR="0091239D" w:rsidRPr="00C07278">
        <w:t>zinātniskās institūcijas</w:t>
      </w:r>
      <w:r w:rsidR="00BB7DF6">
        <w:t xml:space="preserve"> vai to struktūrvienības</w:t>
      </w:r>
      <w:r w:rsidR="0091239D">
        <w:t>;</w:t>
      </w:r>
    </w:p>
    <w:p w14:paraId="558E5FAA" w14:textId="77777777" w:rsidR="004F7B16" w:rsidRDefault="000508F6" w:rsidP="00E7642A">
      <w:pPr>
        <w:pStyle w:val="NormalWeb"/>
        <w:numPr>
          <w:ilvl w:val="0"/>
          <w:numId w:val="3"/>
        </w:numPr>
        <w:spacing w:before="0" w:beforeAutospacing="0" w:after="0" w:afterAutospacing="0"/>
        <w:jc w:val="both"/>
      </w:pPr>
      <w:r w:rsidRPr="00C07278">
        <w:t xml:space="preserve">par vājām </w:t>
      </w:r>
      <w:r w:rsidR="0091239D">
        <w:t xml:space="preserve">un ar </w:t>
      </w:r>
      <w:r w:rsidRPr="00C07278">
        <w:t>vērtējum</w:t>
      </w:r>
      <w:r w:rsidR="0091239D">
        <w:t xml:space="preserve">u </w:t>
      </w:r>
      <w:r w:rsidRPr="00C07278">
        <w:t xml:space="preserve">“1” </w:t>
      </w:r>
      <w:r w:rsidR="0091239D">
        <w:t>novērtētas</w:t>
      </w:r>
      <w:r w:rsidR="0091239D" w:rsidRPr="00C07278">
        <w:t xml:space="preserve"> </w:t>
      </w:r>
      <w:r w:rsidRPr="00C07278">
        <w:t xml:space="preserve">23 institūcijas </w:t>
      </w:r>
      <w:r w:rsidR="00BB7DF6">
        <w:t xml:space="preserve">vai to </w:t>
      </w:r>
      <w:r w:rsidR="006452D3">
        <w:t xml:space="preserve">struktūrvienības </w:t>
      </w:r>
      <w:r w:rsidRPr="00C07278">
        <w:t>(</w:t>
      </w:r>
      <w:r w:rsidRPr="002678BB">
        <w:t>sk</w:t>
      </w:r>
      <w:r w:rsidR="004057D8">
        <w:t>at</w:t>
      </w:r>
      <w:r w:rsidRPr="002678BB">
        <w:t xml:space="preserve">. </w:t>
      </w:r>
      <w:r w:rsidR="004057D8">
        <w:t>1.</w:t>
      </w:r>
      <w:r w:rsidR="008B1832">
        <w:t> </w:t>
      </w:r>
      <w:r w:rsidR="00D443DB" w:rsidRPr="002678BB">
        <w:t xml:space="preserve">attēlu un </w:t>
      </w:r>
      <w:r w:rsidR="00A141E9" w:rsidRPr="002678BB">
        <w:t>1</w:t>
      </w:r>
      <w:r w:rsidRPr="002678BB">
        <w:t>.</w:t>
      </w:r>
      <w:r w:rsidR="008E6B76" w:rsidRPr="002678BB">
        <w:t xml:space="preserve"> </w:t>
      </w:r>
      <w:r w:rsidRPr="002678BB">
        <w:t xml:space="preserve">pielikumu). </w:t>
      </w:r>
    </w:p>
    <w:p w14:paraId="73F44B00" w14:textId="77777777" w:rsidR="00566937" w:rsidRDefault="00566937" w:rsidP="00E7642A">
      <w:pPr>
        <w:spacing w:after="160" w:line="259" w:lineRule="auto"/>
        <w:ind w:left="0"/>
        <w:jc w:val="left"/>
        <w:rPr>
          <w:rFonts w:ascii="Times New Roman" w:hAnsi="Times New Roman"/>
          <w:i/>
          <w:iCs/>
          <w:sz w:val="24"/>
          <w:szCs w:val="24"/>
        </w:rPr>
      </w:pPr>
      <w:r>
        <w:rPr>
          <w:rFonts w:ascii="Times New Roman" w:hAnsi="Times New Roman"/>
          <w:sz w:val="24"/>
          <w:szCs w:val="24"/>
        </w:rPr>
        <w:br w:type="page"/>
      </w:r>
    </w:p>
    <w:p w14:paraId="51F8DEB0" w14:textId="122015E2" w:rsidR="000508F6" w:rsidRPr="00C07278" w:rsidRDefault="000508F6" w:rsidP="00E7642A">
      <w:pPr>
        <w:pStyle w:val="Caption"/>
        <w:spacing w:before="120" w:after="120"/>
        <w:jc w:val="right"/>
        <w:rPr>
          <w:shd w:val="clear" w:color="auto" w:fill="D9D9D9" w:themeFill="background1" w:themeFillShade="D9"/>
        </w:rPr>
      </w:pPr>
      <w:r w:rsidRPr="00622315">
        <w:rPr>
          <w:rFonts w:ascii="Times New Roman" w:hAnsi="Times New Roman"/>
          <w:color w:val="auto"/>
          <w:sz w:val="24"/>
          <w:szCs w:val="24"/>
        </w:rPr>
        <w:lastRenderedPageBreak/>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00417751"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00417751" w:rsidRPr="00622315">
        <w:rPr>
          <w:rFonts w:ascii="Times New Roman" w:hAnsi="Times New Roman"/>
          <w:color w:val="auto"/>
          <w:sz w:val="24"/>
          <w:szCs w:val="24"/>
        </w:rPr>
        <w:fldChar w:fldCharType="separate"/>
      </w:r>
      <w:r w:rsidR="00E7642A">
        <w:rPr>
          <w:rFonts w:ascii="Times New Roman" w:hAnsi="Times New Roman"/>
          <w:noProof/>
          <w:color w:val="auto"/>
          <w:sz w:val="24"/>
          <w:szCs w:val="24"/>
        </w:rPr>
        <w:t>1</w:t>
      </w:r>
      <w:r w:rsidR="00417751" w:rsidRPr="00622315">
        <w:rPr>
          <w:rFonts w:ascii="Times New Roman" w:hAnsi="Times New Roman"/>
          <w:color w:val="auto"/>
          <w:sz w:val="24"/>
          <w:szCs w:val="24"/>
        </w:rPr>
        <w:fldChar w:fldCharType="end"/>
      </w:r>
      <w:r>
        <w:rPr>
          <w:rFonts w:ascii="Times New Roman" w:hAnsi="Times New Roman"/>
          <w:color w:val="auto"/>
          <w:sz w:val="24"/>
          <w:szCs w:val="24"/>
        </w:rPr>
        <w:t>.</w:t>
      </w:r>
    </w:p>
    <w:p w14:paraId="5383EF49" w14:textId="77777777" w:rsidR="000508F6" w:rsidRPr="00E95C52" w:rsidRDefault="000508F6" w:rsidP="00E7642A">
      <w:pPr>
        <w:pStyle w:val="NormalWeb"/>
        <w:spacing w:before="0" w:beforeAutospacing="0" w:after="120" w:afterAutospacing="0"/>
        <w:ind w:firstLine="567"/>
        <w:jc w:val="center"/>
        <w:rPr>
          <w:b/>
        </w:rPr>
      </w:pPr>
      <w:r w:rsidRPr="00E95C52">
        <w:rPr>
          <w:b/>
        </w:rPr>
        <w:t>Zinātnisko institūciju starptautiskā novērtējuma rezultāti</w:t>
      </w:r>
    </w:p>
    <w:p w14:paraId="077FAC33" w14:textId="77777777" w:rsidR="000508F6" w:rsidRPr="00C07278" w:rsidRDefault="000508F6" w:rsidP="00E7642A">
      <w:pPr>
        <w:pStyle w:val="NormalWeb"/>
        <w:spacing w:before="0" w:beforeAutospacing="0" w:after="0" w:afterAutospacing="0"/>
        <w:jc w:val="both"/>
      </w:pPr>
      <w:r w:rsidRPr="00C07278">
        <w:rPr>
          <w:noProof/>
        </w:rPr>
        <w:drawing>
          <wp:inline distT="0" distB="0" distL="0" distR="0" wp14:anchorId="72AC44EB" wp14:editId="70016422">
            <wp:extent cx="5734050" cy="28765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FDCA7D" w14:textId="77777777" w:rsidR="000508F6" w:rsidRPr="00E95C52" w:rsidRDefault="000508F6" w:rsidP="00E7642A">
      <w:pPr>
        <w:pStyle w:val="NormalWeb"/>
        <w:spacing w:before="0" w:beforeAutospacing="0" w:after="0" w:afterAutospacing="0"/>
        <w:rPr>
          <w:i/>
        </w:rPr>
      </w:pPr>
      <w:r w:rsidRPr="00E95C52">
        <w:rPr>
          <w:i/>
        </w:rPr>
        <w:t>Datu avots: IZM</w:t>
      </w:r>
    </w:p>
    <w:p w14:paraId="6E4DEC75" w14:textId="77777777" w:rsidR="000508F6" w:rsidRPr="00C07278" w:rsidRDefault="000508F6" w:rsidP="00E7642A">
      <w:pPr>
        <w:pStyle w:val="NormalWeb"/>
        <w:spacing w:before="0" w:beforeAutospacing="0" w:after="0" w:afterAutospacing="0"/>
        <w:ind w:firstLine="567"/>
        <w:jc w:val="both"/>
      </w:pPr>
    </w:p>
    <w:p w14:paraId="3E75368C" w14:textId="77777777" w:rsidR="009F4AAD" w:rsidRPr="002678BB" w:rsidRDefault="006452D3" w:rsidP="00E7642A">
      <w:pPr>
        <w:pStyle w:val="Normal1"/>
        <w:ind w:firstLine="567"/>
        <w:jc w:val="both"/>
        <w:rPr>
          <w:rFonts w:ascii="Times New Roman" w:hAnsi="Times New Roman"/>
        </w:rPr>
      </w:pPr>
      <w:r>
        <w:rPr>
          <w:rFonts w:ascii="Times New Roman" w:eastAsia="Times New Roman" w:hAnsi="Times New Roman" w:cs="Times New Roman"/>
          <w:color w:val="auto"/>
          <w:szCs w:val="24"/>
        </w:rPr>
        <w:t>Starptautiskā i</w:t>
      </w:r>
      <w:r w:rsidR="00A42FBD">
        <w:rPr>
          <w:rFonts w:ascii="Times New Roman" w:eastAsia="Times New Roman" w:hAnsi="Times New Roman" w:cs="Times New Roman"/>
          <w:color w:val="auto"/>
          <w:szCs w:val="24"/>
        </w:rPr>
        <w:t xml:space="preserve">zvērtējuma </w:t>
      </w:r>
      <w:r w:rsidR="000508F6" w:rsidRPr="00C07278">
        <w:rPr>
          <w:rFonts w:ascii="Times New Roman" w:hAnsi="Times New Roman"/>
          <w:szCs w:val="24"/>
        </w:rPr>
        <w:t xml:space="preserve">eksperti </w:t>
      </w:r>
      <w:r w:rsidR="00A42FBD">
        <w:rPr>
          <w:rFonts w:ascii="Times New Roman" w:hAnsi="Times New Roman"/>
          <w:szCs w:val="24"/>
        </w:rPr>
        <w:t>akcentē</w:t>
      </w:r>
      <w:r w:rsidR="00855722">
        <w:rPr>
          <w:rFonts w:ascii="Times New Roman" w:hAnsi="Times New Roman"/>
          <w:szCs w:val="24"/>
        </w:rPr>
        <w:t>ja</w:t>
      </w:r>
      <w:r w:rsidR="000508F6" w:rsidRPr="00C07278">
        <w:rPr>
          <w:rFonts w:ascii="Times New Roman" w:hAnsi="Times New Roman"/>
          <w:szCs w:val="24"/>
        </w:rPr>
        <w:t>, ka</w:t>
      </w:r>
      <w:r w:rsidR="00A42FBD">
        <w:rPr>
          <w:rFonts w:ascii="Times New Roman" w:hAnsi="Times New Roman"/>
          <w:szCs w:val="24"/>
        </w:rPr>
        <w:t xml:space="preserve"> pētniecības sistēmas stiprināšana nav iespējama bez fragmentācijas mazināšanas</w:t>
      </w:r>
      <w:r w:rsidR="000508F6" w:rsidRPr="00C07278">
        <w:rPr>
          <w:rFonts w:ascii="Times New Roman" w:hAnsi="Times New Roman"/>
          <w:szCs w:val="24"/>
        </w:rPr>
        <w:t>. Salīdzinot zinātnes nozaru grupas, eksperti norād</w:t>
      </w:r>
      <w:r>
        <w:rPr>
          <w:rFonts w:ascii="Times New Roman" w:hAnsi="Times New Roman"/>
          <w:szCs w:val="24"/>
        </w:rPr>
        <w:t>īja</w:t>
      </w:r>
      <w:r w:rsidR="000508F6" w:rsidRPr="00C07278">
        <w:rPr>
          <w:rFonts w:ascii="Times New Roman" w:hAnsi="Times New Roman"/>
          <w:szCs w:val="24"/>
        </w:rPr>
        <w:t xml:space="preserve">, ka ļoti fragmentētas ir zinātniskās institūcijas humanitārajās, lauksaimniecības un inženierzinātnēs. </w:t>
      </w:r>
      <w:r w:rsidR="009F4AAD">
        <w:rPr>
          <w:rFonts w:ascii="Times New Roman" w:hAnsi="Times New Roman"/>
          <w:szCs w:val="24"/>
        </w:rPr>
        <w:t>Tāpat e</w:t>
      </w:r>
      <w:r w:rsidR="000508F6" w:rsidRPr="00C07278">
        <w:rPr>
          <w:rFonts w:ascii="Times New Roman" w:hAnsi="Times New Roman"/>
          <w:szCs w:val="24"/>
        </w:rPr>
        <w:t>ksperti uzsv</w:t>
      </w:r>
      <w:r w:rsidR="00855722">
        <w:rPr>
          <w:rFonts w:ascii="Times New Roman" w:hAnsi="Times New Roman"/>
          <w:szCs w:val="24"/>
        </w:rPr>
        <w:t>ē</w:t>
      </w:r>
      <w:r w:rsidR="000508F6" w:rsidRPr="00C07278">
        <w:rPr>
          <w:rFonts w:ascii="Times New Roman" w:hAnsi="Times New Roman"/>
          <w:szCs w:val="24"/>
        </w:rPr>
        <w:t>r</w:t>
      </w:r>
      <w:r w:rsidR="00855722">
        <w:rPr>
          <w:rFonts w:ascii="Times New Roman" w:hAnsi="Times New Roman"/>
          <w:szCs w:val="24"/>
        </w:rPr>
        <w:t>a</w:t>
      </w:r>
      <w:r w:rsidR="000508F6" w:rsidRPr="00C07278">
        <w:rPr>
          <w:rFonts w:ascii="Times New Roman" w:hAnsi="Times New Roman"/>
          <w:szCs w:val="24"/>
        </w:rPr>
        <w:t>, ka paralēla vienas jomas pētniecības un akadēmisko vienību pastāvēšana vienā augstākās izglītības iestādē nozīmē fragmentāciju un dublēšanos, ko tik maza valsts kā Latvija nevar atļauties</w:t>
      </w:r>
      <w:r w:rsidR="000508F6" w:rsidRPr="00C50BCA">
        <w:rPr>
          <w:rFonts w:ascii="Times New Roman" w:hAnsi="Times New Roman"/>
          <w:szCs w:val="24"/>
          <w:vertAlign w:val="superscript"/>
        </w:rPr>
        <w:footnoteReference w:id="8"/>
      </w:r>
      <w:r w:rsidR="000508F6" w:rsidRPr="00C07278">
        <w:rPr>
          <w:rFonts w:ascii="Times New Roman" w:hAnsi="Times New Roman"/>
          <w:szCs w:val="24"/>
        </w:rPr>
        <w:t xml:space="preserve">. </w:t>
      </w:r>
      <w:r w:rsidR="009F4AAD">
        <w:rPr>
          <w:rFonts w:ascii="Times New Roman" w:eastAsia="Times New Roman" w:hAnsi="Times New Roman" w:cs="Times New Roman"/>
          <w:color w:val="auto"/>
          <w:szCs w:val="24"/>
        </w:rPr>
        <w:t xml:space="preserve">Attiecīgi eksperti ieteica par </w:t>
      </w:r>
      <w:r w:rsidR="009F4AAD" w:rsidRPr="00481261">
        <w:rPr>
          <w:rFonts w:ascii="Times New Roman" w:eastAsia="Times New Roman" w:hAnsi="Times New Roman" w:cs="Times New Roman"/>
          <w:color w:val="auto"/>
          <w:szCs w:val="24"/>
        </w:rPr>
        <w:t xml:space="preserve">zinātnes konsolidācijas centriem izmantot un turpmāko zinātnes institucionālo attīstību katrā zinātņu nozarē koncentrēt ap tām institūcijām, kas ir novērtētas kā spēcīgi starptautiskie spēlētāji un spēcīgi vietējie spēlētāji.  </w:t>
      </w:r>
      <w:r w:rsidR="009F4AAD">
        <w:rPr>
          <w:rFonts w:ascii="Times New Roman" w:eastAsia="Times New Roman" w:hAnsi="Times New Roman" w:cs="Times New Roman"/>
          <w:color w:val="auto"/>
          <w:szCs w:val="24"/>
        </w:rPr>
        <w:t>Savukārt attiecībā uz</w:t>
      </w:r>
      <w:r w:rsidR="009F4AAD" w:rsidRPr="00A42FBD">
        <w:rPr>
          <w:rFonts w:ascii="Times New Roman" w:eastAsia="Times New Roman" w:hAnsi="Times New Roman" w:cs="Times New Roman"/>
          <w:color w:val="auto"/>
          <w:szCs w:val="24"/>
        </w:rPr>
        <w:t xml:space="preserve"> zinātniskajām institūcijām, kas novērtētas ar vērtējumu „2” un „1”, </w:t>
      </w:r>
      <w:r w:rsidR="009F4AAD">
        <w:rPr>
          <w:rFonts w:ascii="Times New Roman" w:eastAsia="Times New Roman" w:hAnsi="Times New Roman" w:cs="Times New Roman"/>
          <w:color w:val="auto"/>
          <w:szCs w:val="24"/>
        </w:rPr>
        <w:t xml:space="preserve">ekspertu rekomendācijas ietvēra ieteikumus par to </w:t>
      </w:r>
      <w:r w:rsidR="009F4AAD" w:rsidRPr="00A42FBD">
        <w:rPr>
          <w:rFonts w:ascii="Times New Roman" w:eastAsia="Times New Roman" w:hAnsi="Times New Roman" w:cs="Times New Roman"/>
          <w:color w:val="auto"/>
          <w:szCs w:val="24"/>
        </w:rPr>
        <w:t>tematisk</w:t>
      </w:r>
      <w:r w:rsidR="009F4AAD">
        <w:rPr>
          <w:rFonts w:ascii="Times New Roman" w:eastAsia="Times New Roman" w:hAnsi="Times New Roman" w:cs="Times New Roman"/>
          <w:color w:val="auto"/>
          <w:szCs w:val="24"/>
        </w:rPr>
        <w:t xml:space="preserve">o </w:t>
      </w:r>
      <w:r w:rsidR="009F4AAD" w:rsidRPr="00A42FBD">
        <w:rPr>
          <w:rFonts w:ascii="Times New Roman" w:eastAsia="Times New Roman" w:hAnsi="Times New Roman" w:cs="Times New Roman"/>
          <w:color w:val="auto"/>
          <w:szCs w:val="24"/>
        </w:rPr>
        <w:t>apvienošan</w:t>
      </w:r>
      <w:r w:rsidR="009F4AAD">
        <w:rPr>
          <w:rFonts w:ascii="Times New Roman" w:eastAsia="Times New Roman" w:hAnsi="Times New Roman" w:cs="Times New Roman"/>
          <w:color w:val="auto"/>
          <w:szCs w:val="24"/>
        </w:rPr>
        <w:t>u</w:t>
      </w:r>
      <w:r w:rsidR="009F4AAD" w:rsidRPr="00A42FBD">
        <w:rPr>
          <w:rFonts w:ascii="Times New Roman" w:eastAsia="Times New Roman" w:hAnsi="Times New Roman" w:cs="Times New Roman"/>
          <w:color w:val="auto"/>
          <w:szCs w:val="24"/>
        </w:rPr>
        <w:t xml:space="preserve"> vai vājāko institūciju pievienošanu spēcīgākajām zinātniskajām institūcijām</w:t>
      </w:r>
      <w:r w:rsidR="009F4AAD">
        <w:rPr>
          <w:rFonts w:ascii="Times New Roman" w:eastAsia="Times New Roman" w:hAnsi="Times New Roman" w:cs="Times New Roman"/>
          <w:color w:val="auto"/>
          <w:szCs w:val="24"/>
        </w:rPr>
        <w:t xml:space="preserve">, tādējādi attīstot zinātniskās </w:t>
      </w:r>
      <w:r>
        <w:rPr>
          <w:rFonts w:ascii="Times New Roman" w:eastAsia="Times New Roman" w:hAnsi="Times New Roman" w:cs="Times New Roman"/>
          <w:color w:val="auto"/>
          <w:szCs w:val="24"/>
        </w:rPr>
        <w:t xml:space="preserve">institūcijas </w:t>
      </w:r>
      <w:r w:rsidR="009F4AAD">
        <w:rPr>
          <w:rFonts w:ascii="Times New Roman" w:eastAsia="Times New Roman" w:hAnsi="Times New Roman" w:cs="Times New Roman"/>
          <w:color w:val="auto"/>
          <w:szCs w:val="24"/>
        </w:rPr>
        <w:t>ar spēcīgāku kritisko masu un nozīmīgu starptautisko profilu.</w:t>
      </w:r>
      <w:r w:rsidR="008E133E">
        <w:rPr>
          <w:rFonts w:ascii="Times New Roman" w:eastAsia="Times New Roman" w:hAnsi="Times New Roman" w:cs="Times New Roman"/>
          <w:color w:val="auto"/>
          <w:szCs w:val="24"/>
        </w:rPr>
        <w:t xml:space="preserve"> </w:t>
      </w:r>
      <w:r w:rsidR="008E133E" w:rsidRPr="002678BB">
        <w:rPr>
          <w:rFonts w:ascii="Times New Roman" w:hAnsi="Times New Roman" w:cs="Times New Roman"/>
        </w:rPr>
        <w:t>E</w:t>
      </w:r>
      <w:r w:rsidR="000508F6" w:rsidRPr="002678BB">
        <w:rPr>
          <w:rFonts w:ascii="Times New Roman" w:hAnsi="Times New Roman" w:cs="Times New Roman"/>
        </w:rPr>
        <w:t xml:space="preserve">ksperti konstatēja </w:t>
      </w:r>
      <w:r>
        <w:rPr>
          <w:rFonts w:ascii="Times New Roman" w:hAnsi="Times New Roman" w:cs="Times New Roman"/>
        </w:rPr>
        <w:t xml:space="preserve">arī </w:t>
      </w:r>
      <w:r w:rsidR="000508F6" w:rsidRPr="002678BB">
        <w:rPr>
          <w:rFonts w:ascii="Times New Roman" w:hAnsi="Times New Roman" w:cs="Times New Roman"/>
        </w:rPr>
        <w:t xml:space="preserve">gadījumus, kad zinātnisko institūciju pilnveidotā un iegādātā pētniecības infrastruktūra un iekārtas daļēji saistītas vai neatbilst izvērtējamo institūciju pētniecības programmām. </w:t>
      </w:r>
      <w:r w:rsidR="0025277C" w:rsidRPr="002678BB">
        <w:rPr>
          <w:rFonts w:ascii="Times New Roman" w:hAnsi="Times New Roman" w:cs="Times New Roman"/>
        </w:rPr>
        <w:t>Attiecīgi</w:t>
      </w:r>
      <w:r w:rsidR="009F4AAD" w:rsidRPr="002678BB">
        <w:rPr>
          <w:rFonts w:ascii="Times New Roman" w:hAnsi="Times New Roman" w:cs="Times New Roman"/>
        </w:rPr>
        <w:t xml:space="preserve"> </w:t>
      </w:r>
      <w:r w:rsidR="000508F6" w:rsidRPr="002678BB">
        <w:rPr>
          <w:rFonts w:ascii="Times New Roman" w:hAnsi="Times New Roman" w:cs="Times New Roman"/>
        </w:rPr>
        <w:t xml:space="preserve">eksperti </w:t>
      </w:r>
      <w:r w:rsidR="009D795B" w:rsidRPr="002678BB">
        <w:rPr>
          <w:rFonts w:ascii="Times New Roman" w:hAnsi="Times New Roman" w:cs="Times New Roman"/>
        </w:rPr>
        <w:t xml:space="preserve">ieteica </w:t>
      </w:r>
      <w:r w:rsidR="000508F6" w:rsidRPr="002678BB">
        <w:rPr>
          <w:rFonts w:ascii="Times New Roman" w:hAnsi="Times New Roman" w:cs="Times New Roman"/>
        </w:rPr>
        <w:t>zinātniskajām institūcijām, veikt nepieciešamos pasākumus, lai uzlabot to pētniecības resursu izmantošanu un plānošanu</w:t>
      </w:r>
      <w:r w:rsidR="00A42FBD" w:rsidRPr="002678BB">
        <w:rPr>
          <w:rFonts w:ascii="Times New Roman" w:hAnsi="Times New Roman" w:cs="Times New Roman"/>
        </w:rPr>
        <w:t>.</w:t>
      </w:r>
    </w:p>
    <w:p w14:paraId="31BA5E05" w14:textId="349FFAAB" w:rsidR="00527638" w:rsidRDefault="009F4AAD" w:rsidP="00E7642A">
      <w:pPr>
        <w:pStyle w:val="ListParagraph"/>
        <w:spacing w:before="0"/>
        <w:ind w:left="0" w:firstLine="567"/>
      </w:pPr>
      <w:r>
        <w:t>L</w:t>
      </w:r>
      <w:r w:rsidRPr="007731EA">
        <w:t xml:space="preserve">ai </w:t>
      </w:r>
      <w:r w:rsidR="008E133E">
        <w:t>koncentrētu pētniecību konkurētspējīgās zinātniskajās institūcijās un universitātēs kā zināšanu centros</w:t>
      </w:r>
      <w:r w:rsidR="00F80A14">
        <w:t>,</w:t>
      </w:r>
      <w:r w:rsidR="008E133E">
        <w:t xml:space="preserve"> MK</w:t>
      </w:r>
      <w:r w:rsidR="00106F39">
        <w:t xml:space="preserve"> pamatojoties uz </w:t>
      </w:r>
      <w:r w:rsidR="006452D3">
        <w:t xml:space="preserve">starptautiskā </w:t>
      </w:r>
      <w:r w:rsidR="00106F39">
        <w:t xml:space="preserve">izvērtējuma rezultātiem pieņēma vairākus lēmumus par pētniecības sistēmas strukturālajām reformām – zinātnisko institūciju konsolidāciju un attīstību. </w:t>
      </w:r>
      <w:r w:rsidR="00FF72C0">
        <w:t>K</w:t>
      </w:r>
      <w:r w:rsidRPr="007731EA">
        <w:t>onkurētspējīgāko zinātnisko institūciju rīcībspēju uzlabošan</w:t>
      </w:r>
      <w:r w:rsidR="00FF72C0">
        <w:t>a</w:t>
      </w:r>
      <w:r w:rsidR="0025277C">
        <w:t xml:space="preserve">, </w:t>
      </w:r>
      <w:r>
        <w:t>funkcionālo un teritoriālo</w:t>
      </w:r>
      <w:r w:rsidR="00F80A14">
        <w:t xml:space="preserve"> </w:t>
      </w:r>
      <w:r w:rsidR="00F80A14" w:rsidRPr="007731EA">
        <w:t>zinātnes resursu</w:t>
      </w:r>
      <w:r w:rsidRPr="007731EA">
        <w:t xml:space="preserve"> </w:t>
      </w:r>
      <w:r w:rsidR="00F80A14" w:rsidRPr="007731EA">
        <w:t>koncentrēšan</w:t>
      </w:r>
      <w:r w:rsidR="00FF72C0">
        <w:t>a</w:t>
      </w:r>
      <w:r w:rsidR="00F80A14">
        <w:t xml:space="preserve"> </w:t>
      </w:r>
      <w:r w:rsidR="0025277C">
        <w:t>un attīstīb</w:t>
      </w:r>
      <w:r w:rsidR="00FF72C0">
        <w:t>a</w:t>
      </w:r>
      <w:r w:rsidRPr="007731EA">
        <w:t xml:space="preserve"> atbilstoši zinātnes izvērtējuma rekomendācijām</w:t>
      </w:r>
      <w:r w:rsidRPr="007731EA">
        <w:rPr>
          <w:vertAlign w:val="superscript"/>
        </w:rPr>
        <w:footnoteReference w:id="9"/>
      </w:r>
      <w:r>
        <w:t xml:space="preserve"> </w:t>
      </w:r>
      <w:r w:rsidR="00FF72C0">
        <w:t xml:space="preserve">tika īstenota </w:t>
      </w:r>
      <w:r w:rsidR="00A23C31" w:rsidRPr="007731EA">
        <w:t>ES struktūrfondu 2007.</w:t>
      </w:r>
      <w:r w:rsidR="00566937">
        <w:t>–</w:t>
      </w:r>
      <w:r w:rsidR="00A23C31" w:rsidRPr="007731EA">
        <w:t>2013.</w:t>
      </w:r>
      <w:r w:rsidR="008B1832">
        <w:t> </w:t>
      </w:r>
      <w:r w:rsidR="00A23C31" w:rsidRPr="007731EA">
        <w:t>gada plānošanas perioda 2.1.1.3.3.</w:t>
      </w:r>
      <w:r w:rsidR="008B1832">
        <w:t> </w:t>
      </w:r>
      <w:r w:rsidR="00A23C31" w:rsidRPr="007731EA">
        <w:t xml:space="preserve">apakšaktivitātes „Zinātnisko institūciju institucionālās kapacitātes attīstība” </w:t>
      </w:r>
      <w:r w:rsidR="00A23C31" w:rsidRPr="007731EA">
        <w:lastRenderedPageBreak/>
        <w:t>īstenoto projektu ietvaros</w:t>
      </w:r>
      <w:r w:rsidR="00FF72C0">
        <w:t>.</w:t>
      </w:r>
      <w:r>
        <w:t xml:space="preserve"> </w:t>
      </w:r>
      <w:r w:rsidR="00FF72C0">
        <w:t xml:space="preserve">Iepriekš minēto projektu ietvaros, </w:t>
      </w:r>
      <w:r w:rsidR="007731EA" w:rsidRPr="007731EA">
        <w:t>2015.</w:t>
      </w:r>
      <w:r w:rsidR="006452D3">
        <w:t> </w:t>
      </w:r>
      <w:r w:rsidR="007731EA" w:rsidRPr="007731EA">
        <w:t xml:space="preserve">gadā </w:t>
      </w:r>
      <w:r w:rsidR="00C36215" w:rsidRPr="007731EA">
        <w:t xml:space="preserve">veikta 4 valsts zinātnisko institūtu, </w:t>
      </w:r>
      <w:r w:rsidR="00433D82">
        <w:t>10</w:t>
      </w:r>
      <w:r w:rsidR="00433D82" w:rsidRPr="007731EA">
        <w:t xml:space="preserve"> </w:t>
      </w:r>
      <w:r w:rsidR="00C36215" w:rsidRPr="007731EA">
        <w:t>augstskolu aģent</w:t>
      </w:r>
      <w:r w:rsidR="00920170" w:rsidRPr="007731EA">
        <w:t>ūru</w:t>
      </w:r>
      <w:r w:rsidR="00C36215" w:rsidRPr="007731EA">
        <w:t>, kā arī trīs juridisku personu dibinātu zinātnisko institūciju reorganizācija</w:t>
      </w:r>
      <w:r w:rsidR="00442C92">
        <w:t>. D</w:t>
      </w:r>
      <w:r w:rsidR="00442C92" w:rsidRPr="007513D8">
        <w:t xml:space="preserve">etalizētāka informācija par </w:t>
      </w:r>
      <w:r w:rsidR="00442C92" w:rsidRPr="007731EA">
        <w:t>2.1.1.3.3.</w:t>
      </w:r>
      <w:r w:rsidR="008B1832">
        <w:t> </w:t>
      </w:r>
      <w:r w:rsidR="00442C92" w:rsidRPr="007731EA">
        <w:t>apakšaktivitātes „Zinātnisko institūciju institucionālās kapacitātes attīstība”</w:t>
      </w:r>
      <w:r w:rsidR="00442C92">
        <w:t xml:space="preserve"> īstenošanu norādīta i</w:t>
      </w:r>
      <w:r w:rsidR="00442C92" w:rsidRPr="0006529A">
        <w:t>nfo</w:t>
      </w:r>
      <w:r w:rsidR="00442C92" w:rsidRPr="00E44215">
        <w:t>rmatīvā ziņojuma</w:t>
      </w:r>
      <w:r w:rsidR="00442C92">
        <w:t xml:space="preserve"> 4.</w:t>
      </w:r>
      <w:r w:rsidR="008B1832">
        <w:t> </w:t>
      </w:r>
      <w:r w:rsidR="00442C92">
        <w:t>sadaļā</w:t>
      </w:r>
      <w:r w:rsidR="00C36215" w:rsidRPr="007731EA">
        <w:t>.</w:t>
      </w:r>
    </w:p>
    <w:p w14:paraId="55B5B264" w14:textId="20AB156A" w:rsidR="00AA51B3" w:rsidRDefault="00527638" w:rsidP="00E7642A">
      <w:pPr>
        <w:pStyle w:val="ListParagraph"/>
        <w:ind w:left="0" w:firstLine="567"/>
      </w:pPr>
      <w:r w:rsidRPr="0006529A">
        <w:t>Sekojoši, 2016.</w:t>
      </w:r>
      <w:r>
        <w:t xml:space="preserve"> </w:t>
      </w:r>
      <w:r w:rsidRPr="0006529A">
        <w:t xml:space="preserve">gada </w:t>
      </w:r>
      <w:r w:rsidRPr="007513D8">
        <w:t>1.</w:t>
      </w:r>
      <w:r w:rsidR="008B1832">
        <w:t> </w:t>
      </w:r>
      <w:r w:rsidRPr="007513D8">
        <w:t xml:space="preserve">janvārī </w:t>
      </w:r>
      <w:r>
        <w:t>zinātnisko institūciju reģistrā</w:t>
      </w:r>
      <w:r w:rsidRPr="0006529A">
        <w:t xml:space="preserve"> </w:t>
      </w:r>
      <w:r>
        <w:t xml:space="preserve">ir </w:t>
      </w:r>
      <w:r w:rsidRPr="0006529A">
        <w:t>reģistrēta</w:t>
      </w:r>
      <w:r>
        <w:t xml:space="preserve">s </w:t>
      </w:r>
      <w:r w:rsidRPr="0006529A">
        <w:t>33 valsts dibinātas zinātniskās institūcijas, augstskolas vai augstskolu struktūrvienības un 44 privāto tiesību juridiskās personas dibinātās zinātniskās institūcijas, augstskolas vai augstskolu struktūrvienības (sk</w:t>
      </w:r>
      <w:r>
        <w:t>at</w:t>
      </w:r>
      <w:r w:rsidRPr="0006529A">
        <w:t xml:space="preserve">. </w:t>
      </w:r>
      <w:r>
        <w:t>1.</w:t>
      </w:r>
      <w:r w:rsidRPr="0006529A">
        <w:t>tabul</w:t>
      </w:r>
      <w:r>
        <w:t>u</w:t>
      </w:r>
      <w:r w:rsidRPr="0006529A">
        <w:t xml:space="preserve">). </w:t>
      </w:r>
      <w:r>
        <w:t>D</w:t>
      </w:r>
      <w:r w:rsidRPr="007513D8">
        <w:t xml:space="preserve">etalizētāka informācija par </w:t>
      </w:r>
      <w:r>
        <w:t>zinātnisko institūciju reģistrā</w:t>
      </w:r>
      <w:r w:rsidRPr="007513D8">
        <w:t xml:space="preserve"> reģistrēto zinātnisko institūciju raksturojum</w:t>
      </w:r>
      <w:r>
        <w:t>u norādīta i</w:t>
      </w:r>
      <w:r w:rsidRPr="0006529A">
        <w:t>nfo</w:t>
      </w:r>
      <w:r w:rsidRPr="00E44215">
        <w:t xml:space="preserve">rmatīvā ziņojuma </w:t>
      </w:r>
      <w:r w:rsidR="002678BB">
        <w:t>2</w:t>
      </w:r>
      <w:r w:rsidRPr="00E44215">
        <w:t>.</w:t>
      </w:r>
      <w:r w:rsidR="00566937">
        <w:t> </w:t>
      </w:r>
      <w:r w:rsidRPr="00E44215">
        <w:t>pielikum</w:t>
      </w:r>
      <w:r>
        <w:t xml:space="preserve">ā. </w:t>
      </w:r>
    </w:p>
    <w:p w14:paraId="36899898" w14:textId="77777777" w:rsidR="00527638" w:rsidRPr="00E0256A" w:rsidRDefault="00AA51B3" w:rsidP="00E7642A">
      <w:pPr>
        <w:pStyle w:val="ListParagraph"/>
        <w:ind w:left="0" w:firstLine="567"/>
        <w:rPr>
          <w:rFonts w:cs="Times New Roman"/>
        </w:rPr>
      </w:pPr>
      <w:r>
        <w:t>Zinātnisko institūtu k</w:t>
      </w:r>
      <w:r w:rsidRPr="002D7733">
        <w:t xml:space="preserve">onsolidācijas </w:t>
      </w:r>
      <w:r>
        <w:rPr>
          <w:rFonts w:cs="Times New Roman"/>
        </w:rPr>
        <w:t>stimulēšanai</w:t>
      </w:r>
      <w:r w:rsidRPr="002D7733">
        <w:t xml:space="preserve"> un resursu koncentrācijai konkurētspējīgās zinātniskajās institūcijās, </w:t>
      </w:r>
      <w:r w:rsidRPr="002D7733">
        <w:rPr>
          <w:color w:val="000000"/>
        </w:rPr>
        <w:t>2014.</w:t>
      </w:r>
      <w:r w:rsidR="008B1832">
        <w:rPr>
          <w:color w:val="000000"/>
        </w:rPr>
        <w:t> </w:t>
      </w:r>
      <w:r w:rsidRPr="002D7733">
        <w:rPr>
          <w:color w:val="000000"/>
        </w:rPr>
        <w:t>gadā tika veiktas izmaiņas zinātnes bāzes finansējuma piešķiršanas nosacījumos</w:t>
      </w:r>
      <w:r w:rsidRPr="002D7733">
        <w:rPr>
          <w:rStyle w:val="FootnoteReference"/>
        </w:rPr>
        <w:footnoteReference w:id="10"/>
      </w:r>
      <w:r w:rsidRPr="002D7733">
        <w:t>,</w:t>
      </w:r>
      <w:r w:rsidRPr="002D7733">
        <w:rPr>
          <w:color w:val="000000"/>
        </w:rPr>
        <w:t xml:space="preserve"> </w:t>
      </w:r>
      <w:r w:rsidRPr="002D7733">
        <w:rPr>
          <w:bCs/>
          <w:lang w:eastAsia="lv-LV"/>
        </w:rPr>
        <w:t xml:space="preserve">nosakot, ka </w:t>
      </w:r>
      <w:r w:rsidRPr="002D7733">
        <w:t xml:space="preserve">papildu finansējums tiek piešķirts zinātniskajām institūcijām, kas starptautiskajā zinātnes izvērtējumā saņēmušas </w:t>
      </w:r>
      <w:r w:rsidR="00785470">
        <w:t xml:space="preserve">vērtējumu </w:t>
      </w:r>
      <w:r w:rsidRPr="002D7733">
        <w:t>“4” un “5”</w:t>
      </w:r>
      <w:r w:rsidR="00785470">
        <w:rPr>
          <w:rFonts w:cs="Times New Roman"/>
        </w:rPr>
        <w:t xml:space="preserve">, kā arī </w:t>
      </w:r>
      <w:r>
        <w:rPr>
          <w:rFonts w:cs="Times New Roman"/>
        </w:rPr>
        <w:t xml:space="preserve">paredzot, ka </w:t>
      </w:r>
      <w:r w:rsidRPr="002D7733">
        <w:t>no 2016.</w:t>
      </w:r>
      <w:r w:rsidR="008B1832">
        <w:t> </w:t>
      </w:r>
      <w:r w:rsidRPr="002D7733">
        <w:t xml:space="preserve">gada bāzes finansējumu nesaņems ar </w:t>
      </w:r>
      <w:r w:rsidR="006452D3">
        <w:t xml:space="preserve">vērtējumu </w:t>
      </w:r>
      <w:r w:rsidRPr="002D7733">
        <w:t>“1” un “2” novērtētās zinātniskās institūcijas, kas nepiedalījās zinātnisko institūciju konsolidācijas procesos. Savukārt zinātniskajām institūcijām, kas novērtētas ar vērtējumu “1” un “2” un kuras piedalījās 2.1.1.3.3.</w:t>
      </w:r>
      <w:r>
        <w:t xml:space="preserve"> </w:t>
      </w:r>
      <w:r w:rsidRPr="002D7733">
        <w:t xml:space="preserve">apakšaktivitātes </w:t>
      </w:r>
      <w:r>
        <w:t>“</w:t>
      </w:r>
      <w:r w:rsidRPr="002D7733">
        <w:t>Zinātnisko institūciju institucionālās kapacitātes attīstība</w:t>
      </w:r>
      <w:r>
        <w:t>”</w:t>
      </w:r>
      <w:r w:rsidRPr="002D7733">
        <w:t xml:space="preserve"> projektu ietvaros kā konsolidējamās funkcionālās vienības, aprēķināto bāzes finansējumu piešķir tai zinātniskajai institūcijai pie kuras šī attiecīgā konsolidētā funkcionālā vienība tika </w:t>
      </w:r>
      <w:r w:rsidRPr="00E0256A">
        <w:t>pievienota</w:t>
      </w:r>
      <w:r w:rsidRPr="00E0256A">
        <w:rPr>
          <w:rStyle w:val="FootnoteReference"/>
        </w:rPr>
        <w:footnoteReference w:id="11"/>
      </w:r>
      <w:r w:rsidRPr="00E0256A">
        <w:t>.</w:t>
      </w:r>
      <w:r w:rsidRPr="00E0256A">
        <w:rPr>
          <w:rFonts w:cs="Times New Roman"/>
        </w:rPr>
        <w:t xml:space="preserve"> Tādējādi, no 2016.</w:t>
      </w:r>
      <w:r w:rsidR="006452D3" w:rsidRPr="00E0256A">
        <w:rPr>
          <w:rFonts w:cs="Times New Roman"/>
        </w:rPr>
        <w:t> </w:t>
      </w:r>
      <w:r w:rsidRPr="00E0256A">
        <w:rPr>
          <w:rFonts w:cs="Times New Roman"/>
        </w:rPr>
        <w:t xml:space="preserve">gada atbilstoši MK lēmumam par valsts budžeta līdzekļiem tiek uzturētas (saņem zinātnes bāzes finansējumu) tikai konkurētspējīgās zinātniskās institūcijas. </w:t>
      </w:r>
      <w:r w:rsidR="00785470" w:rsidRPr="00E0256A">
        <w:rPr>
          <w:rFonts w:cs="Times New Roman"/>
        </w:rPr>
        <w:t xml:space="preserve">Ar </w:t>
      </w:r>
      <w:r w:rsidRPr="00E0256A">
        <w:t xml:space="preserve">vērtējumu “1” un “2” novērtētās </w:t>
      </w:r>
      <w:r w:rsidR="006452D3" w:rsidRPr="00E0256A">
        <w:t xml:space="preserve">zinātniskās </w:t>
      </w:r>
      <w:r w:rsidRPr="00E0256A">
        <w:rPr>
          <w:rFonts w:cs="Times New Roman"/>
        </w:rPr>
        <w:t>institūcijas</w:t>
      </w:r>
      <w:r w:rsidR="00785470" w:rsidRPr="00E0256A">
        <w:rPr>
          <w:rFonts w:cs="Times New Roman"/>
        </w:rPr>
        <w:t>, kas</w:t>
      </w:r>
      <w:r w:rsidR="00785470" w:rsidRPr="00E0256A">
        <w:t xml:space="preserve"> nepiedalījās zinātnisko institūciju konsolidācijas procesos</w:t>
      </w:r>
      <w:r w:rsidRPr="00E0256A">
        <w:rPr>
          <w:rFonts w:cs="Times New Roman"/>
        </w:rPr>
        <w:t xml:space="preserve"> </w:t>
      </w:r>
      <w:r w:rsidR="006452D3" w:rsidRPr="00E0256A">
        <w:rPr>
          <w:rFonts w:cs="Times New Roman"/>
        </w:rPr>
        <w:t xml:space="preserve">būs </w:t>
      </w:r>
      <w:r w:rsidRPr="00E0256A">
        <w:rPr>
          <w:rFonts w:cs="Times New Roman"/>
        </w:rPr>
        <w:t xml:space="preserve">iespējams konsolidēt </w:t>
      </w:r>
      <w:r w:rsidR="006452D3" w:rsidRPr="00E0256A">
        <w:t>1.1.1.4. pasākuma “</w:t>
      </w:r>
      <w:r w:rsidR="006452D3" w:rsidRPr="00E0256A">
        <w:rPr>
          <w:i/>
        </w:rPr>
        <w:t>P&amp;A infrastruktūras attīstīšana Viedās specializācijas jomās un zinātnisko institūciju institucionālās kapacitātes stiprināšana</w:t>
      </w:r>
      <w:r w:rsidR="006452D3" w:rsidRPr="00E0256A">
        <w:t>” ietvaros</w:t>
      </w:r>
      <w:r w:rsidRPr="00E0256A">
        <w:rPr>
          <w:rFonts w:cs="Times New Roman"/>
        </w:rPr>
        <w:t>, pievienojot konkurētspējīgajām institūcijām vai augstskolām</w:t>
      </w:r>
      <w:r w:rsidR="00077E2D" w:rsidRPr="00E0256A">
        <w:rPr>
          <w:rFonts w:cs="Times New Roman"/>
        </w:rPr>
        <w:t xml:space="preserve"> ar atbilstošu pētniecības programmu profilu. </w:t>
      </w:r>
    </w:p>
    <w:p w14:paraId="0BCD28D4" w14:textId="66CD1B4D" w:rsidR="001F20F4" w:rsidRPr="00E0256A" w:rsidRDefault="001F20F4" w:rsidP="00E7642A">
      <w:pPr>
        <w:pStyle w:val="ListParagraph"/>
        <w:ind w:left="0" w:firstLine="567"/>
        <w:rPr>
          <w:rFonts w:cs="Times New Roman"/>
        </w:rPr>
      </w:pPr>
      <w:r w:rsidRPr="00E0256A">
        <w:rPr>
          <w:rFonts w:cs="Times New Roman"/>
        </w:rPr>
        <w:t>Atbilstoši Zinātniskās darbības likuma 28.panta septītās daļas 4.punktam, IZM 2018.gadā veiks kārtējo zinātnisko institūciju, kas reģistrētas zinātnisko institūciju reģistrā, starptautisko izvērtējumu.</w:t>
      </w:r>
    </w:p>
    <w:p w14:paraId="31C5C96D" w14:textId="77777777" w:rsidR="001F20F4" w:rsidRPr="00E0256A" w:rsidRDefault="001F20F4" w:rsidP="00E7642A">
      <w:pPr>
        <w:pStyle w:val="ListParagraph"/>
        <w:ind w:left="0" w:firstLine="567"/>
      </w:pPr>
    </w:p>
    <w:p w14:paraId="57AFD922" w14:textId="77777777" w:rsidR="00941DA3" w:rsidRPr="00941DA3" w:rsidRDefault="00941DA3" w:rsidP="00E7642A">
      <w:pPr>
        <w:pStyle w:val="Caption"/>
        <w:keepNext/>
        <w:spacing w:before="120" w:after="120"/>
        <w:jc w:val="right"/>
        <w:rPr>
          <w:rFonts w:ascii="Times New Roman" w:hAnsi="Times New Roman"/>
          <w:sz w:val="24"/>
          <w:szCs w:val="24"/>
        </w:rPr>
      </w:pPr>
      <w:r w:rsidRPr="00941DA3">
        <w:rPr>
          <w:rFonts w:ascii="Times New Roman" w:hAnsi="Times New Roman"/>
          <w:color w:val="auto"/>
          <w:sz w:val="24"/>
          <w:szCs w:val="24"/>
        </w:rPr>
        <w:t xml:space="preserve">Tabula </w:t>
      </w:r>
      <w:r w:rsidRPr="00423C9F">
        <w:rPr>
          <w:rFonts w:ascii="Times New Roman" w:hAnsi="Times New Roman"/>
          <w:color w:val="auto"/>
          <w:sz w:val="24"/>
          <w:szCs w:val="24"/>
        </w:rPr>
        <w:t>Nr.</w:t>
      </w:r>
      <w:r w:rsidRPr="00941DA3">
        <w:rPr>
          <w:rFonts w:ascii="Times New Roman" w:hAnsi="Times New Roman"/>
          <w:color w:val="auto"/>
          <w:sz w:val="24"/>
          <w:szCs w:val="24"/>
        </w:rPr>
        <w:t xml:space="preserve"> </w:t>
      </w:r>
      <w:r w:rsidR="00417751"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00417751" w:rsidRPr="00941DA3">
        <w:rPr>
          <w:rFonts w:ascii="Times New Roman" w:hAnsi="Times New Roman"/>
          <w:color w:val="auto"/>
          <w:sz w:val="24"/>
          <w:szCs w:val="24"/>
        </w:rPr>
        <w:fldChar w:fldCharType="separate"/>
      </w:r>
      <w:r w:rsidR="00E7642A">
        <w:rPr>
          <w:rFonts w:ascii="Times New Roman" w:hAnsi="Times New Roman"/>
          <w:noProof/>
          <w:color w:val="auto"/>
          <w:sz w:val="24"/>
          <w:szCs w:val="24"/>
        </w:rPr>
        <w:t>1</w:t>
      </w:r>
      <w:r w:rsidR="00417751" w:rsidRPr="00941DA3">
        <w:rPr>
          <w:rFonts w:ascii="Times New Roman" w:hAnsi="Times New Roman"/>
          <w:color w:val="auto"/>
          <w:sz w:val="24"/>
          <w:szCs w:val="24"/>
        </w:rPr>
        <w:fldChar w:fldCharType="end"/>
      </w:r>
      <w:r w:rsidRPr="00941DA3">
        <w:rPr>
          <w:rFonts w:ascii="Times New Roman" w:hAnsi="Times New Roman"/>
          <w:sz w:val="24"/>
          <w:szCs w:val="24"/>
        </w:rPr>
        <w:t xml:space="preserve"> </w:t>
      </w:r>
    </w:p>
    <w:p w14:paraId="1029C5FF" w14:textId="77777777" w:rsidR="00606128" w:rsidRPr="00941DA3" w:rsidRDefault="00606128" w:rsidP="00E7642A">
      <w:pPr>
        <w:spacing w:after="120"/>
        <w:ind w:left="0"/>
        <w:jc w:val="center"/>
        <w:rPr>
          <w:rFonts w:ascii="Times New Roman" w:hAnsi="Times New Roman"/>
          <w:b/>
        </w:rPr>
      </w:pPr>
      <w:r w:rsidRPr="00941DA3">
        <w:rPr>
          <w:rFonts w:ascii="Times New Roman" w:hAnsi="Times New Roman"/>
          <w:b/>
        </w:rPr>
        <w:t>Z</w:t>
      </w:r>
      <w:r w:rsidR="00D86389" w:rsidRPr="00941DA3">
        <w:rPr>
          <w:rFonts w:ascii="Times New Roman" w:hAnsi="Times New Roman"/>
          <w:b/>
        </w:rPr>
        <w:t>inātnisko institūciju reģistrā</w:t>
      </w:r>
      <w:r w:rsidRPr="00941DA3">
        <w:rPr>
          <w:rFonts w:ascii="Times New Roman" w:hAnsi="Times New Roman"/>
          <w:b/>
        </w:rPr>
        <w:t xml:space="preserve"> reģistrētās zinātniskās institūcijas</w:t>
      </w:r>
    </w:p>
    <w:tbl>
      <w:tblPr>
        <w:tblW w:w="5000" w:type="pct"/>
        <w:tblLayout w:type="fixed"/>
        <w:tblLook w:val="04A0" w:firstRow="1" w:lastRow="0" w:firstColumn="1" w:lastColumn="0" w:noHBand="0" w:noVBand="1"/>
      </w:tblPr>
      <w:tblGrid>
        <w:gridCol w:w="2831"/>
        <w:gridCol w:w="1417"/>
        <w:gridCol w:w="1417"/>
        <w:gridCol w:w="1351"/>
        <w:gridCol w:w="1221"/>
      </w:tblGrid>
      <w:tr w:rsidR="00941DA3" w:rsidRPr="00C07278" w14:paraId="08E84990" w14:textId="77777777" w:rsidTr="00A9717B">
        <w:trPr>
          <w:trHeight w:val="719"/>
        </w:trPr>
        <w:tc>
          <w:tcPr>
            <w:tcW w:w="1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9D768B"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Zinātniskās institūcijas (ZI)</w:t>
            </w:r>
          </w:p>
        </w:tc>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98119"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2010.</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gada 1.</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decembrī</w:t>
            </w:r>
          </w:p>
        </w:tc>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A6451"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2012.</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gada 1.</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decembrī</w:t>
            </w:r>
          </w:p>
        </w:tc>
        <w:tc>
          <w:tcPr>
            <w:tcW w:w="8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72ECC"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2014.</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gada 30.</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decembrī</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B2ADD"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2016.</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gada 1.</w:t>
            </w:r>
            <w:r w:rsidR="00516D0A">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janvārī</w:t>
            </w:r>
          </w:p>
        </w:tc>
      </w:tr>
      <w:tr w:rsidR="00941DA3" w:rsidRPr="00C07278" w14:paraId="78CAE137" w14:textId="77777777" w:rsidTr="00A9717B">
        <w:trPr>
          <w:trHeight w:val="358"/>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AD4A8" w14:textId="77777777" w:rsidR="00941DA3" w:rsidRPr="00C07278" w:rsidRDefault="00941DA3" w:rsidP="00E7642A">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t>Atvasinātas publiskas personas, t.sk. Latvijas Zinātņu akadēmija</w:t>
            </w:r>
          </w:p>
        </w:tc>
        <w:tc>
          <w:tcPr>
            <w:tcW w:w="860" w:type="pct"/>
            <w:tcBorders>
              <w:top w:val="single" w:sz="4" w:space="0" w:color="auto"/>
              <w:left w:val="nil"/>
              <w:bottom w:val="single" w:sz="4" w:space="0" w:color="auto"/>
              <w:right w:val="single" w:sz="4" w:space="0" w:color="auto"/>
            </w:tcBorders>
            <w:vAlign w:val="center"/>
          </w:tcPr>
          <w:p w14:paraId="019D057B"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13</w:t>
            </w:r>
          </w:p>
        </w:tc>
        <w:tc>
          <w:tcPr>
            <w:tcW w:w="860" w:type="pct"/>
            <w:tcBorders>
              <w:top w:val="single" w:sz="4" w:space="0" w:color="auto"/>
              <w:left w:val="single" w:sz="4" w:space="0" w:color="auto"/>
              <w:bottom w:val="single" w:sz="4" w:space="0" w:color="auto"/>
              <w:right w:val="single" w:sz="4" w:space="0" w:color="auto"/>
            </w:tcBorders>
            <w:vAlign w:val="center"/>
          </w:tcPr>
          <w:p w14:paraId="7FE7E7FE"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13</w:t>
            </w:r>
          </w:p>
        </w:tc>
        <w:tc>
          <w:tcPr>
            <w:tcW w:w="820" w:type="pct"/>
            <w:tcBorders>
              <w:top w:val="single" w:sz="4" w:space="0" w:color="auto"/>
              <w:left w:val="single" w:sz="4" w:space="0" w:color="auto"/>
              <w:bottom w:val="single" w:sz="4" w:space="0" w:color="auto"/>
              <w:right w:val="single" w:sz="4" w:space="0" w:color="auto"/>
            </w:tcBorders>
            <w:vAlign w:val="center"/>
          </w:tcPr>
          <w:p w14:paraId="7EBBF0D5"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14</w:t>
            </w:r>
          </w:p>
        </w:tc>
        <w:tc>
          <w:tcPr>
            <w:tcW w:w="741" w:type="pct"/>
            <w:tcBorders>
              <w:top w:val="single" w:sz="4" w:space="0" w:color="auto"/>
              <w:left w:val="single" w:sz="4" w:space="0" w:color="auto"/>
              <w:bottom w:val="single" w:sz="4" w:space="0" w:color="auto"/>
              <w:right w:val="single" w:sz="4" w:space="0" w:color="auto"/>
            </w:tcBorders>
            <w:vAlign w:val="center"/>
          </w:tcPr>
          <w:p w14:paraId="0B1326F9" w14:textId="77777777" w:rsidR="00941DA3" w:rsidRPr="00DA2841" w:rsidRDefault="00941DA3" w:rsidP="00E7642A">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12</w:t>
            </w:r>
          </w:p>
        </w:tc>
      </w:tr>
      <w:tr w:rsidR="00941DA3" w:rsidRPr="00C07278" w14:paraId="69299DD5" w14:textId="77777777" w:rsidTr="004F7B16">
        <w:trPr>
          <w:trHeight w:val="330"/>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EF51E" w14:textId="77777777" w:rsidR="00941DA3" w:rsidRPr="00C07278" w:rsidRDefault="00941DA3" w:rsidP="00E7642A">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t>Tiešās pārvaldes iestādes</w:t>
            </w:r>
          </w:p>
        </w:tc>
        <w:tc>
          <w:tcPr>
            <w:tcW w:w="860" w:type="pct"/>
            <w:tcBorders>
              <w:top w:val="single" w:sz="4" w:space="0" w:color="auto"/>
              <w:left w:val="single" w:sz="4" w:space="0" w:color="auto"/>
              <w:bottom w:val="single" w:sz="4" w:space="0" w:color="auto"/>
              <w:right w:val="single" w:sz="4" w:space="0" w:color="auto"/>
            </w:tcBorders>
            <w:vAlign w:val="center"/>
          </w:tcPr>
          <w:p w14:paraId="167E3660"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2</w:t>
            </w:r>
          </w:p>
        </w:tc>
        <w:tc>
          <w:tcPr>
            <w:tcW w:w="860" w:type="pct"/>
            <w:tcBorders>
              <w:top w:val="single" w:sz="4" w:space="0" w:color="auto"/>
              <w:left w:val="single" w:sz="4" w:space="0" w:color="auto"/>
              <w:bottom w:val="single" w:sz="4" w:space="0" w:color="auto"/>
              <w:right w:val="single" w:sz="4" w:space="0" w:color="auto"/>
            </w:tcBorders>
            <w:vAlign w:val="center"/>
          </w:tcPr>
          <w:p w14:paraId="02F8B661"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2</w:t>
            </w:r>
          </w:p>
        </w:tc>
        <w:tc>
          <w:tcPr>
            <w:tcW w:w="820" w:type="pct"/>
            <w:tcBorders>
              <w:top w:val="single" w:sz="4" w:space="0" w:color="auto"/>
              <w:left w:val="single" w:sz="4" w:space="0" w:color="auto"/>
              <w:bottom w:val="single" w:sz="4" w:space="0" w:color="auto"/>
              <w:right w:val="single" w:sz="4" w:space="0" w:color="auto"/>
            </w:tcBorders>
            <w:vAlign w:val="center"/>
          </w:tcPr>
          <w:p w14:paraId="1A794EE1"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w:t>
            </w:r>
          </w:p>
        </w:tc>
        <w:tc>
          <w:tcPr>
            <w:tcW w:w="741" w:type="pct"/>
            <w:tcBorders>
              <w:top w:val="single" w:sz="4" w:space="0" w:color="auto"/>
              <w:left w:val="single" w:sz="4" w:space="0" w:color="auto"/>
              <w:bottom w:val="single" w:sz="4" w:space="0" w:color="auto"/>
              <w:right w:val="single" w:sz="4" w:space="0" w:color="auto"/>
            </w:tcBorders>
            <w:vAlign w:val="center"/>
          </w:tcPr>
          <w:p w14:paraId="3AD3C497" w14:textId="77777777" w:rsidR="00941DA3" w:rsidRPr="00DA2841" w:rsidRDefault="00941DA3" w:rsidP="00E7642A">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w:t>
            </w:r>
          </w:p>
        </w:tc>
      </w:tr>
      <w:tr w:rsidR="00941DA3" w:rsidRPr="00C07278" w14:paraId="3C12D4E0" w14:textId="77777777" w:rsidTr="004F7B16">
        <w:trPr>
          <w:trHeight w:val="25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8F16E" w14:textId="77777777" w:rsidR="00941DA3" w:rsidRPr="00C07278" w:rsidRDefault="00941DA3" w:rsidP="00E7642A">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t>Augstskolas</w:t>
            </w:r>
          </w:p>
        </w:tc>
        <w:tc>
          <w:tcPr>
            <w:tcW w:w="860" w:type="pct"/>
            <w:tcBorders>
              <w:top w:val="single" w:sz="4" w:space="0" w:color="auto"/>
              <w:left w:val="nil"/>
              <w:bottom w:val="single" w:sz="4" w:space="0" w:color="auto"/>
              <w:right w:val="single" w:sz="4" w:space="0" w:color="auto"/>
            </w:tcBorders>
            <w:vAlign w:val="center"/>
          </w:tcPr>
          <w:p w14:paraId="12730F3C"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9</w:t>
            </w:r>
          </w:p>
        </w:tc>
        <w:tc>
          <w:tcPr>
            <w:tcW w:w="860" w:type="pct"/>
            <w:tcBorders>
              <w:top w:val="single" w:sz="4" w:space="0" w:color="auto"/>
              <w:left w:val="single" w:sz="4" w:space="0" w:color="auto"/>
              <w:bottom w:val="single" w:sz="4" w:space="0" w:color="auto"/>
              <w:right w:val="single" w:sz="4" w:space="0" w:color="auto"/>
            </w:tcBorders>
            <w:vAlign w:val="center"/>
          </w:tcPr>
          <w:p w14:paraId="631C3774"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11</w:t>
            </w:r>
          </w:p>
        </w:tc>
        <w:tc>
          <w:tcPr>
            <w:tcW w:w="820" w:type="pct"/>
            <w:tcBorders>
              <w:top w:val="single" w:sz="4" w:space="0" w:color="auto"/>
              <w:left w:val="single" w:sz="4" w:space="0" w:color="auto"/>
              <w:bottom w:val="single" w:sz="4" w:space="0" w:color="auto"/>
              <w:right w:val="single" w:sz="4" w:space="0" w:color="auto"/>
            </w:tcBorders>
            <w:vAlign w:val="center"/>
          </w:tcPr>
          <w:p w14:paraId="4C8841FE"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12</w:t>
            </w:r>
          </w:p>
        </w:tc>
        <w:tc>
          <w:tcPr>
            <w:tcW w:w="741" w:type="pct"/>
            <w:tcBorders>
              <w:top w:val="single" w:sz="4" w:space="0" w:color="auto"/>
              <w:left w:val="single" w:sz="4" w:space="0" w:color="auto"/>
              <w:bottom w:val="single" w:sz="4" w:space="0" w:color="auto"/>
              <w:right w:val="single" w:sz="4" w:space="0" w:color="auto"/>
            </w:tcBorders>
            <w:vAlign w:val="center"/>
          </w:tcPr>
          <w:p w14:paraId="225899D9" w14:textId="77777777" w:rsidR="00941DA3" w:rsidRPr="00DA2841" w:rsidRDefault="00941DA3" w:rsidP="00E7642A">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12</w:t>
            </w:r>
          </w:p>
        </w:tc>
      </w:tr>
      <w:tr w:rsidR="00941DA3" w:rsidRPr="00C07278" w14:paraId="7DB4148F" w14:textId="77777777" w:rsidTr="004F7B16">
        <w:trPr>
          <w:trHeight w:val="273"/>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D744F" w14:textId="77777777" w:rsidR="00941DA3" w:rsidRPr="00C07278" w:rsidRDefault="00941DA3" w:rsidP="00E7642A">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lastRenderedPageBreak/>
              <w:t>Augstskolu struktūrvienības</w:t>
            </w:r>
          </w:p>
        </w:tc>
        <w:tc>
          <w:tcPr>
            <w:tcW w:w="860" w:type="pct"/>
            <w:tcBorders>
              <w:top w:val="single" w:sz="4" w:space="0" w:color="auto"/>
              <w:left w:val="single" w:sz="4" w:space="0" w:color="auto"/>
              <w:bottom w:val="single" w:sz="4" w:space="0" w:color="auto"/>
              <w:right w:val="single" w:sz="4" w:space="0" w:color="auto"/>
            </w:tcBorders>
            <w:vAlign w:val="center"/>
          </w:tcPr>
          <w:p w14:paraId="1CE3D9DC"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67</w:t>
            </w:r>
          </w:p>
        </w:tc>
        <w:tc>
          <w:tcPr>
            <w:tcW w:w="860" w:type="pct"/>
            <w:tcBorders>
              <w:top w:val="single" w:sz="4" w:space="0" w:color="auto"/>
              <w:left w:val="single" w:sz="4" w:space="0" w:color="auto"/>
              <w:bottom w:val="single" w:sz="4" w:space="0" w:color="auto"/>
              <w:right w:val="single" w:sz="4" w:space="0" w:color="auto"/>
            </w:tcBorders>
            <w:vAlign w:val="center"/>
          </w:tcPr>
          <w:p w14:paraId="6C299A9F"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65</w:t>
            </w:r>
          </w:p>
        </w:tc>
        <w:tc>
          <w:tcPr>
            <w:tcW w:w="820" w:type="pct"/>
            <w:tcBorders>
              <w:top w:val="single" w:sz="4" w:space="0" w:color="auto"/>
              <w:left w:val="single" w:sz="4" w:space="0" w:color="auto"/>
              <w:bottom w:val="single" w:sz="4" w:space="0" w:color="auto"/>
              <w:right w:val="single" w:sz="4" w:space="0" w:color="auto"/>
            </w:tcBorders>
            <w:vAlign w:val="center"/>
          </w:tcPr>
          <w:p w14:paraId="131DAD77"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23</w:t>
            </w:r>
          </w:p>
        </w:tc>
        <w:tc>
          <w:tcPr>
            <w:tcW w:w="741" w:type="pct"/>
            <w:tcBorders>
              <w:top w:val="single" w:sz="4" w:space="0" w:color="auto"/>
              <w:left w:val="single" w:sz="4" w:space="0" w:color="auto"/>
              <w:bottom w:val="single" w:sz="4" w:space="0" w:color="auto"/>
              <w:right w:val="single" w:sz="4" w:space="0" w:color="auto"/>
            </w:tcBorders>
            <w:vAlign w:val="center"/>
          </w:tcPr>
          <w:p w14:paraId="749470B0" w14:textId="77777777" w:rsidR="00941DA3" w:rsidRPr="00DA2841" w:rsidRDefault="00941DA3" w:rsidP="00E7642A">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12</w:t>
            </w:r>
          </w:p>
        </w:tc>
      </w:tr>
      <w:tr w:rsidR="00941DA3" w:rsidRPr="00C07278" w14:paraId="66A80045" w14:textId="77777777" w:rsidTr="004F7B16">
        <w:trPr>
          <w:trHeight w:val="513"/>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59F46" w14:textId="77777777" w:rsidR="00941DA3" w:rsidRPr="00C07278" w:rsidRDefault="00941DA3" w:rsidP="00E7642A">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t>Komersanti un komersantu dibinātas struktūrvienības</w:t>
            </w:r>
          </w:p>
        </w:tc>
        <w:tc>
          <w:tcPr>
            <w:tcW w:w="860" w:type="pct"/>
            <w:tcBorders>
              <w:top w:val="single" w:sz="4" w:space="0" w:color="auto"/>
              <w:left w:val="nil"/>
              <w:bottom w:val="single" w:sz="4" w:space="0" w:color="auto"/>
              <w:right w:val="single" w:sz="4" w:space="0" w:color="auto"/>
            </w:tcBorders>
            <w:vAlign w:val="center"/>
          </w:tcPr>
          <w:p w14:paraId="213BF482"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45</w:t>
            </w:r>
          </w:p>
        </w:tc>
        <w:tc>
          <w:tcPr>
            <w:tcW w:w="860" w:type="pct"/>
            <w:tcBorders>
              <w:top w:val="single" w:sz="4" w:space="0" w:color="auto"/>
              <w:left w:val="single" w:sz="4" w:space="0" w:color="auto"/>
              <w:bottom w:val="single" w:sz="4" w:space="0" w:color="auto"/>
              <w:right w:val="single" w:sz="4" w:space="0" w:color="auto"/>
            </w:tcBorders>
            <w:vAlign w:val="center"/>
          </w:tcPr>
          <w:p w14:paraId="141FDBEC"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39</w:t>
            </w:r>
          </w:p>
        </w:tc>
        <w:tc>
          <w:tcPr>
            <w:tcW w:w="820" w:type="pct"/>
            <w:tcBorders>
              <w:top w:val="single" w:sz="4" w:space="0" w:color="auto"/>
              <w:left w:val="single" w:sz="4" w:space="0" w:color="auto"/>
              <w:bottom w:val="single" w:sz="4" w:space="0" w:color="auto"/>
              <w:right w:val="single" w:sz="4" w:space="0" w:color="auto"/>
            </w:tcBorders>
            <w:vAlign w:val="center"/>
          </w:tcPr>
          <w:p w14:paraId="2544B0A9" w14:textId="77777777" w:rsidR="00941DA3" w:rsidRPr="00C07278" w:rsidRDefault="00941DA3" w:rsidP="00E7642A">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40</w:t>
            </w:r>
          </w:p>
        </w:tc>
        <w:tc>
          <w:tcPr>
            <w:tcW w:w="741" w:type="pct"/>
            <w:tcBorders>
              <w:top w:val="single" w:sz="4" w:space="0" w:color="auto"/>
              <w:left w:val="single" w:sz="4" w:space="0" w:color="auto"/>
              <w:bottom w:val="single" w:sz="4" w:space="0" w:color="auto"/>
              <w:right w:val="single" w:sz="4" w:space="0" w:color="auto"/>
            </w:tcBorders>
            <w:vAlign w:val="center"/>
          </w:tcPr>
          <w:p w14:paraId="5739FCE7" w14:textId="77777777" w:rsidR="00941DA3" w:rsidRPr="00DA2841" w:rsidRDefault="00941DA3" w:rsidP="00E7642A">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40</w:t>
            </w:r>
          </w:p>
        </w:tc>
      </w:tr>
      <w:tr w:rsidR="00941DA3" w:rsidRPr="00C07278" w14:paraId="0A014077" w14:textId="77777777" w:rsidTr="004F7B16">
        <w:trPr>
          <w:trHeight w:val="187"/>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14:paraId="561F5133" w14:textId="77777777" w:rsidR="00941DA3" w:rsidRPr="00C07278" w:rsidRDefault="00941DA3" w:rsidP="00E7642A">
            <w:pPr>
              <w:ind w:left="0"/>
              <w:jc w:val="right"/>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KOPĀ:</w:t>
            </w:r>
          </w:p>
        </w:tc>
        <w:tc>
          <w:tcPr>
            <w:tcW w:w="860" w:type="pct"/>
            <w:tcBorders>
              <w:top w:val="single" w:sz="4" w:space="0" w:color="auto"/>
              <w:left w:val="nil"/>
              <w:bottom w:val="single" w:sz="4" w:space="0" w:color="auto"/>
              <w:right w:val="single" w:sz="4" w:space="0" w:color="auto"/>
            </w:tcBorders>
            <w:vAlign w:val="center"/>
          </w:tcPr>
          <w:p w14:paraId="0A7AEE38"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136</w:t>
            </w:r>
          </w:p>
        </w:tc>
        <w:tc>
          <w:tcPr>
            <w:tcW w:w="860" w:type="pct"/>
            <w:tcBorders>
              <w:top w:val="single" w:sz="4" w:space="0" w:color="auto"/>
              <w:left w:val="single" w:sz="4" w:space="0" w:color="auto"/>
              <w:bottom w:val="single" w:sz="4" w:space="0" w:color="auto"/>
              <w:right w:val="single" w:sz="4" w:space="0" w:color="auto"/>
            </w:tcBorders>
            <w:vAlign w:val="center"/>
          </w:tcPr>
          <w:p w14:paraId="291181E8"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130</w:t>
            </w:r>
          </w:p>
        </w:tc>
        <w:tc>
          <w:tcPr>
            <w:tcW w:w="820" w:type="pct"/>
            <w:tcBorders>
              <w:top w:val="single" w:sz="4" w:space="0" w:color="auto"/>
              <w:left w:val="single" w:sz="4" w:space="0" w:color="auto"/>
              <w:bottom w:val="single" w:sz="4" w:space="0" w:color="auto"/>
              <w:right w:val="single" w:sz="4" w:space="0" w:color="auto"/>
            </w:tcBorders>
            <w:vAlign w:val="center"/>
          </w:tcPr>
          <w:p w14:paraId="1FB17787"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90</w:t>
            </w:r>
          </w:p>
        </w:tc>
        <w:tc>
          <w:tcPr>
            <w:tcW w:w="741" w:type="pct"/>
            <w:tcBorders>
              <w:top w:val="single" w:sz="4" w:space="0" w:color="auto"/>
              <w:left w:val="single" w:sz="4" w:space="0" w:color="auto"/>
              <w:bottom w:val="single" w:sz="4" w:space="0" w:color="auto"/>
              <w:right w:val="single" w:sz="4" w:space="0" w:color="auto"/>
            </w:tcBorders>
            <w:vAlign w:val="center"/>
          </w:tcPr>
          <w:p w14:paraId="76432C23" w14:textId="77777777" w:rsidR="00941DA3" w:rsidRPr="00C07278" w:rsidRDefault="00941DA3" w:rsidP="00E7642A">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77</w:t>
            </w:r>
          </w:p>
        </w:tc>
      </w:tr>
    </w:tbl>
    <w:p w14:paraId="6D12D18C" w14:textId="77777777" w:rsidR="00667A42" w:rsidRDefault="00606128" w:rsidP="00E7642A">
      <w:pPr>
        <w:ind w:left="0"/>
        <w:jc w:val="left"/>
        <w:rPr>
          <w:rFonts w:ascii="Times New Roman" w:hAnsi="Times New Roman"/>
          <w:sz w:val="24"/>
          <w:szCs w:val="24"/>
        </w:rPr>
      </w:pPr>
      <w:r w:rsidRPr="00941DA3">
        <w:rPr>
          <w:rFonts w:ascii="Times New Roman" w:hAnsi="Times New Roman"/>
          <w:i/>
          <w:sz w:val="24"/>
          <w:szCs w:val="24"/>
        </w:rPr>
        <w:t xml:space="preserve">Datu avots: </w:t>
      </w:r>
      <w:r w:rsidR="00941DA3" w:rsidRPr="00941DA3">
        <w:rPr>
          <w:rFonts w:ascii="Times New Roman" w:hAnsi="Times New Roman"/>
          <w:i/>
          <w:sz w:val="24"/>
          <w:szCs w:val="24"/>
        </w:rPr>
        <w:t>Zinātnisko institūciju reģistrs</w:t>
      </w:r>
    </w:p>
    <w:p w14:paraId="05FDCA2B" w14:textId="77777777" w:rsidR="006F48F8" w:rsidRPr="006F48F8" w:rsidRDefault="003523F8" w:rsidP="00E7642A">
      <w:pPr>
        <w:pStyle w:val="Heading1"/>
        <w:numPr>
          <w:ilvl w:val="1"/>
          <w:numId w:val="1"/>
        </w:numPr>
        <w:spacing w:before="360" w:after="120"/>
        <w:ind w:left="567" w:hanging="567"/>
        <w:jc w:val="center"/>
      </w:pPr>
      <w:bookmarkStart w:id="6" w:name="_Toc458673270"/>
      <w:r w:rsidRPr="00C07278">
        <w:rPr>
          <w:rFonts w:ascii="Times New Roman" w:hAnsi="Times New Roman"/>
          <w:color w:val="auto"/>
          <w:sz w:val="24"/>
          <w:szCs w:val="24"/>
        </w:rPr>
        <w:t>Cilvēkresursu situācijas raksturojums zinātnes jomā</w:t>
      </w:r>
      <w:bookmarkEnd w:id="6"/>
    </w:p>
    <w:p w14:paraId="74419315" w14:textId="77777777" w:rsidR="00D412B8" w:rsidRDefault="009843EB" w:rsidP="00E7642A">
      <w:pPr>
        <w:ind w:left="0" w:firstLine="567"/>
      </w:pPr>
      <w:r w:rsidRPr="009843EB">
        <w:rPr>
          <w:rFonts w:ascii="Times New Roman" w:hAnsi="Times New Roman"/>
          <w:sz w:val="24"/>
          <w:szCs w:val="24"/>
        </w:rPr>
        <w:t>Saskaņā ar</w:t>
      </w:r>
      <w:r w:rsidR="003523F8" w:rsidRPr="009843EB">
        <w:rPr>
          <w:rFonts w:ascii="Times New Roman" w:hAnsi="Times New Roman"/>
          <w:sz w:val="24"/>
          <w:szCs w:val="24"/>
        </w:rPr>
        <w:t xml:space="preserve"> CSP datiem</w:t>
      </w:r>
      <w:r w:rsidR="00785470">
        <w:rPr>
          <w:rFonts w:ascii="Times New Roman" w:hAnsi="Times New Roman"/>
          <w:sz w:val="24"/>
          <w:szCs w:val="24"/>
        </w:rPr>
        <w:t>, Latvijā</w:t>
      </w:r>
      <w:r w:rsidR="003523F8" w:rsidRPr="009843EB">
        <w:rPr>
          <w:rFonts w:ascii="Times New Roman" w:hAnsi="Times New Roman"/>
          <w:sz w:val="24"/>
          <w:szCs w:val="24"/>
        </w:rPr>
        <w:t xml:space="preserve"> </w:t>
      </w:r>
      <w:r w:rsidR="00545869" w:rsidRPr="002D7733">
        <w:rPr>
          <w:rFonts w:ascii="Times New Roman" w:hAnsi="Times New Roman"/>
          <w:sz w:val="24"/>
          <w:szCs w:val="24"/>
        </w:rPr>
        <w:t>2014</w:t>
      </w:r>
      <w:r w:rsidR="003523F8" w:rsidRPr="002D7733">
        <w:rPr>
          <w:rFonts w:ascii="Times New Roman" w:hAnsi="Times New Roman"/>
          <w:sz w:val="24"/>
          <w:szCs w:val="24"/>
        </w:rPr>
        <w:t>.</w:t>
      </w:r>
      <w:r w:rsidR="008B1832">
        <w:rPr>
          <w:rFonts w:ascii="Times New Roman" w:hAnsi="Times New Roman"/>
          <w:sz w:val="24"/>
          <w:szCs w:val="24"/>
        </w:rPr>
        <w:t> </w:t>
      </w:r>
      <w:r w:rsidR="003523F8" w:rsidRPr="009843EB">
        <w:rPr>
          <w:rFonts w:ascii="Times New Roman" w:hAnsi="Times New Roman"/>
          <w:sz w:val="24"/>
          <w:szCs w:val="24"/>
        </w:rPr>
        <w:t>gadā zinātniski pētnieciskajā darbā</w:t>
      </w:r>
      <w:r w:rsidRPr="009843EB">
        <w:rPr>
          <w:rFonts w:ascii="Times New Roman" w:hAnsi="Times New Roman"/>
          <w:sz w:val="24"/>
          <w:szCs w:val="24"/>
        </w:rPr>
        <w:t xml:space="preserve"> </w:t>
      </w:r>
      <w:r w:rsidR="006452D3">
        <w:rPr>
          <w:rFonts w:ascii="Times New Roman" w:hAnsi="Times New Roman"/>
          <w:sz w:val="24"/>
          <w:szCs w:val="24"/>
        </w:rPr>
        <w:t xml:space="preserve">kopumā </w:t>
      </w:r>
      <w:r w:rsidRPr="009843EB">
        <w:rPr>
          <w:rFonts w:ascii="Times New Roman" w:hAnsi="Times New Roman"/>
          <w:sz w:val="24"/>
          <w:szCs w:val="24"/>
        </w:rPr>
        <w:t>bija nodarbināti</w:t>
      </w:r>
      <w:r w:rsidR="003523F8" w:rsidRPr="009843EB">
        <w:rPr>
          <w:rFonts w:ascii="Times New Roman" w:hAnsi="Times New Roman"/>
          <w:sz w:val="24"/>
          <w:szCs w:val="24"/>
        </w:rPr>
        <w:t xml:space="preserve"> </w:t>
      </w:r>
      <w:r w:rsidR="00545869" w:rsidRPr="002D7733">
        <w:rPr>
          <w:rFonts w:ascii="Times New Roman" w:hAnsi="Times New Roman"/>
          <w:sz w:val="24"/>
          <w:szCs w:val="24"/>
        </w:rPr>
        <w:t>5 739</w:t>
      </w:r>
      <w:r w:rsidR="00545869" w:rsidRPr="009843EB">
        <w:rPr>
          <w:rFonts w:ascii="Times New Roman" w:hAnsi="Times New Roman"/>
          <w:sz w:val="24"/>
          <w:szCs w:val="24"/>
        </w:rPr>
        <w:t xml:space="preserve"> </w:t>
      </w:r>
      <w:r w:rsidR="003523F8" w:rsidRPr="009843EB">
        <w:rPr>
          <w:rFonts w:ascii="Times New Roman" w:hAnsi="Times New Roman"/>
          <w:sz w:val="24"/>
          <w:szCs w:val="24"/>
        </w:rPr>
        <w:t>strādājošie</w:t>
      </w:r>
      <w:r w:rsidRPr="009843EB">
        <w:rPr>
          <w:rFonts w:ascii="Times New Roman" w:hAnsi="Times New Roman"/>
          <w:sz w:val="24"/>
          <w:szCs w:val="24"/>
        </w:rPr>
        <w:t xml:space="preserve"> (PLE izte</w:t>
      </w:r>
      <w:r w:rsidR="00160211">
        <w:rPr>
          <w:rFonts w:ascii="Times New Roman" w:hAnsi="Times New Roman"/>
          <w:sz w:val="24"/>
          <w:szCs w:val="24"/>
        </w:rPr>
        <w:t>i</w:t>
      </w:r>
      <w:r w:rsidRPr="009843EB">
        <w:rPr>
          <w:rFonts w:ascii="Times New Roman" w:hAnsi="Times New Roman"/>
          <w:sz w:val="24"/>
          <w:szCs w:val="24"/>
        </w:rPr>
        <w:t>ksmē)</w:t>
      </w:r>
      <w:r w:rsidR="003523F8" w:rsidRPr="009843EB">
        <w:rPr>
          <w:rFonts w:ascii="Times New Roman" w:hAnsi="Times New Roman"/>
          <w:sz w:val="24"/>
          <w:szCs w:val="24"/>
        </w:rPr>
        <w:t xml:space="preserve">, no tiem augstskolu sektorā – </w:t>
      </w:r>
      <w:r w:rsidR="00545869" w:rsidRPr="002D7733">
        <w:rPr>
          <w:rFonts w:ascii="Times New Roman" w:hAnsi="Times New Roman"/>
          <w:sz w:val="24"/>
          <w:szCs w:val="24"/>
        </w:rPr>
        <w:t>3</w:t>
      </w:r>
      <w:r w:rsidR="00DF46AF" w:rsidRPr="002D7733">
        <w:rPr>
          <w:rFonts w:ascii="Times New Roman" w:hAnsi="Times New Roman"/>
          <w:sz w:val="24"/>
          <w:szCs w:val="24"/>
        </w:rPr>
        <w:t xml:space="preserve"> </w:t>
      </w:r>
      <w:r w:rsidR="00545869" w:rsidRPr="002D7733">
        <w:rPr>
          <w:rFonts w:ascii="Times New Roman" w:hAnsi="Times New Roman"/>
          <w:sz w:val="24"/>
          <w:szCs w:val="24"/>
        </w:rPr>
        <w:t>177</w:t>
      </w:r>
      <w:r w:rsidR="00545869" w:rsidRPr="009843EB">
        <w:rPr>
          <w:rFonts w:ascii="Times New Roman" w:hAnsi="Times New Roman"/>
          <w:sz w:val="24"/>
          <w:szCs w:val="24"/>
        </w:rPr>
        <w:t xml:space="preserve"> </w:t>
      </w:r>
      <w:r w:rsidR="003523F8" w:rsidRPr="009843EB">
        <w:rPr>
          <w:rFonts w:ascii="Times New Roman" w:hAnsi="Times New Roman"/>
          <w:sz w:val="24"/>
          <w:szCs w:val="24"/>
        </w:rPr>
        <w:t xml:space="preserve">strādājošie, </w:t>
      </w:r>
      <w:r w:rsidR="00545869" w:rsidRPr="002D7733">
        <w:rPr>
          <w:rFonts w:ascii="Times New Roman" w:hAnsi="Times New Roman"/>
          <w:sz w:val="24"/>
          <w:szCs w:val="24"/>
        </w:rPr>
        <w:t>1</w:t>
      </w:r>
      <w:r w:rsidR="00DF46AF" w:rsidRPr="002D7733">
        <w:rPr>
          <w:rFonts w:ascii="Times New Roman" w:hAnsi="Times New Roman"/>
          <w:sz w:val="24"/>
          <w:szCs w:val="24"/>
        </w:rPr>
        <w:t xml:space="preserve"> </w:t>
      </w:r>
      <w:r w:rsidR="00545869" w:rsidRPr="002D7733">
        <w:rPr>
          <w:rFonts w:ascii="Times New Roman" w:hAnsi="Times New Roman"/>
          <w:sz w:val="24"/>
          <w:szCs w:val="24"/>
        </w:rPr>
        <w:t>180</w:t>
      </w:r>
      <w:r w:rsidR="00545869" w:rsidRPr="009843EB">
        <w:rPr>
          <w:rFonts w:ascii="Times New Roman" w:hAnsi="Times New Roman"/>
          <w:sz w:val="24"/>
          <w:szCs w:val="24"/>
        </w:rPr>
        <w:t xml:space="preserve"> </w:t>
      </w:r>
      <w:r w:rsidR="003523F8" w:rsidRPr="009843EB">
        <w:rPr>
          <w:rFonts w:ascii="Times New Roman" w:hAnsi="Times New Roman"/>
          <w:sz w:val="24"/>
          <w:szCs w:val="24"/>
        </w:rPr>
        <w:t xml:space="preserve">– valsts sektorā, bet </w:t>
      </w:r>
      <w:r w:rsidR="00545869" w:rsidRPr="002D7733">
        <w:rPr>
          <w:rFonts w:ascii="Times New Roman" w:hAnsi="Times New Roman"/>
          <w:sz w:val="24"/>
          <w:szCs w:val="24"/>
        </w:rPr>
        <w:t>1</w:t>
      </w:r>
      <w:r w:rsidR="00DF46AF" w:rsidRPr="002D7733">
        <w:rPr>
          <w:rFonts w:ascii="Times New Roman" w:hAnsi="Times New Roman"/>
          <w:sz w:val="24"/>
          <w:szCs w:val="24"/>
        </w:rPr>
        <w:t xml:space="preserve"> </w:t>
      </w:r>
      <w:r w:rsidR="00545869" w:rsidRPr="002D7733">
        <w:rPr>
          <w:rFonts w:ascii="Times New Roman" w:hAnsi="Times New Roman"/>
          <w:sz w:val="24"/>
          <w:szCs w:val="24"/>
        </w:rPr>
        <w:t xml:space="preserve">382 </w:t>
      </w:r>
      <w:r w:rsidR="003523F8" w:rsidRPr="009843EB">
        <w:rPr>
          <w:rFonts w:ascii="Times New Roman" w:hAnsi="Times New Roman"/>
          <w:sz w:val="24"/>
          <w:szCs w:val="24"/>
        </w:rPr>
        <w:t xml:space="preserve">– strādāja uzņēmējdarbības sektorā </w:t>
      </w:r>
      <w:r w:rsidR="00B975AB" w:rsidRPr="002678BB">
        <w:rPr>
          <w:rFonts w:ascii="Times New Roman" w:hAnsi="Times New Roman"/>
          <w:sz w:val="24"/>
          <w:szCs w:val="24"/>
        </w:rPr>
        <w:t>(sk</w:t>
      </w:r>
      <w:r w:rsidR="005163E5" w:rsidRPr="002678BB">
        <w:rPr>
          <w:rFonts w:ascii="Times New Roman" w:hAnsi="Times New Roman"/>
          <w:sz w:val="24"/>
          <w:szCs w:val="24"/>
        </w:rPr>
        <w:t>at</w:t>
      </w:r>
      <w:r w:rsidR="00B975AB" w:rsidRPr="002678BB">
        <w:rPr>
          <w:rFonts w:ascii="Times New Roman" w:hAnsi="Times New Roman"/>
          <w:sz w:val="24"/>
          <w:szCs w:val="24"/>
        </w:rPr>
        <w:t xml:space="preserve">. </w:t>
      </w:r>
      <w:r w:rsidR="002E28C2" w:rsidRPr="002678BB">
        <w:rPr>
          <w:rFonts w:ascii="Times New Roman" w:hAnsi="Times New Roman"/>
          <w:sz w:val="24"/>
          <w:szCs w:val="24"/>
        </w:rPr>
        <w:t>2</w:t>
      </w:r>
      <w:r w:rsidR="00C96417" w:rsidRPr="002678BB">
        <w:rPr>
          <w:rFonts w:ascii="Times New Roman" w:hAnsi="Times New Roman"/>
          <w:sz w:val="24"/>
          <w:szCs w:val="24"/>
        </w:rPr>
        <w:t>.</w:t>
      </w:r>
      <w:r w:rsidR="00D412B8" w:rsidRPr="002678BB">
        <w:rPr>
          <w:rFonts w:ascii="Times New Roman" w:hAnsi="Times New Roman"/>
          <w:sz w:val="24"/>
          <w:szCs w:val="24"/>
        </w:rPr>
        <w:t xml:space="preserve"> </w:t>
      </w:r>
      <w:r w:rsidR="00C96417" w:rsidRPr="002678BB">
        <w:rPr>
          <w:rFonts w:ascii="Times New Roman" w:hAnsi="Times New Roman"/>
          <w:sz w:val="24"/>
          <w:szCs w:val="24"/>
        </w:rPr>
        <w:t>attēlu).</w:t>
      </w:r>
      <w:r w:rsidR="00924F5D" w:rsidRPr="009843EB">
        <w:rPr>
          <w:rFonts w:ascii="Times New Roman" w:hAnsi="Times New Roman"/>
          <w:sz w:val="24"/>
          <w:szCs w:val="24"/>
          <w:shd w:val="clear" w:color="auto" w:fill="D9D9D9" w:themeFill="background1" w:themeFillShade="D9"/>
        </w:rPr>
        <w:t xml:space="preserve"> </w:t>
      </w:r>
    </w:p>
    <w:p w14:paraId="12B48711" w14:textId="77777777" w:rsidR="00352C8E" w:rsidRPr="00C07278" w:rsidRDefault="00352C8E" w:rsidP="00E7642A">
      <w:pPr>
        <w:pStyle w:val="Caption"/>
        <w:spacing w:before="120" w:after="120"/>
        <w:jc w:val="right"/>
        <w:rPr>
          <w:shd w:val="clear" w:color="auto" w:fill="D9D9D9" w:themeFill="background1" w:themeFillShade="D9"/>
        </w:rPr>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00417751"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00417751" w:rsidRPr="00622315">
        <w:rPr>
          <w:rFonts w:ascii="Times New Roman" w:hAnsi="Times New Roman"/>
          <w:color w:val="auto"/>
          <w:sz w:val="24"/>
          <w:szCs w:val="24"/>
        </w:rPr>
        <w:fldChar w:fldCharType="separate"/>
      </w:r>
      <w:r w:rsidR="00E7642A">
        <w:rPr>
          <w:rFonts w:ascii="Times New Roman" w:hAnsi="Times New Roman"/>
          <w:noProof/>
          <w:color w:val="auto"/>
          <w:sz w:val="24"/>
          <w:szCs w:val="24"/>
        </w:rPr>
        <w:t>2</w:t>
      </w:r>
      <w:r w:rsidR="00417751" w:rsidRPr="00622315">
        <w:rPr>
          <w:rFonts w:ascii="Times New Roman" w:hAnsi="Times New Roman"/>
          <w:color w:val="auto"/>
          <w:sz w:val="24"/>
          <w:szCs w:val="24"/>
        </w:rPr>
        <w:fldChar w:fldCharType="end"/>
      </w:r>
      <w:r>
        <w:rPr>
          <w:rFonts w:ascii="Times New Roman" w:hAnsi="Times New Roman"/>
          <w:color w:val="auto"/>
          <w:sz w:val="24"/>
          <w:szCs w:val="24"/>
        </w:rPr>
        <w:t>.</w:t>
      </w:r>
    </w:p>
    <w:p w14:paraId="32AE4329" w14:textId="77777777" w:rsidR="003523F8" w:rsidRPr="00352C8E" w:rsidRDefault="003523F8" w:rsidP="00E7642A">
      <w:pPr>
        <w:ind w:left="0"/>
        <w:jc w:val="center"/>
        <w:rPr>
          <w:rFonts w:ascii="Times New Roman" w:hAnsi="Times New Roman"/>
          <w:b/>
          <w:sz w:val="24"/>
          <w:szCs w:val="24"/>
        </w:rPr>
      </w:pPr>
      <w:r w:rsidRPr="00352C8E">
        <w:rPr>
          <w:rFonts w:ascii="Times New Roman" w:hAnsi="Times New Roman"/>
          <w:b/>
          <w:sz w:val="24"/>
          <w:szCs w:val="24"/>
        </w:rPr>
        <w:t xml:space="preserve">Latvijā zinātniski </w:t>
      </w:r>
      <w:r w:rsidRPr="002E0E23">
        <w:rPr>
          <w:rFonts w:ascii="Times New Roman" w:hAnsi="Times New Roman"/>
          <w:b/>
          <w:sz w:val="24"/>
          <w:szCs w:val="24"/>
        </w:rPr>
        <w:t>pētnieciskajā darbā strādājošo skaits atbilstoši PLE ekvivalentam</w:t>
      </w:r>
      <w:r w:rsidR="00D412B8" w:rsidRPr="002E0E23">
        <w:rPr>
          <w:rFonts w:ascii="Times New Roman" w:hAnsi="Times New Roman"/>
          <w:b/>
          <w:sz w:val="24"/>
          <w:szCs w:val="24"/>
        </w:rPr>
        <w:t xml:space="preserve"> (2004</w:t>
      </w:r>
      <w:r w:rsidR="002E0E23" w:rsidRPr="002E0E23">
        <w:rPr>
          <w:rFonts w:ascii="Times New Roman" w:hAnsi="Times New Roman"/>
          <w:b/>
          <w:sz w:val="24"/>
          <w:szCs w:val="24"/>
        </w:rPr>
        <w:t xml:space="preserve"> </w:t>
      </w:r>
      <w:r w:rsidR="00D412B8" w:rsidRPr="002E0E23">
        <w:rPr>
          <w:rFonts w:ascii="Times New Roman" w:hAnsi="Times New Roman"/>
          <w:b/>
          <w:sz w:val="24"/>
          <w:szCs w:val="24"/>
        </w:rPr>
        <w:t>-</w:t>
      </w:r>
      <w:r w:rsidR="002E0E23" w:rsidRPr="002E0E23">
        <w:rPr>
          <w:rFonts w:ascii="Times New Roman" w:hAnsi="Times New Roman"/>
          <w:b/>
          <w:sz w:val="24"/>
          <w:szCs w:val="24"/>
        </w:rPr>
        <w:t xml:space="preserve"> </w:t>
      </w:r>
      <w:r w:rsidR="00D412B8" w:rsidRPr="002E0E23">
        <w:rPr>
          <w:rFonts w:ascii="Times New Roman" w:hAnsi="Times New Roman"/>
          <w:b/>
          <w:sz w:val="24"/>
          <w:szCs w:val="24"/>
        </w:rPr>
        <w:t>2014)</w:t>
      </w:r>
    </w:p>
    <w:p w14:paraId="62534745" w14:textId="77777777" w:rsidR="003523F8" w:rsidRPr="00C07278" w:rsidRDefault="00545869" w:rsidP="00E7642A">
      <w:pPr>
        <w:ind w:left="0"/>
        <w:rPr>
          <w:rFonts w:ascii="Times New Roman" w:hAnsi="Times New Roman"/>
          <w:noProof/>
          <w:sz w:val="24"/>
          <w:szCs w:val="24"/>
          <w:lang w:eastAsia="lv-LV"/>
        </w:rPr>
      </w:pPr>
      <w:r w:rsidRPr="002D7733">
        <w:rPr>
          <w:rFonts w:ascii="Times New Roman" w:hAnsi="Times New Roman"/>
          <w:noProof/>
          <w:lang w:eastAsia="lv-LV"/>
        </w:rPr>
        <w:drawing>
          <wp:inline distT="0" distB="0" distL="0" distR="0" wp14:anchorId="172984FC" wp14:editId="2EDF7357">
            <wp:extent cx="5686425" cy="23145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E217EE" w14:textId="77777777" w:rsidR="003523F8" w:rsidRPr="00352C8E" w:rsidRDefault="003523F8" w:rsidP="00E7642A">
      <w:pPr>
        <w:ind w:left="0"/>
        <w:rPr>
          <w:rFonts w:ascii="Times New Roman" w:hAnsi="Times New Roman"/>
          <w:i/>
          <w:sz w:val="24"/>
          <w:szCs w:val="24"/>
        </w:rPr>
      </w:pPr>
      <w:r w:rsidRPr="00352C8E">
        <w:rPr>
          <w:rFonts w:ascii="Times New Roman" w:hAnsi="Times New Roman"/>
          <w:i/>
          <w:sz w:val="24"/>
          <w:szCs w:val="24"/>
        </w:rPr>
        <w:t>Datu avots: CSP</w:t>
      </w:r>
    </w:p>
    <w:p w14:paraId="0FBCD497" w14:textId="77777777" w:rsidR="003523F8" w:rsidRPr="00C07278" w:rsidRDefault="003523F8" w:rsidP="00E7642A">
      <w:pPr>
        <w:rPr>
          <w:rFonts w:ascii="Times New Roman" w:hAnsi="Times New Roman"/>
          <w:sz w:val="24"/>
          <w:szCs w:val="24"/>
        </w:rPr>
      </w:pPr>
    </w:p>
    <w:p w14:paraId="5A345123" w14:textId="77777777" w:rsidR="00564A7E" w:rsidRDefault="00564A7E" w:rsidP="00E7642A">
      <w:pPr>
        <w:ind w:left="0" w:firstLine="567"/>
        <w:rPr>
          <w:rFonts w:ascii="Times New Roman" w:hAnsi="Times New Roman"/>
          <w:sz w:val="24"/>
          <w:szCs w:val="24"/>
        </w:rPr>
      </w:pPr>
      <w:r>
        <w:rPr>
          <w:rFonts w:ascii="Times New Roman" w:hAnsi="Times New Roman"/>
          <w:sz w:val="24"/>
          <w:szCs w:val="24"/>
        </w:rPr>
        <w:t xml:space="preserve">Atbilstoši CSP datiem, </w:t>
      </w:r>
      <w:r w:rsidR="00924F5D" w:rsidRPr="002D7733">
        <w:rPr>
          <w:rFonts w:ascii="Times New Roman" w:hAnsi="Times New Roman"/>
          <w:sz w:val="24"/>
          <w:szCs w:val="24"/>
        </w:rPr>
        <w:t>201</w:t>
      </w:r>
      <w:r w:rsidR="00545869" w:rsidRPr="002D7733">
        <w:rPr>
          <w:rFonts w:ascii="Times New Roman" w:hAnsi="Times New Roman"/>
          <w:sz w:val="24"/>
          <w:szCs w:val="24"/>
        </w:rPr>
        <w:t>4</w:t>
      </w:r>
      <w:r w:rsidR="00924F5D" w:rsidRPr="002D7733">
        <w:rPr>
          <w:rFonts w:ascii="Times New Roman" w:hAnsi="Times New Roman"/>
          <w:sz w:val="24"/>
          <w:szCs w:val="24"/>
        </w:rPr>
        <w:t>.</w:t>
      </w:r>
      <w:r w:rsidR="008B1832">
        <w:rPr>
          <w:rFonts w:ascii="Times New Roman" w:hAnsi="Times New Roman"/>
          <w:sz w:val="24"/>
          <w:szCs w:val="24"/>
        </w:rPr>
        <w:t> </w:t>
      </w:r>
      <w:r w:rsidR="00924F5D" w:rsidRPr="002D7733">
        <w:rPr>
          <w:rFonts w:ascii="Times New Roman" w:hAnsi="Times New Roman"/>
          <w:sz w:val="24"/>
          <w:szCs w:val="24"/>
        </w:rPr>
        <w:t>gadā</w:t>
      </w:r>
      <w:r w:rsidR="00924F5D" w:rsidRPr="009843EB">
        <w:rPr>
          <w:rFonts w:ascii="Times New Roman" w:hAnsi="Times New Roman"/>
          <w:sz w:val="24"/>
          <w:szCs w:val="24"/>
        </w:rPr>
        <w:t xml:space="preserve"> </w:t>
      </w:r>
      <w:r w:rsidR="003523F8" w:rsidRPr="009843EB">
        <w:rPr>
          <w:rFonts w:ascii="Times New Roman" w:hAnsi="Times New Roman"/>
          <w:sz w:val="24"/>
          <w:szCs w:val="24"/>
        </w:rPr>
        <w:t xml:space="preserve">no </w:t>
      </w:r>
      <w:r w:rsidR="00924F5D" w:rsidRPr="002D7733">
        <w:rPr>
          <w:rFonts w:ascii="Times New Roman" w:hAnsi="Times New Roman"/>
          <w:sz w:val="24"/>
          <w:szCs w:val="24"/>
        </w:rPr>
        <w:t>kopējā</w:t>
      </w:r>
      <w:r w:rsidR="00924F5D" w:rsidRPr="009843EB">
        <w:rPr>
          <w:rFonts w:ascii="Times New Roman" w:hAnsi="Times New Roman"/>
          <w:sz w:val="24"/>
          <w:szCs w:val="24"/>
        </w:rPr>
        <w:t xml:space="preserve"> </w:t>
      </w:r>
      <w:r w:rsidR="003523F8" w:rsidRPr="009843EB">
        <w:rPr>
          <w:rFonts w:ascii="Times New Roman" w:hAnsi="Times New Roman"/>
          <w:sz w:val="24"/>
          <w:szCs w:val="24"/>
        </w:rPr>
        <w:t>zinātniski pētnieciskajā darbā strādājoš</w:t>
      </w:r>
      <w:r w:rsidR="00924F5D" w:rsidRPr="009843EB">
        <w:rPr>
          <w:rFonts w:ascii="Times New Roman" w:hAnsi="Times New Roman"/>
          <w:sz w:val="24"/>
          <w:szCs w:val="24"/>
        </w:rPr>
        <w:t>o</w:t>
      </w:r>
      <w:r w:rsidR="003523F8" w:rsidRPr="009843EB">
        <w:rPr>
          <w:rFonts w:ascii="Times New Roman" w:hAnsi="Times New Roman"/>
          <w:sz w:val="24"/>
          <w:szCs w:val="24"/>
        </w:rPr>
        <w:t xml:space="preserve"> </w:t>
      </w:r>
      <w:r w:rsidR="00924F5D" w:rsidRPr="002D7733">
        <w:rPr>
          <w:rFonts w:ascii="Times New Roman" w:hAnsi="Times New Roman"/>
          <w:sz w:val="24"/>
          <w:szCs w:val="24"/>
        </w:rPr>
        <w:t xml:space="preserve">skaita </w:t>
      </w:r>
      <w:r w:rsidR="00545869" w:rsidRPr="002D7733">
        <w:rPr>
          <w:rFonts w:ascii="Times New Roman" w:hAnsi="Times New Roman"/>
          <w:sz w:val="24"/>
          <w:szCs w:val="24"/>
        </w:rPr>
        <w:t>3</w:t>
      </w:r>
      <w:r w:rsidR="00DF46AF" w:rsidRPr="002D7733">
        <w:rPr>
          <w:rFonts w:ascii="Times New Roman" w:hAnsi="Times New Roman"/>
          <w:sz w:val="24"/>
          <w:szCs w:val="24"/>
        </w:rPr>
        <w:t xml:space="preserve"> </w:t>
      </w:r>
      <w:r w:rsidR="00545869" w:rsidRPr="002D7733">
        <w:rPr>
          <w:rFonts w:ascii="Times New Roman" w:hAnsi="Times New Roman"/>
          <w:sz w:val="24"/>
          <w:szCs w:val="24"/>
        </w:rPr>
        <w:t>748</w:t>
      </w:r>
      <w:r w:rsidR="003523F8" w:rsidRPr="009843EB">
        <w:rPr>
          <w:rFonts w:ascii="Times New Roman" w:hAnsi="Times New Roman"/>
          <w:sz w:val="24"/>
          <w:szCs w:val="24"/>
        </w:rPr>
        <w:t xml:space="preserve"> ir </w:t>
      </w:r>
      <w:r w:rsidR="00924F5D" w:rsidRPr="002D7733">
        <w:rPr>
          <w:rFonts w:ascii="Times New Roman" w:hAnsi="Times New Roman"/>
          <w:sz w:val="24"/>
          <w:szCs w:val="24"/>
        </w:rPr>
        <w:t>nodarbināti kā</w:t>
      </w:r>
      <w:r w:rsidR="00924F5D" w:rsidRPr="009843EB">
        <w:rPr>
          <w:rFonts w:ascii="Times New Roman" w:hAnsi="Times New Roman"/>
          <w:sz w:val="24"/>
          <w:szCs w:val="24"/>
        </w:rPr>
        <w:t xml:space="preserve"> </w:t>
      </w:r>
      <w:r w:rsidR="003523F8" w:rsidRPr="009843EB">
        <w:rPr>
          <w:rFonts w:ascii="Times New Roman" w:hAnsi="Times New Roman"/>
          <w:sz w:val="24"/>
          <w:szCs w:val="24"/>
        </w:rPr>
        <w:t xml:space="preserve">zinātniskais personāls, </w:t>
      </w:r>
      <w:r w:rsidR="00924F5D" w:rsidRPr="002D7733">
        <w:rPr>
          <w:rFonts w:ascii="Times New Roman" w:hAnsi="Times New Roman"/>
          <w:sz w:val="24"/>
          <w:szCs w:val="24"/>
        </w:rPr>
        <w:t xml:space="preserve">attiecīgi </w:t>
      </w:r>
      <w:r w:rsidR="003523F8" w:rsidRPr="009843EB">
        <w:rPr>
          <w:rFonts w:ascii="Times New Roman" w:hAnsi="Times New Roman"/>
          <w:sz w:val="24"/>
          <w:szCs w:val="24"/>
        </w:rPr>
        <w:t xml:space="preserve">no tiem augstākās izglītības sektorā strādāja </w:t>
      </w:r>
      <w:r w:rsidR="00545869" w:rsidRPr="002D7733">
        <w:rPr>
          <w:rFonts w:ascii="Times New Roman" w:hAnsi="Times New Roman"/>
          <w:sz w:val="24"/>
          <w:szCs w:val="24"/>
        </w:rPr>
        <w:t>2</w:t>
      </w:r>
      <w:r w:rsidR="00DF46AF" w:rsidRPr="002D7733">
        <w:rPr>
          <w:rFonts w:ascii="Times New Roman" w:hAnsi="Times New Roman"/>
          <w:sz w:val="24"/>
          <w:szCs w:val="24"/>
        </w:rPr>
        <w:t xml:space="preserve"> </w:t>
      </w:r>
      <w:r w:rsidR="00545869" w:rsidRPr="002D7733">
        <w:rPr>
          <w:rFonts w:ascii="Times New Roman" w:hAnsi="Times New Roman"/>
          <w:sz w:val="24"/>
          <w:szCs w:val="24"/>
        </w:rPr>
        <w:t>291</w:t>
      </w:r>
      <w:r w:rsidR="003523F8" w:rsidRPr="009843EB">
        <w:rPr>
          <w:rFonts w:ascii="Times New Roman" w:hAnsi="Times New Roman"/>
          <w:sz w:val="24"/>
          <w:szCs w:val="24"/>
        </w:rPr>
        <w:t xml:space="preserve">, valsts sektorā – </w:t>
      </w:r>
      <w:r w:rsidR="00545869" w:rsidRPr="002D7733">
        <w:rPr>
          <w:rFonts w:ascii="Times New Roman" w:hAnsi="Times New Roman"/>
          <w:sz w:val="24"/>
          <w:szCs w:val="24"/>
        </w:rPr>
        <w:t>681</w:t>
      </w:r>
      <w:r w:rsidR="003523F8" w:rsidRPr="009843EB">
        <w:rPr>
          <w:rFonts w:ascii="Times New Roman" w:hAnsi="Times New Roman"/>
          <w:sz w:val="24"/>
          <w:szCs w:val="24"/>
        </w:rPr>
        <w:t xml:space="preserve">, bet uzņēmējdarbības sektorā – </w:t>
      </w:r>
      <w:r w:rsidR="00545869" w:rsidRPr="002D7733">
        <w:rPr>
          <w:rFonts w:ascii="Times New Roman" w:hAnsi="Times New Roman"/>
          <w:sz w:val="24"/>
          <w:szCs w:val="24"/>
        </w:rPr>
        <w:t>776</w:t>
      </w:r>
      <w:r w:rsidR="00545869" w:rsidRPr="009843EB">
        <w:rPr>
          <w:rFonts w:ascii="Times New Roman" w:hAnsi="Times New Roman"/>
          <w:sz w:val="24"/>
          <w:szCs w:val="24"/>
        </w:rPr>
        <w:t xml:space="preserve"> </w:t>
      </w:r>
      <w:r w:rsidR="003523F8" w:rsidRPr="009843EB">
        <w:rPr>
          <w:rFonts w:ascii="Times New Roman" w:hAnsi="Times New Roman"/>
          <w:sz w:val="24"/>
          <w:szCs w:val="24"/>
        </w:rPr>
        <w:t xml:space="preserve">strādājošie. </w:t>
      </w:r>
    </w:p>
    <w:p w14:paraId="241992F8" w14:textId="532DEBB8" w:rsidR="004620A4" w:rsidRPr="00C07278" w:rsidRDefault="00564A7E" w:rsidP="00E7642A">
      <w:pPr>
        <w:ind w:left="0" w:firstLine="567"/>
        <w:rPr>
          <w:rFonts w:ascii="Times New Roman" w:hAnsi="Times New Roman"/>
          <w:highlight w:val="yellow"/>
        </w:rPr>
      </w:pPr>
      <w:r>
        <w:rPr>
          <w:rFonts w:ascii="Times New Roman" w:hAnsi="Times New Roman"/>
          <w:sz w:val="24"/>
          <w:szCs w:val="24"/>
        </w:rPr>
        <w:t>Kā redzams 3.</w:t>
      </w:r>
      <w:r w:rsidR="00566937">
        <w:rPr>
          <w:rFonts w:ascii="Times New Roman" w:hAnsi="Times New Roman"/>
          <w:sz w:val="24"/>
          <w:szCs w:val="24"/>
        </w:rPr>
        <w:t> </w:t>
      </w:r>
      <w:r>
        <w:rPr>
          <w:rFonts w:ascii="Times New Roman" w:hAnsi="Times New Roman"/>
          <w:sz w:val="24"/>
          <w:szCs w:val="24"/>
        </w:rPr>
        <w:t>attēlā, 2013.</w:t>
      </w:r>
      <w:r w:rsidR="00566937">
        <w:rPr>
          <w:rFonts w:ascii="Times New Roman" w:hAnsi="Times New Roman"/>
          <w:sz w:val="24"/>
          <w:szCs w:val="24"/>
        </w:rPr>
        <w:t> </w:t>
      </w:r>
      <w:r>
        <w:rPr>
          <w:rFonts w:ascii="Times New Roman" w:hAnsi="Times New Roman"/>
          <w:sz w:val="24"/>
          <w:szCs w:val="24"/>
        </w:rPr>
        <w:t>gadā no kopējā zinātniski pētnieciskajā darbā nodarbinātajiem</w:t>
      </w:r>
      <w:r w:rsidR="000526D8">
        <w:rPr>
          <w:rFonts w:ascii="Times New Roman" w:hAnsi="Times New Roman"/>
          <w:sz w:val="24"/>
          <w:szCs w:val="24"/>
        </w:rPr>
        <w:t xml:space="preserve"> </w:t>
      </w:r>
      <w:r w:rsidR="003523F8" w:rsidRPr="009843EB">
        <w:rPr>
          <w:rFonts w:ascii="Times New Roman" w:hAnsi="Times New Roman"/>
          <w:sz w:val="24"/>
          <w:szCs w:val="24"/>
        </w:rPr>
        <w:t>dabaszinātnēs (44</w:t>
      </w:r>
      <w:r w:rsidR="008B1832">
        <w:rPr>
          <w:rFonts w:ascii="Times New Roman" w:hAnsi="Times New Roman"/>
          <w:sz w:val="24"/>
          <w:szCs w:val="24"/>
        </w:rPr>
        <w:t> </w:t>
      </w:r>
      <w:r w:rsidR="003523F8" w:rsidRPr="009843EB">
        <w:rPr>
          <w:rFonts w:ascii="Times New Roman" w:hAnsi="Times New Roman"/>
          <w:sz w:val="24"/>
          <w:szCs w:val="24"/>
        </w:rPr>
        <w:t xml:space="preserve">%), inženierzinātnēs un tehnoloģiju zinātnēs </w:t>
      </w:r>
      <w:r>
        <w:rPr>
          <w:rFonts w:ascii="Times New Roman" w:hAnsi="Times New Roman"/>
          <w:sz w:val="24"/>
          <w:szCs w:val="24"/>
        </w:rPr>
        <w:t>tika nodarbināts</w:t>
      </w:r>
      <w:r w:rsidRPr="009843EB">
        <w:rPr>
          <w:rFonts w:ascii="Times New Roman" w:hAnsi="Times New Roman"/>
          <w:sz w:val="24"/>
          <w:szCs w:val="24"/>
        </w:rPr>
        <w:t xml:space="preserve"> </w:t>
      </w:r>
      <w:r w:rsidR="003523F8" w:rsidRPr="009843EB">
        <w:rPr>
          <w:rFonts w:ascii="Times New Roman" w:hAnsi="Times New Roman"/>
          <w:sz w:val="24"/>
          <w:szCs w:val="24"/>
        </w:rPr>
        <w:t>21</w:t>
      </w:r>
      <w:r w:rsidR="008B1832">
        <w:rPr>
          <w:rFonts w:ascii="Times New Roman" w:hAnsi="Times New Roman"/>
          <w:sz w:val="24"/>
          <w:szCs w:val="24"/>
        </w:rPr>
        <w:t> </w:t>
      </w:r>
      <w:r w:rsidR="003523F8" w:rsidRPr="009843EB">
        <w:rPr>
          <w:rFonts w:ascii="Times New Roman" w:hAnsi="Times New Roman"/>
          <w:sz w:val="24"/>
          <w:szCs w:val="24"/>
        </w:rPr>
        <w:t>%</w:t>
      </w:r>
      <w:r>
        <w:rPr>
          <w:rFonts w:ascii="Times New Roman" w:hAnsi="Times New Roman"/>
          <w:sz w:val="24"/>
          <w:szCs w:val="24"/>
        </w:rPr>
        <w:t xml:space="preserve"> strādājošo</w:t>
      </w:r>
      <w:r w:rsidR="003523F8" w:rsidRPr="009843EB">
        <w:rPr>
          <w:rFonts w:ascii="Times New Roman" w:hAnsi="Times New Roman"/>
          <w:sz w:val="24"/>
          <w:szCs w:val="24"/>
        </w:rPr>
        <w:t>, sociālajās zinātnēs – 12</w:t>
      </w:r>
      <w:r w:rsidR="008B1832">
        <w:rPr>
          <w:rFonts w:ascii="Times New Roman" w:hAnsi="Times New Roman"/>
          <w:sz w:val="24"/>
          <w:szCs w:val="24"/>
        </w:rPr>
        <w:t> </w:t>
      </w:r>
      <w:r w:rsidR="003523F8" w:rsidRPr="009843EB">
        <w:rPr>
          <w:rFonts w:ascii="Times New Roman" w:hAnsi="Times New Roman"/>
          <w:sz w:val="24"/>
          <w:szCs w:val="24"/>
        </w:rPr>
        <w:t>%, lauksaimniecības zinātnēs – 9</w:t>
      </w:r>
      <w:r w:rsidR="008B1832">
        <w:rPr>
          <w:rFonts w:ascii="Times New Roman" w:hAnsi="Times New Roman"/>
          <w:sz w:val="24"/>
          <w:szCs w:val="24"/>
        </w:rPr>
        <w:t> </w:t>
      </w:r>
      <w:r w:rsidR="003523F8" w:rsidRPr="009843EB">
        <w:rPr>
          <w:rFonts w:ascii="Times New Roman" w:hAnsi="Times New Roman"/>
          <w:sz w:val="24"/>
          <w:szCs w:val="24"/>
        </w:rPr>
        <w:t>%, humanitārajās zinātnēs – 8</w:t>
      </w:r>
      <w:r w:rsidR="008B1832">
        <w:rPr>
          <w:rFonts w:ascii="Times New Roman" w:hAnsi="Times New Roman"/>
          <w:sz w:val="24"/>
          <w:szCs w:val="24"/>
        </w:rPr>
        <w:t> </w:t>
      </w:r>
      <w:r w:rsidR="003523F8" w:rsidRPr="009843EB">
        <w:rPr>
          <w:rFonts w:ascii="Times New Roman" w:hAnsi="Times New Roman"/>
          <w:sz w:val="24"/>
          <w:szCs w:val="24"/>
        </w:rPr>
        <w:t>%, medicīnas un veselības zinātnēs – 6</w:t>
      </w:r>
      <w:r w:rsidR="008B1832">
        <w:rPr>
          <w:rFonts w:ascii="Times New Roman" w:hAnsi="Times New Roman"/>
          <w:sz w:val="24"/>
          <w:szCs w:val="24"/>
        </w:rPr>
        <w:t> </w:t>
      </w:r>
      <w:r w:rsidR="003523F8" w:rsidRPr="009843EB">
        <w:rPr>
          <w:rFonts w:ascii="Times New Roman" w:hAnsi="Times New Roman"/>
          <w:sz w:val="24"/>
          <w:szCs w:val="24"/>
        </w:rPr>
        <w:t>%</w:t>
      </w:r>
      <w:r w:rsidR="0026017F" w:rsidRPr="009843EB">
        <w:rPr>
          <w:rFonts w:ascii="Times New Roman" w:hAnsi="Times New Roman"/>
          <w:sz w:val="24"/>
          <w:szCs w:val="24"/>
        </w:rPr>
        <w:t xml:space="preserve"> </w:t>
      </w:r>
      <w:r w:rsidR="0026017F" w:rsidRPr="002D7733">
        <w:rPr>
          <w:rFonts w:ascii="Times New Roman" w:hAnsi="Times New Roman"/>
          <w:sz w:val="24"/>
          <w:szCs w:val="24"/>
        </w:rPr>
        <w:t>(sk</w:t>
      </w:r>
      <w:r w:rsidR="005163E5">
        <w:rPr>
          <w:rFonts w:ascii="Times New Roman" w:hAnsi="Times New Roman"/>
          <w:sz w:val="24"/>
          <w:szCs w:val="24"/>
        </w:rPr>
        <w:t>at</w:t>
      </w:r>
      <w:r w:rsidR="0026017F" w:rsidRPr="002D7733">
        <w:rPr>
          <w:rFonts w:ascii="Times New Roman" w:hAnsi="Times New Roman"/>
          <w:sz w:val="24"/>
          <w:szCs w:val="24"/>
        </w:rPr>
        <w:t xml:space="preserve">. </w:t>
      </w:r>
      <w:r w:rsidR="005163E5">
        <w:rPr>
          <w:rFonts w:ascii="Times New Roman" w:hAnsi="Times New Roman"/>
          <w:sz w:val="24"/>
          <w:szCs w:val="24"/>
        </w:rPr>
        <w:t xml:space="preserve">3. </w:t>
      </w:r>
      <w:r w:rsidR="0026017F" w:rsidRPr="002D7733">
        <w:rPr>
          <w:rFonts w:ascii="Times New Roman" w:hAnsi="Times New Roman"/>
          <w:sz w:val="24"/>
          <w:szCs w:val="24"/>
        </w:rPr>
        <w:t>attēlu)</w:t>
      </w:r>
      <w:r w:rsidR="003523F8" w:rsidRPr="002D7733">
        <w:rPr>
          <w:rFonts w:ascii="Times New Roman" w:hAnsi="Times New Roman"/>
          <w:sz w:val="24"/>
          <w:szCs w:val="24"/>
        </w:rPr>
        <w:t>.</w:t>
      </w:r>
    </w:p>
    <w:p w14:paraId="0427F31D" w14:textId="77777777" w:rsidR="00352C8E" w:rsidRPr="00352C8E" w:rsidRDefault="00352C8E" w:rsidP="00E7642A">
      <w:pPr>
        <w:pStyle w:val="Caption"/>
        <w:tabs>
          <w:tab w:val="left" w:pos="6990"/>
          <w:tab w:val="right" w:pos="9354"/>
        </w:tabs>
        <w:spacing w:before="120" w:after="120"/>
        <w:jc w:val="left"/>
        <w:rPr>
          <w:sz w:val="24"/>
          <w:szCs w:val="24"/>
          <w:shd w:val="clear" w:color="auto" w:fill="D9D9D9" w:themeFill="background1" w:themeFillShade="D9"/>
        </w:rPr>
      </w:pPr>
      <w:r>
        <w:rPr>
          <w:rFonts w:ascii="Times New Roman" w:hAnsi="Times New Roman"/>
          <w:color w:val="auto"/>
          <w:sz w:val="24"/>
          <w:szCs w:val="24"/>
        </w:rPr>
        <w:tab/>
      </w:r>
      <w:r>
        <w:rPr>
          <w:rFonts w:ascii="Times New Roman" w:hAnsi="Times New Roman"/>
          <w:color w:val="auto"/>
          <w:sz w:val="24"/>
          <w:szCs w:val="24"/>
        </w:rPr>
        <w:tab/>
      </w:r>
      <w:r w:rsidRPr="00352C8E">
        <w:rPr>
          <w:rFonts w:ascii="Times New Roman" w:hAnsi="Times New Roman"/>
          <w:color w:val="auto"/>
          <w:sz w:val="24"/>
          <w:szCs w:val="24"/>
        </w:rPr>
        <w:t xml:space="preserve">Attēls Nr. </w:t>
      </w:r>
      <w:r w:rsidR="00417751" w:rsidRPr="00352C8E">
        <w:rPr>
          <w:rFonts w:ascii="Times New Roman" w:hAnsi="Times New Roman"/>
          <w:color w:val="auto"/>
          <w:sz w:val="24"/>
          <w:szCs w:val="24"/>
        </w:rPr>
        <w:fldChar w:fldCharType="begin"/>
      </w:r>
      <w:r w:rsidRPr="00352C8E">
        <w:rPr>
          <w:rFonts w:ascii="Times New Roman" w:hAnsi="Times New Roman"/>
          <w:color w:val="auto"/>
          <w:sz w:val="24"/>
          <w:szCs w:val="24"/>
        </w:rPr>
        <w:instrText xml:space="preserve"> SEQ Attēls \* ARABIC </w:instrText>
      </w:r>
      <w:r w:rsidR="00417751" w:rsidRPr="00352C8E">
        <w:rPr>
          <w:rFonts w:ascii="Times New Roman" w:hAnsi="Times New Roman"/>
          <w:color w:val="auto"/>
          <w:sz w:val="24"/>
          <w:szCs w:val="24"/>
        </w:rPr>
        <w:fldChar w:fldCharType="separate"/>
      </w:r>
      <w:r w:rsidR="00E7642A">
        <w:rPr>
          <w:rFonts w:ascii="Times New Roman" w:hAnsi="Times New Roman"/>
          <w:noProof/>
          <w:color w:val="auto"/>
          <w:sz w:val="24"/>
          <w:szCs w:val="24"/>
        </w:rPr>
        <w:t>3</w:t>
      </w:r>
      <w:r w:rsidR="00417751" w:rsidRPr="00352C8E">
        <w:rPr>
          <w:rFonts w:ascii="Times New Roman" w:hAnsi="Times New Roman"/>
          <w:color w:val="auto"/>
          <w:sz w:val="24"/>
          <w:szCs w:val="24"/>
        </w:rPr>
        <w:fldChar w:fldCharType="end"/>
      </w:r>
      <w:r w:rsidRPr="00352C8E">
        <w:rPr>
          <w:rFonts w:ascii="Times New Roman" w:hAnsi="Times New Roman"/>
          <w:color w:val="auto"/>
          <w:sz w:val="24"/>
          <w:szCs w:val="24"/>
        </w:rPr>
        <w:t>.</w:t>
      </w:r>
    </w:p>
    <w:p w14:paraId="0BA649CC" w14:textId="77777777" w:rsidR="003523F8" w:rsidRPr="00352C8E" w:rsidRDefault="00352C8E" w:rsidP="00E7642A">
      <w:pPr>
        <w:spacing w:after="200"/>
        <w:ind w:left="0"/>
        <w:jc w:val="center"/>
        <w:rPr>
          <w:rFonts w:ascii="Times New Roman" w:hAnsi="Times New Roman"/>
          <w:b/>
        </w:rPr>
      </w:pPr>
      <w:r w:rsidRPr="00352C8E" w:rsidDel="00352C8E">
        <w:rPr>
          <w:rFonts w:ascii="Times New Roman" w:hAnsi="Times New Roman"/>
          <w:b/>
          <w:sz w:val="24"/>
          <w:szCs w:val="24"/>
        </w:rPr>
        <w:t xml:space="preserve"> </w:t>
      </w:r>
      <w:r w:rsidR="003523F8" w:rsidRPr="00352C8E">
        <w:rPr>
          <w:rFonts w:ascii="Times New Roman" w:hAnsi="Times New Roman"/>
          <w:b/>
          <w:sz w:val="24"/>
          <w:szCs w:val="24"/>
        </w:rPr>
        <w:t>Cilvēkresursu sadalījums zinātnē un pētniecībā</w:t>
      </w:r>
    </w:p>
    <w:p w14:paraId="0569DBAC" w14:textId="77777777" w:rsidR="003523F8" w:rsidRPr="00C07278" w:rsidRDefault="003523F8" w:rsidP="00E7642A">
      <w:pPr>
        <w:ind w:left="0"/>
        <w:rPr>
          <w:rFonts w:ascii="Times New Roman" w:hAnsi="Times New Roman"/>
          <w:sz w:val="24"/>
          <w:szCs w:val="24"/>
        </w:rPr>
      </w:pPr>
      <w:r w:rsidRPr="00C07278">
        <w:rPr>
          <w:rFonts w:ascii="Times New Roman" w:hAnsi="Times New Roman"/>
          <w:noProof/>
          <w:sz w:val="24"/>
          <w:szCs w:val="24"/>
          <w:lang w:eastAsia="lv-LV"/>
        </w:rPr>
        <w:lastRenderedPageBreak/>
        <w:drawing>
          <wp:inline distT="0" distB="0" distL="0" distR="0" wp14:anchorId="4D58A87F" wp14:editId="48C261D5">
            <wp:extent cx="5753100" cy="18192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1D10AD" w14:textId="77777777" w:rsidR="003523F8" w:rsidRPr="00352C8E" w:rsidRDefault="003523F8" w:rsidP="00E7642A">
      <w:pPr>
        <w:ind w:left="0"/>
        <w:rPr>
          <w:rFonts w:ascii="Times New Roman" w:hAnsi="Times New Roman"/>
          <w:i/>
          <w:sz w:val="24"/>
          <w:szCs w:val="24"/>
        </w:rPr>
      </w:pPr>
      <w:r w:rsidRPr="00352C8E">
        <w:rPr>
          <w:rFonts w:ascii="Times New Roman" w:hAnsi="Times New Roman"/>
          <w:i/>
          <w:sz w:val="24"/>
          <w:szCs w:val="24"/>
        </w:rPr>
        <w:t>Datu avots: SIA “FIDEA” pētījums “Zināšanu kapacitātes novērtējums”, 2013</w:t>
      </w:r>
    </w:p>
    <w:p w14:paraId="7B15A9B7" w14:textId="77777777" w:rsidR="005B0DCB" w:rsidRPr="006638C6" w:rsidRDefault="005B0DCB" w:rsidP="00E7642A">
      <w:pPr>
        <w:pStyle w:val="NormalWeb"/>
        <w:spacing w:before="0" w:beforeAutospacing="0" w:after="0" w:afterAutospacing="0"/>
        <w:ind w:firstLine="567"/>
        <w:jc w:val="both"/>
      </w:pPr>
    </w:p>
    <w:p w14:paraId="091CCEC4" w14:textId="643014E0" w:rsidR="003523F8" w:rsidRPr="00C07278" w:rsidRDefault="000526D8" w:rsidP="00E7642A">
      <w:pPr>
        <w:pStyle w:val="NormalWeb"/>
        <w:spacing w:before="0" w:beforeAutospacing="0" w:after="0" w:afterAutospacing="0"/>
        <w:ind w:firstLine="567"/>
        <w:jc w:val="both"/>
      </w:pPr>
      <w:r>
        <w:t>Pētniecības p</w:t>
      </w:r>
      <w:r w:rsidR="003523F8" w:rsidRPr="00C07278">
        <w:t>ersonāla vecuma struktūra</w:t>
      </w:r>
      <w:r>
        <w:t xml:space="preserve"> liecina par to, ka nerisinot situāciju jau tuvākajā laikā</w:t>
      </w:r>
      <w:r w:rsidR="00564A7E">
        <w:t>,</w:t>
      </w:r>
      <w:r>
        <w:t xml:space="preserve"> Latvijā trūks tautsaimniecības attīstībai </w:t>
      </w:r>
      <w:r w:rsidR="00564A7E">
        <w:t xml:space="preserve">nepieciešamie </w:t>
      </w:r>
      <w:r>
        <w:t>cilvēkresurs</w:t>
      </w:r>
      <w:r w:rsidR="00564A7E">
        <w:t>i</w:t>
      </w:r>
      <w:r w:rsidR="003523F8" w:rsidRPr="00C07278">
        <w:t xml:space="preserve"> (</w:t>
      </w:r>
      <w:r w:rsidR="00E77374" w:rsidRPr="004057D8">
        <w:t>sk</w:t>
      </w:r>
      <w:r w:rsidR="005163E5" w:rsidRPr="004057D8">
        <w:t>at</w:t>
      </w:r>
      <w:r w:rsidR="00E77374" w:rsidRPr="004057D8">
        <w:t xml:space="preserve">. </w:t>
      </w:r>
      <w:r w:rsidR="005163E5" w:rsidRPr="004057D8">
        <w:t>4.</w:t>
      </w:r>
      <w:r w:rsidR="008B1832">
        <w:t> </w:t>
      </w:r>
      <w:r w:rsidR="00E77374" w:rsidRPr="004057D8">
        <w:t>attēl</w:t>
      </w:r>
      <w:r w:rsidR="005163E5" w:rsidRPr="004057D8">
        <w:t>u</w:t>
      </w:r>
      <w:r w:rsidR="003523F8" w:rsidRPr="004057D8">
        <w:t>).</w:t>
      </w:r>
      <w:r w:rsidR="003523F8" w:rsidRPr="00C07278">
        <w:t xml:space="preserve"> </w:t>
      </w:r>
      <w:r w:rsidR="00F40D6F">
        <w:t xml:space="preserve">Analizējot </w:t>
      </w:r>
      <w:r w:rsidR="00785470" w:rsidRPr="00F40D6F">
        <w:t>Latvijas zinātnes un pētniecības cilvēkresursu vecuma struktūr</w:t>
      </w:r>
      <w:r w:rsidR="00F40D6F">
        <w:t>u, redzams, ka</w:t>
      </w:r>
      <w:r w:rsidR="00785470" w:rsidRPr="00F40D6F">
        <w:t xml:space="preserve"> </w:t>
      </w:r>
      <w:r w:rsidR="003523F8" w:rsidRPr="00C07278">
        <w:t>2013.</w:t>
      </w:r>
      <w:r w:rsidR="00566937">
        <w:t> </w:t>
      </w:r>
      <w:r w:rsidR="003523F8" w:rsidRPr="00C07278">
        <w:t>gada sākumā 27</w:t>
      </w:r>
      <w:r w:rsidR="008B1832">
        <w:t> </w:t>
      </w:r>
      <w:r w:rsidR="003523F8" w:rsidRPr="00C07278">
        <w:t xml:space="preserve">% </w:t>
      </w:r>
      <w:r w:rsidR="00785470">
        <w:t>no</w:t>
      </w:r>
      <w:r w:rsidR="00F40D6F">
        <w:t xml:space="preserve"> nodarbinātajiem </w:t>
      </w:r>
      <w:r w:rsidR="003523F8" w:rsidRPr="00C07278">
        <w:t>akadēmiskā personāla</w:t>
      </w:r>
      <w:r w:rsidR="00F40D6F">
        <w:t xml:space="preserve"> pārstāvjiem</w:t>
      </w:r>
      <w:r w:rsidR="003523F8" w:rsidRPr="00C07278">
        <w:t xml:space="preserve"> bija 60 un vairāk gadu. Skatoties ilgtermiņā, riska grupa ir arī akadēmiskā personāla pārstāvji vecuma grupā no 50 līdz 59 gadiem, jo 10 līdz 15 gadu laikā arī viņi būs sasnieguši pensijas vecumu. Kopumā 42</w:t>
      </w:r>
      <w:r w:rsidR="008B1832">
        <w:t xml:space="preserve"> procenti</w:t>
      </w:r>
      <w:r w:rsidR="008B1832" w:rsidRPr="00C07278">
        <w:t xml:space="preserve"> </w:t>
      </w:r>
      <w:r w:rsidR="003523F8" w:rsidRPr="00C07278">
        <w:t>no Latvijas akadēmiskā personāla ir vecāki par 50 gadiem</w:t>
      </w:r>
      <w:r>
        <w:t xml:space="preserve">. </w:t>
      </w:r>
    </w:p>
    <w:p w14:paraId="3134DD4A" w14:textId="239DC6D2" w:rsidR="00352C8E" w:rsidRPr="00E0256A" w:rsidRDefault="00352C8E" w:rsidP="00E7642A">
      <w:pPr>
        <w:spacing w:after="160" w:line="259" w:lineRule="auto"/>
        <w:ind w:left="0"/>
        <w:jc w:val="right"/>
        <w:rPr>
          <w:rFonts w:ascii="Times New Roman" w:hAnsi="Times New Roman"/>
          <w:i/>
          <w:iCs/>
          <w:sz w:val="24"/>
          <w:szCs w:val="24"/>
        </w:rPr>
      </w:pPr>
      <w:r w:rsidRPr="00E0256A">
        <w:rPr>
          <w:rFonts w:ascii="Times New Roman" w:hAnsi="Times New Roman"/>
          <w:i/>
          <w:iCs/>
          <w:sz w:val="24"/>
          <w:szCs w:val="24"/>
        </w:rPr>
        <w:t xml:space="preserve">Attēls Nr. </w:t>
      </w:r>
      <w:r w:rsidR="00417751" w:rsidRPr="00E0256A">
        <w:rPr>
          <w:rFonts w:ascii="Times New Roman" w:hAnsi="Times New Roman"/>
          <w:i/>
          <w:iCs/>
          <w:sz w:val="24"/>
          <w:szCs w:val="24"/>
        </w:rPr>
        <w:fldChar w:fldCharType="begin"/>
      </w:r>
      <w:r w:rsidRPr="00E0256A">
        <w:rPr>
          <w:rFonts w:ascii="Times New Roman" w:hAnsi="Times New Roman"/>
          <w:i/>
          <w:iCs/>
          <w:sz w:val="24"/>
          <w:szCs w:val="24"/>
        </w:rPr>
        <w:instrText xml:space="preserve"> SEQ Attēls \* ARABIC </w:instrText>
      </w:r>
      <w:r w:rsidR="00417751" w:rsidRPr="00E0256A">
        <w:rPr>
          <w:rFonts w:ascii="Times New Roman" w:hAnsi="Times New Roman"/>
          <w:i/>
          <w:iCs/>
          <w:sz w:val="24"/>
          <w:szCs w:val="24"/>
        </w:rPr>
        <w:fldChar w:fldCharType="separate"/>
      </w:r>
      <w:r w:rsidR="00E7642A">
        <w:rPr>
          <w:rFonts w:ascii="Times New Roman" w:hAnsi="Times New Roman"/>
          <w:i/>
          <w:iCs/>
          <w:noProof/>
          <w:sz w:val="24"/>
          <w:szCs w:val="24"/>
        </w:rPr>
        <w:t>4</w:t>
      </w:r>
      <w:r w:rsidR="00417751" w:rsidRPr="00E0256A">
        <w:rPr>
          <w:rFonts w:ascii="Times New Roman" w:hAnsi="Times New Roman"/>
          <w:i/>
          <w:iCs/>
          <w:sz w:val="24"/>
          <w:szCs w:val="24"/>
        </w:rPr>
        <w:fldChar w:fldCharType="end"/>
      </w:r>
      <w:r w:rsidRPr="00E0256A">
        <w:rPr>
          <w:rFonts w:ascii="Times New Roman" w:hAnsi="Times New Roman"/>
          <w:i/>
          <w:iCs/>
          <w:sz w:val="24"/>
          <w:szCs w:val="24"/>
        </w:rPr>
        <w:t>.</w:t>
      </w:r>
    </w:p>
    <w:p w14:paraId="541A408A" w14:textId="77777777" w:rsidR="00352C8E" w:rsidRDefault="003523F8" w:rsidP="00E7642A">
      <w:pPr>
        <w:ind w:left="0"/>
        <w:jc w:val="center"/>
        <w:rPr>
          <w:rFonts w:ascii="Times New Roman" w:hAnsi="Times New Roman"/>
          <w:b/>
        </w:rPr>
      </w:pPr>
      <w:r w:rsidRPr="00352C8E">
        <w:rPr>
          <w:rFonts w:ascii="Times New Roman" w:hAnsi="Times New Roman"/>
          <w:b/>
        </w:rPr>
        <w:t>Latvijas zinātnes un pētniecības cilvēkresursu vecuma struktūra</w:t>
      </w:r>
      <w:r w:rsidR="00352C8E">
        <w:rPr>
          <w:rFonts w:ascii="Times New Roman" w:hAnsi="Times New Roman"/>
          <w:b/>
        </w:rPr>
        <w:t xml:space="preserve"> </w:t>
      </w:r>
    </w:p>
    <w:p w14:paraId="0E2AD41D" w14:textId="77777777" w:rsidR="003523F8" w:rsidRPr="00352C8E" w:rsidRDefault="00352C8E" w:rsidP="00E7642A">
      <w:pPr>
        <w:spacing w:after="200"/>
        <w:ind w:left="0"/>
        <w:jc w:val="center"/>
        <w:rPr>
          <w:rFonts w:ascii="Times New Roman" w:hAnsi="Times New Roman"/>
          <w:b/>
        </w:rPr>
      </w:pPr>
      <w:r>
        <w:rPr>
          <w:rFonts w:ascii="Times New Roman" w:hAnsi="Times New Roman"/>
          <w:b/>
        </w:rPr>
        <w:t xml:space="preserve">(dati uz </w:t>
      </w:r>
      <w:r w:rsidR="003523F8" w:rsidRPr="00352C8E">
        <w:rPr>
          <w:rFonts w:ascii="Times New Roman" w:hAnsi="Times New Roman"/>
          <w:b/>
        </w:rPr>
        <w:t>2013.</w:t>
      </w:r>
      <w:r w:rsidR="00D412B8">
        <w:rPr>
          <w:rFonts w:ascii="Times New Roman" w:hAnsi="Times New Roman"/>
          <w:b/>
        </w:rPr>
        <w:t xml:space="preserve"> </w:t>
      </w:r>
      <w:r w:rsidR="003523F8" w:rsidRPr="00352C8E">
        <w:rPr>
          <w:rFonts w:ascii="Times New Roman" w:hAnsi="Times New Roman"/>
          <w:b/>
        </w:rPr>
        <w:t>gada 1.</w:t>
      </w:r>
      <w:r w:rsidR="00D412B8">
        <w:rPr>
          <w:rFonts w:ascii="Times New Roman" w:hAnsi="Times New Roman"/>
          <w:b/>
        </w:rPr>
        <w:t xml:space="preserve"> </w:t>
      </w:r>
      <w:r w:rsidR="003523F8" w:rsidRPr="00352C8E">
        <w:rPr>
          <w:rFonts w:ascii="Times New Roman" w:hAnsi="Times New Roman"/>
          <w:b/>
        </w:rPr>
        <w:t>janvārī</w:t>
      </w:r>
      <w:r>
        <w:rPr>
          <w:rFonts w:ascii="Times New Roman" w:hAnsi="Times New Roman"/>
          <w:b/>
        </w:rPr>
        <w:t>)</w:t>
      </w:r>
    </w:p>
    <w:p w14:paraId="1C18182E" w14:textId="77777777" w:rsidR="003523F8" w:rsidRPr="00C07278" w:rsidRDefault="003523F8" w:rsidP="00E7642A">
      <w:pPr>
        <w:ind w:left="0"/>
        <w:jc w:val="center"/>
        <w:rPr>
          <w:rFonts w:ascii="Times New Roman" w:hAnsi="Times New Roman"/>
          <w:sz w:val="24"/>
          <w:szCs w:val="24"/>
        </w:rPr>
      </w:pPr>
      <w:r w:rsidRPr="00C07278">
        <w:rPr>
          <w:rFonts w:ascii="Times New Roman" w:hAnsi="Times New Roman"/>
          <w:i/>
          <w:noProof/>
          <w:sz w:val="24"/>
          <w:szCs w:val="24"/>
          <w:lang w:eastAsia="lv-LV"/>
        </w:rPr>
        <w:drawing>
          <wp:inline distT="0" distB="0" distL="0" distR="0" wp14:anchorId="382FC93A" wp14:editId="1C477A8F">
            <wp:extent cx="5648325" cy="2143125"/>
            <wp:effectExtent l="0" t="0" r="9525"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6466AA" w14:textId="77777777" w:rsidR="00C708D6" w:rsidRPr="00352C8E" w:rsidRDefault="003523F8" w:rsidP="00E7642A">
      <w:pPr>
        <w:ind w:left="0"/>
        <w:jc w:val="left"/>
        <w:rPr>
          <w:rFonts w:ascii="Times New Roman" w:hAnsi="Times New Roman"/>
          <w:i/>
          <w:sz w:val="24"/>
          <w:szCs w:val="24"/>
        </w:rPr>
      </w:pPr>
      <w:r w:rsidRPr="00352C8E">
        <w:rPr>
          <w:rFonts w:ascii="Times New Roman" w:hAnsi="Times New Roman"/>
          <w:i/>
          <w:sz w:val="24"/>
          <w:szCs w:val="24"/>
        </w:rPr>
        <w:t>Datu avots: SIA “FIDEA” pētījums “Zināšanu kapacitātes novērtējums”, 2013</w:t>
      </w:r>
    </w:p>
    <w:p w14:paraId="1DC36C50" w14:textId="77777777" w:rsidR="003523F8" w:rsidRDefault="003523F8" w:rsidP="00E7642A">
      <w:pPr>
        <w:ind w:left="0"/>
        <w:rPr>
          <w:rFonts w:ascii="Times New Roman" w:hAnsi="Times New Roman"/>
          <w:sz w:val="24"/>
          <w:szCs w:val="24"/>
        </w:rPr>
      </w:pPr>
    </w:p>
    <w:p w14:paraId="6D1F09C2" w14:textId="77777777" w:rsidR="00D04B99" w:rsidRDefault="00564A7E" w:rsidP="00E7642A">
      <w:pPr>
        <w:pStyle w:val="NormalWeb"/>
        <w:spacing w:before="0" w:beforeAutospacing="0" w:after="0" w:afterAutospacing="0"/>
        <w:ind w:firstLine="567"/>
        <w:jc w:val="both"/>
      </w:pPr>
      <w:r>
        <w:t>2014.gadā 21 valsts zinātniskajā institūcijā, kas finansēta n</w:t>
      </w:r>
      <w:r w:rsidR="00F71D53">
        <w:t>o valsts budžeta līdzekļiem</w:t>
      </w:r>
      <w:r>
        <w:t>,</w:t>
      </w:r>
      <w:r w:rsidR="00F71D53">
        <w:t xml:space="preserve"> </w:t>
      </w:r>
      <w:r>
        <w:t>bija</w:t>
      </w:r>
      <w:r w:rsidRPr="009843EB">
        <w:t xml:space="preserve"> </w:t>
      </w:r>
      <w:r w:rsidR="000921C7" w:rsidRPr="009843EB">
        <w:t xml:space="preserve">nodarbināti zinātniskie darbinieki </w:t>
      </w:r>
      <w:r w:rsidR="00763D95" w:rsidRPr="002D7733">
        <w:t>3 139</w:t>
      </w:r>
      <w:r w:rsidR="000921C7" w:rsidRPr="009843EB">
        <w:t xml:space="preserve"> </w:t>
      </w:r>
      <w:r w:rsidR="00315291">
        <w:t>pilna darba laika ekvivalenta (turpmāk – PLE)</w:t>
      </w:r>
      <w:r w:rsidR="00315291" w:rsidRPr="009843EB">
        <w:t xml:space="preserve"> </w:t>
      </w:r>
      <w:r w:rsidR="000921C7" w:rsidRPr="009843EB">
        <w:t>izteiksmē</w:t>
      </w:r>
      <w:r w:rsidR="009C5F97">
        <w:t xml:space="preserve"> jeb 55 procenti no visiem </w:t>
      </w:r>
      <w:r w:rsidR="009C5F97" w:rsidRPr="009843EB">
        <w:t>Latvijā zinātniski pētnieciskajā darbā</w:t>
      </w:r>
      <w:r w:rsidR="009C5F97">
        <w:t xml:space="preserve"> nodarbinātajiem.</w:t>
      </w:r>
      <w:r w:rsidR="00315291">
        <w:t xml:space="preserve"> </w:t>
      </w:r>
      <w:r w:rsidR="009C5F97">
        <w:t xml:space="preserve">Attiecīgi </w:t>
      </w:r>
      <w:r w:rsidR="000921C7" w:rsidRPr="009843EB">
        <w:t xml:space="preserve">zinātniskais personāls (vadošie pētnieki, pētnieki un zinātniskie asistenti) </w:t>
      </w:r>
      <w:r w:rsidR="009C5F97">
        <w:t xml:space="preserve">šajās institūcijās tika nodarbināts </w:t>
      </w:r>
      <w:r w:rsidR="00763D95" w:rsidRPr="002D7733">
        <w:t>1 728</w:t>
      </w:r>
      <w:r w:rsidR="000921C7" w:rsidRPr="009843EB">
        <w:t xml:space="preserve"> PLE izteiksmē</w:t>
      </w:r>
      <w:r w:rsidR="00315291">
        <w:t xml:space="preserve">, savukārt </w:t>
      </w:r>
      <w:r w:rsidR="000921C7" w:rsidRPr="009843EB">
        <w:t xml:space="preserve">zinātnes tehniskais un zinātnes apkalpojošais personāls </w:t>
      </w:r>
      <w:r w:rsidR="00763D95" w:rsidRPr="002D7733">
        <w:t>1 411</w:t>
      </w:r>
      <w:r w:rsidR="000921C7" w:rsidRPr="009843EB">
        <w:t xml:space="preserve"> PLE izteiksmē</w:t>
      </w:r>
      <w:r w:rsidR="00763D95" w:rsidRPr="002D7733">
        <w:rPr>
          <w:rStyle w:val="FootnoteReference"/>
        </w:rPr>
        <w:footnoteReference w:id="12"/>
      </w:r>
      <w:r w:rsidR="00FA421E" w:rsidRPr="002D7733">
        <w:t xml:space="preserve"> (sk</w:t>
      </w:r>
      <w:r w:rsidR="005163E5">
        <w:t>at</w:t>
      </w:r>
      <w:r w:rsidR="00FA421E" w:rsidRPr="002D7733">
        <w:t xml:space="preserve">. </w:t>
      </w:r>
      <w:r w:rsidR="005163E5">
        <w:t>2.</w:t>
      </w:r>
      <w:r w:rsidR="008B1832">
        <w:t> </w:t>
      </w:r>
      <w:r w:rsidR="0059696F">
        <w:t>tabulu</w:t>
      </w:r>
      <w:r w:rsidR="0026017F" w:rsidRPr="002D7733">
        <w:t>).</w:t>
      </w:r>
      <w:r w:rsidR="00735A43" w:rsidRPr="009843EB">
        <w:t xml:space="preserve"> </w:t>
      </w:r>
    </w:p>
    <w:p w14:paraId="5AC6495E" w14:textId="77777777" w:rsidR="0059696F" w:rsidRDefault="0059696F" w:rsidP="00E7642A">
      <w:pPr>
        <w:pStyle w:val="Caption"/>
        <w:keepNext/>
        <w:spacing w:before="120" w:after="120"/>
        <w:jc w:val="right"/>
        <w:rPr>
          <w:rFonts w:ascii="Times New Roman" w:hAnsi="Times New Roman"/>
          <w:sz w:val="24"/>
          <w:szCs w:val="24"/>
        </w:rPr>
      </w:pPr>
      <w:r w:rsidRPr="00941DA3">
        <w:rPr>
          <w:rFonts w:ascii="Times New Roman" w:hAnsi="Times New Roman"/>
          <w:color w:val="auto"/>
          <w:sz w:val="24"/>
          <w:szCs w:val="24"/>
        </w:rPr>
        <w:lastRenderedPageBreak/>
        <w:t xml:space="preserve">Tabula </w:t>
      </w:r>
      <w:r w:rsidRPr="00423C9F">
        <w:rPr>
          <w:rFonts w:ascii="Times New Roman" w:hAnsi="Times New Roman"/>
          <w:color w:val="auto"/>
          <w:sz w:val="24"/>
          <w:szCs w:val="24"/>
        </w:rPr>
        <w:t>Nr.</w:t>
      </w:r>
      <w:r w:rsidRPr="00941DA3">
        <w:rPr>
          <w:rFonts w:ascii="Times New Roman" w:hAnsi="Times New Roman"/>
          <w:color w:val="auto"/>
          <w:sz w:val="24"/>
          <w:szCs w:val="24"/>
        </w:rPr>
        <w:t xml:space="preserve"> </w:t>
      </w:r>
      <w:r w:rsidR="00417751"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00417751" w:rsidRPr="00941DA3">
        <w:rPr>
          <w:rFonts w:ascii="Times New Roman" w:hAnsi="Times New Roman"/>
          <w:color w:val="auto"/>
          <w:sz w:val="24"/>
          <w:szCs w:val="24"/>
        </w:rPr>
        <w:fldChar w:fldCharType="separate"/>
      </w:r>
      <w:r w:rsidR="00E7642A">
        <w:rPr>
          <w:rFonts w:ascii="Times New Roman" w:hAnsi="Times New Roman"/>
          <w:noProof/>
          <w:color w:val="auto"/>
          <w:sz w:val="24"/>
          <w:szCs w:val="24"/>
        </w:rPr>
        <w:t>2</w:t>
      </w:r>
      <w:r w:rsidR="00417751" w:rsidRPr="00941DA3">
        <w:rPr>
          <w:rFonts w:ascii="Times New Roman" w:hAnsi="Times New Roman"/>
          <w:color w:val="auto"/>
          <w:sz w:val="24"/>
          <w:szCs w:val="24"/>
        </w:rPr>
        <w:fldChar w:fldCharType="end"/>
      </w:r>
      <w:r w:rsidRPr="00941DA3">
        <w:rPr>
          <w:rFonts w:ascii="Times New Roman" w:hAnsi="Times New Roman"/>
          <w:sz w:val="24"/>
          <w:szCs w:val="24"/>
        </w:rPr>
        <w:t xml:space="preserve"> </w:t>
      </w:r>
    </w:p>
    <w:p w14:paraId="44691CBE" w14:textId="5CE51275" w:rsidR="002C7ADF" w:rsidRPr="0059696F" w:rsidRDefault="0059696F" w:rsidP="00E7642A">
      <w:pPr>
        <w:ind w:left="0"/>
        <w:jc w:val="center"/>
        <w:rPr>
          <w:rFonts w:ascii="Times New Roman" w:hAnsi="Times New Roman"/>
          <w:b/>
        </w:rPr>
      </w:pPr>
      <w:r w:rsidRPr="0059696F">
        <w:rPr>
          <w:rFonts w:ascii="Times New Roman" w:hAnsi="Times New Roman"/>
          <w:b/>
        </w:rPr>
        <w:t>Valsts zinātniskajās institūcijās 2014.</w:t>
      </w:r>
      <w:r w:rsidR="002E0E23">
        <w:rPr>
          <w:rFonts w:ascii="Times New Roman" w:hAnsi="Times New Roman"/>
          <w:b/>
        </w:rPr>
        <w:t> </w:t>
      </w:r>
      <w:r w:rsidRPr="0059696F">
        <w:rPr>
          <w:rFonts w:ascii="Times New Roman" w:hAnsi="Times New Roman"/>
          <w:b/>
        </w:rPr>
        <w:t>gadā nodarbinātais zinātniskais personāls</w:t>
      </w:r>
      <w:r w:rsidR="00341D6F">
        <w:rPr>
          <w:rFonts w:ascii="Times New Roman" w:hAnsi="Times New Roman"/>
          <w:b/>
        </w:rPr>
        <w:t xml:space="preserve"> PLE izteiksmē</w:t>
      </w:r>
      <w:r w:rsidRPr="0059696F">
        <w:rPr>
          <w:rFonts w:ascii="Times New Roman" w:hAnsi="Times New Roman"/>
          <w:b/>
        </w:rPr>
        <w:t xml:space="preserve"> un piešķirtais zinātnes bāzes finansējums 2016.</w:t>
      </w:r>
      <w:r w:rsidR="002E0E23">
        <w:rPr>
          <w:rFonts w:ascii="Times New Roman" w:hAnsi="Times New Roman"/>
          <w:b/>
        </w:rPr>
        <w:t> </w:t>
      </w:r>
      <w:r w:rsidRPr="0059696F">
        <w:rPr>
          <w:rFonts w:ascii="Times New Roman" w:hAnsi="Times New Roman"/>
          <w:b/>
        </w:rPr>
        <w:t>gad</w:t>
      </w:r>
      <w:r w:rsidR="00341D6F">
        <w:rPr>
          <w:rFonts w:ascii="Times New Roman" w:hAnsi="Times New Roman"/>
          <w:b/>
        </w:rPr>
        <w:t>am</w:t>
      </w:r>
    </w:p>
    <w:tbl>
      <w:tblPr>
        <w:tblpPr w:leftFromText="180" w:rightFromText="180" w:vertAnchor="text" w:horzAnchor="margin" w:tblpY="26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46"/>
        <w:gridCol w:w="2646"/>
        <w:gridCol w:w="2646"/>
      </w:tblGrid>
      <w:tr w:rsidR="000B6617" w:rsidRPr="00566937" w14:paraId="3EF14578" w14:textId="77777777" w:rsidTr="00A952E6">
        <w:trPr>
          <w:trHeight w:val="300"/>
        </w:trPr>
        <w:tc>
          <w:tcPr>
            <w:tcW w:w="1271" w:type="dxa"/>
            <w:vMerge w:val="restart"/>
            <w:shd w:val="clear" w:color="000000" w:fill="D9D9D9"/>
            <w:vAlign w:val="center"/>
            <w:hideMark/>
          </w:tcPr>
          <w:p w14:paraId="1493D961"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Zinātniskā institūcija</w:t>
            </w:r>
          </w:p>
        </w:tc>
        <w:tc>
          <w:tcPr>
            <w:tcW w:w="2646" w:type="dxa"/>
            <w:vMerge w:val="restart"/>
            <w:shd w:val="clear" w:color="000000" w:fill="D9D9D9"/>
            <w:vAlign w:val="center"/>
            <w:hideMark/>
          </w:tcPr>
          <w:p w14:paraId="07070B46"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Zinātniskā personāla PLE</w:t>
            </w:r>
          </w:p>
        </w:tc>
        <w:tc>
          <w:tcPr>
            <w:tcW w:w="2646" w:type="dxa"/>
            <w:vMerge w:val="restart"/>
            <w:shd w:val="clear" w:color="000000" w:fill="D9D9D9"/>
            <w:vAlign w:val="center"/>
            <w:hideMark/>
          </w:tcPr>
          <w:p w14:paraId="34483646"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Zinātnes tehniskais un apkalpojošais personāls (PLE)</w:t>
            </w:r>
          </w:p>
        </w:tc>
        <w:tc>
          <w:tcPr>
            <w:tcW w:w="2646" w:type="dxa"/>
            <w:vMerge w:val="restart"/>
            <w:shd w:val="clear" w:color="000000" w:fill="D9D9D9"/>
            <w:vAlign w:val="center"/>
            <w:hideMark/>
          </w:tcPr>
          <w:p w14:paraId="5156FDF6"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Zinātniskie darbinieki (zinātniskais personāls, zinātnes tehniskais un apkalpojošais personāls)</w:t>
            </w:r>
          </w:p>
        </w:tc>
      </w:tr>
      <w:tr w:rsidR="000B6617" w:rsidRPr="00566937" w14:paraId="7B5AB7D9" w14:textId="77777777" w:rsidTr="00A952E6">
        <w:trPr>
          <w:trHeight w:val="1050"/>
        </w:trPr>
        <w:tc>
          <w:tcPr>
            <w:tcW w:w="1271" w:type="dxa"/>
            <w:vMerge/>
            <w:vAlign w:val="center"/>
            <w:hideMark/>
          </w:tcPr>
          <w:p w14:paraId="4902E5D5" w14:textId="77777777" w:rsidR="000B6617" w:rsidRPr="00566937" w:rsidRDefault="000B6617" w:rsidP="00E7642A">
            <w:pPr>
              <w:ind w:left="0"/>
              <w:jc w:val="left"/>
              <w:rPr>
                <w:rFonts w:ascii="Times New Roman" w:eastAsia="Times New Roman" w:hAnsi="Times New Roman"/>
                <w:b/>
                <w:bCs/>
                <w:sz w:val="20"/>
                <w:szCs w:val="20"/>
                <w:lang w:eastAsia="lv-LV"/>
              </w:rPr>
            </w:pPr>
          </w:p>
        </w:tc>
        <w:tc>
          <w:tcPr>
            <w:tcW w:w="2646" w:type="dxa"/>
            <w:vMerge/>
            <w:vAlign w:val="center"/>
            <w:hideMark/>
          </w:tcPr>
          <w:p w14:paraId="0F380309" w14:textId="77777777" w:rsidR="000B6617" w:rsidRPr="00566937" w:rsidRDefault="000B6617" w:rsidP="00E7642A">
            <w:pPr>
              <w:ind w:left="0"/>
              <w:jc w:val="left"/>
              <w:rPr>
                <w:rFonts w:ascii="Times New Roman" w:eastAsia="Times New Roman" w:hAnsi="Times New Roman"/>
                <w:b/>
                <w:bCs/>
                <w:sz w:val="20"/>
                <w:szCs w:val="20"/>
                <w:lang w:eastAsia="lv-LV"/>
              </w:rPr>
            </w:pPr>
          </w:p>
        </w:tc>
        <w:tc>
          <w:tcPr>
            <w:tcW w:w="2646" w:type="dxa"/>
            <w:vMerge/>
            <w:vAlign w:val="center"/>
            <w:hideMark/>
          </w:tcPr>
          <w:p w14:paraId="72D91DE6" w14:textId="77777777" w:rsidR="000B6617" w:rsidRPr="00566937" w:rsidRDefault="000B6617" w:rsidP="00E7642A">
            <w:pPr>
              <w:ind w:left="0"/>
              <w:jc w:val="left"/>
              <w:rPr>
                <w:rFonts w:ascii="Times New Roman" w:eastAsia="Times New Roman" w:hAnsi="Times New Roman"/>
                <w:b/>
                <w:bCs/>
                <w:sz w:val="20"/>
                <w:szCs w:val="20"/>
                <w:lang w:eastAsia="lv-LV"/>
              </w:rPr>
            </w:pPr>
          </w:p>
        </w:tc>
        <w:tc>
          <w:tcPr>
            <w:tcW w:w="2646" w:type="dxa"/>
            <w:vMerge/>
            <w:vAlign w:val="center"/>
            <w:hideMark/>
          </w:tcPr>
          <w:p w14:paraId="0E5CF226" w14:textId="77777777" w:rsidR="000B6617" w:rsidRPr="00566937" w:rsidRDefault="000B6617" w:rsidP="00E7642A">
            <w:pPr>
              <w:ind w:left="0"/>
              <w:jc w:val="left"/>
              <w:rPr>
                <w:rFonts w:ascii="Times New Roman" w:eastAsia="Times New Roman" w:hAnsi="Times New Roman"/>
                <w:b/>
                <w:bCs/>
                <w:sz w:val="20"/>
                <w:szCs w:val="20"/>
                <w:lang w:eastAsia="lv-LV"/>
              </w:rPr>
            </w:pPr>
          </w:p>
        </w:tc>
      </w:tr>
      <w:tr w:rsidR="000B6617" w:rsidRPr="00566937" w14:paraId="4D93FFB6" w14:textId="77777777" w:rsidTr="00A952E6">
        <w:trPr>
          <w:trHeight w:val="300"/>
        </w:trPr>
        <w:tc>
          <w:tcPr>
            <w:tcW w:w="1271" w:type="dxa"/>
            <w:shd w:val="clear" w:color="auto" w:fill="auto"/>
            <w:vAlign w:val="center"/>
            <w:hideMark/>
          </w:tcPr>
          <w:p w14:paraId="624BEE20"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LU</w:t>
            </w:r>
          </w:p>
        </w:tc>
        <w:tc>
          <w:tcPr>
            <w:tcW w:w="2646" w:type="dxa"/>
            <w:shd w:val="clear" w:color="auto" w:fill="auto"/>
            <w:vAlign w:val="center"/>
            <w:hideMark/>
          </w:tcPr>
          <w:p w14:paraId="15FB29DA"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478.25</w:t>
            </w:r>
          </w:p>
        </w:tc>
        <w:tc>
          <w:tcPr>
            <w:tcW w:w="2646" w:type="dxa"/>
            <w:shd w:val="clear" w:color="auto" w:fill="auto"/>
            <w:vAlign w:val="center"/>
            <w:hideMark/>
          </w:tcPr>
          <w:p w14:paraId="5F815D1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337.56</w:t>
            </w:r>
          </w:p>
        </w:tc>
        <w:tc>
          <w:tcPr>
            <w:tcW w:w="2646" w:type="dxa"/>
            <w:shd w:val="clear" w:color="auto" w:fill="auto"/>
            <w:vAlign w:val="center"/>
            <w:hideMark/>
          </w:tcPr>
          <w:p w14:paraId="00DC635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815.81</w:t>
            </w:r>
          </w:p>
        </w:tc>
      </w:tr>
      <w:tr w:rsidR="000B6617" w:rsidRPr="00566937" w14:paraId="644FDD62" w14:textId="77777777" w:rsidTr="00A952E6">
        <w:trPr>
          <w:trHeight w:val="300"/>
        </w:trPr>
        <w:tc>
          <w:tcPr>
            <w:tcW w:w="1271" w:type="dxa"/>
            <w:shd w:val="clear" w:color="auto" w:fill="auto"/>
            <w:vAlign w:val="center"/>
            <w:hideMark/>
          </w:tcPr>
          <w:p w14:paraId="41C5C0A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RTU</w:t>
            </w:r>
          </w:p>
        </w:tc>
        <w:tc>
          <w:tcPr>
            <w:tcW w:w="2646" w:type="dxa"/>
            <w:shd w:val="clear" w:color="auto" w:fill="auto"/>
            <w:vAlign w:val="center"/>
            <w:hideMark/>
          </w:tcPr>
          <w:p w14:paraId="5A7BE6AF"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346.36</w:t>
            </w:r>
          </w:p>
        </w:tc>
        <w:tc>
          <w:tcPr>
            <w:tcW w:w="2646" w:type="dxa"/>
            <w:shd w:val="clear" w:color="auto" w:fill="auto"/>
            <w:vAlign w:val="center"/>
            <w:hideMark/>
          </w:tcPr>
          <w:p w14:paraId="5E4DADA0"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374.13</w:t>
            </w:r>
          </w:p>
        </w:tc>
        <w:tc>
          <w:tcPr>
            <w:tcW w:w="2646" w:type="dxa"/>
            <w:shd w:val="clear" w:color="auto" w:fill="auto"/>
            <w:vAlign w:val="center"/>
            <w:hideMark/>
          </w:tcPr>
          <w:p w14:paraId="650ABC19"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720.49</w:t>
            </w:r>
          </w:p>
        </w:tc>
      </w:tr>
      <w:tr w:rsidR="000B6617" w:rsidRPr="00566937" w14:paraId="18886CB3" w14:textId="77777777" w:rsidTr="00A952E6">
        <w:trPr>
          <w:trHeight w:val="300"/>
        </w:trPr>
        <w:tc>
          <w:tcPr>
            <w:tcW w:w="1271" w:type="dxa"/>
            <w:shd w:val="clear" w:color="auto" w:fill="auto"/>
            <w:vAlign w:val="center"/>
            <w:hideMark/>
          </w:tcPr>
          <w:p w14:paraId="66ECD609"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OSI</w:t>
            </w:r>
          </w:p>
        </w:tc>
        <w:tc>
          <w:tcPr>
            <w:tcW w:w="2646" w:type="dxa"/>
            <w:shd w:val="clear" w:color="auto" w:fill="auto"/>
            <w:vAlign w:val="center"/>
            <w:hideMark/>
          </w:tcPr>
          <w:p w14:paraId="26DC0484"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178.50</w:t>
            </w:r>
          </w:p>
        </w:tc>
        <w:tc>
          <w:tcPr>
            <w:tcW w:w="2646" w:type="dxa"/>
            <w:shd w:val="clear" w:color="auto" w:fill="auto"/>
            <w:vAlign w:val="center"/>
            <w:hideMark/>
          </w:tcPr>
          <w:p w14:paraId="61A60F59"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49.50</w:t>
            </w:r>
          </w:p>
        </w:tc>
        <w:tc>
          <w:tcPr>
            <w:tcW w:w="2646" w:type="dxa"/>
            <w:shd w:val="clear" w:color="auto" w:fill="auto"/>
            <w:vAlign w:val="center"/>
            <w:hideMark/>
          </w:tcPr>
          <w:p w14:paraId="3AA7A98A"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228.00</w:t>
            </w:r>
          </w:p>
        </w:tc>
      </w:tr>
      <w:tr w:rsidR="000B6617" w:rsidRPr="00566937" w14:paraId="65748967" w14:textId="77777777" w:rsidTr="00A952E6">
        <w:trPr>
          <w:trHeight w:val="300"/>
        </w:trPr>
        <w:tc>
          <w:tcPr>
            <w:tcW w:w="1271" w:type="dxa"/>
            <w:shd w:val="clear" w:color="auto" w:fill="auto"/>
            <w:vAlign w:val="center"/>
            <w:hideMark/>
          </w:tcPr>
          <w:p w14:paraId="44BEBBF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RSU</w:t>
            </w:r>
          </w:p>
        </w:tc>
        <w:tc>
          <w:tcPr>
            <w:tcW w:w="2646" w:type="dxa"/>
            <w:shd w:val="clear" w:color="auto" w:fill="auto"/>
            <w:noWrap/>
            <w:vAlign w:val="center"/>
            <w:hideMark/>
          </w:tcPr>
          <w:p w14:paraId="643E8BC9"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85.72</w:t>
            </w:r>
          </w:p>
        </w:tc>
        <w:tc>
          <w:tcPr>
            <w:tcW w:w="2646" w:type="dxa"/>
            <w:shd w:val="clear" w:color="auto" w:fill="auto"/>
            <w:noWrap/>
            <w:vAlign w:val="center"/>
            <w:hideMark/>
          </w:tcPr>
          <w:p w14:paraId="4E8584A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79.72</w:t>
            </w:r>
          </w:p>
        </w:tc>
        <w:tc>
          <w:tcPr>
            <w:tcW w:w="2646" w:type="dxa"/>
            <w:shd w:val="clear" w:color="auto" w:fill="auto"/>
            <w:vAlign w:val="center"/>
            <w:hideMark/>
          </w:tcPr>
          <w:p w14:paraId="733F8E7A"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165.44</w:t>
            </w:r>
          </w:p>
        </w:tc>
      </w:tr>
      <w:tr w:rsidR="000B6617" w:rsidRPr="00566937" w14:paraId="664E4BB5" w14:textId="77777777" w:rsidTr="00A952E6">
        <w:trPr>
          <w:trHeight w:val="300"/>
        </w:trPr>
        <w:tc>
          <w:tcPr>
            <w:tcW w:w="1271" w:type="dxa"/>
            <w:shd w:val="clear" w:color="auto" w:fill="auto"/>
            <w:vAlign w:val="center"/>
            <w:hideMark/>
          </w:tcPr>
          <w:p w14:paraId="42C82CD4"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BMC</w:t>
            </w:r>
          </w:p>
        </w:tc>
        <w:tc>
          <w:tcPr>
            <w:tcW w:w="2646" w:type="dxa"/>
            <w:shd w:val="clear" w:color="auto" w:fill="auto"/>
            <w:vAlign w:val="center"/>
            <w:hideMark/>
          </w:tcPr>
          <w:p w14:paraId="146C96E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79.14</w:t>
            </w:r>
          </w:p>
        </w:tc>
        <w:tc>
          <w:tcPr>
            <w:tcW w:w="2646" w:type="dxa"/>
            <w:shd w:val="clear" w:color="auto" w:fill="auto"/>
            <w:vAlign w:val="center"/>
            <w:hideMark/>
          </w:tcPr>
          <w:p w14:paraId="24E53C16"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28.50</w:t>
            </w:r>
          </w:p>
        </w:tc>
        <w:tc>
          <w:tcPr>
            <w:tcW w:w="2646" w:type="dxa"/>
            <w:shd w:val="clear" w:color="auto" w:fill="auto"/>
            <w:vAlign w:val="center"/>
            <w:hideMark/>
          </w:tcPr>
          <w:p w14:paraId="093EE59F"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107.64</w:t>
            </w:r>
          </w:p>
        </w:tc>
      </w:tr>
      <w:tr w:rsidR="000B6617" w:rsidRPr="00566937" w14:paraId="6516AC81" w14:textId="77777777" w:rsidTr="00A952E6">
        <w:trPr>
          <w:trHeight w:val="300"/>
        </w:trPr>
        <w:tc>
          <w:tcPr>
            <w:tcW w:w="1271" w:type="dxa"/>
            <w:shd w:val="clear" w:color="auto" w:fill="auto"/>
            <w:vAlign w:val="center"/>
            <w:hideMark/>
          </w:tcPr>
          <w:p w14:paraId="64BB4F8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Silava</w:t>
            </w:r>
          </w:p>
        </w:tc>
        <w:tc>
          <w:tcPr>
            <w:tcW w:w="2646" w:type="dxa"/>
            <w:shd w:val="clear" w:color="auto" w:fill="auto"/>
            <w:vAlign w:val="center"/>
            <w:hideMark/>
          </w:tcPr>
          <w:p w14:paraId="00E6895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86.35</w:t>
            </w:r>
          </w:p>
        </w:tc>
        <w:tc>
          <w:tcPr>
            <w:tcW w:w="2646" w:type="dxa"/>
            <w:shd w:val="clear" w:color="auto" w:fill="auto"/>
            <w:vAlign w:val="center"/>
            <w:hideMark/>
          </w:tcPr>
          <w:p w14:paraId="272EC6C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75.40</w:t>
            </w:r>
          </w:p>
        </w:tc>
        <w:tc>
          <w:tcPr>
            <w:tcW w:w="2646" w:type="dxa"/>
            <w:shd w:val="clear" w:color="auto" w:fill="auto"/>
            <w:vAlign w:val="center"/>
            <w:hideMark/>
          </w:tcPr>
          <w:p w14:paraId="488BF49E"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161.75</w:t>
            </w:r>
          </w:p>
        </w:tc>
      </w:tr>
      <w:tr w:rsidR="000B6617" w:rsidRPr="00566937" w14:paraId="71390FD4" w14:textId="77777777" w:rsidTr="00A952E6">
        <w:trPr>
          <w:trHeight w:val="300"/>
        </w:trPr>
        <w:tc>
          <w:tcPr>
            <w:tcW w:w="1271" w:type="dxa"/>
            <w:shd w:val="clear" w:color="auto" w:fill="auto"/>
            <w:vAlign w:val="center"/>
            <w:hideMark/>
          </w:tcPr>
          <w:p w14:paraId="31E4B86A"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CFI</w:t>
            </w:r>
          </w:p>
        </w:tc>
        <w:tc>
          <w:tcPr>
            <w:tcW w:w="2646" w:type="dxa"/>
            <w:shd w:val="clear" w:color="auto" w:fill="auto"/>
            <w:vAlign w:val="center"/>
            <w:hideMark/>
          </w:tcPr>
          <w:p w14:paraId="2E839566"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66.71</w:t>
            </w:r>
          </w:p>
        </w:tc>
        <w:tc>
          <w:tcPr>
            <w:tcW w:w="2646" w:type="dxa"/>
            <w:shd w:val="clear" w:color="auto" w:fill="auto"/>
            <w:vAlign w:val="center"/>
            <w:hideMark/>
          </w:tcPr>
          <w:p w14:paraId="09072A3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32.57</w:t>
            </w:r>
          </w:p>
        </w:tc>
        <w:tc>
          <w:tcPr>
            <w:tcW w:w="2646" w:type="dxa"/>
            <w:shd w:val="clear" w:color="auto" w:fill="auto"/>
            <w:vAlign w:val="center"/>
            <w:hideMark/>
          </w:tcPr>
          <w:p w14:paraId="72EA8638"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99.28</w:t>
            </w:r>
          </w:p>
        </w:tc>
      </w:tr>
      <w:tr w:rsidR="000B6617" w:rsidRPr="00566937" w14:paraId="58F92D6F" w14:textId="77777777" w:rsidTr="00A952E6">
        <w:trPr>
          <w:trHeight w:val="300"/>
        </w:trPr>
        <w:tc>
          <w:tcPr>
            <w:tcW w:w="1271" w:type="dxa"/>
            <w:shd w:val="clear" w:color="auto" w:fill="auto"/>
            <w:vAlign w:val="center"/>
            <w:hideMark/>
          </w:tcPr>
          <w:p w14:paraId="35212B08"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LLU</w:t>
            </w:r>
          </w:p>
        </w:tc>
        <w:tc>
          <w:tcPr>
            <w:tcW w:w="2646" w:type="dxa"/>
            <w:shd w:val="clear" w:color="auto" w:fill="auto"/>
            <w:vAlign w:val="center"/>
            <w:hideMark/>
          </w:tcPr>
          <w:p w14:paraId="547CA4DA"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46.82</w:t>
            </w:r>
          </w:p>
        </w:tc>
        <w:tc>
          <w:tcPr>
            <w:tcW w:w="2646" w:type="dxa"/>
            <w:shd w:val="clear" w:color="auto" w:fill="auto"/>
            <w:vAlign w:val="center"/>
            <w:hideMark/>
          </w:tcPr>
          <w:p w14:paraId="4CCD1BF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85.54</w:t>
            </w:r>
          </w:p>
        </w:tc>
        <w:tc>
          <w:tcPr>
            <w:tcW w:w="2646" w:type="dxa"/>
            <w:shd w:val="clear" w:color="auto" w:fill="auto"/>
            <w:vAlign w:val="center"/>
            <w:hideMark/>
          </w:tcPr>
          <w:p w14:paraId="73B65AE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132.36</w:t>
            </w:r>
          </w:p>
        </w:tc>
      </w:tr>
      <w:tr w:rsidR="000B6617" w:rsidRPr="00566937" w14:paraId="246DB007" w14:textId="77777777" w:rsidTr="00A952E6">
        <w:trPr>
          <w:trHeight w:val="300"/>
        </w:trPr>
        <w:tc>
          <w:tcPr>
            <w:tcW w:w="1271" w:type="dxa"/>
            <w:shd w:val="clear" w:color="auto" w:fill="auto"/>
            <w:vAlign w:val="center"/>
            <w:hideMark/>
          </w:tcPr>
          <w:p w14:paraId="6A50EFB0"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LU MII</w:t>
            </w:r>
          </w:p>
        </w:tc>
        <w:tc>
          <w:tcPr>
            <w:tcW w:w="2646" w:type="dxa"/>
            <w:shd w:val="clear" w:color="auto" w:fill="auto"/>
            <w:vAlign w:val="center"/>
            <w:hideMark/>
          </w:tcPr>
          <w:p w14:paraId="3E081026"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60.34</w:t>
            </w:r>
          </w:p>
        </w:tc>
        <w:tc>
          <w:tcPr>
            <w:tcW w:w="2646" w:type="dxa"/>
            <w:shd w:val="clear" w:color="auto" w:fill="auto"/>
            <w:vAlign w:val="center"/>
            <w:hideMark/>
          </w:tcPr>
          <w:p w14:paraId="56605A2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71.91</w:t>
            </w:r>
          </w:p>
        </w:tc>
        <w:tc>
          <w:tcPr>
            <w:tcW w:w="2646" w:type="dxa"/>
            <w:shd w:val="clear" w:color="auto" w:fill="auto"/>
            <w:vAlign w:val="center"/>
            <w:hideMark/>
          </w:tcPr>
          <w:p w14:paraId="496F1D3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132.25</w:t>
            </w:r>
          </w:p>
        </w:tc>
      </w:tr>
      <w:tr w:rsidR="000B6617" w:rsidRPr="00566937" w14:paraId="51EB6698" w14:textId="77777777" w:rsidTr="00A952E6">
        <w:trPr>
          <w:trHeight w:val="300"/>
        </w:trPr>
        <w:tc>
          <w:tcPr>
            <w:tcW w:w="1271" w:type="dxa"/>
            <w:shd w:val="clear" w:color="auto" w:fill="auto"/>
            <w:vAlign w:val="center"/>
            <w:hideMark/>
          </w:tcPr>
          <w:p w14:paraId="1F06BEA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DU</w:t>
            </w:r>
          </w:p>
        </w:tc>
        <w:tc>
          <w:tcPr>
            <w:tcW w:w="2646" w:type="dxa"/>
            <w:shd w:val="clear" w:color="auto" w:fill="auto"/>
            <w:vAlign w:val="center"/>
            <w:hideMark/>
          </w:tcPr>
          <w:p w14:paraId="60CC084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44.44</w:t>
            </w:r>
          </w:p>
        </w:tc>
        <w:tc>
          <w:tcPr>
            <w:tcW w:w="2646" w:type="dxa"/>
            <w:shd w:val="clear" w:color="auto" w:fill="auto"/>
            <w:vAlign w:val="center"/>
            <w:hideMark/>
          </w:tcPr>
          <w:p w14:paraId="0E661A7B"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86.59</w:t>
            </w:r>
          </w:p>
        </w:tc>
        <w:tc>
          <w:tcPr>
            <w:tcW w:w="2646" w:type="dxa"/>
            <w:shd w:val="clear" w:color="auto" w:fill="auto"/>
            <w:vAlign w:val="center"/>
            <w:hideMark/>
          </w:tcPr>
          <w:p w14:paraId="7E12AB3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131.03</w:t>
            </w:r>
          </w:p>
        </w:tc>
      </w:tr>
      <w:tr w:rsidR="000B6617" w:rsidRPr="00566937" w14:paraId="5A0FEC15" w14:textId="77777777" w:rsidTr="00A952E6">
        <w:trPr>
          <w:trHeight w:val="300"/>
        </w:trPr>
        <w:tc>
          <w:tcPr>
            <w:tcW w:w="1271" w:type="dxa"/>
            <w:shd w:val="clear" w:color="auto" w:fill="auto"/>
            <w:vAlign w:val="center"/>
            <w:hideMark/>
          </w:tcPr>
          <w:p w14:paraId="4ECBB49A"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AREI</w:t>
            </w:r>
          </w:p>
        </w:tc>
        <w:tc>
          <w:tcPr>
            <w:tcW w:w="2646" w:type="dxa"/>
            <w:shd w:val="clear" w:color="auto" w:fill="auto"/>
            <w:vAlign w:val="center"/>
            <w:hideMark/>
          </w:tcPr>
          <w:p w14:paraId="77DC5A8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46.62</w:t>
            </w:r>
          </w:p>
        </w:tc>
        <w:tc>
          <w:tcPr>
            <w:tcW w:w="2646" w:type="dxa"/>
            <w:shd w:val="clear" w:color="auto" w:fill="auto"/>
            <w:vAlign w:val="center"/>
            <w:hideMark/>
          </w:tcPr>
          <w:p w14:paraId="5B8AAE8F"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65.46</w:t>
            </w:r>
          </w:p>
        </w:tc>
        <w:tc>
          <w:tcPr>
            <w:tcW w:w="2646" w:type="dxa"/>
            <w:shd w:val="clear" w:color="auto" w:fill="auto"/>
            <w:vAlign w:val="center"/>
            <w:hideMark/>
          </w:tcPr>
          <w:p w14:paraId="72578DF8"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112.08</w:t>
            </w:r>
          </w:p>
        </w:tc>
      </w:tr>
      <w:tr w:rsidR="000B6617" w:rsidRPr="00566937" w14:paraId="28E9859D" w14:textId="77777777" w:rsidTr="00A952E6">
        <w:trPr>
          <w:trHeight w:val="300"/>
        </w:trPr>
        <w:tc>
          <w:tcPr>
            <w:tcW w:w="1271" w:type="dxa"/>
            <w:shd w:val="clear" w:color="auto" w:fill="auto"/>
            <w:vAlign w:val="center"/>
            <w:hideMark/>
          </w:tcPr>
          <w:p w14:paraId="2FE0D219"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KĶI</w:t>
            </w:r>
          </w:p>
        </w:tc>
        <w:tc>
          <w:tcPr>
            <w:tcW w:w="2646" w:type="dxa"/>
            <w:shd w:val="clear" w:color="auto" w:fill="auto"/>
            <w:vAlign w:val="center"/>
            <w:hideMark/>
          </w:tcPr>
          <w:p w14:paraId="5EE8D53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41.01</w:t>
            </w:r>
          </w:p>
        </w:tc>
        <w:tc>
          <w:tcPr>
            <w:tcW w:w="2646" w:type="dxa"/>
            <w:shd w:val="clear" w:color="auto" w:fill="auto"/>
            <w:vAlign w:val="center"/>
            <w:hideMark/>
          </w:tcPr>
          <w:p w14:paraId="2548411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27.90</w:t>
            </w:r>
          </w:p>
        </w:tc>
        <w:tc>
          <w:tcPr>
            <w:tcW w:w="2646" w:type="dxa"/>
            <w:shd w:val="clear" w:color="auto" w:fill="auto"/>
            <w:vAlign w:val="center"/>
            <w:hideMark/>
          </w:tcPr>
          <w:p w14:paraId="5FF5422D"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68.91</w:t>
            </w:r>
          </w:p>
        </w:tc>
      </w:tr>
      <w:tr w:rsidR="000B6617" w:rsidRPr="00566937" w14:paraId="06746BA9" w14:textId="77777777" w:rsidTr="00A952E6">
        <w:trPr>
          <w:trHeight w:val="300"/>
        </w:trPr>
        <w:tc>
          <w:tcPr>
            <w:tcW w:w="1271" w:type="dxa"/>
            <w:shd w:val="clear" w:color="auto" w:fill="auto"/>
            <w:vAlign w:val="center"/>
            <w:hideMark/>
          </w:tcPr>
          <w:p w14:paraId="21B79507"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EDI</w:t>
            </w:r>
          </w:p>
        </w:tc>
        <w:tc>
          <w:tcPr>
            <w:tcW w:w="2646" w:type="dxa"/>
            <w:shd w:val="clear" w:color="auto" w:fill="auto"/>
            <w:vAlign w:val="center"/>
            <w:hideMark/>
          </w:tcPr>
          <w:p w14:paraId="1ADD01D7"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41.24</w:t>
            </w:r>
          </w:p>
        </w:tc>
        <w:tc>
          <w:tcPr>
            <w:tcW w:w="2646" w:type="dxa"/>
            <w:shd w:val="clear" w:color="auto" w:fill="auto"/>
            <w:vAlign w:val="center"/>
            <w:hideMark/>
          </w:tcPr>
          <w:p w14:paraId="2B9C55D8"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19.47</w:t>
            </w:r>
          </w:p>
        </w:tc>
        <w:tc>
          <w:tcPr>
            <w:tcW w:w="2646" w:type="dxa"/>
            <w:shd w:val="clear" w:color="auto" w:fill="auto"/>
            <w:vAlign w:val="center"/>
            <w:hideMark/>
          </w:tcPr>
          <w:p w14:paraId="279616E9"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60.71</w:t>
            </w:r>
          </w:p>
        </w:tc>
      </w:tr>
      <w:tr w:rsidR="000B6617" w:rsidRPr="00566937" w14:paraId="3002D93F" w14:textId="77777777" w:rsidTr="00A952E6">
        <w:trPr>
          <w:trHeight w:val="300"/>
        </w:trPr>
        <w:tc>
          <w:tcPr>
            <w:tcW w:w="1271" w:type="dxa"/>
            <w:shd w:val="clear" w:color="auto" w:fill="auto"/>
            <w:vAlign w:val="center"/>
            <w:hideMark/>
          </w:tcPr>
          <w:p w14:paraId="3B52D56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BIOR</w:t>
            </w:r>
          </w:p>
        </w:tc>
        <w:tc>
          <w:tcPr>
            <w:tcW w:w="2646" w:type="dxa"/>
            <w:shd w:val="clear" w:color="auto" w:fill="auto"/>
            <w:vAlign w:val="center"/>
            <w:hideMark/>
          </w:tcPr>
          <w:p w14:paraId="73D10A2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31.46</w:t>
            </w:r>
          </w:p>
        </w:tc>
        <w:tc>
          <w:tcPr>
            <w:tcW w:w="2646" w:type="dxa"/>
            <w:shd w:val="clear" w:color="auto" w:fill="auto"/>
            <w:vAlign w:val="center"/>
            <w:hideMark/>
          </w:tcPr>
          <w:p w14:paraId="357EAC0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10.50</w:t>
            </w:r>
          </w:p>
        </w:tc>
        <w:tc>
          <w:tcPr>
            <w:tcW w:w="2646" w:type="dxa"/>
            <w:shd w:val="clear" w:color="auto" w:fill="auto"/>
            <w:vAlign w:val="center"/>
            <w:hideMark/>
          </w:tcPr>
          <w:p w14:paraId="579A046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41.96</w:t>
            </w:r>
          </w:p>
        </w:tc>
      </w:tr>
      <w:tr w:rsidR="000B6617" w:rsidRPr="00566937" w14:paraId="3A95676D" w14:textId="77777777" w:rsidTr="00A952E6">
        <w:trPr>
          <w:trHeight w:val="300"/>
        </w:trPr>
        <w:tc>
          <w:tcPr>
            <w:tcW w:w="1271" w:type="dxa"/>
            <w:shd w:val="clear" w:color="auto" w:fill="auto"/>
            <w:vAlign w:val="center"/>
            <w:hideMark/>
          </w:tcPr>
          <w:p w14:paraId="785515FB"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VeA</w:t>
            </w:r>
          </w:p>
        </w:tc>
        <w:tc>
          <w:tcPr>
            <w:tcW w:w="2646" w:type="dxa"/>
            <w:shd w:val="clear" w:color="auto" w:fill="auto"/>
            <w:vAlign w:val="center"/>
            <w:hideMark/>
          </w:tcPr>
          <w:p w14:paraId="7339450D"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26.40</w:t>
            </w:r>
          </w:p>
        </w:tc>
        <w:tc>
          <w:tcPr>
            <w:tcW w:w="2646" w:type="dxa"/>
            <w:shd w:val="clear" w:color="auto" w:fill="auto"/>
            <w:vAlign w:val="center"/>
            <w:hideMark/>
          </w:tcPr>
          <w:p w14:paraId="771B0220"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17.47</w:t>
            </w:r>
          </w:p>
        </w:tc>
        <w:tc>
          <w:tcPr>
            <w:tcW w:w="2646" w:type="dxa"/>
            <w:shd w:val="clear" w:color="auto" w:fill="auto"/>
            <w:vAlign w:val="center"/>
            <w:hideMark/>
          </w:tcPr>
          <w:p w14:paraId="622D6FF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43.87</w:t>
            </w:r>
          </w:p>
        </w:tc>
      </w:tr>
      <w:tr w:rsidR="000B6617" w:rsidRPr="00566937" w14:paraId="4D1A51E0" w14:textId="77777777" w:rsidTr="00A952E6">
        <w:trPr>
          <w:trHeight w:val="300"/>
        </w:trPr>
        <w:tc>
          <w:tcPr>
            <w:tcW w:w="1271" w:type="dxa"/>
            <w:shd w:val="clear" w:color="auto" w:fill="auto"/>
            <w:vAlign w:val="center"/>
            <w:hideMark/>
          </w:tcPr>
          <w:p w14:paraId="10AD853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DI</w:t>
            </w:r>
          </w:p>
        </w:tc>
        <w:tc>
          <w:tcPr>
            <w:tcW w:w="2646" w:type="dxa"/>
            <w:shd w:val="clear" w:color="auto" w:fill="auto"/>
            <w:vAlign w:val="center"/>
            <w:hideMark/>
          </w:tcPr>
          <w:p w14:paraId="6BDD10F5"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25.53</w:t>
            </w:r>
          </w:p>
        </w:tc>
        <w:tc>
          <w:tcPr>
            <w:tcW w:w="2646" w:type="dxa"/>
            <w:shd w:val="clear" w:color="auto" w:fill="auto"/>
            <w:vAlign w:val="center"/>
            <w:hideMark/>
          </w:tcPr>
          <w:p w14:paraId="1AE06FC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25.85</w:t>
            </w:r>
          </w:p>
        </w:tc>
        <w:tc>
          <w:tcPr>
            <w:tcW w:w="2646" w:type="dxa"/>
            <w:shd w:val="clear" w:color="auto" w:fill="auto"/>
            <w:vAlign w:val="center"/>
            <w:hideMark/>
          </w:tcPr>
          <w:p w14:paraId="2F2C168E"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51.38</w:t>
            </w:r>
          </w:p>
        </w:tc>
      </w:tr>
      <w:tr w:rsidR="000B6617" w:rsidRPr="00566937" w14:paraId="67DE111A" w14:textId="77777777" w:rsidTr="00A952E6">
        <w:trPr>
          <w:trHeight w:val="300"/>
        </w:trPr>
        <w:tc>
          <w:tcPr>
            <w:tcW w:w="1271" w:type="dxa"/>
            <w:shd w:val="clear" w:color="auto" w:fill="auto"/>
            <w:vAlign w:val="center"/>
            <w:hideMark/>
          </w:tcPr>
          <w:p w14:paraId="05C3EE19"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LiepU</w:t>
            </w:r>
          </w:p>
        </w:tc>
        <w:tc>
          <w:tcPr>
            <w:tcW w:w="2646" w:type="dxa"/>
            <w:shd w:val="clear" w:color="auto" w:fill="auto"/>
            <w:vAlign w:val="center"/>
            <w:hideMark/>
          </w:tcPr>
          <w:p w14:paraId="4891E1E4"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15.07</w:t>
            </w:r>
          </w:p>
        </w:tc>
        <w:tc>
          <w:tcPr>
            <w:tcW w:w="2646" w:type="dxa"/>
            <w:shd w:val="clear" w:color="auto" w:fill="auto"/>
            <w:vAlign w:val="center"/>
            <w:hideMark/>
          </w:tcPr>
          <w:p w14:paraId="1F93B32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12.52</w:t>
            </w:r>
          </w:p>
        </w:tc>
        <w:tc>
          <w:tcPr>
            <w:tcW w:w="2646" w:type="dxa"/>
            <w:shd w:val="clear" w:color="auto" w:fill="auto"/>
            <w:vAlign w:val="center"/>
            <w:hideMark/>
          </w:tcPr>
          <w:p w14:paraId="004BE7E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27.59</w:t>
            </w:r>
          </w:p>
        </w:tc>
      </w:tr>
      <w:tr w:rsidR="000B6617" w:rsidRPr="00566937" w14:paraId="01DA6F42" w14:textId="77777777" w:rsidTr="00A952E6">
        <w:trPr>
          <w:trHeight w:val="300"/>
        </w:trPr>
        <w:tc>
          <w:tcPr>
            <w:tcW w:w="1271" w:type="dxa"/>
            <w:shd w:val="clear" w:color="auto" w:fill="auto"/>
            <w:vAlign w:val="center"/>
            <w:hideMark/>
          </w:tcPr>
          <w:p w14:paraId="4D4307A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RTA</w:t>
            </w:r>
          </w:p>
        </w:tc>
        <w:tc>
          <w:tcPr>
            <w:tcW w:w="2646" w:type="dxa"/>
            <w:shd w:val="clear" w:color="auto" w:fill="auto"/>
            <w:vAlign w:val="center"/>
            <w:hideMark/>
          </w:tcPr>
          <w:p w14:paraId="1F88AEFD"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11.27</w:t>
            </w:r>
          </w:p>
        </w:tc>
        <w:tc>
          <w:tcPr>
            <w:tcW w:w="2646" w:type="dxa"/>
            <w:shd w:val="clear" w:color="auto" w:fill="auto"/>
            <w:vAlign w:val="center"/>
            <w:hideMark/>
          </w:tcPr>
          <w:p w14:paraId="59ADF148"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5.33</w:t>
            </w:r>
          </w:p>
        </w:tc>
        <w:tc>
          <w:tcPr>
            <w:tcW w:w="2646" w:type="dxa"/>
            <w:shd w:val="clear" w:color="auto" w:fill="auto"/>
            <w:vAlign w:val="center"/>
            <w:hideMark/>
          </w:tcPr>
          <w:p w14:paraId="010E3B0A"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16.60</w:t>
            </w:r>
          </w:p>
        </w:tc>
      </w:tr>
      <w:tr w:rsidR="000B6617" w:rsidRPr="00566937" w14:paraId="207E1D27" w14:textId="77777777" w:rsidTr="00A952E6">
        <w:trPr>
          <w:trHeight w:val="300"/>
        </w:trPr>
        <w:tc>
          <w:tcPr>
            <w:tcW w:w="1271" w:type="dxa"/>
            <w:shd w:val="clear" w:color="auto" w:fill="auto"/>
            <w:vAlign w:val="center"/>
            <w:hideMark/>
          </w:tcPr>
          <w:p w14:paraId="33EADF70"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RPIVA</w:t>
            </w:r>
          </w:p>
        </w:tc>
        <w:tc>
          <w:tcPr>
            <w:tcW w:w="2646" w:type="dxa"/>
            <w:shd w:val="clear" w:color="auto" w:fill="auto"/>
            <w:vAlign w:val="center"/>
            <w:hideMark/>
          </w:tcPr>
          <w:p w14:paraId="548AA8D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9.29</w:t>
            </w:r>
          </w:p>
        </w:tc>
        <w:tc>
          <w:tcPr>
            <w:tcW w:w="2646" w:type="dxa"/>
            <w:shd w:val="clear" w:color="auto" w:fill="auto"/>
            <w:vAlign w:val="center"/>
            <w:hideMark/>
          </w:tcPr>
          <w:p w14:paraId="667B8F07"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4.20</w:t>
            </w:r>
          </w:p>
        </w:tc>
        <w:tc>
          <w:tcPr>
            <w:tcW w:w="2646" w:type="dxa"/>
            <w:shd w:val="clear" w:color="auto" w:fill="auto"/>
            <w:vAlign w:val="center"/>
            <w:hideMark/>
          </w:tcPr>
          <w:p w14:paraId="2D2ADA5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13.49</w:t>
            </w:r>
          </w:p>
        </w:tc>
      </w:tr>
      <w:tr w:rsidR="000B6617" w:rsidRPr="00566937" w14:paraId="33F85F42" w14:textId="77777777" w:rsidTr="00A952E6">
        <w:trPr>
          <w:trHeight w:val="300"/>
        </w:trPr>
        <w:tc>
          <w:tcPr>
            <w:tcW w:w="1271" w:type="dxa"/>
            <w:shd w:val="clear" w:color="auto" w:fill="auto"/>
            <w:vAlign w:val="center"/>
            <w:hideMark/>
          </w:tcPr>
          <w:p w14:paraId="21312581"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LMA MVI</w:t>
            </w:r>
          </w:p>
        </w:tc>
        <w:tc>
          <w:tcPr>
            <w:tcW w:w="2646" w:type="dxa"/>
            <w:shd w:val="clear" w:color="auto" w:fill="auto"/>
            <w:noWrap/>
            <w:vAlign w:val="center"/>
            <w:hideMark/>
          </w:tcPr>
          <w:p w14:paraId="7578928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6.45</w:t>
            </w:r>
          </w:p>
        </w:tc>
        <w:tc>
          <w:tcPr>
            <w:tcW w:w="2646" w:type="dxa"/>
            <w:shd w:val="clear" w:color="auto" w:fill="auto"/>
            <w:noWrap/>
            <w:vAlign w:val="center"/>
            <w:hideMark/>
          </w:tcPr>
          <w:p w14:paraId="2D99A4D3"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0.00</w:t>
            </w:r>
          </w:p>
        </w:tc>
        <w:tc>
          <w:tcPr>
            <w:tcW w:w="2646" w:type="dxa"/>
            <w:shd w:val="clear" w:color="auto" w:fill="auto"/>
            <w:vAlign w:val="center"/>
            <w:hideMark/>
          </w:tcPr>
          <w:p w14:paraId="7A550898"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6.45</w:t>
            </w:r>
          </w:p>
        </w:tc>
      </w:tr>
      <w:tr w:rsidR="000B6617" w:rsidRPr="00566937" w14:paraId="7B7CBBCA" w14:textId="77777777" w:rsidTr="00A952E6">
        <w:trPr>
          <w:trHeight w:val="465"/>
        </w:trPr>
        <w:tc>
          <w:tcPr>
            <w:tcW w:w="1271" w:type="dxa"/>
            <w:shd w:val="clear" w:color="auto" w:fill="auto"/>
            <w:vAlign w:val="center"/>
            <w:hideMark/>
          </w:tcPr>
          <w:p w14:paraId="5A6B4828"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JVLMA</w:t>
            </w:r>
          </w:p>
        </w:tc>
        <w:tc>
          <w:tcPr>
            <w:tcW w:w="2646" w:type="dxa"/>
            <w:shd w:val="clear" w:color="auto" w:fill="auto"/>
            <w:noWrap/>
            <w:vAlign w:val="center"/>
            <w:hideMark/>
          </w:tcPr>
          <w:p w14:paraId="60BC16EC"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1.50</w:t>
            </w:r>
          </w:p>
        </w:tc>
        <w:tc>
          <w:tcPr>
            <w:tcW w:w="2646" w:type="dxa"/>
            <w:shd w:val="clear" w:color="auto" w:fill="auto"/>
            <w:noWrap/>
            <w:vAlign w:val="center"/>
            <w:hideMark/>
          </w:tcPr>
          <w:p w14:paraId="2AC84742"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0.50</w:t>
            </w:r>
          </w:p>
        </w:tc>
        <w:tc>
          <w:tcPr>
            <w:tcW w:w="2646" w:type="dxa"/>
            <w:shd w:val="clear" w:color="auto" w:fill="auto"/>
            <w:vAlign w:val="center"/>
            <w:hideMark/>
          </w:tcPr>
          <w:p w14:paraId="60627B8D" w14:textId="77777777" w:rsidR="000B6617" w:rsidRPr="00566937" w:rsidRDefault="000B6617" w:rsidP="00E7642A">
            <w:pPr>
              <w:ind w:left="0"/>
              <w:jc w:val="center"/>
              <w:rPr>
                <w:rFonts w:ascii="Times New Roman" w:eastAsia="Times New Roman" w:hAnsi="Times New Roman"/>
                <w:sz w:val="20"/>
                <w:szCs w:val="20"/>
                <w:lang w:eastAsia="lv-LV"/>
              </w:rPr>
            </w:pPr>
            <w:r w:rsidRPr="00566937">
              <w:rPr>
                <w:rFonts w:ascii="Times New Roman" w:eastAsia="Times New Roman" w:hAnsi="Times New Roman"/>
                <w:sz w:val="20"/>
                <w:szCs w:val="20"/>
                <w:lang w:eastAsia="lv-LV"/>
              </w:rPr>
              <w:t>2.00</w:t>
            </w:r>
          </w:p>
        </w:tc>
      </w:tr>
      <w:tr w:rsidR="000B6617" w:rsidRPr="00566937" w14:paraId="103D05DD" w14:textId="77777777" w:rsidTr="00A952E6">
        <w:trPr>
          <w:trHeight w:val="300"/>
        </w:trPr>
        <w:tc>
          <w:tcPr>
            <w:tcW w:w="1271" w:type="dxa"/>
            <w:shd w:val="clear" w:color="000000" w:fill="F2F2F2"/>
            <w:vAlign w:val="center"/>
            <w:hideMark/>
          </w:tcPr>
          <w:p w14:paraId="7B3D3003"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Kopā</w:t>
            </w:r>
          </w:p>
        </w:tc>
        <w:tc>
          <w:tcPr>
            <w:tcW w:w="2646" w:type="dxa"/>
            <w:shd w:val="clear" w:color="000000" w:fill="F2F2F2"/>
            <w:noWrap/>
            <w:vAlign w:val="center"/>
            <w:hideMark/>
          </w:tcPr>
          <w:p w14:paraId="7567D833"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1 728.48</w:t>
            </w:r>
          </w:p>
        </w:tc>
        <w:tc>
          <w:tcPr>
            <w:tcW w:w="2646" w:type="dxa"/>
            <w:shd w:val="clear" w:color="000000" w:fill="F2F2F2"/>
            <w:noWrap/>
            <w:vAlign w:val="center"/>
            <w:hideMark/>
          </w:tcPr>
          <w:p w14:paraId="2BDE1922"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1 410.62</w:t>
            </w:r>
          </w:p>
        </w:tc>
        <w:tc>
          <w:tcPr>
            <w:tcW w:w="2646" w:type="dxa"/>
            <w:shd w:val="clear" w:color="000000" w:fill="F2F2F2"/>
            <w:noWrap/>
            <w:vAlign w:val="center"/>
            <w:hideMark/>
          </w:tcPr>
          <w:p w14:paraId="027709E4" w14:textId="77777777" w:rsidR="000B6617" w:rsidRPr="00566937" w:rsidRDefault="000B6617" w:rsidP="00E7642A">
            <w:pPr>
              <w:ind w:left="0"/>
              <w:jc w:val="center"/>
              <w:rPr>
                <w:rFonts w:ascii="Times New Roman" w:eastAsia="Times New Roman" w:hAnsi="Times New Roman"/>
                <w:b/>
                <w:bCs/>
                <w:sz w:val="20"/>
                <w:szCs w:val="20"/>
                <w:lang w:eastAsia="lv-LV"/>
              </w:rPr>
            </w:pPr>
            <w:r w:rsidRPr="00566937">
              <w:rPr>
                <w:rFonts w:ascii="Times New Roman" w:eastAsia="Times New Roman" w:hAnsi="Times New Roman"/>
                <w:b/>
                <w:bCs/>
                <w:sz w:val="20"/>
                <w:szCs w:val="20"/>
                <w:lang w:eastAsia="lv-LV"/>
              </w:rPr>
              <w:t>3 139.10</w:t>
            </w:r>
          </w:p>
        </w:tc>
      </w:tr>
    </w:tbl>
    <w:p w14:paraId="6E8E43F9" w14:textId="77777777" w:rsidR="002C7ADF" w:rsidRDefault="002C7ADF" w:rsidP="00E7642A">
      <w:pPr>
        <w:pStyle w:val="Header"/>
        <w:tabs>
          <w:tab w:val="clear" w:pos="4320"/>
          <w:tab w:val="clear" w:pos="8640"/>
          <w:tab w:val="center" w:pos="1134"/>
          <w:tab w:val="right" w:pos="9923"/>
        </w:tabs>
        <w:spacing w:after="0" w:line="240" w:lineRule="auto"/>
        <w:rPr>
          <w:rFonts w:ascii="Times New Roman" w:hAnsi="Times New Roman"/>
          <w:i/>
          <w:sz w:val="24"/>
          <w:szCs w:val="24"/>
          <w:lang w:val="lv-LV"/>
        </w:rPr>
      </w:pPr>
    </w:p>
    <w:p w14:paraId="27550933" w14:textId="65B97F8D" w:rsidR="00466194" w:rsidRPr="00352C8E" w:rsidRDefault="0059696F" w:rsidP="00E7642A">
      <w:pPr>
        <w:pStyle w:val="Header"/>
        <w:tabs>
          <w:tab w:val="clear" w:pos="4320"/>
          <w:tab w:val="clear" w:pos="8640"/>
          <w:tab w:val="center" w:pos="1134"/>
          <w:tab w:val="right" w:pos="9923"/>
        </w:tabs>
        <w:spacing w:after="0" w:line="240" w:lineRule="auto"/>
        <w:rPr>
          <w:rFonts w:ascii="Times New Roman" w:hAnsi="Times New Roman"/>
          <w:i/>
          <w:sz w:val="24"/>
          <w:szCs w:val="24"/>
          <w:lang w:val="lv-LV"/>
        </w:rPr>
      </w:pPr>
      <w:r>
        <w:rPr>
          <w:rFonts w:ascii="Times New Roman" w:hAnsi="Times New Roman"/>
          <w:i/>
          <w:sz w:val="24"/>
          <w:szCs w:val="24"/>
          <w:lang w:val="lv-LV"/>
        </w:rPr>
        <w:t>Datu avots: IZM</w:t>
      </w:r>
    </w:p>
    <w:p w14:paraId="1E6FDC74" w14:textId="5B01EA65" w:rsidR="002C7ADF" w:rsidRDefault="002C7ADF" w:rsidP="00E7642A">
      <w:pPr>
        <w:pStyle w:val="Header"/>
        <w:tabs>
          <w:tab w:val="clear" w:pos="4320"/>
          <w:tab w:val="clear" w:pos="8640"/>
          <w:tab w:val="center" w:pos="1134"/>
          <w:tab w:val="right" w:pos="9923"/>
        </w:tabs>
        <w:spacing w:after="0" w:line="240" w:lineRule="auto"/>
        <w:rPr>
          <w:lang w:eastAsia="lv-LV"/>
        </w:rPr>
      </w:pPr>
    </w:p>
    <w:p w14:paraId="197529BC" w14:textId="45D33923" w:rsidR="0059696F" w:rsidRDefault="00F62258" w:rsidP="00E7642A">
      <w:pPr>
        <w:pStyle w:val="NormalWeb"/>
        <w:spacing w:before="0" w:beforeAutospacing="0" w:after="0" w:afterAutospacing="0"/>
        <w:ind w:firstLine="567"/>
        <w:jc w:val="both"/>
      </w:pPr>
      <w:r>
        <w:t xml:space="preserve">Latvijā zinātnes resursi ir koncentrēti Rīgā un tās tuvumā, kur atrodas lielākās Latvijas universitātes un vairums zinātnisko institūtu. </w:t>
      </w:r>
      <w:r w:rsidR="0059696F" w:rsidRPr="00914624">
        <w:t xml:space="preserve">Aptuveni </w:t>
      </w:r>
      <w:r w:rsidR="0059696F">
        <w:t>93</w:t>
      </w:r>
      <w:r w:rsidR="0059696F" w:rsidRPr="00914624">
        <w:t xml:space="preserve"> procenti no </w:t>
      </w:r>
      <w:r w:rsidR="0059696F">
        <w:t xml:space="preserve">visiem </w:t>
      </w:r>
      <w:r w:rsidR="0059696F" w:rsidRPr="00914624">
        <w:t xml:space="preserve">valsts zinātniskajās institūcijās nodarbinātajiem </w:t>
      </w:r>
      <w:r w:rsidR="0059696F">
        <w:t xml:space="preserve">zinātniskajiem darbiniekiem pētniecisko darbību veic zinātniskajās institūcijās, kas </w:t>
      </w:r>
      <w:r w:rsidR="0002427F">
        <w:t xml:space="preserve">atrodas </w:t>
      </w:r>
      <w:r w:rsidR="0059696F">
        <w:t>Rīgā vai Rīgas plānošanas reģion</w:t>
      </w:r>
      <w:r w:rsidR="00914624">
        <w:t>ā.</w:t>
      </w:r>
      <w:r w:rsidR="0059696F">
        <w:t xml:space="preserve"> </w:t>
      </w:r>
      <w:r w:rsidR="00487FCF">
        <w:t>Zemgales plānošanas reģionā nodarbināt</w:t>
      </w:r>
      <w:r w:rsidR="00914624">
        <w:t>i 5,4 procenti no valsts zinātnisko institūciju zinātniskajiem darbiniekiem, Latgales plānošanas reģionā 4,7 procenti, Kurzemes plānošanas reģionā – 3,3 procenti un Vidzemes plānošanas periodā 1,6 procenti (sk</w:t>
      </w:r>
      <w:r w:rsidR="005163E5">
        <w:t>at</w:t>
      </w:r>
      <w:r w:rsidR="00914624">
        <w:t xml:space="preserve">. </w:t>
      </w:r>
      <w:r w:rsidR="005163E5">
        <w:t>5.</w:t>
      </w:r>
      <w:r w:rsidR="00B65A2C">
        <w:t> </w:t>
      </w:r>
      <w:r w:rsidR="00914624">
        <w:t>attēlu).</w:t>
      </w:r>
      <w:r w:rsidR="0002427F">
        <w:t xml:space="preserve"> </w:t>
      </w:r>
    </w:p>
    <w:p w14:paraId="3ECECB24" w14:textId="77777777" w:rsidR="0059696F" w:rsidRDefault="00352C8E" w:rsidP="00E7642A">
      <w:pPr>
        <w:pStyle w:val="Caption"/>
        <w:spacing w:before="120" w:after="120"/>
        <w:jc w:val="right"/>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00417751"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00417751" w:rsidRPr="00622315">
        <w:rPr>
          <w:rFonts w:ascii="Times New Roman" w:hAnsi="Times New Roman"/>
          <w:color w:val="auto"/>
          <w:sz w:val="24"/>
          <w:szCs w:val="24"/>
        </w:rPr>
        <w:fldChar w:fldCharType="separate"/>
      </w:r>
      <w:r w:rsidR="00E7642A">
        <w:rPr>
          <w:rFonts w:ascii="Times New Roman" w:hAnsi="Times New Roman"/>
          <w:noProof/>
          <w:color w:val="auto"/>
          <w:sz w:val="24"/>
          <w:szCs w:val="24"/>
        </w:rPr>
        <w:t>5</w:t>
      </w:r>
      <w:r w:rsidR="00417751" w:rsidRPr="00622315">
        <w:rPr>
          <w:rFonts w:ascii="Times New Roman" w:hAnsi="Times New Roman"/>
          <w:color w:val="auto"/>
          <w:sz w:val="24"/>
          <w:szCs w:val="24"/>
        </w:rPr>
        <w:fldChar w:fldCharType="end"/>
      </w:r>
      <w:r>
        <w:rPr>
          <w:rFonts w:ascii="Times New Roman" w:hAnsi="Times New Roman"/>
          <w:color w:val="auto"/>
          <w:sz w:val="24"/>
          <w:szCs w:val="24"/>
        </w:rPr>
        <w:t>.</w:t>
      </w:r>
    </w:p>
    <w:p w14:paraId="1E54069C" w14:textId="77777777" w:rsidR="00352C8E" w:rsidRPr="00352C8E" w:rsidRDefault="00735A43" w:rsidP="00E7642A">
      <w:pPr>
        <w:pStyle w:val="NormalWeb"/>
        <w:spacing w:before="0" w:beforeAutospacing="0" w:after="0" w:afterAutospacing="0"/>
        <w:ind w:firstLine="567"/>
        <w:jc w:val="center"/>
        <w:rPr>
          <w:b/>
        </w:rPr>
      </w:pPr>
      <w:r w:rsidRPr="00352C8E">
        <w:rPr>
          <w:b/>
        </w:rPr>
        <w:t>Valsts zinātniskajās institūcijās zinātnē nodarbināto teritoriālais izvietojums</w:t>
      </w:r>
      <w:r w:rsidR="00352C8E" w:rsidRPr="00352C8E">
        <w:rPr>
          <w:b/>
        </w:rPr>
        <w:t xml:space="preserve">, </w:t>
      </w:r>
    </w:p>
    <w:p w14:paraId="188E630B" w14:textId="77777777" w:rsidR="00735A43" w:rsidRPr="00352C8E" w:rsidRDefault="00735A43" w:rsidP="00E7642A">
      <w:pPr>
        <w:pStyle w:val="NormalWeb"/>
        <w:spacing w:before="0" w:beforeAutospacing="0" w:after="0" w:afterAutospacing="0"/>
        <w:ind w:firstLine="567"/>
        <w:jc w:val="center"/>
        <w:rPr>
          <w:b/>
        </w:rPr>
      </w:pPr>
      <w:r w:rsidRPr="00352C8E">
        <w:rPr>
          <w:b/>
        </w:rPr>
        <w:t>PLE izteiksmē</w:t>
      </w:r>
      <w:r w:rsidR="00E22F04" w:rsidRPr="00352C8E">
        <w:rPr>
          <w:b/>
        </w:rPr>
        <w:t xml:space="preserve"> </w:t>
      </w:r>
      <w:r w:rsidR="00352C8E" w:rsidRPr="00352C8E">
        <w:rPr>
          <w:b/>
        </w:rPr>
        <w:t>(</w:t>
      </w:r>
      <w:r w:rsidR="00E22F04" w:rsidRPr="00352C8E">
        <w:rPr>
          <w:b/>
        </w:rPr>
        <w:t>dati uz 31.12.2014</w:t>
      </w:r>
      <w:r w:rsidR="00352C8E" w:rsidRPr="00352C8E">
        <w:rPr>
          <w:b/>
        </w:rPr>
        <w:t>)</w:t>
      </w:r>
    </w:p>
    <w:p w14:paraId="297A64B4" w14:textId="77777777" w:rsidR="00735A43" w:rsidRPr="00C07278" w:rsidRDefault="00763D95" w:rsidP="00E7642A">
      <w:pPr>
        <w:pStyle w:val="Header"/>
        <w:tabs>
          <w:tab w:val="clear" w:pos="4320"/>
          <w:tab w:val="clear" w:pos="8640"/>
          <w:tab w:val="center" w:pos="1134"/>
          <w:tab w:val="right" w:pos="9923"/>
        </w:tabs>
        <w:spacing w:after="0" w:line="240" w:lineRule="auto"/>
        <w:jc w:val="both"/>
        <w:rPr>
          <w:rFonts w:ascii="Times New Roman" w:hAnsi="Times New Roman"/>
          <w:b/>
          <w:sz w:val="24"/>
          <w:szCs w:val="24"/>
          <w:lang w:val="lv-LV"/>
        </w:rPr>
      </w:pPr>
      <w:r w:rsidRPr="002D7733">
        <w:rPr>
          <w:rFonts w:ascii="Times New Roman" w:hAnsi="Times New Roman"/>
          <w:noProof/>
          <w:lang w:val="lv-LV" w:eastAsia="lv-LV"/>
        </w:rPr>
        <w:lastRenderedPageBreak/>
        <w:drawing>
          <wp:inline distT="0" distB="0" distL="0" distR="0" wp14:anchorId="7D35742C" wp14:editId="06B6ACFB">
            <wp:extent cx="5734050" cy="275272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7620B6" w14:textId="77777777" w:rsidR="00C708D6" w:rsidRPr="00C07278" w:rsidRDefault="00735A43" w:rsidP="00E7642A">
      <w:pPr>
        <w:pStyle w:val="Header"/>
        <w:tabs>
          <w:tab w:val="clear" w:pos="4320"/>
          <w:tab w:val="clear" w:pos="8640"/>
          <w:tab w:val="center" w:pos="1134"/>
          <w:tab w:val="right" w:pos="9923"/>
        </w:tabs>
        <w:spacing w:after="0" w:line="240" w:lineRule="auto"/>
        <w:rPr>
          <w:rFonts w:ascii="Times New Roman" w:hAnsi="Times New Roman"/>
          <w:b/>
          <w:sz w:val="24"/>
          <w:szCs w:val="24"/>
          <w:lang w:val="lv-LV"/>
        </w:rPr>
      </w:pPr>
      <w:r w:rsidRPr="00352C8E">
        <w:rPr>
          <w:rFonts w:ascii="Times New Roman" w:hAnsi="Times New Roman"/>
          <w:i/>
          <w:sz w:val="24"/>
          <w:szCs w:val="24"/>
          <w:lang w:val="lv-LV"/>
        </w:rPr>
        <w:t>Datu avots: IZM</w:t>
      </w:r>
    </w:p>
    <w:p w14:paraId="1F1593C8" w14:textId="77777777" w:rsidR="00566937" w:rsidRDefault="00566937" w:rsidP="00E7642A">
      <w:pPr>
        <w:spacing w:after="160" w:line="259" w:lineRule="auto"/>
        <w:ind w:left="0"/>
        <w:jc w:val="left"/>
        <w:rPr>
          <w:rFonts w:ascii="Times New Roman" w:eastAsia="Times New Roman" w:hAnsi="Times New Roman"/>
          <w:b/>
          <w:bCs/>
          <w:sz w:val="24"/>
          <w:szCs w:val="24"/>
          <w:lang w:eastAsia="lv-LV"/>
        </w:rPr>
      </w:pPr>
      <w:r>
        <w:rPr>
          <w:rFonts w:ascii="Times New Roman" w:hAnsi="Times New Roman"/>
          <w:sz w:val="24"/>
          <w:szCs w:val="24"/>
        </w:rPr>
        <w:br w:type="page"/>
      </w:r>
    </w:p>
    <w:p w14:paraId="69D1BF5B" w14:textId="1552A877" w:rsidR="00227DC7" w:rsidRDefault="003523F8" w:rsidP="00E7642A">
      <w:pPr>
        <w:pStyle w:val="Heading1"/>
        <w:numPr>
          <w:ilvl w:val="0"/>
          <w:numId w:val="1"/>
        </w:numPr>
        <w:spacing w:before="360" w:after="120"/>
        <w:ind w:left="357" w:hanging="357"/>
        <w:jc w:val="center"/>
        <w:rPr>
          <w:rFonts w:ascii="Times New Roman" w:hAnsi="Times New Roman"/>
          <w:color w:val="auto"/>
          <w:sz w:val="24"/>
          <w:szCs w:val="24"/>
        </w:rPr>
      </w:pPr>
      <w:bookmarkStart w:id="7" w:name="_Toc458673271"/>
      <w:r w:rsidRPr="00C07278">
        <w:rPr>
          <w:rFonts w:ascii="Times New Roman" w:hAnsi="Times New Roman"/>
          <w:color w:val="auto"/>
          <w:sz w:val="24"/>
          <w:szCs w:val="24"/>
        </w:rPr>
        <w:lastRenderedPageBreak/>
        <w:t>ES struktūrfondu ieguldījumi zinātnisko institūciju pētnieciskās infrastruktūras modernizācijai</w:t>
      </w:r>
      <w:bookmarkEnd w:id="7"/>
    </w:p>
    <w:p w14:paraId="2EA6ECB6" w14:textId="15BBDB15" w:rsidR="0077686C" w:rsidRDefault="00914624" w:rsidP="00E7642A">
      <w:pPr>
        <w:tabs>
          <w:tab w:val="left" w:pos="0"/>
        </w:tabs>
        <w:ind w:left="0"/>
        <w:rPr>
          <w:rFonts w:ascii="Times New Roman" w:hAnsi="Times New Roman"/>
          <w:sz w:val="24"/>
          <w:szCs w:val="24"/>
        </w:rPr>
      </w:pPr>
      <w:r w:rsidRPr="00341D6F">
        <w:rPr>
          <w:rFonts w:ascii="Times New Roman" w:hAnsi="Times New Roman"/>
          <w:sz w:val="24"/>
          <w:szCs w:val="24"/>
        </w:rPr>
        <w:tab/>
      </w:r>
      <w:r w:rsidR="0021297B" w:rsidRPr="00341D6F">
        <w:rPr>
          <w:rFonts w:ascii="Times New Roman" w:hAnsi="Times New Roman"/>
          <w:sz w:val="24"/>
          <w:szCs w:val="24"/>
        </w:rPr>
        <w:t xml:space="preserve">No </w:t>
      </w:r>
      <w:r w:rsidR="003523F8" w:rsidRPr="00341D6F">
        <w:rPr>
          <w:rFonts w:ascii="Times New Roman" w:hAnsi="Times New Roman"/>
          <w:sz w:val="24"/>
          <w:szCs w:val="24"/>
        </w:rPr>
        <w:t>pagājušā gadsimta 80.</w:t>
      </w:r>
      <w:r w:rsidR="008B1832">
        <w:rPr>
          <w:rFonts w:ascii="Times New Roman" w:hAnsi="Times New Roman"/>
          <w:sz w:val="24"/>
          <w:szCs w:val="24"/>
        </w:rPr>
        <w:t> </w:t>
      </w:r>
      <w:r w:rsidR="003523F8" w:rsidRPr="00341D6F">
        <w:rPr>
          <w:rFonts w:ascii="Times New Roman" w:hAnsi="Times New Roman"/>
          <w:sz w:val="24"/>
          <w:szCs w:val="24"/>
        </w:rPr>
        <w:t>gadiem līdz 2004.</w:t>
      </w:r>
      <w:r w:rsidR="00EE004D" w:rsidRPr="00341D6F">
        <w:rPr>
          <w:rFonts w:ascii="Times New Roman" w:hAnsi="Times New Roman"/>
          <w:sz w:val="24"/>
          <w:szCs w:val="24"/>
        </w:rPr>
        <w:t xml:space="preserve"> </w:t>
      </w:r>
      <w:r w:rsidR="003523F8" w:rsidRPr="00341D6F">
        <w:rPr>
          <w:rFonts w:ascii="Times New Roman" w:hAnsi="Times New Roman"/>
          <w:sz w:val="24"/>
          <w:szCs w:val="24"/>
        </w:rPr>
        <w:t xml:space="preserve">gadam </w:t>
      </w:r>
      <w:r w:rsidR="0021297B" w:rsidRPr="00341D6F">
        <w:rPr>
          <w:rFonts w:ascii="Times New Roman" w:hAnsi="Times New Roman"/>
          <w:sz w:val="24"/>
          <w:szCs w:val="24"/>
        </w:rPr>
        <w:t xml:space="preserve">pētniecības </w:t>
      </w:r>
      <w:r w:rsidR="003523F8" w:rsidRPr="00341D6F">
        <w:rPr>
          <w:rFonts w:ascii="Times New Roman" w:hAnsi="Times New Roman"/>
          <w:sz w:val="24"/>
          <w:szCs w:val="24"/>
        </w:rPr>
        <w:t>infrastruktūr</w:t>
      </w:r>
      <w:r w:rsidR="0021297B" w:rsidRPr="00341D6F">
        <w:rPr>
          <w:rFonts w:ascii="Times New Roman" w:hAnsi="Times New Roman"/>
          <w:sz w:val="24"/>
          <w:szCs w:val="24"/>
        </w:rPr>
        <w:t>a</w:t>
      </w:r>
      <w:r w:rsidR="003523F8" w:rsidRPr="00341D6F">
        <w:rPr>
          <w:rFonts w:ascii="Times New Roman" w:hAnsi="Times New Roman"/>
          <w:sz w:val="24"/>
          <w:szCs w:val="24"/>
        </w:rPr>
        <w:t xml:space="preserve"> valsts zinātnisk</w:t>
      </w:r>
      <w:r w:rsidR="0021297B" w:rsidRPr="00341D6F">
        <w:rPr>
          <w:rFonts w:ascii="Times New Roman" w:hAnsi="Times New Roman"/>
          <w:sz w:val="24"/>
          <w:szCs w:val="24"/>
        </w:rPr>
        <w:t>aj</w:t>
      </w:r>
      <w:r w:rsidR="003523F8" w:rsidRPr="00341D6F">
        <w:rPr>
          <w:rFonts w:ascii="Times New Roman" w:hAnsi="Times New Roman"/>
          <w:sz w:val="24"/>
          <w:szCs w:val="24"/>
        </w:rPr>
        <w:t xml:space="preserve">os institūtos un augstskolās praktiski netika atjaunota. </w:t>
      </w:r>
      <w:r w:rsidR="0077686C" w:rsidRPr="00341D6F">
        <w:rPr>
          <w:rFonts w:ascii="Times New Roman" w:hAnsi="Times New Roman"/>
          <w:sz w:val="24"/>
          <w:szCs w:val="24"/>
        </w:rPr>
        <w:t>ES fondu 2004.</w:t>
      </w:r>
      <w:r w:rsidR="00566937">
        <w:t>–</w:t>
      </w:r>
      <w:r w:rsidR="0077686C" w:rsidRPr="00341D6F">
        <w:rPr>
          <w:rFonts w:ascii="Times New Roman" w:hAnsi="Times New Roman"/>
          <w:sz w:val="24"/>
          <w:szCs w:val="24"/>
        </w:rPr>
        <w:t>2006. un 2007.</w:t>
      </w:r>
      <w:r w:rsidR="00566937">
        <w:t>–</w:t>
      </w:r>
      <w:r w:rsidR="0077686C" w:rsidRPr="00341D6F">
        <w:rPr>
          <w:rFonts w:ascii="Times New Roman" w:hAnsi="Times New Roman"/>
          <w:sz w:val="24"/>
          <w:szCs w:val="24"/>
        </w:rPr>
        <w:t>2013.</w:t>
      </w:r>
      <w:r w:rsidR="00A270F0" w:rsidRPr="00341D6F">
        <w:rPr>
          <w:rFonts w:ascii="Times New Roman" w:hAnsi="Times New Roman"/>
          <w:sz w:val="24"/>
          <w:szCs w:val="24"/>
        </w:rPr>
        <w:t xml:space="preserve"> </w:t>
      </w:r>
      <w:r w:rsidR="00EE004D" w:rsidRPr="00341D6F">
        <w:rPr>
          <w:rFonts w:ascii="Times New Roman" w:hAnsi="Times New Roman"/>
          <w:sz w:val="24"/>
          <w:szCs w:val="24"/>
        </w:rPr>
        <w:t xml:space="preserve">gadu </w:t>
      </w:r>
      <w:r w:rsidR="0077686C" w:rsidRPr="00341D6F">
        <w:rPr>
          <w:rFonts w:ascii="Times New Roman" w:hAnsi="Times New Roman"/>
          <w:sz w:val="24"/>
          <w:szCs w:val="24"/>
        </w:rPr>
        <w:t xml:space="preserve">plānošanas periodā valsts zinātniskajās institūcijās kopumā pētniecības infrastruktūras modernizācijā ieguldīts 127,45 milj. </w:t>
      </w:r>
      <w:r w:rsidR="0077686C" w:rsidRPr="00341D6F">
        <w:rPr>
          <w:rFonts w:ascii="Times New Roman" w:hAnsi="Times New Roman"/>
          <w:i/>
          <w:sz w:val="24"/>
          <w:szCs w:val="24"/>
        </w:rPr>
        <w:t>euro</w:t>
      </w:r>
      <w:r w:rsidR="0077686C" w:rsidRPr="00341D6F">
        <w:rPr>
          <w:rFonts w:ascii="Times New Roman" w:hAnsi="Times New Roman"/>
          <w:sz w:val="24"/>
          <w:szCs w:val="24"/>
        </w:rPr>
        <w:t xml:space="preserve">, tai skaitā kopējais attiecināmais finansējums 126,40 milj. </w:t>
      </w:r>
      <w:r w:rsidR="0077686C" w:rsidRPr="00341D6F">
        <w:rPr>
          <w:rFonts w:ascii="Times New Roman" w:hAnsi="Times New Roman"/>
          <w:i/>
          <w:sz w:val="24"/>
          <w:szCs w:val="24"/>
        </w:rPr>
        <w:t>euro</w:t>
      </w:r>
      <w:r w:rsidR="0077686C" w:rsidRPr="00341D6F">
        <w:rPr>
          <w:rFonts w:ascii="Times New Roman" w:hAnsi="Times New Roman"/>
          <w:sz w:val="24"/>
          <w:szCs w:val="24"/>
        </w:rPr>
        <w:t xml:space="preserve"> un ERAF finansējums 106,94 milj. </w:t>
      </w:r>
      <w:r w:rsidR="0077686C" w:rsidRPr="00341D6F">
        <w:rPr>
          <w:rFonts w:ascii="Times New Roman" w:hAnsi="Times New Roman"/>
          <w:i/>
          <w:sz w:val="24"/>
          <w:szCs w:val="24"/>
        </w:rPr>
        <w:t>euro</w:t>
      </w:r>
      <w:r w:rsidR="0077686C" w:rsidRPr="00341D6F">
        <w:rPr>
          <w:rFonts w:ascii="Times New Roman" w:hAnsi="Times New Roman"/>
          <w:sz w:val="24"/>
          <w:szCs w:val="24"/>
        </w:rPr>
        <w:t>. Detalizēta informācija par ES fondu 2004.</w:t>
      </w:r>
      <w:r w:rsidR="00566937">
        <w:t>–</w:t>
      </w:r>
      <w:r w:rsidR="0077686C" w:rsidRPr="00341D6F">
        <w:rPr>
          <w:rFonts w:ascii="Times New Roman" w:hAnsi="Times New Roman"/>
          <w:sz w:val="24"/>
          <w:szCs w:val="24"/>
        </w:rPr>
        <w:t>2006. un 2007.</w:t>
      </w:r>
      <w:r w:rsidR="00566937">
        <w:t>–</w:t>
      </w:r>
      <w:r w:rsidR="0077686C" w:rsidRPr="00341D6F">
        <w:rPr>
          <w:rFonts w:ascii="Times New Roman" w:hAnsi="Times New Roman"/>
          <w:sz w:val="24"/>
          <w:szCs w:val="24"/>
        </w:rPr>
        <w:t>2013.</w:t>
      </w:r>
      <w:r w:rsidR="00A270F0" w:rsidRPr="00341D6F">
        <w:rPr>
          <w:rFonts w:ascii="Times New Roman" w:hAnsi="Times New Roman"/>
          <w:sz w:val="24"/>
          <w:szCs w:val="24"/>
        </w:rPr>
        <w:t xml:space="preserve"> gadu </w:t>
      </w:r>
      <w:r w:rsidR="0077686C" w:rsidRPr="00341D6F">
        <w:rPr>
          <w:rFonts w:ascii="Times New Roman" w:hAnsi="Times New Roman"/>
          <w:sz w:val="24"/>
          <w:szCs w:val="24"/>
        </w:rPr>
        <w:t>plānošanas period</w:t>
      </w:r>
      <w:r w:rsidR="00B65A2C">
        <w:rPr>
          <w:rFonts w:ascii="Times New Roman" w:hAnsi="Times New Roman"/>
          <w:sz w:val="24"/>
          <w:szCs w:val="24"/>
        </w:rPr>
        <w:t>a</w:t>
      </w:r>
      <w:r w:rsidR="0077686C" w:rsidRPr="00341D6F">
        <w:rPr>
          <w:rFonts w:ascii="Times New Roman" w:hAnsi="Times New Roman"/>
          <w:sz w:val="24"/>
          <w:szCs w:val="24"/>
        </w:rPr>
        <w:t xml:space="preserve"> ieguldījumiem valsts zinātnisko institūciju </w:t>
      </w:r>
      <w:r w:rsidR="00B65A2C">
        <w:rPr>
          <w:rFonts w:ascii="Times New Roman" w:hAnsi="Times New Roman"/>
          <w:sz w:val="24"/>
          <w:szCs w:val="24"/>
        </w:rPr>
        <w:t xml:space="preserve">pētniecības </w:t>
      </w:r>
      <w:r w:rsidR="0077686C" w:rsidRPr="00341D6F">
        <w:rPr>
          <w:rFonts w:ascii="Times New Roman" w:hAnsi="Times New Roman"/>
          <w:sz w:val="24"/>
          <w:szCs w:val="24"/>
        </w:rPr>
        <w:t xml:space="preserve">infrastruktūras pilnveidē un modernizācijā apkopota </w:t>
      </w:r>
      <w:r w:rsidR="005163E5" w:rsidRPr="00341D6F">
        <w:rPr>
          <w:rFonts w:ascii="Times New Roman" w:hAnsi="Times New Roman"/>
          <w:sz w:val="24"/>
          <w:szCs w:val="24"/>
        </w:rPr>
        <w:t xml:space="preserve">informatīvā ziņojuma </w:t>
      </w:r>
      <w:r w:rsidR="00B55BBD">
        <w:rPr>
          <w:rFonts w:ascii="Times New Roman" w:hAnsi="Times New Roman"/>
          <w:sz w:val="24"/>
          <w:szCs w:val="24"/>
        </w:rPr>
        <w:t>3</w:t>
      </w:r>
      <w:r w:rsidR="005163E5" w:rsidRPr="00341D6F">
        <w:rPr>
          <w:rFonts w:ascii="Times New Roman" w:hAnsi="Times New Roman"/>
          <w:sz w:val="24"/>
          <w:szCs w:val="24"/>
        </w:rPr>
        <w:t xml:space="preserve">. </w:t>
      </w:r>
      <w:r w:rsidR="0077686C" w:rsidRPr="00CB4854">
        <w:rPr>
          <w:rFonts w:ascii="Times New Roman" w:hAnsi="Times New Roman"/>
          <w:sz w:val="24"/>
          <w:szCs w:val="24"/>
        </w:rPr>
        <w:t>pielikumā</w:t>
      </w:r>
      <w:r w:rsidR="00CB4854">
        <w:rPr>
          <w:rFonts w:ascii="Times New Roman" w:hAnsi="Times New Roman"/>
          <w:sz w:val="24"/>
          <w:szCs w:val="24"/>
        </w:rPr>
        <w:t>.</w:t>
      </w:r>
    </w:p>
    <w:p w14:paraId="6477D50E" w14:textId="1C6AA425" w:rsidR="00C0352B" w:rsidRPr="00B254C9" w:rsidRDefault="00C0352B" w:rsidP="00E7642A">
      <w:pPr>
        <w:tabs>
          <w:tab w:val="left" w:pos="0"/>
        </w:tabs>
        <w:ind w:left="0"/>
        <w:rPr>
          <w:rFonts w:ascii="Times New Roman" w:hAnsi="Times New Roman"/>
          <w:sz w:val="24"/>
          <w:szCs w:val="24"/>
        </w:rPr>
      </w:pPr>
      <w:r w:rsidRPr="00B254C9">
        <w:rPr>
          <w:rFonts w:ascii="Times New Roman" w:hAnsi="Times New Roman"/>
          <w:sz w:val="24"/>
          <w:szCs w:val="24"/>
        </w:rPr>
        <w:tab/>
      </w:r>
      <w:r w:rsidR="00F52FA9" w:rsidRPr="00B254C9">
        <w:rPr>
          <w:rFonts w:ascii="Times New Roman" w:hAnsi="Times New Roman"/>
          <w:sz w:val="24"/>
          <w:szCs w:val="24"/>
        </w:rPr>
        <w:t xml:space="preserve">Informācija par zinātnisko institūciju pētniecības infrastruktūru (iekārtām un pakalpojumiem), tostarp iespēja rezervēt iekārtas un pasūtīt zinātniskos pakalpojumus, ir ietverta </w:t>
      </w:r>
      <w:r w:rsidR="00F52FA9" w:rsidRPr="00B254C9">
        <w:rPr>
          <w:rFonts w:ascii="Times New Roman" w:hAnsi="Times New Roman"/>
          <w:i/>
          <w:sz w:val="24"/>
          <w:szCs w:val="24"/>
        </w:rPr>
        <w:t>UseScience</w:t>
      </w:r>
      <w:r w:rsidR="00F52FA9" w:rsidRPr="00B254C9">
        <w:rPr>
          <w:rFonts w:ascii="Times New Roman" w:hAnsi="Times New Roman"/>
          <w:sz w:val="24"/>
          <w:szCs w:val="24"/>
        </w:rPr>
        <w:t xml:space="preserve"> datu bāzē (</w:t>
      </w:r>
      <w:hyperlink r:id="rId17" w:history="1">
        <w:r w:rsidR="00F52FA9" w:rsidRPr="00B254C9">
          <w:rPr>
            <w:rStyle w:val="Hyperlink"/>
            <w:rFonts w:ascii="Times New Roman" w:hAnsi="Times New Roman"/>
            <w:sz w:val="24"/>
            <w:szCs w:val="24"/>
          </w:rPr>
          <w:t>www.usescience.eu</w:t>
        </w:r>
      </w:hyperlink>
      <w:r w:rsidR="00F52FA9" w:rsidRPr="00B254C9">
        <w:rPr>
          <w:rFonts w:ascii="Times New Roman" w:hAnsi="Times New Roman"/>
          <w:sz w:val="24"/>
          <w:szCs w:val="24"/>
        </w:rPr>
        <w:t xml:space="preserve">). Uz doto brīdi datu bāzē ir </w:t>
      </w:r>
      <w:r w:rsidR="00670E68">
        <w:rPr>
          <w:rFonts w:ascii="Times New Roman" w:hAnsi="Times New Roman"/>
          <w:sz w:val="24"/>
          <w:szCs w:val="24"/>
        </w:rPr>
        <w:t xml:space="preserve">iekļauta informācija par vairāk kā </w:t>
      </w:r>
      <w:r w:rsidR="00F52FA9" w:rsidRPr="00B254C9">
        <w:rPr>
          <w:rFonts w:ascii="Times New Roman" w:hAnsi="Times New Roman"/>
          <w:sz w:val="24"/>
          <w:szCs w:val="24"/>
        </w:rPr>
        <w:t>1000 iekārt</w:t>
      </w:r>
      <w:r w:rsidR="00670E68">
        <w:rPr>
          <w:rFonts w:ascii="Times New Roman" w:hAnsi="Times New Roman"/>
          <w:sz w:val="24"/>
          <w:szCs w:val="24"/>
        </w:rPr>
        <w:t xml:space="preserve">ām </w:t>
      </w:r>
      <w:r w:rsidR="00F52FA9" w:rsidRPr="00B254C9">
        <w:rPr>
          <w:rFonts w:ascii="Times New Roman" w:hAnsi="Times New Roman"/>
          <w:sz w:val="24"/>
          <w:szCs w:val="24"/>
        </w:rPr>
        <w:t>un 200</w:t>
      </w:r>
      <w:r w:rsidR="00B254C9">
        <w:rPr>
          <w:rFonts w:ascii="Times New Roman" w:hAnsi="Times New Roman"/>
          <w:sz w:val="24"/>
          <w:szCs w:val="24"/>
        </w:rPr>
        <w:t xml:space="preserve"> </w:t>
      </w:r>
      <w:r w:rsidR="00670E68">
        <w:rPr>
          <w:rFonts w:ascii="Times New Roman" w:hAnsi="Times New Roman"/>
          <w:sz w:val="24"/>
          <w:szCs w:val="24"/>
        </w:rPr>
        <w:t xml:space="preserve">piedāvātajiem </w:t>
      </w:r>
      <w:r w:rsidR="00F52FA9" w:rsidRPr="00B254C9">
        <w:rPr>
          <w:rFonts w:ascii="Times New Roman" w:hAnsi="Times New Roman"/>
          <w:sz w:val="24"/>
          <w:szCs w:val="24"/>
        </w:rPr>
        <w:t>pakalpojumi</w:t>
      </w:r>
      <w:r w:rsidR="00670E68">
        <w:rPr>
          <w:rFonts w:ascii="Times New Roman" w:hAnsi="Times New Roman"/>
          <w:sz w:val="24"/>
          <w:szCs w:val="24"/>
        </w:rPr>
        <w:t>em</w:t>
      </w:r>
      <w:r w:rsidR="00F52FA9" w:rsidRPr="00B254C9">
        <w:rPr>
          <w:rFonts w:ascii="Times New Roman" w:hAnsi="Times New Roman"/>
          <w:sz w:val="24"/>
          <w:szCs w:val="24"/>
        </w:rPr>
        <w:t xml:space="preserve">, un informācija par </w:t>
      </w:r>
      <w:r w:rsidR="00670E68">
        <w:rPr>
          <w:rFonts w:ascii="Times New Roman" w:hAnsi="Times New Roman"/>
          <w:sz w:val="24"/>
          <w:szCs w:val="24"/>
        </w:rPr>
        <w:t>vairāk kā 20</w:t>
      </w:r>
      <w:r w:rsidR="00670E68" w:rsidRPr="00B254C9">
        <w:rPr>
          <w:rFonts w:ascii="Times New Roman" w:hAnsi="Times New Roman"/>
          <w:sz w:val="24"/>
          <w:szCs w:val="24"/>
        </w:rPr>
        <w:t xml:space="preserve"> </w:t>
      </w:r>
      <w:r w:rsidR="00F52FA9" w:rsidRPr="00B254C9">
        <w:rPr>
          <w:rFonts w:ascii="Times New Roman" w:hAnsi="Times New Roman"/>
          <w:sz w:val="24"/>
          <w:szCs w:val="24"/>
        </w:rPr>
        <w:t>organizatoriskām vienībām Latvijā un Igaunijā. Tā tika izveidota Centrālbaltijas jūras reģiona pārrobežu sadarbības programmas (INTERREG IV A) 2007.</w:t>
      </w:r>
      <w:r w:rsidR="00B254C9">
        <w:rPr>
          <w:rFonts w:ascii="Times New Roman" w:hAnsi="Times New Roman"/>
          <w:sz w:val="24"/>
          <w:szCs w:val="24"/>
        </w:rPr>
        <w:t> </w:t>
      </w:r>
      <w:r w:rsidR="00F52FA9" w:rsidRPr="00B254C9">
        <w:rPr>
          <w:rFonts w:ascii="Times New Roman" w:hAnsi="Times New Roman"/>
          <w:sz w:val="24"/>
          <w:szCs w:val="24"/>
        </w:rPr>
        <w:t>-</w:t>
      </w:r>
      <w:r w:rsidR="00B254C9">
        <w:rPr>
          <w:rFonts w:ascii="Times New Roman" w:hAnsi="Times New Roman"/>
          <w:sz w:val="24"/>
          <w:szCs w:val="24"/>
        </w:rPr>
        <w:t> </w:t>
      </w:r>
      <w:r w:rsidR="00F52FA9" w:rsidRPr="00B254C9">
        <w:rPr>
          <w:rFonts w:ascii="Times New Roman" w:hAnsi="Times New Roman"/>
          <w:sz w:val="24"/>
          <w:szCs w:val="24"/>
        </w:rPr>
        <w:t>2013.</w:t>
      </w:r>
      <w:r w:rsidR="00B254C9">
        <w:rPr>
          <w:rFonts w:ascii="Times New Roman" w:hAnsi="Times New Roman"/>
          <w:sz w:val="24"/>
          <w:szCs w:val="24"/>
        </w:rPr>
        <w:t> </w:t>
      </w:r>
      <w:r w:rsidR="00F52FA9" w:rsidRPr="00B254C9">
        <w:rPr>
          <w:rFonts w:ascii="Times New Roman" w:hAnsi="Times New Roman"/>
          <w:sz w:val="24"/>
          <w:szCs w:val="24"/>
        </w:rPr>
        <w:t>gadam projekta ietvaros, un tās uzturēšanu nodrošina Rīgas Tehniskā universitāte sadarbībā ar Tallinas Tehnoloģiju universitāti. Datu bāzē ietverta arī pētniecības infrastruktūra, kas izveidota vai iegādāta ES struktūrfondu ietvaros.</w:t>
      </w:r>
    </w:p>
    <w:p w14:paraId="68827DE4" w14:textId="77777777" w:rsidR="00F942BE" w:rsidRPr="00C07278" w:rsidRDefault="00F942BE" w:rsidP="00E7642A">
      <w:pPr>
        <w:tabs>
          <w:tab w:val="left" w:pos="0"/>
        </w:tabs>
        <w:ind w:left="0"/>
        <w:rPr>
          <w:rFonts w:ascii="Times New Roman" w:hAnsi="Times New Roman"/>
          <w:sz w:val="24"/>
          <w:szCs w:val="24"/>
        </w:rPr>
      </w:pPr>
    </w:p>
    <w:p w14:paraId="54D3D61C" w14:textId="77777777" w:rsidR="0077686C" w:rsidRPr="00350F96" w:rsidRDefault="0077686C" w:rsidP="00E7642A">
      <w:pPr>
        <w:ind w:left="0"/>
        <w:rPr>
          <w:rFonts w:ascii="Times New Roman" w:hAnsi="Times New Roman"/>
          <w:lang w:eastAsia="lv-LV"/>
        </w:rPr>
      </w:pPr>
    </w:p>
    <w:p w14:paraId="5DC9E1C3" w14:textId="292D33C8" w:rsidR="0077686C" w:rsidRPr="00C07278" w:rsidRDefault="0077686C" w:rsidP="00E7642A">
      <w:pPr>
        <w:pStyle w:val="Heading1"/>
        <w:numPr>
          <w:ilvl w:val="1"/>
          <w:numId w:val="1"/>
        </w:numPr>
        <w:spacing w:before="0" w:after="120"/>
        <w:ind w:left="567" w:hanging="567"/>
        <w:jc w:val="center"/>
        <w:rPr>
          <w:rFonts w:ascii="Times New Roman" w:hAnsi="Times New Roman"/>
          <w:color w:val="auto"/>
          <w:sz w:val="24"/>
          <w:szCs w:val="24"/>
        </w:rPr>
      </w:pPr>
      <w:bookmarkStart w:id="8" w:name="_Toc458673272"/>
      <w:r w:rsidRPr="00C07278">
        <w:rPr>
          <w:rFonts w:ascii="Times New Roman" w:hAnsi="Times New Roman"/>
          <w:color w:val="auto"/>
          <w:sz w:val="24"/>
          <w:szCs w:val="24"/>
        </w:rPr>
        <w:t>ES struktūrfondu ieguldījumi 2004.</w:t>
      </w:r>
      <w:r w:rsidR="00566937">
        <w:rPr>
          <w:color w:val="auto"/>
        </w:rPr>
        <w:t>–</w:t>
      </w:r>
      <w:r w:rsidRPr="00C07278">
        <w:rPr>
          <w:rFonts w:ascii="Times New Roman" w:hAnsi="Times New Roman"/>
          <w:color w:val="auto"/>
          <w:sz w:val="24"/>
          <w:szCs w:val="24"/>
        </w:rPr>
        <w:t>2006.</w:t>
      </w:r>
      <w:r w:rsidR="00A270F0">
        <w:rPr>
          <w:rFonts w:ascii="Times New Roman" w:hAnsi="Times New Roman"/>
          <w:color w:val="auto"/>
          <w:sz w:val="24"/>
          <w:szCs w:val="24"/>
        </w:rPr>
        <w:t xml:space="preserve"> </w:t>
      </w:r>
      <w:r w:rsidRPr="00C07278">
        <w:rPr>
          <w:rFonts w:ascii="Times New Roman" w:hAnsi="Times New Roman"/>
          <w:color w:val="auto"/>
          <w:sz w:val="24"/>
          <w:szCs w:val="24"/>
        </w:rPr>
        <w:t>gada plānošanas periodā pētniecības un attīstības infrastruktūras modernizēšanai</w:t>
      </w:r>
      <w:bookmarkEnd w:id="8"/>
    </w:p>
    <w:p w14:paraId="24E6DDC4" w14:textId="758452AA" w:rsidR="00227DC7" w:rsidRPr="00C07278" w:rsidRDefault="003523F8" w:rsidP="00E7642A">
      <w:pPr>
        <w:pStyle w:val="Header"/>
        <w:tabs>
          <w:tab w:val="clear" w:pos="4320"/>
          <w:tab w:val="center" w:pos="0"/>
        </w:tabs>
        <w:spacing w:after="0" w:line="240" w:lineRule="auto"/>
        <w:ind w:firstLine="567"/>
        <w:jc w:val="both"/>
        <w:rPr>
          <w:rFonts w:ascii="Times New Roman" w:hAnsi="Times New Roman"/>
          <w:sz w:val="24"/>
          <w:szCs w:val="24"/>
          <w:lang w:val="lv-LV"/>
        </w:rPr>
      </w:pPr>
      <w:r w:rsidRPr="00C07278">
        <w:rPr>
          <w:rFonts w:ascii="Times New Roman" w:hAnsi="Times New Roman"/>
          <w:sz w:val="24"/>
          <w:szCs w:val="24"/>
          <w:lang w:val="lv-LV"/>
        </w:rPr>
        <w:t>ES struktūrfondu 2004.</w:t>
      </w:r>
      <w:r w:rsidR="00566937">
        <w:rPr>
          <w:lang w:val="lv-LV"/>
        </w:rPr>
        <w:t>–</w:t>
      </w:r>
      <w:r w:rsidRPr="00C07278">
        <w:rPr>
          <w:rFonts w:ascii="Times New Roman" w:hAnsi="Times New Roman"/>
          <w:sz w:val="24"/>
          <w:szCs w:val="24"/>
          <w:lang w:val="lv-LV"/>
        </w:rPr>
        <w:t>2006.</w:t>
      </w:r>
      <w:r w:rsidR="00EE004D">
        <w:rPr>
          <w:rFonts w:ascii="Times New Roman" w:hAnsi="Times New Roman"/>
          <w:sz w:val="24"/>
          <w:szCs w:val="24"/>
          <w:lang w:val="lv-LV"/>
        </w:rPr>
        <w:t xml:space="preserve"> </w:t>
      </w:r>
      <w:r w:rsidRPr="00C07278">
        <w:rPr>
          <w:rFonts w:ascii="Times New Roman" w:hAnsi="Times New Roman"/>
          <w:sz w:val="24"/>
          <w:szCs w:val="24"/>
          <w:lang w:val="lv-LV"/>
        </w:rPr>
        <w:t>gada plānošanas perioda 2.5.2.</w:t>
      </w:r>
      <w:r w:rsidR="00EE004D">
        <w:rPr>
          <w:rFonts w:ascii="Times New Roman" w:hAnsi="Times New Roman"/>
          <w:sz w:val="24"/>
          <w:szCs w:val="24"/>
          <w:lang w:val="lv-LV"/>
        </w:rPr>
        <w:t xml:space="preserve"> </w:t>
      </w:r>
      <w:r w:rsidRPr="00C07278">
        <w:rPr>
          <w:rFonts w:ascii="Times New Roman" w:hAnsi="Times New Roman"/>
          <w:sz w:val="24"/>
          <w:szCs w:val="24"/>
          <w:lang w:val="lv-LV"/>
        </w:rPr>
        <w:t>aktivitātes nacionālās programmas “</w:t>
      </w:r>
      <w:r w:rsidRPr="002D7733">
        <w:rPr>
          <w:rFonts w:ascii="Times New Roman" w:hAnsi="Times New Roman"/>
          <w:i/>
          <w:sz w:val="24"/>
          <w:szCs w:val="24"/>
          <w:lang w:val="lv-LV"/>
        </w:rPr>
        <w:t>Atbalsts zinātniskās infrastruktūras modernizēšanai valsts zinātniskajās institūcijas</w:t>
      </w:r>
      <w:r w:rsidRPr="00C07278">
        <w:rPr>
          <w:rFonts w:ascii="Times New Roman" w:hAnsi="Times New Roman"/>
          <w:sz w:val="24"/>
          <w:szCs w:val="24"/>
          <w:lang w:val="lv-LV"/>
        </w:rPr>
        <w:t>” ietvaros</w:t>
      </w:r>
      <w:r w:rsidR="0021297B">
        <w:rPr>
          <w:rFonts w:ascii="Times New Roman" w:hAnsi="Times New Roman"/>
          <w:sz w:val="24"/>
          <w:szCs w:val="24"/>
          <w:lang w:val="lv-LV"/>
        </w:rPr>
        <w:t xml:space="preserve"> </w:t>
      </w:r>
      <w:r w:rsidRPr="00C07278">
        <w:rPr>
          <w:rFonts w:ascii="Times New Roman" w:hAnsi="Times New Roman"/>
          <w:sz w:val="24"/>
          <w:szCs w:val="24"/>
          <w:lang w:val="lv-LV"/>
        </w:rPr>
        <w:t>atbalsts tika sniegts pētniecības aprīkojuma un infrastruktūras modernizēšanai</w:t>
      </w:r>
      <w:r w:rsidR="0021297B">
        <w:rPr>
          <w:rFonts w:ascii="Times New Roman" w:hAnsi="Times New Roman"/>
          <w:sz w:val="24"/>
          <w:szCs w:val="24"/>
          <w:lang w:val="lv-LV"/>
        </w:rPr>
        <w:t xml:space="preserve"> tajās</w:t>
      </w:r>
      <w:r w:rsidRPr="00C07278">
        <w:rPr>
          <w:rFonts w:ascii="Times New Roman" w:hAnsi="Times New Roman"/>
          <w:sz w:val="24"/>
          <w:szCs w:val="24"/>
          <w:lang w:val="lv-LV"/>
        </w:rPr>
        <w:t xml:space="preserve"> valsts zinātniskajās institūcijās,</w:t>
      </w:r>
      <w:r w:rsidR="00227DC7" w:rsidRPr="00C07278">
        <w:rPr>
          <w:rFonts w:ascii="Times New Roman" w:hAnsi="Times New Roman"/>
          <w:sz w:val="24"/>
          <w:szCs w:val="24"/>
          <w:lang w:val="lv-LV"/>
        </w:rPr>
        <w:t xml:space="preserve"> </w:t>
      </w:r>
      <w:r w:rsidR="00227DC7" w:rsidRPr="00C07278">
        <w:rPr>
          <w:rFonts w:ascii="Times New Roman" w:hAnsi="Times New Roman"/>
          <w:color w:val="000000"/>
          <w:sz w:val="24"/>
          <w:szCs w:val="24"/>
          <w:lang w:val="lv-LV" w:eastAsia="lv-LV"/>
        </w:rPr>
        <w:t>kas īsteno zinātniskos pētījumus prioritārajos zinātnes virzienos</w:t>
      </w:r>
      <w:r w:rsidR="00C078A2">
        <w:rPr>
          <w:rFonts w:ascii="Times New Roman" w:hAnsi="Times New Roman"/>
          <w:color w:val="000000"/>
          <w:sz w:val="24"/>
          <w:szCs w:val="24"/>
          <w:lang w:val="lv-LV" w:eastAsia="lv-LV"/>
        </w:rPr>
        <w:t>. Šo ieguldījumu mērķis bija</w:t>
      </w:r>
      <w:r w:rsidR="00227DC7" w:rsidRPr="00C07278">
        <w:rPr>
          <w:rFonts w:ascii="Times New Roman" w:hAnsi="Times New Roman"/>
          <w:color w:val="000000"/>
          <w:sz w:val="24"/>
          <w:szCs w:val="24"/>
          <w:lang w:val="lv-LV" w:eastAsia="lv-LV"/>
        </w:rPr>
        <w:t xml:space="preserve"> rad</w:t>
      </w:r>
      <w:r w:rsidR="00C078A2">
        <w:rPr>
          <w:rFonts w:ascii="Times New Roman" w:hAnsi="Times New Roman"/>
          <w:color w:val="000000"/>
          <w:sz w:val="24"/>
          <w:szCs w:val="24"/>
          <w:lang w:val="lv-LV" w:eastAsia="lv-LV"/>
        </w:rPr>
        <w:t>īt</w:t>
      </w:r>
      <w:r w:rsidR="00227DC7" w:rsidRPr="00C07278">
        <w:rPr>
          <w:rFonts w:ascii="Times New Roman" w:hAnsi="Times New Roman"/>
          <w:color w:val="000000"/>
          <w:sz w:val="24"/>
          <w:szCs w:val="24"/>
          <w:lang w:val="lv-LV" w:eastAsia="lv-LV"/>
        </w:rPr>
        <w:t xml:space="preserve"> vidi </w:t>
      </w:r>
      <w:r w:rsidR="000B2AD1">
        <w:rPr>
          <w:rFonts w:ascii="Times New Roman" w:hAnsi="Times New Roman"/>
          <w:color w:val="000000"/>
          <w:sz w:val="24"/>
          <w:szCs w:val="24"/>
          <w:lang w:val="lv-LV" w:eastAsia="lv-LV"/>
        </w:rPr>
        <w:t>pētniecības</w:t>
      </w:r>
      <w:r w:rsidR="00227DC7" w:rsidRPr="00C07278">
        <w:rPr>
          <w:rFonts w:ascii="Times New Roman" w:hAnsi="Times New Roman"/>
          <w:color w:val="000000"/>
          <w:sz w:val="24"/>
          <w:szCs w:val="24"/>
          <w:lang w:val="lv-LV" w:eastAsia="lv-LV"/>
        </w:rPr>
        <w:t xml:space="preserve"> rezultātu</w:t>
      </w:r>
      <w:r w:rsidR="006F48F8">
        <w:rPr>
          <w:rFonts w:ascii="Times New Roman" w:hAnsi="Times New Roman"/>
          <w:color w:val="000000"/>
          <w:sz w:val="24"/>
          <w:szCs w:val="24"/>
          <w:lang w:val="lv-LV" w:eastAsia="lv-LV"/>
        </w:rPr>
        <w:t>, tai skaitā tehnoloģiju,</w:t>
      </w:r>
      <w:r w:rsidR="00227DC7" w:rsidRPr="00C07278">
        <w:rPr>
          <w:rFonts w:ascii="Times New Roman" w:hAnsi="Times New Roman"/>
          <w:color w:val="000000"/>
          <w:sz w:val="24"/>
          <w:szCs w:val="24"/>
          <w:lang w:val="lv-LV" w:eastAsia="lv-LV"/>
        </w:rPr>
        <w:t xml:space="preserve"> pārnesei uz ražojošo sektoru un sekmēt cilvēkresursu ieplūšanu Latvijas pētniecības sektorā.</w:t>
      </w:r>
    </w:p>
    <w:p w14:paraId="47D67F92" w14:textId="4BA52F6F" w:rsidR="00DC74BA" w:rsidRPr="00C07278" w:rsidRDefault="003523F8" w:rsidP="00E7642A">
      <w:pPr>
        <w:pStyle w:val="Header"/>
        <w:tabs>
          <w:tab w:val="clear" w:pos="4320"/>
          <w:tab w:val="center" w:pos="0"/>
        </w:tabs>
        <w:spacing w:after="0" w:line="240" w:lineRule="auto"/>
        <w:ind w:firstLine="567"/>
        <w:jc w:val="both"/>
        <w:rPr>
          <w:rFonts w:ascii="Times New Roman" w:hAnsi="Times New Roman"/>
          <w:sz w:val="24"/>
          <w:szCs w:val="24"/>
          <w:lang w:val="lv-LV"/>
        </w:rPr>
      </w:pPr>
      <w:r w:rsidRPr="00C07278">
        <w:rPr>
          <w:rFonts w:ascii="Times New Roman" w:hAnsi="Times New Roman"/>
          <w:sz w:val="24"/>
          <w:szCs w:val="24"/>
          <w:lang w:val="lv-LV"/>
        </w:rPr>
        <w:t>Investīcijas ES struktūrfondu 2004.</w:t>
      </w:r>
      <w:r w:rsidR="00566937">
        <w:rPr>
          <w:lang w:val="lv-LV"/>
        </w:rPr>
        <w:t>–</w:t>
      </w:r>
      <w:r w:rsidRPr="00C07278">
        <w:rPr>
          <w:rFonts w:ascii="Times New Roman" w:hAnsi="Times New Roman"/>
          <w:sz w:val="24"/>
          <w:szCs w:val="24"/>
          <w:lang w:val="lv-LV"/>
        </w:rPr>
        <w:t>2006.</w:t>
      </w:r>
      <w:r w:rsidR="00EE004D">
        <w:rPr>
          <w:rFonts w:ascii="Times New Roman" w:hAnsi="Times New Roman"/>
          <w:sz w:val="24"/>
          <w:szCs w:val="24"/>
          <w:lang w:val="lv-LV"/>
        </w:rPr>
        <w:t xml:space="preserve"> </w:t>
      </w:r>
      <w:r w:rsidRPr="00C07278">
        <w:rPr>
          <w:rFonts w:ascii="Times New Roman" w:hAnsi="Times New Roman"/>
          <w:sz w:val="24"/>
          <w:szCs w:val="24"/>
          <w:lang w:val="lv-LV"/>
        </w:rPr>
        <w:t xml:space="preserve">gada plānošanas periodā pētnieciskās infrastruktūras modernizēšanai tika </w:t>
      </w:r>
      <w:r w:rsidR="000B2AD1">
        <w:rPr>
          <w:rFonts w:ascii="Times New Roman" w:hAnsi="Times New Roman"/>
          <w:sz w:val="24"/>
          <w:szCs w:val="24"/>
          <w:lang w:val="lv-LV"/>
        </w:rPr>
        <w:t>veiktas</w:t>
      </w:r>
      <w:r w:rsidR="000B2AD1" w:rsidRPr="00C07278">
        <w:rPr>
          <w:rFonts w:ascii="Times New Roman" w:hAnsi="Times New Roman"/>
          <w:sz w:val="24"/>
          <w:szCs w:val="24"/>
          <w:lang w:val="lv-LV"/>
        </w:rPr>
        <w:t xml:space="preserve"> </w:t>
      </w:r>
      <w:r w:rsidRPr="00C07278">
        <w:rPr>
          <w:rFonts w:ascii="Times New Roman" w:hAnsi="Times New Roman"/>
          <w:sz w:val="24"/>
          <w:szCs w:val="24"/>
          <w:lang w:val="lv-LV"/>
        </w:rPr>
        <w:t>jomās, kurās pastāv</w:t>
      </w:r>
      <w:r w:rsidR="000B2AD1">
        <w:rPr>
          <w:rFonts w:ascii="Times New Roman" w:hAnsi="Times New Roman"/>
          <w:sz w:val="24"/>
          <w:szCs w:val="24"/>
          <w:lang w:val="lv-LV"/>
        </w:rPr>
        <w:t>ēja</w:t>
      </w:r>
      <w:r w:rsidRPr="00C07278">
        <w:rPr>
          <w:rFonts w:ascii="Times New Roman" w:hAnsi="Times New Roman"/>
          <w:sz w:val="24"/>
          <w:szCs w:val="24"/>
          <w:lang w:val="lv-LV"/>
        </w:rPr>
        <w:t xml:space="preserve"> izpētes potenciāls un </w:t>
      </w:r>
      <w:r w:rsidR="000B2AD1">
        <w:rPr>
          <w:rFonts w:ascii="Times New Roman" w:hAnsi="Times New Roman"/>
          <w:sz w:val="24"/>
          <w:szCs w:val="24"/>
          <w:lang w:val="lv-LV"/>
        </w:rPr>
        <w:t xml:space="preserve">bija </w:t>
      </w:r>
      <w:r w:rsidRPr="00C07278">
        <w:rPr>
          <w:rFonts w:ascii="Times New Roman" w:hAnsi="Times New Roman"/>
          <w:sz w:val="24"/>
          <w:szCs w:val="24"/>
          <w:lang w:val="lv-LV"/>
        </w:rPr>
        <w:t xml:space="preserve">identificētas iespējas </w:t>
      </w:r>
      <w:r w:rsidR="000B2AD1">
        <w:rPr>
          <w:rFonts w:ascii="Times New Roman" w:hAnsi="Times New Roman"/>
          <w:sz w:val="24"/>
          <w:szCs w:val="24"/>
          <w:lang w:val="lv-LV"/>
        </w:rPr>
        <w:t>pētniecības un</w:t>
      </w:r>
      <w:r w:rsidR="00DC74BA" w:rsidRPr="00C07278">
        <w:rPr>
          <w:rFonts w:ascii="Times New Roman" w:hAnsi="Times New Roman"/>
          <w:sz w:val="24"/>
          <w:szCs w:val="24"/>
          <w:lang w:val="lv-LV"/>
        </w:rPr>
        <w:t xml:space="preserve"> uzņēmējdarbības sektoru</w:t>
      </w:r>
      <w:r w:rsidR="000B2AD1">
        <w:rPr>
          <w:rFonts w:ascii="Times New Roman" w:hAnsi="Times New Roman"/>
          <w:sz w:val="24"/>
          <w:szCs w:val="24"/>
          <w:lang w:val="lv-LV"/>
        </w:rPr>
        <w:t xml:space="preserve"> sadarbībai</w:t>
      </w:r>
      <w:r w:rsidR="00DC74BA" w:rsidRPr="00C07278">
        <w:rPr>
          <w:rFonts w:ascii="Times New Roman" w:hAnsi="Times New Roman"/>
          <w:sz w:val="24"/>
          <w:szCs w:val="24"/>
          <w:lang w:val="lv-LV"/>
        </w:rPr>
        <w:t>:</w:t>
      </w:r>
    </w:p>
    <w:p w14:paraId="0AE8D5F0" w14:textId="77777777" w:rsidR="00DC74BA" w:rsidRPr="00C07278" w:rsidRDefault="006F48F8" w:rsidP="00E7642A">
      <w:pPr>
        <w:pStyle w:val="Header"/>
        <w:numPr>
          <w:ilvl w:val="0"/>
          <w:numId w:val="6"/>
        </w:numPr>
        <w:tabs>
          <w:tab w:val="clear" w:pos="4320"/>
          <w:tab w:val="center" w:pos="0"/>
        </w:tabs>
        <w:spacing w:after="0" w:line="240" w:lineRule="auto"/>
        <w:ind w:left="993" w:hanging="426"/>
        <w:jc w:val="both"/>
        <w:rPr>
          <w:rFonts w:ascii="Times New Roman" w:hAnsi="Times New Roman"/>
          <w:sz w:val="24"/>
          <w:szCs w:val="24"/>
          <w:lang w:val="lv-LV"/>
        </w:rPr>
      </w:pPr>
      <w:r>
        <w:rPr>
          <w:rFonts w:ascii="Times New Roman" w:hAnsi="Times New Roman"/>
          <w:sz w:val="24"/>
          <w:szCs w:val="24"/>
          <w:lang w:val="lv-LV"/>
        </w:rPr>
        <w:t>m</w:t>
      </w:r>
      <w:r w:rsidRPr="00C07278">
        <w:rPr>
          <w:rFonts w:ascii="Times New Roman" w:hAnsi="Times New Roman"/>
          <w:sz w:val="24"/>
          <w:szCs w:val="24"/>
          <w:lang w:val="lv-LV"/>
        </w:rPr>
        <w:t>ateriālzinātne</w:t>
      </w:r>
      <w:r>
        <w:rPr>
          <w:rFonts w:ascii="Times New Roman" w:hAnsi="Times New Roman"/>
          <w:sz w:val="24"/>
          <w:szCs w:val="24"/>
          <w:lang w:val="lv-LV"/>
        </w:rPr>
        <w:t xml:space="preserve"> </w:t>
      </w:r>
      <w:r w:rsidR="000B2AD1">
        <w:rPr>
          <w:rFonts w:ascii="Times New Roman" w:hAnsi="Times New Roman"/>
          <w:sz w:val="24"/>
          <w:szCs w:val="24"/>
          <w:lang w:val="lv-LV"/>
        </w:rPr>
        <w:t>(</w:t>
      </w:r>
      <w:r w:rsidR="009B19DD" w:rsidRPr="00C07278">
        <w:rPr>
          <w:rFonts w:ascii="Times New Roman" w:hAnsi="Times New Roman"/>
          <w:sz w:val="24"/>
          <w:szCs w:val="24"/>
          <w:lang w:val="lv-LV"/>
        </w:rPr>
        <w:t>8 projekti</w:t>
      </w:r>
      <w:r w:rsidR="000B2AD1">
        <w:rPr>
          <w:rFonts w:ascii="Times New Roman" w:hAnsi="Times New Roman"/>
          <w:sz w:val="24"/>
          <w:szCs w:val="24"/>
          <w:lang w:val="lv-LV"/>
        </w:rPr>
        <w:t>)</w:t>
      </w:r>
      <w:r w:rsidR="00161C0B" w:rsidRPr="00C07278">
        <w:rPr>
          <w:rFonts w:ascii="Times New Roman" w:hAnsi="Times New Roman"/>
          <w:sz w:val="24"/>
          <w:szCs w:val="24"/>
          <w:lang w:val="lv-LV"/>
        </w:rPr>
        <w:t>;</w:t>
      </w:r>
      <w:r w:rsidR="003523F8" w:rsidRPr="00C07278">
        <w:rPr>
          <w:rFonts w:ascii="Times New Roman" w:hAnsi="Times New Roman"/>
          <w:sz w:val="24"/>
          <w:szCs w:val="24"/>
          <w:lang w:val="lv-LV"/>
        </w:rPr>
        <w:t xml:space="preserve"> </w:t>
      </w:r>
    </w:p>
    <w:p w14:paraId="2164201F" w14:textId="77777777" w:rsidR="00DC74BA" w:rsidRPr="00C07278" w:rsidRDefault="003523F8" w:rsidP="00E7642A">
      <w:pPr>
        <w:pStyle w:val="Header"/>
        <w:numPr>
          <w:ilvl w:val="0"/>
          <w:numId w:val="6"/>
        </w:numPr>
        <w:tabs>
          <w:tab w:val="clear" w:pos="4320"/>
          <w:tab w:val="center" w:pos="0"/>
        </w:tabs>
        <w:spacing w:after="0" w:line="240" w:lineRule="auto"/>
        <w:ind w:left="993" w:hanging="426"/>
        <w:jc w:val="both"/>
        <w:rPr>
          <w:rFonts w:ascii="Times New Roman" w:hAnsi="Times New Roman"/>
          <w:sz w:val="24"/>
          <w:szCs w:val="24"/>
          <w:lang w:val="lv-LV"/>
        </w:rPr>
      </w:pPr>
      <w:r w:rsidRPr="00C07278">
        <w:rPr>
          <w:rFonts w:ascii="Times New Roman" w:hAnsi="Times New Roman"/>
          <w:sz w:val="24"/>
          <w:szCs w:val="24"/>
          <w:lang w:val="lv-LV"/>
        </w:rPr>
        <w:t>o</w:t>
      </w:r>
      <w:r w:rsidR="00161C0B" w:rsidRPr="00C07278">
        <w:rPr>
          <w:rFonts w:ascii="Times New Roman" w:hAnsi="Times New Roman"/>
          <w:sz w:val="24"/>
          <w:szCs w:val="24"/>
          <w:lang w:val="lv-LV"/>
        </w:rPr>
        <w:t>rganiskā sintēze un biomedicīna</w:t>
      </w:r>
      <w:r w:rsidR="009B19DD" w:rsidRPr="00C07278">
        <w:rPr>
          <w:rFonts w:ascii="Times New Roman" w:hAnsi="Times New Roman"/>
          <w:sz w:val="24"/>
          <w:szCs w:val="24"/>
          <w:lang w:val="lv-LV"/>
        </w:rPr>
        <w:t xml:space="preserve"> </w:t>
      </w:r>
      <w:r w:rsidR="000B2AD1">
        <w:rPr>
          <w:rFonts w:ascii="Times New Roman" w:hAnsi="Times New Roman"/>
          <w:sz w:val="24"/>
          <w:szCs w:val="24"/>
          <w:lang w:val="lv-LV"/>
        </w:rPr>
        <w:t>(</w:t>
      </w:r>
      <w:r w:rsidR="009B19DD" w:rsidRPr="00C07278">
        <w:rPr>
          <w:rFonts w:ascii="Times New Roman" w:hAnsi="Times New Roman"/>
          <w:sz w:val="24"/>
          <w:szCs w:val="24"/>
          <w:lang w:val="lv-LV"/>
        </w:rPr>
        <w:t>10 projekti</w:t>
      </w:r>
      <w:r w:rsidR="000B2AD1">
        <w:rPr>
          <w:rFonts w:ascii="Times New Roman" w:hAnsi="Times New Roman"/>
          <w:sz w:val="24"/>
          <w:szCs w:val="24"/>
          <w:lang w:val="lv-LV"/>
        </w:rPr>
        <w:t>)</w:t>
      </w:r>
      <w:r w:rsidR="00161C0B" w:rsidRPr="00C07278">
        <w:rPr>
          <w:rFonts w:ascii="Times New Roman" w:hAnsi="Times New Roman"/>
          <w:sz w:val="24"/>
          <w:szCs w:val="24"/>
          <w:lang w:val="lv-LV"/>
        </w:rPr>
        <w:t>;</w:t>
      </w:r>
    </w:p>
    <w:p w14:paraId="19310720" w14:textId="77777777" w:rsidR="00DC74BA" w:rsidRPr="00C07278" w:rsidRDefault="003523F8" w:rsidP="00E7642A">
      <w:pPr>
        <w:pStyle w:val="Header"/>
        <w:numPr>
          <w:ilvl w:val="0"/>
          <w:numId w:val="6"/>
        </w:numPr>
        <w:tabs>
          <w:tab w:val="clear" w:pos="4320"/>
          <w:tab w:val="center" w:pos="0"/>
        </w:tabs>
        <w:spacing w:after="0" w:line="240" w:lineRule="auto"/>
        <w:ind w:left="993" w:hanging="426"/>
        <w:jc w:val="both"/>
        <w:rPr>
          <w:rFonts w:ascii="Times New Roman" w:hAnsi="Times New Roman"/>
          <w:sz w:val="24"/>
          <w:szCs w:val="24"/>
          <w:lang w:val="lv-LV"/>
        </w:rPr>
      </w:pPr>
      <w:r w:rsidRPr="00C07278">
        <w:rPr>
          <w:rFonts w:ascii="Times New Roman" w:hAnsi="Times New Roman"/>
          <w:sz w:val="24"/>
          <w:szCs w:val="24"/>
          <w:lang w:val="lv-LV"/>
        </w:rPr>
        <w:t>koksnes pārstr</w:t>
      </w:r>
      <w:r w:rsidR="00161C0B" w:rsidRPr="00C07278">
        <w:rPr>
          <w:rFonts w:ascii="Times New Roman" w:hAnsi="Times New Roman"/>
          <w:sz w:val="24"/>
          <w:szCs w:val="24"/>
          <w:lang w:val="lv-LV"/>
        </w:rPr>
        <w:t>ādes tehnoloģijas un mežzinātne</w:t>
      </w:r>
      <w:r w:rsidR="009B19DD" w:rsidRPr="00C07278">
        <w:rPr>
          <w:rFonts w:ascii="Times New Roman" w:hAnsi="Times New Roman"/>
          <w:sz w:val="24"/>
          <w:szCs w:val="24"/>
          <w:lang w:val="lv-LV"/>
        </w:rPr>
        <w:t xml:space="preserve"> </w:t>
      </w:r>
      <w:r w:rsidR="000B2AD1">
        <w:rPr>
          <w:rFonts w:ascii="Times New Roman" w:hAnsi="Times New Roman"/>
          <w:sz w:val="24"/>
          <w:szCs w:val="24"/>
          <w:lang w:val="lv-LV"/>
        </w:rPr>
        <w:t>(</w:t>
      </w:r>
      <w:r w:rsidR="009B19DD" w:rsidRPr="00C07278">
        <w:rPr>
          <w:rFonts w:ascii="Times New Roman" w:hAnsi="Times New Roman"/>
          <w:sz w:val="24"/>
          <w:szCs w:val="24"/>
          <w:lang w:val="lv-LV"/>
        </w:rPr>
        <w:t>5 projekti</w:t>
      </w:r>
      <w:r w:rsidR="000B2AD1">
        <w:rPr>
          <w:rFonts w:ascii="Times New Roman" w:hAnsi="Times New Roman"/>
          <w:sz w:val="24"/>
          <w:szCs w:val="24"/>
          <w:lang w:val="lv-LV"/>
        </w:rPr>
        <w:t>)</w:t>
      </w:r>
      <w:r w:rsidR="00161C0B" w:rsidRPr="00C07278">
        <w:rPr>
          <w:rFonts w:ascii="Times New Roman" w:hAnsi="Times New Roman"/>
          <w:sz w:val="24"/>
          <w:szCs w:val="24"/>
          <w:lang w:val="lv-LV"/>
        </w:rPr>
        <w:t>;</w:t>
      </w:r>
    </w:p>
    <w:p w14:paraId="08EB2381" w14:textId="77777777" w:rsidR="00DC74BA" w:rsidRPr="00C07278" w:rsidRDefault="003523F8" w:rsidP="00E7642A">
      <w:pPr>
        <w:pStyle w:val="Header"/>
        <w:numPr>
          <w:ilvl w:val="0"/>
          <w:numId w:val="6"/>
        </w:numPr>
        <w:tabs>
          <w:tab w:val="clear" w:pos="4320"/>
          <w:tab w:val="center" w:pos="0"/>
        </w:tabs>
        <w:spacing w:after="0" w:line="240" w:lineRule="auto"/>
        <w:ind w:left="993" w:hanging="426"/>
        <w:jc w:val="both"/>
        <w:rPr>
          <w:rFonts w:ascii="Times New Roman" w:hAnsi="Times New Roman"/>
          <w:sz w:val="24"/>
          <w:szCs w:val="24"/>
          <w:lang w:val="lv-LV"/>
        </w:rPr>
      </w:pPr>
      <w:r w:rsidRPr="00C07278">
        <w:rPr>
          <w:rFonts w:ascii="Times New Roman" w:hAnsi="Times New Roman"/>
          <w:sz w:val="24"/>
          <w:szCs w:val="24"/>
          <w:lang w:val="lv-LV"/>
        </w:rPr>
        <w:t>inženierzinātnes</w:t>
      </w:r>
      <w:r w:rsidR="009B19DD" w:rsidRPr="00C07278">
        <w:rPr>
          <w:rFonts w:ascii="Times New Roman" w:hAnsi="Times New Roman"/>
          <w:sz w:val="24"/>
          <w:szCs w:val="24"/>
          <w:lang w:val="lv-LV"/>
        </w:rPr>
        <w:t xml:space="preserve"> (</w:t>
      </w:r>
      <w:r w:rsidR="00161C0B" w:rsidRPr="00C07278">
        <w:rPr>
          <w:rFonts w:ascii="Times New Roman" w:hAnsi="Times New Roman"/>
          <w:sz w:val="24"/>
          <w:szCs w:val="24"/>
          <w:lang w:val="lv-LV"/>
        </w:rPr>
        <w:t>enerģētika</w:t>
      </w:r>
      <w:r w:rsidR="009B19DD" w:rsidRPr="00C07278">
        <w:rPr>
          <w:rFonts w:ascii="Times New Roman" w:hAnsi="Times New Roman"/>
          <w:sz w:val="24"/>
          <w:szCs w:val="24"/>
          <w:lang w:val="lv-LV"/>
        </w:rPr>
        <w:t xml:space="preserve"> un mehānika) </w:t>
      </w:r>
      <w:r w:rsidR="000B2AD1">
        <w:rPr>
          <w:rFonts w:ascii="Times New Roman" w:hAnsi="Times New Roman"/>
          <w:sz w:val="24"/>
          <w:szCs w:val="24"/>
          <w:lang w:val="lv-LV"/>
        </w:rPr>
        <w:t>(</w:t>
      </w:r>
      <w:r w:rsidR="009B19DD" w:rsidRPr="00C07278">
        <w:rPr>
          <w:rFonts w:ascii="Times New Roman" w:hAnsi="Times New Roman"/>
          <w:sz w:val="24"/>
          <w:szCs w:val="24"/>
          <w:lang w:val="lv-LV"/>
        </w:rPr>
        <w:t>5 projekti</w:t>
      </w:r>
      <w:r w:rsidR="000B2AD1">
        <w:rPr>
          <w:rFonts w:ascii="Times New Roman" w:hAnsi="Times New Roman"/>
          <w:sz w:val="24"/>
          <w:szCs w:val="24"/>
          <w:lang w:val="lv-LV"/>
        </w:rPr>
        <w:t>)</w:t>
      </w:r>
      <w:r w:rsidR="00161C0B" w:rsidRPr="00C07278">
        <w:rPr>
          <w:rFonts w:ascii="Times New Roman" w:hAnsi="Times New Roman"/>
          <w:sz w:val="24"/>
          <w:szCs w:val="24"/>
          <w:lang w:val="lv-LV"/>
        </w:rPr>
        <w:t>;</w:t>
      </w:r>
    </w:p>
    <w:p w14:paraId="3FBDCD47" w14:textId="77777777" w:rsidR="00DC74BA" w:rsidRPr="00C07278" w:rsidRDefault="00161C0B" w:rsidP="00E7642A">
      <w:pPr>
        <w:pStyle w:val="Header"/>
        <w:numPr>
          <w:ilvl w:val="0"/>
          <w:numId w:val="6"/>
        </w:numPr>
        <w:tabs>
          <w:tab w:val="clear" w:pos="4320"/>
          <w:tab w:val="center" w:pos="0"/>
        </w:tabs>
        <w:spacing w:after="0" w:line="240" w:lineRule="auto"/>
        <w:ind w:left="993" w:hanging="426"/>
        <w:jc w:val="both"/>
        <w:rPr>
          <w:rFonts w:ascii="Times New Roman" w:hAnsi="Times New Roman"/>
          <w:sz w:val="24"/>
          <w:szCs w:val="24"/>
          <w:lang w:val="lv-LV"/>
        </w:rPr>
      </w:pPr>
      <w:r w:rsidRPr="00C07278">
        <w:rPr>
          <w:rFonts w:ascii="Times New Roman" w:hAnsi="Times New Roman"/>
          <w:sz w:val="24"/>
          <w:szCs w:val="24"/>
          <w:lang w:val="lv-LV"/>
        </w:rPr>
        <w:t>informācijas tehnoloģijas</w:t>
      </w:r>
      <w:r w:rsidR="009B19DD" w:rsidRPr="00C07278">
        <w:rPr>
          <w:rFonts w:ascii="Times New Roman" w:hAnsi="Times New Roman"/>
          <w:sz w:val="24"/>
          <w:szCs w:val="24"/>
          <w:lang w:val="lv-LV"/>
        </w:rPr>
        <w:t xml:space="preserve"> </w:t>
      </w:r>
      <w:r w:rsidR="000B2AD1">
        <w:rPr>
          <w:rFonts w:ascii="Times New Roman" w:hAnsi="Times New Roman"/>
          <w:sz w:val="24"/>
          <w:szCs w:val="24"/>
          <w:lang w:val="lv-LV"/>
        </w:rPr>
        <w:t>(</w:t>
      </w:r>
      <w:r w:rsidR="009B19DD" w:rsidRPr="00C07278">
        <w:rPr>
          <w:rFonts w:ascii="Times New Roman" w:hAnsi="Times New Roman"/>
          <w:sz w:val="24"/>
          <w:szCs w:val="24"/>
          <w:lang w:val="lv-LV"/>
        </w:rPr>
        <w:t>6 projekti</w:t>
      </w:r>
      <w:r w:rsidR="000B2AD1">
        <w:rPr>
          <w:rFonts w:ascii="Times New Roman" w:hAnsi="Times New Roman"/>
          <w:sz w:val="24"/>
          <w:szCs w:val="24"/>
          <w:lang w:val="lv-LV"/>
        </w:rPr>
        <w:t>)</w:t>
      </w:r>
      <w:r w:rsidRPr="00C07278">
        <w:rPr>
          <w:rFonts w:ascii="Times New Roman" w:hAnsi="Times New Roman"/>
          <w:sz w:val="24"/>
          <w:szCs w:val="24"/>
          <w:lang w:val="lv-LV"/>
        </w:rPr>
        <w:t>;</w:t>
      </w:r>
    </w:p>
    <w:p w14:paraId="6F78E638" w14:textId="77777777" w:rsidR="00DC74BA" w:rsidRPr="00C07278" w:rsidRDefault="00161C0B" w:rsidP="00E7642A">
      <w:pPr>
        <w:pStyle w:val="Header"/>
        <w:numPr>
          <w:ilvl w:val="0"/>
          <w:numId w:val="6"/>
        </w:numPr>
        <w:tabs>
          <w:tab w:val="clear" w:pos="4320"/>
          <w:tab w:val="center" w:pos="0"/>
        </w:tabs>
        <w:spacing w:after="0" w:line="240" w:lineRule="auto"/>
        <w:ind w:left="993" w:hanging="426"/>
        <w:jc w:val="both"/>
        <w:rPr>
          <w:rFonts w:ascii="Times New Roman" w:hAnsi="Times New Roman"/>
          <w:sz w:val="24"/>
          <w:szCs w:val="24"/>
          <w:lang w:val="lv-LV"/>
        </w:rPr>
      </w:pPr>
      <w:r w:rsidRPr="00C07278">
        <w:rPr>
          <w:rFonts w:ascii="Times New Roman" w:hAnsi="Times New Roman"/>
          <w:sz w:val="24"/>
          <w:szCs w:val="24"/>
          <w:lang w:val="lv-LV"/>
        </w:rPr>
        <w:t>astronomija</w:t>
      </w:r>
      <w:r w:rsidR="009B19DD" w:rsidRPr="00C07278">
        <w:rPr>
          <w:rFonts w:ascii="Times New Roman" w:hAnsi="Times New Roman"/>
          <w:sz w:val="24"/>
          <w:szCs w:val="24"/>
          <w:lang w:val="lv-LV"/>
        </w:rPr>
        <w:t xml:space="preserve"> </w:t>
      </w:r>
      <w:r w:rsidR="000B2AD1">
        <w:rPr>
          <w:rFonts w:ascii="Times New Roman" w:hAnsi="Times New Roman"/>
          <w:sz w:val="24"/>
          <w:szCs w:val="24"/>
          <w:lang w:val="lv-LV"/>
        </w:rPr>
        <w:t>(</w:t>
      </w:r>
      <w:r w:rsidR="009B19DD" w:rsidRPr="00C07278">
        <w:rPr>
          <w:rFonts w:ascii="Times New Roman" w:hAnsi="Times New Roman"/>
          <w:sz w:val="24"/>
          <w:szCs w:val="24"/>
          <w:lang w:val="lv-LV"/>
        </w:rPr>
        <w:t>3 projekti</w:t>
      </w:r>
      <w:r w:rsidR="000B2AD1">
        <w:rPr>
          <w:rFonts w:ascii="Times New Roman" w:hAnsi="Times New Roman"/>
          <w:sz w:val="24"/>
          <w:szCs w:val="24"/>
          <w:lang w:val="lv-LV"/>
        </w:rPr>
        <w:t>)</w:t>
      </w:r>
      <w:r w:rsidRPr="00C07278">
        <w:rPr>
          <w:rFonts w:ascii="Times New Roman" w:hAnsi="Times New Roman"/>
          <w:sz w:val="24"/>
          <w:szCs w:val="24"/>
          <w:lang w:val="lv-LV"/>
        </w:rPr>
        <w:t>;</w:t>
      </w:r>
    </w:p>
    <w:p w14:paraId="0C24F2D9" w14:textId="77777777" w:rsidR="003523F8" w:rsidRPr="00C07278" w:rsidRDefault="003523F8" w:rsidP="00E7642A">
      <w:pPr>
        <w:pStyle w:val="Header"/>
        <w:numPr>
          <w:ilvl w:val="0"/>
          <w:numId w:val="6"/>
        </w:numPr>
        <w:tabs>
          <w:tab w:val="clear" w:pos="4320"/>
          <w:tab w:val="center" w:pos="0"/>
        </w:tabs>
        <w:spacing w:after="0" w:line="240" w:lineRule="auto"/>
        <w:ind w:left="993" w:hanging="426"/>
        <w:jc w:val="both"/>
        <w:rPr>
          <w:rFonts w:ascii="Times New Roman" w:hAnsi="Times New Roman"/>
          <w:sz w:val="24"/>
          <w:szCs w:val="24"/>
          <w:lang w:val="lv-LV"/>
        </w:rPr>
      </w:pPr>
      <w:r w:rsidRPr="00C07278">
        <w:rPr>
          <w:rFonts w:ascii="Times New Roman" w:hAnsi="Times New Roman"/>
          <w:sz w:val="24"/>
          <w:szCs w:val="24"/>
          <w:lang w:val="lv-LV"/>
        </w:rPr>
        <w:t xml:space="preserve">vides </w:t>
      </w:r>
      <w:r w:rsidR="000B5669" w:rsidRPr="00C07278">
        <w:rPr>
          <w:rFonts w:ascii="Times New Roman" w:hAnsi="Times New Roman"/>
          <w:sz w:val="24"/>
          <w:szCs w:val="24"/>
          <w:lang w:val="lv-LV"/>
        </w:rPr>
        <w:t>zinātnes, bioloģija un ekoloģija</w:t>
      </w:r>
      <w:r w:rsidR="009B19DD" w:rsidRPr="00C07278">
        <w:rPr>
          <w:rFonts w:ascii="Times New Roman" w:hAnsi="Times New Roman"/>
          <w:sz w:val="24"/>
          <w:szCs w:val="24"/>
          <w:lang w:val="lv-LV"/>
        </w:rPr>
        <w:t xml:space="preserve"> </w:t>
      </w:r>
      <w:r w:rsidR="000B2AD1">
        <w:rPr>
          <w:rFonts w:ascii="Times New Roman" w:hAnsi="Times New Roman"/>
          <w:sz w:val="24"/>
          <w:szCs w:val="24"/>
          <w:lang w:val="lv-LV"/>
        </w:rPr>
        <w:t>(</w:t>
      </w:r>
      <w:r w:rsidR="009B19DD" w:rsidRPr="00C07278">
        <w:rPr>
          <w:rFonts w:ascii="Times New Roman" w:hAnsi="Times New Roman"/>
          <w:sz w:val="24"/>
          <w:szCs w:val="24"/>
          <w:lang w:val="lv-LV"/>
        </w:rPr>
        <w:t>6 projekti</w:t>
      </w:r>
      <w:r w:rsidR="000B2AD1">
        <w:rPr>
          <w:rFonts w:ascii="Times New Roman" w:hAnsi="Times New Roman"/>
          <w:sz w:val="24"/>
          <w:szCs w:val="24"/>
          <w:lang w:val="lv-LV"/>
        </w:rPr>
        <w:t>)</w:t>
      </w:r>
      <w:r w:rsidRPr="00C07278">
        <w:rPr>
          <w:rFonts w:ascii="Times New Roman" w:hAnsi="Times New Roman"/>
          <w:sz w:val="24"/>
          <w:szCs w:val="24"/>
          <w:lang w:val="lv-LV"/>
        </w:rPr>
        <w:t>.</w:t>
      </w:r>
    </w:p>
    <w:p w14:paraId="00853618" w14:textId="77777777" w:rsidR="00FD1EA8" w:rsidRDefault="00B65A2C" w:rsidP="00E7642A">
      <w:pPr>
        <w:pStyle w:val="Header"/>
        <w:tabs>
          <w:tab w:val="clear" w:pos="4320"/>
          <w:tab w:val="center" w:pos="0"/>
        </w:tabs>
        <w:spacing w:before="120"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Kopējais </w:t>
      </w:r>
      <w:r w:rsidR="00FD1EA8">
        <w:rPr>
          <w:rFonts w:ascii="Times New Roman" w:hAnsi="Times New Roman"/>
          <w:sz w:val="24"/>
          <w:szCs w:val="24"/>
          <w:lang w:val="lv-LV"/>
        </w:rPr>
        <w:t>2.5.2. </w:t>
      </w:r>
      <w:r>
        <w:rPr>
          <w:rFonts w:ascii="Times New Roman" w:hAnsi="Times New Roman"/>
          <w:sz w:val="24"/>
          <w:szCs w:val="24"/>
          <w:lang w:val="lv-LV"/>
        </w:rPr>
        <w:t>a</w:t>
      </w:r>
      <w:r w:rsidR="009B19DD" w:rsidRPr="00933739">
        <w:rPr>
          <w:rFonts w:ascii="Times New Roman" w:hAnsi="Times New Roman"/>
          <w:sz w:val="24"/>
          <w:szCs w:val="24"/>
          <w:lang w:val="lv-LV"/>
        </w:rPr>
        <w:t>ktivitāte</w:t>
      </w:r>
      <w:r w:rsidR="008B58AB">
        <w:rPr>
          <w:rFonts w:ascii="Times New Roman" w:hAnsi="Times New Roman"/>
          <w:sz w:val="24"/>
          <w:szCs w:val="24"/>
          <w:lang w:val="lv-LV"/>
        </w:rPr>
        <w:t>s</w:t>
      </w:r>
      <w:r w:rsidR="009B19DD" w:rsidRPr="00933739">
        <w:rPr>
          <w:rFonts w:ascii="Times New Roman" w:hAnsi="Times New Roman"/>
          <w:sz w:val="24"/>
          <w:szCs w:val="24"/>
          <w:lang w:val="lv-LV"/>
        </w:rPr>
        <w:t xml:space="preserve"> finansējums bija 36</w:t>
      </w:r>
      <w:r w:rsidR="00370786" w:rsidRPr="00933739">
        <w:rPr>
          <w:rFonts w:ascii="Times New Roman" w:hAnsi="Times New Roman"/>
          <w:sz w:val="24"/>
          <w:szCs w:val="24"/>
          <w:lang w:val="lv-LV"/>
        </w:rPr>
        <w:t>,</w:t>
      </w:r>
      <w:r w:rsidR="009B19DD" w:rsidRPr="00933739">
        <w:rPr>
          <w:rFonts w:ascii="Times New Roman" w:hAnsi="Times New Roman"/>
          <w:sz w:val="24"/>
          <w:szCs w:val="24"/>
          <w:lang w:val="lv-LV"/>
        </w:rPr>
        <w:t>08</w:t>
      </w:r>
      <w:r w:rsidR="00370786" w:rsidRPr="00933739">
        <w:rPr>
          <w:rFonts w:ascii="Times New Roman" w:hAnsi="Times New Roman"/>
          <w:sz w:val="24"/>
          <w:szCs w:val="24"/>
          <w:lang w:val="lv-LV"/>
        </w:rPr>
        <w:t xml:space="preserve"> milj. </w:t>
      </w:r>
      <w:r w:rsidR="009B19DD" w:rsidRPr="00933739">
        <w:rPr>
          <w:rFonts w:ascii="Times New Roman" w:hAnsi="Times New Roman"/>
          <w:i/>
          <w:sz w:val="24"/>
          <w:szCs w:val="24"/>
          <w:lang w:val="lv-LV"/>
        </w:rPr>
        <w:t>euro</w:t>
      </w:r>
      <w:r w:rsidR="009B19DD" w:rsidRPr="00933739">
        <w:rPr>
          <w:rFonts w:ascii="Times New Roman" w:hAnsi="Times New Roman"/>
          <w:sz w:val="24"/>
          <w:szCs w:val="24"/>
          <w:lang w:val="lv-LV"/>
        </w:rPr>
        <w:t>, tai skaitā ERAF finansējums 27</w:t>
      </w:r>
      <w:r w:rsidR="00370786" w:rsidRPr="00933739">
        <w:rPr>
          <w:rFonts w:ascii="Times New Roman" w:hAnsi="Times New Roman"/>
          <w:sz w:val="24"/>
          <w:szCs w:val="24"/>
          <w:lang w:val="lv-LV"/>
        </w:rPr>
        <w:t>,</w:t>
      </w:r>
      <w:r w:rsidR="009B19DD" w:rsidRPr="00933739">
        <w:rPr>
          <w:rFonts w:ascii="Times New Roman" w:hAnsi="Times New Roman"/>
          <w:sz w:val="24"/>
          <w:szCs w:val="24"/>
          <w:lang w:val="lv-LV"/>
        </w:rPr>
        <w:t>01</w:t>
      </w:r>
      <w:r w:rsidR="00370786" w:rsidRPr="00933739">
        <w:rPr>
          <w:rFonts w:ascii="Times New Roman" w:hAnsi="Times New Roman"/>
          <w:sz w:val="24"/>
          <w:szCs w:val="24"/>
          <w:lang w:val="lv-LV"/>
        </w:rPr>
        <w:t xml:space="preserve"> milj. </w:t>
      </w:r>
      <w:r w:rsidR="009B19DD" w:rsidRPr="00933739">
        <w:rPr>
          <w:rFonts w:ascii="Times New Roman" w:hAnsi="Times New Roman"/>
          <w:i/>
          <w:sz w:val="24"/>
          <w:szCs w:val="24"/>
          <w:lang w:val="lv-LV"/>
        </w:rPr>
        <w:t>euro</w:t>
      </w:r>
      <w:r w:rsidR="00370786" w:rsidRPr="00933739">
        <w:rPr>
          <w:rFonts w:ascii="Times New Roman" w:hAnsi="Times New Roman"/>
          <w:sz w:val="24"/>
          <w:szCs w:val="24"/>
          <w:lang w:val="lv-LV"/>
        </w:rPr>
        <w:t xml:space="preserve">. </w:t>
      </w:r>
      <w:r w:rsidR="009B19DD" w:rsidRPr="00933739">
        <w:rPr>
          <w:rFonts w:ascii="Times New Roman" w:hAnsi="Times New Roman"/>
          <w:sz w:val="24"/>
          <w:szCs w:val="24"/>
          <w:lang w:val="lv-LV"/>
        </w:rPr>
        <w:t xml:space="preserve">Maksimāli pieļaujamais ERAF finansējuma apmērs </w:t>
      </w:r>
      <w:r w:rsidR="008B58AB">
        <w:rPr>
          <w:rFonts w:ascii="Times New Roman" w:hAnsi="Times New Roman"/>
          <w:sz w:val="24"/>
          <w:szCs w:val="24"/>
          <w:lang w:val="lv-LV"/>
        </w:rPr>
        <w:t xml:space="preserve">bija </w:t>
      </w:r>
      <w:r w:rsidR="009B19DD" w:rsidRPr="00933739">
        <w:rPr>
          <w:rFonts w:ascii="Times New Roman" w:hAnsi="Times New Roman"/>
          <w:sz w:val="24"/>
          <w:szCs w:val="24"/>
          <w:lang w:val="lv-LV"/>
        </w:rPr>
        <w:t xml:space="preserve">75 </w:t>
      </w:r>
      <w:r w:rsidR="00FD1EA8">
        <w:rPr>
          <w:rFonts w:ascii="Times New Roman" w:hAnsi="Times New Roman"/>
          <w:sz w:val="24"/>
          <w:szCs w:val="24"/>
          <w:lang w:val="lv-LV"/>
        </w:rPr>
        <w:t>procenti</w:t>
      </w:r>
      <w:r w:rsidR="00FD1EA8" w:rsidRPr="00933739">
        <w:rPr>
          <w:rFonts w:ascii="Times New Roman" w:hAnsi="Times New Roman"/>
          <w:sz w:val="24"/>
          <w:szCs w:val="24"/>
          <w:lang w:val="lv-LV"/>
        </w:rPr>
        <w:t xml:space="preserve"> </w:t>
      </w:r>
      <w:r w:rsidR="009B19DD" w:rsidRPr="00933739">
        <w:rPr>
          <w:rFonts w:ascii="Times New Roman" w:hAnsi="Times New Roman"/>
          <w:sz w:val="24"/>
          <w:szCs w:val="24"/>
          <w:lang w:val="lv-LV"/>
        </w:rPr>
        <w:t>no kopējās projekta attiecināmo izmaksu summas.</w:t>
      </w:r>
      <w:r w:rsidR="00F10687" w:rsidRPr="00933739">
        <w:rPr>
          <w:rFonts w:ascii="Times New Roman" w:hAnsi="Times New Roman"/>
          <w:sz w:val="24"/>
          <w:szCs w:val="24"/>
          <w:lang w:val="lv-LV"/>
        </w:rPr>
        <w:t xml:space="preserve"> </w:t>
      </w:r>
    </w:p>
    <w:p w14:paraId="1178E03B" w14:textId="77777777" w:rsidR="00FD1EA8" w:rsidRPr="00933739" w:rsidRDefault="00FD1EA8" w:rsidP="00E7642A">
      <w:pPr>
        <w:pStyle w:val="Header"/>
        <w:tabs>
          <w:tab w:val="clear" w:pos="4320"/>
          <w:tab w:val="center" w:pos="0"/>
        </w:tabs>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Aktivitātes ietvaros t</w:t>
      </w:r>
      <w:r w:rsidR="008B58AB" w:rsidRPr="00C07278">
        <w:rPr>
          <w:rFonts w:ascii="Times New Roman" w:hAnsi="Times New Roman"/>
          <w:sz w:val="24"/>
          <w:szCs w:val="24"/>
          <w:lang w:val="lv-LV"/>
        </w:rPr>
        <w:t>ika īstenoti 43 projekti 19 valsts zinātniskajās institūcijās, no kurām 15 zinātniskās institūcijas izvietotas Rīgas plānošanas reģionā un Rīgā, 2 – Zemgales plānošanas reģionā un pa vienai zinātniskajai institūcijai Kurzemes un Latgales plānošanas reģionā</w:t>
      </w:r>
      <w:r w:rsidR="008B58AB" w:rsidRPr="00933739">
        <w:rPr>
          <w:rFonts w:ascii="Times New Roman" w:hAnsi="Times New Roman"/>
          <w:sz w:val="24"/>
          <w:szCs w:val="24"/>
          <w:lang w:val="lv-LV"/>
        </w:rPr>
        <w:t xml:space="preserve">. </w:t>
      </w:r>
      <w:r w:rsidR="00370786" w:rsidRPr="002D7733">
        <w:rPr>
          <w:rFonts w:ascii="Times New Roman" w:hAnsi="Times New Roman"/>
          <w:sz w:val="24"/>
          <w:szCs w:val="24"/>
          <w:lang w:val="lv-LV"/>
        </w:rPr>
        <w:t xml:space="preserve">30,75 milj. </w:t>
      </w:r>
      <w:r w:rsidR="00370786" w:rsidRPr="002D7733">
        <w:rPr>
          <w:rFonts w:ascii="Times New Roman" w:hAnsi="Times New Roman"/>
          <w:i/>
          <w:sz w:val="24"/>
          <w:szCs w:val="24"/>
          <w:lang w:val="lv-LV"/>
        </w:rPr>
        <w:t>euro</w:t>
      </w:r>
      <w:r w:rsidR="00370786" w:rsidRPr="002D7733">
        <w:rPr>
          <w:rFonts w:ascii="Times New Roman" w:hAnsi="Times New Roman"/>
          <w:sz w:val="24"/>
          <w:szCs w:val="24"/>
          <w:lang w:val="lv-LV"/>
        </w:rPr>
        <w:t xml:space="preserve"> no kopējā piesaistītā finansējuma tika </w:t>
      </w:r>
      <w:r w:rsidR="008B58AB">
        <w:rPr>
          <w:rFonts w:ascii="Times New Roman" w:hAnsi="Times New Roman"/>
          <w:sz w:val="24"/>
          <w:szCs w:val="24"/>
          <w:lang w:val="lv-LV"/>
        </w:rPr>
        <w:t xml:space="preserve">ieguldīti </w:t>
      </w:r>
      <w:r w:rsidR="00370786" w:rsidRPr="002D7733">
        <w:rPr>
          <w:rFonts w:ascii="Times New Roman" w:hAnsi="Times New Roman"/>
          <w:sz w:val="24"/>
          <w:szCs w:val="24"/>
          <w:lang w:val="lv-LV"/>
        </w:rPr>
        <w:t xml:space="preserve">pētniecības aprīkojuma un infrastruktūras modernizācijai zinātniskajās </w:t>
      </w:r>
      <w:r w:rsidR="00370786" w:rsidRPr="002D7733">
        <w:rPr>
          <w:rFonts w:ascii="Times New Roman" w:hAnsi="Times New Roman"/>
          <w:sz w:val="24"/>
          <w:szCs w:val="24"/>
          <w:lang w:val="lv-LV"/>
        </w:rPr>
        <w:lastRenderedPageBreak/>
        <w:t xml:space="preserve">institūcijas, kas </w:t>
      </w:r>
      <w:r w:rsidR="008B58AB">
        <w:rPr>
          <w:rFonts w:ascii="Times New Roman" w:hAnsi="Times New Roman"/>
          <w:sz w:val="24"/>
          <w:szCs w:val="24"/>
          <w:lang w:val="lv-LV"/>
        </w:rPr>
        <w:t xml:space="preserve">atrodas </w:t>
      </w:r>
      <w:r w:rsidR="00370786" w:rsidRPr="002D7733">
        <w:rPr>
          <w:rFonts w:ascii="Times New Roman" w:hAnsi="Times New Roman"/>
          <w:sz w:val="24"/>
          <w:szCs w:val="24"/>
          <w:lang w:val="lv-LV"/>
        </w:rPr>
        <w:t>Rīgas plānošanas reģionā un Rīgā.</w:t>
      </w:r>
      <w:r w:rsidR="00370786" w:rsidRPr="00933739">
        <w:rPr>
          <w:rFonts w:ascii="Times New Roman" w:hAnsi="Times New Roman"/>
          <w:sz w:val="24"/>
          <w:szCs w:val="24"/>
          <w:lang w:val="lv-LV"/>
        </w:rPr>
        <w:t xml:space="preserve"> </w:t>
      </w:r>
      <w:r>
        <w:rPr>
          <w:rFonts w:ascii="Times New Roman" w:hAnsi="Times New Roman"/>
          <w:sz w:val="24"/>
          <w:szCs w:val="24"/>
          <w:lang w:val="lv-LV"/>
        </w:rPr>
        <w:t>Detalizēts informācijas apkopojums par</w:t>
      </w:r>
      <w:r w:rsidRPr="002D7733">
        <w:rPr>
          <w:rFonts w:ascii="Times New Roman" w:hAnsi="Times New Roman"/>
          <w:sz w:val="24"/>
          <w:szCs w:val="24"/>
          <w:lang w:val="lv-LV"/>
        </w:rPr>
        <w:t xml:space="preserve"> 2.5.2.</w:t>
      </w:r>
      <w:r>
        <w:rPr>
          <w:rFonts w:ascii="Times New Roman" w:hAnsi="Times New Roman"/>
          <w:sz w:val="24"/>
          <w:szCs w:val="24"/>
          <w:lang w:val="lv-LV"/>
        </w:rPr>
        <w:t xml:space="preserve"> </w:t>
      </w:r>
      <w:r w:rsidRPr="002D7733">
        <w:rPr>
          <w:rFonts w:ascii="Times New Roman" w:hAnsi="Times New Roman"/>
          <w:sz w:val="24"/>
          <w:szCs w:val="24"/>
          <w:lang w:val="lv-LV"/>
        </w:rPr>
        <w:t xml:space="preserve">aktivitātes </w:t>
      </w:r>
      <w:r>
        <w:rPr>
          <w:rFonts w:ascii="Times New Roman" w:hAnsi="Times New Roman"/>
          <w:sz w:val="24"/>
          <w:szCs w:val="24"/>
          <w:lang w:val="lv-LV"/>
        </w:rPr>
        <w:t xml:space="preserve">ieguldījumiem </w:t>
      </w:r>
      <w:r w:rsidRPr="002D7733">
        <w:rPr>
          <w:rFonts w:ascii="Times New Roman" w:hAnsi="Times New Roman"/>
          <w:sz w:val="24"/>
          <w:szCs w:val="24"/>
          <w:lang w:val="lv-LV"/>
        </w:rPr>
        <w:t>pētniecības infrastruktūras</w:t>
      </w:r>
      <w:r>
        <w:rPr>
          <w:rFonts w:ascii="Times New Roman" w:hAnsi="Times New Roman"/>
          <w:sz w:val="24"/>
          <w:szCs w:val="24"/>
          <w:lang w:val="lv-LV"/>
        </w:rPr>
        <w:t xml:space="preserve"> pilnveidei </w:t>
      </w:r>
      <w:r w:rsidRPr="002D7733">
        <w:rPr>
          <w:rFonts w:ascii="Times New Roman" w:hAnsi="Times New Roman"/>
          <w:sz w:val="24"/>
          <w:szCs w:val="24"/>
          <w:lang w:val="lv-LV"/>
        </w:rPr>
        <w:t>Latvijas plānošanas reģionos</w:t>
      </w:r>
      <w:r>
        <w:rPr>
          <w:rFonts w:ascii="Times New Roman" w:hAnsi="Times New Roman"/>
          <w:sz w:val="24"/>
          <w:szCs w:val="24"/>
          <w:lang w:val="lv-LV"/>
        </w:rPr>
        <w:t xml:space="preserve"> norādīta 3.tabulā.</w:t>
      </w:r>
    </w:p>
    <w:p w14:paraId="653F0309" w14:textId="77777777" w:rsidR="006F48F8" w:rsidRDefault="006F48F8" w:rsidP="00E7642A">
      <w:pPr>
        <w:pStyle w:val="Caption"/>
        <w:keepNext/>
        <w:spacing w:before="80" w:after="80"/>
        <w:jc w:val="right"/>
        <w:rPr>
          <w:shd w:val="clear" w:color="auto" w:fill="D9D9D9" w:themeFill="background1" w:themeFillShade="D9"/>
        </w:rPr>
      </w:pPr>
      <w:r w:rsidRPr="00941DA3">
        <w:rPr>
          <w:rFonts w:ascii="Times New Roman" w:hAnsi="Times New Roman"/>
          <w:color w:val="auto"/>
          <w:sz w:val="24"/>
          <w:szCs w:val="24"/>
        </w:rPr>
        <w:t xml:space="preserve">Tabula </w:t>
      </w:r>
      <w:r w:rsidRPr="00423C9F">
        <w:rPr>
          <w:rFonts w:ascii="Times New Roman" w:hAnsi="Times New Roman"/>
          <w:color w:val="auto"/>
          <w:sz w:val="24"/>
          <w:szCs w:val="24"/>
        </w:rPr>
        <w:t>Nr.</w:t>
      </w:r>
      <w:r w:rsidRPr="00941DA3">
        <w:rPr>
          <w:rFonts w:ascii="Times New Roman" w:hAnsi="Times New Roman"/>
          <w:color w:val="auto"/>
          <w:sz w:val="24"/>
          <w:szCs w:val="24"/>
        </w:rPr>
        <w:t xml:space="preserve"> </w:t>
      </w:r>
      <w:r w:rsidR="00417751"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00417751" w:rsidRPr="00941DA3">
        <w:rPr>
          <w:rFonts w:ascii="Times New Roman" w:hAnsi="Times New Roman"/>
          <w:color w:val="auto"/>
          <w:sz w:val="24"/>
          <w:szCs w:val="24"/>
        </w:rPr>
        <w:fldChar w:fldCharType="separate"/>
      </w:r>
      <w:r w:rsidR="00E7642A">
        <w:rPr>
          <w:rFonts w:ascii="Times New Roman" w:hAnsi="Times New Roman"/>
          <w:noProof/>
          <w:color w:val="auto"/>
          <w:sz w:val="24"/>
          <w:szCs w:val="24"/>
        </w:rPr>
        <w:t>3</w:t>
      </w:r>
      <w:r w:rsidR="00417751" w:rsidRPr="00941DA3">
        <w:rPr>
          <w:rFonts w:ascii="Times New Roman" w:hAnsi="Times New Roman"/>
          <w:color w:val="auto"/>
          <w:sz w:val="24"/>
          <w:szCs w:val="24"/>
        </w:rPr>
        <w:fldChar w:fldCharType="end"/>
      </w:r>
    </w:p>
    <w:p w14:paraId="3D64602D" w14:textId="40EBF508" w:rsidR="004C0D40" w:rsidRDefault="004C0D40" w:rsidP="00E7642A">
      <w:pPr>
        <w:pStyle w:val="Header"/>
        <w:tabs>
          <w:tab w:val="clear" w:pos="4320"/>
          <w:tab w:val="center" w:pos="0"/>
        </w:tabs>
        <w:spacing w:after="0" w:line="240" w:lineRule="auto"/>
        <w:jc w:val="center"/>
        <w:rPr>
          <w:rFonts w:ascii="Times New Roman" w:hAnsi="Times New Roman"/>
          <w:b/>
          <w:sz w:val="24"/>
          <w:szCs w:val="24"/>
          <w:lang w:val="lv-LV"/>
        </w:rPr>
      </w:pPr>
      <w:r w:rsidRPr="004C0D40">
        <w:rPr>
          <w:rFonts w:ascii="Times New Roman" w:hAnsi="Times New Roman"/>
          <w:b/>
          <w:sz w:val="24"/>
          <w:szCs w:val="24"/>
          <w:lang w:val="lv-LV"/>
        </w:rPr>
        <w:t>ES struktūrfondu 2004.</w:t>
      </w:r>
      <w:r w:rsidR="00FD1EA8" w:rsidRPr="00C07278">
        <w:rPr>
          <w:rFonts w:ascii="Times New Roman" w:hAnsi="Times New Roman"/>
          <w:sz w:val="24"/>
          <w:szCs w:val="24"/>
          <w:lang w:val="lv-LV"/>
        </w:rPr>
        <w:t>–</w:t>
      </w:r>
      <w:r w:rsidRPr="004C0D40">
        <w:rPr>
          <w:rFonts w:ascii="Times New Roman" w:hAnsi="Times New Roman"/>
          <w:b/>
          <w:sz w:val="24"/>
          <w:szCs w:val="24"/>
          <w:lang w:val="lv-LV"/>
        </w:rPr>
        <w:t>2006.</w:t>
      </w:r>
      <w:r w:rsidR="00FD1EA8">
        <w:rPr>
          <w:rFonts w:ascii="Times New Roman" w:hAnsi="Times New Roman"/>
          <w:b/>
          <w:sz w:val="24"/>
          <w:szCs w:val="24"/>
          <w:lang w:val="lv-LV"/>
        </w:rPr>
        <w:t> </w:t>
      </w:r>
      <w:r w:rsidRPr="004C0D40">
        <w:rPr>
          <w:rFonts w:ascii="Times New Roman" w:hAnsi="Times New Roman"/>
          <w:b/>
          <w:sz w:val="24"/>
          <w:szCs w:val="24"/>
          <w:lang w:val="lv-LV"/>
        </w:rPr>
        <w:t xml:space="preserve">gada plānošanas perioda </w:t>
      </w:r>
    </w:p>
    <w:p w14:paraId="4ECA6FB8" w14:textId="77777777" w:rsidR="00B3130B" w:rsidRPr="004C0D40" w:rsidRDefault="00B3130B" w:rsidP="00E7642A">
      <w:pPr>
        <w:pStyle w:val="Header"/>
        <w:tabs>
          <w:tab w:val="clear" w:pos="4320"/>
          <w:tab w:val="center" w:pos="0"/>
        </w:tabs>
        <w:spacing w:after="120" w:line="240" w:lineRule="auto"/>
        <w:jc w:val="center"/>
        <w:rPr>
          <w:rFonts w:ascii="Times New Roman" w:hAnsi="Times New Roman"/>
          <w:b/>
          <w:sz w:val="24"/>
          <w:szCs w:val="24"/>
          <w:lang w:val="lv-LV"/>
        </w:rPr>
      </w:pPr>
      <w:r w:rsidRPr="004C0D40">
        <w:rPr>
          <w:rFonts w:ascii="Times New Roman" w:hAnsi="Times New Roman"/>
          <w:b/>
          <w:sz w:val="24"/>
          <w:szCs w:val="24"/>
          <w:lang w:val="lv-LV"/>
        </w:rPr>
        <w:t>2.5.2.</w:t>
      </w:r>
      <w:r w:rsidR="00DA3871">
        <w:rPr>
          <w:rFonts w:ascii="Times New Roman" w:hAnsi="Times New Roman"/>
          <w:b/>
          <w:sz w:val="24"/>
          <w:szCs w:val="24"/>
          <w:lang w:val="lv-LV"/>
        </w:rPr>
        <w:t xml:space="preserve"> </w:t>
      </w:r>
      <w:r w:rsidRPr="004C0D40">
        <w:rPr>
          <w:rFonts w:ascii="Times New Roman" w:hAnsi="Times New Roman"/>
          <w:b/>
          <w:sz w:val="24"/>
          <w:szCs w:val="24"/>
          <w:lang w:val="lv-LV"/>
        </w:rPr>
        <w:t>aktivitātes ietvaros īstenotie projekti</w:t>
      </w:r>
    </w:p>
    <w:tbl>
      <w:tblPr>
        <w:tblW w:w="5000" w:type="pct"/>
        <w:tblLayout w:type="fixed"/>
        <w:tblLook w:val="04A0" w:firstRow="1" w:lastRow="0" w:firstColumn="1" w:lastColumn="0" w:noHBand="0" w:noVBand="1"/>
      </w:tblPr>
      <w:tblGrid>
        <w:gridCol w:w="2573"/>
        <w:gridCol w:w="1547"/>
        <w:gridCol w:w="1934"/>
        <w:gridCol w:w="1689"/>
        <w:gridCol w:w="494"/>
      </w:tblGrid>
      <w:tr w:rsidR="00A1422A" w:rsidRPr="00FD1EA8" w14:paraId="71B78508" w14:textId="77777777" w:rsidTr="00C8387D">
        <w:trPr>
          <w:trHeight w:val="855"/>
        </w:trPr>
        <w:tc>
          <w:tcPr>
            <w:tcW w:w="1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2CC9B9" w14:textId="77777777" w:rsidR="00A1422A" w:rsidRPr="00FD1EA8" w:rsidRDefault="00A1422A" w:rsidP="00E7642A">
            <w:pPr>
              <w:ind w:left="0" w:firstLine="34"/>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Projektu īstenošanas vieta</w:t>
            </w:r>
          </w:p>
        </w:tc>
        <w:tc>
          <w:tcPr>
            <w:tcW w:w="9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439CEB" w14:textId="77777777" w:rsidR="00A1422A"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2.5.2.</w:t>
            </w:r>
            <w:r w:rsidR="00EE004D" w:rsidRPr="00FD1EA8">
              <w:rPr>
                <w:rFonts w:ascii="Times New Roman" w:eastAsia="Times New Roman" w:hAnsi="Times New Roman"/>
                <w:b/>
                <w:bCs/>
                <w:color w:val="000000"/>
                <w:sz w:val="21"/>
                <w:szCs w:val="21"/>
                <w:lang w:eastAsia="lv-LV"/>
              </w:rPr>
              <w:t> </w:t>
            </w:r>
            <w:r w:rsidRPr="00FD1EA8">
              <w:rPr>
                <w:rFonts w:ascii="Times New Roman" w:eastAsia="Times New Roman" w:hAnsi="Times New Roman"/>
                <w:b/>
                <w:bCs/>
                <w:color w:val="000000"/>
                <w:sz w:val="21"/>
                <w:szCs w:val="21"/>
                <w:lang w:eastAsia="lv-LV"/>
              </w:rPr>
              <w:t>aktivitātes ietvaros īstenoto projektu skaits</w:t>
            </w:r>
          </w:p>
        </w:tc>
        <w:tc>
          <w:tcPr>
            <w:tcW w:w="11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E7AD9F" w14:textId="77777777" w:rsidR="00A1422A"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 xml:space="preserve">Projektu ietvaros piesaistītais kopējais attiecināmais finansējums, </w:t>
            </w:r>
            <w:r w:rsidRPr="00FD1EA8">
              <w:rPr>
                <w:rFonts w:ascii="Times New Roman" w:eastAsia="Times New Roman" w:hAnsi="Times New Roman"/>
                <w:b/>
                <w:bCs/>
                <w:i/>
                <w:color w:val="000000"/>
                <w:sz w:val="21"/>
                <w:szCs w:val="21"/>
                <w:lang w:eastAsia="lv-LV"/>
              </w:rPr>
              <w:t>euro</w:t>
            </w:r>
          </w:p>
        </w:tc>
        <w:tc>
          <w:tcPr>
            <w:tcW w:w="10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FCAD31" w14:textId="77777777" w:rsidR="008E220F"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 xml:space="preserve">Projektu ietvaros piesaistītais ERAF finansējums, </w:t>
            </w:r>
          </w:p>
          <w:p w14:paraId="6A8CF103" w14:textId="77777777" w:rsidR="00A1422A" w:rsidRPr="00FD1EA8" w:rsidRDefault="00EE004D"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i/>
                <w:color w:val="000000"/>
                <w:sz w:val="21"/>
                <w:szCs w:val="21"/>
                <w:lang w:eastAsia="lv-LV"/>
              </w:rPr>
              <w:t>euro</w:t>
            </w:r>
          </w:p>
        </w:tc>
        <w:tc>
          <w:tcPr>
            <w:tcW w:w="30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C06F37B" w14:textId="77777777" w:rsidR="00A1422A"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w:t>
            </w:r>
          </w:p>
        </w:tc>
      </w:tr>
      <w:tr w:rsidR="00A1422A" w:rsidRPr="00FD1EA8" w14:paraId="01E38573" w14:textId="77777777" w:rsidTr="00C8387D">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28776B75" w14:textId="77777777" w:rsidR="00A1422A" w:rsidRPr="00FD1EA8" w:rsidRDefault="00A1422A" w:rsidP="00E7642A">
            <w:pPr>
              <w:ind w:left="0"/>
              <w:jc w:val="left"/>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Rīga</w:t>
            </w:r>
            <w:r w:rsidR="006C053C" w:rsidRPr="00FD1EA8">
              <w:rPr>
                <w:rFonts w:ascii="Times New Roman" w:eastAsia="Times New Roman" w:hAnsi="Times New Roman"/>
                <w:color w:val="000000"/>
                <w:sz w:val="21"/>
                <w:szCs w:val="21"/>
                <w:lang w:eastAsia="lv-LV"/>
              </w:rPr>
              <w:t xml:space="preserve"> plānošanas reģions</w:t>
            </w:r>
            <w:r w:rsidR="00F10687" w:rsidRPr="00FD1EA8">
              <w:rPr>
                <w:rFonts w:ascii="Times New Roman" w:eastAsia="Times New Roman" w:hAnsi="Times New Roman"/>
                <w:color w:val="000000"/>
                <w:sz w:val="21"/>
                <w:szCs w:val="21"/>
                <w:lang w:eastAsia="lv-LV"/>
              </w:rPr>
              <w:t xml:space="preserve"> un Rīga</w:t>
            </w:r>
          </w:p>
        </w:tc>
        <w:tc>
          <w:tcPr>
            <w:tcW w:w="939" w:type="pct"/>
            <w:tcBorders>
              <w:top w:val="nil"/>
              <w:left w:val="nil"/>
              <w:bottom w:val="single" w:sz="4" w:space="0" w:color="auto"/>
              <w:right w:val="single" w:sz="4" w:space="0" w:color="auto"/>
            </w:tcBorders>
            <w:shd w:val="clear" w:color="auto" w:fill="auto"/>
            <w:noWrap/>
            <w:vAlign w:val="center"/>
            <w:hideMark/>
          </w:tcPr>
          <w:p w14:paraId="0862428C" w14:textId="77777777" w:rsidR="00A1422A" w:rsidRPr="00FD1EA8" w:rsidRDefault="006C053C"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33</w:t>
            </w:r>
          </w:p>
        </w:tc>
        <w:tc>
          <w:tcPr>
            <w:tcW w:w="1174" w:type="pct"/>
            <w:tcBorders>
              <w:top w:val="nil"/>
              <w:left w:val="nil"/>
              <w:bottom w:val="single" w:sz="4" w:space="0" w:color="auto"/>
              <w:right w:val="single" w:sz="4" w:space="0" w:color="auto"/>
            </w:tcBorders>
            <w:shd w:val="clear" w:color="auto" w:fill="auto"/>
            <w:noWrap/>
            <w:vAlign w:val="center"/>
            <w:hideMark/>
          </w:tcPr>
          <w:p w14:paraId="3C9F9C92" w14:textId="77777777" w:rsidR="00A1422A" w:rsidRPr="00FD1EA8" w:rsidRDefault="006C053C"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30 746 199</w:t>
            </w:r>
          </w:p>
        </w:tc>
        <w:tc>
          <w:tcPr>
            <w:tcW w:w="1025" w:type="pct"/>
            <w:tcBorders>
              <w:top w:val="nil"/>
              <w:left w:val="nil"/>
              <w:bottom w:val="single" w:sz="4" w:space="0" w:color="auto"/>
              <w:right w:val="single" w:sz="4" w:space="0" w:color="auto"/>
            </w:tcBorders>
            <w:shd w:val="clear" w:color="auto" w:fill="auto"/>
            <w:noWrap/>
            <w:vAlign w:val="center"/>
            <w:hideMark/>
          </w:tcPr>
          <w:p w14:paraId="52467138" w14:textId="77777777" w:rsidR="00A1422A" w:rsidRPr="00FD1EA8" w:rsidRDefault="006C053C"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23 005 105</w:t>
            </w:r>
          </w:p>
        </w:tc>
        <w:tc>
          <w:tcPr>
            <w:tcW w:w="300" w:type="pct"/>
            <w:tcBorders>
              <w:top w:val="nil"/>
              <w:left w:val="nil"/>
              <w:bottom w:val="single" w:sz="4" w:space="0" w:color="auto"/>
              <w:right w:val="single" w:sz="4" w:space="0" w:color="auto"/>
            </w:tcBorders>
            <w:vAlign w:val="center"/>
          </w:tcPr>
          <w:p w14:paraId="7372458F" w14:textId="77777777" w:rsidR="00A1422A" w:rsidRPr="00FD1EA8" w:rsidRDefault="006C053C"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85</w:t>
            </w:r>
          </w:p>
        </w:tc>
      </w:tr>
      <w:tr w:rsidR="00A1422A" w:rsidRPr="00FD1EA8" w14:paraId="7556A12E" w14:textId="77777777" w:rsidTr="00C8387D">
        <w:trPr>
          <w:trHeight w:val="300"/>
        </w:trPr>
        <w:tc>
          <w:tcPr>
            <w:tcW w:w="1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420E" w14:textId="77777777" w:rsidR="00A1422A" w:rsidRPr="00FD1EA8" w:rsidRDefault="00A1422A" w:rsidP="00E7642A">
            <w:pPr>
              <w:ind w:left="0"/>
              <w:jc w:val="left"/>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Zemgale</w:t>
            </w:r>
            <w:r w:rsidR="008E220F" w:rsidRPr="00FD1EA8">
              <w:rPr>
                <w:rFonts w:ascii="Times New Roman" w:eastAsia="Times New Roman" w:hAnsi="Times New Roman"/>
                <w:color w:val="000000"/>
                <w:sz w:val="21"/>
                <w:szCs w:val="21"/>
                <w:lang w:eastAsia="lv-LV"/>
              </w:rPr>
              <w:t>s plānošanas reģions</w:t>
            </w:r>
          </w:p>
        </w:tc>
        <w:tc>
          <w:tcPr>
            <w:tcW w:w="939" w:type="pct"/>
            <w:tcBorders>
              <w:top w:val="single" w:sz="4" w:space="0" w:color="auto"/>
              <w:left w:val="nil"/>
              <w:bottom w:val="single" w:sz="4" w:space="0" w:color="auto"/>
              <w:right w:val="single" w:sz="4" w:space="0" w:color="auto"/>
            </w:tcBorders>
            <w:shd w:val="clear" w:color="auto" w:fill="auto"/>
            <w:noWrap/>
            <w:vAlign w:val="center"/>
            <w:hideMark/>
          </w:tcPr>
          <w:p w14:paraId="1689CC30"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4</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3F6B014A"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1 999 13</w:t>
            </w:r>
            <w:r w:rsidR="006C053C" w:rsidRPr="00FD1EA8">
              <w:rPr>
                <w:rFonts w:ascii="Times New Roman" w:eastAsia="Times New Roman" w:hAnsi="Times New Roman"/>
                <w:color w:val="000000"/>
                <w:sz w:val="21"/>
                <w:szCs w:val="21"/>
                <w:lang w:eastAsia="lv-LV"/>
              </w:rPr>
              <w:t>5</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14:paraId="071D4209"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1 499 351</w:t>
            </w:r>
          </w:p>
        </w:tc>
        <w:tc>
          <w:tcPr>
            <w:tcW w:w="300" w:type="pct"/>
            <w:tcBorders>
              <w:top w:val="single" w:sz="4" w:space="0" w:color="auto"/>
              <w:left w:val="nil"/>
              <w:bottom w:val="single" w:sz="4" w:space="0" w:color="auto"/>
              <w:right w:val="single" w:sz="4" w:space="0" w:color="auto"/>
            </w:tcBorders>
            <w:vAlign w:val="center"/>
          </w:tcPr>
          <w:p w14:paraId="087B180F"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5</w:t>
            </w:r>
          </w:p>
        </w:tc>
      </w:tr>
      <w:tr w:rsidR="00A1422A" w:rsidRPr="00FD1EA8" w14:paraId="34C1B550" w14:textId="77777777" w:rsidTr="00C8387D">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17726896" w14:textId="77777777" w:rsidR="00A1422A" w:rsidRPr="00FD1EA8" w:rsidRDefault="00A1422A" w:rsidP="00E7642A">
            <w:pPr>
              <w:ind w:left="0"/>
              <w:jc w:val="left"/>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Kurzeme</w:t>
            </w:r>
            <w:r w:rsidR="008E220F" w:rsidRPr="00FD1EA8">
              <w:rPr>
                <w:rFonts w:ascii="Times New Roman" w:eastAsia="Times New Roman" w:hAnsi="Times New Roman"/>
                <w:color w:val="000000"/>
                <w:sz w:val="21"/>
                <w:szCs w:val="21"/>
                <w:lang w:eastAsia="lv-LV"/>
              </w:rPr>
              <w:t>s plānošanas reģions</w:t>
            </w:r>
          </w:p>
        </w:tc>
        <w:tc>
          <w:tcPr>
            <w:tcW w:w="939" w:type="pct"/>
            <w:tcBorders>
              <w:top w:val="nil"/>
              <w:left w:val="nil"/>
              <w:bottom w:val="single" w:sz="4" w:space="0" w:color="auto"/>
              <w:right w:val="single" w:sz="4" w:space="0" w:color="auto"/>
            </w:tcBorders>
            <w:shd w:val="clear" w:color="auto" w:fill="auto"/>
            <w:noWrap/>
            <w:vAlign w:val="center"/>
            <w:hideMark/>
          </w:tcPr>
          <w:p w14:paraId="1B22F42C"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3</w:t>
            </w:r>
          </w:p>
        </w:tc>
        <w:tc>
          <w:tcPr>
            <w:tcW w:w="1174" w:type="pct"/>
            <w:tcBorders>
              <w:top w:val="nil"/>
              <w:left w:val="nil"/>
              <w:bottom w:val="single" w:sz="4" w:space="0" w:color="auto"/>
              <w:right w:val="single" w:sz="4" w:space="0" w:color="auto"/>
            </w:tcBorders>
            <w:shd w:val="clear" w:color="auto" w:fill="auto"/>
            <w:noWrap/>
            <w:vAlign w:val="center"/>
            <w:hideMark/>
          </w:tcPr>
          <w:p w14:paraId="26FDFFDF"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1 672 224</w:t>
            </w:r>
          </w:p>
        </w:tc>
        <w:tc>
          <w:tcPr>
            <w:tcW w:w="1025" w:type="pct"/>
            <w:tcBorders>
              <w:top w:val="nil"/>
              <w:left w:val="nil"/>
              <w:bottom w:val="single" w:sz="4" w:space="0" w:color="auto"/>
              <w:right w:val="single" w:sz="4" w:space="0" w:color="auto"/>
            </w:tcBorders>
            <w:shd w:val="clear" w:color="auto" w:fill="auto"/>
            <w:noWrap/>
            <w:vAlign w:val="center"/>
            <w:hideMark/>
          </w:tcPr>
          <w:p w14:paraId="794DD737"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1</w:t>
            </w:r>
            <w:r w:rsidR="006C053C" w:rsidRPr="00FD1EA8">
              <w:rPr>
                <w:rFonts w:ascii="Times New Roman" w:eastAsia="Times New Roman" w:hAnsi="Times New Roman"/>
                <w:color w:val="000000"/>
                <w:sz w:val="21"/>
                <w:szCs w:val="21"/>
                <w:lang w:eastAsia="lv-LV"/>
              </w:rPr>
              <w:t xml:space="preserve"> 254 168</w:t>
            </w:r>
          </w:p>
        </w:tc>
        <w:tc>
          <w:tcPr>
            <w:tcW w:w="300" w:type="pct"/>
            <w:tcBorders>
              <w:top w:val="nil"/>
              <w:left w:val="nil"/>
              <w:bottom w:val="single" w:sz="4" w:space="0" w:color="auto"/>
              <w:right w:val="single" w:sz="4" w:space="0" w:color="auto"/>
            </w:tcBorders>
            <w:vAlign w:val="center"/>
          </w:tcPr>
          <w:p w14:paraId="3A464494"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5</w:t>
            </w:r>
          </w:p>
        </w:tc>
      </w:tr>
      <w:tr w:rsidR="00A1422A" w:rsidRPr="00FD1EA8" w14:paraId="53E43D68" w14:textId="77777777" w:rsidTr="00C8387D">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065585D9" w14:textId="77777777" w:rsidR="00A1422A" w:rsidRPr="00FD1EA8" w:rsidRDefault="00A1422A" w:rsidP="00E7642A">
            <w:pPr>
              <w:ind w:left="0"/>
              <w:jc w:val="left"/>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Latgale</w:t>
            </w:r>
            <w:r w:rsidR="008E220F" w:rsidRPr="00FD1EA8">
              <w:rPr>
                <w:rFonts w:ascii="Times New Roman" w:eastAsia="Times New Roman" w:hAnsi="Times New Roman"/>
                <w:color w:val="000000"/>
                <w:sz w:val="21"/>
                <w:szCs w:val="21"/>
                <w:lang w:eastAsia="lv-LV"/>
              </w:rPr>
              <w:t>s plānošanas reģions</w:t>
            </w:r>
          </w:p>
        </w:tc>
        <w:tc>
          <w:tcPr>
            <w:tcW w:w="939" w:type="pct"/>
            <w:tcBorders>
              <w:top w:val="nil"/>
              <w:left w:val="nil"/>
              <w:bottom w:val="single" w:sz="4" w:space="0" w:color="auto"/>
              <w:right w:val="single" w:sz="4" w:space="0" w:color="auto"/>
            </w:tcBorders>
            <w:shd w:val="clear" w:color="auto" w:fill="auto"/>
            <w:noWrap/>
            <w:vAlign w:val="center"/>
            <w:hideMark/>
          </w:tcPr>
          <w:p w14:paraId="19FC89C3"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3</w:t>
            </w:r>
          </w:p>
        </w:tc>
        <w:tc>
          <w:tcPr>
            <w:tcW w:w="1174" w:type="pct"/>
            <w:tcBorders>
              <w:top w:val="nil"/>
              <w:left w:val="nil"/>
              <w:bottom w:val="single" w:sz="4" w:space="0" w:color="auto"/>
              <w:right w:val="single" w:sz="4" w:space="0" w:color="auto"/>
            </w:tcBorders>
            <w:shd w:val="clear" w:color="auto" w:fill="auto"/>
            <w:noWrap/>
            <w:vAlign w:val="center"/>
            <w:hideMark/>
          </w:tcPr>
          <w:p w14:paraId="083DAC99"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1 670 168</w:t>
            </w:r>
          </w:p>
        </w:tc>
        <w:tc>
          <w:tcPr>
            <w:tcW w:w="1025" w:type="pct"/>
            <w:tcBorders>
              <w:top w:val="nil"/>
              <w:left w:val="nil"/>
              <w:bottom w:val="single" w:sz="4" w:space="0" w:color="auto"/>
              <w:right w:val="single" w:sz="4" w:space="0" w:color="auto"/>
            </w:tcBorders>
            <w:shd w:val="clear" w:color="auto" w:fill="auto"/>
            <w:noWrap/>
            <w:vAlign w:val="center"/>
            <w:hideMark/>
          </w:tcPr>
          <w:p w14:paraId="41132A3F"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1</w:t>
            </w:r>
            <w:r w:rsidR="006C053C" w:rsidRPr="00FD1EA8">
              <w:rPr>
                <w:rFonts w:ascii="Times New Roman" w:eastAsia="Times New Roman" w:hAnsi="Times New Roman"/>
                <w:color w:val="000000"/>
                <w:sz w:val="21"/>
                <w:szCs w:val="21"/>
                <w:lang w:eastAsia="lv-LV"/>
              </w:rPr>
              <w:t xml:space="preserve"> 252 626</w:t>
            </w:r>
          </w:p>
        </w:tc>
        <w:tc>
          <w:tcPr>
            <w:tcW w:w="300" w:type="pct"/>
            <w:tcBorders>
              <w:top w:val="nil"/>
              <w:left w:val="nil"/>
              <w:bottom w:val="single" w:sz="4" w:space="0" w:color="auto"/>
              <w:right w:val="single" w:sz="4" w:space="0" w:color="auto"/>
            </w:tcBorders>
            <w:vAlign w:val="center"/>
          </w:tcPr>
          <w:p w14:paraId="1748835D" w14:textId="77777777" w:rsidR="00A1422A" w:rsidRPr="00FD1EA8" w:rsidRDefault="00A1422A"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5</w:t>
            </w:r>
          </w:p>
        </w:tc>
      </w:tr>
      <w:tr w:rsidR="00C8387D" w:rsidRPr="00FD1EA8" w14:paraId="29FBBF39" w14:textId="77777777" w:rsidTr="00C8387D">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tcPr>
          <w:p w14:paraId="7614A894" w14:textId="77777777" w:rsidR="008E220F" w:rsidRPr="00FD1EA8" w:rsidRDefault="008E220F" w:rsidP="00E7642A">
            <w:pPr>
              <w:ind w:left="0"/>
              <w:jc w:val="left"/>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Vidzemes plānošanas reģions</w:t>
            </w:r>
          </w:p>
        </w:tc>
        <w:tc>
          <w:tcPr>
            <w:tcW w:w="939" w:type="pct"/>
            <w:tcBorders>
              <w:top w:val="nil"/>
              <w:left w:val="nil"/>
              <w:bottom w:val="single" w:sz="4" w:space="0" w:color="auto"/>
              <w:right w:val="single" w:sz="4" w:space="0" w:color="auto"/>
            </w:tcBorders>
            <w:shd w:val="clear" w:color="auto" w:fill="auto"/>
            <w:noWrap/>
            <w:vAlign w:val="center"/>
          </w:tcPr>
          <w:p w14:paraId="119421E4" w14:textId="77777777" w:rsidR="008E220F" w:rsidRPr="00FD1EA8" w:rsidRDefault="008E220F"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0</w:t>
            </w:r>
          </w:p>
        </w:tc>
        <w:tc>
          <w:tcPr>
            <w:tcW w:w="1174" w:type="pct"/>
            <w:tcBorders>
              <w:top w:val="nil"/>
              <w:left w:val="nil"/>
              <w:bottom w:val="single" w:sz="4" w:space="0" w:color="auto"/>
              <w:right w:val="single" w:sz="4" w:space="0" w:color="auto"/>
            </w:tcBorders>
            <w:shd w:val="clear" w:color="auto" w:fill="auto"/>
            <w:noWrap/>
            <w:vAlign w:val="center"/>
          </w:tcPr>
          <w:p w14:paraId="7AE4DF7F" w14:textId="77777777" w:rsidR="008E220F" w:rsidRPr="00FD1EA8" w:rsidRDefault="008E220F"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0</w:t>
            </w:r>
          </w:p>
        </w:tc>
        <w:tc>
          <w:tcPr>
            <w:tcW w:w="1025" w:type="pct"/>
            <w:tcBorders>
              <w:top w:val="nil"/>
              <w:left w:val="nil"/>
              <w:bottom w:val="single" w:sz="4" w:space="0" w:color="auto"/>
              <w:right w:val="single" w:sz="4" w:space="0" w:color="auto"/>
            </w:tcBorders>
            <w:shd w:val="clear" w:color="auto" w:fill="auto"/>
            <w:noWrap/>
            <w:vAlign w:val="center"/>
          </w:tcPr>
          <w:p w14:paraId="395F09C4" w14:textId="77777777" w:rsidR="008E220F" w:rsidRPr="00FD1EA8" w:rsidRDefault="008E220F"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0</w:t>
            </w:r>
          </w:p>
        </w:tc>
        <w:tc>
          <w:tcPr>
            <w:tcW w:w="300" w:type="pct"/>
            <w:tcBorders>
              <w:top w:val="nil"/>
              <w:left w:val="nil"/>
              <w:bottom w:val="single" w:sz="4" w:space="0" w:color="auto"/>
              <w:right w:val="single" w:sz="4" w:space="0" w:color="auto"/>
            </w:tcBorders>
            <w:vAlign w:val="center"/>
          </w:tcPr>
          <w:p w14:paraId="0E067D25" w14:textId="77777777" w:rsidR="008E220F" w:rsidRPr="00FD1EA8" w:rsidRDefault="008E220F" w:rsidP="00E7642A">
            <w:pPr>
              <w:ind w:left="0"/>
              <w:jc w:val="center"/>
              <w:rPr>
                <w:rFonts w:ascii="Times New Roman" w:eastAsia="Times New Roman" w:hAnsi="Times New Roman"/>
                <w:color w:val="000000"/>
                <w:sz w:val="21"/>
                <w:szCs w:val="21"/>
                <w:lang w:eastAsia="lv-LV"/>
              </w:rPr>
            </w:pPr>
            <w:r w:rsidRPr="00FD1EA8">
              <w:rPr>
                <w:rFonts w:ascii="Times New Roman" w:eastAsia="Times New Roman" w:hAnsi="Times New Roman"/>
                <w:color w:val="000000"/>
                <w:sz w:val="21"/>
                <w:szCs w:val="21"/>
                <w:lang w:eastAsia="lv-LV"/>
              </w:rPr>
              <w:t>0</w:t>
            </w:r>
          </w:p>
        </w:tc>
      </w:tr>
      <w:tr w:rsidR="00C8387D" w:rsidRPr="00FD1EA8" w14:paraId="3368381F" w14:textId="77777777" w:rsidTr="00C8387D">
        <w:trPr>
          <w:trHeight w:val="300"/>
        </w:trPr>
        <w:tc>
          <w:tcPr>
            <w:tcW w:w="1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ABD3" w14:textId="77777777" w:rsidR="00A1422A" w:rsidRPr="00FD1EA8" w:rsidRDefault="00A1422A" w:rsidP="00E7642A">
            <w:pPr>
              <w:ind w:left="0"/>
              <w:jc w:val="right"/>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KOPĀ:</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6E438761" w14:textId="77777777" w:rsidR="00A1422A"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43</w:t>
            </w:r>
          </w:p>
        </w:tc>
        <w:tc>
          <w:tcPr>
            <w:tcW w:w="1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8A40" w14:textId="77777777" w:rsidR="00A1422A"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36 087 726</w:t>
            </w:r>
          </w:p>
        </w:tc>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9663" w14:textId="77777777" w:rsidR="00A1422A"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2</w:t>
            </w:r>
            <w:r w:rsidR="006C053C" w:rsidRPr="00FD1EA8">
              <w:rPr>
                <w:rFonts w:ascii="Times New Roman" w:eastAsia="Times New Roman" w:hAnsi="Times New Roman"/>
                <w:b/>
                <w:bCs/>
                <w:color w:val="000000"/>
                <w:sz w:val="21"/>
                <w:szCs w:val="21"/>
                <w:lang w:eastAsia="lv-LV"/>
              </w:rPr>
              <w:t>7 011 250</w:t>
            </w:r>
          </w:p>
        </w:tc>
        <w:tc>
          <w:tcPr>
            <w:tcW w:w="300" w:type="pct"/>
            <w:tcBorders>
              <w:top w:val="single" w:sz="4" w:space="0" w:color="auto"/>
              <w:left w:val="single" w:sz="4" w:space="0" w:color="auto"/>
              <w:bottom w:val="single" w:sz="4" w:space="0" w:color="auto"/>
              <w:right w:val="single" w:sz="4" w:space="0" w:color="auto"/>
            </w:tcBorders>
            <w:vAlign w:val="center"/>
          </w:tcPr>
          <w:p w14:paraId="4B9F2556" w14:textId="77777777" w:rsidR="00A1422A" w:rsidRPr="00FD1EA8" w:rsidRDefault="00A1422A" w:rsidP="00E7642A">
            <w:pPr>
              <w:ind w:left="0"/>
              <w:jc w:val="center"/>
              <w:rPr>
                <w:rFonts w:ascii="Times New Roman" w:eastAsia="Times New Roman" w:hAnsi="Times New Roman"/>
                <w:b/>
                <w:bCs/>
                <w:color w:val="000000"/>
                <w:sz w:val="21"/>
                <w:szCs w:val="21"/>
                <w:lang w:eastAsia="lv-LV"/>
              </w:rPr>
            </w:pPr>
            <w:r w:rsidRPr="00FD1EA8">
              <w:rPr>
                <w:rFonts w:ascii="Times New Roman" w:eastAsia="Times New Roman" w:hAnsi="Times New Roman"/>
                <w:b/>
                <w:bCs/>
                <w:color w:val="000000"/>
                <w:sz w:val="21"/>
                <w:szCs w:val="21"/>
                <w:lang w:eastAsia="lv-LV"/>
              </w:rPr>
              <w:t>100</w:t>
            </w:r>
          </w:p>
        </w:tc>
      </w:tr>
    </w:tbl>
    <w:p w14:paraId="403DDBF9" w14:textId="77777777" w:rsidR="00B3130B" w:rsidRPr="00C07278" w:rsidRDefault="00B3130B" w:rsidP="00E7642A">
      <w:pPr>
        <w:pStyle w:val="Header"/>
        <w:tabs>
          <w:tab w:val="clear" w:pos="4320"/>
          <w:tab w:val="center" w:pos="0"/>
        </w:tabs>
        <w:spacing w:after="0" w:line="240" w:lineRule="auto"/>
        <w:rPr>
          <w:rFonts w:ascii="Times New Roman" w:hAnsi="Times New Roman"/>
          <w:sz w:val="18"/>
          <w:szCs w:val="18"/>
          <w:lang w:val="lv-LV"/>
        </w:rPr>
      </w:pPr>
      <w:r w:rsidRPr="00DF5302">
        <w:rPr>
          <w:rFonts w:ascii="Times New Roman" w:hAnsi="Times New Roman"/>
          <w:i/>
          <w:sz w:val="24"/>
          <w:szCs w:val="24"/>
          <w:lang w:val="lv-LV"/>
        </w:rPr>
        <w:t>Datu avots: IZM</w:t>
      </w:r>
    </w:p>
    <w:p w14:paraId="202CA9B7" w14:textId="77777777" w:rsidR="00DB108B" w:rsidRPr="00C07278" w:rsidRDefault="00FD1EA8" w:rsidP="00E7642A">
      <w:pPr>
        <w:pStyle w:val="Header"/>
        <w:tabs>
          <w:tab w:val="clear" w:pos="4320"/>
          <w:tab w:val="center" w:pos="0"/>
        </w:tabs>
        <w:spacing w:before="120" w:after="0" w:line="240" w:lineRule="auto"/>
        <w:ind w:firstLine="567"/>
        <w:jc w:val="both"/>
        <w:rPr>
          <w:rFonts w:ascii="Times New Roman" w:hAnsi="Times New Roman"/>
          <w:sz w:val="24"/>
          <w:szCs w:val="24"/>
          <w:lang w:val="lv-LV"/>
        </w:rPr>
      </w:pPr>
      <w:r>
        <w:rPr>
          <w:rFonts w:ascii="Times New Roman" w:hAnsi="Times New Roman"/>
          <w:sz w:val="24"/>
          <w:szCs w:val="24"/>
          <w:lang w:val="lv-LV"/>
        </w:rPr>
        <w:t>2.5.2. a</w:t>
      </w:r>
      <w:r w:rsidR="0087263C" w:rsidRPr="00C07278">
        <w:rPr>
          <w:rFonts w:ascii="Times New Roman" w:hAnsi="Times New Roman"/>
          <w:sz w:val="24"/>
          <w:szCs w:val="24"/>
          <w:lang w:val="lv-LV"/>
        </w:rPr>
        <w:t>ktivitātes</w:t>
      </w:r>
      <w:r w:rsidR="003523F8" w:rsidRPr="00C07278">
        <w:rPr>
          <w:rFonts w:ascii="Times New Roman" w:hAnsi="Times New Roman"/>
          <w:sz w:val="24"/>
          <w:szCs w:val="24"/>
          <w:lang w:val="lv-LV"/>
        </w:rPr>
        <w:t xml:space="preserve"> ietvaros </w:t>
      </w:r>
      <w:r w:rsidR="001E336B" w:rsidRPr="00C07278">
        <w:rPr>
          <w:rFonts w:ascii="Times New Roman" w:hAnsi="Times New Roman"/>
          <w:sz w:val="24"/>
          <w:szCs w:val="24"/>
          <w:lang w:val="lv-LV"/>
        </w:rPr>
        <w:t xml:space="preserve">zinātniskās institūcijas </w:t>
      </w:r>
      <w:r w:rsidR="003523F8" w:rsidRPr="00C07278">
        <w:rPr>
          <w:rFonts w:ascii="Times New Roman" w:hAnsi="Times New Roman"/>
          <w:sz w:val="24"/>
          <w:szCs w:val="24"/>
          <w:lang w:val="lv-LV"/>
        </w:rPr>
        <w:t>iegādājās 552 pētnieciskā aprīkojuma komplektus un atbilstoši pētniecības nodrošināšana</w:t>
      </w:r>
      <w:r w:rsidR="00933739">
        <w:rPr>
          <w:rFonts w:ascii="Times New Roman" w:hAnsi="Times New Roman"/>
          <w:sz w:val="24"/>
          <w:szCs w:val="24"/>
          <w:lang w:val="lv-LV"/>
        </w:rPr>
        <w:t xml:space="preserve">s </w:t>
      </w:r>
      <w:r w:rsidR="003523F8" w:rsidRPr="00C07278">
        <w:rPr>
          <w:rFonts w:ascii="Times New Roman" w:hAnsi="Times New Roman"/>
          <w:sz w:val="24"/>
          <w:szCs w:val="24"/>
          <w:lang w:val="lv-LV"/>
        </w:rPr>
        <w:t>vajadzībām renovēja 98 telpas ar kopēj</w:t>
      </w:r>
      <w:r w:rsidR="00933739">
        <w:rPr>
          <w:rFonts w:ascii="Times New Roman" w:hAnsi="Times New Roman"/>
          <w:sz w:val="24"/>
          <w:szCs w:val="24"/>
          <w:lang w:val="lv-LV"/>
        </w:rPr>
        <w:t>o</w:t>
      </w:r>
      <w:r w:rsidR="003523F8" w:rsidRPr="00C07278">
        <w:rPr>
          <w:rFonts w:ascii="Times New Roman" w:hAnsi="Times New Roman"/>
          <w:sz w:val="24"/>
          <w:szCs w:val="24"/>
          <w:lang w:val="lv-LV"/>
        </w:rPr>
        <w:t xml:space="preserve"> platība 13 192,24 m</w:t>
      </w:r>
      <w:r w:rsidR="003523F8" w:rsidRPr="00C07278">
        <w:rPr>
          <w:rFonts w:ascii="Times New Roman" w:hAnsi="Times New Roman"/>
          <w:sz w:val="24"/>
          <w:szCs w:val="24"/>
          <w:vertAlign w:val="superscript"/>
          <w:lang w:val="lv-LV"/>
        </w:rPr>
        <w:t>2</w:t>
      </w:r>
      <w:r w:rsidR="003523F8" w:rsidRPr="00C07278">
        <w:rPr>
          <w:rFonts w:ascii="Times New Roman" w:hAnsi="Times New Roman"/>
          <w:sz w:val="24"/>
          <w:szCs w:val="24"/>
          <w:lang w:val="lv-LV"/>
        </w:rPr>
        <w:t>.</w:t>
      </w:r>
      <w:r w:rsidR="002D15DC" w:rsidRPr="00C07278">
        <w:rPr>
          <w:rFonts w:ascii="Times New Roman" w:hAnsi="Times New Roman"/>
          <w:sz w:val="24"/>
          <w:szCs w:val="24"/>
          <w:lang w:val="lv-LV"/>
        </w:rPr>
        <w:t xml:space="preserve"> </w:t>
      </w:r>
    </w:p>
    <w:p w14:paraId="6C77852E" w14:textId="77777777" w:rsidR="00FD1EA8" w:rsidRDefault="0002427F" w:rsidP="00E7642A">
      <w:pPr>
        <w:pStyle w:val="Header"/>
        <w:tabs>
          <w:tab w:val="clear" w:pos="4320"/>
          <w:tab w:val="center" w:pos="0"/>
        </w:tabs>
        <w:spacing w:after="0" w:line="240" w:lineRule="auto"/>
        <w:ind w:firstLine="567"/>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Z</w:t>
      </w:r>
      <w:r w:rsidR="00227DC7" w:rsidRPr="00C07278">
        <w:rPr>
          <w:rFonts w:ascii="Times New Roman" w:hAnsi="Times New Roman"/>
          <w:color w:val="000000"/>
          <w:sz w:val="24"/>
          <w:szCs w:val="24"/>
          <w:lang w:val="lv-LV" w:eastAsia="lv-LV"/>
        </w:rPr>
        <w:t>inātniskais aprīkojums tika nodrošināts</w:t>
      </w:r>
      <w:r w:rsidR="0025163C" w:rsidRPr="00C07278">
        <w:rPr>
          <w:rFonts w:ascii="Times New Roman" w:hAnsi="Times New Roman"/>
          <w:color w:val="000000"/>
          <w:sz w:val="24"/>
          <w:szCs w:val="24"/>
          <w:lang w:val="lv-LV" w:eastAsia="lv-LV"/>
        </w:rPr>
        <w:t xml:space="preserve"> 19 zinātniskaj</w:t>
      </w:r>
      <w:r w:rsidR="003214F4" w:rsidRPr="00C07278">
        <w:rPr>
          <w:rFonts w:ascii="Times New Roman" w:hAnsi="Times New Roman"/>
          <w:color w:val="000000"/>
          <w:sz w:val="24"/>
          <w:szCs w:val="24"/>
          <w:lang w:val="lv-LV" w:eastAsia="lv-LV"/>
        </w:rPr>
        <w:t>ās institūcijās</w:t>
      </w:r>
      <w:r w:rsidR="00933739">
        <w:rPr>
          <w:rFonts w:ascii="Times New Roman" w:hAnsi="Times New Roman"/>
          <w:color w:val="000000"/>
          <w:sz w:val="24"/>
          <w:szCs w:val="24"/>
          <w:lang w:val="lv-LV" w:eastAsia="lv-LV"/>
        </w:rPr>
        <w:t xml:space="preserve"> </w:t>
      </w:r>
      <w:r w:rsidR="00933739" w:rsidRPr="00DF5302">
        <w:rPr>
          <w:rFonts w:ascii="Times New Roman" w:hAnsi="Times New Roman"/>
          <w:color w:val="000000"/>
          <w:sz w:val="24"/>
          <w:szCs w:val="24"/>
          <w:lang w:val="lv-LV" w:eastAsia="lv-LV"/>
        </w:rPr>
        <w:t>(</w:t>
      </w:r>
      <w:r w:rsidR="00DF5302" w:rsidRPr="00DF5302">
        <w:rPr>
          <w:rFonts w:ascii="Times New Roman" w:hAnsi="Times New Roman"/>
          <w:color w:val="000000"/>
          <w:sz w:val="24"/>
          <w:szCs w:val="24"/>
          <w:lang w:val="lv-LV" w:eastAsia="lv-LV"/>
        </w:rPr>
        <w:t>d</w:t>
      </w:r>
      <w:r w:rsidR="00933739" w:rsidRPr="00DF5302">
        <w:rPr>
          <w:rFonts w:ascii="Times New Roman" w:hAnsi="Times New Roman"/>
          <w:color w:val="000000"/>
          <w:sz w:val="24"/>
          <w:szCs w:val="24"/>
          <w:lang w:val="lv-LV" w:eastAsia="lv-LV"/>
        </w:rPr>
        <w:t xml:space="preserve">etalizēts apkopojums </w:t>
      </w:r>
      <w:r w:rsidR="00FD1EA8">
        <w:rPr>
          <w:rFonts w:ascii="Times New Roman" w:hAnsi="Times New Roman"/>
          <w:color w:val="000000"/>
          <w:sz w:val="24"/>
          <w:szCs w:val="24"/>
          <w:lang w:val="lv-LV" w:eastAsia="lv-LV"/>
        </w:rPr>
        <w:t>norādīts informatīvā ziņojuma</w:t>
      </w:r>
      <w:r w:rsidR="00FD1EA8" w:rsidRPr="00DF5302">
        <w:rPr>
          <w:rFonts w:ascii="Times New Roman" w:hAnsi="Times New Roman"/>
          <w:color w:val="000000"/>
          <w:sz w:val="24"/>
          <w:szCs w:val="24"/>
          <w:lang w:val="lv-LV" w:eastAsia="lv-LV"/>
        </w:rPr>
        <w:t xml:space="preserve"> </w:t>
      </w:r>
      <w:r w:rsidR="00B55BBD">
        <w:rPr>
          <w:rFonts w:ascii="Times New Roman" w:hAnsi="Times New Roman"/>
          <w:color w:val="000000"/>
          <w:sz w:val="24"/>
          <w:szCs w:val="24"/>
          <w:lang w:val="lv-LV" w:eastAsia="lv-LV"/>
        </w:rPr>
        <w:t>4.</w:t>
      </w:r>
      <w:r w:rsidR="00DF5302" w:rsidRPr="00DF5302">
        <w:rPr>
          <w:rFonts w:ascii="Times New Roman" w:hAnsi="Times New Roman"/>
          <w:color w:val="000000"/>
          <w:sz w:val="24"/>
          <w:szCs w:val="24"/>
          <w:lang w:val="lv-LV" w:eastAsia="lv-LV"/>
        </w:rPr>
        <w:t>pielikumā</w:t>
      </w:r>
      <w:r w:rsidR="00933739" w:rsidRPr="00DF5302">
        <w:rPr>
          <w:rFonts w:ascii="Times New Roman" w:hAnsi="Times New Roman"/>
          <w:color w:val="000000"/>
          <w:sz w:val="24"/>
          <w:szCs w:val="24"/>
          <w:lang w:val="lv-LV" w:eastAsia="lv-LV"/>
        </w:rPr>
        <w:t xml:space="preserve">). </w:t>
      </w:r>
      <w:r w:rsidR="00703245">
        <w:rPr>
          <w:rFonts w:ascii="Times New Roman" w:hAnsi="Times New Roman"/>
          <w:color w:val="000000"/>
          <w:sz w:val="24"/>
          <w:szCs w:val="24"/>
          <w:lang w:val="lv-LV" w:eastAsia="lv-LV"/>
        </w:rPr>
        <w:t>Latvijas Biomedicīnas pētījumu un studiju centrs (</w:t>
      </w:r>
      <w:r w:rsidR="003214F4" w:rsidRPr="00C07278">
        <w:rPr>
          <w:rFonts w:ascii="Times New Roman" w:hAnsi="Times New Roman"/>
          <w:color w:val="000000"/>
          <w:sz w:val="24"/>
          <w:szCs w:val="24"/>
          <w:lang w:val="lv-LV" w:eastAsia="lv-LV"/>
        </w:rPr>
        <w:t>BMC</w:t>
      </w:r>
      <w:r w:rsidR="00703245">
        <w:rPr>
          <w:rFonts w:ascii="Times New Roman" w:hAnsi="Times New Roman"/>
          <w:color w:val="000000"/>
          <w:sz w:val="24"/>
          <w:szCs w:val="24"/>
          <w:lang w:val="lv-LV" w:eastAsia="lv-LV"/>
        </w:rPr>
        <w:t>)</w:t>
      </w:r>
      <w:r w:rsidR="003214F4" w:rsidRPr="00C07278">
        <w:rPr>
          <w:rFonts w:ascii="Times New Roman" w:hAnsi="Times New Roman"/>
          <w:color w:val="000000"/>
          <w:sz w:val="24"/>
          <w:szCs w:val="24"/>
          <w:lang w:val="lv-LV" w:eastAsia="lv-LV"/>
        </w:rPr>
        <w:t xml:space="preserve"> 2.5.2.</w:t>
      </w:r>
      <w:r w:rsidR="00DE03EB">
        <w:rPr>
          <w:rFonts w:ascii="Times New Roman" w:hAnsi="Times New Roman"/>
          <w:color w:val="000000"/>
          <w:sz w:val="24"/>
          <w:szCs w:val="24"/>
          <w:lang w:val="lv-LV" w:eastAsia="lv-LV"/>
        </w:rPr>
        <w:t> </w:t>
      </w:r>
      <w:r w:rsidR="003214F4" w:rsidRPr="00C07278">
        <w:rPr>
          <w:rFonts w:ascii="Times New Roman" w:hAnsi="Times New Roman"/>
          <w:color w:val="000000"/>
          <w:sz w:val="24"/>
          <w:szCs w:val="24"/>
          <w:lang w:val="lv-LV" w:eastAsia="lv-LV"/>
        </w:rPr>
        <w:t xml:space="preserve">aktivitātes ietvaros </w:t>
      </w:r>
      <w:r w:rsidR="0025163C" w:rsidRPr="00C07278">
        <w:rPr>
          <w:rFonts w:ascii="Times New Roman" w:hAnsi="Times New Roman"/>
          <w:color w:val="000000"/>
          <w:sz w:val="24"/>
          <w:szCs w:val="24"/>
          <w:lang w:val="lv-LV" w:eastAsia="lv-LV"/>
        </w:rPr>
        <w:t>īstenoja 4 projektu</w:t>
      </w:r>
      <w:r w:rsidR="00161C0B" w:rsidRPr="00C07278">
        <w:rPr>
          <w:rFonts w:ascii="Times New Roman" w:hAnsi="Times New Roman"/>
          <w:color w:val="000000"/>
          <w:sz w:val="24"/>
          <w:szCs w:val="24"/>
          <w:lang w:val="lv-LV" w:eastAsia="lv-LV"/>
        </w:rPr>
        <w:t>s</w:t>
      </w:r>
      <w:r w:rsidR="0025163C" w:rsidRPr="00C07278">
        <w:rPr>
          <w:rFonts w:ascii="Times New Roman" w:hAnsi="Times New Roman"/>
          <w:color w:val="000000"/>
          <w:sz w:val="24"/>
          <w:szCs w:val="24"/>
          <w:lang w:val="lv-LV" w:eastAsia="lv-LV"/>
        </w:rPr>
        <w:t xml:space="preserve"> par kopējo attiecināmo finansējumu 5,02 milj. </w:t>
      </w:r>
      <w:r w:rsidR="0025163C" w:rsidRPr="00C07278">
        <w:rPr>
          <w:rFonts w:ascii="Times New Roman" w:hAnsi="Times New Roman"/>
          <w:i/>
          <w:color w:val="000000"/>
          <w:sz w:val="24"/>
          <w:szCs w:val="24"/>
          <w:lang w:val="lv-LV" w:eastAsia="lv-LV"/>
        </w:rPr>
        <w:t xml:space="preserve">euro </w:t>
      </w:r>
      <w:r w:rsidR="003214F4" w:rsidRPr="00C07278">
        <w:rPr>
          <w:rFonts w:ascii="Times New Roman" w:hAnsi="Times New Roman"/>
          <w:color w:val="000000"/>
          <w:sz w:val="24"/>
          <w:szCs w:val="24"/>
          <w:lang w:val="lv-LV" w:eastAsia="lv-LV"/>
        </w:rPr>
        <w:t xml:space="preserve">apmērā, </w:t>
      </w:r>
      <w:r w:rsidR="0025163C" w:rsidRPr="00C07278">
        <w:rPr>
          <w:rFonts w:ascii="Times New Roman" w:hAnsi="Times New Roman"/>
          <w:color w:val="000000"/>
          <w:sz w:val="24"/>
          <w:szCs w:val="24"/>
          <w:lang w:val="lv-LV" w:eastAsia="lv-LV"/>
        </w:rPr>
        <w:t xml:space="preserve">OSI īstenoja 2 projektus par kopējo attiecināmo finansējumu 4,63 milj. </w:t>
      </w:r>
      <w:r w:rsidR="0025163C" w:rsidRPr="00C07278">
        <w:rPr>
          <w:rFonts w:ascii="Times New Roman" w:hAnsi="Times New Roman"/>
          <w:i/>
          <w:sz w:val="24"/>
          <w:szCs w:val="24"/>
          <w:lang w:val="lv-LV"/>
        </w:rPr>
        <w:t>euro</w:t>
      </w:r>
      <w:r w:rsidR="000868E1" w:rsidRPr="00C07278">
        <w:rPr>
          <w:rFonts w:ascii="Times New Roman" w:hAnsi="Times New Roman"/>
          <w:color w:val="000000"/>
          <w:sz w:val="24"/>
          <w:szCs w:val="24"/>
          <w:lang w:val="lv-LV" w:eastAsia="lv-LV"/>
        </w:rPr>
        <w:t xml:space="preserve">, </w:t>
      </w:r>
      <w:r w:rsidR="00703245">
        <w:rPr>
          <w:rFonts w:ascii="Times New Roman" w:hAnsi="Times New Roman"/>
          <w:color w:val="000000"/>
          <w:sz w:val="24"/>
          <w:szCs w:val="24"/>
          <w:lang w:val="lv-LV" w:eastAsia="lv-LV"/>
        </w:rPr>
        <w:t xml:space="preserve">LU </w:t>
      </w:r>
      <w:r w:rsidR="0025163C" w:rsidRPr="00C07278">
        <w:rPr>
          <w:rFonts w:ascii="Times New Roman" w:hAnsi="Times New Roman"/>
          <w:color w:val="000000"/>
          <w:sz w:val="24"/>
          <w:szCs w:val="24"/>
          <w:lang w:val="lv-LV" w:eastAsia="lv-LV"/>
        </w:rPr>
        <w:t>C</w:t>
      </w:r>
      <w:r w:rsidR="00703245">
        <w:rPr>
          <w:rFonts w:ascii="Times New Roman" w:hAnsi="Times New Roman"/>
          <w:color w:val="000000"/>
          <w:sz w:val="24"/>
          <w:szCs w:val="24"/>
          <w:lang w:val="lv-LV" w:eastAsia="lv-LV"/>
        </w:rPr>
        <w:t>ietvielas fizikas institūts (CFI)</w:t>
      </w:r>
      <w:r w:rsidR="0025163C" w:rsidRPr="00C07278">
        <w:rPr>
          <w:rFonts w:ascii="Times New Roman" w:hAnsi="Times New Roman"/>
          <w:color w:val="000000"/>
          <w:sz w:val="24"/>
          <w:szCs w:val="24"/>
          <w:lang w:val="lv-LV" w:eastAsia="lv-LV"/>
        </w:rPr>
        <w:t xml:space="preserve"> īstenoja 3 projektus par kopējo attiecināmo finansējumu 4,54 milj. </w:t>
      </w:r>
      <w:r w:rsidR="0025163C" w:rsidRPr="00C07278">
        <w:rPr>
          <w:rFonts w:ascii="Times New Roman" w:hAnsi="Times New Roman"/>
          <w:i/>
          <w:sz w:val="24"/>
          <w:szCs w:val="24"/>
          <w:lang w:val="lv-LV"/>
        </w:rPr>
        <w:t>euro</w:t>
      </w:r>
      <w:r w:rsidR="000868E1" w:rsidRPr="00C07278">
        <w:rPr>
          <w:rFonts w:ascii="Times New Roman" w:hAnsi="Times New Roman"/>
          <w:color w:val="000000"/>
          <w:sz w:val="24"/>
          <w:szCs w:val="24"/>
          <w:lang w:val="lv-LV" w:eastAsia="lv-LV"/>
        </w:rPr>
        <w:t xml:space="preserve">. </w:t>
      </w:r>
      <w:r w:rsidR="00933739">
        <w:rPr>
          <w:rFonts w:ascii="Times New Roman" w:hAnsi="Times New Roman"/>
          <w:color w:val="000000"/>
          <w:sz w:val="24"/>
          <w:szCs w:val="24"/>
          <w:lang w:val="lv-LV" w:eastAsia="lv-LV"/>
        </w:rPr>
        <w:t>A</w:t>
      </w:r>
      <w:r w:rsidR="000521B1" w:rsidRPr="00C07278">
        <w:rPr>
          <w:rFonts w:ascii="Times New Roman" w:hAnsi="Times New Roman"/>
          <w:color w:val="000000"/>
          <w:sz w:val="24"/>
          <w:szCs w:val="24"/>
          <w:lang w:val="lv-LV" w:eastAsia="lv-LV"/>
        </w:rPr>
        <w:t>ugstskolas</w:t>
      </w:r>
      <w:r w:rsidR="00882C7C" w:rsidRPr="00C07278">
        <w:rPr>
          <w:rFonts w:ascii="Times New Roman" w:hAnsi="Times New Roman"/>
          <w:color w:val="000000"/>
          <w:sz w:val="24"/>
          <w:szCs w:val="24"/>
          <w:lang w:val="lv-LV" w:eastAsia="lv-LV"/>
        </w:rPr>
        <w:t xml:space="preserve"> </w:t>
      </w:r>
      <w:r w:rsidR="000868E1" w:rsidRPr="00C07278">
        <w:rPr>
          <w:rFonts w:ascii="Times New Roman" w:hAnsi="Times New Roman"/>
          <w:color w:val="000000"/>
          <w:sz w:val="24"/>
          <w:szCs w:val="24"/>
          <w:lang w:val="lv-LV" w:eastAsia="lv-LV"/>
        </w:rPr>
        <w:t>2.5.2.</w:t>
      </w:r>
      <w:r w:rsidR="00DE03EB">
        <w:rPr>
          <w:rFonts w:ascii="Times New Roman" w:hAnsi="Times New Roman"/>
          <w:color w:val="000000"/>
          <w:sz w:val="24"/>
          <w:szCs w:val="24"/>
          <w:lang w:val="lv-LV" w:eastAsia="lv-LV"/>
        </w:rPr>
        <w:t> </w:t>
      </w:r>
      <w:r w:rsidR="000868E1" w:rsidRPr="00C07278">
        <w:rPr>
          <w:rFonts w:ascii="Times New Roman" w:hAnsi="Times New Roman"/>
          <w:color w:val="000000"/>
          <w:sz w:val="24"/>
          <w:szCs w:val="24"/>
          <w:lang w:val="lv-LV" w:eastAsia="lv-LV"/>
        </w:rPr>
        <w:t>aktivitātes ietvaros īstenoja 7 projektus</w:t>
      </w:r>
      <w:r w:rsidR="008B58AB">
        <w:rPr>
          <w:rFonts w:ascii="Times New Roman" w:hAnsi="Times New Roman"/>
          <w:color w:val="000000"/>
          <w:sz w:val="24"/>
          <w:szCs w:val="24"/>
          <w:lang w:val="lv-LV" w:eastAsia="lv-LV"/>
        </w:rPr>
        <w:t xml:space="preserve">, </w:t>
      </w:r>
      <w:r w:rsidR="00DE03EB">
        <w:rPr>
          <w:rFonts w:ascii="Times New Roman" w:hAnsi="Times New Roman"/>
          <w:color w:val="000000"/>
          <w:sz w:val="24"/>
          <w:szCs w:val="24"/>
          <w:lang w:val="lv-LV" w:eastAsia="lv-LV"/>
        </w:rPr>
        <w:t>tai skaitā</w:t>
      </w:r>
      <w:r w:rsidR="008B58AB">
        <w:rPr>
          <w:rFonts w:ascii="Times New Roman" w:hAnsi="Times New Roman"/>
          <w:color w:val="000000"/>
          <w:sz w:val="24"/>
          <w:szCs w:val="24"/>
          <w:lang w:val="lv-LV" w:eastAsia="lv-LV"/>
        </w:rPr>
        <w:t xml:space="preserve"> </w:t>
      </w:r>
      <w:r w:rsidR="00170DBA" w:rsidRPr="00C07278">
        <w:rPr>
          <w:rFonts w:ascii="Times New Roman" w:hAnsi="Times New Roman"/>
          <w:color w:val="000000"/>
          <w:sz w:val="24"/>
          <w:szCs w:val="24"/>
          <w:lang w:val="lv-LV" w:eastAsia="lv-LV"/>
        </w:rPr>
        <w:t>RTU</w:t>
      </w:r>
      <w:r w:rsidR="00882C7C" w:rsidRPr="00C07278">
        <w:rPr>
          <w:rFonts w:ascii="Times New Roman" w:hAnsi="Times New Roman"/>
          <w:color w:val="000000"/>
          <w:sz w:val="24"/>
          <w:szCs w:val="24"/>
          <w:lang w:val="lv-LV" w:eastAsia="lv-LV"/>
        </w:rPr>
        <w:t xml:space="preserve"> </w:t>
      </w:r>
      <w:r w:rsidR="00FD1EA8">
        <w:rPr>
          <w:rFonts w:ascii="Times New Roman" w:hAnsi="Times New Roman"/>
          <w:color w:val="000000"/>
          <w:sz w:val="24"/>
          <w:szCs w:val="24"/>
          <w:lang w:val="lv-LV" w:eastAsia="lv-LV"/>
        </w:rPr>
        <w:t xml:space="preserve">īstenoja </w:t>
      </w:r>
      <w:r w:rsidR="00170DBA" w:rsidRPr="00C07278">
        <w:rPr>
          <w:rFonts w:ascii="Times New Roman" w:hAnsi="Times New Roman"/>
          <w:color w:val="000000"/>
          <w:sz w:val="24"/>
          <w:szCs w:val="24"/>
          <w:lang w:val="lv-LV" w:eastAsia="lv-LV"/>
        </w:rPr>
        <w:t xml:space="preserve">4 projektus par kopējo attiecināmo finansējumu 4,26 milj. </w:t>
      </w:r>
      <w:r w:rsidR="00170DBA" w:rsidRPr="00C07278">
        <w:rPr>
          <w:rFonts w:ascii="Times New Roman" w:hAnsi="Times New Roman"/>
          <w:i/>
          <w:sz w:val="24"/>
          <w:szCs w:val="24"/>
          <w:lang w:val="lv-LV"/>
        </w:rPr>
        <w:t>euro</w:t>
      </w:r>
      <w:r w:rsidR="00882C7C" w:rsidRPr="00C07278">
        <w:rPr>
          <w:rFonts w:ascii="Times New Roman" w:hAnsi="Times New Roman"/>
          <w:color w:val="000000"/>
          <w:sz w:val="24"/>
          <w:szCs w:val="24"/>
          <w:lang w:val="lv-LV" w:eastAsia="lv-LV"/>
        </w:rPr>
        <w:t xml:space="preserve"> </w:t>
      </w:r>
      <w:r w:rsidR="000868E1" w:rsidRPr="00C07278">
        <w:rPr>
          <w:rFonts w:ascii="Times New Roman" w:hAnsi="Times New Roman"/>
          <w:sz w:val="24"/>
          <w:szCs w:val="24"/>
          <w:lang w:val="lv-LV"/>
        </w:rPr>
        <w:t>un</w:t>
      </w:r>
      <w:r w:rsidR="000868E1" w:rsidRPr="00C07278">
        <w:rPr>
          <w:rFonts w:ascii="Times New Roman" w:hAnsi="Times New Roman"/>
          <w:i/>
          <w:sz w:val="24"/>
          <w:szCs w:val="24"/>
          <w:lang w:val="lv-LV"/>
        </w:rPr>
        <w:t xml:space="preserve"> </w:t>
      </w:r>
      <w:r w:rsidR="00170DBA" w:rsidRPr="00C07278">
        <w:rPr>
          <w:rFonts w:ascii="Times New Roman" w:hAnsi="Times New Roman"/>
          <w:sz w:val="24"/>
          <w:szCs w:val="24"/>
          <w:lang w:val="lv-LV"/>
        </w:rPr>
        <w:t xml:space="preserve">LU </w:t>
      </w:r>
      <w:r w:rsidR="00170DBA" w:rsidRPr="00C07278">
        <w:rPr>
          <w:rFonts w:ascii="Times New Roman" w:hAnsi="Times New Roman"/>
          <w:color w:val="000000"/>
          <w:sz w:val="24"/>
          <w:szCs w:val="24"/>
          <w:lang w:val="lv-LV" w:eastAsia="lv-LV"/>
        </w:rPr>
        <w:t xml:space="preserve">3 projektus par kopējo attiecināmo finansējumu 4,14 milj. </w:t>
      </w:r>
      <w:r w:rsidR="00170DBA" w:rsidRPr="00C07278">
        <w:rPr>
          <w:rFonts w:ascii="Times New Roman" w:hAnsi="Times New Roman"/>
          <w:i/>
          <w:sz w:val="24"/>
          <w:szCs w:val="24"/>
          <w:lang w:val="lv-LV"/>
        </w:rPr>
        <w:t>euro.</w:t>
      </w:r>
      <w:r w:rsidR="00FD1EA8">
        <w:rPr>
          <w:rFonts w:ascii="Times New Roman" w:hAnsi="Times New Roman"/>
          <w:color w:val="000000"/>
          <w:sz w:val="24"/>
          <w:szCs w:val="24"/>
          <w:lang w:val="lv-LV" w:eastAsia="lv-LV"/>
        </w:rPr>
        <w:t xml:space="preserve"> </w:t>
      </w:r>
      <w:r w:rsidR="00227DC7" w:rsidRPr="00C07278">
        <w:rPr>
          <w:rFonts w:ascii="Times New Roman" w:hAnsi="Times New Roman"/>
          <w:color w:val="000000"/>
          <w:sz w:val="24"/>
          <w:szCs w:val="24"/>
          <w:lang w:val="lv-LV" w:eastAsia="lv-LV"/>
        </w:rPr>
        <w:t>Pētniecības infrastruktūru modernizācij</w:t>
      </w:r>
      <w:r w:rsidR="008B58AB">
        <w:rPr>
          <w:rFonts w:ascii="Times New Roman" w:hAnsi="Times New Roman"/>
          <w:color w:val="000000"/>
          <w:sz w:val="24"/>
          <w:szCs w:val="24"/>
          <w:lang w:val="lv-LV" w:eastAsia="lv-LV"/>
        </w:rPr>
        <w:t xml:space="preserve">a </w:t>
      </w:r>
      <w:r w:rsidR="00227DC7" w:rsidRPr="00C07278">
        <w:rPr>
          <w:rFonts w:ascii="Times New Roman" w:hAnsi="Times New Roman"/>
          <w:color w:val="000000"/>
          <w:sz w:val="24"/>
          <w:szCs w:val="24"/>
          <w:lang w:val="lv-LV" w:eastAsia="lv-LV"/>
        </w:rPr>
        <w:t xml:space="preserve">deva </w:t>
      </w:r>
      <w:r w:rsidR="00227DC7" w:rsidRPr="00933739">
        <w:rPr>
          <w:rFonts w:ascii="Times New Roman" w:hAnsi="Times New Roman"/>
          <w:color w:val="000000"/>
          <w:sz w:val="24"/>
          <w:szCs w:val="24"/>
          <w:lang w:val="lv-LV" w:eastAsia="lv-LV"/>
        </w:rPr>
        <w:t xml:space="preserve">iespēju valsts zinātniskajām institūcijām piedalīties ES un starptautiskos pētniecības projektos. </w:t>
      </w:r>
    </w:p>
    <w:p w14:paraId="403D1C4A" w14:textId="77777777" w:rsidR="003523F8" w:rsidRPr="00C07278" w:rsidRDefault="00170DBA" w:rsidP="00E7642A">
      <w:pPr>
        <w:pStyle w:val="Header"/>
        <w:tabs>
          <w:tab w:val="clear" w:pos="4320"/>
          <w:tab w:val="center" w:pos="0"/>
        </w:tabs>
        <w:spacing w:after="0" w:line="240" w:lineRule="auto"/>
        <w:ind w:firstLine="567"/>
        <w:jc w:val="both"/>
        <w:rPr>
          <w:rFonts w:ascii="Times New Roman" w:hAnsi="Times New Roman"/>
          <w:sz w:val="24"/>
          <w:szCs w:val="24"/>
          <w:lang w:val="lv-LV"/>
        </w:rPr>
      </w:pPr>
      <w:r w:rsidRPr="00933739">
        <w:rPr>
          <w:rFonts w:ascii="Times New Roman" w:hAnsi="Times New Roman"/>
          <w:sz w:val="24"/>
          <w:szCs w:val="24"/>
          <w:lang w:val="lv-LV"/>
        </w:rPr>
        <w:t>Detalizēta informācija par 2.5.2.</w:t>
      </w:r>
      <w:r w:rsidR="008B1832">
        <w:rPr>
          <w:rFonts w:ascii="Times New Roman" w:hAnsi="Times New Roman"/>
          <w:sz w:val="24"/>
          <w:szCs w:val="24"/>
          <w:lang w:val="lv-LV"/>
        </w:rPr>
        <w:t> </w:t>
      </w:r>
      <w:r w:rsidRPr="00933739">
        <w:rPr>
          <w:rFonts w:ascii="Times New Roman" w:hAnsi="Times New Roman"/>
          <w:sz w:val="24"/>
          <w:szCs w:val="24"/>
          <w:lang w:val="lv-LV"/>
        </w:rPr>
        <w:t>aktivitātes ietvaros īstenotajiem projektiem</w:t>
      </w:r>
      <w:r w:rsidR="00EC11BD" w:rsidRPr="00933739">
        <w:rPr>
          <w:rFonts w:ascii="Times New Roman" w:hAnsi="Times New Roman"/>
          <w:sz w:val="24"/>
          <w:szCs w:val="24"/>
          <w:lang w:val="lv-LV"/>
        </w:rPr>
        <w:t xml:space="preserve">, </w:t>
      </w:r>
      <w:r w:rsidR="00D920CF" w:rsidRPr="002D7733">
        <w:rPr>
          <w:rFonts w:ascii="Times New Roman" w:hAnsi="Times New Roman"/>
          <w:sz w:val="24"/>
          <w:szCs w:val="24"/>
          <w:lang w:val="lv-LV"/>
        </w:rPr>
        <w:t xml:space="preserve">kopējo </w:t>
      </w:r>
      <w:r w:rsidR="00FD1EA8">
        <w:rPr>
          <w:rFonts w:ascii="Times New Roman" w:hAnsi="Times New Roman"/>
          <w:sz w:val="24"/>
          <w:szCs w:val="24"/>
          <w:lang w:val="lv-LV"/>
        </w:rPr>
        <w:t xml:space="preserve">projektu ietvaros </w:t>
      </w:r>
      <w:r w:rsidR="00D920CF" w:rsidRPr="002D7733">
        <w:rPr>
          <w:rFonts w:ascii="Times New Roman" w:hAnsi="Times New Roman"/>
          <w:sz w:val="24"/>
          <w:szCs w:val="24"/>
          <w:lang w:val="lv-LV"/>
        </w:rPr>
        <w:t>piesaistīto</w:t>
      </w:r>
      <w:r w:rsidR="00FD1EA8">
        <w:rPr>
          <w:rFonts w:ascii="Times New Roman" w:hAnsi="Times New Roman"/>
          <w:sz w:val="24"/>
          <w:szCs w:val="24"/>
          <w:lang w:val="lv-LV"/>
        </w:rPr>
        <w:t xml:space="preserve"> </w:t>
      </w:r>
      <w:r w:rsidR="00EC11BD" w:rsidRPr="00933739">
        <w:rPr>
          <w:rFonts w:ascii="Times New Roman" w:hAnsi="Times New Roman"/>
          <w:sz w:val="24"/>
          <w:szCs w:val="24"/>
          <w:lang w:val="lv-LV"/>
        </w:rPr>
        <w:t>finansējumu un sasniegtajiem rezultātiem</w:t>
      </w:r>
      <w:r w:rsidRPr="00933739">
        <w:rPr>
          <w:rFonts w:ascii="Times New Roman" w:hAnsi="Times New Roman"/>
          <w:sz w:val="24"/>
          <w:szCs w:val="24"/>
          <w:lang w:val="lv-LV"/>
        </w:rPr>
        <w:t xml:space="preserve"> norādīta </w:t>
      </w:r>
      <w:r w:rsidR="005163E5">
        <w:rPr>
          <w:rFonts w:ascii="Times New Roman" w:hAnsi="Times New Roman"/>
          <w:sz w:val="24"/>
          <w:szCs w:val="24"/>
          <w:lang w:val="lv-LV"/>
        </w:rPr>
        <w:t xml:space="preserve">informatīvā ziņojuma </w:t>
      </w:r>
      <w:r w:rsidR="00B55BBD">
        <w:rPr>
          <w:rFonts w:ascii="Times New Roman" w:hAnsi="Times New Roman"/>
          <w:sz w:val="24"/>
          <w:szCs w:val="24"/>
          <w:lang w:val="lv-LV"/>
        </w:rPr>
        <w:t>4</w:t>
      </w:r>
      <w:r w:rsidR="005163E5">
        <w:rPr>
          <w:rFonts w:ascii="Times New Roman" w:hAnsi="Times New Roman"/>
          <w:sz w:val="24"/>
          <w:szCs w:val="24"/>
          <w:lang w:val="lv-LV"/>
        </w:rPr>
        <w:t>.</w:t>
      </w:r>
      <w:r w:rsidR="008B1832">
        <w:rPr>
          <w:rFonts w:ascii="Times New Roman" w:hAnsi="Times New Roman"/>
          <w:sz w:val="24"/>
          <w:szCs w:val="24"/>
          <w:lang w:val="lv-LV"/>
        </w:rPr>
        <w:t> </w:t>
      </w:r>
      <w:r w:rsidRPr="00DF5302">
        <w:rPr>
          <w:rFonts w:ascii="Times New Roman" w:hAnsi="Times New Roman"/>
          <w:sz w:val="24"/>
          <w:szCs w:val="24"/>
          <w:lang w:val="lv-LV"/>
        </w:rPr>
        <w:t>pielikumā.</w:t>
      </w:r>
    </w:p>
    <w:p w14:paraId="03730FFD" w14:textId="77777777" w:rsidR="00933739" w:rsidRPr="006D72E2" w:rsidRDefault="003523F8" w:rsidP="00E7642A">
      <w:pPr>
        <w:pStyle w:val="Heading1"/>
        <w:numPr>
          <w:ilvl w:val="1"/>
          <w:numId w:val="1"/>
        </w:numPr>
        <w:spacing w:before="360" w:after="120"/>
        <w:ind w:left="567" w:hanging="567"/>
        <w:jc w:val="center"/>
        <w:rPr>
          <w:rFonts w:ascii="Times New Roman" w:hAnsi="Times New Roman"/>
          <w:sz w:val="24"/>
          <w:szCs w:val="24"/>
        </w:rPr>
      </w:pPr>
      <w:bookmarkStart w:id="9" w:name="_Toc458673273"/>
      <w:r w:rsidRPr="00C07278">
        <w:rPr>
          <w:rFonts w:ascii="Times New Roman" w:hAnsi="Times New Roman"/>
          <w:color w:val="auto"/>
          <w:sz w:val="24"/>
          <w:szCs w:val="24"/>
        </w:rPr>
        <w:t xml:space="preserve">VNPC </w:t>
      </w:r>
      <w:r w:rsidR="0002427F">
        <w:rPr>
          <w:rFonts w:ascii="Times New Roman" w:hAnsi="Times New Roman"/>
          <w:color w:val="auto"/>
          <w:sz w:val="24"/>
          <w:szCs w:val="24"/>
        </w:rPr>
        <w:t xml:space="preserve">izveide un </w:t>
      </w:r>
      <w:r w:rsidRPr="00C07278">
        <w:rPr>
          <w:rFonts w:ascii="Times New Roman" w:hAnsi="Times New Roman"/>
          <w:color w:val="auto"/>
          <w:sz w:val="24"/>
          <w:szCs w:val="24"/>
        </w:rPr>
        <w:t>infrastruktūra</w:t>
      </w:r>
      <w:bookmarkEnd w:id="9"/>
    </w:p>
    <w:p w14:paraId="70390CDD" w14:textId="6F552358" w:rsidR="003523F8" w:rsidRPr="002D7733" w:rsidRDefault="008B58AB" w:rsidP="00E7642A">
      <w:pPr>
        <w:ind w:left="0" w:firstLine="567"/>
        <w:rPr>
          <w:rFonts w:ascii="Times New Roman" w:hAnsi="Times New Roman"/>
          <w:sz w:val="24"/>
          <w:szCs w:val="24"/>
        </w:rPr>
      </w:pPr>
      <w:r>
        <w:rPr>
          <w:rFonts w:ascii="Times New Roman" w:hAnsi="Times New Roman"/>
          <w:sz w:val="24"/>
          <w:szCs w:val="24"/>
        </w:rPr>
        <w:t>E</w:t>
      </w:r>
      <w:r w:rsidRPr="00350F96">
        <w:rPr>
          <w:rFonts w:ascii="Times New Roman" w:hAnsi="Times New Roman"/>
          <w:sz w:val="24"/>
          <w:szCs w:val="24"/>
        </w:rPr>
        <w:t>konomikas atveseļošanās politikas vidēja termiņa periodā ietvaros tika izveidoti deviņi V</w:t>
      </w:r>
      <w:r>
        <w:rPr>
          <w:rFonts w:ascii="Times New Roman" w:hAnsi="Times New Roman"/>
          <w:sz w:val="24"/>
          <w:szCs w:val="24"/>
        </w:rPr>
        <w:t>alsts nozīmes pētniecības centri (</w:t>
      </w:r>
      <w:r w:rsidR="005429E0">
        <w:rPr>
          <w:rFonts w:ascii="Times New Roman" w:hAnsi="Times New Roman"/>
          <w:sz w:val="24"/>
          <w:szCs w:val="24"/>
        </w:rPr>
        <w:t xml:space="preserve">turpmāk </w:t>
      </w:r>
      <w:r w:rsidR="005429E0" w:rsidRPr="00C07278">
        <w:rPr>
          <w:rFonts w:ascii="Times New Roman" w:hAnsi="Times New Roman"/>
          <w:sz w:val="24"/>
          <w:szCs w:val="24"/>
        </w:rPr>
        <w:t>–</w:t>
      </w:r>
      <w:r w:rsidR="005429E0">
        <w:rPr>
          <w:rFonts w:ascii="Times New Roman" w:hAnsi="Times New Roman"/>
          <w:sz w:val="24"/>
          <w:szCs w:val="24"/>
        </w:rPr>
        <w:t xml:space="preserve"> </w:t>
      </w:r>
      <w:r>
        <w:rPr>
          <w:rFonts w:ascii="Times New Roman" w:hAnsi="Times New Roman"/>
          <w:sz w:val="24"/>
          <w:szCs w:val="24"/>
        </w:rPr>
        <w:t>VNPC). Ieguldījumi VNPC tika veikti ņ</w:t>
      </w:r>
      <w:r w:rsidR="003523F8" w:rsidRPr="002D7733">
        <w:rPr>
          <w:rFonts w:ascii="Times New Roman" w:hAnsi="Times New Roman"/>
          <w:sz w:val="24"/>
          <w:szCs w:val="24"/>
        </w:rPr>
        <w:t xml:space="preserve">emot vērā </w:t>
      </w:r>
      <w:r w:rsidR="006D6E7F" w:rsidRPr="002D7733">
        <w:rPr>
          <w:rFonts w:ascii="Times New Roman" w:hAnsi="Times New Roman"/>
          <w:sz w:val="24"/>
          <w:szCs w:val="24"/>
        </w:rPr>
        <w:t>valstī noteiktos valsts prioritāros zinātnes virzienus</w:t>
      </w:r>
      <w:r w:rsidR="003523F8" w:rsidRPr="00933739">
        <w:rPr>
          <w:rStyle w:val="FootnoteReference"/>
          <w:rFonts w:ascii="Times New Roman" w:hAnsi="Times New Roman"/>
          <w:sz w:val="24"/>
          <w:szCs w:val="24"/>
        </w:rPr>
        <w:footnoteReference w:id="13"/>
      </w:r>
      <w:r w:rsidR="0061202D" w:rsidRPr="002D7733">
        <w:rPr>
          <w:rFonts w:ascii="Times New Roman" w:hAnsi="Times New Roman"/>
          <w:sz w:val="24"/>
          <w:szCs w:val="24"/>
        </w:rPr>
        <w:t xml:space="preserve"> un</w:t>
      </w:r>
      <w:r w:rsidR="003523F8" w:rsidRPr="002D7733">
        <w:rPr>
          <w:rFonts w:ascii="Times New Roman" w:hAnsi="Times New Roman"/>
          <w:sz w:val="24"/>
          <w:szCs w:val="24"/>
        </w:rPr>
        <w:t xml:space="preserve"> </w:t>
      </w:r>
      <w:r w:rsidR="0061202D" w:rsidRPr="002D7733">
        <w:rPr>
          <w:rFonts w:ascii="Times New Roman" w:hAnsi="Times New Roman"/>
          <w:sz w:val="24"/>
          <w:szCs w:val="24"/>
        </w:rPr>
        <w:lastRenderedPageBreak/>
        <w:t>tautsaimniecības prioritārās nozares</w:t>
      </w:r>
      <w:r w:rsidR="0061202D" w:rsidRPr="00933739">
        <w:rPr>
          <w:rStyle w:val="FootnoteReference"/>
          <w:rFonts w:ascii="Times New Roman" w:hAnsi="Times New Roman"/>
          <w:sz w:val="24"/>
          <w:szCs w:val="24"/>
        </w:rPr>
        <w:footnoteReference w:id="14"/>
      </w:r>
      <w:r w:rsidR="0038675C">
        <w:rPr>
          <w:rFonts w:ascii="Times New Roman" w:hAnsi="Times New Roman"/>
          <w:sz w:val="24"/>
          <w:szCs w:val="24"/>
        </w:rPr>
        <w:t xml:space="preserve"> un to mērķis bija</w:t>
      </w:r>
      <w:r w:rsidR="0038675C" w:rsidRPr="00C07278">
        <w:rPr>
          <w:rFonts w:ascii="Times New Roman" w:hAnsi="Times New Roman"/>
          <w:sz w:val="24"/>
          <w:szCs w:val="24"/>
        </w:rPr>
        <w:t xml:space="preserve"> sekmēt Latvijas tautsaimniecības prioritāro nozaru un sabiedrības attīstību</w:t>
      </w:r>
      <w:r w:rsidR="0038675C">
        <w:rPr>
          <w:rFonts w:ascii="Times New Roman" w:hAnsi="Times New Roman"/>
          <w:sz w:val="24"/>
          <w:szCs w:val="24"/>
        </w:rPr>
        <w:t xml:space="preserve">. </w:t>
      </w:r>
      <w:r w:rsidR="0002427F">
        <w:rPr>
          <w:rFonts w:ascii="Times New Roman" w:hAnsi="Times New Roman"/>
          <w:sz w:val="24"/>
          <w:szCs w:val="24"/>
        </w:rPr>
        <w:t>Ieguldījumi tika veikti saskaņā ar</w:t>
      </w:r>
      <w:r w:rsidR="0038675C" w:rsidRPr="00C07278">
        <w:rPr>
          <w:rFonts w:ascii="Times New Roman" w:hAnsi="Times New Roman"/>
          <w:sz w:val="24"/>
          <w:szCs w:val="24"/>
        </w:rPr>
        <w:t xml:space="preserve"> </w:t>
      </w:r>
      <w:r w:rsidR="0002427F" w:rsidRPr="00C07278">
        <w:rPr>
          <w:rFonts w:ascii="Times New Roman" w:hAnsi="Times New Roman"/>
          <w:sz w:val="24"/>
          <w:szCs w:val="24"/>
        </w:rPr>
        <w:t>Zinātnes un tehnoloģijas attīstības pamatnostādn</w:t>
      </w:r>
      <w:r w:rsidR="0002427F">
        <w:rPr>
          <w:rFonts w:ascii="Times New Roman" w:hAnsi="Times New Roman"/>
          <w:sz w:val="24"/>
          <w:szCs w:val="24"/>
        </w:rPr>
        <w:t>ēm</w:t>
      </w:r>
      <w:r w:rsidR="0002427F" w:rsidRPr="00C07278">
        <w:rPr>
          <w:rFonts w:ascii="Times New Roman" w:hAnsi="Times New Roman"/>
          <w:sz w:val="24"/>
          <w:szCs w:val="24"/>
        </w:rPr>
        <w:t xml:space="preserve"> 2009.</w:t>
      </w:r>
      <w:r w:rsidR="005429E0" w:rsidRPr="00C07278">
        <w:rPr>
          <w:rFonts w:ascii="Times New Roman" w:hAnsi="Times New Roman"/>
          <w:sz w:val="24"/>
          <w:szCs w:val="24"/>
        </w:rPr>
        <w:t>–</w:t>
      </w:r>
      <w:r w:rsidR="0002427F" w:rsidRPr="00C07278">
        <w:rPr>
          <w:rFonts w:ascii="Times New Roman" w:hAnsi="Times New Roman"/>
          <w:sz w:val="24"/>
          <w:szCs w:val="24"/>
        </w:rPr>
        <w:t>2013.</w:t>
      </w:r>
      <w:r w:rsidR="008B1832">
        <w:rPr>
          <w:rFonts w:ascii="Times New Roman" w:hAnsi="Times New Roman"/>
          <w:sz w:val="24"/>
          <w:szCs w:val="24"/>
        </w:rPr>
        <w:t> </w:t>
      </w:r>
      <w:r w:rsidR="0002427F" w:rsidRPr="00C07278">
        <w:rPr>
          <w:rFonts w:ascii="Times New Roman" w:hAnsi="Times New Roman"/>
          <w:sz w:val="24"/>
          <w:szCs w:val="24"/>
        </w:rPr>
        <w:t>gadam</w:t>
      </w:r>
      <w:r w:rsidR="0002427F">
        <w:rPr>
          <w:rFonts w:ascii="Times New Roman" w:hAnsi="Times New Roman"/>
          <w:sz w:val="24"/>
          <w:szCs w:val="24"/>
        </w:rPr>
        <w:t>, kas</w:t>
      </w:r>
      <w:r w:rsidR="0002427F" w:rsidRPr="00C07278">
        <w:rPr>
          <w:rFonts w:ascii="Times New Roman" w:hAnsi="Times New Roman"/>
          <w:sz w:val="24"/>
          <w:szCs w:val="24"/>
        </w:rPr>
        <w:t xml:space="preserve"> </w:t>
      </w:r>
      <w:r w:rsidR="0002427F">
        <w:rPr>
          <w:rFonts w:ascii="Times New Roman" w:hAnsi="Times New Roman"/>
          <w:sz w:val="24"/>
          <w:szCs w:val="24"/>
        </w:rPr>
        <w:t xml:space="preserve">paredzēja </w:t>
      </w:r>
      <w:r w:rsidR="0002427F" w:rsidRPr="00C07278">
        <w:rPr>
          <w:rFonts w:ascii="Times New Roman" w:hAnsi="Times New Roman"/>
          <w:sz w:val="24"/>
          <w:szCs w:val="24"/>
        </w:rPr>
        <w:t xml:space="preserve">modernizēt </w:t>
      </w:r>
      <w:r w:rsidR="0002427F">
        <w:rPr>
          <w:rFonts w:ascii="Times New Roman" w:hAnsi="Times New Roman"/>
          <w:sz w:val="24"/>
          <w:szCs w:val="24"/>
        </w:rPr>
        <w:t xml:space="preserve">vismaz </w:t>
      </w:r>
      <w:r w:rsidR="0002427F" w:rsidRPr="00C07278">
        <w:rPr>
          <w:rFonts w:ascii="Times New Roman" w:hAnsi="Times New Roman"/>
          <w:sz w:val="24"/>
          <w:szCs w:val="24"/>
        </w:rPr>
        <w:t xml:space="preserve">30 </w:t>
      </w:r>
      <w:r w:rsidR="005429E0">
        <w:rPr>
          <w:rFonts w:ascii="Times New Roman" w:hAnsi="Times New Roman"/>
          <w:sz w:val="24"/>
          <w:szCs w:val="24"/>
        </w:rPr>
        <w:t>zinātnisko institūciju reģistrā</w:t>
      </w:r>
      <w:r w:rsidR="005429E0" w:rsidRPr="00C07278">
        <w:rPr>
          <w:rFonts w:ascii="Times New Roman" w:hAnsi="Times New Roman"/>
          <w:sz w:val="24"/>
          <w:szCs w:val="24"/>
        </w:rPr>
        <w:t xml:space="preserve"> </w:t>
      </w:r>
      <w:r w:rsidR="0002427F" w:rsidRPr="00C07278">
        <w:rPr>
          <w:rFonts w:ascii="Times New Roman" w:hAnsi="Times New Roman"/>
          <w:sz w:val="24"/>
          <w:szCs w:val="24"/>
        </w:rPr>
        <w:t xml:space="preserve">reģistrēto valsts zinātnisko institūtu, valsts augstskolu un </w:t>
      </w:r>
      <w:r w:rsidR="0002427F">
        <w:rPr>
          <w:rFonts w:ascii="Times New Roman" w:hAnsi="Times New Roman"/>
          <w:sz w:val="24"/>
          <w:szCs w:val="24"/>
        </w:rPr>
        <w:t>to</w:t>
      </w:r>
      <w:r w:rsidR="0002427F" w:rsidRPr="00C07278">
        <w:rPr>
          <w:rFonts w:ascii="Times New Roman" w:hAnsi="Times New Roman"/>
          <w:sz w:val="24"/>
          <w:szCs w:val="24"/>
        </w:rPr>
        <w:t xml:space="preserve"> zinātnisko institūtu </w:t>
      </w:r>
      <w:r w:rsidR="0002427F" w:rsidRPr="00933739">
        <w:rPr>
          <w:rFonts w:ascii="Times New Roman" w:hAnsi="Times New Roman"/>
          <w:sz w:val="24"/>
          <w:szCs w:val="24"/>
        </w:rPr>
        <w:t xml:space="preserve">pētniecības infrastruktūru, koncentrējot zinātni un pētniecību atsevišķos un pastāvīgos zinātnes centros. </w:t>
      </w:r>
    </w:p>
    <w:p w14:paraId="57AF5DB7" w14:textId="77777777" w:rsidR="002919B2" w:rsidRPr="00EE1556" w:rsidRDefault="00D71F9E" w:rsidP="00E7642A">
      <w:pPr>
        <w:pStyle w:val="Header"/>
        <w:tabs>
          <w:tab w:val="clear" w:pos="4320"/>
          <w:tab w:val="center" w:pos="0"/>
        </w:tabs>
        <w:spacing w:after="0" w:line="240" w:lineRule="auto"/>
        <w:ind w:firstLine="567"/>
        <w:jc w:val="both"/>
        <w:rPr>
          <w:rFonts w:ascii="Times New Roman" w:hAnsi="Times New Roman"/>
          <w:sz w:val="24"/>
          <w:szCs w:val="24"/>
          <w:lang w:val="lv-LV"/>
        </w:rPr>
      </w:pPr>
      <w:r w:rsidRPr="00C07278">
        <w:rPr>
          <w:rFonts w:ascii="Times New Roman" w:hAnsi="Times New Roman"/>
          <w:sz w:val="24"/>
          <w:szCs w:val="24"/>
          <w:lang w:val="lv-LV"/>
        </w:rPr>
        <w:t xml:space="preserve">VNPC </w:t>
      </w:r>
      <w:r w:rsidR="008B58AB">
        <w:rPr>
          <w:rFonts w:ascii="Times New Roman" w:hAnsi="Times New Roman"/>
          <w:sz w:val="24"/>
          <w:szCs w:val="24"/>
          <w:lang w:val="lv-LV"/>
        </w:rPr>
        <w:t>tika izveidots kā</w:t>
      </w:r>
      <w:r w:rsidRPr="00C07278">
        <w:rPr>
          <w:rFonts w:ascii="Times New Roman" w:hAnsi="Times New Roman"/>
          <w:sz w:val="24"/>
          <w:szCs w:val="24"/>
          <w:lang w:val="lv-LV"/>
        </w:rPr>
        <w:t xml:space="preserve"> </w:t>
      </w:r>
      <w:r w:rsidRPr="004057D8">
        <w:rPr>
          <w:rFonts w:ascii="Times New Roman" w:hAnsi="Times New Roman"/>
          <w:sz w:val="24"/>
          <w:szCs w:val="24"/>
          <w:lang w:val="lv-LV"/>
        </w:rPr>
        <w:t>zinātnisko institūciju sadarbības ietvars</w:t>
      </w:r>
      <w:r w:rsidRPr="00C07278">
        <w:rPr>
          <w:rFonts w:ascii="Times New Roman" w:hAnsi="Times New Roman"/>
          <w:sz w:val="24"/>
          <w:szCs w:val="24"/>
          <w:lang w:val="lv-LV"/>
        </w:rPr>
        <w:t xml:space="preserve"> zinātnes resursu koncentrēšanai Eiropas līmeņa pētniecībai zinātnes prioritārajā virzienā</w:t>
      </w:r>
      <w:r w:rsidR="0038675C">
        <w:rPr>
          <w:rFonts w:ascii="Times New Roman" w:hAnsi="Times New Roman"/>
          <w:sz w:val="24"/>
          <w:szCs w:val="24"/>
          <w:lang w:val="lv-LV"/>
        </w:rPr>
        <w:t>,</w:t>
      </w:r>
      <w:r w:rsidRPr="00C07278">
        <w:rPr>
          <w:rFonts w:ascii="Times New Roman" w:hAnsi="Times New Roman"/>
          <w:sz w:val="24"/>
          <w:szCs w:val="24"/>
          <w:lang w:val="lv-LV"/>
        </w:rPr>
        <w:t xml:space="preserve"> kura ietvaros tiek nodrošināta sadarbība starp VNPC iesaistītajām zinātniskajām institūcijām zinātnes infrastruktūras izmantošanā</w:t>
      </w:r>
      <w:r w:rsidR="0038675C">
        <w:rPr>
          <w:rFonts w:ascii="Times New Roman" w:hAnsi="Times New Roman"/>
          <w:sz w:val="24"/>
          <w:szCs w:val="24"/>
          <w:lang w:val="lv-LV"/>
        </w:rPr>
        <w:t xml:space="preserve">. </w:t>
      </w:r>
      <w:r w:rsidRPr="00C07278">
        <w:rPr>
          <w:rFonts w:ascii="Times New Roman" w:hAnsi="Times New Roman"/>
          <w:sz w:val="24"/>
          <w:szCs w:val="24"/>
          <w:lang w:val="lv-LV"/>
        </w:rPr>
        <w:t xml:space="preserve"> </w:t>
      </w:r>
      <w:r w:rsidR="0038675C">
        <w:rPr>
          <w:rFonts w:ascii="Times New Roman" w:hAnsi="Times New Roman"/>
          <w:sz w:val="24"/>
          <w:szCs w:val="24"/>
          <w:lang w:val="lv-LV"/>
        </w:rPr>
        <w:t xml:space="preserve">VNPC uzdevums bija </w:t>
      </w:r>
      <w:r w:rsidRPr="00C07278">
        <w:rPr>
          <w:rFonts w:ascii="Times New Roman" w:hAnsi="Times New Roman"/>
          <w:sz w:val="24"/>
          <w:szCs w:val="24"/>
          <w:lang w:val="lv-LV"/>
        </w:rPr>
        <w:t xml:space="preserve">resursu un ieguldījumu </w:t>
      </w:r>
      <w:r w:rsidRPr="00EE1556">
        <w:rPr>
          <w:rFonts w:ascii="Times New Roman" w:hAnsi="Times New Roman"/>
          <w:sz w:val="24"/>
          <w:szCs w:val="24"/>
          <w:lang w:val="lv-LV"/>
        </w:rPr>
        <w:t>koncentrēšan</w:t>
      </w:r>
      <w:r w:rsidR="0038675C">
        <w:rPr>
          <w:rFonts w:ascii="Times New Roman" w:hAnsi="Times New Roman"/>
          <w:sz w:val="24"/>
          <w:szCs w:val="24"/>
          <w:lang w:val="lv-LV"/>
        </w:rPr>
        <w:t>a</w:t>
      </w:r>
      <w:r w:rsidRPr="00EE1556">
        <w:rPr>
          <w:rFonts w:ascii="Times New Roman" w:hAnsi="Times New Roman"/>
          <w:sz w:val="24"/>
          <w:szCs w:val="24"/>
          <w:lang w:val="lv-LV"/>
        </w:rPr>
        <w:t>, tai skaitā VNPC vajadzībām kopējas infrastruktūras izveid</w:t>
      </w:r>
      <w:r w:rsidR="0038675C">
        <w:rPr>
          <w:rFonts w:ascii="Times New Roman" w:hAnsi="Times New Roman"/>
          <w:sz w:val="24"/>
          <w:szCs w:val="24"/>
          <w:lang w:val="lv-LV"/>
        </w:rPr>
        <w:t>e</w:t>
      </w:r>
      <w:r w:rsidRPr="00EE1556">
        <w:rPr>
          <w:rFonts w:ascii="Times New Roman" w:hAnsi="Times New Roman"/>
          <w:sz w:val="24"/>
          <w:szCs w:val="24"/>
          <w:lang w:val="lv-LV"/>
        </w:rPr>
        <w:t xml:space="preserve"> un zinātnisko institūciju konsolidācij</w:t>
      </w:r>
      <w:r w:rsidR="0038675C">
        <w:rPr>
          <w:rFonts w:ascii="Times New Roman" w:hAnsi="Times New Roman"/>
          <w:sz w:val="24"/>
          <w:szCs w:val="24"/>
          <w:lang w:val="lv-LV"/>
        </w:rPr>
        <w:t>a</w:t>
      </w:r>
      <w:r w:rsidR="005A6B1D" w:rsidRPr="00EE1556">
        <w:rPr>
          <w:rFonts w:ascii="Times New Roman" w:hAnsi="Times New Roman"/>
          <w:sz w:val="24"/>
          <w:szCs w:val="24"/>
          <w:lang w:val="lv-LV"/>
        </w:rPr>
        <w:t xml:space="preserve">. </w:t>
      </w:r>
    </w:p>
    <w:p w14:paraId="7DAB10D1" w14:textId="77777777" w:rsidR="00783B17" w:rsidRPr="00EE1556" w:rsidRDefault="001E4FE1" w:rsidP="00E7642A">
      <w:pPr>
        <w:pStyle w:val="Header"/>
        <w:tabs>
          <w:tab w:val="clear" w:pos="4320"/>
          <w:tab w:val="center" w:pos="0"/>
        </w:tabs>
        <w:spacing w:after="0" w:line="240" w:lineRule="auto"/>
        <w:ind w:firstLine="567"/>
        <w:jc w:val="both"/>
        <w:rPr>
          <w:rFonts w:ascii="Times New Roman" w:hAnsi="Times New Roman"/>
          <w:sz w:val="24"/>
          <w:szCs w:val="24"/>
          <w:highlight w:val="green"/>
          <w:lang w:val="lv-LV"/>
        </w:rPr>
      </w:pPr>
      <w:r w:rsidRPr="00EE1556">
        <w:rPr>
          <w:rFonts w:ascii="Times New Roman" w:hAnsi="Times New Roman"/>
          <w:sz w:val="24"/>
          <w:szCs w:val="24"/>
          <w:lang w:val="lv-LV"/>
        </w:rPr>
        <w:t>VNPC infrastruktūras modernizācijai ES fondu 2.1.1.3.1.</w:t>
      </w:r>
      <w:r w:rsidR="005D322D" w:rsidRPr="00EE1556">
        <w:rPr>
          <w:rFonts w:ascii="Times New Roman" w:hAnsi="Times New Roman"/>
          <w:sz w:val="24"/>
          <w:szCs w:val="24"/>
          <w:lang w:val="lv-LV"/>
        </w:rPr>
        <w:t xml:space="preserve"> </w:t>
      </w:r>
      <w:r w:rsidRPr="00EE1556">
        <w:rPr>
          <w:rFonts w:ascii="Times New Roman" w:hAnsi="Times New Roman"/>
          <w:sz w:val="24"/>
          <w:szCs w:val="24"/>
          <w:lang w:val="lv-LV"/>
        </w:rPr>
        <w:t>apakšaktivitātes “</w:t>
      </w:r>
      <w:r w:rsidRPr="002D7733">
        <w:rPr>
          <w:rFonts w:ascii="Times New Roman" w:hAnsi="Times New Roman"/>
          <w:i/>
          <w:sz w:val="24"/>
          <w:szCs w:val="24"/>
          <w:lang w:val="lv-LV"/>
        </w:rPr>
        <w:t xml:space="preserve">Zinātnes infrastruktūras attīstība” </w:t>
      </w:r>
      <w:r w:rsidR="00DF5302" w:rsidRPr="00DF5302">
        <w:rPr>
          <w:rFonts w:ascii="Times New Roman" w:hAnsi="Times New Roman"/>
          <w:sz w:val="24"/>
          <w:szCs w:val="24"/>
          <w:lang w:val="lv-LV"/>
        </w:rPr>
        <w:t>pirmās kārtas</w:t>
      </w:r>
      <w:r w:rsidR="00DF5302">
        <w:rPr>
          <w:rFonts w:ascii="Times New Roman" w:hAnsi="Times New Roman"/>
          <w:i/>
          <w:sz w:val="24"/>
          <w:szCs w:val="24"/>
          <w:lang w:val="lv-LV"/>
        </w:rPr>
        <w:t xml:space="preserve"> </w:t>
      </w:r>
      <w:r w:rsidR="002919B2" w:rsidRPr="00EE1556">
        <w:rPr>
          <w:rFonts w:ascii="Times New Roman" w:hAnsi="Times New Roman"/>
          <w:sz w:val="24"/>
          <w:szCs w:val="24"/>
          <w:lang w:val="lv-LV"/>
        </w:rPr>
        <w:t>ietvaros</w:t>
      </w:r>
      <w:r w:rsidR="007C4DC9" w:rsidRPr="00EE1556">
        <w:rPr>
          <w:rStyle w:val="FootnoteReference"/>
          <w:rFonts w:ascii="Times New Roman" w:hAnsi="Times New Roman"/>
          <w:sz w:val="24"/>
          <w:szCs w:val="24"/>
          <w:lang w:val="lv-LV"/>
        </w:rPr>
        <w:footnoteReference w:id="15"/>
      </w:r>
      <w:r w:rsidR="00EE1556" w:rsidRPr="00EE1556">
        <w:rPr>
          <w:rFonts w:ascii="Times New Roman" w:hAnsi="Times New Roman"/>
          <w:sz w:val="24"/>
          <w:szCs w:val="24"/>
          <w:lang w:val="lv-LV"/>
        </w:rPr>
        <w:t xml:space="preserve"> </w:t>
      </w:r>
      <w:r w:rsidR="003523F8" w:rsidRPr="00EE1556">
        <w:rPr>
          <w:rFonts w:ascii="Times New Roman" w:hAnsi="Times New Roman"/>
          <w:sz w:val="24"/>
          <w:szCs w:val="24"/>
          <w:lang w:val="lv-LV"/>
        </w:rPr>
        <w:t>līdz 2015.</w:t>
      </w:r>
      <w:r w:rsidR="005429E0">
        <w:rPr>
          <w:rFonts w:ascii="Times New Roman" w:hAnsi="Times New Roman"/>
          <w:sz w:val="24"/>
          <w:szCs w:val="24"/>
          <w:lang w:val="lv-LV"/>
        </w:rPr>
        <w:t> </w:t>
      </w:r>
      <w:r w:rsidR="003523F8" w:rsidRPr="00EE1556">
        <w:rPr>
          <w:rFonts w:ascii="Times New Roman" w:hAnsi="Times New Roman"/>
          <w:sz w:val="24"/>
          <w:szCs w:val="24"/>
          <w:lang w:val="lv-LV"/>
        </w:rPr>
        <w:t>gada 31.</w:t>
      </w:r>
      <w:r w:rsidR="008B1832">
        <w:rPr>
          <w:rFonts w:ascii="Times New Roman" w:hAnsi="Times New Roman"/>
          <w:sz w:val="24"/>
          <w:szCs w:val="24"/>
          <w:lang w:val="lv-LV"/>
        </w:rPr>
        <w:t> </w:t>
      </w:r>
      <w:r w:rsidR="00944ABE" w:rsidRPr="002D7733">
        <w:rPr>
          <w:rFonts w:ascii="Times New Roman" w:hAnsi="Times New Roman"/>
          <w:sz w:val="24"/>
          <w:szCs w:val="24"/>
          <w:lang w:val="lv-LV"/>
        </w:rPr>
        <w:t>decembrim tika īstenoti deviņi projekti</w:t>
      </w:r>
      <w:r w:rsidR="003523F8" w:rsidRPr="00EE1556">
        <w:rPr>
          <w:rFonts w:ascii="Times New Roman" w:hAnsi="Times New Roman"/>
          <w:sz w:val="24"/>
          <w:szCs w:val="24"/>
          <w:lang w:val="lv-LV"/>
        </w:rPr>
        <w:t xml:space="preserve"> par kopējo pieejamo ERAF finansējumu </w:t>
      </w:r>
      <w:r w:rsidR="00232007" w:rsidRPr="002D7733">
        <w:rPr>
          <w:rFonts w:ascii="Times New Roman" w:hAnsi="Times New Roman"/>
          <w:sz w:val="24"/>
          <w:szCs w:val="24"/>
          <w:lang w:val="lv-LV"/>
        </w:rPr>
        <w:t>79</w:t>
      </w:r>
      <w:r w:rsidR="00504FA4">
        <w:rPr>
          <w:rFonts w:ascii="Times New Roman" w:hAnsi="Times New Roman"/>
          <w:sz w:val="24"/>
          <w:szCs w:val="24"/>
          <w:lang w:val="lv-LV"/>
        </w:rPr>
        <w:t>,</w:t>
      </w:r>
      <w:r w:rsidR="00232007" w:rsidRPr="002D7733">
        <w:rPr>
          <w:rFonts w:ascii="Times New Roman" w:hAnsi="Times New Roman"/>
          <w:sz w:val="24"/>
          <w:szCs w:val="24"/>
          <w:lang w:val="lv-LV"/>
        </w:rPr>
        <w:t>9</w:t>
      </w:r>
      <w:r w:rsidR="00504FA4">
        <w:rPr>
          <w:rFonts w:ascii="Times New Roman" w:hAnsi="Times New Roman"/>
          <w:sz w:val="24"/>
          <w:szCs w:val="24"/>
          <w:lang w:val="lv-LV"/>
        </w:rPr>
        <w:t xml:space="preserve">3 milj. </w:t>
      </w:r>
      <w:r w:rsidR="003523F8" w:rsidRPr="00EE1556">
        <w:rPr>
          <w:rFonts w:ascii="Times New Roman" w:hAnsi="Times New Roman"/>
          <w:i/>
          <w:sz w:val="24"/>
          <w:szCs w:val="24"/>
          <w:lang w:val="lv-LV"/>
        </w:rPr>
        <w:t>euro</w:t>
      </w:r>
      <w:r w:rsidR="003523F8" w:rsidRPr="00EE1556">
        <w:rPr>
          <w:rFonts w:ascii="Times New Roman" w:hAnsi="Times New Roman"/>
          <w:sz w:val="24"/>
          <w:szCs w:val="24"/>
          <w:lang w:val="lv-LV"/>
        </w:rPr>
        <w:t xml:space="preserve">. </w:t>
      </w:r>
    </w:p>
    <w:p w14:paraId="26B10BE0" w14:textId="77777777" w:rsidR="001B261C" w:rsidRDefault="009C7153" w:rsidP="00E7642A">
      <w:pPr>
        <w:tabs>
          <w:tab w:val="left" w:pos="567"/>
          <w:tab w:val="left" w:pos="709"/>
          <w:tab w:val="left" w:pos="1701"/>
        </w:tabs>
        <w:ind w:left="0"/>
        <w:rPr>
          <w:rFonts w:ascii="Times New Roman" w:hAnsi="Times New Roman"/>
          <w:sz w:val="24"/>
          <w:szCs w:val="24"/>
        </w:rPr>
      </w:pPr>
      <w:r>
        <w:rPr>
          <w:rFonts w:ascii="Times New Roman" w:hAnsi="Times New Roman"/>
          <w:sz w:val="24"/>
          <w:szCs w:val="24"/>
        </w:rPr>
        <w:tab/>
      </w:r>
      <w:r w:rsidR="000C18CE" w:rsidRPr="00C07278">
        <w:rPr>
          <w:rFonts w:ascii="Times New Roman" w:hAnsi="Times New Roman"/>
          <w:sz w:val="24"/>
          <w:szCs w:val="24"/>
        </w:rPr>
        <w:t>Deviņu VNPC projekt</w:t>
      </w:r>
      <w:r w:rsidR="00EE1556">
        <w:rPr>
          <w:rFonts w:ascii="Times New Roman" w:hAnsi="Times New Roman"/>
          <w:sz w:val="24"/>
          <w:szCs w:val="24"/>
        </w:rPr>
        <w:t>os tika modernizēta</w:t>
      </w:r>
      <w:r w:rsidR="00D970BB">
        <w:rPr>
          <w:rFonts w:ascii="Times New Roman" w:hAnsi="Times New Roman"/>
          <w:sz w:val="24"/>
          <w:szCs w:val="24"/>
        </w:rPr>
        <w:t xml:space="preserve"> infrastruktūra</w:t>
      </w:r>
      <w:r w:rsidR="00EE1556">
        <w:rPr>
          <w:rFonts w:ascii="Times New Roman" w:hAnsi="Times New Roman"/>
          <w:sz w:val="24"/>
          <w:szCs w:val="24"/>
        </w:rPr>
        <w:t xml:space="preserve"> </w:t>
      </w:r>
      <w:r w:rsidR="00783B17" w:rsidRPr="00C07278">
        <w:rPr>
          <w:rFonts w:ascii="Times New Roman" w:hAnsi="Times New Roman"/>
          <w:sz w:val="24"/>
          <w:szCs w:val="24"/>
        </w:rPr>
        <w:t>27 valsts zinātniskās institūcij</w:t>
      </w:r>
      <w:r w:rsidR="0002427F">
        <w:rPr>
          <w:rFonts w:ascii="Times New Roman" w:hAnsi="Times New Roman"/>
          <w:sz w:val="24"/>
          <w:szCs w:val="24"/>
        </w:rPr>
        <w:t>ā</w:t>
      </w:r>
      <w:r w:rsidR="00783B17" w:rsidRPr="00C07278">
        <w:rPr>
          <w:rFonts w:ascii="Times New Roman" w:hAnsi="Times New Roman"/>
          <w:sz w:val="24"/>
          <w:szCs w:val="24"/>
        </w:rPr>
        <w:t>s</w:t>
      </w:r>
      <w:r w:rsidR="0002427F">
        <w:rPr>
          <w:rFonts w:ascii="Times New Roman" w:hAnsi="Times New Roman"/>
          <w:sz w:val="24"/>
          <w:szCs w:val="24"/>
        </w:rPr>
        <w:t xml:space="preserve"> </w:t>
      </w:r>
      <w:r w:rsidR="005429E0" w:rsidRPr="00C07278">
        <w:rPr>
          <w:rFonts w:ascii="Times New Roman" w:hAnsi="Times New Roman"/>
          <w:sz w:val="24"/>
          <w:szCs w:val="24"/>
        </w:rPr>
        <w:t>–</w:t>
      </w:r>
      <w:r w:rsidR="0002427F">
        <w:rPr>
          <w:rFonts w:ascii="Times New Roman" w:hAnsi="Times New Roman"/>
          <w:sz w:val="24"/>
          <w:szCs w:val="24"/>
        </w:rPr>
        <w:t xml:space="preserve"> </w:t>
      </w:r>
      <w:r w:rsidR="00783B17" w:rsidRPr="00C07278">
        <w:rPr>
          <w:rFonts w:ascii="Times New Roman" w:hAnsi="Times New Roman"/>
          <w:sz w:val="24"/>
          <w:szCs w:val="24"/>
        </w:rPr>
        <w:t xml:space="preserve">20 </w:t>
      </w:r>
      <w:r w:rsidR="005429E0">
        <w:rPr>
          <w:rFonts w:ascii="Times New Roman" w:hAnsi="Times New Roman"/>
          <w:sz w:val="24"/>
          <w:szCs w:val="24"/>
        </w:rPr>
        <w:t xml:space="preserve">institūcijas </w:t>
      </w:r>
      <w:r w:rsidR="00783B17" w:rsidRPr="00C07278">
        <w:rPr>
          <w:rFonts w:ascii="Times New Roman" w:hAnsi="Times New Roman"/>
          <w:sz w:val="24"/>
          <w:szCs w:val="24"/>
        </w:rPr>
        <w:t>Rīgas plānošanas reģionā</w:t>
      </w:r>
      <w:r w:rsidR="005D322D" w:rsidRPr="00C07278">
        <w:rPr>
          <w:rFonts w:ascii="Times New Roman" w:hAnsi="Times New Roman"/>
          <w:sz w:val="24"/>
          <w:szCs w:val="24"/>
        </w:rPr>
        <w:t xml:space="preserve"> un Rīgā</w:t>
      </w:r>
      <w:r w:rsidR="00783B17" w:rsidRPr="00C07278">
        <w:rPr>
          <w:rFonts w:ascii="Times New Roman" w:hAnsi="Times New Roman"/>
          <w:sz w:val="24"/>
          <w:szCs w:val="24"/>
        </w:rPr>
        <w:t>, 3 Zemgales plānošanas reģionā, 2 Kurzemes plānošanas reģionā un pa vienai zinātniskajai institūcijai Latgales</w:t>
      </w:r>
      <w:r w:rsidR="00DF0025" w:rsidRPr="00C07278">
        <w:rPr>
          <w:rFonts w:ascii="Times New Roman" w:hAnsi="Times New Roman"/>
          <w:sz w:val="24"/>
          <w:szCs w:val="24"/>
        </w:rPr>
        <w:t xml:space="preserve"> un Vidzemes plānošanas reģionā</w:t>
      </w:r>
      <w:r w:rsidR="00783B17" w:rsidRPr="00C07278">
        <w:rPr>
          <w:rFonts w:ascii="Times New Roman" w:hAnsi="Times New Roman"/>
          <w:sz w:val="24"/>
          <w:szCs w:val="24"/>
        </w:rPr>
        <w:t>.</w:t>
      </w:r>
      <w:r w:rsidR="00F10687" w:rsidRPr="00C07278">
        <w:rPr>
          <w:rFonts w:ascii="Times New Roman" w:hAnsi="Times New Roman"/>
          <w:sz w:val="24"/>
          <w:szCs w:val="24"/>
        </w:rPr>
        <w:t xml:space="preserve"> </w:t>
      </w:r>
      <w:r w:rsidR="00F10687" w:rsidRPr="002D7733">
        <w:rPr>
          <w:rFonts w:ascii="Times New Roman" w:hAnsi="Times New Roman"/>
          <w:sz w:val="24"/>
          <w:szCs w:val="24"/>
        </w:rPr>
        <w:t xml:space="preserve">Kā redzams </w:t>
      </w:r>
      <w:r w:rsidR="004C00A2">
        <w:rPr>
          <w:rFonts w:ascii="Times New Roman" w:hAnsi="Times New Roman"/>
          <w:sz w:val="24"/>
          <w:szCs w:val="24"/>
        </w:rPr>
        <w:t>5.</w:t>
      </w:r>
      <w:r w:rsidR="00F10687" w:rsidRPr="002D7733">
        <w:rPr>
          <w:rFonts w:ascii="Times New Roman" w:hAnsi="Times New Roman"/>
          <w:sz w:val="24"/>
          <w:szCs w:val="24"/>
        </w:rPr>
        <w:t>tabulā,</w:t>
      </w:r>
      <w:r w:rsidR="00DB27C0" w:rsidRPr="002D7733">
        <w:rPr>
          <w:rFonts w:ascii="Times New Roman" w:hAnsi="Times New Roman"/>
          <w:sz w:val="24"/>
          <w:szCs w:val="24"/>
        </w:rPr>
        <w:t xml:space="preserve"> </w:t>
      </w:r>
      <w:r w:rsidR="00C11EBA" w:rsidRPr="002D7733">
        <w:rPr>
          <w:rFonts w:ascii="Times New Roman" w:hAnsi="Times New Roman"/>
          <w:sz w:val="24"/>
          <w:szCs w:val="24"/>
        </w:rPr>
        <w:t>82,3</w:t>
      </w:r>
      <w:r w:rsidR="00F10687" w:rsidRPr="002D7733">
        <w:rPr>
          <w:rFonts w:ascii="Times New Roman" w:hAnsi="Times New Roman"/>
          <w:sz w:val="24"/>
          <w:szCs w:val="24"/>
        </w:rPr>
        <w:t xml:space="preserve"> </w:t>
      </w:r>
      <w:r w:rsidR="00DB27C0" w:rsidRPr="002D7733">
        <w:rPr>
          <w:rFonts w:ascii="Times New Roman" w:hAnsi="Times New Roman"/>
          <w:sz w:val="24"/>
          <w:szCs w:val="24"/>
        </w:rPr>
        <w:t>procenti</w:t>
      </w:r>
      <w:r w:rsidR="00F10687" w:rsidRPr="002D7733">
        <w:rPr>
          <w:rFonts w:ascii="Times New Roman" w:hAnsi="Times New Roman"/>
          <w:sz w:val="24"/>
          <w:szCs w:val="24"/>
        </w:rPr>
        <w:t xml:space="preserve"> </w:t>
      </w:r>
      <w:r w:rsidR="00DB27C0" w:rsidRPr="002D7733">
        <w:rPr>
          <w:rFonts w:ascii="Times New Roman" w:hAnsi="Times New Roman"/>
          <w:sz w:val="24"/>
          <w:szCs w:val="24"/>
        </w:rPr>
        <w:t xml:space="preserve">jeb 75,2 milj. </w:t>
      </w:r>
      <w:r w:rsidR="00F10687" w:rsidRPr="002D7733">
        <w:rPr>
          <w:rFonts w:ascii="Times New Roman" w:hAnsi="Times New Roman"/>
          <w:i/>
          <w:sz w:val="24"/>
          <w:szCs w:val="24"/>
        </w:rPr>
        <w:t>euro</w:t>
      </w:r>
      <w:r w:rsidR="00F10687" w:rsidRPr="002D7733">
        <w:rPr>
          <w:rFonts w:ascii="Times New Roman" w:hAnsi="Times New Roman"/>
          <w:sz w:val="24"/>
          <w:szCs w:val="24"/>
        </w:rPr>
        <w:t xml:space="preserve"> </w:t>
      </w:r>
      <w:r w:rsidR="004C00A2">
        <w:rPr>
          <w:rFonts w:ascii="Times New Roman" w:hAnsi="Times New Roman"/>
          <w:sz w:val="24"/>
          <w:szCs w:val="24"/>
        </w:rPr>
        <w:t xml:space="preserve">no kopējā 2.1.1.3.1.apakšaktivitātes pirmās kārtas ietvaros pieejamā finansējuma </w:t>
      </w:r>
      <w:r w:rsidR="00F10687" w:rsidRPr="002D7733">
        <w:rPr>
          <w:rFonts w:ascii="Times New Roman" w:hAnsi="Times New Roman"/>
          <w:sz w:val="24"/>
          <w:szCs w:val="24"/>
        </w:rPr>
        <w:t>ti</w:t>
      </w:r>
      <w:r w:rsidR="003D2C15" w:rsidRPr="002D7733">
        <w:rPr>
          <w:rFonts w:ascii="Times New Roman" w:hAnsi="Times New Roman"/>
          <w:sz w:val="24"/>
          <w:szCs w:val="24"/>
        </w:rPr>
        <w:t>ka</w:t>
      </w:r>
      <w:r w:rsidR="00F10687" w:rsidRPr="002D7733">
        <w:rPr>
          <w:rFonts w:ascii="Times New Roman" w:hAnsi="Times New Roman"/>
          <w:sz w:val="24"/>
          <w:szCs w:val="24"/>
        </w:rPr>
        <w:t xml:space="preserve"> </w:t>
      </w:r>
      <w:r w:rsidR="004C00A2">
        <w:rPr>
          <w:rFonts w:ascii="Times New Roman" w:hAnsi="Times New Roman"/>
          <w:sz w:val="24"/>
          <w:szCs w:val="24"/>
        </w:rPr>
        <w:t>ieguldīti</w:t>
      </w:r>
      <w:r w:rsidR="004C00A2" w:rsidRPr="002D7733">
        <w:rPr>
          <w:rFonts w:ascii="Times New Roman" w:hAnsi="Times New Roman"/>
          <w:sz w:val="24"/>
          <w:szCs w:val="24"/>
        </w:rPr>
        <w:t xml:space="preserve"> </w:t>
      </w:r>
      <w:r w:rsidR="00F10687" w:rsidRPr="002D7733">
        <w:rPr>
          <w:rFonts w:ascii="Times New Roman" w:hAnsi="Times New Roman"/>
          <w:sz w:val="24"/>
          <w:szCs w:val="24"/>
        </w:rPr>
        <w:t>zinātniskajās institūcijās, kas atrodas Rīgas plānošanas reģionā un Rīgā</w:t>
      </w:r>
      <w:r w:rsidR="00B72229">
        <w:rPr>
          <w:rFonts w:ascii="Times New Roman" w:hAnsi="Times New Roman"/>
          <w:sz w:val="24"/>
          <w:szCs w:val="24"/>
        </w:rPr>
        <w:t>.</w:t>
      </w:r>
      <w:r w:rsidR="00AC114E">
        <w:rPr>
          <w:rFonts w:ascii="Times New Roman" w:hAnsi="Times New Roman"/>
          <w:sz w:val="24"/>
          <w:szCs w:val="24"/>
        </w:rPr>
        <w:t xml:space="preserve"> </w:t>
      </w:r>
    </w:p>
    <w:p w14:paraId="71216438" w14:textId="77777777" w:rsidR="002B293D" w:rsidRPr="00C07278" w:rsidRDefault="001B261C" w:rsidP="00E7642A">
      <w:pPr>
        <w:tabs>
          <w:tab w:val="left" w:pos="567"/>
          <w:tab w:val="left" w:pos="709"/>
          <w:tab w:val="left" w:pos="1701"/>
        </w:tabs>
        <w:ind w:left="0"/>
      </w:pPr>
      <w:r>
        <w:rPr>
          <w:rFonts w:ascii="Times New Roman" w:hAnsi="Times New Roman"/>
          <w:sz w:val="24"/>
          <w:szCs w:val="24"/>
        </w:rPr>
        <w:tab/>
      </w:r>
      <w:r w:rsidR="00B72229">
        <w:rPr>
          <w:rFonts w:ascii="Times New Roman" w:hAnsi="Times New Roman"/>
          <w:sz w:val="24"/>
          <w:szCs w:val="24"/>
        </w:rPr>
        <w:t>Vislielākās investīcijas uz vienu zinātniskajā institūcijā nodarbināto zinātniskā personāla vienību pilna laika izteiksmē (PLE)</w:t>
      </w:r>
      <w:r>
        <w:rPr>
          <w:rFonts w:ascii="Times New Roman" w:hAnsi="Times New Roman"/>
          <w:sz w:val="24"/>
          <w:szCs w:val="24"/>
        </w:rPr>
        <w:t xml:space="preserve">, </w:t>
      </w:r>
      <w:r w:rsidR="00B72229">
        <w:rPr>
          <w:rFonts w:ascii="Times New Roman" w:hAnsi="Times New Roman"/>
          <w:sz w:val="24"/>
          <w:szCs w:val="24"/>
        </w:rPr>
        <w:t>tika investēt</w:t>
      </w:r>
      <w:r w:rsidR="004C00A2">
        <w:rPr>
          <w:rFonts w:ascii="Times New Roman" w:hAnsi="Times New Roman"/>
          <w:sz w:val="24"/>
          <w:szCs w:val="24"/>
        </w:rPr>
        <w:t>as</w:t>
      </w:r>
      <w:r w:rsidR="00B72229">
        <w:rPr>
          <w:rFonts w:ascii="Times New Roman" w:hAnsi="Times New Roman"/>
          <w:sz w:val="24"/>
          <w:szCs w:val="24"/>
        </w:rPr>
        <w:t xml:space="preserve"> Kurzemes un </w:t>
      </w:r>
      <w:r w:rsidR="00B72229" w:rsidRPr="00B72229">
        <w:rPr>
          <w:rFonts w:ascii="Times New Roman" w:hAnsi="Times New Roman"/>
          <w:sz w:val="24"/>
          <w:szCs w:val="24"/>
        </w:rPr>
        <w:t>Zemgales plānošanas reģionā</w:t>
      </w:r>
      <w:r w:rsidR="004C00A2">
        <w:rPr>
          <w:rFonts w:ascii="Times New Roman" w:hAnsi="Times New Roman"/>
          <w:sz w:val="24"/>
          <w:szCs w:val="24"/>
        </w:rPr>
        <w:t>, attiecīgi</w:t>
      </w:r>
      <w:r w:rsidR="00B72229" w:rsidRPr="00B72229">
        <w:rPr>
          <w:rFonts w:ascii="Times New Roman" w:hAnsi="Times New Roman"/>
          <w:sz w:val="24"/>
          <w:szCs w:val="24"/>
        </w:rPr>
        <w:t xml:space="preserve"> </w:t>
      </w:r>
      <w:r w:rsidR="004C00A2" w:rsidRPr="00C07278">
        <w:rPr>
          <w:rFonts w:ascii="Times New Roman" w:hAnsi="Times New Roman"/>
          <w:sz w:val="24"/>
          <w:szCs w:val="24"/>
        </w:rPr>
        <w:t>–</w:t>
      </w:r>
      <w:r w:rsidR="00B72229" w:rsidRPr="00B72229">
        <w:rPr>
          <w:rFonts w:ascii="Times New Roman" w:hAnsi="Times New Roman"/>
          <w:sz w:val="24"/>
          <w:szCs w:val="24"/>
        </w:rPr>
        <w:t xml:space="preserve"> </w:t>
      </w:r>
      <w:r w:rsidR="00B72229" w:rsidRPr="002D7733">
        <w:rPr>
          <w:rFonts w:ascii="Times New Roman" w:hAnsi="Times New Roman"/>
          <w:sz w:val="24"/>
          <w:szCs w:val="24"/>
        </w:rPr>
        <w:t xml:space="preserve">211 049 </w:t>
      </w:r>
      <w:r w:rsidR="004C00A2" w:rsidRPr="004C00A2">
        <w:rPr>
          <w:rFonts w:ascii="Times New Roman" w:hAnsi="Times New Roman"/>
          <w:i/>
          <w:sz w:val="24"/>
          <w:szCs w:val="24"/>
        </w:rPr>
        <w:t>euro</w:t>
      </w:r>
      <w:r w:rsidR="004C00A2">
        <w:rPr>
          <w:rFonts w:ascii="Times New Roman" w:hAnsi="Times New Roman"/>
          <w:sz w:val="24"/>
          <w:szCs w:val="24"/>
        </w:rPr>
        <w:t xml:space="preserve"> </w:t>
      </w:r>
      <w:r w:rsidR="00B72229" w:rsidRPr="002D7733">
        <w:rPr>
          <w:rFonts w:ascii="Times New Roman" w:hAnsi="Times New Roman"/>
          <w:sz w:val="24"/>
          <w:szCs w:val="24"/>
        </w:rPr>
        <w:t xml:space="preserve">un 122 930 </w:t>
      </w:r>
      <w:r w:rsidR="00B72229" w:rsidRPr="00C53666">
        <w:rPr>
          <w:rFonts w:ascii="Times New Roman" w:hAnsi="Times New Roman"/>
          <w:i/>
          <w:sz w:val="24"/>
          <w:szCs w:val="24"/>
        </w:rPr>
        <w:t>euro</w:t>
      </w:r>
      <w:r w:rsidR="00B72229" w:rsidRPr="00AC114E">
        <w:rPr>
          <w:rFonts w:ascii="Times New Roman" w:hAnsi="Times New Roman"/>
          <w:sz w:val="24"/>
          <w:szCs w:val="24"/>
        </w:rPr>
        <w:t xml:space="preserve"> uz </w:t>
      </w:r>
      <w:r w:rsidR="004C00A2">
        <w:rPr>
          <w:rFonts w:ascii="Times New Roman" w:hAnsi="Times New Roman"/>
          <w:sz w:val="24"/>
          <w:szCs w:val="24"/>
        </w:rPr>
        <w:t xml:space="preserve">viena </w:t>
      </w:r>
      <w:r w:rsidR="00B72229" w:rsidRPr="00AC114E">
        <w:rPr>
          <w:rFonts w:ascii="Times New Roman" w:hAnsi="Times New Roman"/>
          <w:sz w:val="24"/>
          <w:szCs w:val="24"/>
        </w:rPr>
        <w:t>zinātniskā personāla vienību. Tas skaidrojams ar investīcijām, kas veiktas Irbenes radioteleskopa rekonstrukcijā</w:t>
      </w:r>
      <w:r w:rsidR="00AC114E">
        <w:rPr>
          <w:rFonts w:ascii="Times New Roman" w:hAnsi="Times New Roman"/>
          <w:sz w:val="24"/>
          <w:szCs w:val="24"/>
        </w:rPr>
        <w:t xml:space="preserve">, </w:t>
      </w:r>
      <w:r w:rsidR="00703245">
        <w:rPr>
          <w:rFonts w:ascii="Times New Roman" w:hAnsi="Times New Roman"/>
          <w:sz w:val="24"/>
          <w:szCs w:val="24"/>
        </w:rPr>
        <w:t>Dārzkopības institūta (DI)</w:t>
      </w:r>
      <w:r w:rsidR="00AC114E" w:rsidRPr="00AC114E">
        <w:rPr>
          <w:rFonts w:ascii="Times New Roman" w:hAnsi="Times New Roman"/>
          <w:sz w:val="24"/>
          <w:szCs w:val="24"/>
        </w:rPr>
        <w:t xml:space="preserve"> </w:t>
      </w:r>
      <w:r w:rsidR="004C00A2" w:rsidRPr="00AC114E">
        <w:rPr>
          <w:rFonts w:ascii="Times New Roman" w:hAnsi="Times New Roman"/>
          <w:sz w:val="24"/>
          <w:szCs w:val="24"/>
        </w:rPr>
        <w:t>laboratorij</w:t>
      </w:r>
      <w:r w:rsidR="004C00A2">
        <w:rPr>
          <w:rFonts w:ascii="Times New Roman" w:hAnsi="Times New Roman"/>
          <w:sz w:val="24"/>
          <w:szCs w:val="24"/>
        </w:rPr>
        <w:t>u</w:t>
      </w:r>
      <w:r w:rsidR="004C00A2" w:rsidRPr="00AC114E">
        <w:rPr>
          <w:rFonts w:ascii="Times New Roman" w:hAnsi="Times New Roman"/>
          <w:sz w:val="24"/>
          <w:szCs w:val="24"/>
        </w:rPr>
        <w:t xml:space="preserve"> </w:t>
      </w:r>
      <w:r w:rsidR="00AC114E" w:rsidRPr="00AC114E">
        <w:rPr>
          <w:rFonts w:ascii="Times New Roman" w:hAnsi="Times New Roman"/>
          <w:sz w:val="24"/>
          <w:szCs w:val="24"/>
        </w:rPr>
        <w:t>jaunā korpusa izbūvē un</w:t>
      </w:r>
      <w:r w:rsidR="00AC114E">
        <w:rPr>
          <w:rFonts w:ascii="Times New Roman" w:hAnsi="Times New Roman"/>
          <w:sz w:val="24"/>
          <w:szCs w:val="24"/>
        </w:rPr>
        <w:t xml:space="preserve"> Latvijas Lauksaimniecības universitātes</w:t>
      </w:r>
      <w:r w:rsidR="00703245">
        <w:rPr>
          <w:rFonts w:ascii="Times New Roman" w:hAnsi="Times New Roman"/>
          <w:sz w:val="24"/>
          <w:szCs w:val="24"/>
        </w:rPr>
        <w:t xml:space="preserve"> (LLU)</w:t>
      </w:r>
      <w:r w:rsidR="00AC114E">
        <w:rPr>
          <w:rFonts w:ascii="Times New Roman" w:hAnsi="Times New Roman"/>
          <w:sz w:val="24"/>
          <w:szCs w:val="24"/>
        </w:rPr>
        <w:t xml:space="preserve"> </w:t>
      </w:r>
      <w:r w:rsidR="00AC114E" w:rsidRPr="00AC114E">
        <w:rPr>
          <w:rFonts w:ascii="Times New Roman" w:hAnsi="Times New Roman"/>
          <w:sz w:val="24"/>
          <w:szCs w:val="24"/>
        </w:rPr>
        <w:t>lauksaimniecības, pārtikas, mežu pētniecības la</w:t>
      </w:r>
      <w:r w:rsidR="00AC114E">
        <w:rPr>
          <w:rFonts w:ascii="Times New Roman" w:hAnsi="Times New Roman"/>
          <w:sz w:val="24"/>
          <w:szCs w:val="24"/>
        </w:rPr>
        <w:t>boratorijās</w:t>
      </w:r>
      <w:r w:rsidR="00B72229" w:rsidRPr="00AC114E">
        <w:rPr>
          <w:rFonts w:ascii="Times New Roman" w:hAnsi="Times New Roman"/>
          <w:sz w:val="24"/>
          <w:szCs w:val="24"/>
        </w:rPr>
        <w:t xml:space="preserve">. Savukārt </w:t>
      </w:r>
      <w:r w:rsidR="00F10687" w:rsidRPr="00AC114E">
        <w:rPr>
          <w:rFonts w:ascii="Times New Roman" w:hAnsi="Times New Roman"/>
          <w:sz w:val="24"/>
          <w:szCs w:val="24"/>
        </w:rPr>
        <w:t>Vidzemes plānošanas reģiona zinātnisko institūciju pētniecības un attīstības infrastruktūras</w:t>
      </w:r>
      <w:r w:rsidR="00F10687" w:rsidRPr="002D7733">
        <w:rPr>
          <w:rFonts w:ascii="Times New Roman" w:hAnsi="Times New Roman"/>
          <w:sz w:val="24"/>
          <w:szCs w:val="24"/>
        </w:rPr>
        <w:t xml:space="preserve"> modernizācij</w:t>
      </w:r>
      <w:r w:rsidR="00B72229" w:rsidRPr="00B72229">
        <w:rPr>
          <w:rFonts w:ascii="Times New Roman" w:hAnsi="Times New Roman"/>
          <w:sz w:val="24"/>
          <w:szCs w:val="24"/>
        </w:rPr>
        <w:t xml:space="preserve">ā </w:t>
      </w:r>
      <w:r w:rsidR="00F10687" w:rsidRPr="002D7733">
        <w:rPr>
          <w:rFonts w:ascii="Times New Roman" w:hAnsi="Times New Roman"/>
          <w:sz w:val="24"/>
          <w:szCs w:val="24"/>
        </w:rPr>
        <w:t>no kopējā 2.1.1.3.1.</w:t>
      </w:r>
      <w:r w:rsidR="00EE004D">
        <w:rPr>
          <w:rFonts w:ascii="Times New Roman" w:hAnsi="Times New Roman"/>
          <w:sz w:val="24"/>
          <w:szCs w:val="24"/>
        </w:rPr>
        <w:t> </w:t>
      </w:r>
      <w:r w:rsidR="00F10687" w:rsidRPr="002D7733">
        <w:rPr>
          <w:rFonts w:ascii="Times New Roman" w:hAnsi="Times New Roman"/>
          <w:sz w:val="24"/>
          <w:szCs w:val="24"/>
        </w:rPr>
        <w:t>apakšaktivitātes “Zinātnes infrastruktūras attīstība” pirmās atlases kārtas finansējuma</w:t>
      </w:r>
      <w:r w:rsidR="00B72229" w:rsidRPr="00B72229">
        <w:rPr>
          <w:rFonts w:ascii="Times New Roman" w:hAnsi="Times New Roman"/>
          <w:sz w:val="24"/>
          <w:szCs w:val="24"/>
        </w:rPr>
        <w:t xml:space="preserve"> investēts salīdzinoši vismazāk </w:t>
      </w:r>
      <w:r w:rsidR="004C00A2" w:rsidRPr="00C07278">
        <w:rPr>
          <w:rFonts w:ascii="Times New Roman" w:hAnsi="Times New Roman"/>
          <w:sz w:val="24"/>
          <w:szCs w:val="24"/>
        </w:rPr>
        <w:t>–</w:t>
      </w:r>
      <w:r w:rsidR="004C00A2">
        <w:rPr>
          <w:rFonts w:ascii="Times New Roman" w:hAnsi="Times New Roman"/>
          <w:sz w:val="24"/>
          <w:szCs w:val="24"/>
        </w:rPr>
        <w:t xml:space="preserve"> </w:t>
      </w:r>
      <w:r w:rsidR="00B72229" w:rsidRPr="00B72229">
        <w:rPr>
          <w:rFonts w:ascii="Times New Roman" w:hAnsi="Times New Roman"/>
          <w:sz w:val="24"/>
          <w:szCs w:val="24"/>
        </w:rPr>
        <w:t>0,</w:t>
      </w:r>
      <w:r w:rsidR="004C00A2">
        <w:rPr>
          <w:rFonts w:ascii="Times New Roman" w:hAnsi="Times New Roman"/>
          <w:sz w:val="24"/>
          <w:szCs w:val="24"/>
        </w:rPr>
        <w:t>4</w:t>
      </w:r>
      <w:r w:rsidR="004C00A2" w:rsidRPr="00B72229">
        <w:rPr>
          <w:rFonts w:ascii="Times New Roman" w:hAnsi="Times New Roman"/>
          <w:sz w:val="24"/>
          <w:szCs w:val="24"/>
        </w:rPr>
        <w:t xml:space="preserve"> </w:t>
      </w:r>
      <w:r w:rsidR="004C00A2">
        <w:rPr>
          <w:rFonts w:ascii="Times New Roman" w:hAnsi="Times New Roman"/>
          <w:sz w:val="24"/>
          <w:szCs w:val="24"/>
        </w:rPr>
        <w:t>procenti vai</w:t>
      </w:r>
      <w:r w:rsidR="00B72229" w:rsidRPr="00B72229">
        <w:rPr>
          <w:rFonts w:ascii="Times New Roman" w:hAnsi="Times New Roman"/>
          <w:sz w:val="24"/>
          <w:szCs w:val="24"/>
        </w:rPr>
        <w:t xml:space="preserve"> </w:t>
      </w:r>
      <w:r w:rsidR="00B72229" w:rsidRPr="002D7733">
        <w:rPr>
          <w:rFonts w:ascii="Times New Roman" w:hAnsi="Times New Roman"/>
          <w:sz w:val="24"/>
          <w:szCs w:val="24"/>
        </w:rPr>
        <w:t xml:space="preserve">29 921 </w:t>
      </w:r>
      <w:r w:rsidR="00703245" w:rsidRPr="00703245">
        <w:rPr>
          <w:rFonts w:ascii="Times New Roman" w:hAnsi="Times New Roman"/>
          <w:i/>
          <w:sz w:val="24"/>
          <w:szCs w:val="24"/>
        </w:rPr>
        <w:t>euro</w:t>
      </w:r>
      <w:r w:rsidR="00703245">
        <w:rPr>
          <w:rFonts w:ascii="Times New Roman" w:hAnsi="Times New Roman"/>
          <w:sz w:val="24"/>
          <w:szCs w:val="24"/>
        </w:rPr>
        <w:t xml:space="preserve"> </w:t>
      </w:r>
      <w:r w:rsidR="00B72229" w:rsidRPr="002D7733">
        <w:rPr>
          <w:rFonts w:ascii="Times New Roman" w:hAnsi="Times New Roman"/>
          <w:sz w:val="24"/>
          <w:szCs w:val="24"/>
        </w:rPr>
        <w:t xml:space="preserve">uz </w:t>
      </w:r>
      <w:r w:rsidR="00703245">
        <w:rPr>
          <w:rFonts w:ascii="Times New Roman" w:hAnsi="Times New Roman"/>
          <w:sz w:val="24"/>
          <w:szCs w:val="24"/>
        </w:rPr>
        <w:t xml:space="preserve">viena </w:t>
      </w:r>
      <w:r w:rsidR="00B72229" w:rsidRPr="002D7733">
        <w:rPr>
          <w:rFonts w:ascii="Times New Roman" w:hAnsi="Times New Roman"/>
          <w:sz w:val="24"/>
          <w:szCs w:val="24"/>
        </w:rPr>
        <w:t>zinātniskā personāla vienību</w:t>
      </w:r>
      <w:r w:rsidR="009C7153">
        <w:rPr>
          <w:rFonts w:ascii="Times New Roman" w:hAnsi="Times New Roman"/>
          <w:sz w:val="24"/>
          <w:szCs w:val="24"/>
        </w:rPr>
        <w:t xml:space="preserve"> (sk</w:t>
      </w:r>
      <w:r w:rsidR="005163E5">
        <w:rPr>
          <w:rFonts w:ascii="Times New Roman" w:hAnsi="Times New Roman"/>
          <w:sz w:val="24"/>
          <w:szCs w:val="24"/>
        </w:rPr>
        <w:t>at</w:t>
      </w:r>
      <w:r w:rsidR="009C7153">
        <w:rPr>
          <w:rFonts w:ascii="Times New Roman" w:hAnsi="Times New Roman"/>
          <w:sz w:val="24"/>
          <w:szCs w:val="24"/>
        </w:rPr>
        <w:t xml:space="preserve">. </w:t>
      </w:r>
      <w:r w:rsidR="005163E5">
        <w:rPr>
          <w:rFonts w:ascii="Times New Roman" w:hAnsi="Times New Roman"/>
          <w:sz w:val="24"/>
          <w:szCs w:val="24"/>
        </w:rPr>
        <w:t>4.</w:t>
      </w:r>
      <w:r w:rsidR="008B1832">
        <w:rPr>
          <w:rFonts w:ascii="Times New Roman" w:hAnsi="Times New Roman"/>
          <w:sz w:val="24"/>
          <w:szCs w:val="24"/>
        </w:rPr>
        <w:t> </w:t>
      </w:r>
      <w:r w:rsidR="009C7153">
        <w:rPr>
          <w:rFonts w:ascii="Times New Roman" w:hAnsi="Times New Roman"/>
          <w:sz w:val="24"/>
          <w:szCs w:val="24"/>
        </w:rPr>
        <w:t>tabulu)</w:t>
      </w:r>
      <w:r w:rsidR="00B72229" w:rsidRPr="002D7733">
        <w:rPr>
          <w:rFonts w:ascii="Times New Roman" w:hAnsi="Times New Roman"/>
          <w:sz w:val="24"/>
          <w:szCs w:val="24"/>
        </w:rPr>
        <w:t>.</w:t>
      </w:r>
    </w:p>
    <w:p w14:paraId="290E9C00" w14:textId="77777777" w:rsidR="007843DA" w:rsidRDefault="007843DA" w:rsidP="00E7642A">
      <w:pPr>
        <w:pStyle w:val="Caption"/>
        <w:keepNext/>
        <w:spacing w:before="120" w:after="120"/>
        <w:jc w:val="right"/>
        <w:rPr>
          <w:shd w:val="clear" w:color="auto" w:fill="D9D9D9" w:themeFill="background1" w:themeFillShade="D9"/>
        </w:rPr>
      </w:pPr>
      <w:r w:rsidRPr="00941DA3">
        <w:rPr>
          <w:rFonts w:ascii="Times New Roman" w:hAnsi="Times New Roman"/>
          <w:color w:val="auto"/>
          <w:sz w:val="24"/>
          <w:szCs w:val="24"/>
        </w:rPr>
        <w:t xml:space="preserve">Tabula </w:t>
      </w:r>
      <w:r w:rsidRPr="00423C9F">
        <w:rPr>
          <w:rFonts w:ascii="Times New Roman" w:hAnsi="Times New Roman"/>
          <w:color w:val="auto"/>
          <w:sz w:val="24"/>
          <w:szCs w:val="24"/>
        </w:rPr>
        <w:t>Nr.</w:t>
      </w:r>
      <w:r w:rsidRPr="00941DA3">
        <w:rPr>
          <w:rFonts w:ascii="Times New Roman" w:hAnsi="Times New Roman"/>
          <w:color w:val="auto"/>
          <w:sz w:val="24"/>
          <w:szCs w:val="24"/>
        </w:rPr>
        <w:t xml:space="preserve"> </w:t>
      </w:r>
      <w:r w:rsidR="00417751"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00417751" w:rsidRPr="00941DA3">
        <w:rPr>
          <w:rFonts w:ascii="Times New Roman" w:hAnsi="Times New Roman"/>
          <w:color w:val="auto"/>
          <w:sz w:val="24"/>
          <w:szCs w:val="24"/>
        </w:rPr>
        <w:fldChar w:fldCharType="separate"/>
      </w:r>
      <w:r w:rsidR="00E7642A">
        <w:rPr>
          <w:rFonts w:ascii="Times New Roman" w:hAnsi="Times New Roman"/>
          <w:noProof/>
          <w:color w:val="auto"/>
          <w:sz w:val="24"/>
          <w:szCs w:val="24"/>
        </w:rPr>
        <w:t>4</w:t>
      </w:r>
      <w:r w:rsidR="00417751" w:rsidRPr="00941DA3">
        <w:rPr>
          <w:rFonts w:ascii="Times New Roman" w:hAnsi="Times New Roman"/>
          <w:color w:val="auto"/>
          <w:sz w:val="24"/>
          <w:szCs w:val="24"/>
        </w:rPr>
        <w:fldChar w:fldCharType="end"/>
      </w:r>
    </w:p>
    <w:p w14:paraId="308375F5" w14:textId="77777777" w:rsidR="007843DA" w:rsidRDefault="002B293D" w:rsidP="00E7642A">
      <w:pPr>
        <w:tabs>
          <w:tab w:val="left" w:pos="0"/>
        </w:tabs>
        <w:ind w:left="0"/>
        <w:jc w:val="center"/>
        <w:rPr>
          <w:rFonts w:ascii="Times New Roman" w:hAnsi="Times New Roman"/>
          <w:b/>
          <w:sz w:val="24"/>
          <w:szCs w:val="24"/>
        </w:rPr>
      </w:pPr>
      <w:r w:rsidRPr="007843DA">
        <w:rPr>
          <w:rFonts w:ascii="Times New Roman" w:hAnsi="Times New Roman"/>
          <w:b/>
          <w:sz w:val="24"/>
          <w:szCs w:val="24"/>
        </w:rPr>
        <w:t>2.1.1.3.1.</w:t>
      </w:r>
      <w:r w:rsidR="00EE004D">
        <w:rPr>
          <w:rFonts w:ascii="Times New Roman" w:hAnsi="Times New Roman"/>
          <w:b/>
          <w:sz w:val="24"/>
          <w:szCs w:val="24"/>
        </w:rPr>
        <w:t> </w:t>
      </w:r>
      <w:r w:rsidR="007843DA" w:rsidRPr="007843DA">
        <w:rPr>
          <w:rFonts w:ascii="Times New Roman" w:hAnsi="Times New Roman"/>
          <w:b/>
          <w:sz w:val="24"/>
          <w:szCs w:val="24"/>
        </w:rPr>
        <w:t xml:space="preserve">apakšaktivitātes pirmās </w:t>
      </w:r>
      <w:r w:rsidRPr="007843DA">
        <w:rPr>
          <w:rFonts w:ascii="Times New Roman" w:hAnsi="Times New Roman"/>
          <w:b/>
          <w:sz w:val="24"/>
          <w:szCs w:val="24"/>
        </w:rPr>
        <w:t xml:space="preserve">kārtas ietvaros piesaistītais </w:t>
      </w:r>
      <w:r w:rsidR="007843DA" w:rsidRPr="007843DA">
        <w:rPr>
          <w:rFonts w:ascii="Times New Roman" w:hAnsi="Times New Roman"/>
          <w:b/>
          <w:sz w:val="24"/>
          <w:szCs w:val="24"/>
        </w:rPr>
        <w:t>finansējum</w:t>
      </w:r>
      <w:r w:rsidR="007843DA">
        <w:rPr>
          <w:rFonts w:ascii="Times New Roman" w:hAnsi="Times New Roman"/>
          <w:b/>
          <w:sz w:val="24"/>
          <w:szCs w:val="24"/>
        </w:rPr>
        <w:t>s</w:t>
      </w:r>
      <w:r w:rsidR="007843DA" w:rsidRPr="007843DA">
        <w:rPr>
          <w:rFonts w:ascii="Times New Roman" w:hAnsi="Times New Roman"/>
          <w:b/>
          <w:sz w:val="24"/>
          <w:szCs w:val="24"/>
        </w:rPr>
        <w:t xml:space="preserve"> </w:t>
      </w:r>
    </w:p>
    <w:p w14:paraId="3E50F632" w14:textId="77777777" w:rsidR="002B293D" w:rsidRPr="007843DA" w:rsidRDefault="007843DA" w:rsidP="00E7642A">
      <w:pPr>
        <w:tabs>
          <w:tab w:val="left" w:pos="0"/>
          <w:tab w:val="center" w:pos="4677"/>
          <w:tab w:val="left" w:pos="6360"/>
        </w:tabs>
        <w:spacing w:after="200"/>
        <w:ind w:left="0"/>
        <w:jc w:val="left"/>
        <w:rPr>
          <w:rFonts w:ascii="Times New Roman" w:hAnsi="Times New Roman"/>
          <w:b/>
          <w:sz w:val="24"/>
          <w:szCs w:val="24"/>
        </w:rPr>
      </w:pPr>
      <w:r>
        <w:rPr>
          <w:rFonts w:ascii="Times New Roman" w:hAnsi="Times New Roman"/>
          <w:b/>
          <w:sz w:val="24"/>
          <w:szCs w:val="24"/>
        </w:rPr>
        <w:tab/>
      </w:r>
      <w:r w:rsidR="002B293D" w:rsidRPr="007843DA">
        <w:rPr>
          <w:rFonts w:ascii="Times New Roman" w:hAnsi="Times New Roman"/>
          <w:b/>
          <w:sz w:val="24"/>
          <w:szCs w:val="24"/>
        </w:rPr>
        <w:t>pa</w:t>
      </w:r>
      <w:r w:rsidR="009A6285">
        <w:rPr>
          <w:rFonts w:ascii="Times New Roman" w:hAnsi="Times New Roman"/>
          <w:b/>
          <w:sz w:val="24"/>
          <w:szCs w:val="24"/>
        </w:rPr>
        <w:t xml:space="preserve"> </w:t>
      </w:r>
      <w:r w:rsidR="002B293D" w:rsidRPr="007843DA">
        <w:rPr>
          <w:rFonts w:ascii="Times New Roman" w:hAnsi="Times New Roman"/>
          <w:b/>
          <w:sz w:val="24"/>
          <w:szCs w:val="24"/>
        </w:rPr>
        <w:t>plānošanas reģioniem</w:t>
      </w:r>
      <w:r>
        <w:rPr>
          <w:rFonts w:ascii="Times New Roman" w:hAnsi="Times New Roman"/>
          <w:b/>
          <w:sz w:val="24"/>
          <w:szCs w:val="24"/>
        </w:rPr>
        <w:tab/>
      </w:r>
    </w:p>
    <w:tbl>
      <w:tblPr>
        <w:tblStyle w:val="TableGrid"/>
        <w:tblW w:w="5000" w:type="pct"/>
        <w:tblLayout w:type="fixed"/>
        <w:tblLook w:val="04A0" w:firstRow="1" w:lastRow="0" w:firstColumn="1" w:lastColumn="0" w:noHBand="0" w:noVBand="1"/>
      </w:tblPr>
      <w:tblGrid>
        <w:gridCol w:w="1368"/>
        <w:gridCol w:w="1249"/>
        <w:gridCol w:w="1249"/>
        <w:gridCol w:w="1249"/>
        <w:gridCol w:w="550"/>
        <w:gridCol w:w="1323"/>
        <w:gridCol w:w="1249"/>
      </w:tblGrid>
      <w:tr w:rsidR="003D2C15" w:rsidRPr="00DA3871" w14:paraId="39250C2B" w14:textId="77777777" w:rsidTr="004C00A2">
        <w:tc>
          <w:tcPr>
            <w:tcW w:w="830" w:type="pct"/>
            <w:shd w:val="clear" w:color="auto" w:fill="F2F2F2" w:themeFill="background1" w:themeFillShade="F2"/>
            <w:vAlign w:val="center"/>
          </w:tcPr>
          <w:p w14:paraId="4301ACDD" w14:textId="77777777" w:rsidR="003D2C15" w:rsidRPr="00846439" w:rsidRDefault="003D2C15" w:rsidP="00E7642A">
            <w:pPr>
              <w:ind w:left="0"/>
              <w:jc w:val="center"/>
              <w:rPr>
                <w:rFonts w:ascii="Times New Roman" w:eastAsia="Times New Roman" w:hAnsi="Times New Roman"/>
                <w:b/>
                <w:bCs/>
                <w:color w:val="000000"/>
              </w:rPr>
            </w:pPr>
            <w:r w:rsidRPr="00846439">
              <w:rPr>
                <w:rFonts w:ascii="Times New Roman" w:eastAsia="Times New Roman" w:hAnsi="Times New Roman"/>
                <w:b/>
                <w:bCs/>
                <w:color w:val="000000"/>
              </w:rPr>
              <w:t>Modernizēta infrastruktūra 2.1.1.3.1. 1.</w:t>
            </w:r>
            <w:r w:rsidR="004C00A2">
              <w:rPr>
                <w:rFonts w:ascii="Times New Roman" w:eastAsia="Times New Roman" w:hAnsi="Times New Roman"/>
                <w:b/>
                <w:bCs/>
                <w:color w:val="000000"/>
              </w:rPr>
              <w:t> </w:t>
            </w:r>
            <w:r w:rsidRPr="00846439">
              <w:rPr>
                <w:rFonts w:ascii="Times New Roman" w:eastAsia="Times New Roman" w:hAnsi="Times New Roman"/>
                <w:b/>
                <w:bCs/>
                <w:color w:val="000000"/>
              </w:rPr>
              <w:t>kārtas ietvaros</w:t>
            </w:r>
          </w:p>
        </w:tc>
        <w:tc>
          <w:tcPr>
            <w:tcW w:w="758" w:type="pct"/>
            <w:shd w:val="clear" w:color="auto" w:fill="F2F2F2" w:themeFill="background1" w:themeFillShade="F2"/>
            <w:vAlign w:val="center"/>
          </w:tcPr>
          <w:p w14:paraId="325165D0" w14:textId="77777777" w:rsidR="003D2C15" w:rsidRPr="00846439" w:rsidRDefault="003D2C15" w:rsidP="00E7642A">
            <w:pPr>
              <w:ind w:left="0"/>
              <w:jc w:val="center"/>
              <w:rPr>
                <w:rFonts w:ascii="Times New Roman" w:eastAsia="Times New Roman" w:hAnsi="Times New Roman"/>
                <w:b/>
                <w:bCs/>
                <w:color w:val="000000"/>
              </w:rPr>
            </w:pPr>
            <w:r w:rsidRPr="00846439">
              <w:rPr>
                <w:rFonts w:ascii="Times New Roman" w:eastAsia="Times New Roman" w:hAnsi="Times New Roman"/>
                <w:b/>
                <w:bCs/>
                <w:color w:val="000000"/>
              </w:rPr>
              <w:t xml:space="preserve">Labuma guvēja kopējais finansējums, </w:t>
            </w:r>
            <w:r w:rsidRPr="00846439">
              <w:rPr>
                <w:rFonts w:ascii="Times New Roman" w:eastAsia="Times New Roman" w:hAnsi="Times New Roman"/>
                <w:b/>
                <w:bCs/>
                <w:i/>
                <w:color w:val="000000"/>
              </w:rPr>
              <w:t>euro</w:t>
            </w:r>
          </w:p>
        </w:tc>
        <w:tc>
          <w:tcPr>
            <w:tcW w:w="758" w:type="pct"/>
            <w:shd w:val="clear" w:color="auto" w:fill="F2F2F2" w:themeFill="background1" w:themeFillShade="F2"/>
            <w:vAlign w:val="center"/>
          </w:tcPr>
          <w:p w14:paraId="77BBB9FF" w14:textId="77777777" w:rsidR="003D2C15" w:rsidRPr="00846439" w:rsidRDefault="003D2C15" w:rsidP="00E7642A">
            <w:pPr>
              <w:ind w:left="0"/>
              <w:jc w:val="center"/>
              <w:rPr>
                <w:rFonts w:ascii="Times New Roman" w:eastAsia="Times New Roman" w:hAnsi="Times New Roman"/>
                <w:b/>
                <w:bCs/>
                <w:color w:val="000000"/>
              </w:rPr>
            </w:pPr>
            <w:r w:rsidRPr="00846439">
              <w:rPr>
                <w:rFonts w:ascii="Times New Roman" w:eastAsia="Times New Roman" w:hAnsi="Times New Roman"/>
                <w:b/>
                <w:bCs/>
                <w:color w:val="000000"/>
              </w:rPr>
              <w:t xml:space="preserve">t.sk. kopējais attiecināmais finansējums, </w:t>
            </w:r>
            <w:r w:rsidRPr="00846439">
              <w:rPr>
                <w:rFonts w:ascii="Times New Roman" w:eastAsia="Times New Roman" w:hAnsi="Times New Roman"/>
                <w:b/>
                <w:bCs/>
                <w:i/>
                <w:color w:val="000000"/>
              </w:rPr>
              <w:t>euro</w:t>
            </w:r>
          </w:p>
        </w:tc>
        <w:tc>
          <w:tcPr>
            <w:tcW w:w="758" w:type="pct"/>
            <w:shd w:val="clear" w:color="auto" w:fill="F2F2F2" w:themeFill="background1" w:themeFillShade="F2"/>
            <w:vAlign w:val="center"/>
          </w:tcPr>
          <w:p w14:paraId="77DB58E1" w14:textId="77777777" w:rsidR="003D2C15" w:rsidRPr="00846439" w:rsidRDefault="003D2C15" w:rsidP="00E7642A">
            <w:pPr>
              <w:ind w:left="0"/>
              <w:jc w:val="center"/>
              <w:rPr>
                <w:rFonts w:ascii="Times New Roman" w:eastAsia="Times New Roman" w:hAnsi="Times New Roman"/>
                <w:b/>
                <w:bCs/>
                <w:color w:val="000000"/>
              </w:rPr>
            </w:pPr>
            <w:r w:rsidRPr="00846439">
              <w:rPr>
                <w:rFonts w:ascii="Times New Roman" w:eastAsia="Times New Roman" w:hAnsi="Times New Roman"/>
                <w:b/>
                <w:bCs/>
                <w:color w:val="000000"/>
              </w:rPr>
              <w:t xml:space="preserve">t.sk. ERAF finansējums, </w:t>
            </w:r>
            <w:r w:rsidRPr="00846439">
              <w:rPr>
                <w:rFonts w:ascii="Times New Roman" w:eastAsia="Times New Roman" w:hAnsi="Times New Roman"/>
                <w:b/>
                <w:bCs/>
                <w:i/>
                <w:color w:val="000000"/>
              </w:rPr>
              <w:t>euro</w:t>
            </w:r>
          </w:p>
        </w:tc>
        <w:tc>
          <w:tcPr>
            <w:tcW w:w="334" w:type="pct"/>
            <w:shd w:val="clear" w:color="auto" w:fill="F2F2F2" w:themeFill="background1" w:themeFillShade="F2"/>
            <w:vAlign w:val="center"/>
          </w:tcPr>
          <w:p w14:paraId="34EDA9A6" w14:textId="77777777" w:rsidR="003D2C15" w:rsidRPr="00846439" w:rsidRDefault="003D2C15" w:rsidP="00E7642A">
            <w:pPr>
              <w:ind w:left="0"/>
              <w:jc w:val="center"/>
              <w:rPr>
                <w:rFonts w:ascii="Times New Roman" w:eastAsia="Times New Roman" w:hAnsi="Times New Roman"/>
                <w:b/>
                <w:bCs/>
                <w:color w:val="000000"/>
              </w:rPr>
            </w:pPr>
            <w:r w:rsidRPr="00846439">
              <w:rPr>
                <w:rFonts w:ascii="Times New Roman" w:eastAsia="Times New Roman" w:hAnsi="Times New Roman"/>
                <w:b/>
                <w:bCs/>
                <w:color w:val="000000"/>
              </w:rPr>
              <w:t>%</w:t>
            </w:r>
          </w:p>
        </w:tc>
        <w:tc>
          <w:tcPr>
            <w:tcW w:w="803" w:type="pct"/>
            <w:shd w:val="clear" w:color="auto" w:fill="F2F2F2" w:themeFill="background1" w:themeFillShade="F2"/>
            <w:vAlign w:val="center"/>
          </w:tcPr>
          <w:p w14:paraId="1C920D2A" w14:textId="77777777" w:rsidR="003D2C15" w:rsidRPr="00846439" w:rsidRDefault="003D2C15" w:rsidP="00E7642A">
            <w:pPr>
              <w:ind w:left="0"/>
              <w:jc w:val="center"/>
              <w:rPr>
                <w:rFonts w:ascii="Times New Roman" w:eastAsia="Times New Roman" w:hAnsi="Times New Roman"/>
                <w:b/>
                <w:bCs/>
                <w:color w:val="000000"/>
              </w:rPr>
            </w:pPr>
            <w:r w:rsidRPr="00846439">
              <w:rPr>
                <w:rFonts w:ascii="Times New Roman" w:eastAsia="Times New Roman" w:hAnsi="Times New Roman"/>
                <w:b/>
                <w:bCs/>
                <w:color w:val="000000"/>
              </w:rPr>
              <w:t xml:space="preserve">VNPC veidojošo zinātnisko institūciju nodarbinātais zinātniskais personāls </w:t>
            </w:r>
            <w:r w:rsidRPr="00846439">
              <w:rPr>
                <w:rFonts w:ascii="Times New Roman" w:eastAsia="Times New Roman" w:hAnsi="Times New Roman"/>
                <w:b/>
                <w:bCs/>
                <w:color w:val="000000"/>
              </w:rPr>
              <w:lastRenderedPageBreak/>
              <w:t>2011.</w:t>
            </w:r>
            <w:r w:rsidR="004C00A2">
              <w:rPr>
                <w:rFonts w:ascii="Times New Roman" w:eastAsia="Times New Roman" w:hAnsi="Times New Roman"/>
                <w:b/>
                <w:bCs/>
                <w:color w:val="000000"/>
              </w:rPr>
              <w:t> </w:t>
            </w:r>
            <w:r w:rsidRPr="00846439">
              <w:rPr>
                <w:rFonts w:ascii="Times New Roman" w:eastAsia="Times New Roman" w:hAnsi="Times New Roman"/>
                <w:b/>
                <w:bCs/>
                <w:color w:val="000000"/>
              </w:rPr>
              <w:t>gadā, PLE</w:t>
            </w:r>
          </w:p>
        </w:tc>
        <w:tc>
          <w:tcPr>
            <w:tcW w:w="758" w:type="pct"/>
            <w:shd w:val="clear" w:color="auto" w:fill="F2F2F2" w:themeFill="background1" w:themeFillShade="F2"/>
            <w:vAlign w:val="center"/>
          </w:tcPr>
          <w:p w14:paraId="2A0FBF27" w14:textId="77777777" w:rsidR="003D2C15" w:rsidRPr="00846439" w:rsidRDefault="003D2C15" w:rsidP="00E7642A">
            <w:pPr>
              <w:ind w:left="0"/>
              <w:jc w:val="center"/>
              <w:rPr>
                <w:rFonts w:ascii="Times New Roman" w:eastAsia="Times New Roman" w:hAnsi="Times New Roman"/>
                <w:b/>
                <w:bCs/>
                <w:color w:val="000000"/>
              </w:rPr>
            </w:pPr>
            <w:r w:rsidRPr="00846439">
              <w:rPr>
                <w:rFonts w:ascii="Times New Roman" w:eastAsia="Times New Roman" w:hAnsi="Times New Roman"/>
                <w:b/>
                <w:bCs/>
                <w:color w:val="000000"/>
              </w:rPr>
              <w:lastRenderedPageBreak/>
              <w:t>Kopējais finansējums uz vienu zinātniskā personāla PLE</w:t>
            </w:r>
            <w:r w:rsidR="00504FA4">
              <w:rPr>
                <w:rFonts w:ascii="Times New Roman" w:eastAsia="Times New Roman" w:hAnsi="Times New Roman"/>
                <w:b/>
                <w:bCs/>
                <w:color w:val="000000"/>
              </w:rPr>
              <w:t>,</w:t>
            </w:r>
            <w:r w:rsidR="00504FA4" w:rsidRPr="00504FA4">
              <w:rPr>
                <w:rFonts w:ascii="Times New Roman" w:eastAsia="Times New Roman" w:hAnsi="Times New Roman"/>
                <w:b/>
                <w:bCs/>
                <w:i/>
                <w:color w:val="000000"/>
              </w:rPr>
              <w:t xml:space="preserve"> euro</w:t>
            </w:r>
          </w:p>
        </w:tc>
      </w:tr>
      <w:tr w:rsidR="003D2C15" w:rsidRPr="003D2C15" w14:paraId="62C5410E" w14:textId="77777777" w:rsidTr="004C00A2">
        <w:tc>
          <w:tcPr>
            <w:tcW w:w="830" w:type="pct"/>
            <w:vAlign w:val="center"/>
          </w:tcPr>
          <w:p w14:paraId="5D508EA8" w14:textId="77777777" w:rsidR="003D2C15" w:rsidRPr="00AC114E" w:rsidRDefault="003D2C15" w:rsidP="00E7642A">
            <w:pPr>
              <w:ind w:left="0"/>
              <w:jc w:val="left"/>
              <w:rPr>
                <w:rFonts w:ascii="Times New Roman" w:eastAsia="Times New Roman" w:hAnsi="Times New Roman"/>
                <w:color w:val="000000"/>
              </w:rPr>
            </w:pPr>
            <w:r w:rsidRPr="00AC114E">
              <w:rPr>
                <w:rFonts w:ascii="Times New Roman" w:eastAsia="Times New Roman" w:hAnsi="Times New Roman"/>
                <w:color w:val="000000"/>
              </w:rPr>
              <w:lastRenderedPageBreak/>
              <w:t>Rīgas plānošanas reģion</w:t>
            </w:r>
            <w:r w:rsidR="002E0E23">
              <w:rPr>
                <w:rFonts w:ascii="Times New Roman" w:eastAsia="Times New Roman" w:hAnsi="Times New Roman"/>
                <w:color w:val="000000"/>
              </w:rPr>
              <w:t>s</w:t>
            </w:r>
            <w:r w:rsidRPr="00AC114E">
              <w:rPr>
                <w:rFonts w:ascii="Times New Roman" w:eastAsia="Times New Roman" w:hAnsi="Times New Roman"/>
                <w:color w:val="000000"/>
              </w:rPr>
              <w:t xml:space="preserve"> un Rīgā</w:t>
            </w:r>
          </w:p>
        </w:tc>
        <w:tc>
          <w:tcPr>
            <w:tcW w:w="758" w:type="pct"/>
            <w:vAlign w:val="center"/>
          </w:tcPr>
          <w:p w14:paraId="767DB658"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75 158 595</w:t>
            </w:r>
          </w:p>
        </w:tc>
        <w:tc>
          <w:tcPr>
            <w:tcW w:w="758" w:type="pct"/>
            <w:vAlign w:val="center"/>
          </w:tcPr>
          <w:p w14:paraId="4FC93CB6" w14:textId="77777777" w:rsidR="003D2C15" w:rsidRPr="00AC114E" w:rsidRDefault="003D2C15" w:rsidP="00E7642A">
            <w:pPr>
              <w:tabs>
                <w:tab w:val="left" w:pos="0"/>
              </w:tabs>
              <w:ind w:left="0"/>
              <w:jc w:val="center"/>
              <w:rPr>
                <w:rFonts w:ascii="Times New Roman" w:hAnsi="Times New Roman"/>
              </w:rPr>
            </w:pPr>
            <w:r w:rsidRPr="00AC114E">
              <w:rPr>
                <w:rFonts w:ascii="Times New Roman" w:hAnsi="Times New Roman"/>
              </w:rPr>
              <w:t>74 252 982</w:t>
            </w:r>
          </w:p>
        </w:tc>
        <w:tc>
          <w:tcPr>
            <w:tcW w:w="758" w:type="pct"/>
            <w:vAlign w:val="center"/>
          </w:tcPr>
          <w:p w14:paraId="762AFDF0"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65 484 381</w:t>
            </w:r>
          </w:p>
        </w:tc>
        <w:tc>
          <w:tcPr>
            <w:tcW w:w="334" w:type="pct"/>
            <w:vAlign w:val="center"/>
          </w:tcPr>
          <w:p w14:paraId="6A5CC8A3"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bCs/>
                <w:color w:val="000000"/>
              </w:rPr>
              <w:t>82.3</w:t>
            </w:r>
          </w:p>
        </w:tc>
        <w:tc>
          <w:tcPr>
            <w:tcW w:w="803" w:type="pct"/>
            <w:vAlign w:val="center"/>
          </w:tcPr>
          <w:p w14:paraId="0489F726"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1602</w:t>
            </w:r>
          </w:p>
        </w:tc>
        <w:tc>
          <w:tcPr>
            <w:tcW w:w="758" w:type="pct"/>
            <w:vAlign w:val="center"/>
          </w:tcPr>
          <w:p w14:paraId="3BDB2FCB"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rPr>
              <w:t>46 915</w:t>
            </w:r>
          </w:p>
        </w:tc>
      </w:tr>
      <w:tr w:rsidR="003D2C15" w:rsidRPr="003D2C15" w14:paraId="14ACE857" w14:textId="77777777" w:rsidTr="004C00A2">
        <w:tc>
          <w:tcPr>
            <w:tcW w:w="830" w:type="pct"/>
            <w:vAlign w:val="center"/>
          </w:tcPr>
          <w:p w14:paraId="445DACC6" w14:textId="77777777" w:rsidR="003D2C15" w:rsidRPr="00AC114E" w:rsidRDefault="003D2C15" w:rsidP="00E7642A">
            <w:pPr>
              <w:ind w:left="0"/>
              <w:jc w:val="left"/>
              <w:rPr>
                <w:rFonts w:ascii="Times New Roman" w:eastAsia="Times New Roman" w:hAnsi="Times New Roman"/>
                <w:color w:val="000000"/>
              </w:rPr>
            </w:pPr>
            <w:r w:rsidRPr="00AC114E">
              <w:rPr>
                <w:rFonts w:ascii="Times New Roman" w:eastAsia="Times New Roman" w:hAnsi="Times New Roman"/>
                <w:color w:val="000000"/>
              </w:rPr>
              <w:t>Zemgales plānošanas reģion</w:t>
            </w:r>
            <w:r w:rsidR="002E0E23">
              <w:rPr>
                <w:rFonts w:ascii="Times New Roman" w:eastAsia="Times New Roman" w:hAnsi="Times New Roman"/>
                <w:color w:val="000000"/>
              </w:rPr>
              <w:t>s</w:t>
            </w:r>
          </w:p>
        </w:tc>
        <w:tc>
          <w:tcPr>
            <w:tcW w:w="758" w:type="pct"/>
            <w:vAlign w:val="center"/>
          </w:tcPr>
          <w:p w14:paraId="58B9F6FA"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6 638 212</w:t>
            </w:r>
          </w:p>
        </w:tc>
        <w:tc>
          <w:tcPr>
            <w:tcW w:w="758" w:type="pct"/>
            <w:vAlign w:val="center"/>
          </w:tcPr>
          <w:p w14:paraId="7144C6DC" w14:textId="77777777" w:rsidR="003D2C15" w:rsidRPr="00AC114E" w:rsidRDefault="003D2C15" w:rsidP="00E7642A">
            <w:pPr>
              <w:tabs>
                <w:tab w:val="left" w:pos="0"/>
              </w:tabs>
              <w:ind w:left="0"/>
              <w:jc w:val="center"/>
              <w:rPr>
                <w:rFonts w:ascii="Times New Roman" w:hAnsi="Times New Roman"/>
              </w:rPr>
            </w:pPr>
            <w:r w:rsidRPr="00AC114E">
              <w:rPr>
                <w:rFonts w:ascii="Times New Roman" w:hAnsi="Times New Roman"/>
              </w:rPr>
              <w:t>6 561 113</w:t>
            </w:r>
          </w:p>
        </w:tc>
        <w:tc>
          <w:tcPr>
            <w:tcW w:w="758" w:type="pct"/>
            <w:vAlign w:val="center"/>
          </w:tcPr>
          <w:p w14:paraId="768DD14B"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5 910 426</w:t>
            </w:r>
          </w:p>
        </w:tc>
        <w:tc>
          <w:tcPr>
            <w:tcW w:w="334" w:type="pct"/>
            <w:vAlign w:val="center"/>
          </w:tcPr>
          <w:p w14:paraId="39A30F53"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bCs/>
                <w:color w:val="000000"/>
              </w:rPr>
              <w:t>7.3</w:t>
            </w:r>
          </w:p>
        </w:tc>
        <w:tc>
          <w:tcPr>
            <w:tcW w:w="803" w:type="pct"/>
            <w:vAlign w:val="center"/>
          </w:tcPr>
          <w:p w14:paraId="3F8FBE57"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54</w:t>
            </w:r>
          </w:p>
        </w:tc>
        <w:tc>
          <w:tcPr>
            <w:tcW w:w="758" w:type="pct"/>
            <w:vAlign w:val="center"/>
          </w:tcPr>
          <w:p w14:paraId="0885EB9F"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rPr>
              <w:t>122 930</w:t>
            </w:r>
          </w:p>
        </w:tc>
      </w:tr>
      <w:tr w:rsidR="003D2C15" w:rsidRPr="003D2C15" w14:paraId="69692B20" w14:textId="77777777" w:rsidTr="004C00A2">
        <w:tc>
          <w:tcPr>
            <w:tcW w:w="830" w:type="pct"/>
            <w:vAlign w:val="center"/>
          </w:tcPr>
          <w:p w14:paraId="485A0036" w14:textId="77777777" w:rsidR="003D2C15" w:rsidRPr="00AC114E" w:rsidRDefault="003D2C15" w:rsidP="00E7642A">
            <w:pPr>
              <w:ind w:left="0"/>
              <w:jc w:val="left"/>
              <w:rPr>
                <w:rFonts w:ascii="Times New Roman" w:eastAsia="Times New Roman" w:hAnsi="Times New Roman"/>
                <w:color w:val="000000"/>
              </w:rPr>
            </w:pPr>
            <w:r w:rsidRPr="00AC114E">
              <w:rPr>
                <w:rFonts w:ascii="Times New Roman" w:eastAsia="Times New Roman" w:hAnsi="Times New Roman"/>
                <w:color w:val="000000"/>
              </w:rPr>
              <w:t>Kurzemes plānošanas reģion</w:t>
            </w:r>
            <w:r w:rsidR="002E0E23">
              <w:rPr>
                <w:rFonts w:ascii="Times New Roman" w:eastAsia="Times New Roman" w:hAnsi="Times New Roman"/>
                <w:color w:val="000000"/>
              </w:rPr>
              <w:t>s</w:t>
            </w:r>
          </w:p>
        </w:tc>
        <w:tc>
          <w:tcPr>
            <w:tcW w:w="758" w:type="pct"/>
            <w:vAlign w:val="center"/>
          </w:tcPr>
          <w:p w14:paraId="3FC6F0B5"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8 019 855</w:t>
            </w:r>
          </w:p>
        </w:tc>
        <w:tc>
          <w:tcPr>
            <w:tcW w:w="758" w:type="pct"/>
            <w:vAlign w:val="center"/>
          </w:tcPr>
          <w:p w14:paraId="4E0D2878" w14:textId="77777777" w:rsidR="003D2C15" w:rsidRPr="00AC114E" w:rsidRDefault="003D2C15" w:rsidP="00E7642A">
            <w:pPr>
              <w:tabs>
                <w:tab w:val="left" w:pos="0"/>
              </w:tabs>
              <w:ind w:left="0"/>
              <w:jc w:val="center"/>
              <w:rPr>
                <w:rFonts w:ascii="Times New Roman" w:hAnsi="Times New Roman"/>
              </w:rPr>
            </w:pPr>
            <w:r w:rsidRPr="00AC114E">
              <w:rPr>
                <w:rFonts w:ascii="Times New Roman" w:hAnsi="Times New Roman"/>
              </w:rPr>
              <w:t>7 968 318</w:t>
            </w:r>
          </w:p>
        </w:tc>
        <w:tc>
          <w:tcPr>
            <w:tcW w:w="758" w:type="pct"/>
            <w:vAlign w:val="center"/>
          </w:tcPr>
          <w:p w14:paraId="69D65FD4"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7 157 312</w:t>
            </w:r>
          </w:p>
        </w:tc>
        <w:tc>
          <w:tcPr>
            <w:tcW w:w="334" w:type="pct"/>
            <w:vAlign w:val="center"/>
          </w:tcPr>
          <w:p w14:paraId="602738DB"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bCs/>
                <w:color w:val="000000"/>
              </w:rPr>
              <w:t>8.8</w:t>
            </w:r>
          </w:p>
        </w:tc>
        <w:tc>
          <w:tcPr>
            <w:tcW w:w="803" w:type="pct"/>
            <w:vAlign w:val="center"/>
          </w:tcPr>
          <w:p w14:paraId="5BBD1887"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38</w:t>
            </w:r>
          </w:p>
        </w:tc>
        <w:tc>
          <w:tcPr>
            <w:tcW w:w="758" w:type="pct"/>
            <w:vAlign w:val="center"/>
          </w:tcPr>
          <w:p w14:paraId="0062CD43"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rPr>
              <w:t>211 049</w:t>
            </w:r>
          </w:p>
        </w:tc>
      </w:tr>
      <w:tr w:rsidR="003D2C15" w:rsidRPr="003D2C15" w14:paraId="46F5F157" w14:textId="77777777" w:rsidTr="004C00A2">
        <w:tc>
          <w:tcPr>
            <w:tcW w:w="830" w:type="pct"/>
            <w:vAlign w:val="center"/>
          </w:tcPr>
          <w:p w14:paraId="02A855C7" w14:textId="77777777" w:rsidR="003D2C15" w:rsidRPr="00AC114E" w:rsidRDefault="003D2C15" w:rsidP="00E7642A">
            <w:pPr>
              <w:ind w:left="0"/>
              <w:jc w:val="left"/>
              <w:rPr>
                <w:rFonts w:ascii="Times New Roman" w:eastAsia="Times New Roman" w:hAnsi="Times New Roman"/>
                <w:color w:val="000000"/>
              </w:rPr>
            </w:pPr>
            <w:r w:rsidRPr="00AC114E">
              <w:rPr>
                <w:rFonts w:ascii="Times New Roman" w:eastAsia="Times New Roman" w:hAnsi="Times New Roman"/>
                <w:color w:val="000000"/>
              </w:rPr>
              <w:t>Latgales plānošanas reģion</w:t>
            </w:r>
            <w:r w:rsidR="002E0E23">
              <w:rPr>
                <w:rFonts w:ascii="Times New Roman" w:eastAsia="Times New Roman" w:hAnsi="Times New Roman"/>
                <w:color w:val="000000"/>
              </w:rPr>
              <w:t>s</w:t>
            </w:r>
          </w:p>
        </w:tc>
        <w:tc>
          <w:tcPr>
            <w:tcW w:w="758" w:type="pct"/>
            <w:vAlign w:val="center"/>
          </w:tcPr>
          <w:p w14:paraId="0EEF6B6B"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1 153 369</w:t>
            </w:r>
          </w:p>
        </w:tc>
        <w:tc>
          <w:tcPr>
            <w:tcW w:w="758" w:type="pct"/>
            <w:vAlign w:val="center"/>
          </w:tcPr>
          <w:p w14:paraId="11F89D3A" w14:textId="77777777" w:rsidR="003D2C15" w:rsidRPr="00AC114E" w:rsidRDefault="003D2C15" w:rsidP="00E7642A">
            <w:pPr>
              <w:tabs>
                <w:tab w:val="left" w:pos="0"/>
              </w:tabs>
              <w:ind w:left="0"/>
              <w:jc w:val="center"/>
              <w:rPr>
                <w:rFonts w:ascii="Times New Roman" w:hAnsi="Times New Roman"/>
              </w:rPr>
            </w:pPr>
            <w:r w:rsidRPr="00AC114E">
              <w:rPr>
                <w:rFonts w:ascii="Times New Roman" w:hAnsi="Times New Roman"/>
              </w:rPr>
              <w:t>1 153 369</w:t>
            </w:r>
          </w:p>
        </w:tc>
        <w:tc>
          <w:tcPr>
            <w:tcW w:w="758" w:type="pct"/>
            <w:vAlign w:val="center"/>
          </w:tcPr>
          <w:p w14:paraId="09B46AC7"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1 032 265</w:t>
            </w:r>
          </w:p>
        </w:tc>
        <w:tc>
          <w:tcPr>
            <w:tcW w:w="334" w:type="pct"/>
            <w:vAlign w:val="center"/>
          </w:tcPr>
          <w:p w14:paraId="69710A50"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bCs/>
                <w:color w:val="000000"/>
              </w:rPr>
              <w:t>1.3</w:t>
            </w:r>
          </w:p>
        </w:tc>
        <w:tc>
          <w:tcPr>
            <w:tcW w:w="803" w:type="pct"/>
            <w:vAlign w:val="center"/>
          </w:tcPr>
          <w:p w14:paraId="30A59DD8"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30</w:t>
            </w:r>
          </w:p>
        </w:tc>
        <w:tc>
          <w:tcPr>
            <w:tcW w:w="758" w:type="pct"/>
            <w:vAlign w:val="center"/>
          </w:tcPr>
          <w:p w14:paraId="5CA527D5"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rPr>
              <w:t>38 446</w:t>
            </w:r>
          </w:p>
        </w:tc>
      </w:tr>
      <w:tr w:rsidR="003D2C15" w:rsidRPr="003D2C15" w14:paraId="4A4F8E9C" w14:textId="77777777" w:rsidTr="004C00A2">
        <w:tc>
          <w:tcPr>
            <w:tcW w:w="830" w:type="pct"/>
            <w:vAlign w:val="center"/>
          </w:tcPr>
          <w:p w14:paraId="64388413" w14:textId="77777777" w:rsidR="003D2C15" w:rsidRPr="00AC114E" w:rsidRDefault="003D2C15" w:rsidP="00E7642A">
            <w:pPr>
              <w:ind w:left="0"/>
              <w:jc w:val="left"/>
              <w:rPr>
                <w:rFonts w:ascii="Times New Roman" w:eastAsia="Times New Roman" w:hAnsi="Times New Roman"/>
                <w:color w:val="000000"/>
              </w:rPr>
            </w:pPr>
            <w:r w:rsidRPr="00AC114E">
              <w:rPr>
                <w:rFonts w:ascii="Times New Roman" w:eastAsia="Times New Roman" w:hAnsi="Times New Roman"/>
                <w:color w:val="000000"/>
              </w:rPr>
              <w:t>Vidzemes plānošanas reģions</w:t>
            </w:r>
          </w:p>
        </w:tc>
        <w:tc>
          <w:tcPr>
            <w:tcW w:w="758" w:type="pct"/>
            <w:vAlign w:val="center"/>
          </w:tcPr>
          <w:p w14:paraId="672FB533"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388 970</w:t>
            </w:r>
          </w:p>
        </w:tc>
        <w:tc>
          <w:tcPr>
            <w:tcW w:w="758" w:type="pct"/>
            <w:vAlign w:val="center"/>
          </w:tcPr>
          <w:p w14:paraId="2C475FBD" w14:textId="77777777" w:rsidR="003D2C15" w:rsidRPr="00AC114E" w:rsidRDefault="003D2C15" w:rsidP="00E7642A">
            <w:pPr>
              <w:tabs>
                <w:tab w:val="left" w:pos="0"/>
              </w:tabs>
              <w:ind w:left="0"/>
              <w:jc w:val="center"/>
              <w:rPr>
                <w:rFonts w:ascii="Times New Roman" w:hAnsi="Times New Roman"/>
              </w:rPr>
            </w:pPr>
            <w:r w:rsidRPr="00AC114E">
              <w:rPr>
                <w:rFonts w:ascii="Times New Roman" w:hAnsi="Times New Roman"/>
              </w:rPr>
              <w:t>380 022</w:t>
            </w:r>
          </w:p>
        </w:tc>
        <w:tc>
          <w:tcPr>
            <w:tcW w:w="758" w:type="pct"/>
            <w:vAlign w:val="center"/>
          </w:tcPr>
          <w:p w14:paraId="493092F4"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344 487</w:t>
            </w:r>
          </w:p>
        </w:tc>
        <w:tc>
          <w:tcPr>
            <w:tcW w:w="334" w:type="pct"/>
            <w:vAlign w:val="center"/>
          </w:tcPr>
          <w:p w14:paraId="67826471"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bCs/>
                <w:color w:val="000000"/>
              </w:rPr>
              <w:t>0.4</w:t>
            </w:r>
          </w:p>
        </w:tc>
        <w:tc>
          <w:tcPr>
            <w:tcW w:w="803" w:type="pct"/>
            <w:vAlign w:val="center"/>
          </w:tcPr>
          <w:p w14:paraId="10544009"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eastAsia="Times New Roman" w:hAnsi="Times New Roman"/>
                <w:color w:val="000000"/>
              </w:rPr>
              <w:t>13</w:t>
            </w:r>
          </w:p>
        </w:tc>
        <w:tc>
          <w:tcPr>
            <w:tcW w:w="758" w:type="pct"/>
            <w:vAlign w:val="center"/>
          </w:tcPr>
          <w:p w14:paraId="0B294BDA" w14:textId="77777777" w:rsidR="003D2C15" w:rsidRPr="00AC114E" w:rsidRDefault="003D2C15" w:rsidP="00E7642A">
            <w:pPr>
              <w:ind w:left="0"/>
              <w:jc w:val="center"/>
              <w:rPr>
                <w:rFonts w:ascii="Times New Roman" w:eastAsia="Times New Roman" w:hAnsi="Times New Roman"/>
                <w:color w:val="000000"/>
              </w:rPr>
            </w:pPr>
            <w:r w:rsidRPr="00AC114E">
              <w:rPr>
                <w:rFonts w:ascii="Times New Roman" w:hAnsi="Times New Roman"/>
              </w:rPr>
              <w:t>29 921</w:t>
            </w:r>
          </w:p>
        </w:tc>
      </w:tr>
      <w:tr w:rsidR="003D2C15" w:rsidRPr="003D2C15" w14:paraId="5B01A04E" w14:textId="77777777" w:rsidTr="004C00A2">
        <w:tc>
          <w:tcPr>
            <w:tcW w:w="830" w:type="pct"/>
            <w:vAlign w:val="center"/>
          </w:tcPr>
          <w:p w14:paraId="691EDB26" w14:textId="77777777" w:rsidR="003D2C15" w:rsidRPr="007843DA" w:rsidRDefault="003D2C15" w:rsidP="00E7642A">
            <w:pPr>
              <w:ind w:left="0"/>
              <w:jc w:val="right"/>
              <w:rPr>
                <w:rFonts w:ascii="Times New Roman" w:eastAsia="Times New Roman" w:hAnsi="Times New Roman"/>
                <w:b/>
                <w:bCs/>
                <w:color w:val="000000"/>
              </w:rPr>
            </w:pPr>
            <w:r w:rsidRPr="007843DA">
              <w:rPr>
                <w:rFonts w:ascii="Times New Roman" w:eastAsia="Times New Roman" w:hAnsi="Times New Roman"/>
                <w:b/>
                <w:bCs/>
                <w:color w:val="000000"/>
              </w:rPr>
              <w:t>KOPĀ:</w:t>
            </w:r>
          </w:p>
        </w:tc>
        <w:tc>
          <w:tcPr>
            <w:tcW w:w="758" w:type="pct"/>
            <w:vAlign w:val="center"/>
          </w:tcPr>
          <w:p w14:paraId="5FCA30E5" w14:textId="77777777" w:rsidR="003D2C15" w:rsidRPr="007843DA" w:rsidRDefault="003D2C15" w:rsidP="00E7642A">
            <w:pPr>
              <w:ind w:left="0"/>
              <w:jc w:val="center"/>
              <w:rPr>
                <w:rFonts w:ascii="Times New Roman" w:eastAsia="Times New Roman" w:hAnsi="Times New Roman"/>
                <w:b/>
                <w:bCs/>
                <w:color w:val="000000"/>
              </w:rPr>
            </w:pPr>
            <w:r w:rsidRPr="007843DA">
              <w:rPr>
                <w:rFonts w:ascii="Times New Roman" w:eastAsia="Times New Roman" w:hAnsi="Times New Roman"/>
                <w:b/>
                <w:bCs/>
                <w:color w:val="000000"/>
              </w:rPr>
              <w:t>91 359 001</w:t>
            </w:r>
          </w:p>
        </w:tc>
        <w:tc>
          <w:tcPr>
            <w:tcW w:w="758" w:type="pct"/>
          </w:tcPr>
          <w:p w14:paraId="6AC2B734" w14:textId="77777777" w:rsidR="003D2C15" w:rsidRPr="007843DA" w:rsidRDefault="003D2C15" w:rsidP="00E7642A">
            <w:pPr>
              <w:tabs>
                <w:tab w:val="left" w:pos="0"/>
              </w:tabs>
              <w:ind w:left="0"/>
              <w:jc w:val="center"/>
              <w:rPr>
                <w:rFonts w:ascii="Times New Roman" w:hAnsi="Times New Roman"/>
                <w:b/>
              </w:rPr>
            </w:pPr>
            <w:r w:rsidRPr="007843DA">
              <w:rPr>
                <w:rFonts w:ascii="Times New Roman" w:hAnsi="Times New Roman"/>
                <w:b/>
              </w:rPr>
              <w:t>90 315 804</w:t>
            </w:r>
          </w:p>
        </w:tc>
        <w:tc>
          <w:tcPr>
            <w:tcW w:w="758" w:type="pct"/>
            <w:vAlign w:val="center"/>
          </w:tcPr>
          <w:p w14:paraId="4AFB22F4" w14:textId="77777777" w:rsidR="003D2C15" w:rsidRPr="007843DA" w:rsidRDefault="003D2C15" w:rsidP="00E7642A">
            <w:pPr>
              <w:ind w:left="0"/>
              <w:jc w:val="center"/>
              <w:rPr>
                <w:rFonts w:ascii="Times New Roman" w:eastAsia="Times New Roman" w:hAnsi="Times New Roman"/>
                <w:b/>
                <w:bCs/>
                <w:color w:val="000000"/>
              </w:rPr>
            </w:pPr>
            <w:r w:rsidRPr="007843DA">
              <w:rPr>
                <w:rFonts w:ascii="Times New Roman" w:eastAsia="Times New Roman" w:hAnsi="Times New Roman"/>
                <w:b/>
                <w:bCs/>
                <w:color w:val="000000"/>
              </w:rPr>
              <w:t>79 928 871</w:t>
            </w:r>
          </w:p>
        </w:tc>
        <w:tc>
          <w:tcPr>
            <w:tcW w:w="334" w:type="pct"/>
            <w:vAlign w:val="center"/>
          </w:tcPr>
          <w:p w14:paraId="1F78B50C" w14:textId="77777777" w:rsidR="003D2C15" w:rsidRPr="007843DA" w:rsidRDefault="003D2C15" w:rsidP="00E7642A">
            <w:pPr>
              <w:ind w:left="0"/>
              <w:jc w:val="center"/>
              <w:rPr>
                <w:rFonts w:ascii="Times New Roman" w:eastAsia="Times New Roman" w:hAnsi="Times New Roman"/>
                <w:b/>
                <w:bCs/>
                <w:color w:val="000000"/>
              </w:rPr>
            </w:pPr>
            <w:r w:rsidRPr="007843DA">
              <w:rPr>
                <w:rFonts w:ascii="Times New Roman" w:hAnsi="Times New Roman"/>
                <w:b/>
                <w:bCs/>
                <w:color w:val="000000"/>
              </w:rPr>
              <w:t>100</w:t>
            </w:r>
          </w:p>
        </w:tc>
        <w:tc>
          <w:tcPr>
            <w:tcW w:w="803" w:type="pct"/>
          </w:tcPr>
          <w:p w14:paraId="74C64EFE" w14:textId="77777777" w:rsidR="003D2C15" w:rsidRPr="007843DA" w:rsidRDefault="003D2C15" w:rsidP="00E7642A">
            <w:pPr>
              <w:ind w:left="0"/>
              <w:jc w:val="center"/>
              <w:rPr>
                <w:rFonts w:ascii="Times New Roman" w:eastAsia="Times New Roman" w:hAnsi="Times New Roman"/>
                <w:b/>
                <w:bCs/>
                <w:color w:val="000000"/>
              </w:rPr>
            </w:pPr>
            <w:r w:rsidRPr="007843DA">
              <w:rPr>
                <w:rFonts w:ascii="Times New Roman" w:eastAsia="Times New Roman" w:hAnsi="Times New Roman"/>
                <w:b/>
                <w:bCs/>
                <w:color w:val="000000"/>
              </w:rPr>
              <w:t>1737</w:t>
            </w:r>
          </w:p>
        </w:tc>
        <w:tc>
          <w:tcPr>
            <w:tcW w:w="758" w:type="pct"/>
            <w:vAlign w:val="center"/>
          </w:tcPr>
          <w:p w14:paraId="76D16AF8" w14:textId="77777777" w:rsidR="003D2C15" w:rsidRPr="007843DA" w:rsidRDefault="003D2C15" w:rsidP="00E7642A">
            <w:pPr>
              <w:ind w:left="0"/>
              <w:jc w:val="center"/>
              <w:rPr>
                <w:rFonts w:ascii="Times New Roman" w:eastAsia="Times New Roman" w:hAnsi="Times New Roman"/>
                <w:b/>
                <w:bCs/>
                <w:color w:val="000000"/>
              </w:rPr>
            </w:pPr>
            <w:r w:rsidRPr="007843DA">
              <w:rPr>
                <w:rFonts w:ascii="Times New Roman" w:hAnsi="Times New Roman"/>
                <w:b/>
              </w:rPr>
              <w:t>52 596</w:t>
            </w:r>
          </w:p>
        </w:tc>
      </w:tr>
    </w:tbl>
    <w:p w14:paraId="686FC60C" w14:textId="77777777" w:rsidR="00825093" w:rsidRPr="007843DA" w:rsidRDefault="002B293D" w:rsidP="00E7642A">
      <w:pPr>
        <w:tabs>
          <w:tab w:val="left" w:pos="284"/>
          <w:tab w:val="left" w:pos="567"/>
        </w:tabs>
        <w:ind w:left="0"/>
        <w:jc w:val="left"/>
        <w:rPr>
          <w:rFonts w:ascii="Times New Roman" w:hAnsi="Times New Roman"/>
          <w:i/>
          <w:sz w:val="24"/>
          <w:szCs w:val="24"/>
        </w:rPr>
      </w:pPr>
      <w:r w:rsidRPr="007843DA">
        <w:rPr>
          <w:rFonts w:ascii="Times New Roman" w:hAnsi="Times New Roman"/>
          <w:i/>
          <w:sz w:val="24"/>
          <w:szCs w:val="24"/>
        </w:rPr>
        <w:t>Datu avots: IZM</w:t>
      </w:r>
    </w:p>
    <w:p w14:paraId="230DA1EA" w14:textId="77777777" w:rsidR="00825093" w:rsidRPr="00C07278" w:rsidRDefault="00825093" w:rsidP="00E7642A">
      <w:pPr>
        <w:tabs>
          <w:tab w:val="left" w:pos="284"/>
          <w:tab w:val="left" w:pos="567"/>
        </w:tabs>
        <w:ind w:left="0"/>
        <w:rPr>
          <w:rFonts w:ascii="Times New Roman" w:hAnsi="Times New Roman"/>
          <w:sz w:val="20"/>
          <w:szCs w:val="20"/>
        </w:rPr>
      </w:pPr>
    </w:p>
    <w:p w14:paraId="5D094288" w14:textId="77777777" w:rsidR="00783B17" w:rsidRPr="00C07278" w:rsidRDefault="008531AA" w:rsidP="00E7642A">
      <w:pPr>
        <w:tabs>
          <w:tab w:val="left" w:pos="284"/>
          <w:tab w:val="left" w:pos="567"/>
        </w:tabs>
        <w:ind w:left="0" w:firstLine="567"/>
        <w:rPr>
          <w:rFonts w:ascii="Times New Roman" w:hAnsi="Times New Roman"/>
          <w:sz w:val="20"/>
          <w:szCs w:val="20"/>
        </w:rPr>
      </w:pPr>
      <w:r w:rsidRPr="00C07278">
        <w:rPr>
          <w:rFonts w:ascii="Times New Roman" w:hAnsi="Times New Roman"/>
          <w:sz w:val="24"/>
          <w:szCs w:val="24"/>
        </w:rPr>
        <w:t>VNPC izveide</w:t>
      </w:r>
      <w:r w:rsidR="00D970BB">
        <w:rPr>
          <w:rFonts w:ascii="Times New Roman" w:hAnsi="Times New Roman"/>
          <w:sz w:val="24"/>
          <w:szCs w:val="24"/>
        </w:rPr>
        <w:t>i</w:t>
      </w:r>
      <w:r w:rsidRPr="00C07278">
        <w:rPr>
          <w:rFonts w:ascii="Times New Roman" w:hAnsi="Times New Roman"/>
          <w:sz w:val="24"/>
          <w:szCs w:val="24"/>
        </w:rPr>
        <w:t xml:space="preserve"> un attīstībai zinātniskās institūcijas izstrādāja VNPC veidojošo zinātnisko institūciju sadarbības stratēģijas, </w:t>
      </w:r>
      <w:r w:rsidR="004C00A2" w:rsidRPr="00C07278">
        <w:rPr>
          <w:rFonts w:ascii="Times New Roman" w:hAnsi="Times New Roman"/>
          <w:sz w:val="24"/>
          <w:szCs w:val="24"/>
        </w:rPr>
        <w:t>kur</w:t>
      </w:r>
      <w:r w:rsidR="004C00A2">
        <w:rPr>
          <w:rFonts w:ascii="Times New Roman" w:hAnsi="Times New Roman"/>
          <w:sz w:val="24"/>
          <w:szCs w:val="24"/>
        </w:rPr>
        <w:t>u</w:t>
      </w:r>
      <w:r w:rsidR="004C00A2" w:rsidRPr="00C07278">
        <w:rPr>
          <w:rFonts w:ascii="Times New Roman" w:hAnsi="Times New Roman"/>
          <w:sz w:val="24"/>
          <w:szCs w:val="24"/>
        </w:rPr>
        <w:t xml:space="preserve"> </w:t>
      </w:r>
      <w:r w:rsidRPr="00C07278">
        <w:rPr>
          <w:rFonts w:ascii="Times New Roman" w:hAnsi="Times New Roman"/>
          <w:sz w:val="24"/>
          <w:szCs w:val="24"/>
        </w:rPr>
        <w:t xml:space="preserve">neatņemama sastāvdaļa </w:t>
      </w:r>
      <w:r w:rsidR="00D970BB">
        <w:rPr>
          <w:rFonts w:ascii="Times New Roman" w:hAnsi="Times New Roman"/>
          <w:sz w:val="24"/>
          <w:szCs w:val="24"/>
        </w:rPr>
        <w:t>bija</w:t>
      </w:r>
      <w:r w:rsidRPr="00C07278">
        <w:rPr>
          <w:rFonts w:ascii="Times New Roman" w:hAnsi="Times New Roman"/>
          <w:sz w:val="24"/>
          <w:szCs w:val="24"/>
        </w:rPr>
        <w:t xml:space="preserve"> katras VNPC veidojošās zinātniskās institūcijas teritoriāli t</w:t>
      </w:r>
      <w:r w:rsidR="0012084F" w:rsidRPr="00C07278">
        <w:rPr>
          <w:rFonts w:ascii="Times New Roman" w:hAnsi="Times New Roman"/>
          <w:sz w:val="24"/>
          <w:szCs w:val="24"/>
        </w:rPr>
        <w:t>elpiskā attīstības stratēģija.</w:t>
      </w:r>
      <w:r w:rsidR="00FD474A" w:rsidRPr="00C07278">
        <w:rPr>
          <w:rFonts w:ascii="Times New Roman" w:hAnsi="Times New Roman"/>
          <w:sz w:val="24"/>
          <w:szCs w:val="24"/>
        </w:rPr>
        <w:t xml:space="preserve"> Vienlaikus</w:t>
      </w:r>
      <w:r w:rsidR="0012084F" w:rsidRPr="00C07278">
        <w:rPr>
          <w:rFonts w:ascii="Times New Roman" w:hAnsi="Times New Roman"/>
          <w:sz w:val="24"/>
          <w:szCs w:val="24"/>
        </w:rPr>
        <w:t xml:space="preserve"> </w:t>
      </w:r>
      <w:r w:rsidR="00FD474A" w:rsidRPr="00C07278">
        <w:rPr>
          <w:rFonts w:ascii="Times New Roman" w:hAnsi="Times New Roman"/>
          <w:sz w:val="24"/>
          <w:szCs w:val="24"/>
        </w:rPr>
        <w:t xml:space="preserve">VNPC veidojošās zinātniskās institūcijas vienojās par savstarpējās partnerības nosacījumiem stratēģijas ieviešanā un noteica </w:t>
      </w:r>
      <w:r w:rsidR="004C00A2">
        <w:rPr>
          <w:rFonts w:ascii="Times New Roman" w:hAnsi="Times New Roman"/>
          <w:sz w:val="24"/>
          <w:szCs w:val="24"/>
        </w:rPr>
        <w:t>vadošo</w:t>
      </w:r>
      <w:r w:rsidR="004C00A2" w:rsidRPr="00C07278">
        <w:rPr>
          <w:rFonts w:ascii="Times New Roman" w:hAnsi="Times New Roman"/>
          <w:sz w:val="24"/>
          <w:szCs w:val="24"/>
        </w:rPr>
        <w:t xml:space="preserve"> </w:t>
      </w:r>
      <w:r w:rsidR="00EC2D60" w:rsidRPr="00C07278">
        <w:rPr>
          <w:rFonts w:ascii="Times New Roman" w:hAnsi="Times New Roman"/>
          <w:sz w:val="24"/>
          <w:szCs w:val="24"/>
        </w:rPr>
        <w:t>partneri, k</w:t>
      </w:r>
      <w:r w:rsidR="00D970BB">
        <w:rPr>
          <w:rFonts w:ascii="Times New Roman" w:hAnsi="Times New Roman"/>
          <w:sz w:val="24"/>
          <w:szCs w:val="24"/>
        </w:rPr>
        <w:t>ura uzdevums bija</w:t>
      </w:r>
      <w:r w:rsidR="00EC2D60" w:rsidRPr="00C07278">
        <w:rPr>
          <w:rFonts w:ascii="Times New Roman" w:hAnsi="Times New Roman"/>
          <w:sz w:val="24"/>
          <w:szCs w:val="24"/>
        </w:rPr>
        <w:t xml:space="preserve"> nodrošin</w:t>
      </w:r>
      <w:r w:rsidR="00D970BB">
        <w:rPr>
          <w:rFonts w:ascii="Times New Roman" w:hAnsi="Times New Roman"/>
          <w:sz w:val="24"/>
          <w:szCs w:val="24"/>
        </w:rPr>
        <w:t>āt</w:t>
      </w:r>
      <w:r w:rsidR="00FD474A" w:rsidRPr="00C07278">
        <w:rPr>
          <w:rFonts w:ascii="Times New Roman" w:hAnsi="Times New Roman"/>
          <w:sz w:val="24"/>
          <w:szCs w:val="24"/>
        </w:rPr>
        <w:t xml:space="preserve"> sadarbību starp VNPC veidojošajām zinātniskajām institūcijām</w:t>
      </w:r>
      <w:r w:rsidR="00D970BB">
        <w:rPr>
          <w:rFonts w:ascii="Times New Roman" w:hAnsi="Times New Roman"/>
          <w:sz w:val="24"/>
          <w:szCs w:val="24"/>
        </w:rPr>
        <w:t xml:space="preserve"> un, kurš</w:t>
      </w:r>
      <w:r w:rsidR="00EC2D60" w:rsidRPr="00C07278">
        <w:rPr>
          <w:rFonts w:ascii="Times New Roman" w:hAnsi="Times New Roman"/>
          <w:sz w:val="24"/>
          <w:szCs w:val="24"/>
        </w:rPr>
        <w:t xml:space="preserve"> </w:t>
      </w:r>
      <w:r w:rsidR="00D970BB">
        <w:rPr>
          <w:rFonts w:ascii="Times New Roman" w:hAnsi="Times New Roman"/>
          <w:sz w:val="24"/>
          <w:szCs w:val="24"/>
        </w:rPr>
        <w:t xml:space="preserve">bija </w:t>
      </w:r>
      <w:r w:rsidR="00EC2D60" w:rsidRPr="00C07278">
        <w:rPr>
          <w:rFonts w:ascii="Times New Roman" w:hAnsi="Times New Roman"/>
          <w:sz w:val="24"/>
          <w:szCs w:val="24"/>
        </w:rPr>
        <w:t>atbildīg</w:t>
      </w:r>
      <w:r w:rsidR="00D970BB">
        <w:rPr>
          <w:rFonts w:ascii="Times New Roman" w:hAnsi="Times New Roman"/>
          <w:sz w:val="24"/>
          <w:szCs w:val="24"/>
        </w:rPr>
        <w:t>s</w:t>
      </w:r>
      <w:r w:rsidR="00FD474A" w:rsidRPr="00C07278">
        <w:rPr>
          <w:rFonts w:ascii="Times New Roman" w:hAnsi="Times New Roman"/>
          <w:sz w:val="24"/>
          <w:szCs w:val="24"/>
        </w:rPr>
        <w:t xml:space="preserve"> par VNPC vidēja un ilgtermiņa stratēģisko mērķu sasniegšanu</w:t>
      </w:r>
      <w:r w:rsidR="00EC2D60" w:rsidRPr="00C07278">
        <w:rPr>
          <w:rFonts w:ascii="Times New Roman" w:hAnsi="Times New Roman"/>
          <w:sz w:val="24"/>
          <w:szCs w:val="24"/>
        </w:rPr>
        <w:t xml:space="preserve"> un </w:t>
      </w:r>
      <w:r w:rsidR="00FD474A" w:rsidRPr="00C07278">
        <w:rPr>
          <w:rFonts w:ascii="Times New Roman" w:hAnsi="Times New Roman"/>
          <w:sz w:val="24"/>
          <w:szCs w:val="24"/>
        </w:rPr>
        <w:t>kopējā VNPC projekta īstenošanu</w:t>
      </w:r>
      <w:r w:rsidR="006742BD" w:rsidRPr="00C07278">
        <w:rPr>
          <w:rFonts w:ascii="Times New Roman" w:hAnsi="Times New Roman"/>
          <w:sz w:val="24"/>
          <w:szCs w:val="24"/>
        </w:rPr>
        <w:t>. P</w:t>
      </w:r>
      <w:r w:rsidR="00FD474A" w:rsidRPr="00C07278">
        <w:rPr>
          <w:rFonts w:ascii="Times New Roman" w:hAnsi="Times New Roman"/>
          <w:sz w:val="24"/>
          <w:szCs w:val="24"/>
        </w:rPr>
        <w:t>ā</w:t>
      </w:r>
      <w:r w:rsidR="00EC2D60" w:rsidRPr="00C07278">
        <w:rPr>
          <w:rFonts w:ascii="Times New Roman" w:hAnsi="Times New Roman"/>
          <w:sz w:val="24"/>
          <w:szCs w:val="24"/>
        </w:rPr>
        <w:t xml:space="preserve">rējās zinātniskās institūcijas projekta ietvaros </w:t>
      </w:r>
      <w:r w:rsidR="00D970BB">
        <w:rPr>
          <w:rFonts w:ascii="Times New Roman" w:hAnsi="Times New Roman"/>
          <w:sz w:val="24"/>
          <w:szCs w:val="24"/>
        </w:rPr>
        <w:t xml:space="preserve">bija </w:t>
      </w:r>
      <w:r w:rsidR="00EC2D60" w:rsidRPr="00C07278">
        <w:rPr>
          <w:rFonts w:ascii="Times New Roman" w:hAnsi="Times New Roman"/>
          <w:sz w:val="24"/>
          <w:szCs w:val="24"/>
        </w:rPr>
        <w:t>iesaistītas kā sadarbības partneri</w:t>
      </w:r>
      <w:r w:rsidR="00FD474A" w:rsidRPr="00C07278">
        <w:rPr>
          <w:rFonts w:ascii="Times New Roman" w:hAnsi="Times New Roman"/>
          <w:sz w:val="24"/>
          <w:szCs w:val="24"/>
        </w:rPr>
        <w:t>.</w:t>
      </w:r>
    </w:p>
    <w:p w14:paraId="474A41E8" w14:textId="77777777" w:rsidR="003523F8" w:rsidRPr="005163E5" w:rsidRDefault="00166048" w:rsidP="00E7642A">
      <w:pPr>
        <w:pStyle w:val="Header"/>
        <w:tabs>
          <w:tab w:val="clear" w:pos="4320"/>
          <w:tab w:val="center" w:pos="0"/>
        </w:tabs>
        <w:spacing w:after="0" w:line="240" w:lineRule="auto"/>
        <w:ind w:firstLine="567"/>
        <w:jc w:val="both"/>
        <w:rPr>
          <w:lang w:val="lv-LV"/>
        </w:rPr>
      </w:pPr>
      <w:r>
        <w:rPr>
          <w:rFonts w:ascii="Times New Roman" w:hAnsi="Times New Roman"/>
          <w:sz w:val="24"/>
          <w:szCs w:val="24"/>
          <w:lang w:val="lv-LV"/>
        </w:rPr>
        <w:t>I</w:t>
      </w:r>
      <w:r w:rsidR="001A0B49" w:rsidRPr="00C07278">
        <w:rPr>
          <w:rFonts w:ascii="Times New Roman" w:hAnsi="Times New Roman"/>
          <w:sz w:val="24"/>
          <w:szCs w:val="24"/>
          <w:lang w:val="lv-LV"/>
        </w:rPr>
        <w:t>nformācija par deviņiem VNPC</w:t>
      </w:r>
      <w:r w:rsidR="004C00A2">
        <w:rPr>
          <w:rFonts w:ascii="Times New Roman" w:hAnsi="Times New Roman"/>
          <w:sz w:val="24"/>
          <w:szCs w:val="24"/>
          <w:lang w:val="lv-LV"/>
        </w:rPr>
        <w:t xml:space="preserve"> un</w:t>
      </w:r>
      <w:r w:rsidR="001A0B49" w:rsidRPr="00C07278">
        <w:rPr>
          <w:rFonts w:ascii="Times New Roman" w:hAnsi="Times New Roman"/>
          <w:sz w:val="24"/>
          <w:szCs w:val="24"/>
          <w:lang w:val="lv-LV"/>
        </w:rPr>
        <w:t xml:space="preserve"> to </w:t>
      </w:r>
      <w:r w:rsidR="004C00A2">
        <w:rPr>
          <w:rFonts w:ascii="Times New Roman" w:hAnsi="Times New Roman"/>
          <w:sz w:val="24"/>
          <w:szCs w:val="24"/>
          <w:lang w:val="lv-LV"/>
        </w:rPr>
        <w:t>veidojošajām zinātniskajām institūcijām</w:t>
      </w:r>
      <w:r w:rsidR="001A0B49" w:rsidRPr="00C07278">
        <w:rPr>
          <w:rFonts w:ascii="Times New Roman" w:hAnsi="Times New Roman"/>
          <w:sz w:val="24"/>
          <w:szCs w:val="24"/>
          <w:lang w:val="lv-LV"/>
        </w:rPr>
        <w:t>, pieejamo finans</w:t>
      </w:r>
      <w:r w:rsidR="009F62A3" w:rsidRPr="00C07278">
        <w:rPr>
          <w:rFonts w:ascii="Times New Roman" w:hAnsi="Times New Roman"/>
          <w:sz w:val="24"/>
          <w:szCs w:val="24"/>
          <w:lang w:val="lv-LV"/>
        </w:rPr>
        <w:t xml:space="preserve">ējumu un zinātniskās darbības virzieniem, kur tiek ieguldīts </w:t>
      </w:r>
      <w:r w:rsidR="005B2BD6">
        <w:rPr>
          <w:rFonts w:ascii="Times New Roman" w:hAnsi="Times New Roman"/>
          <w:sz w:val="24"/>
          <w:szCs w:val="24"/>
          <w:lang w:val="lv-LV"/>
        </w:rPr>
        <w:t xml:space="preserve">VNPC ietvaros </w:t>
      </w:r>
      <w:r w:rsidR="009F62A3" w:rsidRPr="00C07278">
        <w:rPr>
          <w:rFonts w:ascii="Times New Roman" w:hAnsi="Times New Roman"/>
          <w:sz w:val="24"/>
          <w:szCs w:val="24"/>
          <w:lang w:val="lv-LV"/>
        </w:rPr>
        <w:t>pieejamais finansējums</w:t>
      </w:r>
      <w:r w:rsidR="006742BD" w:rsidRPr="00C07278">
        <w:rPr>
          <w:rFonts w:ascii="Times New Roman" w:hAnsi="Times New Roman"/>
          <w:sz w:val="24"/>
          <w:szCs w:val="24"/>
          <w:lang w:val="lv-LV"/>
        </w:rPr>
        <w:t>,</w:t>
      </w:r>
      <w:r w:rsidR="009F62A3" w:rsidRPr="00C07278">
        <w:rPr>
          <w:rFonts w:ascii="Times New Roman" w:hAnsi="Times New Roman"/>
          <w:sz w:val="24"/>
          <w:szCs w:val="24"/>
          <w:lang w:val="lv-LV"/>
        </w:rPr>
        <w:t xml:space="preserve"> </w:t>
      </w:r>
      <w:r w:rsidR="009F62A3" w:rsidRPr="005163E5">
        <w:rPr>
          <w:rFonts w:ascii="Times New Roman" w:hAnsi="Times New Roman"/>
          <w:sz w:val="24"/>
          <w:szCs w:val="24"/>
          <w:lang w:val="lv-LV"/>
        </w:rPr>
        <w:t xml:space="preserve">atspoguļota </w:t>
      </w:r>
      <w:r w:rsidR="005163E5" w:rsidRPr="005163E5">
        <w:rPr>
          <w:rFonts w:ascii="Times New Roman" w:hAnsi="Times New Roman"/>
          <w:sz w:val="24"/>
          <w:szCs w:val="24"/>
          <w:lang w:val="lv-LV"/>
        </w:rPr>
        <w:t>5.</w:t>
      </w:r>
      <w:r w:rsidR="008B1832">
        <w:rPr>
          <w:rFonts w:ascii="Times New Roman" w:hAnsi="Times New Roman"/>
          <w:sz w:val="24"/>
          <w:szCs w:val="24"/>
          <w:lang w:val="lv-LV"/>
        </w:rPr>
        <w:t> </w:t>
      </w:r>
      <w:r w:rsidR="009F62A3" w:rsidRPr="005163E5">
        <w:rPr>
          <w:rFonts w:ascii="Times New Roman" w:hAnsi="Times New Roman"/>
          <w:sz w:val="24"/>
          <w:szCs w:val="24"/>
          <w:lang w:val="lv-LV"/>
        </w:rPr>
        <w:t>tabulā.</w:t>
      </w:r>
    </w:p>
    <w:p w14:paraId="06CF4DB5" w14:textId="0DBB1C42" w:rsidR="00D82898" w:rsidRDefault="00D82898" w:rsidP="00E7642A">
      <w:pPr>
        <w:pStyle w:val="Caption"/>
        <w:keepNext/>
        <w:spacing w:before="120" w:after="120"/>
        <w:ind w:left="0"/>
        <w:jc w:val="right"/>
        <w:rPr>
          <w:shd w:val="clear" w:color="auto" w:fill="D9D9D9" w:themeFill="background1" w:themeFillShade="D9"/>
        </w:rPr>
      </w:pPr>
      <w:r w:rsidRPr="00941DA3">
        <w:rPr>
          <w:rFonts w:ascii="Times New Roman" w:hAnsi="Times New Roman"/>
          <w:color w:val="auto"/>
          <w:sz w:val="24"/>
          <w:szCs w:val="24"/>
        </w:rPr>
        <w:t xml:space="preserve">Tabula </w:t>
      </w:r>
      <w:r w:rsidRPr="00423C9F">
        <w:rPr>
          <w:rFonts w:ascii="Times New Roman" w:hAnsi="Times New Roman"/>
          <w:color w:val="auto"/>
          <w:sz w:val="24"/>
          <w:szCs w:val="24"/>
        </w:rPr>
        <w:t>Nr.</w:t>
      </w:r>
      <w:r w:rsidRPr="00941DA3">
        <w:rPr>
          <w:rFonts w:ascii="Times New Roman" w:hAnsi="Times New Roman"/>
          <w:color w:val="auto"/>
          <w:sz w:val="24"/>
          <w:szCs w:val="24"/>
        </w:rPr>
        <w:t xml:space="preserve"> </w:t>
      </w:r>
      <w:r w:rsidR="00417751"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00417751" w:rsidRPr="00941DA3">
        <w:rPr>
          <w:rFonts w:ascii="Times New Roman" w:hAnsi="Times New Roman"/>
          <w:color w:val="auto"/>
          <w:sz w:val="24"/>
          <w:szCs w:val="24"/>
        </w:rPr>
        <w:fldChar w:fldCharType="separate"/>
      </w:r>
      <w:r w:rsidR="00E7642A">
        <w:rPr>
          <w:rFonts w:ascii="Times New Roman" w:hAnsi="Times New Roman"/>
          <w:noProof/>
          <w:color w:val="auto"/>
          <w:sz w:val="24"/>
          <w:szCs w:val="24"/>
        </w:rPr>
        <w:t>5</w:t>
      </w:r>
      <w:r w:rsidR="00417751" w:rsidRPr="00941DA3">
        <w:rPr>
          <w:rFonts w:ascii="Times New Roman" w:hAnsi="Times New Roman"/>
          <w:color w:val="auto"/>
          <w:sz w:val="24"/>
          <w:szCs w:val="24"/>
        </w:rPr>
        <w:fldChar w:fldCharType="end"/>
      </w:r>
    </w:p>
    <w:p w14:paraId="59E4C5DC" w14:textId="77777777" w:rsidR="003523F8" w:rsidRPr="00D82898" w:rsidRDefault="003523F8" w:rsidP="00E7642A">
      <w:pPr>
        <w:tabs>
          <w:tab w:val="left" w:pos="709"/>
          <w:tab w:val="left" w:pos="1701"/>
        </w:tabs>
        <w:spacing w:after="200"/>
        <w:ind w:left="0"/>
        <w:jc w:val="center"/>
        <w:rPr>
          <w:rFonts w:ascii="Times New Roman" w:hAnsi="Times New Roman"/>
          <w:b/>
          <w:sz w:val="24"/>
          <w:szCs w:val="24"/>
        </w:rPr>
      </w:pPr>
      <w:r w:rsidRPr="00D82898">
        <w:rPr>
          <w:rFonts w:ascii="Times New Roman" w:hAnsi="Times New Roman"/>
          <w:b/>
          <w:sz w:val="24"/>
          <w:szCs w:val="24"/>
        </w:rPr>
        <w:t>VNPC veidojošās zinātniskās institūcijas</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243"/>
        <w:gridCol w:w="1461"/>
        <w:gridCol w:w="3668"/>
      </w:tblGrid>
      <w:tr w:rsidR="00D970BB" w:rsidRPr="00DA3871" w14:paraId="5D4E2494" w14:textId="77777777" w:rsidTr="00566937">
        <w:tc>
          <w:tcPr>
            <w:tcW w:w="1217" w:type="pct"/>
            <w:shd w:val="clear" w:color="auto" w:fill="D9D9D9"/>
            <w:vAlign w:val="center"/>
          </w:tcPr>
          <w:p w14:paraId="38877019" w14:textId="77777777" w:rsidR="00D970BB" w:rsidRPr="00846439" w:rsidRDefault="00D970BB" w:rsidP="00E7642A">
            <w:pPr>
              <w:tabs>
                <w:tab w:val="left" w:pos="709"/>
                <w:tab w:val="left" w:pos="1701"/>
              </w:tabs>
              <w:ind w:left="0"/>
              <w:jc w:val="center"/>
              <w:rPr>
                <w:rFonts w:ascii="Times New Roman" w:hAnsi="Times New Roman"/>
                <w:b/>
                <w:sz w:val="24"/>
                <w:szCs w:val="20"/>
              </w:rPr>
            </w:pPr>
            <w:r w:rsidRPr="00846439">
              <w:rPr>
                <w:rFonts w:ascii="Times New Roman" w:hAnsi="Times New Roman"/>
                <w:b/>
                <w:sz w:val="24"/>
                <w:szCs w:val="20"/>
              </w:rPr>
              <w:t>Nosaukums</w:t>
            </w:r>
          </w:p>
        </w:tc>
        <w:tc>
          <w:tcPr>
            <w:tcW w:w="675" w:type="pct"/>
            <w:shd w:val="clear" w:color="auto" w:fill="D9D9D9"/>
          </w:tcPr>
          <w:p w14:paraId="3EE44D7E" w14:textId="77777777" w:rsidR="00D970BB" w:rsidRPr="00846439" w:rsidRDefault="00D970BB" w:rsidP="00E7642A">
            <w:pPr>
              <w:tabs>
                <w:tab w:val="left" w:pos="709"/>
                <w:tab w:val="left" w:pos="1701"/>
              </w:tabs>
              <w:ind w:left="0"/>
              <w:jc w:val="center"/>
              <w:rPr>
                <w:rFonts w:ascii="Times New Roman" w:hAnsi="Times New Roman"/>
                <w:b/>
                <w:sz w:val="24"/>
                <w:szCs w:val="20"/>
              </w:rPr>
            </w:pPr>
            <w:r w:rsidRPr="00846439">
              <w:rPr>
                <w:rFonts w:ascii="Times New Roman" w:hAnsi="Times New Roman"/>
                <w:b/>
                <w:sz w:val="24"/>
                <w:szCs w:val="20"/>
              </w:rPr>
              <w:t>Vadošā institūcija</w:t>
            </w:r>
          </w:p>
        </w:tc>
        <w:tc>
          <w:tcPr>
            <w:tcW w:w="895" w:type="pct"/>
            <w:shd w:val="clear" w:color="auto" w:fill="D9D9D9"/>
            <w:vAlign w:val="center"/>
          </w:tcPr>
          <w:p w14:paraId="577DAF84" w14:textId="77777777" w:rsidR="00D970BB" w:rsidRPr="00846439" w:rsidRDefault="00D970BB" w:rsidP="00E7642A">
            <w:pPr>
              <w:tabs>
                <w:tab w:val="left" w:pos="709"/>
                <w:tab w:val="left" w:pos="1701"/>
              </w:tabs>
              <w:ind w:left="0"/>
              <w:jc w:val="center"/>
              <w:rPr>
                <w:rFonts w:ascii="Times New Roman" w:hAnsi="Times New Roman"/>
                <w:b/>
                <w:sz w:val="24"/>
                <w:szCs w:val="20"/>
              </w:rPr>
            </w:pPr>
            <w:r w:rsidRPr="00846439">
              <w:rPr>
                <w:rFonts w:ascii="Times New Roman" w:hAnsi="Times New Roman"/>
                <w:b/>
                <w:sz w:val="24"/>
                <w:szCs w:val="20"/>
              </w:rPr>
              <w:t>Sadarbības partneri</w:t>
            </w:r>
          </w:p>
        </w:tc>
        <w:tc>
          <w:tcPr>
            <w:tcW w:w="2213" w:type="pct"/>
            <w:shd w:val="clear" w:color="auto" w:fill="D9D9D9"/>
          </w:tcPr>
          <w:p w14:paraId="0BC34581" w14:textId="77777777" w:rsidR="00D970BB" w:rsidRPr="00846439" w:rsidRDefault="00D970BB" w:rsidP="00E7642A">
            <w:pPr>
              <w:tabs>
                <w:tab w:val="left" w:pos="709"/>
                <w:tab w:val="left" w:pos="1701"/>
              </w:tabs>
              <w:ind w:left="0"/>
              <w:jc w:val="center"/>
              <w:rPr>
                <w:rFonts w:ascii="Times New Roman" w:hAnsi="Times New Roman"/>
                <w:b/>
                <w:sz w:val="24"/>
                <w:szCs w:val="20"/>
              </w:rPr>
            </w:pPr>
            <w:r w:rsidRPr="00846439">
              <w:rPr>
                <w:rFonts w:ascii="Times New Roman" w:hAnsi="Times New Roman"/>
                <w:b/>
                <w:bCs/>
                <w:sz w:val="24"/>
                <w:szCs w:val="20"/>
              </w:rPr>
              <w:t>Ieguldījums zinātniskās darbības virzienos</w:t>
            </w:r>
          </w:p>
        </w:tc>
      </w:tr>
      <w:tr w:rsidR="00D970BB" w:rsidRPr="00D970BB" w14:paraId="6A14C40D" w14:textId="77777777" w:rsidTr="00566937">
        <w:tc>
          <w:tcPr>
            <w:tcW w:w="1217" w:type="pct"/>
            <w:shd w:val="clear" w:color="auto" w:fill="auto"/>
          </w:tcPr>
          <w:p w14:paraId="19DE1CE2"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Enerģijas un vides resursu ieguves un ilgtspējīgas izmantošanas tehnoloģiju valsts nozīmes pētniecības centrs (ietverot arī Transporta un mašīnbūves centra attīstību).</w:t>
            </w:r>
          </w:p>
          <w:p w14:paraId="7906B8C7" w14:textId="77777777" w:rsidR="00D970BB" w:rsidRPr="002D7733" w:rsidRDefault="00D970BB" w:rsidP="00E7642A">
            <w:pPr>
              <w:tabs>
                <w:tab w:val="left" w:pos="709"/>
                <w:tab w:val="left" w:pos="1701"/>
              </w:tabs>
              <w:ind w:left="0"/>
              <w:rPr>
                <w:rFonts w:ascii="Times New Roman" w:hAnsi="Times New Roman"/>
                <w:sz w:val="20"/>
                <w:szCs w:val="20"/>
              </w:rPr>
            </w:pPr>
          </w:p>
          <w:p w14:paraId="11EBB0B8"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Plānotās attiecināmās izmaksas - 11 662 748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Pr="002D7733">
              <w:rPr>
                <w:rFonts w:ascii="Times New Roman" w:hAnsi="Times New Roman"/>
                <w:sz w:val="20"/>
                <w:szCs w:val="20"/>
              </w:rPr>
              <w:t xml:space="preserve"> ERAF 10 447 687 </w:t>
            </w:r>
            <w:r w:rsidRPr="002D7733">
              <w:rPr>
                <w:rFonts w:ascii="Times New Roman" w:hAnsi="Times New Roman"/>
                <w:i/>
                <w:sz w:val="20"/>
                <w:szCs w:val="20"/>
              </w:rPr>
              <w:t>euro</w:t>
            </w:r>
            <w:r w:rsidRPr="002D7733">
              <w:rPr>
                <w:rFonts w:ascii="Times New Roman" w:hAnsi="Times New Roman"/>
                <w:sz w:val="20"/>
                <w:szCs w:val="20"/>
              </w:rPr>
              <w:t>.</w:t>
            </w:r>
          </w:p>
          <w:p w14:paraId="19E7313A"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11 723 915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 xml:space="preserve">tai </w:t>
            </w:r>
            <w:r w:rsidR="00516D0A">
              <w:rPr>
                <w:rFonts w:ascii="Times New Roman" w:hAnsi="Times New Roman"/>
                <w:sz w:val="20"/>
                <w:szCs w:val="20"/>
              </w:rPr>
              <w:lastRenderedPageBreak/>
              <w:t>skaitā</w:t>
            </w:r>
            <w:r w:rsidRPr="002D7733">
              <w:rPr>
                <w:rFonts w:ascii="Times New Roman" w:hAnsi="Times New Roman"/>
                <w:sz w:val="20"/>
                <w:szCs w:val="20"/>
              </w:rPr>
              <w:t xml:space="preserve"> ERAF 10 462 309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55584241" w14:textId="77777777" w:rsidR="00D970BB" w:rsidRPr="00350F96" w:rsidRDefault="00D970BB" w:rsidP="00E7642A">
            <w:pPr>
              <w:tabs>
                <w:tab w:val="left" w:pos="709"/>
                <w:tab w:val="left" w:pos="1701"/>
              </w:tabs>
              <w:ind w:left="0"/>
              <w:rPr>
                <w:rFonts w:ascii="Times New Roman" w:hAnsi="Times New Roman"/>
                <w:sz w:val="20"/>
                <w:szCs w:val="20"/>
              </w:rPr>
            </w:pPr>
            <w:r w:rsidRPr="00350F96">
              <w:rPr>
                <w:rFonts w:ascii="Times New Roman" w:hAnsi="Times New Roman"/>
                <w:sz w:val="20"/>
                <w:szCs w:val="20"/>
              </w:rPr>
              <w:lastRenderedPageBreak/>
              <w:t>RTU</w:t>
            </w:r>
          </w:p>
          <w:p w14:paraId="35F29CB1" w14:textId="77777777" w:rsidR="00D970BB" w:rsidRPr="00D970BB" w:rsidRDefault="00D970BB" w:rsidP="00E7642A">
            <w:pPr>
              <w:tabs>
                <w:tab w:val="left" w:pos="709"/>
                <w:tab w:val="left" w:pos="1701"/>
              </w:tabs>
              <w:ind w:left="0"/>
              <w:rPr>
                <w:rFonts w:ascii="Times New Roman" w:hAnsi="Times New Roman"/>
                <w:sz w:val="20"/>
                <w:szCs w:val="20"/>
              </w:rPr>
            </w:pPr>
          </w:p>
        </w:tc>
        <w:tc>
          <w:tcPr>
            <w:tcW w:w="895" w:type="pct"/>
            <w:shd w:val="clear" w:color="auto" w:fill="auto"/>
          </w:tcPr>
          <w:p w14:paraId="37720D6A" w14:textId="77777777" w:rsidR="00D970BB" w:rsidRPr="002D7733" w:rsidRDefault="00D970BB" w:rsidP="00E7642A">
            <w:pPr>
              <w:tabs>
                <w:tab w:val="left" w:pos="709"/>
                <w:tab w:val="left" w:pos="1701"/>
              </w:tabs>
              <w:ind w:left="0"/>
              <w:rPr>
                <w:rFonts w:ascii="Times New Roman" w:hAnsi="Times New Roman"/>
                <w:sz w:val="20"/>
                <w:szCs w:val="20"/>
              </w:rPr>
            </w:pPr>
            <w:r>
              <w:rPr>
                <w:rFonts w:ascii="Times New Roman" w:hAnsi="Times New Roman"/>
                <w:sz w:val="20"/>
                <w:szCs w:val="20"/>
              </w:rPr>
              <w:t>FEI</w:t>
            </w:r>
          </w:p>
          <w:p w14:paraId="2D79708E"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LU</w:t>
            </w:r>
          </w:p>
          <w:p w14:paraId="26DFB148" w14:textId="77777777" w:rsidR="00D970BB" w:rsidRPr="002D7733" w:rsidRDefault="006638C6" w:rsidP="00E7642A">
            <w:pPr>
              <w:tabs>
                <w:tab w:val="left" w:pos="709"/>
                <w:tab w:val="left" w:pos="1701"/>
              </w:tabs>
              <w:ind w:left="0"/>
              <w:rPr>
                <w:rFonts w:ascii="Times New Roman" w:hAnsi="Times New Roman"/>
                <w:sz w:val="20"/>
                <w:szCs w:val="20"/>
              </w:rPr>
            </w:pPr>
            <w:r>
              <w:rPr>
                <w:rFonts w:ascii="Times New Roman" w:hAnsi="Times New Roman"/>
                <w:sz w:val="20"/>
                <w:szCs w:val="20"/>
              </w:rPr>
              <w:t>LU BI</w:t>
            </w:r>
          </w:p>
        </w:tc>
        <w:tc>
          <w:tcPr>
            <w:tcW w:w="2213" w:type="pct"/>
          </w:tcPr>
          <w:p w14:paraId="6EA0EBB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 Dabas resursu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energoresursu) ieguve un izpēte;</w:t>
            </w:r>
          </w:p>
          <w:p w14:paraId="2E81015D" w14:textId="77777777" w:rsidR="00D970BB" w:rsidRPr="002D7733" w:rsidRDefault="00D970BB" w:rsidP="00E7642A">
            <w:pPr>
              <w:tabs>
                <w:tab w:val="left" w:pos="282"/>
              </w:tabs>
              <w:ind w:left="0"/>
              <w:rPr>
                <w:rFonts w:ascii="Times New Roman" w:hAnsi="Times New Roman"/>
                <w:sz w:val="20"/>
                <w:szCs w:val="20"/>
              </w:rPr>
            </w:pPr>
            <w:r w:rsidRPr="002D7733">
              <w:rPr>
                <w:rFonts w:ascii="Times New Roman" w:hAnsi="Times New Roman"/>
                <w:sz w:val="20"/>
                <w:szCs w:val="20"/>
              </w:rPr>
              <w:t>2)</w:t>
            </w:r>
            <w:r w:rsidR="004C00A2">
              <w:rPr>
                <w:rFonts w:ascii="Times New Roman" w:hAnsi="Times New Roman"/>
                <w:sz w:val="20"/>
                <w:szCs w:val="20"/>
              </w:rPr>
              <w:t> </w:t>
            </w:r>
            <w:r w:rsidRPr="002D7733">
              <w:rPr>
                <w:rFonts w:ascii="Times New Roman" w:hAnsi="Times New Roman"/>
                <w:sz w:val="20"/>
                <w:szCs w:val="20"/>
              </w:rPr>
              <w:t>Energoresursu izmantošana kurināmā/degvielas, elektroenerģijas un siltuma ražošanā; enerģijas pārvade;</w:t>
            </w:r>
          </w:p>
          <w:p w14:paraId="261E13B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3)</w:t>
            </w:r>
            <w:r w:rsidR="004C00A2">
              <w:rPr>
                <w:rFonts w:ascii="Times New Roman" w:hAnsi="Times New Roman"/>
                <w:sz w:val="20"/>
                <w:szCs w:val="20"/>
              </w:rPr>
              <w:t> </w:t>
            </w:r>
            <w:r w:rsidRPr="002D7733">
              <w:rPr>
                <w:rFonts w:ascii="Times New Roman" w:hAnsi="Times New Roman"/>
                <w:sz w:val="20"/>
                <w:szCs w:val="20"/>
              </w:rPr>
              <w:t>Enerģijas un dabas resursu efektīva un ilgtspējīga izmantošana; tam nepieciešamās tehnoloģijas (</w:t>
            </w:r>
            <w:r w:rsidR="00516D0A">
              <w:rPr>
                <w:rFonts w:ascii="Times New Roman" w:hAnsi="Times New Roman"/>
                <w:sz w:val="20"/>
                <w:szCs w:val="20"/>
              </w:rPr>
              <w:t>tai skaitā</w:t>
            </w:r>
            <w:r w:rsidRPr="002D7733">
              <w:rPr>
                <w:rFonts w:ascii="Times New Roman" w:hAnsi="Times New Roman"/>
                <w:sz w:val="20"/>
                <w:szCs w:val="20"/>
              </w:rPr>
              <w:t xml:space="preserve"> vides aizsardzības pasākumi);</w:t>
            </w:r>
          </w:p>
          <w:p w14:paraId="6AE83A62"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4)</w:t>
            </w:r>
            <w:r w:rsidR="004C00A2">
              <w:rPr>
                <w:rFonts w:ascii="Times New Roman" w:hAnsi="Times New Roman"/>
                <w:sz w:val="20"/>
                <w:szCs w:val="20"/>
              </w:rPr>
              <w:t> </w:t>
            </w:r>
            <w:r w:rsidRPr="002D7733">
              <w:rPr>
                <w:rFonts w:ascii="Times New Roman" w:hAnsi="Times New Roman"/>
                <w:sz w:val="20"/>
                <w:szCs w:val="20"/>
              </w:rPr>
              <w:t>Transports un mašīnbūve (</w:t>
            </w:r>
            <w:r w:rsidR="00516D0A">
              <w:rPr>
                <w:rFonts w:ascii="Times New Roman" w:hAnsi="Times New Roman"/>
                <w:sz w:val="20"/>
                <w:szCs w:val="20"/>
              </w:rPr>
              <w:t>tai skaitā</w:t>
            </w:r>
            <w:r w:rsidRPr="002D7733">
              <w:rPr>
                <w:rFonts w:ascii="Times New Roman" w:hAnsi="Times New Roman"/>
                <w:sz w:val="20"/>
                <w:szCs w:val="20"/>
              </w:rPr>
              <w:t xml:space="preserve"> elektrotransports).</w:t>
            </w:r>
          </w:p>
        </w:tc>
      </w:tr>
      <w:tr w:rsidR="00D970BB" w:rsidRPr="00D970BB" w14:paraId="0A4D9E8B" w14:textId="77777777" w:rsidTr="00566937">
        <w:tc>
          <w:tcPr>
            <w:tcW w:w="1217" w:type="pct"/>
            <w:shd w:val="clear" w:color="auto" w:fill="auto"/>
          </w:tcPr>
          <w:p w14:paraId="39B209B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lastRenderedPageBreak/>
              <w:t>Farmācijas un biomedicīnas valsts nozīmes pētniecības centrs (ietverot arī farmaceitisko tehnoloģiju studiju un pētījuma centra un biofarmācijas centra izveidi</w:t>
            </w:r>
            <w:r>
              <w:rPr>
                <w:rFonts w:ascii="Times New Roman" w:hAnsi="Times New Roman"/>
                <w:sz w:val="20"/>
                <w:szCs w:val="20"/>
              </w:rPr>
              <w:t>)</w:t>
            </w:r>
          </w:p>
          <w:p w14:paraId="7E2B1634" w14:textId="77777777" w:rsidR="00D970BB" w:rsidRPr="002D7733" w:rsidRDefault="00D970BB" w:rsidP="00E7642A">
            <w:pPr>
              <w:tabs>
                <w:tab w:val="left" w:pos="709"/>
                <w:tab w:val="left" w:pos="1701"/>
              </w:tabs>
              <w:ind w:left="0"/>
              <w:rPr>
                <w:rFonts w:ascii="Times New Roman" w:hAnsi="Times New Roman"/>
                <w:sz w:val="20"/>
                <w:szCs w:val="20"/>
              </w:rPr>
            </w:pPr>
          </w:p>
          <w:p w14:paraId="55FFC499"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Plānotās attiecināmās izmaksas – 20 926 550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17 752 325 </w:t>
            </w:r>
            <w:r w:rsidRPr="002D7733">
              <w:rPr>
                <w:rFonts w:ascii="Times New Roman" w:hAnsi="Times New Roman"/>
                <w:i/>
                <w:sz w:val="20"/>
                <w:szCs w:val="20"/>
              </w:rPr>
              <w:t>euro</w:t>
            </w:r>
            <w:r w:rsidRPr="002D7733">
              <w:rPr>
                <w:rFonts w:ascii="Times New Roman" w:hAnsi="Times New Roman"/>
                <w:sz w:val="20"/>
                <w:szCs w:val="20"/>
              </w:rPr>
              <w:t>.</w:t>
            </w:r>
          </w:p>
          <w:p w14:paraId="5025F739"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21 510 249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17 752 325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5B8A3726" w14:textId="77777777" w:rsidR="00D970BB" w:rsidRPr="00D970BB" w:rsidRDefault="00D970BB" w:rsidP="00E7642A">
            <w:pPr>
              <w:tabs>
                <w:tab w:val="left" w:pos="709"/>
                <w:tab w:val="left" w:pos="1701"/>
              </w:tabs>
              <w:ind w:left="0"/>
              <w:rPr>
                <w:rFonts w:ascii="Times New Roman" w:hAnsi="Times New Roman"/>
                <w:sz w:val="20"/>
                <w:szCs w:val="20"/>
              </w:rPr>
            </w:pPr>
            <w:r>
              <w:rPr>
                <w:rFonts w:ascii="Times New Roman" w:hAnsi="Times New Roman"/>
                <w:sz w:val="20"/>
                <w:szCs w:val="20"/>
              </w:rPr>
              <w:t>OSI</w:t>
            </w:r>
          </w:p>
        </w:tc>
        <w:tc>
          <w:tcPr>
            <w:tcW w:w="895" w:type="pct"/>
            <w:shd w:val="clear" w:color="auto" w:fill="auto"/>
          </w:tcPr>
          <w:p w14:paraId="607286CB" w14:textId="77777777" w:rsidR="00D970BB" w:rsidRPr="002D7733" w:rsidRDefault="00D970BB" w:rsidP="00E7642A">
            <w:pPr>
              <w:tabs>
                <w:tab w:val="left" w:pos="709"/>
                <w:tab w:val="left" w:pos="1701"/>
              </w:tabs>
              <w:ind w:left="0"/>
              <w:rPr>
                <w:rFonts w:ascii="Times New Roman" w:hAnsi="Times New Roman"/>
                <w:sz w:val="20"/>
                <w:szCs w:val="20"/>
              </w:rPr>
            </w:pPr>
            <w:r>
              <w:rPr>
                <w:rFonts w:ascii="Times New Roman" w:hAnsi="Times New Roman"/>
                <w:sz w:val="20"/>
                <w:szCs w:val="20"/>
              </w:rPr>
              <w:t>BMC</w:t>
            </w:r>
          </w:p>
          <w:p w14:paraId="24A9F95B"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LU </w:t>
            </w:r>
          </w:p>
          <w:p w14:paraId="27CFE935"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RTU</w:t>
            </w:r>
          </w:p>
        </w:tc>
        <w:tc>
          <w:tcPr>
            <w:tcW w:w="2213" w:type="pct"/>
          </w:tcPr>
          <w:p w14:paraId="6E32653A"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 Biomedicīnas pētījumi un izstrādes par jauniem ārstniecības, profilakses un diagnostikas līdzekļiem un metodēm;</w:t>
            </w:r>
          </w:p>
          <w:p w14:paraId="1E624D25"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2) Fundamentālie pētījumi organiskajā ķīmijā, farmakoloģijā, molekulārajā un šūnu bioloģijā, ģenētikā un rekombinantu biotehnoloģijā;</w:t>
            </w:r>
          </w:p>
          <w:p w14:paraId="3C364DA6"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3) Bioloģiski aktīvu preparātu ķīmisko un biotehnoloģisko procesu izstrāde un eksperimentālo paraugu izgatavošana.</w:t>
            </w:r>
          </w:p>
        </w:tc>
      </w:tr>
      <w:tr w:rsidR="00D970BB" w:rsidRPr="00D970BB" w14:paraId="3C5DBC26" w14:textId="77777777" w:rsidTr="00566937">
        <w:tc>
          <w:tcPr>
            <w:tcW w:w="1217" w:type="pct"/>
            <w:shd w:val="clear" w:color="auto" w:fill="auto"/>
          </w:tcPr>
          <w:p w14:paraId="5EC7E7AD" w14:textId="77777777" w:rsidR="00D970BB" w:rsidRPr="002D7733" w:rsidRDefault="00D970BB" w:rsidP="00E7642A">
            <w:pPr>
              <w:pStyle w:val="tv213"/>
              <w:shd w:val="clear" w:color="auto" w:fill="FFFFFF"/>
              <w:spacing w:before="0" w:beforeAutospacing="0" w:after="0" w:afterAutospacing="0"/>
              <w:jc w:val="both"/>
              <w:rPr>
                <w:sz w:val="20"/>
                <w:szCs w:val="20"/>
              </w:rPr>
            </w:pPr>
            <w:r w:rsidRPr="002D7733">
              <w:rPr>
                <w:sz w:val="20"/>
                <w:szCs w:val="20"/>
              </w:rPr>
              <w:t>Informācijas, komunikāciju un signālapstrādes tehnoloģiju valsts nozīmes pētniecības centrs (ietverot arī kosmisko datu apstrādes centra izveidi).</w:t>
            </w:r>
          </w:p>
          <w:p w14:paraId="360FC5FE" w14:textId="77777777" w:rsidR="00D970BB" w:rsidRPr="002D7733" w:rsidRDefault="00D970BB" w:rsidP="00E7642A">
            <w:pPr>
              <w:pStyle w:val="tv213"/>
              <w:shd w:val="clear" w:color="auto" w:fill="FFFFFF"/>
              <w:spacing w:before="0" w:beforeAutospacing="0" w:after="0" w:afterAutospacing="0"/>
              <w:jc w:val="both"/>
              <w:rPr>
                <w:sz w:val="20"/>
                <w:szCs w:val="20"/>
              </w:rPr>
            </w:pPr>
          </w:p>
          <w:p w14:paraId="162B7B91" w14:textId="77777777" w:rsidR="00D970BB" w:rsidRPr="002D7733" w:rsidRDefault="00D970BB" w:rsidP="00E7642A">
            <w:pPr>
              <w:pStyle w:val="tv213"/>
              <w:shd w:val="clear" w:color="auto" w:fill="FFFFFF"/>
              <w:spacing w:before="0" w:beforeAutospacing="0" w:after="0" w:afterAutospacing="0"/>
              <w:jc w:val="both"/>
              <w:rPr>
                <w:sz w:val="20"/>
                <w:szCs w:val="20"/>
              </w:rPr>
            </w:pPr>
            <w:r w:rsidRPr="002D7733">
              <w:rPr>
                <w:sz w:val="20"/>
                <w:szCs w:val="20"/>
              </w:rPr>
              <w:t xml:space="preserve">Plānotās attiecināmās izmaksas – 15 801 461 </w:t>
            </w:r>
            <w:r w:rsidRPr="002D7733">
              <w:rPr>
                <w:i/>
                <w:sz w:val="20"/>
                <w:szCs w:val="20"/>
              </w:rPr>
              <w:t>euro</w:t>
            </w:r>
            <w:r w:rsidRPr="002D7733">
              <w:rPr>
                <w:sz w:val="20"/>
                <w:szCs w:val="20"/>
              </w:rPr>
              <w:t xml:space="preserve">, </w:t>
            </w:r>
            <w:r w:rsidR="00516D0A">
              <w:rPr>
                <w:sz w:val="20"/>
                <w:szCs w:val="20"/>
              </w:rPr>
              <w:t>tai skaitā</w:t>
            </w:r>
            <w:r w:rsidR="00516D0A" w:rsidRPr="002D7733">
              <w:rPr>
                <w:sz w:val="20"/>
                <w:szCs w:val="20"/>
              </w:rPr>
              <w:t xml:space="preserve"> </w:t>
            </w:r>
            <w:r w:rsidRPr="002D7733">
              <w:rPr>
                <w:sz w:val="20"/>
                <w:szCs w:val="20"/>
              </w:rPr>
              <w:t xml:space="preserve">ERAF 14 196 153 </w:t>
            </w:r>
            <w:r w:rsidRPr="002D7733">
              <w:rPr>
                <w:i/>
                <w:sz w:val="20"/>
                <w:szCs w:val="20"/>
              </w:rPr>
              <w:t>euro</w:t>
            </w:r>
            <w:r w:rsidRPr="002D7733">
              <w:rPr>
                <w:sz w:val="20"/>
                <w:szCs w:val="20"/>
              </w:rPr>
              <w:t>.</w:t>
            </w:r>
          </w:p>
          <w:p w14:paraId="1D30186F" w14:textId="77777777" w:rsidR="00D970BB" w:rsidRPr="002D7733" w:rsidRDefault="00D970BB" w:rsidP="00E7642A">
            <w:pPr>
              <w:pStyle w:val="tv213"/>
              <w:shd w:val="clear" w:color="auto" w:fill="FFFFFF"/>
              <w:spacing w:before="0" w:beforeAutospacing="0" w:after="0" w:afterAutospacing="0"/>
              <w:jc w:val="both"/>
              <w:rPr>
                <w:sz w:val="20"/>
                <w:szCs w:val="20"/>
              </w:rPr>
            </w:pPr>
            <w:r w:rsidRPr="002D7733">
              <w:rPr>
                <w:sz w:val="20"/>
                <w:szCs w:val="20"/>
              </w:rPr>
              <w:t xml:space="preserve">Faktiskās attiecināmās izmaksas uz 17.02.2016. – 15 843 251 </w:t>
            </w:r>
            <w:r w:rsidRPr="002D7733">
              <w:rPr>
                <w:i/>
                <w:sz w:val="20"/>
                <w:szCs w:val="20"/>
              </w:rPr>
              <w:t>euro</w:t>
            </w:r>
            <w:r w:rsidRPr="002D7733">
              <w:rPr>
                <w:sz w:val="20"/>
                <w:szCs w:val="20"/>
              </w:rPr>
              <w:t xml:space="preserve">, </w:t>
            </w:r>
            <w:r w:rsidR="00516D0A">
              <w:rPr>
                <w:sz w:val="20"/>
                <w:szCs w:val="20"/>
              </w:rPr>
              <w:t>tai skaitā</w:t>
            </w:r>
            <w:r w:rsidR="00516D0A" w:rsidRPr="002D7733">
              <w:rPr>
                <w:sz w:val="20"/>
                <w:szCs w:val="20"/>
              </w:rPr>
              <w:t xml:space="preserve"> </w:t>
            </w:r>
            <w:r w:rsidRPr="002D7733">
              <w:rPr>
                <w:sz w:val="20"/>
                <w:szCs w:val="20"/>
              </w:rPr>
              <w:t xml:space="preserve">ERAF 14 021 485 </w:t>
            </w:r>
            <w:r w:rsidRPr="002D7733">
              <w:rPr>
                <w:i/>
                <w:sz w:val="20"/>
                <w:szCs w:val="20"/>
              </w:rPr>
              <w:t>euro</w:t>
            </w:r>
            <w:r w:rsidRPr="002D7733">
              <w:rPr>
                <w:sz w:val="20"/>
                <w:szCs w:val="20"/>
              </w:rPr>
              <w:t>.</w:t>
            </w:r>
          </w:p>
        </w:tc>
        <w:tc>
          <w:tcPr>
            <w:tcW w:w="675" w:type="pct"/>
          </w:tcPr>
          <w:p w14:paraId="59261AFC" w14:textId="77777777" w:rsidR="00D970BB" w:rsidRPr="00D970BB" w:rsidRDefault="00A42043" w:rsidP="00E7642A">
            <w:pPr>
              <w:tabs>
                <w:tab w:val="left" w:pos="709"/>
                <w:tab w:val="left" w:pos="1701"/>
              </w:tabs>
              <w:ind w:left="0"/>
              <w:rPr>
                <w:rFonts w:ascii="Times New Roman" w:hAnsi="Times New Roman"/>
                <w:sz w:val="20"/>
                <w:szCs w:val="20"/>
              </w:rPr>
            </w:pPr>
            <w:r w:rsidRPr="006638C6">
              <w:rPr>
                <w:rFonts w:ascii="Times New Roman" w:hAnsi="Times New Roman"/>
                <w:color w:val="000000"/>
                <w:sz w:val="20"/>
                <w:szCs w:val="20"/>
              </w:rPr>
              <w:t>VeA IZZI VSRC</w:t>
            </w:r>
          </w:p>
        </w:tc>
        <w:tc>
          <w:tcPr>
            <w:tcW w:w="895" w:type="pct"/>
            <w:shd w:val="clear" w:color="auto" w:fill="auto"/>
          </w:tcPr>
          <w:p w14:paraId="25E62C63" w14:textId="77777777" w:rsidR="00D970BB" w:rsidRPr="00A42043" w:rsidRDefault="006638C6" w:rsidP="00E7642A">
            <w:pPr>
              <w:tabs>
                <w:tab w:val="left" w:pos="709"/>
                <w:tab w:val="left" w:pos="1701"/>
              </w:tabs>
              <w:ind w:left="0"/>
              <w:rPr>
                <w:rFonts w:ascii="Times New Roman" w:hAnsi="Times New Roman"/>
                <w:sz w:val="20"/>
                <w:szCs w:val="20"/>
              </w:rPr>
            </w:pPr>
            <w:r w:rsidRPr="006638C6">
              <w:rPr>
                <w:rFonts w:ascii="Times New Roman" w:hAnsi="Times New Roman"/>
                <w:sz w:val="20"/>
                <w:szCs w:val="20"/>
              </w:rPr>
              <w:t>E</w:t>
            </w:r>
            <w:r w:rsidR="00D970BB" w:rsidRPr="00A42043">
              <w:rPr>
                <w:rFonts w:ascii="Times New Roman" w:hAnsi="Times New Roman"/>
                <w:sz w:val="20"/>
                <w:szCs w:val="20"/>
              </w:rPr>
              <w:t>DI</w:t>
            </w:r>
          </w:p>
          <w:p w14:paraId="0A418897" w14:textId="77777777" w:rsidR="00D970BB" w:rsidRPr="00A42043" w:rsidRDefault="00D970BB" w:rsidP="00E7642A">
            <w:pPr>
              <w:tabs>
                <w:tab w:val="left" w:pos="709"/>
                <w:tab w:val="left" w:pos="1701"/>
              </w:tabs>
              <w:ind w:left="0"/>
              <w:rPr>
                <w:rFonts w:ascii="Times New Roman" w:hAnsi="Times New Roman"/>
                <w:sz w:val="20"/>
                <w:szCs w:val="20"/>
              </w:rPr>
            </w:pPr>
            <w:r w:rsidRPr="00A42043">
              <w:rPr>
                <w:rFonts w:ascii="Times New Roman" w:hAnsi="Times New Roman"/>
                <w:sz w:val="20"/>
                <w:szCs w:val="20"/>
              </w:rPr>
              <w:t>LU</w:t>
            </w:r>
          </w:p>
          <w:p w14:paraId="0F21CC4B" w14:textId="77777777" w:rsidR="00D970BB" w:rsidRPr="00A42043" w:rsidRDefault="006638C6" w:rsidP="00E7642A">
            <w:pPr>
              <w:tabs>
                <w:tab w:val="left" w:pos="709"/>
                <w:tab w:val="left" w:pos="1701"/>
              </w:tabs>
              <w:ind w:left="0"/>
              <w:rPr>
                <w:rFonts w:ascii="Times New Roman" w:hAnsi="Times New Roman"/>
                <w:sz w:val="20"/>
                <w:szCs w:val="20"/>
              </w:rPr>
            </w:pPr>
            <w:r w:rsidRPr="00A42043">
              <w:rPr>
                <w:rFonts w:ascii="Times New Roman" w:hAnsi="Times New Roman"/>
                <w:sz w:val="20"/>
                <w:szCs w:val="20"/>
              </w:rPr>
              <w:t>LU MII</w:t>
            </w:r>
          </w:p>
          <w:p w14:paraId="1EA71F02" w14:textId="77777777" w:rsidR="00D970BB" w:rsidRPr="002D7733" w:rsidRDefault="00D970BB" w:rsidP="00E7642A">
            <w:pPr>
              <w:tabs>
                <w:tab w:val="left" w:pos="709"/>
                <w:tab w:val="left" w:pos="1701"/>
              </w:tabs>
              <w:ind w:left="0"/>
              <w:rPr>
                <w:rFonts w:ascii="Times New Roman" w:hAnsi="Times New Roman"/>
                <w:sz w:val="20"/>
                <w:szCs w:val="20"/>
              </w:rPr>
            </w:pPr>
            <w:r w:rsidRPr="00A42043">
              <w:rPr>
                <w:rFonts w:ascii="Times New Roman" w:hAnsi="Times New Roman"/>
                <w:sz w:val="20"/>
                <w:szCs w:val="20"/>
              </w:rPr>
              <w:t>RTU</w:t>
            </w:r>
          </w:p>
        </w:tc>
        <w:tc>
          <w:tcPr>
            <w:tcW w:w="2213" w:type="pct"/>
          </w:tcPr>
          <w:p w14:paraId="0C5D475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 Zinātnes infrastruktūras attīstība;</w:t>
            </w:r>
          </w:p>
          <w:p w14:paraId="71860C72" w14:textId="77777777" w:rsidR="004C00A2"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2) Starpnozaru pētījumi;</w:t>
            </w:r>
          </w:p>
          <w:p w14:paraId="3E9874B0" w14:textId="77777777" w:rsidR="00D970BB" w:rsidRPr="002D7733" w:rsidRDefault="004C00A2" w:rsidP="00E7642A">
            <w:pPr>
              <w:tabs>
                <w:tab w:val="left" w:pos="709"/>
                <w:tab w:val="left" w:pos="1701"/>
              </w:tabs>
              <w:ind w:left="0"/>
              <w:rPr>
                <w:rFonts w:ascii="Times New Roman" w:hAnsi="Times New Roman"/>
                <w:sz w:val="20"/>
                <w:szCs w:val="20"/>
              </w:rPr>
            </w:pPr>
            <w:r>
              <w:rPr>
                <w:rFonts w:ascii="Times New Roman" w:hAnsi="Times New Roman"/>
                <w:sz w:val="20"/>
                <w:szCs w:val="20"/>
              </w:rPr>
              <w:t>3) </w:t>
            </w:r>
            <w:r w:rsidR="00D970BB" w:rsidRPr="002D7733">
              <w:rPr>
                <w:rFonts w:ascii="Times New Roman" w:hAnsi="Times New Roman"/>
                <w:sz w:val="20"/>
                <w:szCs w:val="20"/>
              </w:rPr>
              <w:t>Informācijas apstrādes metodes informācijas tehnoloģiju pētījumi;</w:t>
            </w:r>
          </w:p>
          <w:p w14:paraId="79C166C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4) Viedās sistēmas un efektīvas komunikācijas;</w:t>
            </w:r>
          </w:p>
          <w:p w14:paraId="0B905D73"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5) Kosmisko datu ieguve un apstrāde</w:t>
            </w:r>
            <w:r>
              <w:rPr>
                <w:rFonts w:ascii="Times New Roman" w:hAnsi="Times New Roman"/>
                <w:sz w:val="20"/>
                <w:szCs w:val="20"/>
              </w:rPr>
              <w:t>.</w:t>
            </w:r>
          </w:p>
        </w:tc>
      </w:tr>
      <w:tr w:rsidR="00D970BB" w:rsidRPr="00D970BB" w14:paraId="1C9ED832" w14:textId="77777777" w:rsidTr="00566937">
        <w:tc>
          <w:tcPr>
            <w:tcW w:w="1217" w:type="pct"/>
            <w:shd w:val="clear" w:color="auto" w:fill="auto"/>
          </w:tcPr>
          <w:p w14:paraId="7307E08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Lauksaimniecības resursu izmantošanas un pārtikas valsts nozīmes pētniecības centrs.</w:t>
            </w:r>
          </w:p>
          <w:p w14:paraId="103EB73A" w14:textId="77777777" w:rsidR="00D970BB" w:rsidRPr="002D7733" w:rsidRDefault="00D970BB" w:rsidP="00E7642A">
            <w:pPr>
              <w:tabs>
                <w:tab w:val="left" w:pos="709"/>
                <w:tab w:val="left" w:pos="1701"/>
              </w:tabs>
              <w:ind w:left="0"/>
              <w:rPr>
                <w:rFonts w:ascii="Times New Roman" w:hAnsi="Times New Roman"/>
                <w:sz w:val="20"/>
                <w:szCs w:val="20"/>
              </w:rPr>
            </w:pPr>
          </w:p>
          <w:p w14:paraId="5107E77D" w14:textId="77777777" w:rsidR="00D970BB" w:rsidRPr="002D7733" w:rsidRDefault="00D970BB" w:rsidP="00E7642A">
            <w:pPr>
              <w:tabs>
                <w:tab w:val="left" w:pos="709"/>
                <w:tab w:val="left" w:pos="1701"/>
              </w:tabs>
              <w:ind w:left="0"/>
              <w:rPr>
                <w:rFonts w:ascii="Times New Roman" w:eastAsia="Times New Roman" w:hAnsi="Times New Roman"/>
                <w:sz w:val="20"/>
                <w:szCs w:val="20"/>
                <w:lang w:eastAsia="lv-LV"/>
              </w:rPr>
            </w:pPr>
            <w:r w:rsidRPr="002D7733">
              <w:rPr>
                <w:rFonts w:ascii="Times New Roman" w:hAnsi="Times New Roman"/>
                <w:sz w:val="20"/>
                <w:szCs w:val="20"/>
              </w:rPr>
              <w:t xml:space="preserve">Plānotās attiecināmās </w:t>
            </w:r>
            <w:r w:rsidRPr="002D7733">
              <w:rPr>
                <w:rFonts w:ascii="Times New Roman" w:eastAsia="Times New Roman" w:hAnsi="Times New Roman"/>
                <w:sz w:val="20"/>
                <w:szCs w:val="20"/>
                <w:lang w:eastAsia="lv-LV"/>
              </w:rPr>
              <w:t xml:space="preserve">izmaksas – 7 675 710 </w:t>
            </w:r>
            <w:r w:rsidRPr="002D7733">
              <w:rPr>
                <w:rFonts w:ascii="Times New Roman" w:eastAsia="Times New Roman" w:hAnsi="Times New Roman"/>
                <w:i/>
                <w:sz w:val="20"/>
                <w:szCs w:val="20"/>
                <w:lang w:eastAsia="lv-LV"/>
              </w:rPr>
              <w:t>euro</w:t>
            </w:r>
            <w:r w:rsidRPr="002D7733">
              <w:rPr>
                <w:rFonts w:ascii="Times New Roman" w:eastAsia="Times New Roman" w:hAnsi="Times New Roman"/>
                <w:sz w:val="20"/>
                <w:szCs w:val="20"/>
                <w:lang w:eastAsia="lv-LV"/>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eastAsia="Times New Roman" w:hAnsi="Times New Roman"/>
                <w:sz w:val="20"/>
                <w:szCs w:val="20"/>
                <w:lang w:eastAsia="lv-LV"/>
              </w:rPr>
              <w:t xml:space="preserve">ERAF 6 921 271 </w:t>
            </w:r>
            <w:r w:rsidRPr="002D7733">
              <w:rPr>
                <w:rFonts w:ascii="Times New Roman" w:eastAsia="Times New Roman" w:hAnsi="Times New Roman"/>
                <w:i/>
                <w:sz w:val="20"/>
                <w:szCs w:val="20"/>
                <w:lang w:eastAsia="lv-LV"/>
              </w:rPr>
              <w:t>euro</w:t>
            </w:r>
            <w:r w:rsidRPr="002D7733">
              <w:rPr>
                <w:rFonts w:ascii="Times New Roman" w:eastAsia="Times New Roman" w:hAnsi="Times New Roman"/>
                <w:sz w:val="20"/>
                <w:szCs w:val="20"/>
                <w:lang w:eastAsia="lv-LV"/>
              </w:rPr>
              <w:t>.</w:t>
            </w:r>
          </w:p>
          <w:p w14:paraId="374881D3"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7 781 829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6 921 627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73A94634" w14:textId="77777777" w:rsidR="00A42043"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DI (LVAI)</w:t>
            </w:r>
          </w:p>
          <w:p w14:paraId="3FF72ED4" w14:textId="77777777" w:rsidR="00D970BB" w:rsidRPr="00D970BB" w:rsidRDefault="00D970BB" w:rsidP="00E7642A">
            <w:pPr>
              <w:tabs>
                <w:tab w:val="left" w:pos="709"/>
                <w:tab w:val="left" w:pos="1701"/>
              </w:tabs>
              <w:ind w:left="0"/>
              <w:jc w:val="left"/>
              <w:rPr>
                <w:rFonts w:ascii="Times New Roman" w:hAnsi="Times New Roman"/>
                <w:sz w:val="20"/>
                <w:szCs w:val="20"/>
              </w:rPr>
            </w:pPr>
          </w:p>
        </w:tc>
        <w:tc>
          <w:tcPr>
            <w:tcW w:w="895" w:type="pct"/>
            <w:shd w:val="clear" w:color="auto" w:fill="auto"/>
          </w:tcPr>
          <w:p w14:paraId="08CC5143"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LLU</w:t>
            </w:r>
          </w:p>
          <w:p w14:paraId="21562D71"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LU</w:t>
            </w:r>
          </w:p>
          <w:p w14:paraId="021A0113"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BIOR</w:t>
            </w:r>
          </w:p>
          <w:p w14:paraId="3AA7F225"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VPLSI</w:t>
            </w:r>
          </w:p>
          <w:p w14:paraId="580150C8"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VSGSI</w:t>
            </w:r>
          </w:p>
        </w:tc>
        <w:tc>
          <w:tcPr>
            <w:tcW w:w="2213" w:type="pct"/>
          </w:tcPr>
          <w:p w14:paraId="4584E33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 Augsnes ilgtspējīga izmantošana un augu produktivitāte;</w:t>
            </w:r>
          </w:p>
          <w:p w14:paraId="160EB285"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2) Lauksaimniecības augu ģenētika un selekcija;</w:t>
            </w:r>
          </w:p>
          <w:p w14:paraId="4CE3487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3) Lauksaimniecības augu aizsardzība un augiem kaitīgo organismu pētniecība;</w:t>
            </w:r>
          </w:p>
          <w:p w14:paraId="4661021C"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4) Pārtikas tehnoloģijas, kvalitāte un uzturvērtības;</w:t>
            </w:r>
          </w:p>
          <w:p w14:paraId="129ABB13"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5) Pārtikas drošība, dzīvnieku infekcijas slimības un to risku novērtēšana;</w:t>
            </w:r>
          </w:p>
          <w:p w14:paraId="550785A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6) Lauksaimniecība dzīvnieku produktivitāte un veselība</w:t>
            </w:r>
          </w:p>
        </w:tc>
      </w:tr>
      <w:tr w:rsidR="00D970BB" w:rsidRPr="00D970BB" w14:paraId="7DFCDBD9" w14:textId="77777777" w:rsidTr="00566937">
        <w:tc>
          <w:tcPr>
            <w:tcW w:w="1217" w:type="pct"/>
            <w:shd w:val="clear" w:color="auto" w:fill="auto"/>
          </w:tcPr>
          <w:p w14:paraId="14D8B40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Meža un ūdens resursu valsts nozīmes pētniecības centrs.</w:t>
            </w:r>
          </w:p>
          <w:p w14:paraId="58805846" w14:textId="77777777" w:rsidR="00D970BB" w:rsidRPr="002D7733" w:rsidRDefault="00D970BB" w:rsidP="00E7642A">
            <w:pPr>
              <w:tabs>
                <w:tab w:val="left" w:pos="709"/>
                <w:tab w:val="left" w:pos="1701"/>
              </w:tabs>
              <w:ind w:left="0"/>
              <w:rPr>
                <w:rFonts w:ascii="Times New Roman" w:hAnsi="Times New Roman"/>
                <w:sz w:val="20"/>
                <w:szCs w:val="20"/>
              </w:rPr>
            </w:pPr>
          </w:p>
          <w:p w14:paraId="4EC75171"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Plānotās attiecināmās izmaksas – 10 336 581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9 230 683 </w:t>
            </w:r>
            <w:r w:rsidRPr="002D7733">
              <w:rPr>
                <w:rFonts w:ascii="Times New Roman" w:hAnsi="Times New Roman"/>
                <w:i/>
                <w:sz w:val="20"/>
                <w:szCs w:val="20"/>
              </w:rPr>
              <w:t>euro</w:t>
            </w:r>
            <w:r w:rsidRPr="002D7733">
              <w:rPr>
                <w:rFonts w:ascii="Times New Roman" w:hAnsi="Times New Roman"/>
                <w:sz w:val="20"/>
                <w:szCs w:val="20"/>
              </w:rPr>
              <w:t>.</w:t>
            </w:r>
          </w:p>
          <w:p w14:paraId="4F8C37FD"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10 309 865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9 207 898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514CB9E1" w14:textId="77777777" w:rsidR="00D970BB" w:rsidRPr="00D970BB"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lastRenderedPageBreak/>
              <w:t>LLU</w:t>
            </w:r>
          </w:p>
        </w:tc>
        <w:tc>
          <w:tcPr>
            <w:tcW w:w="895" w:type="pct"/>
            <w:shd w:val="clear" w:color="auto" w:fill="auto"/>
          </w:tcPr>
          <w:p w14:paraId="0783C5D5"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DU</w:t>
            </w:r>
          </w:p>
          <w:p w14:paraId="65492EBB"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LHEI</w:t>
            </w:r>
          </w:p>
          <w:p w14:paraId="4392982C"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KĶI</w:t>
            </w:r>
          </w:p>
          <w:p w14:paraId="69E49A76"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lastRenderedPageBreak/>
              <w:t>Silava</w:t>
            </w:r>
          </w:p>
          <w:p w14:paraId="02068FD7"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LU</w:t>
            </w:r>
          </w:p>
        </w:tc>
        <w:tc>
          <w:tcPr>
            <w:tcW w:w="2213" w:type="pct"/>
          </w:tcPr>
          <w:p w14:paraId="50C8DEF5"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lastRenderedPageBreak/>
              <w:t>1) Meža koksnes resursi, ilgtspējīgas metodes un paņēmieni meža kapitāla vērtības palielināšanai;</w:t>
            </w:r>
          </w:p>
          <w:p w14:paraId="451E2B28"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lastRenderedPageBreak/>
              <w:t>2) Metodes un paņēmieni meža resursu izmantošanas plānošanai un loģistikai;</w:t>
            </w:r>
          </w:p>
          <w:p w14:paraId="316A7952"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3) Koksnes apstrāde – jauni produkti un tehnoloģijas;</w:t>
            </w:r>
          </w:p>
          <w:p w14:paraId="5CBD05D2"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4) Koksnes un nekoksnes pārstrāde – jauni produkti un tehnoloģijas;</w:t>
            </w:r>
          </w:p>
          <w:p w14:paraId="5A952A9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5) Baltijas jūras un iekšējo ūdeņu ekoloģija un resursi;</w:t>
            </w:r>
          </w:p>
          <w:p w14:paraId="2790EDBB"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 6) Latvijas mežu un ūdeņu dabas potenciāla  - klimata, augsnes, vietas hidroloģisko apstākļu, floras un faunas – fundamentālie pētījumi.</w:t>
            </w:r>
          </w:p>
        </w:tc>
      </w:tr>
      <w:tr w:rsidR="00D970BB" w:rsidRPr="00D970BB" w14:paraId="639B91BD" w14:textId="77777777" w:rsidTr="00566937">
        <w:tc>
          <w:tcPr>
            <w:tcW w:w="1217" w:type="pct"/>
            <w:shd w:val="clear" w:color="auto" w:fill="auto"/>
          </w:tcPr>
          <w:p w14:paraId="688B0785"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lastRenderedPageBreak/>
              <w:t>Nanostrukturēto un daudzfunkcionālo materiālu, konstrukciju un tehnoloģiju valsts nozīmes pētniecības centrs.</w:t>
            </w:r>
          </w:p>
          <w:p w14:paraId="38AC648A" w14:textId="77777777" w:rsidR="00D970BB" w:rsidRPr="002D7733" w:rsidRDefault="00D970BB" w:rsidP="00E7642A">
            <w:pPr>
              <w:tabs>
                <w:tab w:val="left" w:pos="709"/>
                <w:tab w:val="left" w:pos="1701"/>
              </w:tabs>
              <w:ind w:left="0"/>
              <w:rPr>
                <w:rFonts w:ascii="Times New Roman" w:hAnsi="Times New Roman"/>
                <w:sz w:val="20"/>
                <w:szCs w:val="20"/>
              </w:rPr>
            </w:pPr>
          </w:p>
          <w:p w14:paraId="4899D933"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Plānotās attiecināmās izmaksas – 10 871 661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9 742 688 </w:t>
            </w:r>
            <w:r w:rsidRPr="002D7733">
              <w:rPr>
                <w:rFonts w:ascii="Times New Roman" w:hAnsi="Times New Roman"/>
                <w:i/>
                <w:sz w:val="20"/>
                <w:szCs w:val="20"/>
              </w:rPr>
              <w:t>euro</w:t>
            </w:r>
            <w:r w:rsidRPr="002D7733">
              <w:rPr>
                <w:rFonts w:ascii="Times New Roman" w:hAnsi="Times New Roman"/>
                <w:sz w:val="20"/>
                <w:szCs w:val="20"/>
              </w:rPr>
              <w:t>.</w:t>
            </w:r>
          </w:p>
          <w:p w14:paraId="512E55EA"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10 963 238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9 742 690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79A2CA6C" w14:textId="77777777" w:rsidR="00D970BB" w:rsidRPr="00D970BB"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CFI</w:t>
            </w:r>
          </w:p>
        </w:tc>
        <w:tc>
          <w:tcPr>
            <w:tcW w:w="895" w:type="pct"/>
            <w:shd w:val="clear" w:color="auto" w:fill="auto"/>
          </w:tcPr>
          <w:p w14:paraId="753C77F5"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LU</w:t>
            </w:r>
          </w:p>
          <w:p w14:paraId="2BD2F368"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LU FI</w:t>
            </w:r>
          </w:p>
          <w:p w14:paraId="56D0AAEE"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LU PMI</w:t>
            </w:r>
          </w:p>
          <w:p w14:paraId="1E3A579C"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RTU</w:t>
            </w:r>
          </w:p>
          <w:p w14:paraId="3F3FCBC5"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 xml:space="preserve">RTU </w:t>
            </w:r>
            <w:r w:rsidR="00A42043">
              <w:rPr>
                <w:rFonts w:ascii="Times New Roman" w:hAnsi="Times New Roman"/>
                <w:sz w:val="20"/>
                <w:szCs w:val="20"/>
              </w:rPr>
              <w:t>NĶI</w:t>
            </w:r>
          </w:p>
        </w:tc>
        <w:tc>
          <w:tcPr>
            <w:tcW w:w="2213" w:type="pct"/>
          </w:tcPr>
          <w:p w14:paraId="0D79251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 Nanostrukturēto materiālu izgatavošana un nanotehnoloģijas;</w:t>
            </w:r>
          </w:p>
          <w:p w14:paraId="7B9021F1"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2) Nanomateriālu struktūras un sastāva kontrole;</w:t>
            </w:r>
          </w:p>
          <w:p w14:paraId="637304CC"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3)</w:t>
            </w:r>
            <w:r>
              <w:rPr>
                <w:rFonts w:ascii="Times New Roman" w:hAnsi="Times New Roman"/>
                <w:sz w:val="20"/>
                <w:szCs w:val="20"/>
              </w:rPr>
              <w:t xml:space="preserve"> </w:t>
            </w:r>
            <w:r w:rsidRPr="002D7733">
              <w:rPr>
                <w:rFonts w:ascii="Times New Roman" w:hAnsi="Times New Roman"/>
                <w:sz w:val="20"/>
                <w:szCs w:val="20"/>
              </w:rPr>
              <w:t>Morfoloģijas pētījumi un "mikroskopu" litogrāfija;</w:t>
            </w:r>
          </w:p>
          <w:p w14:paraId="4E8BF5D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4)</w:t>
            </w:r>
            <w:r>
              <w:rPr>
                <w:rFonts w:ascii="Times New Roman" w:hAnsi="Times New Roman"/>
                <w:sz w:val="20"/>
                <w:szCs w:val="20"/>
              </w:rPr>
              <w:t xml:space="preserve"> </w:t>
            </w:r>
            <w:r w:rsidRPr="002D7733">
              <w:rPr>
                <w:rFonts w:ascii="Times New Roman" w:hAnsi="Times New Roman"/>
                <w:sz w:val="20"/>
                <w:szCs w:val="20"/>
              </w:rPr>
              <w:t>Nanostrukturēto materiālu specifisko īpašību pētījumi;</w:t>
            </w:r>
          </w:p>
          <w:p w14:paraId="6A62992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5)</w:t>
            </w:r>
            <w:r>
              <w:rPr>
                <w:rFonts w:ascii="Times New Roman" w:hAnsi="Times New Roman"/>
                <w:sz w:val="20"/>
                <w:szCs w:val="20"/>
              </w:rPr>
              <w:t xml:space="preserve"> </w:t>
            </w:r>
            <w:r w:rsidRPr="002D7733">
              <w:rPr>
                <w:rFonts w:ascii="Times New Roman" w:hAnsi="Times New Roman"/>
                <w:sz w:val="20"/>
                <w:szCs w:val="20"/>
              </w:rPr>
              <w:t>Potenciālās pielietojamības izvērtēšana</w:t>
            </w:r>
            <w:r>
              <w:rPr>
                <w:rFonts w:ascii="Times New Roman" w:hAnsi="Times New Roman"/>
                <w:sz w:val="20"/>
                <w:szCs w:val="20"/>
              </w:rPr>
              <w:t>.</w:t>
            </w:r>
          </w:p>
        </w:tc>
      </w:tr>
      <w:tr w:rsidR="00D970BB" w:rsidRPr="00D970BB" w14:paraId="04000C40" w14:textId="77777777" w:rsidTr="00566937">
        <w:tc>
          <w:tcPr>
            <w:tcW w:w="1217" w:type="pct"/>
            <w:shd w:val="clear" w:color="auto" w:fill="auto"/>
          </w:tcPr>
          <w:p w14:paraId="6232EE8D"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Sabiedrības veselības un klīniskās medicīnas valsts nozīmes pētniecības centrs.</w:t>
            </w:r>
          </w:p>
          <w:p w14:paraId="56F690D5" w14:textId="77777777" w:rsidR="00D970BB" w:rsidRPr="002D7733" w:rsidRDefault="00D970BB" w:rsidP="00E7642A">
            <w:pPr>
              <w:tabs>
                <w:tab w:val="left" w:pos="709"/>
                <w:tab w:val="left" w:pos="1701"/>
              </w:tabs>
              <w:ind w:left="0"/>
              <w:rPr>
                <w:rFonts w:ascii="Times New Roman" w:hAnsi="Times New Roman"/>
                <w:sz w:val="20"/>
                <w:szCs w:val="20"/>
              </w:rPr>
            </w:pPr>
          </w:p>
          <w:p w14:paraId="4C1F0DA6"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Plānotās attiecināmās izmaksas – 7 626 509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6 842 437 </w:t>
            </w:r>
            <w:r w:rsidRPr="002D7733">
              <w:rPr>
                <w:rFonts w:ascii="Times New Roman" w:hAnsi="Times New Roman"/>
                <w:i/>
                <w:sz w:val="20"/>
                <w:szCs w:val="20"/>
              </w:rPr>
              <w:t>euro</w:t>
            </w:r>
            <w:r w:rsidRPr="002D7733">
              <w:rPr>
                <w:rFonts w:ascii="Times New Roman" w:hAnsi="Times New Roman"/>
                <w:sz w:val="20"/>
                <w:szCs w:val="20"/>
              </w:rPr>
              <w:t>.</w:t>
            </w:r>
          </w:p>
          <w:p w14:paraId="5E5B8413"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7 664 535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6 842 437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77E6C6E2" w14:textId="77777777" w:rsidR="00D970BB" w:rsidRPr="00D970BB"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RSU</w:t>
            </w:r>
          </w:p>
        </w:tc>
        <w:tc>
          <w:tcPr>
            <w:tcW w:w="895" w:type="pct"/>
            <w:shd w:val="clear" w:color="auto" w:fill="auto"/>
          </w:tcPr>
          <w:p w14:paraId="6B68C136"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LU</w:t>
            </w:r>
          </w:p>
        </w:tc>
        <w:tc>
          <w:tcPr>
            <w:tcW w:w="2213" w:type="pct"/>
          </w:tcPr>
          <w:p w14:paraId="2CC93139"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w:t>
            </w:r>
            <w:r>
              <w:rPr>
                <w:rFonts w:ascii="Times New Roman" w:hAnsi="Times New Roman"/>
                <w:sz w:val="20"/>
                <w:szCs w:val="20"/>
              </w:rPr>
              <w:t xml:space="preserve"> I</w:t>
            </w:r>
            <w:r w:rsidRPr="002D7733">
              <w:rPr>
                <w:rFonts w:ascii="Times New Roman" w:hAnsi="Times New Roman"/>
                <w:sz w:val="20"/>
                <w:szCs w:val="20"/>
              </w:rPr>
              <w:t>edzīvotāju uzvedības maiņas nodrošināšanai</w:t>
            </w:r>
            <w:r>
              <w:rPr>
                <w:rFonts w:ascii="Times New Roman" w:hAnsi="Times New Roman"/>
                <w:sz w:val="20"/>
                <w:szCs w:val="20"/>
              </w:rPr>
              <w:t xml:space="preserve"> pētījumi</w:t>
            </w:r>
            <w:r w:rsidRPr="002D7733">
              <w:rPr>
                <w:rFonts w:ascii="Times New Roman" w:hAnsi="Times New Roman"/>
                <w:sz w:val="20"/>
                <w:szCs w:val="20"/>
              </w:rPr>
              <w:t xml:space="preserve"> zinātniski pamatotu veselības veicināšanas un slimību profilakses programmu izveidei;</w:t>
            </w:r>
          </w:p>
          <w:p w14:paraId="3D72343E"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2) Epidemioloģisk</w:t>
            </w:r>
            <w:r>
              <w:rPr>
                <w:rFonts w:ascii="Times New Roman" w:hAnsi="Times New Roman"/>
                <w:sz w:val="20"/>
                <w:szCs w:val="20"/>
              </w:rPr>
              <w:t>ie</w:t>
            </w:r>
            <w:r w:rsidRPr="002D7733">
              <w:rPr>
                <w:rFonts w:ascii="Times New Roman" w:hAnsi="Times New Roman"/>
                <w:sz w:val="20"/>
                <w:szCs w:val="20"/>
              </w:rPr>
              <w:t xml:space="preserve"> pētījum</w:t>
            </w:r>
            <w:r>
              <w:rPr>
                <w:rFonts w:ascii="Times New Roman" w:hAnsi="Times New Roman"/>
                <w:sz w:val="20"/>
                <w:szCs w:val="20"/>
              </w:rPr>
              <w:t>i</w:t>
            </w:r>
            <w:r w:rsidR="00516D0A">
              <w:rPr>
                <w:rFonts w:ascii="Times New Roman" w:hAnsi="Times New Roman"/>
                <w:sz w:val="20"/>
                <w:szCs w:val="20"/>
              </w:rPr>
              <w:t>,</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Pr>
                <w:rFonts w:ascii="Times New Roman" w:hAnsi="Times New Roman"/>
                <w:sz w:val="20"/>
                <w:szCs w:val="20"/>
              </w:rPr>
              <w:t xml:space="preserve">pētījumi </w:t>
            </w:r>
            <w:r w:rsidRPr="002D7733">
              <w:rPr>
                <w:rFonts w:ascii="Times New Roman" w:hAnsi="Times New Roman"/>
                <w:sz w:val="20"/>
                <w:szCs w:val="20"/>
              </w:rPr>
              <w:t xml:space="preserve">veselības politikas plānošanai un izvērtēšanai; </w:t>
            </w:r>
          </w:p>
          <w:p w14:paraId="614B14E0"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3) Eksogēno un endogēno faktoru multidisciplināra izpēte un iegūto rezultātu kompleksa izvērtēšana, un ilgtermiņa rekomendāciju izstrāde;</w:t>
            </w:r>
          </w:p>
          <w:p w14:paraId="186CB3DD"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4) Pētījum</w:t>
            </w:r>
            <w:r>
              <w:rPr>
                <w:rFonts w:ascii="Times New Roman" w:hAnsi="Times New Roman"/>
                <w:sz w:val="20"/>
                <w:szCs w:val="20"/>
              </w:rPr>
              <w:t xml:space="preserve">i </w:t>
            </w:r>
            <w:r w:rsidRPr="002D7733">
              <w:rPr>
                <w:rFonts w:ascii="Times New Roman" w:hAnsi="Times New Roman"/>
                <w:sz w:val="20"/>
                <w:szCs w:val="20"/>
              </w:rPr>
              <w:t>par skrīninga programmu, veselības veicināšanas un slimību profilakses pasākumu īstenošanas izmaksu – efektivitāti;</w:t>
            </w:r>
          </w:p>
          <w:p w14:paraId="1D3CDAA3"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5) Pamatu izveide integrētam dzīves kvalitātes mērījumu modelim Latvijas populācijā; </w:t>
            </w:r>
          </w:p>
          <w:p w14:paraId="429C5F47"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6) </w:t>
            </w:r>
            <w:r>
              <w:rPr>
                <w:rFonts w:ascii="Times New Roman" w:hAnsi="Times New Roman"/>
                <w:sz w:val="20"/>
                <w:szCs w:val="20"/>
              </w:rPr>
              <w:t>Pētījumi</w:t>
            </w:r>
            <w:r w:rsidRPr="002D7733">
              <w:rPr>
                <w:rFonts w:ascii="Times New Roman" w:hAnsi="Times New Roman"/>
                <w:sz w:val="20"/>
                <w:szCs w:val="20"/>
              </w:rPr>
              <w:t xml:space="preserve"> par veselības traucējumiem un to sekām, kas radušies militāras darbības, civilo katastrofu un dabas stihiju rezultātā, kā arī par īpašām veselības problēmām militārdienesta populācijā.</w:t>
            </w:r>
          </w:p>
        </w:tc>
      </w:tr>
      <w:tr w:rsidR="00D970BB" w:rsidRPr="00D970BB" w14:paraId="541A17F5" w14:textId="77777777" w:rsidTr="00566937">
        <w:tc>
          <w:tcPr>
            <w:tcW w:w="1217" w:type="pct"/>
            <w:shd w:val="clear" w:color="auto" w:fill="auto"/>
          </w:tcPr>
          <w:p w14:paraId="10E2A47B"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Latviešu valodas, kultūrvēsturiskā mantojuma un radošo tehnoloģiju valsts nozīmes pētniecības centrs.</w:t>
            </w:r>
          </w:p>
          <w:p w14:paraId="61CCC31F" w14:textId="77777777" w:rsidR="00D970BB" w:rsidRPr="002D7733" w:rsidRDefault="00D970BB" w:rsidP="00E7642A">
            <w:pPr>
              <w:tabs>
                <w:tab w:val="left" w:pos="709"/>
                <w:tab w:val="left" w:pos="1701"/>
              </w:tabs>
              <w:ind w:left="0"/>
              <w:rPr>
                <w:rFonts w:ascii="Times New Roman" w:hAnsi="Times New Roman"/>
                <w:sz w:val="20"/>
                <w:szCs w:val="20"/>
              </w:rPr>
            </w:pPr>
          </w:p>
          <w:p w14:paraId="07665E32"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lastRenderedPageBreak/>
              <w:t xml:space="preserve">Plānotās attiecināmās izmaksas – 2 861 643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2 561 169 </w:t>
            </w:r>
            <w:r w:rsidRPr="002D7733">
              <w:rPr>
                <w:rFonts w:ascii="Times New Roman" w:hAnsi="Times New Roman"/>
                <w:i/>
                <w:sz w:val="20"/>
                <w:szCs w:val="20"/>
              </w:rPr>
              <w:t>euro</w:t>
            </w:r>
            <w:r w:rsidRPr="002D7733">
              <w:rPr>
                <w:rFonts w:ascii="Times New Roman" w:hAnsi="Times New Roman"/>
                <w:sz w:val="20"/>
                <w:szCs w:val="20"/>
              </w:rPr>
              <w:t>.</w:t>
            </w:r>
          </w:p>
          <w:p w14:paraId="7D386726"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2 861 643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2 561 170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77DA057A" w14:textId="77777777" w:rsidR="00D970BB" w:rsidRPr="00D970BB"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lastRenderedPageBreak/>
              <w:t>LU</w:t>
            </w:r>
          </w:p>
        </w:tc>
        <w:tc>
          <w:tcPr>
            <w:tcW w:w="895" w:type="pct"/>
            <w:shd w:val="clear" w:color="auto" w:fill="auto"/>
          </w:tcPr>
          <w:p w14:paraId="02111016"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LU FSI</w:t>
            </w:r>
          </w:p>
          <w:p w14:paraId="63A2CBB8"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 xml:space="preserve">LU </w:t>
            </w:r>
            <w:r w:rsidR="00A42043">
              <w:rPr>
                <w:rFonts w:ascii="Times New Roman" w:hAnsi="Times New Roman"/>
                <w:sz w:val="20"/>
                <w:szCs w:val="20"/>
              </w:rPr>
              <w:t>LFMI</w:t>
            </w:r>
          </w:p>
          <w:p w14:paraId="776E46BB" w14:textId="77777777" w:rsidR="00D970BB" w:rsidRPr="002D7733" w:rsidRDefault="00D970BB" w:rsidP="00E7642A">
            <w:pPr>
              <w:tabs>
                <w:tab w:val="left" w:pos="709"/>
                <w:tab w:val="left" w:pos="1701"/>
              </w:tabs>
              <w:ind w:left="0"/>
              <w:jc w:val="left"/>
              <w:rPr>
                <w:rFonts w:ascii="Times New Roman" w:hAnsi="Times New Roman"/>
                <w:sz w:val="20"/>
                <w:szCs w:val="20"/>
              </w:rPr>
            </w:pPr>
            <w:r w:rsidRPr="002D7733">
              <w:rPr>
                <w:rFonts w:ascii="Times New Roman" w:hAnsi="Times New Roman"/>
                <w:sz w:val="20"/>
                <w:szCs w:val="20"/>
              </w:rPr>
              <w:t xml:space="preserve">LU </w:t>
            </w:r>
            <w:r w:rsidR="00A42043">
              <w:rPr>
                <w:rFonts w:ascii="Times New Roman" w:hAnsi="Times New Roman"/>
                <w:sz w:val="20"/>
                <w:szCs w:val="20"/>
              </w:rPr>
              <w:t>LVI</w:t>
            </w:r>
          </w:p>
        </w:tc>
        <w:tc>
          <w:tcPr>
            <w:tcW w:w="2213" w:type="pct"/>
          </w:tcPr>
          <w:p w14:paraId="5C9C7290"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 Nacionālās identitātes pētījumi: vēsturiskais mantojums un mūsdienas;</w:t>
            </w:r>
          </w:p>
          <w:p w14:paraId="78E3D740"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2) Humanitāro zinātņu krātuvju uzturēšana un attīstība;</w:t>
            </w:r>
          </w:p>
          <w:p w14:paraId="57C5A36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3) Eiropas līmeņa pētījumi humanitārajās un sociālajās zinātnes</w:t>
            </w:r>
          </w:p>
        </w:tc>
      </w:tr>
      <w:tr w:rsidR="00D970BB" w:rsidRPr="00D970BB" w14:paraId="54AAB905" w14:textId="77777777" w:rsidTr="00566937">
        <w:tc>
          <w:tcPr>
            <w:tcW w:w="1217" w:type="pct"/>
            <w:shd w:val="clear" w:color="auto" w:fill="auto"/>
          </w:tcPr>
          <w:p w14:paraId="0815E9AC"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lastRenderedPageBreak/>
              <w:t>Valsts nozīmes pētniecības centrs sociālekonomikā un sabiedrības vadībā.</w:t>
            </w:r>
          </w:p>
          <w:p w14:paraId="4BB232E4" w14:textId="77777777" w:rsidR="00D970BB" w:rsidRPr="002D7733" w:rsidRDefault="00D970BB" w:rsidP="00E7642A">
            <w:pPr>
              <w:tabs>
                <w:tab w:val="left" w:pos="709"/>
                <w:tab w:val="left" w:pos="1701"/>
              </w:tabs>
              <w:ind w:left="0"/>
              <w:rPr>
                <w:rFonts w:ascii="Times New Roman" w:hAnsi="Times New Roman"/>
                <w:sz w:val="20"/>
                <w:szCs w:val="20"/>
              </w:rPr>
            </w:pPr>
          </w:p>
          <w:p w14:paraId="0E5732A4"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Plānotās attiecināmās izmaksas – 2 700 482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2 416 930 </w:t>
            </w:r>
            <w:r w:rsidRPr="002D7733">
              <w:rPr>
                <w:rFonts w:ascii="Times New Roman" w:hAnsi="Times New Roman"/>
                <w:i/>
                <w:sz w:val="20"/>
                <w:szCs w:val="20"/>
              </w:rPr>
              <w:t>euro</w:t>
            </w:r>
            <w:r w:rsidRPr="002D7733">
              <w:rPr>
                <w:rFonts w:ascii="Times New Roman" w:hAnsi="Times New Roman"/>
                <w:sz w:val="20"/>
                <w:szCs w:val="20"/>
              </w:rPr>
              <w:t>.</w:t>
            </w:r>
          </w:p>
          <w:p w14:paraId="423E80F0"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 xml:space="preserve">Faktiskās attiecināmās izmaksas uz 17.02.2016. – 2 700 477 </w:t>
            </w:r>
            <w:r w:rsidRPr="002D7733">
              <w:rPr>
                <w:rFonts w:ascii="Times New Roman" w:hAnsi="Times New Roman"/>
                <w:i/>
                <w:sz w:val="20"/>
                <w:szCs w:val="20"/>
              </w:rPr>
              <w:t>euro</w:t>
            </w:r>
            <w:r w:rsidRPr="002D7733">
              <w:rPr>
                <w:rFonts w:ascii="Times New Roman" w:hAnsi="Times New Roman"/>
                <w:sz w:val="20"/>
                <w:szCs w:val="20"/>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Pr="002D7733">
              <w:rPr>
                <w:rFonts w:ascii="Times New Roman" w:hAnsi="Times New Roman"/>
                <w:sz w:val="20"/>
                <w:szCs w:val="20"/>
              </w:rPr>
              <w:t xml:space="preserve">ERAF 2 416 930 </w:t>
            </w:r>
            <w:r w:rsidRPr="002D7733">
              <w:rPr>
                <w:rFonts w:ascii="Times New Roman" w:hAnsi="Times New Roman"/>
                <w:i/>
                <w:sz w:val="20"/>
                <w:szCs w:val="20"/>
              </w:rPr>
              <w:t>euro</w:t>
            </w:r>
            <w:r w:rsidRPr="002D7733">
              <w:rPr>
                <w:rFonts w:ascii="Times New Roman" w:hAnsi="Times New Roman"/>
                <w:sz w:val="20"/>
                <w:szCs w:val="20"/>
              </w:rPr>
              <w:t>.</w:t>
            </w:r>
          </w:p>
        </w:tc>
        <w:tc>
          <w:tcPr>
            <w:tcW w:w="675" w:type="pct"/>
          </w:tcPr>
          <w:p w14:paraId="72E55C57" w14:textId="77777777" w:rsidR="00D970BB" w:rsidRPr="00D970BB"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LU</w:t>
            </w:r>
          </w:p>
        </w:tc>
        <w:tc>
          <w:tcPr>
            <w:tcW w:w="895" w:type="pct"/>
            <w:shd w:val="clear" w:color="auto" w:fill="auto"/>
          </w:tcPr>
          <w:p w14:paraId="641457AF" w14:textId="77777777" w:rsidR="00D970BB" w:rsidRPr="002D7733" w:rsidRDefault="00A42043" w:rsidP="00E7642A">
            <w:pPr>
              <w:tabs>
                <w:tab w:val="left" w:pos="709"/>
                <w:tab w:val="left" w:pos="1701"/>
              </w:tabs>
              <w:ind w:left="0"/>
              <w:jc w:val="left"/>
              <w:rPr>
                <w:rFonts w:ascii="Times New Roman" w:hAnsi="Times New Roman"/>
                <w:sz w:val="20"/>
                <w:szCs w:val="20"/>
              </w:rPr>
            </w:pPr>
            <w:r>
              <w:rPr>
                <w:rFonts w:ascii="Times New Roman" w:hAnsi="Times New Roman"/>
                <w:sz w:val="20"/>
                <w:szCs w:val="20"/>
              </w:rPr>
              <w:t>LVAEI</w:t>
            </w:r>
          </w:p>
        </w:tc>
        <w:tc>
          <w:tcPr>
            <w:tcW w:w="2213" w:type="pct"/>
          </w:tcPr>
          <w:p w14:paraId="7B74CBEF"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1) Indivīdu un kopienu izziņas, sociālās un ekonomiskās uzvedības pētījumi (5 dimensijas);</w:t>
            </w:r>
          </w:p>
          <w:p w14:paraId="4AC0773A" w14:textId="77777777" w:rsidR="00D970BB" w:rsidRPr="002D7733" w:rsidRDefault="00D970BB" w:rsidP="00E7642A">
            <w:pPr>
              <w:tabs>
                <w:tab w:val="left" w:pos="709"/>
                <w:tab w:val="left" w:pos="1701"/>
              </w:tabs>
              <w:ind w:left="0"/>
              <w:rPr>
                <w:rFonts w:ascii="Times New Roman" w:hAnsi="Times New Roman"/>
                <w:sz w:val="20"/>
                <w:szCs w:val="20"/>
              </w:rPr>
            </w:pPr>
            <w:r w:rsidRPr="002D7733">
              <w:rPr>
                <w:rFonts w:ascii="Times New Roman" w:hAnsi="Times New Roman"/>
                <w:sz w:val="20"/>
                <w:szCs w:val="20"/>
              </w:rPr>
              <w:t>2) Sabiedrības ilgtspējīgas attīstības pētījumi mainīgās vides kontekstā (4 dimensijas)</w:t>
            </w:r>
          </w:p>
        </w:tc>
      </w:tr>
      <w:tr w:rsidR="00A42043" w:rsidRPr="00D970BB" w14:paraId="0AEFED76" w14:textId="77777777" w:rsidTr="00566937">
        <w:trPr>
          <w:trHeight w:val="492"/>
        </w:trPr>
        <w:tc>
          <w:tcPr>
            <w:tcW w:w="2787" w:type="pct"/>
            <w:gridSpan w:val="3"/>
            <w:shd w:val="clear" w:color="auto" w:fill="F2F2F2" w:themeFill="background1" w:themeFillShade="F2"/>
            <w:vAlign w:val="center"/>
          </w:tcPr>
          <w:p w14:paraId="3488E390" w14:textId="77777777" w:rsidR="00A42043" w:rsidRPr="00846439" w:rsidRDefault="00A42043" w:rsidP="00E7642A">
            <w:pPr>
              <w:tabs>
                <w:tab w:val="left" w:pos="709"/>
                <w:tab w:val="left" w:pos="1701"/>
              </w:tabs>
              <w:ind w:left="0"/>
              <w:jc w:val="right"/>
              <w:rPr>
                <w:rFonts w:ascii="Times New Roman" w:hAnsi="Times New Roman"/>
                <w:b/>
                <w:sz w:val="20"/>
                <w:szCs w:val="20"/>
              </w:rPr>
            </w:pPr>
            <w:r>
              <w:rPr>
                <w:rFonts w:ascii="Times New Roman" w:hAnsi="Times New Roman"/>
                <w:b/>
                <w:sz w:val="20"/>
                <w:szCs w:val="20"/>
              </w:rPr>
              <w:t xml:space="preserve">VNPC FINANSĒJUMS </w:t>
            </w:r>
            <w:r w:rsidRPr="00846439">
              <w:rPr>
                <w:rFonts w:ascii="Times New Roman" w:hAnsi="Times New Roman"/>
                <w:b/>
                <w:sz w:val="20"/>
                <w:szCs w:val="20"/>
              </w:rPr>
              <w:t>KOPĀ:</w:t>
            </w:r>
          </w:p>
        </w:tc>
        <w:tc>
          <w:tcPr>
            <w:tcW w:w="2213" w:type="pct"/>
            <w:shd w:val="clear" w:color="auto" w:fill="F2F2F2" w:themeFill="background1" w:themeFillShade="F2"/>
          </w:tcPr>
          <w:p w14:paraId="028ED0A0" w14:textId="77777777" w:rsidR="00A42043" w:rsidRPr="00846439" w:rsidRDefault="00A42043" w:rsidP="00E7642A">
            <w:pPr>
              <w:tabs>
                <w:tab w:val="left" w:pos="709"/>
                <w:tab w:val="left" w:pos="1701"/>
              </w:tabs>
              <w:ind w:left="0"/>
              <w:jc w:val="center"/>
              <w:rPr>
                <w:rFonts w:ascii="Times New Roman" w:hAnsi="Times New Roman"/>
                <w:b/>
                <w:sz w:val="20"/>
                <w:szCs w:val="20"/>
              </w:rPr>
            </w:pPr>
            <w:r w:rsidRPr="00846439">
              <w:rPr>
                <w:rFonts w:ascii="Times New Roman" w:hAnsi="Times New Roman"/>
                <w:b/>
                <w:sz w:val="20"/>
                <w:szCs w:val="20"/>
              </w:rPr>
              <w:t>91 359</w:t>
            </w:r>
            <w:r>
              <w:rPr>
                <w:rFonts w:ascii="Times New Roman" w:hAnsi="Times New Roman"/>
                <w:b/>
                <w:sz w:val="20"/>
                <w:szCs w:val="20"/>
              </w:rPr>
              <w:t> </w:t>
            </w:r>
            <w:r w:rsidRPr="00846439">
              <w:rPr>
                <w:rFonts w:ascii="Times New Roman" w:hAnsi="Times New Roman"/>
                <w:b/>
                <w:sz w:val="20"/>
                <w:szCs w:val="20"/>
              </w:rPr>
              <w:t>001</w:t>
            </w:r>
            <w:r>
              <w:rPr>
                <w:rFonts w:ascii="Times New Roman" w:hAnsi="Times New Roman"/>
                <w:b/>
                <w:sz w:val="20"/>
                <w:szCs w:val="20"/>
              </w:rPr>
              <w:t xml:space="preserve"> </w:t>
            </w:r>
            <w:r w:rsidRPr="00A42043">
              <w:rPr>
                <w:rFonts w:ascii="Times New Roman" w:hAnsi="Times New Roman"/>
                <w:b/>
                <w:i/>
                <w:sz w:val="20"/>
                <w:szCs w:val="20"/>
              </w:rPr>
              <w:t>euro</w:t>
            </w:r>
            <w:r>
              <w:rPr>
                <w:rFonts w:ascii="Times New Roman" w:hAnsi="Times New Roman"/>
                <w:b/>
                <w:sz w:val="20"/>
                <w:szCs w:val="20"/>
              </w:rPr>
              <w:t>,</w:t>
            </w:r>
          </w:p>
          <w:p w14:paraId="3BE63E47" w14:textId="77777777" w:rsidR="00A42043" w:rsidRPr="00846439" w:rsidRDefault="00516D0A" w:rsidP="00E7642A">
            <w:pPr>
              <w:tabs>
                <w:tab w:val="left" w:pos="709"/>
                <w:tab w:val="left" w:pos="1701"/>
              </w:tabs>
              <w:ind w:left="0"/>
              <w:jc w:val="center"/>
              <w:rPr>
                <w:rFonts w:ascii="Times New Roman" w:hAnsi="Times New Roman"/>
                <w:b/>
                <w:sz w:val="20"/>
                <w:szCs w:val="20"/>
              </w:rPr>
            </w:pPr>
            <w:r w:rsidRPr="00516D0A">
              <w:rPr>
                <w:rFonts w:ascii="Times New Roman" w:hAnsi="Times New Roman"/>
                <w:b/>
                <w:sz w:val="20"/>
                <w:szCs w:val="20"/>
              </w:rPr>
              <w:t>tai skaitā</w:t>
            </w:r>
            <w:r w:rsidRPr="002D7733">
              <w:rPr>
                <w:rFonts w:ascii="Times New Roman" w:hAnsi="Times New Roman"/>
                <w:sz w:val="20"/>
                <w:szCs w:val="20"/>
              </w:rPr>
              <w:t xml:space="preserve"> </w:t>
            </w:r>
            <w:r w:rsidR="00A42043" w:rsidRPr="00846439">
              <w:rPr>
                <w:rFonts w:ascii="Times New Roman" w:hAnsi="Times New Roman"/>
                <w:b/>
                <w:sz w:val="20"/>
                <w:szCs w:val="20"/>
              </w:rPr>
              <w:t>ERAF 79 928</w:t>
            </w:r>
            <w:r w:rsidR="00A42043">
              <w:rPr>
                <w:rFonts w:ascii="Times New Roman" w:hAnsi="Times New Roman"/>
                <w:b/>
                <w:sz w:val="20"/>
                <w:szCs w:val="20"/>
              </w:rPr>
              <w:t> </w:t>
            </w:r>
            <w:r w:rsidR="00A42043" w:rsidRPr="00846439">
              <w:rPr>
                <w:rFonts w:ascii="Times New Roman" w:hAnsi="Times New Roman"/>
                <w:b/>
                <w:sz w:val="20"/>
                <w:szCs w:val="20"/>
              </w:rPr>
              <w:t>871</w:t>
            </w:r>
            <w:r w:rsidR="00A42043">
              <w:rPr>
                <w:rFonts w:ascii="Times New Roman" w:hAnsi="Times New Roman"/>
                <w:b/>
                <w:sz w:val="20"/>
                <w:szCs w:val="20"/>
              </w:rPr>
              <w:t xml:space="preserve"> </w:t>
            </w:r>
            <w:r w:rsidR="00A42043" w:rsidRPr="00A42043">
              <w:rPr>
                <w:rFonts w:ascii="Times New Roman" w:hAnsi="Times New Roman"/>
                <w:b/>
                <w:i/>
                <w:sz w:val="20"/>
                <w:szCs w:val="20"/>
              </w:rPr>
              <w:t>euro</w:t>
            </w:r>
          </w:p>
        </w:tc>
      </w:tr>
    </w:tbl>
    <w:p w14:paraId="31756CCF" w14:textId="77777777" w:rsidR="003523F8" w:rsidRPr="00D82898" w:rsidRDefault="003523F8" w:rsidP="00E7642A">
      <w:pPr>
        <w:tabs>
          <w:tab w:val="left" w:pos="709"/>
          <w:tab w:val="left" w:pos="1701"/>
        </w:tabs>
        <w:ind w:left="0"/>
        <w:jc w:val="left"/>
        <w:rPr>
          <w:rFonts w:ascii="Times New Roman" w:hAnsi="Times New Roman"/>
          <w:i/>
          <w:sz w:val="24"/>
          <w:szCs w:val="24"/>
        </w:rPr>
      </w:pPr>
      <w:r w:rsidRPr="00D82898">
        <w:rPr>
          <w:rFonts w:ascii="Times New Roman" w:hAnsi="Times New Roman"/>
          <w:i/>
          <w:sz w:val="24"/>
          <w:szCs w:val="24"/>
        </w:rPr>
        <w:t>Datu avots: IZM</w:t>
      </w:r>
    </w:p>
    <w:p w14:paraId="00DC09BC" w14:textId="77777777" w:rsidR="00D60767" w:rsidRPr="006D4D3A" w:rsidRDefault="00D60767" w:rsidP="00E7642A">
      <w:pPr>
        <w:tabs>
          <w:tab w:val="left" w:pos="0"/>
        </w:tabs>
        <w:ind w:left="0" w:firstLine="567"/>
        <w:rPr>
          <w:rFonts w:ascii="Times New Roman" w:hAnsi="Times New Roman"/>
          <w:sz w:val="12"/>
          <w:szCs w:val="12"/>
        </w:rPr>
      </w:pPr>
    </w:p>
    <w:p w14:paraId="146E1E2F" w14:textId="77777777" w:rsidR="004F7E8B" w:rsidRPr="006D4D3A" w:rsidRDefault="0086022C" w:rsidP="00E7642A">
      <w:pPr>
        <w:tabs>
          <w:tab w:val="left" w:pos="0"/>
        </w:tabs>
        <w:ind w:left="0" w:firstLine="567"/>
        <w:rPr>
          <w:rFonts w:ascii="Times New Roman" w:hAnsi="Times New Roman"/>
          <w:sz w:val="24"/>
          <w:szCs w:val="24"/>
        </w:rPr>
      </w:pPr>
      <w:r w:rsidRPr="006D4D3A">
        <w:rPr>
          <w:rFonts w:ascii="Times New Roman" w:hAnsi="Times New Roman"/>
          <w:sz w:val="24"/>
          <w:szCs w:val="24"/>
        </w:rPr>
        <w:t>VNPC projektu ietvaros z</w:t>
      </w:r>
      <w:r w:rsidR="003523F8" w:rsidRPr="006D4D3A">
        <w:rPr>
          <w:rFonts w:ascii="Times New Roman" w:hAnsi="Times New Roman"/>
          <w:sz w:val="24"/>
          <w:szCs w:val="24"/>
        </w:rPr>
        <w:t>inātnisk</w:t>
      </w:r>
      <w:r w:rsidR="00ED093E" w:rsidRPr="006D4D3A">
        <w:rPr>
          <w:rFonts w:ascii="Times New Roman" w:hAnsi="Times New Roman"/>
          <w:sz w:val="24"/>
          <w:szCs w:val="24"/>
        </w:rPr>
        <w:t>ajā</w:t>
      </w:r>
      <w:r w:rsidR="003523F8" w:rsidRPr="006D4D3A">
        <w:rPr>
          <w:rFonts w:ascii="Times New Roman" w:hAnsi="Times New Roman"/>
          <w:sz w:val="24"/>
          <w:szCs w:val="24"/>
        </w:rPr>
        <w:t xml:space="preserve"> aparatūr</w:t>
      </w:r>
      <w:r w:rsidR="00ED093E" w:rsidRPr="006D4D3A">
        <w:rPr>
          <w:rFonts w:ascii="Times New Roman" w:hAnsi="Times New Roman"/>
          <w:sz w:val="24"/>
          <w:szCs w:val="24"/>
        </w:rPr>
        <w:t xml:space="preserve">ā </w:t>
      </w:r>
      <w:r w:rsidR="003523F8" w:rsidRPr="006D4D3A">
        <w:rPr>
          <w:rFonts w:ascii="Times New Roman" w:hAnsi="Times New Roman"/>
          <w:sz w:val="24"/>
          <w:szCs w:val="24"/>
        </w:rPr>
        <w:t>un aprīkojum</w:t>
      </w:r>
      <w:r w:rsidR="00ED093E" w:rsidRPr="006D4D3A">
        <w:rPr>
          <w:rFonts w:ascii="Times New Roman" w:hAnsi="Times New Roman"/>
          <w:sz w:val="24"/>
          <w:szCs w:val="24"/>
        </w:rPr>
        <w:t>ā</w:t>
      </w:r>
      <w:r w:rsidR="003523F8" w:rsidRPr="006D4D3A">
        <w:rPr>
          <w:rFonts w:ascii="Times New Roman" w:hAnsi="Times New Roman"/>
          <w:sz w:val="24"/>
          <w:szCs w:val="24"/>
        </w:rPr>
        <w:t xml:space="preserve"> </w:t>
      </w:r>
      <w:r w:rsidR="00ED093E" w:rsidRPr="006D4D3A">
        <w:rPr>
          <w:rFonts w:ascii="Times New Roman" w:hAnsi="Times New Roman"/>
          <w:sz w:val="24"/>
          <w:szCs w:val="24"/>
        </w:rPr>
        <w:t>tika ieguldīt</w:t>
      </w:r>
      <w:r w:rsidR="0085518A">
        <w:rPr>
          <w:rFonts w:ascii="Times New Roman" w:hAnsi="Times New Roman"/>
          <w:sz w:val="24"/>
          <w:szCs w:val="24"/>
        </w:rPr>
        <w:t>i</w:t>
      </w:r>
      <w:r w:rsidR="003523F8" w:rsidRPr="006D4D3A">
        <w:rPr>
          <w:rFonts w:ascii="Times New Roman" w:hAnsi="Times New Roman"/>
          <w:sz w:val="24"/>
          <w:szCs w:val="24"/>
        </w:rPr>
        <w:t xml:space="preserve"> </w:t>
      </w:r>
      <w:r w:rsidR="004057D8">
        <w:rPr>
          <w:rFonts w:ascii="Times New Roman" w:hAnsi="Times New Roman"/>
          <w:sz w:val="24"/>
          <w:szCs w:val="24"/>
        </w:rPr>
        <w:t xml:space="preserve">aptuveni 66 procenti jeb </w:t>
      </w:r>
      <w:r w:rsidR="003523F8" w:rsidRPr="002D7733">
        <w:rPr>
          <w:rFonts w:ascii="Times New Roman" w:hAnsi="Times New Roman"/>
          <w:sz w:val="24"/>
          <w:szCs w:val="24"/>
        </w:rPr>
        <w:t>57,</w:t>
      </w:r>
      <w:r w:rsidR="006F5A66" w:rsidRPr="002D7733">
        <w:rPr>
          <w:rFonts w:ascii="Times New Roman" w:hAnsi="Times New Roman"/>
          <w:sz w:val="24"/>
          <w:szCs w:val="24"/>
        </w:rPr>
        <w:t>2</w:t>
      </w:r>
      <w:r w:rsidR="003523F8" w:rsidRPr="006D4D3A">
        <w:rPr>
          <w:rFonts w:ascii="Times New Roman" w:hAnsi="Times New Roman"/>
          <w:sz w:val="24"/>
          <w:szCs w:val="24"/>
        </w:rPr>
        <w:t xml:space="preserve"> milj. </w:t>
      </w:r>
      <w:r w:rsidR="003523F8" w:rsidRPr="006D4D3A">
        <w:rPr>
          <w:rFonts w:ascii="Times New Roman" w:hAnsi="Times New Roman"/>
          <w:i/>
          <w:sz w:val="24"/>
          <w:szCs w:val="24"/>
        </w:rPr>
        <w:t>euro</w:t>
      </w:r>
      <w:r w:rsidR="00A520C8">
        <w:rPr>
          <w:rFonts w:ascii="Times New Roman" w:hAnsi="Times New Roman"/>
          <w:i/>
          <w:sz w:val="24"/>
          <w:szCs w:val="24"/>
        </w:rPr>
        <w:t xml:space="preserve"> </w:t>
      </w:r>
      <w:r w:rsidR="00A520C8">
        <w:rPr>
          <w:rFonts w:ascii="Times New Roman" w:hAnsi="Times New Roman"/>
          <w:sz w:val="24"/>
          <w:szCs w:val="24"/>
        </w:rPr>
        <w:t xml:space="preserve">no </w:t>
      </w:r>
      <w:r w:rsidR="0085518A">
        <w:rPr>
          <w:rFonts w:ascii="Times New Roman" w:hAnsi="Times New Roman"/>
          <w:sz w:val="24"/>
          <w:szCs w:val="24"/>
        </w:rPr>
        <w:t>2.1.1.3.1.</w:t>
      </w:r>
      <w:r w:rsidR="002E0E23">
        <w:rPr>
          <w:rFonts w:ascii="Times New Roman" w:hAnsi="Times New Roman"/>
          <w:sz w:val="24"/>
          <w:szCs w:val="24"/>
        </w:rPr>
        <w:t> </w:t>
      </w:r>
      <w:r w:rsidR="0085518A">
        <w:rPr>
          <w:rFonts w:ascii="Times New Roman" w:hAnsi="Times New Roman"/>
          <w:sz w:val="24"/>
          <w:szCs w:val="24"/>
        </w:rPr>
        <w:t xml:space="preserve">apakšaktivitātes pirmās atlases kārtas </w:t>
      </w:r>
      <w:r w:rsidR="00A520C8">
        <w:rPr>
          <w:rFonts w:ascii="Times New Roman" w:hAnsi="Times New Roman"/>
          <w:sz w:val="24"/>
          <w:szCs w:val="24"/>
        </w:rPr>
        <w:t xml:space="preserve">ietvaros pieejamā finansējuma, savukārt </w:t>
      </w:r>
      <w:r w:rsidR="003523F8" w:rsidRPr="006D4D3A">
        <w:rPr>
          <w:rFonts w:ascii="Times New Roman" w:hAnsi="Times New Roman"/>
          <w:sz w:val="24"/>
          <w:szCs w:val="24"/>
        </w:rPr>
        <w:t>esošo ēku un telpu renovācij</w:t>
      </w:r>
      <w:r w:rsidR="00C21ED7" w:rsidRPr="006D4D3A">
        <w:rPr>
          <w:rFonts w:ascii="Times New Roman" w:hAnsi="Times New Roman"/>
          <w:sz w:val="24"/>
          <w:szCs w:val="24"/>
        </w:rPr>
        <w:t>ā</w:t>
      </w:r>
      <w:r w:rsidR="003523F8" w:rsidRPr="006D4D3A">
        <w:rPr>
          <w:rFonts w:ascii="Times New Roman" w:hAnsi="Times New Roman"/>
          <w:sz w:val="24"/>
          <w:szCs w:val="24"/>
        </w:rPr>
        <w:t xml:space="preserve"> vai rekonstrukcij</w:t>
      </w:r>
      <w:r w:rsidR="00C21ED7" w:rsidRPr="006D4D3A">
        <w:rPr>
          <w:rFonts w:ascii="Times New Roman" w:hAnsi="Times New Roman"/>
          <w:sz w:val="24"/>
          <w:szCs w:val="24"/>
        </w:rPr>
        <w:t>ā</w:t>
      </w:r>
      <w:r w:rsidR="003523F8" w:rsidRPr="006D4D3A">
        <w:rPr>
          <w:rFonts w:ascii="Times New Roman" w:hAnsi="Times New Roman"/>
          <w:sz w:val="24"/>
          <w:szCs w:val="24"/>
        </w:rPr>
        <w:t xml:space="preserve"> un jaunu zinātniskajai darbībai pielāgotu ēku būvniecīb</w:t>
      </w:r>
      <w:r w:rsidR="00C21ED7" w:rsidRPr="006D4D3A">
        <w:rPr>
          <w:rFonts w:ascii="Times New Roman" w:hAnsi="Times New Roman"/>
          <w:sz w:val="24"/>
          <w:szCs w:val="24"/>
        </w:rPr>
        <w:t>ā</w:t>
      </w:r>
      <w:r w:rsidR="003523F8" w:rsidRPr="006D4D3A">
        <w:rPr>
          <w:rFonts w:ascii="Times New Roman" w:hAnsi="Times New Roman"/>
          <w:sz w:val="24"/>
          <w:szCs w:val="24"/>
        </w:rPr>
        <w:t xml:space="preserve"> </w:t>
      </w:r>
      <w:r w:rsidRPr="006D4D3A">
        <w:rPr>
          <w:rFonts w:ascii="Times New Roman" w:hAnsi="Times New Roman"/>
          <w:sz w:val="24"/>
          <w:szCs w:val="24"/>
        </w:rPr>
        <w:t xml:space="preserve">tika </w:t>
      </w:r>
      <w:r w:rsidR="0085518A" w:rsidRPr="006D4D3A">
        <w:rPr>
          <w:rFonts w:ascii="Times New Roman" w:hAnsi="Times New Roman"/>
          <w:sz w:val="24"/>
          <w:szCs w:val="24"/>
        </w:rPr>
        <w:t>ieguldīt</w:t>
      </w:r>
      <w:r w:rsidR="0085518A">
        <w:rPr>
          <w:rFonts w:ascii="Times New Roman" w:hAnsi="Times New Roman"/>
          <w:sz w:val="24"/>
          <w:szCs w:val="24"/>
        </w:rPr>
        <w:t>i</w:t>
      </w:r>
      <w:r w:rsidR="0085518A" w:rsidRPr="006D4D3A">
        <w:rPr>
          <w:rFonts w:ascii="Times New Roman" w:hAnsi="Times New Roman"/>
          <w:sz w:val="24"/>
          <w:szCs w:val="24"/>
        </w:rPr>
        <w:t xml:space="preserve"> </w:t>
      </w:r>
      <w:r w:rsidR="004057D8">
        <w:rPr>
          <w:rFonts w:ascii="Times New Roman" w:hAnsi="Times New Roman"/>
          <w:sz w:val="24"/>
          <w:szCs w:val="24"/>
        </w:rPr>
        <w:t xml:space="preserve">aptuveni </w:t>
      </w:r>
      <w:r w:rsidR="00A520C8">
        <w:rPr>
          <w:rFonts w:ascii="Times New Roman" w:hAnsi="Times New Roman"/>
          <w:sz w:val="24"/>
          <w:szCs w:val="24"/>
        </w:rPr>
        <w:t xml:space="preserve">34 procenti jeb </w:t>
      </w:r>
      <w:r w:rsidR="006F5A66" w:rsidRPr="002D7733">
        <w:rPr>
          <w:rFonts w:ascii="Times New Roman" w:hAnsi="Times New Roman"/>
          <w:sz w:val="24"/>
          <w:szCs w:val="24"/>
        </w:rPr>
        <w:t>28,7</w:t>
      </w:r>
      <w:r w:rsidR="003523F8" w:rsidRPr="006D4D3A">
        <w:rPr>
          <w:rFonts w:ascii="Times New Roman" w:hAnsi="Times New Roman"/>
          <w:sz w:val="24"/>
          <w:szCs w:val="24"/>
        </w:rPr>
        <w:t xml:space="preserve"> milj. </w:t>
      </w:r>
      <w:r w:rsidR="003523F8" w:rsidRPr="006D4D3A">
        <w:rPr>
          <w:rFonts w:ascii="Times New Roman" w:hAnsi="Times New Roman"/>
          <w:i/>
          <w:sz w:val="24"/>
          <w:szCs w:val="24"/>
        </w:rPr>
        <w:t>euro</w:t>
      </w:r>
      <w:r w:rsidR="00961F66" w:rsidRPr="006D4D3A">
        <w:rPr>
          <w:rFonts w:ascii="Times New Roman" w:hAnsi="Times New Roman"/>
          <w:sz w:val="24"/>
          <w:szCs w:val="24"/>
        </w:rPr>
        <w:t xml:space="preserve">. </w:t>
      </w:r>
      <w:r w:rsidR="00013C68" w:rsidRPr="006D4D3A">
        <w:rPr>
          <w:rFonts w:ascii="Times New Roman" w:hAnsi="Times New Roman"/>
          <w:sz w:val="24"/>
          <w:szCs w:val="24"/>
        </w:rPr>
        <w:t xml:space="preserve">Tai skaitā, </w:t>
      </w:r>
      <w:r w:rsidR="003523F8" w:rsidRPr="006D4D3A">
        <w:rPr>
          <w:rFonts w:ascii="Times New Roman" w:hAnsi="Times New Roman"/>
          <w:sz w:val="24"/>
          <w:szCs w:val="24"/>
        </w:rPr>
        <w:t>RTU teritoriālā kompleksa Ķīpsalā izveid</w:t>
      </w:r>
      <w:r w:rsidRPr="006D4D3A">
        <w:rPr>
          <w:rFonts w:ascii="Times New Roman" w:hAnsi="Times New Roman"/>
          <w:sz w:val="24"/>
          <w:szCs w:val="24"/>
        </w:rPr>
        <w:t>ē</w:t>
      </w:r>
      <w:r w:rsidR="003523F8" w:rsidRPr="006D4D3A">
        <w:rPr>
          <w:rFonts w:ascii="Times New Roman" w:hAnsi="Times New Roman"/>
          <w:sz w:val="24"/>
          <w:szCs w:val="24"/>
        </w:rPr>
        <w:t xml:space="preserve">, VNPC projektu ietvaros zinātniskās darbības nodrošināšanai nepieciešamo telpu pielāgošanai un jaunu ēku būvniecībai </w:t>
      </w:r>
      <w:r w:rsidRPr="006D4D3A">
        <w:rPr>
          <w:rFonts w:ascii="Times New Roman" w:hAnsi="Times New Roman"/>
          <w:sz w:val="24"/>
          <w:szCs w:val="24"/>
        </w:rPr>
        <w:t>ieguldīts</w:t>
      </w:r>
      <w:r w:rsidR="003523F8" w:rsidRPr="006D4D3A">
        <w:rPr>
          <w:rFonts w:ascii="Times New Roman" w:hAnsi="Times New Roman"/>
          <w:sz w:val="24"/>
          <w:szCs w:val="24"/>
        </w:rPr>
        <w:t xml:space="preserve"> </w:t>
      </w:r>
      <w:r w:rsidR="00644320" w:rsidRPr="002D7733">
        <w:rPr>
          <w:rFonts w:ascii="Times New Roman" w:hAnsi="Times New Roman"/>
          <w:sz w:val="24"/>
          <w:szCs w:val="24"/>
        </w:rPr>
        <w:t>7,87 milj.</w:t>
      </w:r>
      <w:r w:rsidR="003523F8" w:rsidRPr="006D4D3A">
        <w:rPr>
          <w:rFonts w:ascii="Times New Roman" w:hAnsi="Times New Roman"/>
          <w:sz w:val="24"/>
          <w:szCs w:val="24"/>
        </w:rPr>
        <w:t xml:space="preserve"> </w:t>
      </w:r>
      <w:r w:rsidR="003523F8" w:rsidRPr="006D4D3A">
        <w:rPr>
          <w:rFonts w:ascii="Times New Roman" w:hAnsi="Times New Roman"/>
          <w:i/>
          <w:sz w:val="24"/>
          <w:szCs w:val="24"/>
        </w:rPr>
        <w:t>euro</w:t>
      </w:r>
      <w:r w:rsidR="0085518A">
        <w:rPr>
          <w:rFonts w:ascii="Times New Roman" w:hAnsi="Times New Roman"/>
          <w:sz w:val="24"/>
          <w:szCs w:val="24"/>
        </w:rPr>
        <w:t xml:space="preserve">, savukārt </w:t>
      </w:r>
      <w:r w:rsidR="003523F8" w:rsidRPr="006D4D3A">
        <w:rPr>
          <w:rFonts w:ascii="Times New Roman" w:hAnsi="Times New Roman"/>
          <w:sz w:val="24"/>
          <w:szCs w:val="24"/>
        </w:rPr>
        <w:t>LU Dabaszinātņu akadēmiskajām centr</w:t>
      </w:r>
      <w:r w:rsidRPr="006D4D3A">
        <w:rPr>
          <w:rFonts w:ascii="Times New Roman" w:hAnsi="Times New Roman"/>
          <w:sz w:val="24"/>
          <w:szCs w:val="24"/>
        </w:rPr>
        <w:t xml:space="preserve">a izveidē </w:t>
      </w:r>
      <w:r w:rsidR="003523F8" w:rsidRPr="006D4D3A">
        <w:rPr>
          <w:rFonts w:ascii="Times New Roman" w:hAnsi="Times New Roman"/>
          <w:sz w:val="24"/>
          <w:szCs w:val="24"/>
        </w:rPr>
        <w:t xml:space="preserve"> </w:t>
      </w:r>
      <w:r w:rsidR="0085518A" w:rsidRPr="006D4D3A">
        <w:rPr>
          <w:rFonts w:ascii="Times New Roman" w:hAnsi="Times New Roman"/>
          <w:sz w:val="24"/>
          <w:szCs w:val="24"/>
        </w:rPr>
        <w:t>ieguldīt</w:t>
      </w:r>
      <w:r w:rsidR="0085518A">
        <w:rPr>
          <w:rFonts w:ascii="Times New Roman" w:hAnsi="Times New Roman"/>
          <w:sz w:val="24"/>
          <w:szCs w:val="24"/>
        </w:rPr>
        <w:t>i</w:t>
      </w:r>
      <w:r w:rsidR="0085518A" w:rsidRPr="006D4D3A">
        <w:rPr>
          <w:rFonts w:ascii="Times New Roman" w:hAnsi="Times New Roman"/>
          <w:sz w:val="24"/>
          <w:szCs w:val="24"/>
        </w:rPr>
        <w:t xml:space="preserve"> </w:t>
      </w:r>
      <w:r w:rsidR="003523F8" w:rsidRPr="002D7733">
        <w:rPr>
          <w:rFonts w:ascii="Times New Roman" w:hAnsi="Times New Roman"/>
          <w:sz w:val="24"/>
          <w:szCs w:val="24"/>
        </w:rPr>
        <w:t>1</w:t>
      </w:r>
      <w:r w:rsidR="00644320" w:rsidRPr="002D7733">
        <w:rPr>
          <w:rFonts w:ascii="Times New Roman" w:hAnsi="Times New Roman"/>
          <w:sz w:val="24"/>
          <w:szCs w:val="24"/>
        </w:rPr>
        <w:t>,</w:t>
      </w:r>
      <w:r w:rsidR="003523F8" w:rsidRPr="002D7733">
        <w:rPr>
          <w:rFonts w:ascii="Times New Roman" w:hAnsi="Times New Roman"/>
          <w:sz w:val="24"/>
          <w:szCs w:val="24"/>
        </w:rPr>
        <w:t>6</w:t>
      </w:r>
      <w:r w:rsidR="00644320" w:rsidRPr="002D7733">
        <w:rPr>
          <w:rFonts w:ascii="Times New Roman" w:hAnsi="Times New Roman"/>
          <w:sz w:val="24"/>
          <w:szCs w:val="24"/>
        </w:rPr>
        <w:t>2 milj.</w:t>
      </w:r>
      <w:r w:rsidR="00644320" w:rsidRPr="006D4D3A">
        <w:rPr>
          <w:rFonts w:ascii="Times New Roman" w:hAnsi="Times New Roman"/>
          <w:sz w:val="24"/>
          <w:szCs w:val="24"/>
        </w:rPr>
        <w:t xml:space="preserve"> </w:t>
      </w:r>
      <w:r w:rsidR="003523F8" w:rsidRPr="006D4D3A">
        <w:rPr>
          <w:rFonts w:ascii="Times New Roman" w:hAnsi="Times New Roman"/>
          <w:i/>
          <w:sz w:val="24"/>
          <w:szCs w:val="24"/>
        </w:rPr>
        <w:t>euro</w:t>
      </w:r>
      <w:r w:rsidR="00013C68" w:rsidRPr="006D4D3A">
        <w:rPr>
          <w:rFonts w:ascii="Times New Roman" w:hAnsi="Times New Roman"/>
          <w:sz w:val="24"/>
          <w:szCs w:val="24"/>
        </w:rPr>
        <w:t>. Šie ieguldījumi papildināja ieguldījumus augstskolu infrastr</w:t>
      </w:r>
      <w:r w:rsidR="00A42043">
        <w:rPr>
          <w:rFonts w:ascii="Times New Roman" w:hAnsi="Times New Roman"/>
          <w:sz w:val="24"/>
          <w:szCs w:val="24"/>
        </w:rPr>
        <w:t>u</w:t>
      </w:r>
      <w:r w:rsidR="00013C68" w:rsidRPr="006D4D3A">
        <w:rPr>
          <w:rFonts w:ascii="Times New Roman" w:hAnsi="Times New Roman"/>
          <w:sz w:val="24"/>
          <w:szCs w:val="24"/>
        </w:rPr>
        <w:t>ktūrā</w:t>
      </w:r>
      <w:r w:rsidR="00F60AA1" w:rsidRPr="006D4D3A">
        <w:rPr>
          <w:rFonts w:ascii="Times New Roman" w:hAnsi="Times New Roman"/>
          <w:sz w:val="24"/>
          <w:szCs w:val="24"/>
        </w:rPr>
        <w:t xml:space="preserve"> </w:t>
      </w:r>
      <w:r w:rsidR="004953C4" w:rsidRPr="006D4D3A">
        <w:rPr>
          <w:rFonts w:ascii="Times New Roman" w:hAnsi="Times New Roman"/>
          <w:sz w:val="24"/>
          <w:szCs w:val="24"/>
        </w:rPr>
        <w:t xml:space="preserve">ES fondu </w:t>
      </w:r>
      <w:r w:rsidR="00F60AA1" w:rsidRPr="006D4D3A">
        <w:rPr>
          <w:rFonts w:ascii="Times New Roman" w:hAnsi="Times New Roman"/>
          <w:sz w:val="24"/>
          <w:szCs w:val="24"/>
        </w:rPr>
        <w:t>3.1.2.1.1.</w:t>
      </w:r>
      <w:r w:rsidR="0085518A">
        <w:rPr>
          <w:rFonts w:ascii="Times New Roman" w:hAnsi="Times New Roman"/>
          <w:sz w:val="24"/>
          <w:szCs w:val="24"/>
        </w:rPr>
        <w:t> </w:t>
      </w:r>
      <w:r w:rsidR="00F60AA1" w:rsidRPr="006D4D3A">
        <w:rPr>
          <w:rFonts w:ascii="Times New Roman" w:hAnsi="Times New Roman"/>
          <w:sz w:val="24"/>
          <w:szCs w:val="24"/>
        </w:rPr>
        <w:t>apakšaktivitātes “</w:t>
      </w:r>
      <w:r w:rsidR="00E24CAF" w:rsidRPr="002D7733">
        <w:rPr>
          <w:rFonts w:ascii="Times New Roman" w:hAnsi="Times New Roman"/>
          <w:i/>
          <w:sz w:val="24"/>
          <w:szCs w:val="24"/>
        </w:rPr>
        <w:t>Augstākās izglītības iestāžu telpu un iekārtu modernizēšana studiju programmu kvalitātes uzlabošanai, tajā skaitā nodrošinot izglītības programmu apgūšanas iespējas arī personām ar funkcionāliem traucējumiem</w:t>
      </w:r>
      <w:r w:rsidR="00F60AA1" w:rsidRPr="006D4D3A">
        <w:rPr>
          <w:rFonts w:ascii="Times New Roman" w:hAnsi="Times New Roman"/>
          <w:sz w:val="24"/>
          <w:szCs w:val="24"/>
        </w:rPr>
        <w:t xml:space="preserve">” </w:t>
      </w:r>
      <w:r w:rsidR="00013C68" w:rsidRPr="006D4D3A">
        <w:rPr>
          <w:rFonts w:ascii="Times New Roman" w:hAnsi="Times New Roman"/>
          <w:sz w:val="24"/>
          <w:szCs w:val="24"/>
        </w:rPr>
        <w:t xml:space="preserve">ietvaros </w:t>
      </w:r>
      <w:r w:rsidR="004F7E8B" w:rsidRPr="006D4D3A">
        <w:rPr>
          <w:rFonts w:ascii="Times New Roman" w:hAnsi="Times New Roman"/>
          <w:sz w:val="24"/>
          <w:szCs w:val="24"/>
        </w:rPr>
        <w:t>Ķīpsalas</w:t>
      </w:r>
      <w:r w:rsidR="00013C68" w:rsidRPr="006D4D3A">
        <w:rPr>
          <w:rFonts w:ascii="Times New Roman" w:hAnsi="Times New Roman"/>
          <w:sz w:val="24"/>
          <w:szCs w:val="24"/>
        </w:rPr>
        <w:t xml:space="preserve"> </w:t>
      </w:r>
      <w:r w:rsidR="004F7E8B" w:rsidRPr="006D4D3A">
        <w:rPr>
          <w:rFonts w:ascii="Times New Roman" w:hAnsi="Times New Roman"/>
          <w:sz w:val="24"/>
          <w:szCs w:val="24"/>
        </w:rPr>
        <w:t xml:space="preserve">un Torņkalna kompleksā (kopējais attiecināmais finansējums </w:t>
      </w:r>
      <w:r w:rsidR="00013C68" w:rsidRPr="006D4D3A">
        <w:rPr>
          <w:rFonts w:ascii="Times New Roman" w:hAnsi="Times New Roman"/>
          <w:sz w:val="24"/>
          <w:szCs w:val="24"/>
        </w:rPr>
        <w:t>at</w:t>
      </w:r>
      <w:r w:rsidR="00A42043">
        <w:rPr>
          <w:rFonts w:ascii="Times New Roman" w:hAnsi="Times New Roman"/>
          <w:sz w:val="24"/>
          <w:szCs w:val="24"/>
        </w:rPr>
        <w:t>t</w:t>
      </w:r>
      <w:r w:rsidR="00013C68" w:rsidRPr="006D4D3A">
        <w:rPr>
          <w:rFonts w:ascii="Times New Roman" w:hAnsi="Times New Roman"/>
          <w:sz w:val="24"/>
          <w:szCs w:val="24"/>
        </w:rPr>
        <w:t xml:space="preserve">iecīgi </w:t>
      </w:r>
      <w:r w:rsidR="0085518A">
        <w:rPr>
          <w:rFonts w:ascii="Times New Roman" w:hAnsi="Times New Roman"/>
          <w:sz w:val="24"/>
          <w:szCs w:val="24"/>
        </w:rPr>
        <w:t xml:space="preserve">bija </w:t>
      </w:r>
      <w:r w:rsidR="00013C68" w:rsidRPr="006D4D3A">
        <w:rPr>
          <w:rFonts w:ascii="Times New Roman" w:hAnsi="Times New Roman"/>
          <w:sz w:val="24"/>
          <w:szCs w:val="24"/>
        </w:rPr>
        <w:t xml:space="preserve">28,28 milj. </w:t>
      </w:r>
      <w:r w:rsidR="00013C68" w:rsidRPr="00516D0A">
        <w:rPr>
          <w:rFonts w:ascii="Times New Roman" w:hAnsi="Times New Roman"/>
          <w:sz w:val="24"/>
          <w:szCs w:val="24"/>
        </w:rPr>
        <w:t>euro</w:t>
      </w:r>
      <w:r w:rsidR="00013C68" w:rsidRPr="006D4D3A">
        <w:rPr>
          <w:rFonts w:ascii="Times New Roman" w:hAnsi="Times New Roman"/>
          <w:sz w:val="24"/>
          <w:szCs w:val="24"/>
        </w:rPr>
        <w:t xml:space="preserve">, </w:t>
      </w:r>
      <w:r w:rsidR="00516D0A" w:rsidRPr="00516D0A">
        <w:rPr>
          <w:rFonts w:ascii="Times New Roman" w:hAnsi="Times New Roman"/>
          <w:sz w:val="24"/>
          <w:szCs w:val="24"/>
        </w:rPr>
        <w:t xml:space="preserve">tai skaitā </w:t>
      </w:r>
      <w:r w:rsidR="00013C68" w:rsidRPr="006D4D3A">
        <w:rPr>
          <w:rFonts w:ascii="Times New Roman" w:hAnsi="Times New Roman"/>
          <w:sz w:val="24"/>
          <w:szCs w:val="24"/>
        </w:rPr>
        <w:t xml:space="preserve">ERAF finansējums 24,04 milj. </w:t>
      </w:r>
      <w:r w:rsidR="00013C68" w:rsidRPr="006D4D3A">
        <w:rPr>
          <w:rFonts w:ascii="Times New Roman" w:hAnsi="Times New Roman"/>
          <w:i/>
          <w:sz w:val="24"/>
          <w:szCs w:val="24"/>
        </w:rPr>
        <w:t>euro</w:t>
      </w:r>
      <w:r w:rsidR="0085518A">
        <w:rPr>
          <w:rFonts w:ascii="Times New Roman" w:hAnsi="Times New Roman"/>
          <w:i/>
          <w:sz w:val="24"/>
          <w:szCs w:val="24"/>
        </w:rPr>
        <w:t xml:space="preserve"> RTU </w:t>
      </w:r>
      <w:r w:rsidR="0085518A" w:rsidRPr="006D4D3A">
        <w:rPr>
          <w:rFonts w:ascii="Times New Roman" w:hAnsi="Times New Roman"/>
          <w:sz w:val="24"/>
          <w:szCs w:val="24"/>
        </w:rPr>
        <w:t>teritoriālā kompleksa Ķīpsalā izveidē</w:t>
      </w:r>
      <w:r w:rsidR="00013C68" w:rsidRPr="006D4D3A">
        <w:rPr>
          <w:rFonts w:ascii="Times New Roman" w:hAnsi="Times New Roman"/>
          <w:sz w:val="24"/>
          <w:szCs w:val="24"/>
        </w:rPr>
        <w:t xml:space="preserve"> un </w:t>
      </w:r>
      <w:r w:rsidR="004F7E8B" w:rsidRPr="006D4D3A">
        <w:rPr>
          <w:rFonts w:ascii="Times New Roman" w:hAnsi="Times New Roman"/>
          <w:sz w:val="24"/>
          <w:szCs w:val="24"/>
        </w:rPr>
        <w:t xml:space="preserve">32,35 milj. </w:t>
      </w:r>
      <w:r w:rsidR="004F7E8B" w:rsidRPr="006D4D3A">
        <w:rPr>
          <w:rFonts w:ascii="Times New Roman" w:hAnsi="Times New Roman"/>
          <w:i/>
          <w:sz w:val="24"/>
          <w:szCs w:val="24"/>
        </w:rPr>
        <w:t>euro</w:t>
      </w:r>
      <w:r w:rsidR="004F7E8B" w:rsidRPr="006D4D3A">
        <w:rPr>
          <w:rFonts w:ascii="Times New Roman" w:hAnsi="Times New Roman"/>
          <w:sz w:val="24"/>
          <w:szCs w:val="24"/>
        </w:rPr>
        <w:t xml:space="preserve">, </w:t>
      </w:r>
      <w:r w:rsidR="00516D0A">
        <w:rPr>
          <w:rFonts w:ascii="Times New Roman" w:hAnsi="Times New Roman"/>
          <w:sz w:val="20"/>
          <w:szCs w:val="20"/>
        </w:rPr>
        <w:t>tai skaitā</w:t>
      </w:r>
      <w:r w:rsidR="00516D0A" w:rsidRPr="002D7733">
        <w:rPr>
          <w:rFonts w:ascii="Times New Roman" w:hAnsi="Times New Roman"/>
          <w:sz w:val="20"/>
          <w:szCs w:val="20"/>
        </w:rPr>
        <w:t xml:space="preserve"> </w:t>
      </w:r>
      <w:r w:rsidR="004F7E8B" w:rsidRPr="006D4D3A">
        <w:rPr>
          <w:rFonts w:ascii="Times New Roman" w:hAnsi="Times New Roman"/>
          <w:sz w:val="24"/>
          <w:szCs w:val="24"/>
        </w:rPr>
        <w:t xml:space="preserve">ERAF finansējums 27,49 milj. </w:t>
      </w:r>
      <w:r w:rsidR="004F7E8B" w:rsidRPr="006D4D3A">
        <w:rPr>
          <w:rFonts w:ascii="Times New Roman" w:hAnsi="Times New Roman"/>
          <w:i/>
          <w:sz w:val="24"/>
          <w:szCs w:val="24"/>
        </w:rPr>
        <w:t>euro</w:t>
      </w:r>
      <w:r w:rsidR="0085518A" w:rsidRPr="0085518A">
        <w:rPr>
          <w:rFonts w:ascii="Times New Roman" w:hAnsi="Times New Roman"/>
          <w:sz w:val="24"/>
          <w:szCs w:val="24"/>
        </w:rPr>
        <w:t xml:space="preserve"> </w:t>
      </w:r>
      <w:r w:rsidR="0085518A" w:rsidRPr="006D4D3A">
        <w:rPr>
          <w:rFonts w:ascii="Times New Roman" w:hAnsi="Times New Roman"/>
          <w:sz w:val="24"/>
          <w:szCs w:val="24"/>
        </w:rPr>
        <w:t>LU Dabaszinātņu akadēmiskajām centr</w:t>
      </w:r>
      <w:r w:rsidR="0085518A">
        <w:rPr>
          <w:rFonts w:ascii="Times New Roman" w:hAnsi="Times New Roman"/>
          <w:sz w:val="24"/>
          <w:szCs w:val="24"/>
        </w:rPr>
        <w:t>a izveidē)</w:t>
      </w:r>
      <w:r w:rsidR="004F7E8B" w:rsidRPr="006D4D3A">
        <w:rPr>
          <w:rFonts w:ascii="Times New Roman" w:hAnsi="Times New Roman"/>
          <w:sz w:val="24"/>
          <w:szCs w:val="24"/>
        </w:rPr>
        <w:t>.</w:t>
      </w:r>
    </w:p>
    <w:p w14:paraId="5F889CFB" w14:textId="77777777" w:rsidR="004670F4" w:rsidRPr="00C07278" w:rsidRDefault="006114FF" w:rsidP="00E7642A">
      <w:pPr>
        <w:tabs>
          <w:tab w:val="left" w:pos="0"/>
        </w:tabs>
        <w:ind w:left="0" w:firstLine="567"/>
        <w:rPr>
          <w:rFonts w:ascii="Times New Roman" w:hAnsi="Times New Roman"/>
          <w:sz w:val="24"/>
          <w:szCs w:val="24"/>
        </w:rPr>
      </w:pPr>
      <w:r w:rsidRPr="00C07278">
        <w:rPr>
          <w:rFonts w:ascii="Times New Roman" w:hAnsi="Times New Roman"/>
          <w:sz w:val="24"/>
          <w:szCs w:val="24"/>
        </w:rPr>
        <w:t>VNPC veidojošās zinātn</w:t>
      </w:r>
      <w:r w:rsidR="00F41370" w:rsidRPr="00C07278">
        <w:rPr>
          <w:rFonts w:ascii="Times New Roman" w:hAnsi="Times New Roman"/>
          <w:sz w:val="24"/>
          <w:szCs w:val="24"/>
        </w:rPr>
        <w:t xml:space="preserve">iskās institūcijas </w:t>
      </w:r>
      <w:r w:rsidRPr="00C07278">
        <w:rPr>
          <w:rFonts w:ascii="Times New Roman" w:hAnsi="Times New Roman"/>
          <w:sz w:val="24"/>
          <w:szCs w:val="24"/>
        </w:rPr>
        <w:t>var</w:t>
      </w:r>
      <w:r w:rsidR="006D4D3A">
        <w:rPr>
          <w:rFonts w:ascii="Times New Roman" w:hAnsi="Times New Roman"/>
          <w:sz w:val="24"/>
          <w:szCs w:val="24"/>
        </w:rPr>
        <w:t>ēja izvēlēties</w:t>
      </w:r>
      <w:r w:rsidRPr="00C07278">
        <w:rPr>
          <w:rFonts w:ascii="Times New Roman" w:hAnsi="Times New Roman"/>
          <w:sz w:val="24"/>
          <w:szCs w:val="24"/>
        </w:rPr>
        <w:t xml:space="preserve"> īstenot ar komercdarbības atbalstu nesaistītu</w:t>
      </w:r>
      <w:r w:rsidR="006D4D3A">
        <w:rPr>
          <w:rFonts w:ascii="Times New Roman" w:hAnsi="Times New Roman"/>
          <w:sz w:val="24"/>
          <w:szCs w:val="24"/>
        </w:rPr>
        <w:t>s</w:t>
      </w:r>
      <w:r w:rsidRPr="00C07278">
        <w:rPr>
          <w:rFonts w:ascii="Times New Roman" w:hAnsi="Times New Roman"/>
          <w:sz w:val="24"/>
          <w:szCs w:val="24"/>
        </w:rPr>
        <w:t xml:space="preserve"> projektu</w:t>
      </w:r>
      <w:r w:rsidR="006D4D3A">
        <w:rPr>
          <w:rFonts w:ascii="Times New Roman" w:hAnsi="Times New Roman"/>
          <w:sz w:val="24"/>
          <w:szCs w:val="24"/>
        </w:rPr>
        <w:t>s</w:t>
      </w:r>
      <w:r w:rsidRPr="00C07278">
        <w:rPr>
          <w:rFonts w:ascii="Times New Roman" w:hAnsi="Times New Roman"/>
          <w:sz w:val="24"/>
          <w:szCs w:val="24"/>
        </w:rPr>
        <w:t xml:space="preserve"> vai kombinēta atbalsta veida projektu</w:t>
      </w:r>
      <w:r w:rsidR="006D4D3A">
        <w:rPr>
          <w:rFonts w:ascii="Times New Roman" w:hAnsi="Times New Roman"/>
          <w:sz w:val="24"/>
          <w:szCs w:val="24"/>
        </w:rPr>
        <w:t>s</w:t>
      </w:r>
      <w:r w:rsidRPr="00C07278">
        <w:rPr>
          <w:rFonts w:ascii="Times New Roman" w:hAnsi="Times New Roman"/>
          <w:sz w:val="24"/>
          <w:szCs w:val="24"/>
        </w:rPr>
        <w:t>, kur</w:t>
      </w:r>
      <w:r w:rsidR="006D4D3A">
        <w:rPr>
          <w:rFonts w:ascii="Times New Roman" w:hAnsi="Times New Roman"/>
          <w:sz w:val="24"/>
          <w:szCs w:val="24"/>
        </w:rPr>
        <w:t xml:space="preserve">u </w:t>
      </w:r>
      <w:r w:rsidRPr="00C07278">
        <w:rPr>
          <w:rFonts w:ascii="Times New Roman" w:hAnsi="Times New Roman"/>
          <w:sz w:val="24"/>
          <w:szCs w:val="24"/>
        </w:rPr>
        <w:t>ietvaros modernizēt</w:t>
      </w:r>
      <w:r w:rsidR="0085518A">
        <w:rPr>
          <w:rFonts w:ascii="Times New Roman" w:hAnsi="Times New Roman"/>
          <w:sz w:val="24"/>
          <w:szCs w:val="24"/>
        </w:rPr>
        <w:t>ā</w:t>
      </w:r>
      <w:r w:rsidRPr="00C07278">
        <w:rPr>
          <w:rFonts w:ascii="Times New Roman" w:hAnsi="Times New Roman"/>
          <w:sz w:val="24"/>
          <w:szCs w:val="24"/>
        </w:rPr>
        <w:t xml:space="preserve"> </w:t>
      </w:r>
      <w:r w:rsidR="004953C4" w:rsidRPr="00C07278">
        <w:rPr>
          <w:rFonts w:ascii="Times New Roman" w:hAnsi="Times New Roman"/>
          <w:sz w:val="24"/>
          <w:szCs w:val="24"/>
        </w:rPr>
        <w:t>pētniecības</w:t>
      </w:r>
      <w:r w:rsidRPr="00C07278">
        <w:rPr>
          <w:rFonts w:ascii="Times New Roman" w:hAnsi="Times New Roman"/>
          <w:sz w:val="24"/>
          <w:szCs w:val="24"/>
        </w:rPr>
        <w:t xml:space="preserve"> infrastruktūr</w:t>
      </w:r>
      <w:r w:rsidR="006D4D3A">
        <w:rPr>
          <w:rFonts w:ascii="Times New Roman" w:hAnsi="Times New Roman"/>
          <w:sz w:val="24"/>
          <w:szCs w:val="24"/>
        </w:rPr>
        <w:t>a</w:t>
      </w:r>
      <w:r w:rsidRPr="00C07278">
        <w:rPr>
          <w:rFonts w:ascii="Times New Roman" w:hAnsi="Times New Roman"/>
          <w:sz w:val="24"/>
          <w:szCs w:val="24"/>
        </w:rPr>
        <w:t xml:space="preserve"> izmanto</w:t>
      </w:r>
      <w:r w:rsidR="006D4D3A">
        <w:rPr>
          <w:rFonts w:ascii="Times New Roman" w:hAnsi="Times New Roman"/>
          <w:sz w:val="24"/>
          <w:szCs w:val="24"/>
        </w:rPr>
        <w:t xml:space="preserve">jama </w:t>
      </w:r>
      <w:r w:rsidRPr="00C07278">
        <w:rPr>
          <w:rFonts w:ascii="Times New Roman" w:hAnsi="Times New Roman"/>
          <w:sz w:val="24"/>
          <w:szCs w:val="24"/>
        </w:rPr>
        <w:t>arī saimnieciskajai darbībai, tai skaitā līgumpētījumu īstenošanai.</w:t>
      </w:r>
      <w:r w:rsidR="00DB09BF" w:rsidRPr="00C07278">
        <w:rPr>
          <w:rFonts w:ascii="Times New Roman" w:hAnsi="Times New Roman"/>
          <w:sz w:val="24"/>
          <w:szCs w:val="24"/>
        </w:rPr>
        <w:t xml:space="preserve"> </w:t>
      </w:r>
      <w:r w:rsidRPr="00C07278">
        <w:rPr>
          <w:rFonts w:ascii="Times New Roman" w:hAnsi="Times New Roman"/>
          <w:sz w:val="24"/>
          <w:szCs w:val="24"/>
        </w:rPr>
        <w:t>Latviešu valodas, kultūrvēsturiskā mantojuma un radošo tehnoloģiju VNPC un VNPC sociālekonomikā un sabiedrības vadībā veidojošās zinātniskās institūcijas, kā arī Daugavpils Universitāte</w:t>
      </w:r>
      <w:r w:rsidR="00703245">
        <w:rPr>
          <w:rFonts w:ascii="Times New Roman" w:hAnsi="Times New Roman"/>
          <w:sz w:val="24"/>
          <w:szCs w:val="24"/>
        </w:rPr>
        <w:t xml:space="preserve"> (DU)</w:t>
      </w:r>
      <w:r w:rsidRPr="00C07278">
        <w:rPr>
          <w:rFonts w:ascii="Times New Roman" w:hAnsi="Times New Roman"/>
          <w:sz w:val="24"/>
          <w:szCs w:val="24"/>
        </w:rPr>
        <w:t xml:space="preserve"> Meža un ūdens resursu VNPC projektu ietvaros </w:t>
      </w:r>
      <w:r w:rsidRPr="006D4D3A">
        <w:rPr>
          <w:rFonts w:ascii="Times New Roman" w:hAnsi="Times New Roman"/>
          <w:sz w:val="24"/>
          <w:szCs w:val="24"/>
        </w:rPr>
        <w:t>modernizēto VNPC pētniecības un attīstības infrastruktūru plāno izmantot t</w:t>
      </w:r>
      <w:r w:rsidR="00F41370" w:rsidRPr="006D4D3A">
        <w:rPr>
          <w:rFonts w:ascii="Times New Roman" w:hAnsi="Times New Roman"/>
          <w:sz w:val="24"/>
          <w:szCs w:val="24"/>
        </w:rPr>
        <w:t xml:space="preserve">ikai ar </w:t>
      </w:r>
      <w:r w:rsidR="00644320" w:rsidRPr="002D7733">
        <w:rPr>
          <w:rFonts w:ascii="Times New Roman" w:hAnsi="Times New Roman"/>
          <w:sz w:val="24"/>
          <w:szCs w:val="24"/>
        </w:rPr>
        <w:t>saimniecisko darbību</w:t>
      </w:r>
      <w:r w:rsidR="00644320" w:rsidRPr="006D4D3A">
        <w:rPr>
          <w:rFonts w:ascii="Times New Roman" w:hAnsi="Times New Roman"/>
          <w:sz w:val="24"/>
          <w:szCs w:val="24"/>
        </w:rPr>
        <w:t xml:space="preserve"> </w:t>
      </w:r>
      <w:r w:rsidR="00F41370" w:rsidRPr="006D4D3A">
        <w:rPr>
          <w:rFonts w:ascii="Times New Roman" w:hAnsi="Times New Roman"/>
          <w:sz w:val="24"/>
          <w:szCs w:val="24"/>
        </w:rPr>
        <w:t>nesaistītām</w:t>
      </w:r>
      <w:r w:rsidR="00F41370" w:rsidRPr="00C07278">
        <w:rPr>
          <w:rFonts w:ascii="Times New Roman" w:hAnsi="Times New Roman"/>
          <w:sz w:val="24"/>
          <w:szCs w:val="24"/>
        </w:rPr>
        <w:t xml:space="preserve"> da</w:t>
      </w:r>
      <w:r w:rsidR="00F41370" w:rsidRPr="006D4D3A">
        <w:rPr>
          <w:rFonts w:ascii="Times New Roman" w:hAnsi="Times New Roman"/>
          <w:sz w:val="24"/>
          <w:szCs w:val="24"/>
        </w:rPr>
        <w:t>rbībām. P</w:t>
      </w:r>
      <w:r w:rsidRPr="006D4D3A">
        <w:rPr>
          <w:rFonts w:ascii="Times New Roman" w:hAnsi="Times New Roman"/>
          <w:sz w:val="24"/>
          <w:szCs w:val="24"/>
        </w:rPr>
        <w:t xml:space="preserve">ārējo </w:t>
      </w:r>
      <w:r w:rsidR="004953C4" w:rsidRPr="006D4D3A">
        <w:rPr>
          <w:rFonts w:ascii="Times New Roman" w:hAnsi="Times New Roman"/>
          <w:sz w:val="24"/>
          <w:szCs w:val="24"/>
        </w:rPr>
        <w:t xml:space="preserve">7 </w:t>
      </w:r>
      <w:r w:rsidRPr="006D4D3A">
        <w:rPr>
          <w:rFonts w:ascii="Times New Roman" w:hAnsi="Times New Roman"/>
          <w:sz w:val="24"/>
          <w:szCs w:val="24"/>
        </w:rPr>
        <w:t>VNPC veidojošās zinātniskās institūcijas ir paredzējušas, ka pilnveidot</w:t>
      </w:r>
      <w:r w:rsidR="00F41370" w:rsidRPr="006D4D3A">
        <w:rPr>
          <w:rFonts w:ascii="Times New Roman" w:hAnsi="Times New Roman"/>
          <w:sz w:val="24"/>
          <w:szCs w:val="24"/>
        </w:rPr>
        <w:t>ā</w:t>
      </w:r>
      <w:r w:rsidRPr="006D4D3A">
        <w:rPr>
          <w:rFonts w:ascii="Times New Roman" w:hAnsi="Times New Roman"/>
          <w:sz w:val="24"/>
          <w:szCs w:val="24"/>
        </w:rPr>
        <w:t xml:space="preserve"> pētniecī</w:t>
      </w:r>
      <w:r w:rsidR="00F41370" w:rsidRPr="006D4D3A">
        <w:rPr>
          <w:rFonts w:ascii="Times New Roman" w:hAnsi="Times New Roman"/>
          <w:sz w:val="24"/>
          <w:szCs w:val="24"/>
        </w:rPr>
        <w:t>bas infrastruktūra tiks</w:t>
      </w:r>
      <w:r w:rsidR="009A0139" w:rsidRPr="006D4D3A">
        <w:rPr>
          <w:rFonts w:ascii="Times New Roman" w:hAnsi="Times New Roman"/>
          <w:sz w:val="24"/>
          <w:szCs w:val="24"/>
        </w:rPr>
        <w:t xml:space="preserve"> izmantot</w:t>
      </w:r>
      <w:r w:rsidR="00F41370" w:rsidRPr="006D4D3A">
        <w:rPr>
          <w:rFonts w:ascii="Times New Roman" w:hAnsi="Times New Roman"/>
          <w:sz w:val="24"/>
          <w:szCs w:val="24"/>
        </w:rPr>
        <w:t>a</w:t>
      </w:r>
      <w:r w:rsidR="009A0139" w:rsidRPr="006D4D3A">
        <w:rPr>
          <w:rFonts w:ascii="Times New Roman" w:hAnsi="Times New Roman"/>
          <w:sz w:val="24"/>
          <w:szCs w:val="24"/>
        </w:rPr>
        <w:t xml:space="preserve"> </w:t>
      </w:r>
      <w:r w:rsidR="006D4D3A">
        <w:rPr>
          <w:rFonts w:ascii="Times New Roman" w:hAnsi="Times New Roman"/>
          <w:sz w:val="24"/>
          <w:szCs w:val="24"/>
        </w:rPr>
        <w:t>arī</w:t>
      </w:r>
      <w:r w:rsidR="00644320" w:rsidRPr="006D4D3A">
        <w:rPr>
          <w:rFonts w:ascii="Times New Roman" w:hAnsi="Times New Roman"/>
          <w:sz w:val="24"/>
          <w:szCs w:val="24"/>
        </w:rPr>
        <w:t xml:space="preserve"> </w:t>
      </w:r>
      <w:r w:rsidR="009A0139" w:rsidRPr="006D4D3A">
        <w:rPr>
          <w:rFonts w:ascii="Times New Roman" w:hAnsi="Times New Roman"/>
          <w:sz w:val="24"/>
          <w:szCs w:val="24"/>
        </w:rPr>
        <w:t>saimnieciskās</w:t>
      </w:r>
      <w:r w:rsidRPr="006D4D3A">
        <w:rPr>
          <w:rFonts w:ascii="Times New Roman" w:hAnsi="Times New Roman"/>
          <w:sz w:val="24"/>
          <w:szCs w:val="24"/>
        </w:rPr>
        <w:t xml:space="preserve"> darb</w:t>
      </w:r>
      <w:r w:rsidR="00F41370" w:rsidRPr="006D4D3A">
        <w:rPr>
          <w:rFonts w:ascii="Times New Roman" w:hAnsi="Times New Roman"/>
          <w:sz w:val="24"/>
          <w:szCs w:val="24"/>
        </w:rPr>
        <w:t>ības nodrošināšanai.</w:t>
      </w:r>
    </w:p>
    <w:p w14:paraId="16FB3F76" w14:textId="77777777" w:rsidR="00144811" w:rsidRDefault="001A0FA4"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lastRenderedPageBreak/>
        <w:tab/>
      </w:r>
      <w:r w:rsidR="000B2D05" w:rsidRPr="00C07278">
        <w:rPr>
          <w:rFonts w:ascii="Times New Roman" w:hAnsi="Times New Roman"/>
          <w:sz w:val="24"/>
          <w:szCs w:val="24"/>
        </w:rPr>
        <w:t xml:space="preserve">Detalizētāka informācija par </w:t>
      </w:r>
      <w:r w:rsidR="00057559" w:rsidRPr="00C07278">
        <w:rPr>
          <w:rFonts w:ascii="Times New Roman" w:hAnsi="Times New Roman"/>
          <w:sz w:val="24"/>
          <w:szCs w:val="24"/>
        </w:rPr>
        <w:t>VNPC</w:t>
      </w:r>
      <w:r w:rsidR="000B2D05" w:rsidRPr="00C07278">
        <w:rPr>
          <w:rFonts w:ascii="Times New Roman" w:hAnsi="Times New Roman"/>
          <w:sz w:val="24"/>
          <w:szCs w:val="24"/>
        </w:rPr>
        <w:t xml:space="preserve"> </w:t>
      </w:r>
      <w:r w:rsidR="000B2D05" w:rsidRPr="006D4D3A">
        <w:rPr>
          <w:rFonts w:ascii="Times New Roman" w:hAnsi="Times New Roman"/>
          <w:sz w:val="24"/>
          <w:szCs w:val="24"/>
        </w:rPr>
        <w:t>projektiem</w:t>
      </w:r>
      <w:r w:rsidR="00057559" w:rsidRPr="006D4D3A">
        <w:rPr>
          <w:rFonts w:ascii="Times New Roman" w:hAnsi="Times New Roman"/>
          <w:sz w:val="24"/>
          <w:szCs w:val="24"/>
        </w:rPr>
        <w:t xml:space="preserve"> un to </w:t>
      </w:r>
      <w:r w:rsidR="006A76E4" w:rsidRPr="006D4D3A">
        <w:rPr>
          <w:rFonts w:ascii="Times New Roman" w:hAnsi="Times New Roman"/>
          <w:sz w:val="24"/>
          <w:szCs w:val="24"/>
        </w:rPr>
        <w:t>ietvaros modernizēt</w:t>
      </w:r>
      <w:r w:rsidR="00057559" w:rsidRPr="006D4D3A">
        <w:rPr>
          <w:rFonts w:ascii="Times New Roman" w:hAnsi="Times New Roman"/>
          <w:sz w:val="24"/>
          <w:szCs w:val="24"/>
        </w:rPr>
        <w:t>o</w:t>
      </w:r>
      <w:r w:rsidR="006A76E4" w:rsidRPr="006D4D3A">
        <w:rPr>
          <w:rFonts w:ascii="Times New Roman" w:hAnsi="Times New Roman"/>
          <w:sz w:val="24"/>
          <w:szCs w:val="24"/>
        </w:rPr>
        <w:t xml:space="preserve"> pētniecības infrastruktūr</w:t>
      </w:r>
      <w:r w:rsidR="00057559" w:rsidRPr="006D4D3A">
        <w:rPr>
          <w:rFonts w:ascii="Times New Roman" w:hAnsi="Times New Roman"/>
          <w:sz w:val="24"/>
          <w:szCs w:val="24"/>
        </w:rPr>
        <w:t>u</w:t>
      </w:r>
      <w:r w:rsidR="0085518A">
        <w:rPr>
          <w:rFonts w:ascii="Times New Roman" w:hAnsi="Times New Roman"/>
          <w:sz w:val="24"/>
          <w:szCs w:val="24"/>
        </w:rPr>
        <w:t>, kā arī</w:t>
      </w:r>
      <w:r w:rsidR="00C92542" w:rsidRPr="002D7733">
        <w:rPr>
          <w:rFonts w:ascii="Times New Roman" w:hAnsi="Times New Roman"/>
          <w:sz w:val="24"/>
          <w:szCs w:val="24"/>
        </w:rPr>
        <w:t xml:space="preserve"> </w:t>
      </w:r>
      <w:r w:rsidR="00A86EA0" w:rsidRPr="002D7733">
        <w:rPr>
          <w:rFonts w:ascii="Times New Roman" w:hAnsi="Times New Roman"/>
          <w:sz w:val="24"/>
          <w:szCs w:val="24"/>
        </w:rPr>
        <w:t>ģeogrāfisko</w:t>
      </w:r>
      <w:r w:rsidR="00C92542" w:rsidRPr="002D7733">
        <w:rPr>
          <w:rFonts w:ascii="Times New Roman" w:hAnsi="Times New Roman"/>
          <w:sz w:val="24"/>
          <w:szCs w:val="24"/>
        </w:rPr>
        <w:t xml:space="preserve"> izvietojumu</w:t>
      </w:r>
      <w:r w:rsidR="00C92542" w:rsidRPr="006D4D3A">
        <w:rPr>
          <w:rFonts w:ascii="Times New Roman" w:hAnsi="Times New Roman"/>
          <w:sz w:val="24"/>
          <w:szCs w:val="24"/>
        </w:rPr>
        <w:t xml:space="preserve"> </w:t>
      </w:r>
      <w:r w:rsidR="006D4D3A">
        <w:rPr>
          <w:rFonts w:ascii="Times New Roman" w:hAnsi="Times New Roman"/>
          <w:sz w:val="24"/>
          <w:szCs w:val="24"/>
        </w:rPr>
        <w:t>apkopota</w:t>
      </w:r>
      <w:r w:rsidR="000B2D05" w:rsidRPr="006D4D3A">
        <w:rPr>
          <w:rFonts w:ascii="Times New Roman" w:hAnsi="Times New Roman"/>
          <w:sz w:val="24"/>
          <w:szCs w:val="24"/>
        </w:rPr>
        <w:t xml:space="preserve"> </w:t>
      </w:r>
      <w:r w:rsidR="005163E5" w:rsidRPr="005163E5">
        <w:rPr>
          <w:rFonts w:ascii="Times New Roman" w:hAnsi="Times New Roman"/>
          <w:sz w:val="24"/>
          <w:szCs w:val="24"/>
        </w:rPr>
        <w:t xml:space="preserve">informatīvā ziņojuma </w:t>
      </w:r>
      <w:r w:rsidR="00B55BBD">
        <w:rPr>
          <w:rFonts w:ascii="Times New Roman" w:hAnsi="Times New Roman"/>
          <w:sz w:val="24"/>
          <w:szCs w:val="24"/>
        </w:rPr>
        <w:t>5</w:t>
      </w:r>
      <w:r w:rsidR="005163E5" w:rsidRPr="005163E5">
        <w:rPr>
          <w:rFonts w:ascii="Times New Roman" w:hAnsi="Times New Roman"/>
          <w:sz w:val="24"/>
          <w:szCs w:val="24"/>
        </w:rPr>
        <w:t>.</w:t>
      </w:r>
      <w:r w:rsidR="008B1832">
        <w:rPr>
          <w:rFonts w:ascii="Times New Roman" w:hAnsi="Times New Roman"/>
          <w:sz w:val="24"/>
          <w:szCs w:val="24"/>
        </w:rPr>
        <w:t> </w:t>
      </w:r>
      <w:r w:rsidR="00BF53E8" w:rsidRPr="005163E5">
        <w:rPr>
          <w:rFonts w:ascii="Times New Roman" w:hAnsi="Times New Roman"/>
          <w:sz w:val="24"/>
          <w:szCs w:val="24"/>
        </w:rPr>
        <w:t>pielikumā</w:t>
      </w:r>
      <w:r w:rsidR="000B2D05" w:rsidRPr="005163E5">
        <w:rPr>
          <w:rFonts w:ascii="Times New Roman" w:hAnsi="Times New Roman"/>
          <w:sz w:val="24"/>
          <w:szCs w:val="24"/>
        </w:rPr>
        <w:t>.</w:t>
      </w:r>
    </w:p>
    <w:p w14:paraId="3FBE4DCF" w14:textId="77777777" w:rsidR="008A0F79" w:rsidRPr="006D72E2" w:rsidRDefault="001B261C" w:rsidP="00E7642A">
      <w:pPr>
        <w:pStyle w:val="Heading1"/>
        <w:numPr>
          <w:ilvl w:val="1"/>
          <w:numId w:val="1"/>
        </w:numPr>
        <w:spacing w:before="360" w:after="120"/>
        <w:ind w:left="1276" w:hanging="709"/>
        <w:jc w:val="center"/>
        <w:rPr>
          <w:rFonts w:ascii="Times New Roman" w:hAnsi="Times New Roman"/>
          <w:sz w:val="24"/>
          <w:szCs w:val="24"/>
        </w:rPr>
      </w:pPr>
      <w:bookmarkStart w:id="10" w:name="_Toc444502655"/>
      <w:bookmarkStart w:id="11" w:name="_Toc444504767"/>
      <w:bookmarkStart w:id="12" w:name="_Toc444524439"/>
      <w:bookmarkStart w:id="13" w:name="_Toc444502656"/>
      <w:bookmarkStart w:id="14" w:name="_Toc444504768"/>
      <w:bookmarkStart w:id="15" w:name="_Toc444524440"/>
      <w:bookmarkStart w:id="16" w:name="_Toc444502657"/>
      <w:bookmarkStart w:id="17" w:name="_Toc444504769"/>
      <w:bookmarkStart w:id="18" w:name="_Toc444524441"/>
      <w:bookmarkStart w:id="19" w:name="_Toc445121197"/>
      <w:bookmarkStart w:id="20" w:name="_Toc445128807"/>
      <w:bookmarkStart w:id="21" w:name="_Toc445279966"/>
      <w:bookmarkStart w:id="22" w:name="_Toc445468529"/>
      <w:bookmarkStart w:id="23" w:name="_Toc445121198"/>
      <w:bookmarkStart w:id="24" w:name="_Toc445128808"/>
      <w:bookmarkStart w:id="25" w:name="_Toc445279967"/>
      <w:bookmarkStart w:id="26" w:name="_Toc445468530"/>
      <w:bookmarkStart w:id="27" w:name="_Toc445121199"/>
      <w:bookmarkStart w:id="28" w:name="_Toc445128809"/>
      <w:bookmarkStart w:id="29" w:name="_Toc445279968"/>
      <w:bookmarkStart w:id="30" w:name="_Toc445468531"/>
      <w:bookmarkStart w:id="31" w:name="_Toc45867327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hAnsi="Times New Roman"/>
          <w:color w:val="auto"/>
          <w:sz w:val="24"/>
          <w:szCs w:val="24"/>
        </w:rPr>
        <w:t>K</w:t>
      </w:r>
      <w:r w:rsidR="003523F8" w:rsidRPr="00C07278">
        <w:rPr>
          <w:rFonts w:ascii="Times New Roman" w:hAnsi="Times New Roman"/>
          <w:color w:val="auto"/>
          <w:sz w:val="24"/>
          <w:szCs w:val="24"/>
        </w:rPr>
        <w:t>omercpētniecības infrastruktūras attīstība</w:t>
      </w:r>
      <w:bookmarkEnd w:id="31"/>
    </w:p>
    <w:p w14:paraId="02BBE408" w14:textId="77777777" w:rsidR="009C7153" w:rsidRPr="00D970BB" w:rsidRDefault="003523F8" w:rsidP="00E7642A">
      <w:pPr>
        <w:tabs>
          <w:tab w:val="left" w:pos="0"/>
        </w:tabs>
        <w:spacing w:after="120"/>
        <w:ind w:left="0" w:firstLine="567"/>
        <w:rPr>
          <w:rFonts w:ascii="Times New Roman" w:hAnsi="Times New Roman"/>
          <w:sz w:val="24"/>
          <w:szCs w:val="24"/>
        </w:rPr>
      </w:pPr>
      <w:r w:rsidRPr="00C07278">
        <w:rPr>
          <w:rFonts w:ascii="Times New Roman" w:hAnsi="Times New Roman"/>
          <w:sz w:val="24"/>
          <w:szCs w:val="24"/>
        </w:rPr>
        <w:t>2.1.1.3.1.</w:t>
      </w:r>
      <w:r w:rsidR="008D15B3">
        <w:rPr>
          <w:rFonts w:ascii="Times New Roman" w:hAnsi="Times New Roman"/>
          <w:sz w:val="24"/>
          <w:szCs w:val="24"/>
        </w:rPr>
        <w:t xml:space="preserve"> </w:t>
      </w:r>
      <w:r w:rsidRPr="00C07278">
        <w:rPr>
          <w:rFonts w:ascii="Times New Roman" w:hAnsi="Times New Roman"/>
          <w:sz w:val="24"/>
          <w:szCs w:val="24"/>
        </w:rPr>
        <w:t>apak</w:t>
      </w:r>
      <w:r w:rsidR="005163E5">
        <w:rPr>
          <w:rFonts w:ascii="Times New Roman" w:hAnsi="Times New Roman"/>
          <w:sz w:val="24"/>
          <w:szCs w:val="24"/>
        </w:rPr>
        <w:t>š</w:t>
      </w:r>
      <w:r w:rsidRPr="00C07278">
        <w:rPr>
          <w:rFonts w:ascii="Times New Roman" w:hAnsi="Times New Roman"/>
          <w:sz w:val="24"/>
          <w:szCs w:val="24"/>
        </w:rPr>
        <w:t>aktivitātes</w:t>
      </w:r>
      <w:r w:rsidR="0073669E" w:rsidRPr="00C07278">
        <w:rPr>
          <w:rStyle w:val="FootnoteReference"/>
          <w:rFonts w:ascii="Times New Roman" w:hAnsi="Times New Roman"/>
          <w:sz w:val="24"/>
          <w:szCs w:val="24"/>
        </w:rPr>
        <w:footnoteReference w:id="16"/>
      </w:r>
      <w:r w:rsidRPr="00C07278">
        <w:rPr>
          <w:rFonts w:ascii="Times New Roman" w:hAnsi="Times New Roman"/>
          <w:sz w:val="24"/>
          <w:szCs w:val="24"/>
        </w:rPr>
        <w:t xml:space="preserve"> otrās projektu iesniegumu atlases kārtas ietvaros atbalsts tika sniegts pētniecības infrastruktūras attīstībai, </w:t>
      </w:r>
      <w:r w:rsidR="0085518A">
        <w:rPr>
          <w:rFonts w:ascii="Times New Roman" w:hAnsi="Times New Roman"/>
          <w:sz w:val="24"/>
          <w:szCs w:val="24"/>
        </w:rPr>
        <w:t xml:space="preserve">lai veicinātu </w:t>
      </w:r>
      <w:r w:rsidR="0085518A" w:rsidRPr="00606128">
        <w:rPr>
          <w:rFonts w:ascii="Times New Roman" w:hAnsi="Times New Roman"/>
          <w:sz w:val="24"/>
          <w:szCs w:val="24"/>
        </w:rPr>
        <w:t xml:space="preserve">komercdarbību </w:t>
      </w:r>
      <w:r w:rsidRPr="00C07278">
        <w:rPr>
          <w:rFonts w:ascii="Times New Roman" w:hAnsi="Times New Roman"/>
          <w:sz w:val="24"/>
          <w:szCs w:val="24"/>
        </w:rPr>
        <w:t xml:space="preserve">pētniecības pakalpojumu sektorā un sekmētu zināšanu pārnesi </w:t>
      </w:r>
      <w:r w:rsidRPr="00D970BB">
        <w:rPr>
          <w:rFonts w:ascii="Times New Roman" w:hAnsi="Times New Roman"/>
          <w:sz w:val="24"/>
          <w:szCs w:val="24"/>
        </w:rPr>
        <w:t xml:space="preserve">tautsaimniecībā un augstākas eksportspējas produktu ražošanu. </w:t>
      </w:r>
      <w:r w:rsidR="008A0F79">
        <w:rPr>
          <w:rFonts w:ascii="Times New Roman" w:hAnsi="Times New Roman"/>
          <w:sz w:val="24"/>
          <w:szCs w:val="24"/>
        </w:rPr>
        <w:t>K</w:t>
      </w:r>
      <w:r w:rsidRPr="00D970BB">
        <w:rPr>
          <w:rFonts w:ascii="Times New Roman" w:hAnsi="Times New Roman"/>
          <w:sz w:val="24"/>
          <w:szCs w:val="24"/>
        </w:rPr>
        <w:t xml:space="preserve">onkursā </w:t>
      </w:r>
      <w:r w:rsidR="008A0F79">
        <w:rPr>
          <w:rFonts w:ascii="Times New Roman" w:hAnsi="Times New Roman"/>
          <w:sz w:val="24"/>
          <w:szCs w:val="24"/>
        </w:rPr>
        <w:t xml:space="preserve">tika </w:t>
      </w:r>
      <w:r w:rsidRPr="00D970BB">
        <w:rPr>
          <w:rFonts w:ascii="Times New Roman" w:hAnsi="Times New Roman"/>
          <w:sz w:val="24"/>
          <w:szCs w:val="24"/>
        </w:rPr>
        <w:t>iesniegt</w:t>
      </w:r>
      <w:r w:rsidR="008A0F79">
        <w:rPr>
          <w:rFonts w:ascii="Times New Roman" w:hAnsi="Times New Roman"/>
          <w:sz w:val="24"/>
          <w:szCs w:val="24"/>
        </w:rPr>
        <w:t xml:space="preserve">i </w:t>
      </w:r>
      <w:r w:rsidRPr="00D970BB">
        <w:rPr>
          <w:rFonts w:ascii="Times New Roman" w:hAnsi="Times New Roman"/>
          <w:sz w:val="24"/>
          <w:szCs w:val="24"/>
        </w:rPr>
        <w:t>29 projektu pieteikumi</w:t>
      </w:r>
      <w:r w:rsidR="008A0F79">
        <w:rPr>
          <w:rFonts w:ascii="Times New Roman" w:hAnsi="Times New Roman"/>
          <w:sz w:val="24"/>
          <w:szCs w:val="24"/>
        </w:rPr>
        <w:t xml:space="preserve"> un</w:t>
      </w:r>
      <w:r w:rsidRPr="00D970BB">
        <w:rPr>
          <w:rFonts w:ascii="Times New Roman" w:hAnsi="Times New Roman"/>
          <w:sz w:val="24"/>
          <w:szCs w:val="24"/>
        </w:rPr>
        <w:t xml:space="preserve"> apstiprināti</w:t>
      </w:r>
      <w:r w:rsidR="008A0F79">
        <w:rPr>
          <w:rFonts w:ascii="Times New Roman" w:hAnsi="Times New Roman"/>
          <w:sz w:val="24"/>
          <w:szCs w:val="24"/>
        </w:rPr>
        <w:t xml:space="preserve"> </w:t>
      </w:r>
      <w:r w:rsidRPr="00D970BB">
        <w:rPr>
          <w:rFonts w:ascii="Times New Roman" w:hAnsi="Times New Roman"/>
          <w:sz w:val="24"/>
          <w:szCs w:val="24"/>
        </w:rPr>
        <w:t xml:space="preserve">11 projekti. </w:t>
      </w:r>
      <w:r w:rsidR="00F35194" w:rsidRPr="00D970BB">
        <w:rPr>
          <w:rFonts w:ascii="Times New Roman" w:hAnsi="Times New Roman"/>
          <w:sz w:val="24"/>
          <w:szCs w:val="24"/>
        </w:rPr>
        <w:t>P</w:t>
      </w:r>
      <w:r w:rsidRPr="00D970BB">
        <w:rPr>
          <w:rFonts w:ascii="Times New Roman" w:hAnsi="Times New Roman"/>
          <w:sz w:val="24"/>
          <w:szCs w:val="24"/>
        </w:rPr>
        <w:t>ar pro</w:t>
      </w:r>
      <w:r w:rsidR="00F35194" w:rsidRPr="00D970BB">
        <w:rPr>
          <w:rFonts w:ascii="Times New Roman" w:hAnsi="Times New Roman"/>
          <w:sz w:val="24"/>
          <w:szCs w:val="24"/>
        </w:rPr>
        <w:t xml:space="preserve">jektu īstenošanu tika noslēgti 10 </w:t>
      </w:r>
      <w:r w:rsidRPr="00D970BB">
        <w:rPr>
          <w:rFonts w:ascii="Times New Roman" w:hAnsi="Times New Roman"/>
          <w:sz w:val="24"/>
          <w:szCs w:val="24"/>
        </w:rPr>
        <w:t>līgumi, viens līgums par projekta īstenošanu netika noslēgts līdzfinansējuma trūkuma dēļ.</w:t>
      </w:r>
      <w:r w:rsidR="007E3E9E" w:rsidRPr="00D970BB">
        <w:rPr>
          <w:rFonts w:ascii="Times New Roman" w:hAnsi="Times New Roman"/>
          <w:sz w:val="24"/>
          <w:szCs w:val="24"/>
        </w:rPr>
        <w:t xml:space="preserve"> </w:t>
      </w:r>
      <w:r w:rsidR="00C4367E" w:rsidRPr="00D970BB">
        <w:rPr>
          <w:rFonts w:ascii="Times New Roman" w:hAnsi="Times New Roman"/>
          <w:sz w:val="24"/>
          <w:szCs w:val="24"/>
        </w:rPr>
        <w:t>Rīgas plānošanas reģionā</w:t>
      </w:r>
      <w:r w:rsidR="007C4DC9" w:rsidRPr="00D970BB">
        <w:rPr>
          <w:rFonts w:ascii="Times New Roman" w:hAnsi="Times New Roman"/>
          <w:sz w:val="24"/>
          <w:szCs w:val="24"/>
        </w:rPr>
        <w:t xml:space="preserve"> un </w:t>
      </w:r>
      <w:r w:rsidR="008C6902" w:rsidRPr="00D970BB">
        <w:rPr>
          <w:rFonts w:ascii="Times New Roman" w:hAnsi="Times New Roman"/>
          <w:sz w:val="24"/>
          <w:szCs w:val="24"/>
        </w:rPr>
        <w:t>Rīgā</w:t>
      </w:r>
      <w:r w:rsidR="00C4367E" w:rsidRPr="00D970BB">
        <w:rPr>
          <w:rFonts w:ascii="Times New Roman" w:hAnsi="Times New Roman"/>
          <w:sz w:val="24"/>
          <w:szCs w:val="24"/>
        </w:rPr>
        <w:t xml:space="preserve"> </w:t>
      </w:r>
      <w:r w:rsidR="00C4367E" w:rsidRPr="002D7733">
        <w:rPr>
          <w:rFonts w:ascii="Times New Roman" w:hAnsi="Times New Roman"/>
          <w:sz w:val="24"/>
          <w:szCs w:val="24"/>
        </w:rPr>
        <w:t>ti</w:t>
      </w:r>
      <w:r w:rsidR="007C4DC9" w:rsidRPr="002D7733">
        <w:rPr>
          <w:rFonts w:ascii="Times New Roman" w:hAnsi="Times New Roman"/>
          <w:sz w:val="24"/>
          <w:szCs w:val="24"/>
        </w:rPr>
        <w:t>ka</w:t>
      </w:r>
      <w:r w:rsidR="00C4367E" w:rsidRPr="00D970BB">
        <w:rPr>
          <w:rFonts w:ascii="Times New Roman" w:hAnsi="Times New Roman"/>
          <w:sz w:val="24"/>
          <w:szCs w:val="24"/>
        </w:rPr>
        <w:t xml:space="preserve"> </w:t>
      </w:r>
      <w:r w:rsidR="008A0F79">
        <w:rPr>
          <w:rFonts w:ascii="Times New Roman" w:hAnsi="Times New Roman"/>
          <w:sz w:val="24"/>
          <w:szCs w:val="24"/>
        </w:rPr>
        <w:t>īstenoti</w:t>
      </w:r>
      <w:r w:rsidR="008A0F79" w:rsidRPr="00D970BB">
        <w:rPr>
          <w:rFonts w:ascii="Times New Roman" w:hAnsi="Times New Roman"/>
          <w:sz w:val="24"/>
          <w:szCs w:val="24"/>
        </w:rPr>
        <w:t xml:space="preserve"> </w:t>
      </w:r>
      <w:r w:rsidR="008D19F1" w:rsidRPr="00D970BB">
        <w:rPr>
          <w:rFonts w:ascii="Times New Roman" w:hAnsi="Times New Roman"/>
          <w:sz w:val="24"/>
          <w:szCs w:val="24"/>
        </w:rPr>
        <w:t xml:space="preserve">3 </w:t>
      </w:r>
      <w:r w:rsidR="00C4367E" w:rsidRPr="00D970BB">
        <w:rPr>
          <w:rFonts w:ascii="Times New Roman" w:hAnsi="Times New Roman"/>
          <w:sz w:val="24"/>
          <w:szCs w:val="24"/>
        </w:rPr>
        <w:t>projekt</w:t>
      </w:r>
      <w:r w:rsidR="008A0F79">
        <w:rPr>
          <w:rFonts w:ascii="Times New Roman" w:hAnsi="Times New Roman"/>
          <w:sz w:val="24"/>
          <w:szCs w:val="24"/>
        </w:rPr>
        <w:t>i</w:t>
      </w:r>
      <w:r w:rsidR="00C4367E" w:rsidRPr="00D970BB">
        <w:rPr>
          <w:rFonts w:ascii="Times New Roman" w:hAnsi="Times New Roman"/>
          <w:sz w:val="24"/>
          <w:szCs w:val="24"/>
        </w:rPr>
        <w:t xml:space="preserve">, Kurzemes plānošanas reģionā </w:t>
      </w:r>
      <w:r w:rsidR="00C4367E" w:rsidRPr="002D7733">
        <w:rPr>
          <w:rFonts w:ascii="Times New Roman" w:hAnsi="Times New Roman"/>
          <w:sz w:val="24"/>
          <w:szCs w:val="24"/>
        </w:rPr>
        <w:t>ti</w:t>
      </w:r>
      <w:r w:rsidR="007C4DC9" w:rsidRPr="002D7733">
        <w:rPr>
          <w:rFonts w:ascii="Times New Roman" w:hAnsi="Times New Roman"/>
          <w:sz w:val="24"/>
          <w:szCs w:val="24"/>
        </w:rPr>
        <w:t>ka</w:t>
      </w:r>
      <w:r w:rsidR="00C4367E" w:rsidRPr="00D970BB">
        <w:rPr>
          <w:rFonts w:ascii="Times New Roman" w:hAnsi="Times New Roman"/>
          <w:sz w:val="24"/>
          <w:szCs w:val="24"/>
        </w:rPr>
        <w:t xml:space="preserve"> īstenoti 2 projekti un pa vienam projektam Vidzemes un Zemgales plānošanas reģion</w:t>
      </w:r>
      <w:r w:rsidR="008D19F1" w:rsidRPr="00D970BB">
        <w:rPr>
          <w:rFonts w:ascii="Times New Roman" w:hAnsi="Times New Roman"/>
          <w:sz w:val="24"/>
          <w:szCs w:val="24"/>
        </w:rPr>
        <w:t>ā</w:t>
      </w:r>
      <w:r w:rsidR="008A0F79">
        <w:rPr>
          <w:rFonts w:ascii="Times New Roman" w:hAnsi="Times New Roman"/>
          <w:sz w:val="24"/>
          <w:szCs w:val="24"/>
        </w:rPr>
        <w:t>. Aktivitātes ietvaros tika</w:t>
      </w:r>
      <w:r w:rsidR="008D19F1" w:rsidRPr="00D970BB">
        <w:rPr>
          <w:rFonts w:ascii="Times New Roman" w:hAnsi="Times New Roman"/>
          <w:sz w:val="24"/>
          <w:szCs w:val="24"/>
        </w:rPr>
        <w:t xml:space="preserve"> </w:t>
      </w:r>
      <w:r w:rsidR="00C4367E" w:rsidRPr="00D970BB">
        <w:rPr>
          <w:rFonts w:ascii="Times New Roman" w:hAnsi="Times New Roman"/>
          <w:sz w:val="24"/>
          <w:szCs w:val="24"/>
        </w:rPr>
        <w:t>lauzti līgumi par trīs projektu īstenošanu Rīgas plānošanas reģionā.</w:t>
      </w:r>
    </w:p>
    <w:p w14:paraId="3DCFE275" w14:textId="77777777" w:rsidR="00B22524" w:rsidRDefault="00B22524" w:rsidP="00E7642A">
      <w:pPr>
        <w:spacing w:after="160" w:line="259" w:lineRule="auto"/>
        <w:ind w:left="0"/>
        <w:jc w:val="left"/>
        <w:rPr>
          <w:rFonts w:ascii="Times New Roman" w:hAnsi="Times New Roman"/>
          <w:i/>
          <w:iCs/>
          <w:sz w:val="24"/>
          <w:szCs w:val="24"/>
        </w:rPr>
      </w:pPr>
      <w:r>
        <w:rPr>
          <w:rFonts w:ascii="Times New Roman" w:hAnsi="Times New Roman"/>
          <w:sz w:val="24"/>
          <w:szCs w:val="24"/>
        </w:rPr>
        <w:br w:type="page"/>
      </w:r>
    </w:p>
    <w:p w14:paraId="7D27B49C" w14:textId="00DD1DE1" w:rsidR="00370786" w:rsidRPr="009C7153" w:rsidRDefault="009C7153" w:rsidP="00E7642A">
      <w:pPr>
        <w:pStyle w:val="Caption"/>
        <w:spacing w:before="120" w:after="120"/>
        <w:jc w:val="right"/>
        <w:rPr>
          <w:shd w:val="clear" w:color="auto" w:fill="D9D9D9" w:themeFill="background1" w:themeFillShade="D9"/>
        </w:rPr>
      </w:pPr>
      <w:r w:rsidRPr="00622315">
        <w:rPr>
          <w:rFonts w:ascii="Times New Roman" w:hAnsi="Times New Roman"/>
          <w:color w:val="auto"/>
          <w:sz w:val="24"/>
          <w:szCs w:val="24"/>
        </w:rPr>
        <w:lastRenderedPageBreak/>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00417751"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00417751" w:rsidRPr="00622315">
        <w:rPr>
          <w:rFonts w:ascii="Times New Roman" w:hAnsi="Times New Roman"/>
          <w:color w:val="auto"/>
          <w:sz w:val="24"/>
          <w:szCs w:val="24"/>
        </w:rPr>
        <w:fldChar w:fldCharType="separate"/>
      </w:r>
      <w:r w:rsidR="00E7642A">
        <w:rPr>
          <w:rFonts w:ascii="Times New Roman" w:hAnsi="Times New Roman"/>
          <w:noProof/>
          <w:color w:val="auto"/>
          <w:sz w:val="24"/>
          <w:szCs w:val="24"/>
        </w:rPr>
        <w:t>6</w:t>
      </w:r>
      <w:r w:rsidR="00417751" w:rsidRPr="00622315">
        <w:rPr>
          <w:rFonts w:ascii="Times New Roman" w:hAnsi="Times New Roman"/>
          <w:color w:val="auto"/>
          <w:sz w:val="24"/>
          <w:szCs w:val="24"/>
        </w:rPr>
        <w:fldChar w:fldCharType="end"/>
      </w:r>
      <w:r>
        <w:rPr>
          <w:rFonts w:ascii="Times New Roman" w:hAnsi="Times New Roman"/>
          <w:color w:val="auto"/>
          <w:sz w:val="24"/>
          <w:szCs w:val="24"/>
        </w:rPr>
        <w:t>.</w:t>
      </w:r>
    </w:p>
    <w:p w14:paraId="7748BD3B" w14:textId="77777777" w:rsidR="00370786" w:rsidRPr="009C7153" w:rsidRDefault="00370786" w:rsidP="00E7642A">
      <w:pPr>
        <w:pStyle w:val="ListParagraph"/>
        <w:tabs>
          <w:tab w:val="left" w:pos="0"/>
        </w:tabs>
        <w:spacing w:before="0" w:after="200"/>
        <w:ind w:left="0" w:firstLine="0"/>
        <w:contextualSpacing w:val="0"/>
        <w:jc w:val="center"/>
        <w:rPr>
          <w:rFonts w:cs="Times New Roman"/>
          <w:b/>
        </w:rPr>
      </w:pPr>
      <w:r w:rsidRPr="009C7153">
        <w:rPr>
          <w:rFonts w:cs="Times New Roman"/>
          <w:b/>
        </w:rPr>
        <w:t>2.1.1.3.1. otrās kārtas projektu īstenošanas vietas</w:t>
      </w:r>
    </w:p>
    <w:p w14:paraId="3C907B3E" w14:textId="77777777" w:rsidR="00370786" w:rsidRPr="00C07278" w:rsidRDefault="00370786" w:rsidP="00E7642A">
      <w:pPr>
        <w:pStyle w:val="ListParagraph"/>
        <w:ind w:left="0" w:firstLine="0"/>
        <w:rPr>
          <w:rFonts w:cs="Times New Roman"/>
        </w:rPr>
      </w:pPr>
      <w:r w:rsidRPr="00C07278">
        <w:rPr>
          <w:rFonts w:cs="Times New Roman"/>
          <w:noProof/>
          <w:lang w:eastAsia="lv-LV"/>
        </w:rPr>
        <w:drawing>
          <wp:inline distT="0" distB="0" distL="0" distR="0" wp14:anchorId="2916C95D" wp14:editId="1367B761">
            <wp:extent cx="5715000" cy="3288648"/>
            <wp:effectExtent l="0" t="0" r="0" b="7620"/>
            <wp:docPr id="14" name="Picture 14" descr="C:\Users\azilinsk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linska\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288648"/>
                    </a:xfrm>
                    <a:prstGeom prst="rect">
                      <a:avLst/>
                    </a:prstGeom>
                    <a:noFill/>
                    <a:ln>
                      <a:noFill/>
                    </a:ln>
                  </pic:spPr>
                </pic:pic>
              </a:graphicData>
            </a:graphic>
          </wp:inline>
        </w:drawing>
      </w:r>
    </w:p>
    <w:p w14:paraId="0DD4C847" w14:textId="77EF4003" w:rsidR="00370786" w:rsidRPr="00C07278" w:rsidRDefault="00730A68" w:rsidP="00E7642A">
      <w:pPr>
        <w:rPr>
          <w:rFonts w:ascii="Times New Roman" w:hAnsi="Times New Roman"/>
          <w:sz w:val="20"/>
          <w:szCs w:val="20"/>
        </w:rPr>
      </w:pPr>
      <w:r>
        <w:rPr>
          <w:rFonts w:ascii="Times New Roman" w:hAnsi="Times New Roman"/>
          <w:noProof/>
          <w:sz w:val="20"/>
          <w:szCs w:val="20"/>
          <w:lang w:eastAsia="lv-LV"/>
        </w:rPr>
        <mc:AlternateContent>
          <mc:Choice Requires="wps">
            <w:drawing>
              <wp:anchor distT="0" distB="0" distL="114300" distR="114300" simplePos="0" relativeHeight="251657216" behindDoc="0" locked="0" layoutInCell="1" allowOverlap="1" wp14:anchorId="78D0CF5F" wp14:editId="7DB0851A">
                <wp:simplePos x="0" y="0"/>
                <wp:positionH relativeFrom="margin">
                  <wp:align>left</wp:align>
                </wp:positionH>
                <wp:positionV relativeFrom="paragraph">
                  <wp:posOffset>25400</wp:posOffset>
                </wp:positionV>
                <wp:extent cx="104775" cy="10477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2866EC" id="Oval 2" o:spid="_x0000_s1026" style="position:absolute;margin-left:0;margin-top:2pt;width:8.2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" fillcolor="red">
                <w10:wrap anchorx="margin"/>
              </v:oval>
            </w:pict>
          </mc:Fallback>
        </mc:AlternateContent>
      </w:r>
      <w:r w:rsidR="00370786" w:rsidRPr="00C07278">
        <w:rPr>
          <w:rFonts w:ascii="Times New Roman" w:hAnsi="Times New Roman"/>
          <w:sz w:val="20"/>
          <w:szCs w:val="20"/>
        </w:rPr>
        <w:t>Projekts, kas tiek īstenots vai pabeigts</w:t>
      </w:r>
    </w:p>
    <w:p w14:paraId="3713FB99" w14:textId="7AB25410" w:rsidR="00370786" w:rsidRPr="00C07278" w:rsidRDefault="00730A68" w:rsidP="00E7642A">
      <w:pPr>
        <w:rPr>
          <w:rFonts w:ascii="Times New Roman" w:hAnsi="Times New Roman"/>
          <w:sz w:val="20"/>
          <w:szCs w:val="20"/>
        </w:rPr>
      </w:pPr>
      <w:r>
        <w:rPr>
          <w:rFonts w:ascii="Times New Roman" w:hAnsi="Times New Roman"/>
          <w:noProof/>
          <w:sz w:val="20"/>
          <w:szCs w:val="20"/>
          <w:lang w:eastAsia="lv-LV"/>
        </w:rPr>
        <mc:AlternateContent>
          <mc:Choice Requires="wps">
            <w:drawing>
              <wp:anchor distT="0" distB="0" distL="114300" distR="114300" simplePos="0" relativeHeight="251659264" behindDoc="0" locked="0" layoutInCell="1" allowOverlap="1" wp14:anchorId="7DB079FA" wp14:editId="45020CD0">
                <wp:simplePos x="0" y="0"/>
                <wp:positionH relativeFrom="column">
                  <wp:posOffset>13335</wp:posOffset>
                </wp:positionH>
                <wp:positionV relativeFrom="paragraph">
                  <wp:posOffset>28575</wp:posOffset>
                </wp:positionV>
                <wp:extent cx="104775" cy="88900"/>
                <wp:effectExtent l="0" t="0" r="28575" b="2540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9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C43A8" id="Oval 12" o:spid="_x0000_s1026" style="position:absolute;margin-left:1.05pt;margin-top:2.25pt;width:8.2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" fillcolor="blue"/>
            </w:pict>
          </mc:Fallback>
        </mc:AlternateContent>
      </w:r>
      <w:r w:rsidR="00370786" w:rsidRPr="00C07278">
        <w:rPr>
          <w:rFonts w:ascii="Times New Roman" w:hAnsi="Times New Roman"/>
          <w:sz w:val="20"/>
          <w:szCs w:val="20"/>
        </w:rPr>
        <w:t>Projekts par kuru īstenošanu lauzts līgums</w:t>
      </w:r>
    </w:p>
    <w:p w14:paraId="14A7F214" w14:textId="77777777" w:rsidR="00370786" w:rsidRPr="00C07278" w:rsidRDefault="00370786" w:rsidP="00E7642A">
      <w:pPr>
        <w:tabs>
          <w:tab w:val="left" w:pos="0"/>
        </w:tabs>
        <w:ind w:left="0"/>
        <w:rPr>
          <w:rFonts w:ascii="Times New Roman" w:hAnsi="Times New Roman"/>
          <w:sz w:val="24"/>
          <w:szCs w:val="24"/>
        </w:rPr>
      </w:pPr>
    </w:p>
    <w:p w14:paraId="09FEA669" w14:textId="77777777" w:rsidR="00060A93" w:rsidRPr="00C07278" w:rsidRDefault="00060A93" w:rsidP="00E7642A">
      <w:pPr>
        <w:tabs>
          <w:tab w:val="left" w:pos="0"/>
        </w:tabs>
        <w:ind w:left="0" w:firstLine="567"/>
        <w:rPr>
          <w:rFonts w:ascii="Times New Roman" w:hAnsi="Times New Roman"/>
          <w:sz w:val="24"/>
          <w:szCs w:val="24"/>
        </w:rPr>
      </w:pPr>
      <w:r w:rsidRPr="00C07278">
        <w:rPr>
          <w:rFonts w:ascii="Times New Roman" w:hAnsi="Times New Roman"/>
          <w:sz w:val="24"/>
          <w:szCs w:val="24"/>
        </w:rPr>
        <w:t>Komercpētniecības infrastruktūras programmas nosacījumi paredzēja, ka, ja projektu iesniedz komersants</w:t>
      </w:r>
      <w:r w:rsidR="0085518A">
        <w:rPr>
          <w:rFonts w:ascii="Times New Roman" w:hAnsi="Times New Roman"/>
          <w:sz w:val="24"/>
          <w:szCs w:val="24"/>
        </w:rPr>
        <w:t xml:space="preserve">, </w:t>
      </w:r>
      <w:r w:rsidRPr="00C07278">
        <w:rPr>
          <w:rFonts w:ascii="Times New Roman" w:hAnsi="Times New Roman"/>
          <w:sz w:val="24"/>
          <w:szCs w:val="24"/>
        </w:rPr>
        <w:t xml:space="preserve">zinātniskajai institūcijai ir jābūt vienam no tā dibinātājiem, kam pieder ne mazāk kā 20 % no pamatkapitāla vai balsstiesībām. Programmas ietvaros šādu komersantu </w:t>
      </w:r>
      <w:r w:rsidR="0085518A">
        <w:rPr>
          <w:rFonts w:ascii="Times New Roman" w:hAnsi="Times New Roman"/>
          <w:sz w:val="24"/>
          <w:szCs w:val="24"/>
        </w:rPr>
        <w:t>līdz</w:t>
      </w:r>
      <w:r w:rsidRPr="00C07278">
        <w:rPr>
          <w:rFonts w:ascii="Times New Roman" w:hAnsi="Times New Roman"/>
          <w:sz w:val="24"/>
          <w:szCs w:val="24"/>
        </w:rPr>
        <w:t xml:space="preserve">dibinātāji </w:t>
      </w:r>
      <w:r w:rsidR="008A0F79">
        <w:rPr>
          <w:rFonts w:ascii="Times New Roman" w:hAnsi="Times New Roman"/>
          <w:sz w:val="24"/>
          <w:szCs w:val="24"/>
        </w:rPr>
        <w:t>bija</w:t>
      </w:r>
      <w:r w:rsidR="008A0F79" w:rsidRPr="00C07278">
        <w:rPr>
          <w:rFonts w:ascii="Times New Roman" w:hAnsi="Times New Roman"/>
          <w:sz w:val="24"/>
          <w:szCs w:val="24"/>
        </w:rPr>
        <w:t xml:space="preserve"> </w:t>
      </w:r>
      <w:r w:rsidRPr="00C07278">
        <w:rPr>
          <w:rFonts w:ascii="Times New Roman" w:hAnsi="Times New Roman"/>
          <w:sz w:val="24"/>
          <w:szCs w:val="24"/>
        </w:rPr>
        <w:t xml:space="preserve">LU, OSI, RSU, RTU un 3 privāto tiesību juridisko personu </w:t>
      </w:r>
      <w:r w:rsidR="0085518A" w:rsidRPr="00C07278">
        <w:rPr>
          <w:rFonts w:ascii="Times New Roman" w:hAnsi="Times New Roman"/>
          <w:sz w:val="24"/>
          <w:szCs w:val="24"/>
        </w:rPr>
        <w:t>dibināt</w:t>
      </w:r>
      <w:r w:rsidR="0085518A">
        <w:rPr>
          <w:rFonts w:ascii="Times New Roman" w:hAnsi="Times New Roman"/>
          <w:sz w:val="24"/>
          <w:szCs w:val="24"/>
        </w:rPr>
        <w:t xml:space="preserve">i </w:t>
      </w:r>
      <w:r w:rsidRPr="00C07278">
        <w:rPr>
          <w:rFonts w:ascii="Times New Roman" w:hAnsi="Times New Roman"/>
          <w:sz w:val="24"/>
          <w:szCs w:val="24"/>
        </w:rPr>
        <w:t xml:space="preserve">zinātniskie institūti – </w:t>
      </w:r>
      <w:r w:rsidR="00C53666">
        <w:rPr>
          <w:rFonts w:ascii="Times New Roman" w:hAnsi="Times New Roman"/>
          <w:sz w:val="24"/>
          <w:szCs w:val="24"/>
        </w:rPr>
        <w:t>SIA „Meža un koksnes produktu zinātniskās pētniecības centrs”</w:t>
      </w:r>
      <w:r w:rsidRPr="00C07278">
        <w:rPr>
          <w:rFonts w:ascii="Times New Roman" w:hAnsi="Times New Roman"/>
          <w:sz w:val="24"/>
          <w:szCs w:val="24"/>
        </w:rPr>
        <w:t xml:space="preserve">, </w:t>
      </w:r>
      <w:r w:rsidR="00C53666">
        <w:rPr>
          <w:rFonts w:ascii="Times New Roman" w:hAnsi="Times New Roman"/>
          <w:sz w:val="24"/>
          <w:szCs w:val="24"/>
        </w:rPr>
        <w:t>Transporta un sakaru institūts (TSI)</w:t>
      </w:r>
      <w:r w:rsidR="00C53666" w:rsidRPr="00C07278">
        <w:rPr>
          <w:rFonts w:ascii="Times New Roman" w:hAnsi="Times New Roman"/>
          <w:sz w:val="24"/>
          <w:szCs w:val="24"/>
        </w:rPr>
        <w:t xml:space="preserve"> </w:t>
      </w:r>
      <w:r w:rsidRPr="00C07278">
        <w:rPr>
          <w:rFonts w:ascii="Times New Roman" w:hAnsi="Times New Roman"/>
          <w:sz w:val="24"/>
          <w:szCs w:val="24"/>
        </w:rPr>
        <w:t xml:space="preserve">un </w:t>
      </w:r>
      <w:r w:rsidR="00C53666">
        <w:rPr>
          <w:rFonts w:ascii="Times New Roman" w:hAnsi="Times New Roman"/>
          <w:sz w:val="24"/>
          <w:szCs w:val="24"/>
        </w:rPr>
        <w:t>nodibinājums „Vides risinājumu institūts”</w:t>
      </w:r>
      <w:r w:rsidRPr="00C07278">
        <w:rPr>
          <w:rFonts w:ascii="Times New Roman" w:hAnsi="Times New Roman"/>
          <w:sz w:val="24"/>
          <w:szCs w:val="24"/>
        </w:rPr>
        <w:t>.</w:t>
      </w:r>
    </w:p>
    <w:p w14:paraId="0942C604" w14:textId="77777777" w:rsidR="00060A93" w:rsidRPr="00A42043" w:rsidRDefault="00060A93" w:rsidP="00E7642A">
      <w:pPr>
        <w:tabs>
          <w:tab w:val="left" w:pos="0"/>
        </w:tabs>
        <w:ind w:left="0" w:firstLine="567"/>
        <w:rPr>
          <w:rFonts w:ascii="Times New Roman" w:hAnsi="Times New Roman"/>
          <w:sz w:val="24"/>
          <w:szCs w:val="24"/>
        </w:rPr>
      </w:pPr>
      <w:r w:rsidRPr="00C07278">
        <w:rPr>
          <w:rFonts w:ascii="Times New Roman" w:hAnsi="Times New Roman"/>
          <w:sz w:val="24"/>
          <w:szCs w:val="24"/>
        </w:rPr>
        <w:t xml:space="preserve">Komercpētniecības infrastruktūras projektu ietvaros </w:t>
      </w:r>
      <w:r w:rsidRPr="00A42043">
        <w:rPr>
          <w:rFonts w:ascii="Times New Roman" w:hAnsi="Times New Roman"/>
          <w:sz w:val="24"/>
          <w:szCs w:val="24"/>
        </w:rPr>
        <w:t>ieguldījum</w:t>
      </w:r>
      <w:r w:rsidR="00E216EC" w:rsidRPr="00A42043">
        <w:rPr>
          <w:rFonts w:ascii="Times New Roman" w:hAnsi="Times New Roman"/>
          <w:sz w:val="24"/>
          <w:szCs w:val="24"/>
        </w:rPr>
        <w:t>s</w:t>
      </w:r>
      <w:r w:rsidRPr="00A42043">
        <w:rPr>
          <w:rFonts w:ascii="Times New Roman" w:hAnsi="Times New Roman"/>
          <w:sz w:val="24"/>
          <w:szCs w:val="24"/>
        </w:rPr>
        <w:t xml:space="preserve"> </w:t>
      </w:r>
      <w:r w:rsidR="00E216EC" w:rsidRPr="00A42043">
        <w:rPr>
          <w:rFonts w:ascii="Times New Roman" w:hAnsi="Times New Roman"/>
          <w:sz w:val="24"/>
          <w:szCs w:val="24"/>
        </w:rPr>
        <w:t xml:space="preserve">tika </w:t>
      </w:r>
      <w:r w:rsidRPr="00A42043">
        <w:rPr>
          <w:rFonts w:ascii="Times New Roman" w:hAnsi="Times New Roman"/>
          <w:sz w:val="24"/>
          <w:szCs w:val="24"/>
        </w:rPr>
        <w:t>sniegt šādu tautsaimniecības nozaru attīstībai:</w:t>
      </w:r>
    </w:p>
    <w:p w14:paraId="61B33FF3" w14:textId="77777777" w:rsidR="00060A93" w:rsidRPr="00C07278" w:rsidRDefault="00060A93" w:rsidP="00E7642A">
      <w:pPr>
        <w:pStyle w:val="ListParagraph"/>
        <w:numPr>
          <w:ilvl w:val="0"/>
          <w:numId w:val="7"/>
        </w:numPr>
        <w:tabs>
          <w:tab w:val="left" w:pos="0"/>
        </w:tabs>
        <w:ind w:left="993" w:hanging="426"/>
        <w:rPr>
          <w:rFonts w:cs="Times New Roman"/>
        </w:rPr>
      </w:pPr>
      <w:r w:rsidRPr="00A42043">
        <w:rPr>
          <w:rFonts w:cs="Times New Roman"/>
        </w:rPr>
        <w:t>farmaceitisko pamatvielu un farmaceitisko preparātu ražošana – 1 projekts</w:t>
      </w:r>
      <w:r w:rsidRPr="00C07278">
        <w:rPr>
          <w:rFonts w:cs="Times New Roman"/>
        </w:rPr>
        <w:t xml:space="preserve"> (SIA “Nukleārās medicīnas centrs”);</w:t>
      </w:r>
    </w:p>
    <w:p w14:paraId="34A92578" w14:textId="77777777" w:rsidR="00060A93" w:rsidRPr="00C07278" w:rsidRDefault="00060A93" w:rsidP="00E7642A">
      <w:pPr>
        <w:pStyle w:val="ListParagraph"/>
        <w:numPr>
          <w:ilvl w:val="0"/>
          <w:numId w:val="7"/>
        </w:numPr>
        <w:tabs>
          <w:tab w:val="left" w:pos="0"/>
        </w:tabs>
        <w:ind w:left="993" w:hanging="426"/>
        <w:rPr>
          <w:rFonts w:cs="Times New Roman"/>
        </w:rPr>
      </w:pPr>
      <w:r w:rsidRPr="00C07278">
        <w:rPr>
          <w:rFonts w:cs="Times New Roman"/>
        </w:rPr>
        <w:t>datorprogrammēšana, konsultēšana un saistītās darbības – 1 projekts (SIA “Programmatūras testēšanas laboratorija”;</w:t>
      </w:r>
    </w:p>
    <w:p w14:paraId="580F3E6A" w14:textId="77777777" w:rsidR="00060A93" w:rsidRPr="00C07278" w:rsidRDefault="00060A93" w:rsidP="00E7642A">
      <w:pPr>
        <w:pStyle w:val="ListParagraph"/>
        <w:numPr>
          <w:ilvl w:val="0"/>
          <w:numId w:val="7"/>
        </w:numPr>
        <w:tabs>
          <w:tab w:val="left" w:pos="0"/>
        </w:tabs>
        <w:ind w:left="993" w:hanging="426"/>
        <w:rPr>
          <w:rFonts w:cs="Times New Roman"/>
        </w:rPr>
      </w:pPr>
      <w:r w:rsidRPr="00C07278">
        <w:rPr>
          <w:rFonts w:cs="Times New Roman"/>
        </w:rPr>
        <w:t>datoru, elektronisko un optisko iekārtu ražošana – 1 projekts (SIA “Aviācijas pētniecības centrs”);</w:t>
      </w:r>
    </w:p>
    <w:p w14:paraId="5BDA4FD5" w14:textId="77777777" w:rsidR="00060A93" w:rsidRPr="00C07278" w:rsidRDefault="00060A93" w:rsidP="00E7642A">
      <w:pPr>
        <w:pStyle w:val="ListParagraph"/>
        <w:numPr>
          <w:ilvl w:val="0"/>
          <w:numId w:val="7"/>
        </w:numPr>
        <w:tabs>
          <w:tab w:val="left" w:pos="0"/>
        </w:tabs>
        <w:ind w:left="993" w:hanging="426"/>
        <w:rPr>
          <w:rFonts w:cs="Times New Roman"/>
        </w:rPr>
      </w:pPr>
      <w:r w:rsidRPr="00C07278">
        <w:rPr>
          <w:rFonts w:cs="Times New Roman"/>
        </w:rPr>
        <w:t>augļkopība un lopkopība; mežsaimniecība un mežistrāde; ar ieguves rūpniecību saistītās palīgdarbības – 1 projekts (SIA “</w:t>
      </w:r>
      <w:r w:rsidRPr="00C07278">
        <w:rPr>
          <w:rFonts w:cs="Times New Roman"/>
          <w:i/>
        </w:rPr>
        <w:t>Centre for Remote Sensing</w:t>
      </w:r>
      <w:r w:rsidRPr="00C07278">
        <w:rPr>
          <w:rFonts w:cs="Times New Roman"/>
        </w:rPr>
        <w:t>”);</w:t>
      </w:r>
    </w:p>
    <w:p w14:paraId="61358AB9" w14:textId="77777777" w:rsidR="00060A93" w:rsidRPr="00C07278" w:rsidRDefault="00060A93" w:rsidP="00E7642A">
      <w:pPr>
        <w:pStyle w:val="ListParagraph"/>
        <w:numPr>
          <w:ilvl w:val="0"/>
          <w:numId w:val="7"/>
        </w:numPr>
        <w:tabs>
          <w:tab w:val="left" w:pos="0"/>
        </w:tabs>
        <w:ind w:left="993" w:hanging="426"/>
        <w:rPr>
          <w:rFonts w:cs="Times New Roman"/>
        </w:rPr>
      </w:pPr>
      <w:r w:rsidRPr="00C07278">
        <w:rPr>
          <w:rFonts w:cs="Times New Roman"/>
        </w:rPr>
        <w:t>koksnes un korķa izstrādājumu ražošana, izņemot mēbeles; salmu un pīto izstrādājumu ražošana – 1 projekts (SIA “IKTK”);</w:t>
      </w:r>
    </w:p>
    <w:p w14:paraId="5E17CE12" w14:textId="77777777" w:rsidR="00060A93" w:rsidRPr="00C07278" w:rsidRDefault="00060A93" w:rsidP="00E7642A">
      <w:pPr>
        <w:pStyle w:val="ListParagraph"/>
        <w:numPr>
          <w:ilvl w:val="0"/>
          <w:numId w:val="7"/>
        </w:numPr>
        <w:tabs>
          <w:tab w:val="left" w:pos="0"/>
        </w:tabs>
        <w:ind w:left="993" w:hanging="426"/>
        <w:rPr>
          <w:rFonts w:cs="Times New Roman"/>
        </w:rPr>
      </w:pPr>
      <w:r w:rsidRPr="00C07278">
        <w:rPr>
          <w:rFonts w:cs="Times New Roman"/>
        </w:rPr>
        <w:t>metāla ražošana – 1 projekts (SIA “</w:t>
      </w:r>
      <w:r w:rsidRPr="00C07278">
        <w:rPr>
          <w:rFonts w:cs="Times New Roman"/>
          <w:i/>
        </w:rPr>
        <w:t xml:space="preserve">MHD </w:t>
      </w:r>
      <w:r w:rsidRPr="00C07278">
        <w:rPr>
          <w:rFonts w:cs="Times New Roman"/>
          <w:i/>
          <w:lang w:val="en-US"/>
        </w:rPr>
        <w:t>Research Centre</w:t>
      </w:r>
      <w:r w:rsidRPr="00C07278">
        <w:rPr>
          <w:rFonts w:cs="Times New Roman"/>
        </w:rPr>
        <w:t>”);</w:t>
      </w:r>
    </w:p>
    <w:p w14:paraId="524973D6" w14:textId="77777777" w:rsidR="00060A93" w:rsidRPr="00C07278" w:rsidRDefault="00060A93" w:rsidP="00E7642A">
      <w:pPr>
        <w:pStyle w:val="ListParagraph"/>
        <w:numPr>
          <w:ilvl w:val="0"/>
          <w:numId w:val="7"/>
        </w:numPr>
        <w:tabs>
          <w:tab w:val="left" w:pos="0"/>
        </w:tabs>
        <w:ind w:left="993" w:hanging="426"/>
        <w:rPr>
          <w:rFonts w:cs="Times New Roman"/>
        </w:rPr>
      </w:pPr>
      <w:r w:rsidRPr="00C07278">
        <w:rPr>
          <w:rFonts w:cs="Times New Roman"/>
        </w:rPr>
        <w:t>citur nekvalificētu iekārtu mehānismu un darba mašīnu ražošana (dzinēju, turbīnu, sūkņu, kurtuvju, krāšņu un degļu ražošana) un inženierbūvniecība – 1 projekts (SIA “Baltijas jūras ģeoloģijas centrs”).</w:t>
      </w:r>
    </w:p>
    <w:p w14:paraId="66EDB6C6" w14:textId="77777777" w:rsidR="00060A93" w:rsidRPr="00C07278" w:rsidRDefault="00060A93" w:rsidP="00E7642A">
      <w:pPr>
        <w:tabs>
          <w:tab w:val="left" w:pos="0"/>
        </w:tabs>
        <w:ind w:left="0" w:firstLine="567"/>
        <w:rPr>
          <w:rFonts w:ascii="Times New Roman" w:hAnsi="Times New Roman"/>
          <w:sz w:val="24"/>
          <w:szCs w:val="24"/>
        </w:rPr>
      </w:pPr>
      <w:r w:rsidRPr="00C07278">
        <w:rPr>
          <w:rFonts w:ascii="Times New Roman" w:hAnsi="Times New Roman"/>
          <w:sz w:val="24"/>
          <w:szCs w:val="24"/>
        </w:rPr>
        <w:t>Lauzti līgumi par projektu īstenošanu šādās uz tautsaimniecības nozarēs:</w:t>
      </w:r>
    </w:p>
    <w:p w14:paraId="4889C88F" w14:textId="77777777" w:rsidR="00060A93" w:rsidRPr="00C07278" w:rsidRDefault="00060A93" w:rsidP="00E7642A">
      <w:pPr>
        <w:pStyle w:val="ListParagraph"/>
        <w:numPr>
          <w:ilvl w:val="0"/>
          <w:numId w:val="30"/>
        </w:numPr>
        <w:tabs>
          <w:tab w:val="left" w:pos="0"/>
        </w:tabs>
        <w:ind w:left="993"/>
        <w:rPr>
          <w:rFonts w:cs="Times New Roman"/>
        </w:rPr>
      </w:pPr>
      <w:r w:rsidRPr="00C07278">
        <w:rPr>
          <w:rFonts w:cs="Times New Roman"/>
        </w:rPr>
        <w:lastRenderedPageBreak/>
        <w:t>farmaceitisko pamatvielu un farmaceitisko preparātu ražošana; veselības aizsardzība – 2 projekti (SIA “Baltijas ciklotrona centrs” un SIA “</w:t>
      </w:r>
      <w:r w:rsidRPr="00C07278">
        <w:rPr>
          <w:rFonts w:cs="Times New Roman"/>
          <w:i/>
          <w:iCs/>
        </w:rPr>
        <w:t>Unipharmalab</w:t>
      </w:r>
      <w:r w:rsidRPr="00C07278">
        <w:rPr>
          <w:rFonts w:cs="Times New Roman"/>
        </w:rPr>
        <w:t>”);</w:t>
      </w:r>
    </w:p>
    <w:p w14:paraId="68DFEEBD" w14:textId="77777777" w:rsidR="008A0F79" w:rsidRPr="005163E5" w:rsidRDefault="00060A93" w:rsidP="00E7642A">
      <w:pPr>
        <w:pStyle w:val="ListParagraph"/>
        <w:numPr>
          <w:ilvl w:val="0"/>
          <w:numId w:val="30"/>
        </w:numPr>
        <w:tabs>
          <w:tab w:val="left" w:pos="0"/>
        </w:tabs>
        <w:ind w:left="993"/>
        <w:rPr>
          <w:rFonts w:cs="Times New Roman"/>
        </w:rPr>
      </w:pPr>
      <w:r w:rsidRPr="00C07278">
        <w:rPr>
          <w:rFonts w:cs="Times New Roman"/>
        </w:rPr>
        <w:t>ķīmisko vielu un ķīmisko produktu ražošana – 1 projekts (projektu ģeogrāfisko izvietojumu sk</w:t>
      </w:r>
      <w:r w:rsidR="005163E5">
        <w:rPr>
          <w:rFonts w:cs="Times New Roman"/>
        </w:rPr>
        <w:t>at</w:t>
      </w:r>
      <w:r w:rsidRPr="00C07278">
        <w:rPr>
          <w:rFonts w:cs="Times New Roman"/>
        </w:rPr>
        <w:t xml:space="preserve">. </w:t>
      </w:r>
      <w:r w:rsidR="005163E5">
        <w:rPr>
          <w:rFonts w:cs="Times New Roman"/>
        </w:rPr>
        <w:t>6.</w:t>
      </w:r>
      <w:r w:rsidR="00A36CEB">
        <w:rPr>
          <w:rFonts w:cs="Times New Roman"/>
        </w:rPr>
        <w:t> </w:t>
      </w:r>
      <w:r w:rsidRPr="00C07278">
        <w:rPr>
          <w:rFonts w:cs="Times New Roman"/>
        </w:rPr>
        <w:t>attēl</w:t>
      </w:r>
      <w:r w:rsidR="005163E5">
        <w:rPr>
          <w:rFonts w:cs="Times New Roman"/>
        </w:rPr>
        <w:t>u</w:t>
      </w:r>
      <w:r w:rsidRPr="00C07278">
        <w:rPr>
          <w:rFonts w:cs="Times New Roman"/>
        </w:rPr>
        <w:t>).</w:t>
      </w:r>
    </w:p>
    <w:p w14:paraId="71D6ABDD" w14:textId="77777777" w:rsidR="0039273A" w:rsidRPr="00C07278" w:rsidRDefault="005163E5" w:rsidP="00E7642A">
      <w:pPr>
        <w:tabs>
          <w:tab w:val="left" w:pos="0"/>
        </w:tabs>
        <w:ind w:left="0" w:firstLine="567"/>
        <w:rPr>
          <w:rFonts w:ascii="Times New Roman" w:hAnsi="Times New Roman"/>
          <w:sz w:val="24"/>
          <w:szCs w:val="24"/>
        </w:rPr>
      </w:pPr>
      <w:r>
        <w:rPr>
          <w:rFonts w:ascii="Times New Roman" w:hAnsi="Times New Roman"/>
          <w:sz w:val="24"/>
          <w:szCs w:val="24"/>
        </w:rPr>
        <w:t>A</w:t>
      </w:r>
      <w:r w:rsidR="008A2C58" w:rsidRPr="002D7733">
        <w:rPr>
          <w:rFonts w:ascii="Times New Roman" w:hAnsi="Times New Roman"/>
          <w:sz w:val="24"/>
          <w:szCs w:val="24"/>
        </w:rPr>
        <w:t>pakšaktivitātes ietvaros k</w:t>
      </w:r>
      <w:r w:rsidR="00047F76" w:rsidRPr="002D7733">
        <w:rPr>
          <w:rFonts w:ascii="Times New Roman" w:hAnsi="Times New Roman"/>
          <w:sz w:val="24"/>
          <w:szCs w:val="24"/>
        </w:rPr>
        <w:t>opējais</w:t>
      </w:r>
      <w:r w:rsidR="00060A93" w:rsidRPr="002D7733">
        <w:rPr>
          <w:rFonts w:ascii="Times New Roman" w:hAnsi="Times New Roman"/>
          <w:sz w:val="24"/>
          <w:szCs w:val="24"/>
        </w:rPr>
        <w:t xml:space="preserve"> </w:t>
      </w:r>
      <w:r w:rsidR="005234A4" w:rsidRPr="002D7733">
        <w:rPr>
          <w:rFonts w:ascii="Times New Roman" w:hAnsi="Times New Roman"/>
          <w:sz w:val="24"/>
          <w:szCs w:val="24"/>
        </w:rPr>
        <w:t xml:space="preserve">īstenoto projektu </w:t>
      </w:r>
      <w:r w:rsidR="00060A93" w:rsidRPr="002D7733">
        <w:rPr>
          <w:rFonts w:ascii="Times New Roman" w:hAnsi="Times New Roman"/>
          <w:sz w:val="24"/>
          <w:szCs w:val="24"/>
        </w:rPr>
        <w:t xml:space="preserve">attiecināmais finansējums komercpētniecības infrastruktūras attīstībai bija 35,1 milj. </w:t>
      </w:r>
      <w:r w:rsidR="00060A93" w:rsidRPr="002D7733">
        <w:rPr>
          <w:rFonts w:ascii="Times New Roman" w:hAnsi="Times New Roman"/>
          <w:i/>
          <w:sz w:val="24"/>
          <w:szCs w:val="24"/>
        </w:rPr>
        <w:t>euro</w:t>
      </w:r>
      <w:r w:rsidR="00060A93" w:rsidRPr="002D7733">
        <w:rPr>
          <w:rFonts w:ascii="Times New Roman" w:hAnsi="Times New Roman"/>
          <w:sz w:val="24"/>
          <w:szCs w:val="24"/>
        </w:rPr>
        <w:t xml:space="preserve">, tai skaitā </w:t>
      </w:r>
      <w:r w:rsidR="00047F76" w:rsidRPr="002D7733">
        <w:rPr>
          <w:rFonts w:ascii="Times New Roman" w:hAnsi="Times New Roman"/>
          <w:sz w:val="24"/>
          <w:szCs w:val="24"/>
        </w:rPr>
        <w:t xml:space="preserve"> ERAF finansējums 23</w:t>
      </w:r>
      <w:r w:rsidR="00060A93" w:rsidRPr="002D7733">
        <w:rPr>
          <w:rFonts w:ascii="Times New Roman" w:hAnsi="Times New Roman"/>
          <w:sz w:val="24"/>
          <w:szCs w:val="24"/>
        </w:rPr>
        <w:t>,5</w:t>
      </w:r>
      <w:r w:rsidR="008A2C58" w:rsidRPr="002D7733">
        <w:rPr>
          <w:rFonts w:ascii="Times New Roman" w:hAnsi="Times New Roman"/>
          <w:sz w:val="24"/>
          <w:szCs w:val="24"/>
        </w:rPr>
        <w:t xml:space="preserve"> milj. </w:t>
      </w:r>
      <w:r w:rsidR="00047F76" w:rsidRPr="002D7733">
        <w:rPr>
          <w:rFonts w:ascii="Times New Roman" w:hAnsi="Times New Roman"/>
          <w:i/>
          <w:sz w:val="24"/>
          <w:szCs w:val="24"/>
        </w:rPr>
        <w:t>euro</w:t>
      </w:r>
      <w:r w:rsidR="00FA421E" w:rsidRPr="002D7733">
        <w:rPr>
          <w:rFonts w:ascii="Times New Roman" w:hAnsi="Times New Roman"/>
          <w:sz w:val="24"/>
          <w:szCs w:val="24"/>
        </w:rPr>
        <w:t xml:space="preserve"> (sk</w:t>
      </w:r>
      <w:r>
        <w:rPr>
          <w:rFonts w:ascii="Times New Roman" w:hAnsi="Times New Roman"/>
          <w:sz w:val="24"/>
          <w:szCs w:val="24"/>
        </w:rPr>
        <w:t>at</w:t>
      </w:r>
      <w:r w:rsidR="00FA421E" w:rsidRPr="002D7733">
        <w:rPr>
          <w:rFonts w:ascii="Times New Roman" w:hAnsi="Times New Roman"/>
          <w:sz w:val="24"/>
          <w:szCs w:val="24"/>
        </w:rPr>
        <w:t xml:space="preserve">. </w:t>
      </w:r>
      <w:r>
        <w:rPr>
          <w:rFonts w:ascii="Times New Roman" w:hAnsi="Times New Roman"/>
          <w:sz w:val="24"/>
          <w:szCs w:val="24"/>
        </w:rPr>
        <w:t>6.</w:t>
      </w:r>
      <w:r w:rsidR="00FA421E" w:rsidRPr="002D7733">
        <w:rPr>
          <w:rFonts w:ascii="Times New Roman" w:hAnsi="Times New Roman"/>
          <w:sz w:val="24"/>
          <w:szCs w:val="24"/>
        </w:rPr>
        <w:t>tabulu)</w:t>
      </w:r>
      <w:r w:rsidR="00047F76" w:rsidRPr="002D7733">
        <w:rPr>
          <w:rFonts w:ascii="Times New Roman" w:hAnsi="Times New Roman"/>
          <w:sz w:val="24"/>
          <w:szCs w:val="24"/>
        </w:rPr>
        <w:t>.</w:t>
      </w:r>
      <w:r w:rsidR="00047F76" w:rsidRPr="008A0F79">
        <w:rPr>
          <w:rFonts w:ascii="Times New Roman" w:hAnsi="Times New Roman"/>
          <w:sz w:val="24"/>
          <w:szCs w:val="24"/>
        </w:rPr>
        <w:t xml:space="preserve"> </w:t>
      </w:r>
      <w:r w:rsidR="00E216EC" w:rsidRPr="008A0F79">
        <w:rPr>
          <w:rFonts w:ascii="Times New Roman" w:hAnsi="Times New Roman"/>
          <w:sz w:val="24"/>
          <w:szCs w:val="24"/>
        </w:rPr>
        <w:t xml:space="preserve">Maksimālā </w:t>
      </w:r>
      <w:r w:rsidR="00047F76" w:rsidRPr="008A0F79">
        <w:rPr>
          <w:rFonts w:ascii="Times New Roman" w:hAnsi="Times New Roman"/>
          <w:sz w:val="24"/>
          <w:szCs w:val="24"/>
        </w:rPr>
        <w:t xml:space="preserve">ERAF līdzfinansējuma </w:t>
      </w:r>
      <w:r w:rsidR="00E216EC" w:rsidRPr="008A0F79">
        <w:rPr>
          <w:rFonts w:ascii="Times New Roman" w:hAnsi="Times New Roman"/>
          <w:sz w:val="24"/>
          <w:szCs w:val="24"/>
        </w:rPr>
        <w:t xml:space="preserve">atbalsta intensitāte </w:t>
      </w:r>
      <w:r w:rsidR="00047F76" w:rsidRPr="008A0F79">
        <w:rPr>
          <w:rFonts w:ascii="Times New Roman" w:hAnsi="Times New Roman"/>
          <w:sz w:val="24"/>
          <w:szCs w:val="24"/>
        </w:rPr>
        <w:t xml:space="preserve">no kopējām projekta attiecināmajām izmaksām </w:t>
      </w:r>
      <w:r w:rsidR="00FF27F3" w:rsidRPr="008A0F79">
        <w:rPr>
          <w:rFonts w:ascii="Times New Roman" w:hAnsi="Times New Roman"/>
          <w:sz w:val="24"/>
          <w:szCs w:val="24"/>
        </w:rPr>
        <w:t>bija</w:t>
      </w:r>
      <w:r w:rsidR="00FF27F3" w:rsidRPr="00C07278">
        <w:rPr>
          <w:rFonts w:ascii="Times New Roman" w:hAnsi="Times New Roman"/>
          <w:sz w:val="24"/>
          <w:szCs w:val="24"/>
        </w:rPr>
        <w:t xml:space="preserve"> </w:t>
      </w:r>
      <w:r w:rsidR="00047F76" w:rsidRPr="00C07278">
        <w:rPr>
          <w:rFonts w:ascii="Times New Roman" w:hAnsi="Times New Roman"/>
          <w:sz w:val="24"/>
          <w:szCs w:val="24"/>
        </w:rPr>
        <w:t xml:space="preserve">70 </w:t>
      </w:r>
      <w:r w:rsidR="005234A4">
        <w:rPr>
          <w:rFonts w:ascii="Times New Roman" w:hAnsi="Times New Roman"/>
          <w:sz w:val="24"/>
          <w:szCs w:val="24"/>
        </w:rPr>
        <w:t>procenti</w:t>
      </w:r>
      <w:r w:rsidR="005234A4" w:rsidRPr="00C07278">
        <w:rPr>
          <w:rFonts w:ascii="Times New Roman" w:hAnsi="Times New Roman"/>
          <w:sz w:val="24"/>
          <w:szCs w:val="24"/>
        </w:rPr>
        <w:t xml:space="preserve">, </w:t>
      </w:r>
      <w:r w:rsidR="00047F76" w:rsidRPr="00C07278">
        <w:rPr>
          <w:rFonts w:ascii="Times New Roman" w:hAnsi="Times New Roman"/>
          <w:sz w:val="24"/>
          <w:szCs w:val="24"/>
        </w:rPr>
        <w:t xml:space="preserve">ja projekta iesniedzējs </w:t>
      </w:r>
      <w:r w:rsidR="00E216EC" w:rsidRPr="00C07278">
        <w:rPr>
          <w:rFonts w:ascii="Times New Roman" w:hAnsi="Times New Roman"/>
          <w:sz w:val="24"/>
          <w:szCs w:val="24"/>
        </w:rPr>
        <w:t xml:space="preserve">atbilda </w:t>
      </w:r>
      <w:r w:rsidR="00047F76" w:rsidRPr="00C07278">
        <w:rPr>
          <w:rFonts w:ascii="Times New Roman" w:hAnsi="Times New Roman"/>
          <w:sz w:val="24"/>
          <w:szCs w:val="24"/>
        </w:rPr>
        <w:t xml:space="preserve">mikro vai mazā komersanta definīcijai; 60 </w:t>
      </w:r>
      <w:r w:rsidR="005234A4">
        <w:rPr>
          <w:rFonts w:ascii="Times New Roman" w:hAnsi="Times New Roman"/>
          <w:sz w:val="24"/>
          <w:szCs w:val="24"/>
        </w:rPr>
        <w:t>procenti</w:t>
      </w:r>
      <w:r w:rsidR="005234A4" w:rsidRPr="00C07278">
        <w:rPr>
          <w:rFonts w:ascii="Times New Roman" w:hAnsi="Times New Roman"/>
          <w:sz w:val="24"/>
          <w:szCs w:val="24"/>
        </w:rPr>
        <w:t xml:space="preserve">, </w:t>
      </w:r>
      <w:r w:rsidR="00047F76" w:rsidRPr="00C07278">
        <w:rPr>
          <w:rFonts w:ascii="Times New Roman" w:hAnsi="Times New Roman"/>
          <w:sz w:val="24"/>
          <w:szCs w:val="24"/>
        </w:rPr>
        <w:t>ja projekta iesniedzējs atbil</w:t>
      </w:r>
      <w:r w:rsidR="00E216EC" w:rsidRPr="00C07278">
        <w:rPr>
          <w:rFonts w:ascii="Times New Roman" w:hAnsi="Times New Roman"/>
          <w:sz w:val="24"/>
          <w:szCs w:val="24"/>
        </w:rPr>
        <w:t>da</w:t>
      </w:r>
      <w:r w:rsidR="00047F76" w:rsidRPr="00C07278">
        <w:rPr>
          <w:rFonts w:ascii="Times New Roman" w:hAnsi="Times New Roman"/>
          <w:sz w:val="24"/>
          <w:szCs w:val="24"/>
        </w:rPr>
        <w:t xml:space="preserve"> vidējā komersanta definīcijai un 50 </w:t>
      </w:r>
      <w:r w:rsidR="005234A4">
        <w:rPr>
          <w:rFonts w:ascii="Times New Roman" w:hAnsi="Times New Roman"/>
          <w:sz w:val="24"/>
          <w:szCs w:val="24"/>
        </w:rPr>
        <w:t>procenti</w:t>
      </w:r>
      <w:r w:rsidR="005234A4" w:rsidRPr="00C07278">
        <w:rPr>
          <w:rFonts w:ascii="Times New Roman" w:hAnsi="Times New Roman"/>
          <w:sz w:val="24"/>
          <w:szCs w:val="24"/>
        </w:rPr>
        <w:t xml:space="preserve">, </w:t>
      </w:r>
      <w:r w:rsidR="00047F76" w:rsidRPr="00C07278">
        <w:rPr>
          <w:rFonts w:ascii="Times New Roman" w:hAnsi="Times New Roman"/>
          <w:sz w:val="24"/>
          <w:szCs w:val="24"/>
        </w:rPr>
        <w:t>ja projekta iesniedzējs atbil</w:t>
      </w:r>
      <w:r w:rsidR="00E216EC" w:rsidRPr="00C07278">
        <w:rPr>
          <w:rFonts w:ascii="Times New Roman" w:hAnsi="Times New Roman"/>
          <w:sz w:val="24"/>
          <w:szCs w:val="24"/>
        </w:rPr>
        <w:t>da</w:t>
      </w:r>
      <w:r w:rsidR="00047F76" w:rsidRPr="00C07278">
        <w:rPr>
          <w:rFonts w:ascii="Times New Roman" w:hAnsi="Times New Roman"/>
          <w:sz w:val="24"/>
          <w:szCs w:val="24"/>
        </w:rPr>
        <w:t xml:space="preserve"> lielā komersanta definīcijai.</w:t>
      </w:r>
      <w:r w:rsidR="00060A93" w:rsidRPr="00C07278">
        <w:rPr>
          <w:rFonts w:ascii="Times New Roman" w:hAnsi="Times New Roman"/>
          <w:sz w:val="24"/>
          <w:szCs w:val="24"/>
        </w:rPr>
        <w:t xml:space="preserve"> </w:t>
      </w:r>
    </w:p>
    <w:p w14:paraId="538C2A01" w14:textId="77777777" w:rsidR="00C95968" w:rsidRPr="00C95968" w:rsidRDefault="00C95968" w:rsidP="00E7642A">
      <w:pPr>
        <w:pStyle w:val="Caption"/>
        <w:keepNext/>
        <w:spacing w:before="120" w:after="120"/>
        <w:jc w:val="right"/>
        <w:rPr>
          <w:sz w:val="24"/>
          <w:szCs w:val="24"/>
          <w:shd w:val="clear" w:color="auto" w:fill="D9D9D9" w:themeFill="background1" w:themeFillShade="D9"/>
        </w:rPr>
      </w:pPr>
      <w:r w:rsidRPr="00C95968">
        <w:rPr>
          <w:rFonts w:ascii="Times New Roman" w:hAnsi="Times New Roman"/>
          <w:color w:val="auto"/>
          <w:sz w:val="24"/>
          <w:szCs w:val="24"/>
        </w:rPr>
        <w:t xml:space="preserve">Tabula Nr. </w:t>
      </w:r>
      <w:r w:rsidR="00417751" w:rsidRPr="00C95968">
        <w:rPr>
          <w:rFonts w:ascii="Times New Roman" w:hAnsi="Times New Roman"/>
          <w:color w:val="auto"/>
          <w:sz w:val="24"/>
          <w:szCs w:val="24"/>
        </w:rPr>
        <w:fldChar w:fldCharType="begin"/>
      </w:r>
      <w:r w:rsidRPr="00C95968">
        <w:rPr>
          <w:rFonts w:ascii="Times New Roman" w:hAnsi="Times New Roman"/>
          <w:color w:val="auto"/>
          <w:sz w:val="24"/>
          <w:szCs w:val="24"/>
        </w:rPr>
        <w:instrText xml:space="preserve"> SEQ Tabula \* ARABIC </w:instrText>
      </w:r>
      <w:r w:rsidR="00417751" w:rsidRPr="00C95968">
        <w:rPr>
          <w:rFonts w:ascii="Times New Roman" w:hAnsi="Times New Roman"/>
          <w:color w:val="auto"/>
          <w:sz w:val="24"/>
          <w:szCs w:val="24"/>
        </w:rPr>
        <w:fldChar w:fldCharType="separate"/>
      </w:r>
      <w:r w:rsidR="00E7642A">
        <w:rPr>
          <w:rFonts w:ascii="Times New Roman" w:hAnsi="Times New Roman"/>
          <w:noProof/>
          <w:color w:val="auto"/>
          <w:sz w:val="24"/>
          <w:szCs w:val="24"/>
        </w:rPr>
        <w:t>6</w:t>
      </w:r>
      <w:r w:rsidR="00417751" w:rsidRPr="00C95968">
        <w:rPr>
          <w:rFonts w:ascii="Times New Roman" w:hAnsi="Times New Roman"/>
          <w:color w:val="auto"/>
          <w:sz w:val="24"/>
          <w:szCs w:val="24"/>
        </w:rPr>
        <w:fldChar w:fldCharType="end"/>
      </w:r>
    </w:p>
    <w:p w14:paraId="433457C8" w14:textId="185F2362" w:rsidR="0039273A" w:rsidRPr="00C95968" w:rsidRDefault="0039273A" w:rsidP="00E7642A">
      <w:pPr>
        <w:tabs>
          <w:tab w:val="left" w:pos="0"/>
        </w:tabs>
        <w:spacing w:after="200"/>
        <w:ind w:left="0"/>
        <w:jc w:val="center"/>
        <w:rPr>
          <w:rFonts w:ascii="Times New Roman" w:hAnsi="Times New Roman"/>
          <w:b/>
          <w:sz w:val="24"/>
          <w:szCs w:val="24"/>
        </w:rPr>
      </w:pPr>
      <w:r w:rsidRPr="00C95968">
        <w:rPr>
          <w:rFonts w:ascii="Times New Roman" w:hAnsi="Times New Roman"/>
          <w:b/>
          <w:sz w:val="24"/>
          <w:szCs w:val="24"/>
        </w:rPr>
        <w:t>Komercpētniecības infrastruktūras attīstībai piesaistītais finansējums pa plānošanas reģioniem, t</w:t>
      </w:r>
      <w:r w:rsidR="00BA16D7">
        <w:rPr>
          <w:rFonts w:ascii="Times New Roman" w:hAnsi="Times New Roman"/>
          <w:b/>
          <w:sz w:val="24"/>
          <w:szCs w:val="24"/>
        </w:rPr>
        <w:t>ai skaitā</w:t>
      </w:r>
      <w:r w:rsidRPr="00C95968">
        <w:rPr>
          <w:rFonts w:ascii="Times New Roman" w:hAnsi="Times New Roman"/>
          <w:b/>
          <w:sz w:val="24"/>
          <w:szCs w:val="24"/>
        </w:rPr>
        <w:t xml:space="preserve"> Rīgā (nav </w:t>
      </w:r>
      <w:r w:rsidR="007A470A">
        <w:rPr>
          <w:rFonts w:ascii="Times New Roman" w:hAnsi="Times New Roman"/>
          <w:b/>
          <w:sz w:val="24"/>
          <w:szCs w:val="24"/>
        </w:rPr>
        <w:t>ietverta</w:t>
      </w:r>
      <w:r w:rsidR="007A470A" w:rsidRPr="00C95968">
        <w:rPr>
          <w:rFonts w:ascii="Times New Roman" w:hAnsi="Times New Roman"/>
          <w:b/>
          <w:sz w:val="24"/>
          <w:szCs w:val="24"/>
        </w:rPr>
        <w:t xml:space="preserve"> </w:t>
      </w:r>
      <w:r w:rsidRPr="00C95968">
        <w:rPr>
          <w:rFonts w:ascii="Times New Roman" w:hAnsi="Times New Roman"/>
          <w:b/>
          <w:sz w:val="24"/>
          <w:szCs w:val="24"/>
        </w:rPr>
        <w:t>informācija par lauztajiem līgumiem)</w:t>
      </w:r>
    </w:p>
    <w:tbl>
      <w:tblPr>
        <w:tblW w:w="5000" w:type="pct"/>
        <w:tblLook w:val="04A0" w:firstRow="1" w:lastRow="0" w:firstColumn="1" w:lastColumn="0" w:noHBand="0" w:noVBand="1"/>
      </w:tblPr>
      <w:tblGrid>
        <w:gridCol w:w="2644"/>
        <w:gridCol w:w="1733"/>
        <w:gridCol w:w="1547"/>
        <w:gridCol w:w="1547"/>
        <w:gridCol w:w="766"/>
      </w:tblGrid>
      <w:tr w:rsidR="0039273A" w:rsidRPr="0096715F" w14:paraId="7E13EBCE" w14:textId="77777777" w:rsidTr="00846439">
        <w:trPr>
          <w:trHeight w:val="974"/>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87151"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2.1.1.3.1.</w:t>
            </w:r>
            <w:r w:rsidR="005234A4">
              <w:rPr>
                <w:rFonts w:ascii="Times New Roman" w:eastAsia="Times New Roman" w:hAnsi="Times New Roman"/>
                <w:b/>
                <w:bCs/>
                <w:color w:val="000000"/>
                <w:lang w:eastAsia="lv-LV"/>
              </w:rPr>
              <w:t> </w:t>
            </w:r>
            <w:r w:rsidRPr="00846439">
              <w:rPr>
                <w:rFonts w:ascii="Times New Roman" w:eastAsia="Times New Roman" w:hAnsi="Times New Roman"/>
                <w:b/>
                <w:bCs/>
                <w:color w:val="000000"/>
                <w:lang w:eastAsia="lv-LV"/>
              </w:rPr>
              <w:t>apakšaktivitātes 2.</w:t>
            </w:r>
            <w:r w:rsidR="005234A4">
              <w:rPr>
                <w:rFonts w:ascii="Times New Roman" w:eastAsia="Times New Roman" w:hAnsi="Times New Roman"/>
                <w:b/>
                <w:bCs/>
                <w:color w:val="000000"/>
                <w:lang w:eastAsia="lv-LV"/>
              </w:rPr>
              <w:t> </w:t>
            </w:r>
            <w:r w:rsidRPr="00846439">
              <w:rPr>
                <w:rFonts w:ascii="Times New Roman" w:eastAsia="Times New Roman" w:hAnsi="Times New Roman"/>
                <w:b/>
                <w:bCs/>
                <w:color w:val="000000"/>
                <w:lang w:eastAsia="lv-LV"/>
              </w:rPr>
              <w:t>kārtas projektu īstenošanas vieta</w:t>
            </w:r>
          </w:p>
        </w:tc>
        <w:tc>
          <w:tcPr>
            <w:tcW w:w="10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C00C37"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 xml:space="preserve">Labuma guvēja kopējais finansējums, </w:t>
            </w:r>
            <w:r w:rsidRPr="00846439">
              <w:rPr>
                <w:rFonts w:ascii="Times New Roman" w:eastAsia="Times New Roman" w:hAnsi="Times New Roman"/>
                <w:b/>
                <w:bCs/>
                <w:i/>
                <w:iCs/>
                <w:color w:val="000000"/>
                <w:lang w:eastAsia="lv-LV"/>
              </w:rPr>
              <w:t>euro</w:t>
            </w:r>
          </w:p>
        </w:tc>
        <w:tc>
          <w:tcPr>
            <w:tcW w:w="9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A16104"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t.</w:t>
            </w:r>
            <w:r w:rsidR="005234A4">
              <w:rPr>
                <w:rFonts w:ascii="Times New Roman" w:eastAsia="Times New Roman" w:hAnsi="Times New Roman"/>
                <w:b/>
                <w:bCs/>
                <w:color w:val="000000"/>
                <w:lang w:eastAsia="lv-LV"/>
              </w:rPr>
              <w:t> </w:t>
            </w:r>
            <w:r w:rsidRPr="00846439">
              <w:rPr>
                <w:rFonts w:ascii="Times New Roman" w:eastAsia="Times New Roman" w:hAnsi="Times New Roman"/>
                <w:b/>
                <w:bCs/>
                <w:color w:val="000000"/>
                <w:lang w:eastAsia="lv-LV"/>
              </w:rPr>
              <w:t xml:space="preserve">sk. kopējais attiecināmais finansējums, </w:t>
            </w:r>
            <w:r w:rsidRPr="00846439">
              <w:rPr>
                <w:rFonts w:ascii="Times New Roman" w:eastAsia="Times New Roman" w:hAnsi="Times New Roman"/>
                <w:b/>
                <w:bCs/>
                <w:i/>
                <w:iCs/>
                <w:color w:val="000000"/>
                <w:lang w:eastAsia="lv-LV"/>
              </w:rPr>
              <w:t>euro</w:t>
            </w:r>
          </w:p>
        </w:tc>
        <w:tc>
          <w:tcPr>
            <w:tcW w:w="9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13916C"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t.</w:t>
            </w:r>
            <w:r w:rsidR="005234A4">
              <w:rPr>
                <w:rFonts w:ascii="Times New Roman" w:eastAsia="Times New Roman" w:hAnsi="Times New Roman"/>
                <w:b/>
                <w:bCs/>
                <w:color w:val="000000"/>
                <w:lang w:eastAsia="lv-LV"/>
              </w:rPr>
              <w:t> </w:t>
            </w:r>
            <w:r w:rsidRPr="00846439">
              <w:rPr>
                <w:rFonts w:ascii="Times New Roman" w:eastAsia="Times New Roman" w:hAnsi="Times New Roman"/>
                <w:b/>
                <w:bCs/>
                <w:color w:val="000000"/>
                <w:lang w:eastAsia="lv-LV"/>
              </w:rPr>
              <w:t>sk. ERAF finansējums,</w:t>
            </w:r>
            <w:r w:rsidRPr="00846439">
              <w:rPr>
                <w:rFonts w:ascii="Times New Roman" w:eastAsia="Times New Roman" w:hAnsi="Times New Roman"/>
                <w:b/>
                <w:bCs/>
                <w:i/>
                <w:iCs/>
                <w:color w:val="000000"/>
                <w:lang w:eastAsia="lv-LV"/>
              </w:rPr>
              <w:t xml:space="preserve"> euro</w:t>
            </w:r>
          </w:p>
        </w:tc>
        <w:tc>
          <w:tcPr>
            <w:tcW w:w="4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BEB434"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w:t>
            </w:r>
          </w:p>
        </w:tc>
      </w:tr>
      <w:tr w:rsidR="0039273A" w:rsidRPr="008A0F79" w14:paraId="3E2F8F2F" w14:textId="77777777" w:rsidTr="00846439">
        <w:trPr>
          <w:trHeight w:val="571"/>
        </w:trPr>
        <w:tc>
          <w:tcPr>
            <w:tcW w:w="1605" w:type="pct"/>
            <w:tcBorders>
              <w:top w:val="single" w:sz="4" w:space="0" w:color="auto"/>
              <w:left w:val="single" w:sz="4" w:space="0" w:color="auto"/>
              <w:bottom w:val="single" w:sz="4" w:space="0" w:color="auto"/>
              <w:right w:val="single" w:sz="4" w:space="0" w:color="auto"/>
            </w:tcBorders>
            <w:shd w:val="clear" w:color="auto" w:fill="auto"/>
            <w:vAlign w:val="bottom"/>
          </w:tcPr>
          <w:p w14:paraId="5D4A3186" w14:textId="77777777" w:rsidR="0039273A" w:rsidRPr="002D7733" w:rsidRDefault="0039273A" w:rsidP="00E7642A">
            <w:pPr>
              <w:ind w:left="0"/>
              <w:jc w:val="left"/>
              <w:rPr>
                <w:rFonts w:ascii="Times New Roman" w:eastAsia="Times New Roman" w:hAnsi="Times New Roman"/>
                <w:bCs/>
                <w:color w:val="000000"/>
                <w:lang w:eastAsia="lv-LV"/>
              </w:rPr>
            </w:pPr>
            <w:r w:rsidRPr="002D7733">
              <w:rPr>
                <w:rFonts w:ascii="Times New Roman" w:eastAsia="Times New Roman" w:hAnsi="Times New Roman"/>
                <w:color w:val="000000"/>
                <w:lang w:eastAsia="lv-LV"/>
              </w:rPr>
              <w:t xml:space="preserve">Rīgas plānošanas reģions, </w:t>
            </w:r>
            <w:r w:rsidR="002E0E23">
              <w:rPr>
                <w:rFonts w:ascii="Times New Roman" w:eastAsia="Times New Roman" w:hAnsi="Times New Roman"/>
                <w:color w:val="000000"/>
                <w:lang w:eastAsia="lv-LV"/>
              </w:rPr>
              <w:t>tai skaitā</w:t>
            </w:r>
            <w:r w:rsidRPr="002D7733">
              <w:rPr>
                <w:rFonts w:ascii="Times New Roman" w:eastAsia="Times New Roman" w:hAnsi="Times New Roman"/>
                <w:color w:val="000000"/>
                <w:lang w:eastAsia="lv-LV"/>
              </w:rPr>
              <w:t xml:space="preserve"> Rīga</w:t>
            </w:r>
          </w:p>
        </w:tc>
        <w:tc>
          <w:tcPr>
            <w:tcW w:w="1052" w:type="pct"/>
            <w:tcBorders>
              <w:top w:val="single" w:sz="4" w:space="0" w:color="auto"/>
              <w:left w:val="nil"/>
              <w:bottom w:val="single" w:sz="4" w:space="0" w:color="auto"/>
              <w:right w:val="single" w:sz="4" w:space="0" w:color="auto"/>
            </w:tcBorders>
            <w:shd w:val="clear" w:color="auto" w:fill="auto"/>
            <w:vAlign w:val="center"/>
          </w:tcPr>
          <w:p w14:paraId="025ACCE8" w14:textId="77777777" w:rsidR="0039273A" w:rsidRPr="002D7733" w:rsidRDefault="0039273A" w:rsidP="00E7642A">
            <w:pPr>
              <w:ind w:left="0"/>
              <w:jc w:val="center"/>
              <w:rPr>
                <w:rFonts w:ascii="Times New Roman" w:eastAsia="Times New Roman" w:hAnsi="Times New Roman"/>
                <w:bCs/>
                <w:color w:val="000000"/>
                <w:lang w:eastAsia="lv-LV"/>
              </w:rPr>
            </w:pPr>
            <w:r w:rsidRPr="002D7733">
              <w:rPr>
                <w:rFonts w:ascii="Times New Roman" w:eastAsia="Times New Roman" w:hAnsi="Times New Roman"/>
                <w:color w:val="000000"/>
                <w:lang w:eastAsia="lv-LV"/>
              </w:rPr>
              <w:t>19 095 819</w:t>
            </w:r>
          </w:p>
        </w:tc>
        <w:tc>
          <w:tcPr>
            <w:tcW w:w="939" w:type="pct"/>
            <w:tcBorders>
              <w:top w:val="single" w:sz="4" w:space="0" w:color="auto"/>
              <w:left w:val="nil"/>
              <w:bottom w:val="single" w:sz="4" w:space="0" w:color="auto"/>
              <w:right w:val="single" w:sz="4" w:space="0" w:color="auto"/>
            </w:tcBorders>
            <w:shd w:val="clear" w:color="auto" w:fill="auto"/>
            <w:vAlign w:val="center"/>
          </w:tcPr>
          <w:p w14:paraId="707390FB" w14:textId="77777777" w:rsidR="0039273A" w:rsidRPr="002D7733" w:rsidRDefault="0039273A" w:rsidP="00E7642A">
            <w:pPr>
              <w:ind w:left="0"/>
              <w:jc w:val="center"/>
              <w:rPr>
                <w:rFonts w:ascii="Times New Roman" w:eastAsia="Times New Roman" w:hAnsi="Times New Roman"/>
                <w:bCs/>
                <w:color w:val="000000"/>
                <w:lang w:eastAsia="lv-LV"/>
              </w:rPr>
            </w:pPr>
            <w:r w:rsidRPr="002D7733">
              <w:rPr>
                <w:rFonts w:ascii="Times New Roman" w:eastAsia="Times New Roman" w:hAnsi="Times New Roman"/>
                <w:color w:val="000000"/>
                <w:lang w:eastAsia="lv-LV"/>
              </w:rPr>
              <w:t>18 682 51</w:t>
            </w:r>
            <w:r w:rsidR="007526AA" w:rsidRPr="002D7733">
              <w:rPr>
                <w:rFonts w:ascii="Times New Roman" w:eastAsia="Times New Roman" w:hAnsi="Times New Roman"/>
                <w:color w:val="000000"/>
                <w:lang w:eastAsia="lv-LV"/>
              </w:rPr>
              <w:t>6</w:t>
            </w:r>
          </w:p>
        </w:tc>
        <w:tc>
          <w:tcPr>
            <w:tcW w:w="939" w:type="pct"/>
            <w:tcBorders>
              <w:top w:val="single" w:sz="4" w:space="0" w:color="auto"/>
              <w:left w:val="nil"/>
              <w:bottom w:val="single" w:sz="4" w:space="0" w:color="auto"/>
              <w:right w:val="single" w:sz="4" w:space="0" w:color="auto"/>
            </w:tcBorders>
            <w:shd w:val="clear" w:color="auto" w:fill="auto"/>
            <w:vAlign w:val="center"/>
          </w:tcPr>
          <w:p w14:paraId="1C8DEFF0" w14:textId="77777777" w:rsidR="0039273A" w:rsidRPr="002D7733" w:rsidRDefault="0039273A" w:rsidP="00E7642A">
            <w:pPr>
              <w:ind w:left="0"/>
              <w:jc w:val="center"/>
              <w:rPr>
                <w:rFonts w:ascii="Times New Roman" w:eastAsia="Times New Roman" w:hAnsi="Times New Roman"/>
                <w:bCs/>
                <w:color w:val="000000"/>
                <w:lang w:eastAsia="lv-LV"/>
              </w:rPr>
            </w:pPr>
            <w:r w:rsidRPr="002D7733">
              <w:rPr>
                <w:rFonts w:ascii="Times New Roman" w:eastAsia="Times New Roman" w:hAnsi="Times New Roman"/>
                <w:color w:val="000000"/>
                <w:lang w:eastAsia="lv-LV"/>
              </w:rPr>
              <w:t>13 077 760</w:t>
            </w:r>
          </w:p>
        </w:tc>
        <w:tc>
          <w:tcPr>
            <w:tcW w:w="465" w:type="pct"/>
            <w:tcBorders>
              <w:top w:val="single" w:sz="4" w:space="0" w:color="auto"/>
              <w:left w:val="nil"/>
              <w:bottom w:val="single" w:sz="4" w:space="0" w:color="auto"/>
              <w:right w:val="single" w:sz="4" w:space="0" w:color="auto"/>
            </w:tcBorders>
            <w:shd w:val="clear" w:color="auto" w:fill="auto"/>
            <w:vAlign w:val="center"/>
          </w:tcPr>
          <w:p w14:paraId="0C3A933F" w14:textId="77777777" w:rsidR="0039273A" w:rsidRPr="002D7733" w:rsidRDefault="0039273A" w:rsidP="00E7642A">
            <w:pPr>
              <w:ind w:left="0"/>
              <w:jc w:val="center"/>
              <w:rPr>
                <w:rFonts w:ascii="Times New Roman" w:eastAsia="Times New Roman" w:hAnsi="Times New Roman"/>
                <w:bCs/>
                <w:color w:val="000000"/>
                <w:lang w:eastAsia="lv-LV"/>
              </w:rPr>
            </w:pPr>
            <w:r w:rsidRPr="002D7733">
              <w:rPr>
                <w:rFonts w:ascii="Times New Roman" w:eastAsia="Times New Roman" w:hAnsi="Times New Roman"/>
                <w:color w:val="000000"/>
                <w:lang w:eastAsia="lv-LV"/>
              </w:rPr>
              <w:t>50.9</w:t>
            </w:r>
          </w:p>
        </w:tc>
      </w:tr>
      <w:tr w:rsidR="0039273A" w:rsidRPr="008A0F79" w14:paraId="68267C34" w14:textId="77777777" w:rsidTr="00846439">
        <w:trPr>
          <w:trHeight w:val="300"/>
        </w:trPr>
        <w:tc>
          <w:tcPr>
            <w:tcW w:w="1605" w:type="pct"/>
            <w:tcBorders>
              <w:top w:val="nil"/>
              <w:left w:val="single" w:sz="4" w:space="0" w:color="auto"/>
              <w:bottom w:val="single" w:sz="4" w:space="0" w:color="auto"/>
              <w:right w:val="single" w:sz="4" w:space="0" w:color="auto"/>
            </w:tcBorders>
            <w:shd w:val="clear" w:color="auto" w:fill="auto"/>
            <w:vAlign w:val="bottom"/>
            <w:hideMark/>
          </w:tcPr>
          <w:p w14:paraId="4194D9DD" w14:textId="77777777" w:rsidR="0039273A" w:rsidRPr="002D7733" w:rsidRDefault="0039273A" w:rsidP="00E7642A">
            <w:pPr>
              <w:ind w:left="0"/>
              <w:jc w:val="left"/>
              <w:rPr>
                <w:rFonts w:ascii="Times New Roman" w:eastAsia="Times New Roman" w:hAnsi="Times New Roman"/>
                <w:color w:val="000000"/>
                <w:lang w:eastAsia="lv-LV"/>
              </w:rPr>
            </w:pPr>
            <w:r w:rsidRPr="002D7733">
              <w:rPr>
                <w:rFonts w:ascii="Times New Roman" w:eastAsia="Times New Roman" w:hAnsi="Times New Roman"/>
                <w:color w:val="000000"/>
                <w:lang w:eastAsia="lv-LV"/>
              </w:rPr>
              <w:t>Kurzemes plānošanas reģions</w:t>
            </w:r>
          </w:p>
        </w:tc>
        <w:tc>
          <w:tcPr>
            <w:tcW w:w="1052" w:type="pct"/>
            <w:tcBorders>
              <w:top w:val="nil"/>
              <w:left w:val="nil"/>
              <w:bottom w:val="single" w:sz="4" w:space="0" w:color="auto"/>
              <w:right w:val="single" w:sz="4" w:space="0" w:color="auto"/>
            </w:tcBorders>
            <w:shd w:val="clear" w:color="auto" w:fill="auto"/>
            <w:vAlign w:val="center"/>
            <w:hideMark/>
          </w:tcPr>
          <w:p w14:paraId="0676BA52"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9 778 36</w:t>
            </w:r>
            <w:r w:rsidR="007526AA" w:rsidRPr="002D7733">
              <w:rPr>
                <w:rFonts w:ascii="Times New Roman" w:eastAsia="Times New Roman" w:hAnsi="Times New Roman"/>
                <w:color w:val="000000"/>
                <w:lang w:eastAsia="lv-LV"/>
              </w:rPr>
              <w:t>9</w:t>
            </w:r>
          </w:p>
        </w:tc>
        <w:tc>
          <w:tcPr>
            <w:tcW w:w="939" w:type="pct"/>
            <w:tcBorders>
              <w:top w:val="nil"/>
              <w:left w:val="nil"/>
              <w:bottom w:val="single" w:sz="4" w:space="0" w:color="auto"/>
              <w:right w:val="single" w:sz="4" w:space="0" w:color="auto"/>
            </w:tcBorders>
            <w:shd w:val="clear" w:color="auto" w:fill="auto"/>
            <w:vAlign w:val="center"/>
            <w:hideMark/>
          </w:tcPr>
          <w:p w14:paraId="13D696C3"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8 112 35</w:t>
            </w:r>
            <w:r w:rsidR="007526AA" w:rsidRPr="002D7733">
              <w:rPr>
                <w:rFonts w:ascii="Times New Roman" w:eastAsia="Times New Roman" w:hAnsi="Times New Roman"/>
                <w:color w:val="000000"/>
                <w:lang w:eastAsia="lv-LV"/>
              </w:rPr>
              <w:t>5</w:t>
            </w:r>
          </w:p>
        </w:tc>
        <w:tc>
          <w:tcPr>
            <w:tcW w:w="939" w:type="pct"/>
            <w:tcBorders>
              <w:top w:val="nil"/>
              <w:left w:val="nil"/>
              <w:bottom w:val="single" w:sz="4" w:space="0" w:color="auto"/>
              <w:right w:val="single" w:sz="4" w:space="0" w:color="auto"/>
            </w:tcBorders>
            <w:shd w:val="clear" w:color="auto" w:fill="auto"/>
            <w:vAlign w:val="center"/>
            <w:hideMark/>
          </w:tcPr>
          <w:p w14:paraId="2A626872"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5 131 213</w:t>
            </w:r>
          </w:p>
        </w:tc>
        <w:tc>
          <w:tcPr>
            <w:tcW w:w="465" w:type="pct"/>
            <w:tcBorders>
              <w:top w:val="nil"/>
              <w:left w:val="nil"/>
              <w:bottom w:val="single" w:sz="4" w:space="0" w:color="auto"/>
              <w:right w:val="single" w:sz="4" w:space="0" w:color="auto"/>
            </w:tcBorders>
            <w:shd w:val="clear" w:color="auto" w:fill="auto"/>
            <w:vAlign w:val="center"/>
            <w:hideMark/>
          </w:tcPr>
          <w:p w14:paraId="1C4D9A55"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26.0</w:t>
            </w:r>
          </w:p>
        </w:tc>
      </w:tr>
      <w:tr w:rsidR="0039273A" w:rsidRPr="008A0F79" w14:paraId="03BA886D" w14:textId="77777777" w:rsidTr="00846439">
        <w:trPr>
          <w:trHeight w:val="300"/>
        </w:trPr>
        <w:tc>
          <w:tcPr>
            <w:tcW w:w="1605" w:type="pct"/>
            <w:tcBorders>
              <w:top w:val="nil"/>
              <w:left w:val="single" w:sz="4" w:space="0" w:color="auto"/>
              <w:bottom w:val="single" w:sz="4" w:space="0" w:color="auto"/>
              <w:right w:val="single" w:sz="4" w:space="0" w:color="auto"/>
            </w:tcBorders>
            <w:shd w:val="clear" w:color="auto" w:fill="auto"/>
            <w:vAlign w:val="bottom"/>
            <w:hideMark/>
          </w:tcPr>
          <w:p w14:paraId="2777C21D" w14:textId="77777777" w:rsidR="0039273A" w:rsidRPr="002D7733" w:rsidRDefault="0039273A" w:rsidP="00E7642A">
            <w:pPr>
              <w:ind w:left="0"/>
              <w:jc w:val="left"/>
              <w:rPr>
                <w:rFonts w:ascii="Times New Roman" w:eastAsia="Times New Roman" w:hAnsi="Times New Roman"/>
                <w:color w:val="000000"/>
                <w:lang w:eastAsia="lv-LV"/>
              </w:rPr>
            </w:pPr>
            <w:r w:rsidRPr="002D7733">
              <w:rPr>
                <w:rFonts w:ascii="Times New Roman" w:eastAsia="Times New Roman" w:hAnsi="Times New Roman"/>
                <w:color w:val="000000"/>
                <w:lang w:eastAsia="lv-LV"/>
              </w:rPr>
              <w:t>Latgales plānošanas reģions</w:t>
            </w:r>
          </w:p>
        </w:tc>
        <w:tc>
          <w:tcPr>
            <w:tcW w:w="1052" w:type="pct"/>
            <w:tcBorders>
              <w:top w:val="nil"/>
              <w:left w:val="nil"/>
              <w:bottom w:val="single" w:sz="4" w:space="0" w:color="auto"/>
              <w:right w:val="single" w:sz="4" w:space="0" w:color="auto"/>
            </w:tcBorders>
            <w:shd w:val="clear" w:color="auto" w:fill="auto"/>
            <w:vAlign w:val="center"/>
            <w:hideMark/>
          </w:tcPr>
          <w:p w14:paraId="385EA99A"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0</w:t>
            </w:r>
          </w:p>
        </w:tc>
        <w:tc>
          <w:tcPr>
            <w:tcW w:w="939" w:type="pct"/>
            <w:tcBorders>
              <w:top w:val="nil"/>
              <w:left w:val="nil"/>
              <w:bottom w:val="single" w:sz="4" w:space="0" w:color="auto"/>
              <w:right w:val="single" w:sz="4" w:space="0" w:color="auto"/>
            </w:tcBorders>
            <w:shd w:val="clear" w:color="auto" w:fill="auto"/>
            <w:vAlign w:val="center"/>
            <w:hideMark/>
          </w:tcPr>
          <w:p w14:paraId="229D5556"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0</w:t>
            </w:r>
          </w:p>
        </w:tc>
        <w:tc>
          <w:tcPr>
            <w:tcW w:w="939" w:type="pct"/>
            <w:tcBorders>
              <w:top w:val="nil"/>
              <w:left w:val="nil"/>
              <w:bottom w:val="single" w:sz="4" w:space="0" w:color="auto"/>
              <w:right w:val="single" w:sz="4" w:space="0" w:color="auto"/>
            </w:tcBorders>
            <w:shd w:val="clear" w:color="auto" w:fill="auto"/>
            <w:vAlign w:val="center"/>
            <w:hideMark/>
          </w:tcPr>
          <w:p w14:paraId="08DF764C"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0</w:t>
            </w:r>
          </w:p>
        </w:tc>
        <w:tc>
          <w:tcPr>
            <w:tcW w:w="465" w:type="pct"/>
            <w:tcBorders>
              <w:top w:val="nil"/>
              <w:left w:val="nil"/>
              <w:bottom w:val="single" w:sz="4" w:space="0" w:color="auto"/>
              <w:right w:val="single" w:sz="4" w:space="0" w:color="auto"/>
            </w:tcBorders>
            <w:shd w:val="clear" w:color="auto" w:fill="auto"/>
            <w:vAlign w:val="center"/>
            <w:hideMark/>
          </w:tcPr>
          <w:p w14:paraId="7FCA01F8"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0.0</w:t>
            </w:r>
          </w:p>
        </w:tc>
      </w:tr>
      <w:tr w:rsidR="0039273A" w:rsidRPr="008A0F79" w14:paraId="3877C6CC" w14:textId="77777777" w:rsidTr="00846439">
        <w:trPr>
          <w:trHeight w:val="300"/>
        </w:trPr>
        <w:tc>
          <w:tcPr>
            <w:tcW w:w="1605" w:type="pct"/>
            <w:tcBorders>
              <w:top w:val="nil"/>
              <w:left w:val="single" w:sz="4" w:space="0" w:color="auto"/>
              <w:bottom w:val="single" w:sz="4" w:space="0" w:color="auto"/>
              <w:right w:val="single" w:sz="4" w:space="0" w:color="auto"/>
            </w:tcBorders>
            <w:shd w:val="clear" w:color="auto" w:fill="auto"/>
            <w:vAlign w:val="bottom"/>
            <w:hideMark/>
          </w:tcPr>
          <w:p w14:paraId="26105E7E" w14:textId="77777777" w:rsidR="0039273A" w:rsidRPr="002D7733" w:rsidRDefault="0039273A" w:rsidP="00E7642A">
            <w:pPr>
              <w:ind w:left="0"/>
              <w:jc w:val="left"/>
              <w:rPr>
                <w:rFonts w:ascii="Times New Roman" w:eastAsia="Times New Roman" w:hAnsi="Times New Roman"/>
                <w:color w:val="000000"/>
                <w:lang w:eastAsia="lv-LV"/>
              </w:rPr>
            </w:pPr>
            <w:r w:rsidRPr="002D7733">
              <w:rPr>
                <w:rFonts w:ascii="Times New Roman" w:eastAsia="Times New Roman" w:hAnsi="Times New Roman"/>
                <w:color w:val="000000"/>
                <w:lang w:eastAsia="lv-LV"/>
              </w:rPr>
              <w:t>Vidzemes plānošanas reģions</w:t>
            </w:r>
          </w:p>
        </w:tc>
        <w:tc>
          <w:tcPr>
            <w:tcW w:w="1052" w:type="pct"/>
            <w:tcBorders>
              <w:top w:val="nil"/>
              <w:left w:val="nil"/>
              <w:bottom w:val="single" w:sz="4" w:space="0" w:color="auto"/>
              <w:right w:val="single" w:sz="4" w:space="0" w:color="auto"/>
            </w:tcBorders>
            <w:shd w:val="clear" w:color="auto" w:fill="auto"/>
            <w:vAlign w:val="center"/>
            <w:hideMark/>
          </w:tcPr>
          <w:p w14:paraId="5D05D7A5"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3 071 023</w:t>
            </w:r>
          </w:p>
        </w:tc>
        <w:tc>
          <w:tcPr>
            <w:tcW w:w="939" w:type="pct"/>
            <w:tcBorders>
              <w:top w:val="nil"/>
              <w:left w:val="nil"/>
              <w:bottom w:val="single" w:sz="4" w:space="0" w:color="auto"/>
              <w:right w:val="single" w:sz="4" w:space="0" w:color="auto"/>
            </w:tcBorders>
            <w:shd w:val="clear" w:color="auto" w:fill="auto"/>
            <w:vAlign w:val="center"/>
            <w:hideMark/>
          </w:tcPr>
          <w:p w14:paraId="442EC6E8" w14:textId="77777777" w:rsidR="0039273A" w:rsidRPr="002D7733" w:rsidRDefault="007526A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3 068 154</w:t>
            </w:r>
          </w:p>
        </w:tc>
        <w:tc>
          <w:tcPr>
            <w:tcW w:w="939" w:type="pct"/>
            <w:tcBorders>
              <w:top w:val="nil"/>
              <w:left w:val="nil"/>
              <w:bottom w:val="single" w:sz="4" w:space="0" w:color="auto"/>
              <w:right w:val="single" w:sz="4" w:space="0" w:color="auto"/>
            </w:tcBorders>
            <w:shd w:val="clear" w:color="auto" w:fill="auto"/>
            <w:vAlign w:val="center"/>
            <w:hideMark/>
          </w:tcPr>
          <w:p w14:paraId="519196AF"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2 147 70</w:t>
            </w:r>
            <w:r w:rsidR="007526AA" w:rsidRPr="002D7733">
              <w:rPr>
                <w:rFonts w:ascii="Times New Roman" w:eastAsia="Times New Roman" w:hAnsi="Times New Roman"/>
                <w:color w:val="000000"/>
                <w:lang w:eastAsia="lv-LV"/>
              </w:rPr>
              <w:t>8</w:t>
            </w:r>
          </w:p>
        </w:tc>
        <w:tc>
          <w:tcPr>
            <w:tcW w:w="465" w:type="pct"/>
            <w:tcBorders>
              <w:top w:val="nil"/>
              <w:left w:val="nil"/>
              <w:bottom w:val="single" w:sz="4" w:space="0" w:color="auto"/>
              <w:right w:val="single" w:sz="4" w:space="0" w:color="auto"/>
            </w:tcBorders>
            <w:shd w:val="clear" w:color="auto" w:fill="auto"/>
            <w:vAlign w:val="center"/>
            <w:hideMark/>
          </w:tcPr>
          <w:p w14:paraId="594EA0B3"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8.2</w:t>
            </w:r>
          </w:p>
        </w:tc>
      </w:tr>
      <w:tr w:rsidR="0039273A" w:rsidRPr="008A0F79" w14:paraId="6BBF9D69" w14:textId="77777777" w:rsidTr="00846439">
        <w:trPr>
          <w:trHeight w:val="300"/>
        </w:trPr>
        <w:tc>
          <w:tcPr>
            <w:tcW w:w="1605" w:type="pct"/>
            <w:tcBorders>
              <w:top w:val="nil"/>
              <w:left w:val="single" w:sz="4" w:space="0" w:color="auto"/>
              <w:bottom w:val="single" w:sz="4" w:space="0" w:color="auto"/>
              <w:right w:val="single" w:sz="4" w:space="0" w:color="auto"/>
            </w:tcBorders>
            <w:shd w:val="clear" w:color="auto" w:fill="auto"/>
            <w:vAlign w:val="bottom"/>
            <w:hideMark/>
          </w:tcPr>
          <w:p w14:paraId="66125CCB" w14:textId="77777777" w:rsidR="0039273A" w:rsidRPr="002D7733" w:rsidRDefault="0039273A" w:rsidP="00E7642A">
            <w:pPr>
              <w:ind w:left="0"/>
              <w:jc w:val="left"/>
              <w:rPr>
                <w:rFonts w:ascii="Times New Roman" w:eastAsia="Times New Roman" w:hAnsi="Times New Roman"/>
                <w:color w:val="000000"/>
                <w:lang w:eastAsia="lv-LV"/>
              </w:rPr>
            </w:pPr>
            <w:r w:rsidRPr="002D7733">
              <w:rPr>
                <w:rFonts w:ascii="Times New Roman" w:eastAsia="Times New Roman" w:hAnsi="Times New Roman"/>
                <w:color w:val="000000"/>
                <w:lang w:eastAsia="lv-LV"/>
              </w:rPr>
              <w:t>Zemgales plānošanas reģions</w:t>
            </w:r>
          </w:p>
        </w:tc>
        <w:tc>
          <w:tcPr>
            <w:tcW w:w="1052" w:type="pct"/>
            <w:tcBorders>
              <w:top w:val="nil"/>
              <w:left w:val="nil"/>
              <w:bottom w:val="single" w:sz="4" w:space="0" w:color="auto"/>
              <w:right w:val="single" w:sz="4" w:space="0" w:color="auto"/>
            </w:tcBorders>
            <w:shd w:val="clear" w:color="auto" w:fill="auto"/>
            <w:vAlign w:val="center"/>
            <w:hideMark/>
          </w:tcPr>
          <w:p w14:paraId="697ECC08"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5 605 04</w:t>
            </w:r>
            <w:r w:rsidR="007526AA" w:rsidRPr="002D7733">
              <w:rPr>
                <w:rFonts w:ascii="Times New Roman" w:eastAsia="Times New Roman" w:hAnsi="Times New Roman"/>
                <w:color w:val="000000"/>
                <w:lang w:eastAsia="lv-LV"/>
              </w:rPr>
              <w:t>4</w:t>
            </w:r>
          </w:p>
        </w:tc>
        <w:tc>
          <w:tcPr>
            <w:tcW w:w="939" w:type="pct"/>
            <w:tcBorders>
              <w:top w:val="nil"/>
              <w:left w:val="nil"/>
              <w:bottom w:val="single" w:sz="4" w:space="0" w:color="auto"/>
              <w:right w:val="single" w:sz="4" w:space="0" w:color="auto"/>
            </w:tcBorders>
            <w:shd w:val="clear" w:color="auto" w:fill="auto"/>
            <w:vAlign w:val="center"/>
            <w:hideMark/>
          </w:tcPr>
          <w:p w14:paraId="40664B83"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5 267 981</w:t>
            </w:r>
          </w:p>
        </w:tc>
        <w:tc>
          <w:tcPr>
            <w:tcW w:w="939" w:type="pct"/>
            <w:tcBorders>
              <w:top w:val="nil"/>
              <w:left w:val="nil"/>
              <w:bottom w:val="single" w:sz="4" w:space="0" w:color="auto"/>
              <w:right w:val="single" w:sz="4" w:space="0" w:color="auto"/>
            </w:tcBorders>
            <w:shd w:val="clear" w:color="auto" w:fill="auto"/>
            <w:vAlign w:val="center"/>
            <w:hideMark/>
          </w:tcPr>
          <w:p w14:paraId="2F6BBD0D" w14:textId="77777777" w:rsidR="0039273A" w:rsidRPr="002D7733" w:rsidRDefault="007526A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3 160 789</w:t>
            </w:r>
          </w:p>
        </w:tc>
        <w:tc>
          <w:tcPr>
            <w:tcW w:w="465" w:type="pct"/>
            <w:tcBorders>
              <w:top w:val="nil"/>
              <w:left w:val="nil"/>
              <w:bottom w:val="single" w:sz="4" w:space="0" w:color="auto"/>
              <w:right w:val="single" w:sz="4" w:space="0" w:color="auto"/>
            </w:tcBorders>
            <w:shd w:val="clear" w:color="auto" w:fill="auto"/>
            <w:vAlign w:val="center"/>
            <w:hideMark/>
          </w:tcPr>
          <w:p w14:paraId="53407B1B" w14:textId="77777777" w:rsidR="0039273A" w:rsidRPr="002D7733" w:rsidRDefault="0039273A" w:rsidP="00E7642A">
            <w:pPr>
              <w:ind w:left="0"/>
              <w:jc w:val="center"/>
              <w:rPr>
                <w:rFonts w:ascii="Times New Roman" w:eastAsia="Times New Roman" w:hAnsi="Times New Roman"/>
                <w:color w:val="000000"/>
                <w:lang w:eastAsia="lv-LV"/>
              </w:rPr>
            </w:pPr>
            <w:r w:rsidRPr="002D7733">
              <w:rPr>
                <w:rFonts w:ascii="Times New Roman" w:eastAsia="Times New Roman" w:hAnsi="Times New Roman"/>
                <w:color w:val="000000"/>
                <w:lang w:eastAsia="lv-LV"/>
              </w:rPr>
              <w:t>14.9</w:t>
            </w:r>
          </w:p>
        </w:tc>
      </w:tr>
      <w:tr w:rsidR="0039273A" w:rsidRPr="008D15B3" w14:paraId="0039C98E" w14:textId="77777777" w:rsidTr="00846439">
        <w:trPr>
          <w:trHeight w:val="300"/>
        </w:trPr>
        <w:tc>
          <w:tcPr>
            <w:tcW w:w="1605" w:type="pct"/>
            <w:tcBorders>
              <w:top w:val="nil"/>
              <w:left w:val="single" w:sz="4" w:space="0" w:color="auto"/>
              <w:bottom w:val="single" w:sz="4" w:space="0" w:color="auto"/>
              <w:right w:val="single" w:sz="4" w:space="0" w:color="auto"/>
            </w:tcBorders>
            <w:shd w:val="clear" w:color="auto" w:fill="auto"/>
            <w:vAlign w:val="bottom"/>
            <w:hideMark/>
          </w:tcPr>
          <w:p w14:paraId="3106C6D9" w14:textId="77777777" w:rsidR="0039273A" w:rsidRPr="00846439" w:rsidRDefault="0039273A" w:rsidP="00E7642A">
            <w:pPr>
              <w:ind w:left="0"/>
              <w:jc w:val="left"/>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KOPĀ:</w:t>
            </w:r>
          </w:p>
        </w:tc>
        <w:tc>
          <w:tcPr>
            <w:tcW w:w="1052" w:type="pct"/>
            <w:tcBorders>
              <w:top w:val="nil"/>
              <w:left w:val="nil"/>
              <w:bottom w:val="single" w:sz="4" w:space="0" w:color="auto"/>
              <w:right w:val="single" w:sz="4" w:space="0" w:color="auto"/>
            </w:tcBorders>
            <w:shd w:val="clear" w:color="auto" w:fill="auto"/>
            <w:noWrap/>
            <w:vAlign w:val="bottom"/>
            <w:hideMark/>
          </w:tcPr>
          <w:p w14:paraId="6C07367D"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37 550 255</w:t>
            </w:r>
          </w:p>
        </w:tc>
        <w:tc>
          <w:tcPr>
            <w:tcW w:w="939" w:type="pct"/>
            <w:tcBorders>
              <w:top w:val="nil"/>
              <w:left w:val="nil"/>
              <w:bottom w:val="single" w:sz="4" w:space="0" w:color="auto"/>
              <w:right w:val="single" w:sz="4" w:space="0" w:color="auto"/>
            </w:tcBorders>
            <w:shd w:val="clear" w:color="auto" w:fill="auto"/>
            <w:noWrap/>
            <w:vAlign w:val="bottom"/>
            <w:hideMark/>
          </w:tcPr>
          <w:p w14:paraId="6BC25A6F"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35 131 00</w:t>
            </w:r>
            <w:r w:rsidR="007526AA" w:rsidRPr="00846439">
              <w:rPr>
                <w:rFonts w:ascii="Times New Roman" w:eastAsia="Times New Roman" w:hAnsi="Times New Roman"/>
                <w:b/>
                <w:bCs/>
                <w:color w:val="000000"/>
                <w:lang w:eastAsia="lv-LV"/>
              </w:rPr>
              <w:t>6</w:t>
            </w:r>
          </w:p>
        </w:tc>
        <w:tc>
          <w:tcPr>
            <w:tcW w:w="939" w:type="pct"/>
            <w:tcBorders>
              <w:top w:val="nil"/>
              <w:left w:val="nil"/>
              <w:bottom w:val="single" w:sz="4" w:space="0" w:color="auto"/>
              <w:right w:val="single" w:sz="4" w:space="0" w:color="auto"/>
            </w:tcBorders>
            <w:shd w:val="clear" w:color="auto" w:fill="auto"/>
            <w:noWrap/>
            <w:vAlign w:val="bottom"/>
            <w:hideMark/>
          </w:tcPr>
          <w:p w14:paraId="1A144C70"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2</w:t>
            </w:r>
            <w:r w:rsidR="007526AA" w:rsidRPr="00846439">
              <w:rPr>
                <w:rFonts w:ascii="Times New Roman" w:eastAsia="Times New Roman" w:hAnsi="Times New Roman"/>
                <w:b/>
                <w:bCs/>
                <w:color w:val="000000"/>
                <w:lang w:eastAsia="lv-LV"/>
              </w:rPr>
              <w:t>3 517 470</w:t>
            </w:r>
          </w:p>
        </w:tc>
        <w:tc>
          <w:tcPr>
            <w:tcW w:w="465" w:type="pct"/>
            <w:tcBorders>
              <w:top w:val="nil"/>
              <w:left w:val="nil"/>
              <w:bottom w:val="single" w:sz="4" w:space="0" w:color="auto"/>
              <w:right w:val="single" w:sz="4" w:space="0" w:color="auto"/>
            </w:tcBorders>
            <w:shd w:val="clear" w:color="auto" w:fill="auto"/>
            <w:noWrap/>
            <w:vAlign w:val="bottom"/>
            <w:hideMark/>
          </w:tcPr>
          <w:p w14:paraId="17C51EC2" w14:textId="77777777" w:rsidR="0039273A" w:rsidRPr="00846439" w:rsidRDefault="0039273A" w:rsidP="00E7642A">
            <w:pPr>
              <w:ind w:left="0"/>
              <w:jc w:val="center"/>
              <w:rPr>
                <w:rFonts w:ascii="Times New Roman" w:eastAsia="Times New Roman" w:hAnsi="Times New Roman"/>
                <w:b/>
                <w:bCs/>
                <w:color w:val="000000"/>
                <w:lang w:eastAsia="lv-LV"/>
              </w:rPr>
            </w:pPr>
            <w:r w:rsidRPr="00846439">
              <w:rPr>
                <w:rFonts w:ascii="Times New Roman" w:eastAsia="Times New Roman" w:hAnsi="Times New Roman"/>
                <w:b/>
                <w:bCs/>
                <w:color w:val="000000"/>
                <w:lang w:eastAsia="lv-LV"/>
              </w:rPr>
              <w:t>100.0</w:t>
            </w:r>
          </w:p>
        </w:tc>
      </w:tr>
    </w:tbl>
    <w:p w14:paraId="43F5EE3B" w14:textId="77777777" w:rsidR="0039273A" w:rsidRPr="00C95968" w:rsidRDefault="0039273A" w:rsidP="00E7642A">
      <w:pPr>
        <w:tabs>
          <w:tab w:val="left" w:pos="0"/>
        </w:tabs>
        <w:ind w:left="0"/>
        <w:jc w:val="left"/>
        <w:rPr>
          <w:rFonts w:ascii="Times New Roman" w:hAnsi="Times New Roman"/>
          <w:i/>
          <w:sz w:val="24"/>
          <w:szCs w:val="24"/>
        </w:rPr>
      </w:pPr>
      <w:r w:rsidRPr="00C95968">
        <w:rPr>
          <w:rFonts w:ascii="Times New Roman" w:hAnsi="Times New Roman"/>
          <w:i/>
          <w:sz w:val="24"/>
          <w:szCs w:val="24"/>
        </w:rPr>
        <w:t>Datu avots: IZM</w:t>
      </w:r>
    </w:p>
    <w:p w14:paraId="4CC11644" w14:textId="77777777" w:rsidR="0039273A" w:rsidRPr="00C07278" w:rsidRDefault="0039273A" w:rsidP="00E7642A">
      <w:pPr>
        <w:tabs>
          <w:tab w:val="left" w:pos="0"/>
        </w:tabs>
        <w:ind w:left="0" w:firstLine="567"/>
        <w:rPr>
          <w:rFonts w:ascii="Times New Roman" w:hAnsi="Times New Roman"/>
          <w:sz w:val="24"/>
          <w:szCs w:val="24"/>
        </w:rPr>
      </w:pPr>
    </w:p>
    <w:p w14:paraId="268005D9" w14:textId="77777777" w:rsidR="003B43D4" w:rsidRPr="00C07278" w:rsidRDefault="004B0BAD" w:rsidP="00E7642A">
      <w:pPr>
        <w:tabs>
          <w:tab w:val="left" w:pos="0"/>
        </w:tabs>
        <w:ind w:left="0" w:firstLine="567"/>
        <w:rPr>
          <w:rFonts w:ascii="Times New Roman" w:hAnsi="Times New Roman"/>
          <w:sz w:val="24"/>
          <w:szCs w:val="24"/>
        </w:rPr>
      </w:pPr>
      <w:r w:rsidRPr="002D7733">
        <w:rPr>
          <w:rFonts w:ascii="Times New Roman" w:hAnsi="Times New Roman"/>
          <w:sz w:val="24"/>
          <w:szCs w:val="24"/>
        </w:rPr>
        <w:t>Līdz 2015.</w:t>
      </w:r>
      <w:r w:rsidR="008D15B3">
        <w:rPr>
          <w:rFonts w:ascii="Times New Roman" w:hAnsi="Times New Roman"/>
          <w:sz w:val="24"/>
          <w:szCs w:val="24"/>
        </w:rPr>
        <w:t xml:space="preserve"> </w:t>
      </w:r>
      <w:r w:rsidRPr="002D7733">
        <w:rPr>
          <w:rFonts w:ascii="Times New Roman" w:hAnsi="Times New Roman"/>
          <w:sz w:val="24"/>
          <w:szCs w:val="24"/>
        </w:rPr>
        <w:t>gada beigām faktiski</w:t>
      </w:r>
      <w:r w:rsidR="008A0F79" w:rsidRPr="008A0F79">
        <w:rPr>
          <w:rFonts w:ascii="Times New Roman" w:hAnsi="Times New Roman"/>
          <w:sz w:val="24"/>
          <w:szCs w:val="24"/>
        </w:rPr>
        <w:t xml:space="preserve"> bija </w:t>
      </w:r>
      <w:r w:rsidRPr="002D7733">
        <w:rPr>
          <w:rFonts w:ascii="Times New Roman" w:hAnsi="Times New Roman"/>
          <w:sz w:val="24"/>
          <w:szCs w:val="24"/>
        </w:rPr>
        <w:t>noslēgu</w:t>
      </w:r>
      <w:r w:rsidR="002326F0">
        <w:rPr>
          <w:rFonts w:ascii="Times New Roman" w:hAnsi="Times New Roman"/>
          <w:sz w:val="24"/>
          <w:szCs w:val="24"/>
        </w:rPr>
        <w:t>šies</w:t>
      </w:r>
      <w:r w:rsidRPr="002D7733">
        <w:rPr>
          <w:rFonts w:ascii="Times New Roman" w:hAnsi="Times New Roman"/>
          <w:sz w:val="24"/>
          <w:szCs w:val="24"/>
        </w:rPr>
        <w:t xml:space="preserve"> 7 komercpētniecības infrastruktūras projekt</w:t>
      </w:r>
      <w:r w:rsidR="002326F0">
        <w:rPr>
          <w:rFonts w:ascii="Times New Roman" w:hAnsi="Times New Roman"/>
          <w:sz w:val="24"/>
          <w:szCs w:val="24"/>
        </w:rPr>
        <w:t>i</w:t>
      </w:r>
      <w:r w:rsidRPr="002D7733">
        <w:rPr>
          <w:rFonts w:ascii="Times New Roman" w:hAnsi="Times New Roman"/>
          <w:sz w:val="24"/>
          <w:szCs w:val="24"/>
        </w:rPr>
        <w:t xml:space="preserve"> par kopējo finansējumu 37,5 milj. </w:t>
      </w:r>
      <w:r w:rsidRPr="002D7733">
        <w:rPr>
          <w:rFonts w:ascii="Times New Roman" w:hAnsi="Times New Roman"/>
          <w:i/>
          <w:sz w:val="24"/>
          <w:szCs w:val="24"/>
        </w:rPr>
        <w:t>euro</w:t>
      </w:r>
      <w:r w:rsidRPr="002D7733">
        <w:rPr>
          <w:rFonts w:ascii="Times New Roman" w:hAnsi="Times New Roman"/>
          <w:sz w:val="24"/>
          <w:szCs w:val="24"/>
        </w:rPr>
        <w:t xml:space="preserve">, tai skaitā ERAF finansējumu 23,5 milj. </w:t>
      </w:r>
      <w:r w:rsidRPr="002D7733">
        <w:rPr>
          <w:rFonts w:ascii="Times New Roman" w:hAnsi="Times New Roman"/>
          <w:i/>
          <w:sz w:val="24"/>
          <w:szCs w:val="24"/>
        </w:rPr>
        <w:t>euro</w:t>
      </w:r>
      <w:r w:rsidRPr="002D7733">
        <w:rPr>
          <w:rFonts w:ascii="Times New Roman" w:hAnsi="Times New Roman"/>
          <w:sz w:val="24"/>
          <w:szCs w:val="24"/>
        </w:rPr>
        <w:t xml:space="preserve">. </w:t>
      </w:r>
      <w:r w:rsidR="0039273A" w:rsidRPr="002D7733">
        <w:rPr>
          <w:rFonts w:ascii="Times New Roman" w:hAnsi="Times New Roman"/>
          <w:sz w:val="24"/>
          <w:szCs w:val="24"/>
        </w:rPr>
        <w:t xml:space="preserve">Projektu ietvaros </w:t>
      </w:r>
      <w:r w:rsidR="00060A93" w:rsidRPr="002D7733">
        <w:rPr>
          <w:rFonts w:ascii="Times New Roman" w:hAnsi="Times New Roman"/>
          <w:sz w:val="24"/>
          <w:szCs w:val="24"/>
        </w:rPr>
        <w:t xml:space="preserve">zinātniskās aparatūras un aprīkojuma </w:t>
      </w:r>
      <w:r w:rsidRPr="002D7733">
        <w:rPr>
          <w:rFonts w:ascii="Times New Roman" w:hAnsi="Times New Roman"/>
          <w:sz w:val="24"/>
          <w:szCs w:val="24"/>
        </w:rPr>
        <w:t xml:space="preserve">iegādei un pilnveidei </w:t>
      </w:r>
      <w:r w:rsidR="002326F0">
        <w:rPr>
          <w:rFonts w:ascii="Times New Roman" w:hAnsi="Times New Roman"/>
          <w:sz w:val="24"/>
          <w:szCs w:val="24"/>
        </w:rPr>
        <w:t xml:space="preserve">ieguldīti </w:t>
      </w:r>
      <w:r w:rsidR="00060A93" w:rsidRPr="002D7733">
        <w:rPr>
          <w:rFonts w:ascii="Times New Roman" w:hAnsi="Times New Roman"/>
          <w:sz w:val="24"/>
          <w:szCs w:val="24"/>
        </w:rPr>
        <w:t xml:space="preserve">29,65 milj. </w:t>
      </w:r>
      <w:r w:rsidR="00060A93" w:rsidRPr="002D7733">
        <w:rPr>
          <w:rFonts w:ascii="Times New Roman" w:hAnsi="Times New Roman"/>
          <w:i/>
          <w:sz w:val="24"/>
          <w:szCs w:val="24"/>
        </w:rPr>
        <w:t>euro</w:t>
      </w:r>
      <w:r w:rsidR="00060A93" w:rsidRPr="002D7733">
        <w:rPr>
          <w:rFonts w:ascii="Times New Roman" w:hAnsi="Times New Roman"/>
          <w:sz w:val="24"/>
          <w:szCs w:val="24"/>
        </w:rPr>
        <w:t xml:space="preserve">, savukārt, esošo ēku un telpu renovācijai vai rekonstrukcijai un jaunu zinātniskajai darbībai pielāgotu ēku būvniecībai – 5,36 milj. </w:t>
      </w:r>
      <w:r w:rsidR="00060A93" w:rsidRPr="002D7733">
        <w:rPr>
          <w:rFonts w:ascii="Times New Roman" w:hAnsi="Times New Roman"/>
          <w:i/>
          <w:sz w:val="24"/>
          <w:szCs w:val="24"/>
        </w:rPr>
        <w:t>euro</w:t>
      </w:r>
      <w:r w:rsidR="00060A93" w:rsidRPr="002D7733">
        <w:rPr>
          <w:rFonts w:ascii="Times New Roman" w:hAnsi="Times New Roman"/>
          <w:sz w:val="24"/>
          <w:szCs w:val="24"/>
        </w:rPr>
        <w:t xml:space="preserve">. </w:t>
      </w:r>
      <w:r w:rsidR="009662E3" w:rsidRPr="00C07278">
        <w:rPr>
          <w:rFonts w:ascii="Times New Roman" w:hAnsi="Times New Roman"/>
          <w:sz w:val="24"/>
          <w:szCs w:val="24"/>
        </w:rPr>
        <w:t>L</w:t>
      </w:r>
      <w:r w:rsidR="00BE6808" w:rsidRPr="00C07278">
        <w:rPr>
          <w:rFonts w:ascii="Times New Roman" w:hAnsi="Times New Roman"/>
          <w:sz w:val="24"/>
          <w:szCs w:val="24"/>
        </w:rPr>
        <w:t xml:space="preserve">auzti trīs līgumi ar finansējuma saņēmējiem par kopējo finansējumu 29,79 milj. </w:t>
      </w:r>
      <w:r w:rsidR="00BE6808" w:rsidRPr="00C07278">
        <w:rPr>
          <w:rFonts w:ascii="Times New Roman" w:hAnsi="Times New Roman"/>
          <w:i/>
          <w:sz w:val="24"/>
          <w:szCs w:val="24"/>
        </w:rPr>
        <w:t>euro</w:t>
      </w:r>
      <w:r w:rsidR="000868E1" w:rsidRPr="00C07278">
        <w:rPr>
          <w:rFonts w:ascii="Times New Roman" w:hAnsi="Times New Roman"/>
          <w:sz w:val="24"/>
          <w:szCs w:val="24"/>
        </w:rPr>
        <w:t>, tai skaitā</w:t>
      </w:r>
      <w:r w:rsidR="00BE6808" w:rsidRPr="00C07278">
        <w:rPr>
          <w:rFonts w:ascii="Times New Roman" w:hAnsi="Times New Roman"/>
          <w:sz w:val="24"/>
          <w:szCs w:val="24"/>
        </w:rPr>
        <w:t xml:space="preserve"> ERAF finansējum</w:t>
      </w:r>
      <w:r w:rsidR="00B13B0E" w:rsidRPr="00C07278">
        <w:rPr>
          <w:rFonts w:ascii="Times New Roman" w:hAnsi="Times New Roman"/>
          <w:sz w:val="24"/>
          <w:szCs w:val="24"/>
        </w:rPr>
        <w:t>s</w:t>
      </w:r>
      <w:r w:rsidR="00BE6808" w:rsidRPr="00C07278">
        <w:rPr>
          <w:rFonts w:ascii="Times New Roman" w:hAnsi="Times New Roman"/>
          <w:sz w:val="24"/>
          <w:szCs w:val="24"/>
        </w:rPr>
        <w:t xml:space="preserve"> 19,57 milj. </w:t>
      </w:r>
      <w:r w:rsidR="00BE6808" w:rsidRPr="00C07278">
        <w:rPr>
          <w:rFonts w:ascii="Times New Roman" w:hAnsi="Times New Roman"/>
          <w:i/>
          <w:sz w:val="24"/>
          <w:szCs w:val="24"/>
        </w:rPr>
        <w:t>euro</w:t>
      </w:r>
      <w:r w:rsidR="009662E3" w:rsidRPr="00C07278">
        <w:rPr>
          <w:rFonts w:ascii="Times New Roman" w:hAnsi="Times New Roman"/>
          <w:i/>
          <w:sz w:val="24"/>
          <w:szCs w:val="24"/>
        </w:rPr>
        <w:t>.</w:t>
      </w:r>
      <w:r w:rsidR="000421D0">
        <w:rPr>
          <w:rFonts w:ascii="Times New Roman" w:hAnsi="Times New Roman"/>
          <w:i/>
          <w:sz w:val="24"/>
          <w:szCs w:val="24"/>
        </w:rPr>
        <w:t xml:space="preserve"> </w:t>
      </w:r>
      <w:r w:rsidR="003523F8" w:rsidRPr="00C07278">
        <w:rPr>
          <w:rFonts w:ascii="Times New Roman" w:hAnsi="Times New Roman"/>
          <w:sz w:val="24"/>
          <w:szCs w:val="24"/>
        </w:rPr>
        <w:t>Detalizētāk</w:t>
      </w:r>
      <w:r w:rsidR="000421D0">
        <w:rPr>
          <w:rFonts w:ascii="Times New Roman" w:hAnsi="Times New Roman"/>
          <w:sz w:val="24"/>
          <w:szCs w:val="24"/>
        </w:rPr>
        <w:t>a</w:t>
      </w:r>
      <w:r w:rsidR="003523F8" w:rsidRPr="00C07278">
        <w:rPr>
          <w:rFonts w:ascii="Times New Roman" w:hAnsi="Times New Roman"/>
          <w:sz w:val="24"/>
          <w:szCs w:val="24"/>
        </w:rPr>
        <w:t xml:space="preserve"> informāciju par 2.1.1.</w:t>
      </w:r>
      <w:r w:rsidR="003523F8" w:rsidRPr="000421D0">
        <w:rPr>
          <w:rFonts w:ascii="Times New Roman" w:hAnsi="Times New Roman"/>
          <w:sz w:val="24"/>
          <w:szCs w:val="24"/>
        </w:rPr>
        <w:t>3.1.</w:t>
      </w:r>
      <w:r w:rsidR="008D15B3">
        <w:rPr>
          <w:rFonts w:ascii="Times New Roman" w:hAnsi="Times New Roman"/>
          <w:sz w:val="24"/>
          <w:szCs w:val="24"/>
        </w:rPr>
        <w:t xml:space="preserve"> </w:t>
      </w:r>
      <w:r w:rsidR="003523F8" w:rsidRPr="000421D0">
        <w:rPr>
          <w:rFonts w:ascii="Times New Roman" w:hAnsi="Times New Roman"/>
          <w:sz w:val="24"/>
          <w:szCs w:val="24"/>
        </w:rPr>
        <w:t>aktivitātes otrās projektu iesniegumu atlases kārtas ietvaros īstenotajiem projektiem</w:t>
      </w:r>
      <w:r w:rsidR="00547B80" w:rsidRPr="000421D0">
        <w:rPr>
          <w:rFonts w:ascii="Times New Roman" w:hAnsi="Times New Roman"/>
          <w:sz w:val="24"/>
          <w:szCs w:val="24"/>
        </w:rPr>
        <w:t xml:space="preserve">, </w:t>
      </w:r>
      <w:r w:rsidR="00547B80" w:rsidRPr="002D7733">
        <w:rPr>
          <w:rFonts w:ascii="Times New Roman" w:hAnsi="Times New Roman"/>
          <w:sz w:val="24"/>
          <w:szCs w:val="24"/>
        </w:rPr>
        <w:t>to rezultātā pilnveidoto komercpētniecības infrastruktūru</w:t>
      </w:r>
      <w:r w:rsidR="00934FD9" w:rsidRPr="000421D0">
        <w:rPr>
          <w:rFonts w:ascii="Times New Roman" w:hAnsi="Times New Roman"/>
          <w:sz w:val="24"/>
          <w:szCs w:val="24"/>
        </w:rPr>
        <w:t xml:space="preserve"> </w:t>
      </w:r>
      <w:r w:rsidR="000421D0">
        <w:rPr>
          <w:rFonts w:ascii="Times New Roman" w:hAnsi="Times New Roman"/>
          <w:sz w:val="24"/>
          <w:szCs w:val="24"/>
        </w:rPr>
        <w:t xml:space="preserve">ir apkopota </w:t>
      </w:r>
      <w:r w:rsidR="005163E5" w:rsidRPr="005163E5">
        <w:rPr>
          <w:rFonts w:ascii="Times New Roman" w:hAnsi="Times New Roman"/>
          <w:sz w:val="24"/>
          <w:szCs w:val="24"/>
        </w:rPr>
        <w:t xml:space="preserve">informatīvā ziņojuma </w:t>
      </w:r>
      <w:r w:rsidR="00B55BBD">
        <w:rPr>
          <w:rFonts w:ascii="Times New Roman" w:hAnsi="Times New Roman"/>
          <w:sz w:val="24"/>
          <w:szCs w:val="24"/>
        </w:rPr>
        <w:t>6</w:t>
      </w:r>
      <w:r w:rsidR="005163E5" w:rsidRPr="005163E5">
        <w:rPr>
          <w:rFonts w:ascii="Times New Roman" w:hAnsi="Times New Roman"/>
          <w:sz w:val="24"/>
          <w:szCs w:val="24"/>
        </w:rPr>
        <w:t>.</w:t>
      </w:r>
      <w:r w:rsidR="00A36CEB">
        <w:rPr>
          <w:rFonts w:ascii="Times New Roman" w:hAnsi="Times New Roman"/>
          <w:sz w:val="24"/>
          <w:szCs w:val="24"/>
        </w:rPr>
        <w:t> </w:t>
      </w:r>
      <w:r w:rsidR="00CF2AE8" w:rsidRPr="005163E5">
        <w:rPr>
          <w:rFonts w:ascii="Times New Roman" w:hAnsi="Times New Roman"/>
          <w:sz w:val="24"/>
          <w:szCs w:val="24"/>
        </w:rPr>
        <w:t>pielikumā</w:t>
      </w:r>
      <w:r w:rsidR="003523F8" w:rsidRPr="005163E5">
        <w:rPr>
          <w:rFonts w:ascii="Times New Roman" w:hAnsi="Times New Roman"/>
          <w:sz w:val="24"/>
          <w:szCs w:val="24"/>
        </w:rPr>
        <w:t>.</w:t>
      </w:r>
    </w:p>
    <w:p w14:paraId="186D12D4" w14:textId="77777777" w:rsidR="00604CAE" w:rsidRPr="002D7733" w:rsidRDefault="000B4DE7" w:rsidP="00E7642A">
      <w:pPr>
        <w:pStyle w:val="Heading1"/>
        <w:numPr>
          <w:ilvl w:val="1"/>
          <w:numId w:val="1"/>
        </w:numPr>
        <w:tabs>
          <w:tab w:val="left" w:pos="993"/>
        </w:tabs>
        <w:spacing w:before="360" w:after="120"/>
        <w:ind w:left="567" w:firstLine="0"/>
        <w:jc w:val="center"/>
      </w:pPr>
      <w:bookmarkStart w:id="32" w:name="_Toc458673275"/>
      <w:r w:rsidRPr="00C07278">
        <w:rPr>
          <w:rFonts w:ascii="Times New Roman" w:hAnsi="Times New Roman"/>
          <w:color w:val="auto"/>
          <w:sz w:val="24"/>
          <w:szCs w:val="24"/>
        </w:rPr>
        <w:t>Latvijas akadēmiskā pamattīkla attīstība</w:t>
      </w:r>
      <w:bookmarkEnd w:id="32"/>
    </w:p>
    <w:p w14:paraId="2B77FCF3" w14:textId="77777777" w:rsidR="00AE0084" w:rsidRPr="00C07278" w:rsidRDefault="005F0287"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t xml:space="preserve">Lai izveidotu </w:t>
      </w:r>
      <w:r w:rsidR="00003260" w:rsidRPr="00C07278">
        <w:rPr>
          <w:rFonts w:ascii="Times New Roman" w:hAnsi="Times New Roman"/>
          <w:sz w:val="24"/>
          <w:szCs w:val="24"/>
        </w:rPr>
        <w:t xml:space="preserve">nākamās paaudzes datu pārraides tīklu zinātniskās darbības nodrošināšanai, uzlabotu informācijas sistēmas valsts zinātniskajās institūcijās un augstskolās un izstrādātu </w:t>
      </w:r>
      <w:r w:rsidRPr="00C07278">
        <w:rPr>
          <w:rFonts w:ascii="Times New Roman" w:hAnsi="Times New Roman"/>
          <w:sz w:val="24"/>
          <w:szCs w:val="24"/>
        </w:rPr>
        <w:t xml:space="preserve">vienotus Latvijas akadēmiskā pamattīkla pārvaldības un akadēmiskos standartus, atbilstoši ES rekomendācijām izveidot optisko dzīslu </w:t>
      </w:r>
      <w:r w:rsidRPr="00C07278">
        <w:rPr>
          <w:rFonts w:ascii="Times New Roman" w:hAnsi="Times New Roman"/>
          <w:sz w:val="24"/>
          <w:szCs w:val="24"/>
        </w:rPr>
        <w:lastRenderedPageBreak/>
        <w:t>akadēmisko pamattīklu, kas savieno galvenos izglītības, zinātnes un inovāciju attīstības centrus, 2010</w:t>
      </w:r>
      <w:r w:rsidR="00003260" w:rsidRPr="00C07278">
        <w:rPr>
          <w:rFonts w:ascii="Times New Roman" w:hAnsi="Times New Roman"/>
          <w:sz w:val="24"/>
          <w:szCs w:val="24"/>
        </w:rPr>
        <w:t>.</w:t>
      </w:r>
      <w:r w:rsidR="00A36CEB">
        <w:rPr>
          <w:rFonts w:ascii="Times New Roman" w:hAnsi="Times New Roman"/>
          <w:sz w:val="24"/>
          <w:szCs w:val="24"/>
        </w:rPr>
        <w:t> </w:t>
      </w:r>
      <w:r w:rsidR="00003260" w:rsidRPr="00C07278">
        <w:rPr>
          <w:rFonts w:ascii="Times New Roman" w:hAnsi="Times New Roman"/>
          <w:sz w:val="24"/>
          <w:szCs w:val="24"/>
        </w:rPr>
        <w:t xml:space="preserve">gadā </w:t>
      </w:r>
      <w:r w:rsidRPr="00C07278">
        <w:rPr>
          <w:rFonts w:ascii="Times New Roman" w:hAnsi="Times New Roman"/>
          <w:sz w:val="24"/>
          <w:szCs w:val="24"/>
        </w:rPr>
        <w:t>tika uzsākta 2.1.1.3.2.</w:t>
      </w:r>
      <w:r w:rsidR="00A36CEB">
        <w:rPr>
          <w:rFonts w:ascii="Times New Roman" w:hAnsi="Times New Roman"/>
          <w:sz w:val="24"/>
          <w:szCs w:val="24"/>
        </w:rPr>
        <w:t> </w:t>
      </w:r>
      <w:r w:rsidRPr="00C07278">
        <w:rPr>
          <w:rFonts w:ascii="Times New Roman" w:hAnsi="Times New Roman"/>
          <w:sz w:val="24"/>
          <w:szCs w:val="24"/>
        </w:rPr>
        <w:t>apakšaktivitātes</w:t>
      </w:r>
      <w:r w:rsidRPr="00C07278">
        <w:rPr>
          <w:rFonts w:ascii="Times New Roman" w:hAnsi="Times New Roman"/>
          <w:vertAlign w:val="superscript"/>
        </w:rPr>
        <w:footnoteReference w:id="17"/>
      </w:r>
      <w:r w:rsidRPr="00C07278">
        <w:rPr>
          <w:rFonts w:ascii="Times New Roman" w:hAnsi="Times New Roman"/>
          <w:sz w:val="24"/>
          <w:szCs w:val="24"/>
          <w:vertAlign w:val="superscript"/>
        </w:rPr>
        <w:t xml:space="preserve"> </w:t>
      </w:r>
      <w:r w:rsidRPr="00C07278">
        <w:rPr>
          <w:rFonts w:ascii="Times New Roman" w:hAnsi="Times New Roman"/>
          <w:sz w:val="24"/>
          <w:szCs w:val="24"/>
        </w:rPr>
        <w:t xml:space="preserve">projekta īstenošana par kopējo attiecināmo ERAF finansējumu 14,96 milj. </w:t>
      </w:r>
      <w:r w:rsidRPr="00C07278">
        <w:rPr>
          <w:rFonts w:ascii="Times New Roman" w:hAnsi="Times New Roman"/>
          <w:i/>
          <w:sz w:val="24"/>
          <w:szCs w:val="24"/>
        </w:rPr>
        <w:t>euro</w:t>
      </w:r>
      <w:r w:rsidRPr="00C07278">
        <w:rPr>
          <w:rFonts w:ascii="Times New Roman" w:hAnsi="Times New Roman"/>
          <w:sz w:val="24"/>
          <w:szCs w:val="24"/>
        </w:rPr>
        <w:t xml:space="preserve">. </w:t>
      </w:r>
      <w:r w:rsidR="00AE0084" w:rsidRPr="00C07278">
        <w:rPr>
          <w:rFonts w:ascii="Times New Roman" w:hAnsi="Times New Roman"/>
          <w:sz w:val="24"/>
          <w:szCs w:val="24"/>
        </w:rPr>
        <w:t>Projekt</w:t>
      </w:r>
      <w:r w:rsidR="007A0AD8">
        <w:rPr>
          <w:rFonts w:ascii="Times New Roman" w:hAnsi="Times New Roman"/>
          <w:sz w:val="24"/>
          <w:szCs w:val="24"/>
        </w:rPr>
        <w:t>a ietvaros</w:t>
      </w:r>
      <w:r w:rsidR="00AD6F27">
        <w:rPr>
          <w:rFonts w:ascii="Times New Roman" w:hAnsi="Times New Roman"/>
          <w:sz w:val="24"/>
          <w:szCs w:val="24"/>
        </w:rPr>
        <w:t xml:space="preserve"> </w:t>
      </w:r>
      <w:r w:rsidR="00AE0084" w:rsidRPr="00C07278">
        <w:rPr>
          <w:rFonts w:ascii="Times New Roman" w:hAnsi="Times New Roman"/>
          <w:sz w:val="24"/>
          <w:szCs w:val="24"/>
        </w:rPr>
        <w:t>īstenot</w:t>
      </w:r>
      <w:r w:rsidR="007A0AD8">
        <w:rPr>
          <w:rFonts w:ascii="Times New Roman" w:hAnsi="Times New Roman"/>
          <w:sz w:val="24"/>
          <w:szCs w:val="24"/>
        </w:rPr>
        <w:t>i</w:t>
      </w:r>
      <w:r w:rsidR="00AE0084" w:rsidRPr="00C07278">
        <w:rPr>
          <w:rFonts w:ascii="Times New Roman" w:hAnsi="Times New Roman"/>
          <w:sz w:val="24"/>
          <w:szCs w:val="24"/>
        </w:rPr>
        <w:t xml:space="preserve"> </w:t>
      </w:r>
      <w:r w:rsidR="007A0AD8" w:rsidRPr="00C07278">
        <w:rPr>
          <w:rFonts w:ascii="Times New Roman" w:hAnsi="Times New Roman"/>
          <w:sz w:val="24"/>
          <w:szCs w:val="24"/>
        </w:rPr>
        <w:t>sekojoš</w:t>
      </w:r>
      <w:r w:rsidR="007A0AD8">
        <w:rPr>
          <w:rFonts w:ascii="Times New Roman" w:hAnsi="Times New Roman"/>
          <w:sz w:val="24"/>
          <w:szCs w:val="24"/>
        </w:rPr>
        <w:t>i</w:t>
      </w:r>
      <w:r w:rsidR="007A0AD8" w:rsidRPr="00C07278">
        <w:rPr>
          <w:rFonts w:ascii="Times New Roman" w:hAnsi="Times New Roman"/>
          <w:sz w:val="24"/>
          <w:szCs w:val="24"/>
        </w:rPr>
        <w:t xml:space="preserve"> pasākum</w:t>
      </w:r>
      <w:r w:rsidR="007A0AD8">
        <w:rPr>
          <w:rFonts w:ascii="Times New Roman" w:hAnsi="Times New Roman"/>
          <w:sz w:val="24"/>
          <w:szCs w:val="24"/>
        </w:rPr>
        <w:t>i</w:t>
      </w:r>
      <w:r w:rsidR="00AE0084" w:rsidRPr="00C07278">
        <w:rPr>
          <w:rFonts w:ascii="Times New Roman" w:hAnsi="Times New Roman"/>
          <w:sz w:val="24"/>
          <w:szCs w:val="24"/>
        </w:rPr>
        <w:t>:</w:t>
      </w:r>
    </w:p>
    <w:p w14:paraId="352FB704" w14:textId="77777777" w:rsidR="00AE0084" w:rsidRPr="00C07278" w:rsidRDefault="00A42043" w:rsidP="00E7642A">
      <w:pPr>
        <w:pStyle w:val="ListParagraph"/>
        <w:numPr>
          <w:ilvl w:val="0"/>
          <w:numId w:val="8"/>
        </w:numPr>
        <w:tabs>
          <w:tab w:val="left" w:pos="0"/>
        </w:tabs>
        <w:ind w:left="851" w:hanging="284"/>
        <w:rPr>
          <w:rFonts w:cs="Times New Roman"/>
        </w:rPr>
      </w:pPr>
      <w:r>
        <w:rPr>
          <w:rFonts w:cs="Times New Roman"/>
        </w:rPr>
        <w:t>z</w:t>
      </w:r>
      <w:r w:rsidR="00AE0084" w:rsidRPr="00C07278">
        <w:rPr>
          <w:rFonts w:cs="Times New Roman"/>
        </w:rPr>
        <w:t>inātniskās informāciju un komunikāciju tehnoloģiju</w:t>
      </w:r>
      <w:r w:rsidR="00E659BF">
        <w:rPr>
          <w:rFonts w:cs="Times New Roman"/>
        </w:rPr>
        <w:t xml:space="preserve"> (</w:t>
      </w:r>
      <w:r w:rsidR="00E659BF" w:rsidRPr="00C07278">
        <w:rPr>
          <w:rFonts w:cs="Times New Roman"/>
        </w:rPr>
        <w:t>IKT</w:t>
      </w:r>
      <w:r w:rsidR="00E659BF">
        <w:rPr>
          <w:rFonts w:cs="Times New Roman"/>
        </w:rPr>
        <w:t>)</w:t>
      </w:r>
      <w:r w:rsidR="00AE0084" w:rsidRPr="00C07278">
        <w:rPr>
          <w:rFonts w:cs="Times New Roman"/>
        </w:rPr>
        <w:t xml:space="preserve"> infrastruktūras attīstība un efektivitāte</w:t>
      </w:r>
      <w:r w:rsidR="00F7553B" w:rsidRPr="00C07278">
        <w:rPr>
          <w:rFonts w:cs="Times New Roman"/>
        </w:rPr>
        <w:t>s</w:t>
      </w:r>
      <w:r w:rsidR="00AE0084" w:rsidRPr="00C07278">
        <w:rPr>
          <w:rFonts w:cs="Times New Roman"/>
        </w:rPr>
        <w:t xml:space="preserve"> nodrošināšana, kuras ietvaros veikta nacionālas nozīmes Latvijas akadēmiskā pamattīkla un piekļuves tīkla izveide, koplietošanas zinātnisko datu centru izveide un aprīkošana, vienotas piekļuves izveide un modernizēšana ārvalstu akadēmiskajiem tīkliem un zinātniskajām bibliotēkām;</w:t>
      </w:r>
    </w:p>
    <w:p w14:paraId="028CEBE6" w14:textId="77777777" w:rsidR="00AE0084" w:rsidRPr="00C07278" w:rsidRDefault="00A42043" w:rsidP="00E7642A">
      <w:pPr>
        <w:pStyle w:val="ListParagraph"/>
        <w:numPr>
          <w:ilvl w:val="0"/>
          <w:numId w:val="8"/>
        </w:numPr>
        <w:tabs>
          <w:tab w:val="left" w:pos="0"/>
        </w:tabs>
        <w:ind w:left="851" w:hanging="284"/>
        <w:rPr>
          <w:rFonts w:cs="Times New Roman"/>
        </w:rPr>
      </w:pPr>
      <w:r>
        <w:rPr>
          <w:rFonts w:cs="Times New Roman"/>
        </w:rPr>
        <w:t>z</w:t>
      </w:r>
      <w:r w:rsidR="00AE0084" w:rsidRPr="00C07278">
        <w:rPr>
          <w:rFonts w:cs="Times New Roman"/>
        </w:rPr>
        <w:t xml:space="preserve">inātnes un pētniecības konkurētspējas uzlabošana, kuras ietvaros </w:t>
      </w:r>
      <w:r w:rsidR="007A0AD8">
        <w:rPr>
          <w:rFonts w:cs="Times New Roman"/>
        </w:rPr>
        <w:t>veikta</w:t>
      </w:r>
      <w:r w:rsidR="00AE0084" w:rsidRPr="00C07278">
        <w:rPr>
          <w:rFonts w:cs="Times New Roman"/>
        </w:rPr>
        <w:t xml:space="preserve"> informāciju sistēmu izveide un ieviešana </w:t>
      </w:r>
      <w:r w:rsidR="007C43C2" w:rsidRPr="00C07278">
        <w:rPr>
          <w:rFonts w:cs="Times New Roman"/>
        </w:rPr>
        <w:t>zinātnisk</w:t>
      </w:r>
      <w:r w:rsidR="007C43C2">
        <w:rPr>
          <w:rFonts w:cs="Times New Roman"/>
        </w:rPr>
        <w:t>o</w:t>
      </w:r>
      <w:r w:rsidR="007C43C2" w:rsidRPr="00C07278">
        <w:rPr>
          <w:rFonts w:cs="Times New Roman"/>
        </w:rPr>
        <w:t xml:space="preserve"> </w:t>
      </w:r>
      <w:r w:rsidR="00AE0084" w:rsidRPr="00C07278">
        <w:rPr>
          <w:rFonts w:cs="Times New Roman"/>
        </w:rPr>
        <w:t xml:space="preserve">un pētniecības </w:t>
      </w:r>
      <w:r w:rsidR="007C43C2" w:rsidRPr="00C07278">
        <w:rPr>
          <w:rFonts w:cs="Times New Roman"/>
        </w:rPr>
        <w:t>darbīb</w:t>
      </w:r>
      <w:r w:rsidR="007C43C2">
        <w:rPr>
          <w:rFonts w:cs="Times New Roman"/>
        </w:rPr>
        <w:t>u</w:t>
      </w:r>
      <w:r w:rsidR="007C43C2" w:rsidRPr="00C07278">
        <w:rPr>
          <w:rFonts w:cs="Times New Roman"/>
        </w:rPr>
        <w:t xml:space="preserve"> </w:t>
      </w:r>
      <w:r w:rsidR="00AE0084" w:rsidRPr="00C07278">
        <w:rPr>
          <w:rFonts w:cs="Times New Roman"/>
        </w:rPr>
        <w:t>atbalstam, tehnoloģisko līdzekļu iegāde zinātnisko un pētniecības laboratoriju modernizēšanai, koplietošanas programmatūras iegāde;</w:t>
      </w:r>
    </w:p>
    <w:p w14:paraId="7342890E" w14:textId="77777777" w:rsidR="00AD6F27" w:rsidRPr="00A42043" w:rsidRDefault="00A42043" w:rsidP="00E7642A">
      <w:pPr>
        <w:pStyle w:val="ListParagraph"/>
        <w:numPr>
          <w:ilvl w:val="0"/>
          <w:numId w:val="8"/>
        </w:numPr>
        <w:tabs>
          <w:tab w:val="left" w:pos="0"/>
        </w:tabs>
        <w:ind w:left="851" w:hanging="284"/>
        <w:rPr>
          <w:rFonts w:cs="Times New Roman"/>
        </w:rPr>
      </w:pPr>
      <w:r>
        <w:rPr>
          <w:rFonts w:cs="Times New Roman"/>
        </w:rPr>
        <w:t>z</w:t>
      </w:r>
      <w:r w:rsidR="00AE0084" w:rsidRPr="00C07278">
        <w:rPr>
          <w:rFonts w:cs="Times New Roman"/>
        </w:rPr>
        <w:t>inātnes, pētniecības un mācību procesa vadības un administrēšanas modernizācija, veicot zinātnisko institūciju informatīvo sistēmu vienotas integrācijas platformas izveidi, integrētās apmācību vides izveidi.</w:t>
      </w:r>
    </w:p>
    <w:p w14:paraId="5A90C843" w14:textId="77777777" w:rsidR="00EF0415" w:rsidRPr="00C07278" w:rsidRDefault="00C672D6"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t xml:space="preserve">Latvijas akadēmiskā pamattīkla ietvaros projektu īstenošanas sadarbības partneri </w:t>
      </w:r>
      <w:r w:rsidR="007C43C2">
        <w:rPr>
          <w:rFonts w:ascii="Times New Roman" w:hAnsi="Times New Roman"/>
          <w:sz w:val="24"/>
          <w:szCs w:val="24"/>
        </w:rPr>
        <w:t>bija</w:t>
      </w:r>
      <w:r w:rsidR="007C43C2" w:rsidRPr="00C07278">
        <w:rPr>
          <w:rFonts w:ascii="Times New Roman" w:hAnsi="Times New Roman"/>
          <w:sz w:val="24"/>
          <w:szCs w:val="24"/>
        </w:rPr>
        <w:t xml:space="preserve"> </w:t>
      </w:r>
      <w:r w:rsidRPr="00C07278">
        <w:rPr>
          <w:rFonts w:ascii="Times New Roman" w:hAnsi="Times New Roman"/>
          <w:sz w:val="24"/>
          <w:szCs w:val="24"/>
        </w:rPr>
        <w:t xml:space="preserve">47 </w:t>
      </w:r>
      <w:r w:rsidR="007C43C2">
        <w:rPr>
          <w:rFonts w:ascii="Times New Roman" w:hAnsi="Times New Roman"/>
          <w:sz w:val="24"/>
          <w:szCs w:val="24"/>
        </w:rPr>
        <w:t>zinātnisko institūciju reģistrā</w:t>
      </w:r>
      <w:r w:rsidR="007C43C2" w:rsidRPr="00C07278">
        <w:rPr>
          <w:rFonts w:ascii="Times New Roman" w:hAnsi="Times New Roman"/>
          <w:sz w:val="24"/>
          <w:szCs w:val="24"/>
        </w:rPr>
        <w:t xml:space="preserve"> </w:t>
      </w:r>
      <w:r w:rsidRPr="00C07278">
        <w:rPr>
          <w:rFonts w:ascii="Times New Roman" w:hAnsi="Times New Roman"/>
          <w:sz w:val="24"/>
          <w:szCs w:val="24"/>
        </w:rPr>
        <w:t>reģistrētas zinātniskās institūcijas</w:t>
      </w:r>
      <w:r w:rsidR="007C43C2">
        <w:rPr>
          <w:rFonts w:ascii="Times New Roman" w:hAnsi="Times New Roman"/>
          <w:sz w:val="24"/>
          <w:szCs w:val="24"/>
        </w:rPr>
        <w:t>,</w:t>
      </w:r>
      <w:r w:rsidR="001B261C">
        <w:rPr>
          <w:rFonts w:ascii="Times New Roman" w:hAnsi="Times New Roman"/>
          <w:sz w:val="24"/>
          <w:szCs w:val="24"/>
        </w:rPr>
        <w:t xml:space="preserve"> </w:t>
      </w:r>
      <w:r w:rsidR="007C43C2">
        <w:rPr>
          <w:rFonts w:ascii="Times New Roman" w:hAnsi="Times New Roman"/>
          <w:sz w:val="24"/>
          <w:szCs w:val="24"/>
        </w:rPr>
        <w:t>n</w:t>
      </w:r>
      <w:r w:rsidR="00AD6F27">
        <w:rPr>
          <w:rFonts w:ascii="Times New Roman" w:hAnsi="Times New Roman"/>
          <w:sz w:val="24"/>
          <w:szCs w:val="24"/>
        </w:rPr>
        <w:t xml:space="preserve">o tām </w:t>
      </w:r>
      <w:r w:rsidRPr="00C07278">
        <w:rPr>
          <w:rFonts w:ascii="Times New Roman" w:hAnsi="Times New Roman"/>
          <w:sz w:val="24"/>
          <w:szCs w:val="24"/>
        </w:rPr>
        <w:t>37 valsts zinātniskās institūcijas</w:t>
      </w:r>
      <w:r w:rsidR="00AD6F27">
        <w:rPr>
          <w:rFonts w:ascii="Times New Roman" w:hAnsi="Times New Roman"/>
          <w:sz w:val="24"/>
          <w:szCs w:val="24"/>
        </w:rPr>
        <w:t xml:space="preserve"> un to struktūrvienības</w:t>
      </w:r>
      <w:r w:rsidR="001B261C">
        <w:rPr>
          <w:rFonts w:ascii="Times New Roman" w:hAnsi="Times New Roman"/>
          <w:sz w:val="24"/>
          <w:szCs w:val="24"/>
        </w:rPr>
        <w:t xml:space="preserve"> (</w:t>
      </w:r>
      <w:r w:rsidRPr="00C07278">
        <w:rPr>
          <w:rFonts w:ascii="Times New Roman" w:hAnsi="Times New Roman"/>
          <w:sz w:val="24"/>
          <w:szCs w:val="24"/>
        </w:rPr>
        <w:t xml:space="preserve">15 </w:t>
      </w:r>
      <w:r w:rsidR="007C43C2">
        <w:rPr>
          <w:rFonts w:ascii="Times New Roman" w:hAnsi="Times New Roman"/>
          <w:sz w:val="24"/>
          <w:szCs w:val="24"/>
        </w:rPr>
        <w:t xml:space="preserve">no tām </w:t>
      </w:r>
      <w:r w:rsidRPr="00C07278">
        <w:rPr>
          <w:rFonts w:ascii="Times New Roman" w:hAnsi="Times New Roman"/>
          <w:sz w:val="24"/>
          <w:szCs w:val="24"/>
        </w:rPr>
        <w:t>atrodas ārpus Rīgas</w:t>
      </w:r>
      <w:r w:rsidR="001B261C">
        <w:rPr>
          <w:rFonts w:ascii="Times New Roman" w:hAnsi="Times New Roman"/>
          <w:sz w:val="24"/>
          <w:szCs w:val="24"/>
        </w:rPr>
        <w:t>)</w:t>
      </w:r>
      <w:r w:rsidRPr="00C07278">
        <w:rPr>
          <w:rFonts w:ascii="Times New Roman" w:hAnsi="Times New Roman"/>
          <w:sz w:val="24"/>
          <w:szCs w:val="24"/>
        </w:rPr>
        <w:t>, un 10 privāto tiesību juridisko personu dibinātas zinātniskās institūcijas</w:t>
      </w:r>
      <w:r w:rsidR="001B261C">
        <w:rPr>
          <w:rFonts w:ascii="Times New Roman" w:hAnsi="Times New Roman"/>
          <w:sz w:val="24"/>
          <w:szCs w:val="24"/>
        </w:rPr>
        <w:t xml:space="preserve"> (</w:t>
      </w:r>
      <w:r w:rsidRPr="00C07278">
        <w:rPr>
          <w:rFonts w:ascii="Times New Roman" w:hAnsi="Times New Roman"/>
          <w:sz w:val="24"/>
          <w:szCs w:val="24"/>
        </w:rPr>
        <w:t xml:space="preserve">4 </w:t>
      </w:r>
      <w:r w:rsidR="007C43C2">
        <w:rPr>
          <w:rFonts w:ascii="Times New Roman" w:hAnsi="Times New Roman"/>
          <w:sz w:val="24"/>
          <w:szCs w:val="24"/>
        </w:rPr>
        <w:t xml:space="preserve">no tām </w:t>
      </w:r>
      <w:r w:rsidRPr="00C07278">
        <w:rPr>
          <w:rFonts w:ascii="Times New Roman" w:hAnsi="Times New Roman"/>
          <w:sz w:val="24"/>
          <w:szCs w:val="24"/>
        </w:rPr>
        <w:t xml:space="preserve">atrodas ārpus Rīgas) un 3 projekta sadarbības partneri, </w:t>
      </w:r>
      <w:r w:rsidR="007C43C2" w:rsidRPr="00C07278">
        <w:rPr>
          <w:rFonts w:ascii="Times New Roman" w:hAnsi="Times New Roman"/>
          <w:sz w:val="24"/>
          <w:szCs w:val="24"/>
        </w:rPr>
        <w:t xml:space="preserve">kas nav reģistrēti </w:t>
      </w:r>
      <w:r w:rsidR="007C43C2">
        <w:rPr>
          <w:rFonts w:ascii="Times New Roman" w:hAnsi="Times New Roman"/>
          <w:sz w:val="24"/>
          <w:szCs w:val="24"/>
        </w:rPr>
        <w:t xml:space="preserve">zinātnisko institūciju reģistrā un </w:t>
      </w:r>
      <w:r w:rsidRPr="00C07278">
        <w:rPr>
          <w:rFonts w:ascii="Times New Roman" w:hAnsi="Times New Roman"/>
          <w:sz w:val="24"/>
          <w:szCs w:val="24"/>
        </w:rPr>
        <w:t>no kuriem viena institūcija atrodas ārpus Rīgas</w:t>
      </w:r>
      <w:r w:rsidR="007C43C2">
        <w:rPr>
          <w:rFonts w:ascii="Times New Roman" w:hAnsi="Times New Roman"/>
          <w:sz w:val="24"/>
          <w:szCs w:val="24"/>
        </w:rPr>
        <w:t>.</w:t>
      </w:r>
    </w:p>
    <w:p w14:paraId="7F5F8B93" w14:textId="77777777" w:rsidR="00C672D6" w:rsidRPr="00C07278" w:rsidRDefault="00EF0415"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r>
      <w:r w:rsidR="00C672D6" w:rsidRPr="00C07278">
        <w:rPr>
          <w:rFonts w:ascii="Times New Roman" w:hAnsi="Times New Roman"/>
          <w:sz w:val="24"/>
          <w:szCs w:val="24"/>
        </w:rPr>
        <w:t xml:space="preserve">Vienots akadēmiskais datu pārraides tīkls savieno maģistrālā datu pārraides tīkla piekļuves mezglus Rīgā, Daugavpilī, Rēzeknē, Salaspilī, Valmierā, Jelgavā, Liepājā un Ventspilī, nodrošinot partneru institūciju pieslēgšanu </w:t>
      </w:r>
      <w:r w:rsidR="007C43C2">
        <w:rPr>
          <w:rFonts w:ascii="Times New Roman" w:hAnsi="Times New Roman"/>
          <w:sz w:val="24"/>
          <w:szCs w:val="24"/>
        </w:rPr>
        <w:t xml:space="preserve">šim </w:t>
      </w:r>
      <w:r w:rsidR="00C672D6" w:rsidRPr="00C07278">
        <w:rPr>
          <w:rFonts w:ascii="Times New Roman" w:hAnsi="Times New Roman"/>
          <w:sz w:val="24"/>
          <w:szCs w:val="24"/>
        </w:rPr>
        <w:t xml:space="preserve">tīklam. Partnerinstitūciju pieslēgumi akadēmiskajam datu pārraides tīklam šajos piekļuves mezglos </w:t>
      </w:r>
      <w:r w:rsidR="00AD6F27">
        <w:rPr>
          <w:rFonts w:ascii="Times New Roman" w:hAnsi="Times New Roman"/>
          <w:sz w:val="24"/>
          <w:szCs w:val="24"/>
        </w:rPr>
        <w:t xml:space="preserve">nodrošina </w:t>
      </w:r>
      <w:r w:rsidR="00C672D6" w:rsidRPr="00C07278">
        <w:rPr>
          <w:rFonts w:ascii="Times New Roman" w:hAnsi="Times New Roman"/>
          <w:sz w:val="24"/>
          <w:szCs w:val="24"/>
        </w:rPr>
        <w:t>iespēju izmantot koplietošanas resursus un pakalpojumus, piekļūt starptautiskajiem akadēmiskajiem datu pārraides tīkliem.</w:t>
      </w:r>
    </w:p>
    <w:p w14:paraId="0F7A936C" w14:textId="77777777" w:rsidR="00AE0084" w:rsidRPr="00C07278" w:rsidRDefault="000E6815"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t xml:space="preserve">Latvijas akadēmiskā pamattīkla projekta koplietošanas risinājumi </w:t>
      </w:r>
      <w:r w:rsidR="007251CA">
        <w:rPr>
          <w:rFonts w:ascii="Times New Roman" w:hAnsi="Times New Roman"/>
          <w:sz w:val="24"/>
          <w:szCs w:val="24"/>
        </w:rPr>
        <w:t>izstrādāti</w:t>
      </w:r>
      <w:r w:rsidRPr="00C07278">
        <w:rPr>
          <w:rFonts w:ascii="Times New Roman" w:hAnsi="Times New Roman"/>
          <w:sz w:val="24"/>
          <w:szCs w:val="24"/>
        </w:rPr>
        <w:t xml:space="preserve"> tā, lai visi </w:t>
      </w:r>
      <w:r w:rsidR="00F87DB9" w:rsidRPr="00C07278">
        <w:rPr>
          <w:rFonts w:ascii="Times New Roman" w:hAnsi="Times New Roman"/>
          <w:sz w:val="24"/>
          <w:szCs w:val="24"/>
        </w:rPr>
        <w:t xml:space="preserve">sadarbības </w:t>
      </w:r>
      <w:r w:rsidRPr="00C07278">
        <w:rPr>
          <w:rFonts w:ascii="Times New Roman" w:hAnsi="Times New Roman"/>
          <w:sz w:val="24"/>
          <w:szCs w:val="24"/>
        </w:rPr>
        <w:t>partneri saņemtu tiem nepieciešamo</w:t>
      </w:r>
      <w:r w:rsidR="007251CA">
        <w:rPr>
          <w:rFonts w:ascii="Times New Roman" w:hAnsi="Times New Roman"/>
          <w:sz w:val="24"/>
          <w:szCs w:val="24"/>
        </w:rPr>
        <w:t>s</w:t>
      </w:r>
      <w:r w:rsidRPr="00C07278">
        <w:rPr>
          <w:rFonts w:ascii="Times New Roman" w:hAnsi="Times New Roman"/>
          <w:sz w:val="24"/>
          <w:szCs w:val="24"/>
        </w:rPr>
        <w:t xml:space="preserve"> noteikta veida un apjoma pakalpojumus </w:t>
      </w:r>
      <w:r w:rsidR="00AE0084" w:rsidRPr="00C07278">
        <w:rPr>
          <w:rFonts w:ascii="Times New Roman" w:hAnsi="Times New Roman"/>
          <w:sz w:val="24"/>
          <w:szCs w:val="24"/>
        </w:rPr>
        <w:t>(pētnieciskās darbības veikšanai nepieciešamās koplietošanas programmatūras izstrāde, pielāgošana, iegāde, uzstādīšana un ieviešana</w:t>
      </w:r>
      <w:r w:rsidR="007C43C2">
        <w:rPr>
          <w:rFonts w:ascii="Times New Roman" w:hAnsi="Times New Roman"/>
          <w:sz w:val="24"/>
          <w:szCs w:val="24"/>
        </w:rPr>
        <w:t>,</w:t>
      </w:r>
      <w:r w:rsidR="00410F31" w:rsidRPr="00C07278">
        <w:rPr>
          <w:rFonts w:ascii="Times New Roman" w:hAnsi="Times New Roman"/>
          <w:sz w:val="24"/>
          <w:szCs w:val="24"/>
        </w:rPr>
        <w:t xml:space="preserve"> satura un lietojumrisinājumu, kas atbalsta akadēmisko mobilitāti un pieeju pētniecības un izglītības elektroniskajiem pakalpojumiem </w:t>
      </w:r>
      <w:r w:rsidR="00BB5CEE">
        <w:rPr>
          <w:rFonts w:ascii="Times New Roman" w:hAnsi="Times New Roman"/>
          <w:sz w:val="24"/>
          <w:szCs w:val="24"/>
        </w:rPr>
        <w:t>zinātniskajām institūcijām visos Latvijas plānošanas reģionos</w:t>
      </w:r>
      <w:r w:rsidR="00410F31" w:rsidRPr="00C07278">
        <w:rPr>
          <w:rFonts w:ascii="Times New Roman" w:hAnsi="Times New Roman"/>
          <w:sz w:val="24"/>
          <w:szCs w:val="24"/>
        </w:rPr>
        <w:t>, izstrāde</w:t>
      </w:r>
      <w:r w:rsidR="00E066DB" w:rsidRPr="00C07278">
        <w:rPr>
          <w:rFonts w:ascii="Times New Roman" w:hAnsi="Times New Roman"/>
          <w:sz w:val="24"/>
          <w:szCs w:val="24"/>
        </w:rPr>
        <w:t>, nodrošināta piekļuve starptautiskajai zinātniskās literatūras datu bāzei </w:t>
      </w:r>
      <w:r w:rsidR="00E066DB" w:rsidRPr="00C07278">
        <w:rPr>
          <w:rFonts w:ascii="Times New Roman" w:hAnsi="Times New Roman"/>
          <w:i/>
          <w:sz w:val="24"/>
          <w:szCs w:val="24"/>
        </w:rPr>
        <w:t>Science Direct</w:t>
      </w:r>
      <w:r w:rsidR="00E066DB" w:rsidRPr="00C07278">
        <w:rPr>
          <w:rFonts w:ascii="Times New Roman" w:hAnsi="Times New Roman"/>
          <w:sz w:val="24"/>
          <w:szCs w:val="24"/>
        </w:rPr>
        <w:t> un citēšanas indeksu datu bāzei </w:t>
      </w:r>
      <w:r w:rsidR="00E066DB" w:rsidRPr="00C07278">
        <w:rPr>
          <w:rFonts w:ascii="Times New Roman" w:hAnsi="Times New Roman"/>
          <w:i/>
          <w:sz w:val="24"/>
          <w:szCs w:val="24"/>
        </w:rPr>
        <w:t>Scopus</w:t>
      </w:r>
      <w:r w:rsidR="00E066DB" w:rsidRPr="00C07278">
        <w:rPr>
          <w:rFonts w:ascii="Times New Roman" w:hAnsi="Times New Roman"/>
          <w:sz w:val="24"/>
          <w:szCs w:val="24"/>
        </w:rPr>
        <w:t xml:space="preserve">, </w:t>
      </w:r>
      <w:r w:rsidR="00410F31" w:rsidRPr="00C07278">
        <w:rPr>
          <w:rFonts w:ascii="Times New Roman" w:hAnsi="Times New Roman"/>
          <w:sz w:val="24"/>
          <w:szCs w:val="24"/>
        </w:rPr>
        <w:t>u.c.</w:t>
      </w:r>
      <w:r w:rsidR="00F87DB9" w:rsidRPr="00C07278">
        <w:rPr>
          <w:rFonts w:ascii="Times New Roman" w:hAnsi="Times New Roman"/>
          <w:sz w:val="24"/>
          <w:szCs w:val="24"/>
        </w:rPr>
        <w:t xml:space="preserve"> pasākumi</w:t>
      </w:r>
      <w:r w:rsidR="00410F31" w:rsidRPr="00C07278">
        <w:rPr>
          <w:rFonts w:ascii="Times New Roman" w:hAnsi="Times New Roman"/>
          <w:sz w:val="24"/>
          <w:szCs w:val="24"/>
        </w:rPr>
        <w:t>)</w:t>
      </w:r>
      <w:r w:rsidR="00AE0084" w:rsidRPr="00C07278">
        <w:rPr>
          <w:rFonts w:ascii="Times New Roman" w:hAnsi="Times New Roman"/>
          <w:sz w:val="24"/>
          <w:szCs w:val="24"/>
        </w:rPr>
        <w:t xml:space="preserve"> </w:t>
      </w:r>
      <w:r w:rsidRPr="00C07278">
        <w:rPr>
          <w:rFonts w:ascii="Times New Roman" w:hAnsi="Times New Roman"/>
          <w:sz w:val="24"/>
          <w:szCs w:val="24"/>
        </w:rPr>
        <w:t xml:space="preserve">un lai nodrošinātu šo pakalpojumu pieejamību visu partneru zinātniskajam un akadēmiskajam </w:t>
      </w:r>
      <w:r w:rsidR="00752B7E" w:rsidRPr="00C07278">
        <w:rPr>
          <w:rFonts w:ascii="Times New Roman" w:hAnsi="Times New Roman"/>
          <w:sz w:val="24"/>
          <w:szCs w:val="24"/>
        </w:rPr>
        <w:t xml:space="preserve">personālam, kā arī studentiem. </w:t>
      </w:r>
    </w:p>
    <w:p w14:paraId="572E72A8" w14:textId="77777777" w:rsidR="00FB254B" w:rsidRPr="00E0256A" w:rsidRDefault="00752B7E"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r>
      <w:r w:rsidRPr="00E0256A">
        <w:rPr>
          <w:rFonts w:ascii="Times New Roman" w:hAnsi="Times New Roman"/>
          <w:sz w:val="24"/>
          <w:szCs w:val="24"/>
        </w:rPr>
        <w:t>P</w:t>
      </w:r>
      <w:r w:rsidR="00FB253A" w:rsidRPr="00E0256A">
        <w:rPr>
          <w:rFonts w:ascii="Times New Roman" w:hAnsi="Times New Roman"/>
          <w:sz w:val="24"/>
          <w:szCs w:val="24"/>
        </w:rPr>
        <w:t xml:space="preserve">rojekta ietvaros </w:t>
      </w:r>
      <w:r w:rsidR="00AD6F27" w:rsidRPr="00E0256A">
        <w:rPr>
          <w:rFonts w:ascii="Times New Roman" w:hAnsi="Times New Roman"/>
          <w:sz w:val="24"/>
          <w:szCs w:val="24"/>
        </w:rPr>
        <w:t>izveidota</w:t>
      </w:r>
      <w:r w:rsidR="00FB253A" w:rsidRPr="00E0256A">
        <w:rPr>
          <w:rFonts w:ascii="Times New Roman" w:hAnsi="Times New Roman"/>
          <w:sz w:val="24"/>
          <w:szCs w:val="24"/>
        </w:rPr>
        <w:t xml:space="preserve"> </w:t>
      </w:r>
      <w:r w:rsidRPr="00E0256A">
        <w:rPr>
          <w:rFonts w:ascii="Times New Roman" w:hAnsi="Times New Roman"/>
          <w:sz w:val="24"/>
          <w:szCs w:val="24"/>
        </w:rPr>
        <w:t>Nacionālo zinātniskās darbības informācijas sist</w:t>
      </w:r>
      <w:r w:rsidR="003B43D4" w:rsidRPr="00E0256A">
        <w:rPr>
          <w:rFonts w:ascii="Times New Roman" w:hAnsi="Times New Roman"/>
          <w:sz w:val="24"/>
          <w:szCs w:val="24"/>
        </w:rPr>
        <w:t>ēm</w:t>
      </w:r>
      <w:r w:rsidR="007A0AD8" w:rsidRPr="00E0256A">
        <w:rPr>
          <w:rFonts w:ascii="Times New Roman" w:hAnsi="Times New Roman"/>
          <w:sz w:val="24"/>
          <w:szCs w:val="24"/>
        </w:rPr>
        <w:t>a</w:t>
      </w:r>
      <w:r w:rsidR="00B22524" w:rsidRPr="00E0256A">
        <w:rPr>
          <w:rStyle w:val="FootnoteReference"/>
          <w:rFonts w:ascii="Times New Roman" w:hAnsi="Times New Roman"/>
          <w:sz w:val="24"/>
          <w:szCs w:val="24"/>
        </w:rPr>
        <w:footnoteReference w:id="18"/>
      </w:r>
      <w:r w:rsidR="00FB253A" w:rsidRPr="00E0256A">
        <w:rPr>
          <w:rFonts w:ascii="Times New Roman" w:hAnsi="Times New Roman"/>
          <w:sz w:val="24"/>
          <w:szCs w:val="24"/>
        </w:rPr>
        <w:t xml:space="preserve">, kas </w:t>
      </w:r>
      <w:r w:rsidR="00AD6F27" w:rsidRPr="00E0256A">
        <w:rPr>
          <w:rFonts w:ascii="Times New Roman" w:hAnsi="Times New Roman"/>
          <w:sz w:val="24"/>
          <w:szCs w:val="24"/>
        </w:rPr>
        <w:t xml:space="preserve">ir </w:t>
      </w:r>
      <w:r w:rsidR="00FB253A" w:rsidRPr="00E0256A">
        <w:rPr>
          <w:rFonts w:ascii="Times New Roman" w:hAnsi="Times New Roman"/>
          <w:sz w:val="24"/>
          <w:szCs w:val="24"/>
        </w:rPr>
        <w:t xml:space="preserve"> vienota informācijas sistēma par zinātnisko darbību Latvijā</w:t>
      </w:r>
      <w:r w:rsidR="00FB253A" w:rsidRPr="00E0256A">
        <w:rPr>
          <w:rFonts w:ascii="Times New Roman" w:hAnsi="Times New Roman"/>
          <w:vertAlign w:val="superscript"/>
        </w:rPr>
        <w:footnoteReference w:id="19"/>
      </w:r>
      <w:r w:rsidR="00FB253A" w:rsidRPr="00E0256A">
        <w:rPr>
          <w:rFonts w:ascii="Times New Roman" w:hAnsi="Times New Roman"/>
          <w:sz w:val="24"/>
          <w:szCs w:val="24"/>
        </w:rPr>
        <w:t xml:space="preserve">. </w:t>
      </w:r>
      <w:r w:rsidR="00FB254B" w:rsidRPr="00E0256A">
        <w:rPr>
          <w:rFonts w:ascii="Times New Roman" w:hAnsi="Times New Roman"/>
          <w:sz w:val="24"/>
          <w:szCs w:val="24"/>
        </w:rPr>
        <w:t>Nacionālā zinātniskās darbības informācijas sistēma ietvers:</w:t>
      </w:r>
    </w:p>
    <w:p w14:paraId="7231E1BD" w14:textId="77777777" w:rsidR="00FB254B" w:rsidRPr="00E0256A" w:rsidRDefault="00FB254B" w:rsidP="00E7642A">
      <w:pPr>
        <w:pStyle w:val="ListParagraph"/>
        <w:numPr>
          <w:ilvl w:val="0"/>
          <w:numId w:val="31"/>
        </w:numPr>
        <w:ind w:left="993" w:hanging="426"/>
      </w:pPr>
      <w:r w:rsidRPr="00E0256A">
        <w:t>zinātnisko institūciju reģistru;</w:t>
      </w:r>
    </w:p>
    <w:p w14:paraId="128FB48D" w14:textId="75704675" w:rsidR="00FB254B" w:rsidRPr="00E0256A" w:rsidRDefault="00FB254B" w:rsidP="00E7642A">
      <w:pPr>
        <w:pStyle w:val="ListParagraph"/>
        <w:numPr>
          <w:ilvl w:val="0"/>
          <w:numId w:val="31"/>
        </w:numPr>
        <w:ind w:left="993" w:hanging="426"/>
      </w:pPr>
      <w:r w:rsidRPr="00E0256A">
        <w:t>zinātniskajās institūcijās ievēlētā personāla reģistru;</w:t>
      </w:r>
    </w:p>
    <w:p w14:paraId="77A8F756" w14:textId="77777777" w:rsidR="00FB254B" w:rsidRPr="00E0256A" w:rsidRDefault="00FB254B" w:rsidP="00E7642A">
      <w:pPr>
        <w:pStyle w:val="ListParagraph"/>
        <w:numPr>
          <w:ilvl w:val="0"/>
          <w:numId w:val="31"/>
        </w:numPr>
        <w:ind w:left="993" w:hanging="426"/>
      </w:pPr>
      <w:r w:rsidRPr="00E0256A">
        <w:lastRenderedPageBreak/>
        <w:t xml:space="preserve">ekspertu komisiju locekļu kandidātu datu bāzi; </w:t>
      </w:r>
    </w:p>
    <w:p w14:paraId="62E74EF3" w14:textId="77777777" w:rsidR="00FB254B" w:rsidRPr="00E0256A" w:rsidRDefault="00FB254B" w:rsidP="00E7642A">
      <w:pPr>
        <w:pStyle w:val="ListParagraph"/>
        <w:numPr>
          <w:ilvl w:val="0"/>
          <w:numId w:val="31"/>
        </w:numPr>
        <w:ind w:left="993" w:hanging="426"/>
      </w:pPr>
      <w:r w:rsidRPr="00E0256A">
        <w:t xml:space="preserve">zinātnes projektu administrēšanas sistēmu un projektu katalogu; </w:t>
      </w:r>
    </w:p>
    <w:p w14:paraId="4AD48489" w14:textId="5ECCA940" w:rsidR="00FB254B" w:rsidRPr="00E0256A" w:rsidRDefault="00FB254B" w:rsidP="00E7642A">
      <w:pPr>
        <w:pStyle w:val="ListParagraph"/>
        <w:numPr>
          <w:ilvl w:val="0"/>
          <w:numId w:val="31"/>
        </w:numPr>
        <w:ind w:left="993" w:hanging="426"/>
      </w:pPr>
      <w:r w:rsidRPr="00E0256A">
        <w:t>informācijas katalogu par zinātniskās darbības rezultātiem;</w:t>
      </w:r>
    </w:p>
    <w:p w14:paraId="61C63385" w14:textId="74B65B28" w:rsidR="00FB254B" w:rsidRPr="00E0256A" w:rsidRDefault="00FB254B" w:rsidP="00E7642A">
      <w:pPr>
        <w:pStyle w:val="ListParagraph"/>
        <w:numPr>
          <w:ilvl w:val="0"/>
          <w:numId w:val="31"/>
        </w:numPr>
        <w:ind w:left="993" w:hanging="426"/>
      </w:pPr>
      <w:r w:rsidRPr="00E0256A">
        <w:t xml:space="preserve">zinātnisko institūciju gada pārskatu katalogu. </w:t>
      </w:r>
    </w:p>
    <w:p w14:paraId="6C764403" w14:textId="2CA674C6" w:rsidR="00D84D5C" w:rsidRPr="00FB254B" w:rsidRDefault="003B43D4" w:rsidP="00E7642A">
      <w:pPr>
        <w:tabs>
          <w:tab w:val="left" w:pos="0"/>
          <w:tab w:val="left" w:pos="567"/>
        </w:tabs>
        <w:ind w:left="0" w:firstLine="567"/>
        <w:rPr>
          <w:rFonts w:ascii="Times New Roman" w:hAnsi="Times New Roman"/>
          <w:sz w:val="24"/>
          <w:szCs w:val="24"/>
        </w:rPr>
      </w:pPr>
      <w:r w:rsidRPr="00E0256A">
        <w:rPr>
          <w:rFonts w:ascii="Times New Roman" w:hAnsi="Times New Roman"/>
          <w:sz w:val="24"/>
          <w:szCs w:val="24"/>
        </w:rPr>
        <w:t>Informācijas sistēmas ietvaros</w:t>
      </w:r>
      <w:r w:rsidR="00A23CD7" w:rsidRPr="00E0256A">
        <w:rPr>
          <w:rFonts w:ascii="Times New Roman" w:hAnsi="Times New Roman"/>
          <w:sz w:val="24"/>
          <w:szCs w:val="24"/>
        </w:rPr>
        <w:t xml:space="preserve"> </w:t>
      </w:r>
      <w:r w:rsidR="007A0AD8" w:rsidRPr="00E0256A">
        <w:rPr>
          <w:rFonts w:ascii="Times New Roman" w:hAnsi="Times New Roman"/>
          <w:sz w:val="24"/>
          <w:szCs w:val="24"/>
        </w:rPr>
        <w:t xml:space="preserve">plānots </w:t>
      </w:r>
      <w:r w:rsidR="00A23CD7" w:rsidRPr="00E0256A">
        <w:rPr>
          <w:rFonts w:ascii="Times New Roman" w:hAnsi="Times New Roman"/>
          <w:sz w:val="24"/>
          <w:szCs w:val="24"/>
        </w:rPr>
        <w:t>nodrošināt</w:t>
      </w:r>
      <w:r w:rsidRPr="00E0256A">
        <w:rPr>
          <w:rFonts w:ascii="Times New Roman" w:hAnsi="Times New Roman"/>
          <w:sz w:val="24"/>
          <w:szCs w:val="24"/>
        </w:rPr>
        <w:t xml:space="preserve"> </w:t>
      </w:r>
      <w:r w:rsidR="007A0AD8" w:rsidRPr="00E0256A">
        <w:rPr>
          <w:rFonts w:ascii="Times New Roman" w:hAnsi="Times New Roman"/>
          <w:sz w:val="24"/>
          <w:szCs w:val="24"/>
        </w:rPr>
        <w:t xml:space="preserve">maksimālu iespējamo integrāciju </w:t>
      </w:r>
      <w:r w:rsidRPr="00E0256A">
        <w:rPr>
          <w:rFonts w:ascii="Times New Roman" w:hAnsi="Times New Roman"/>
          <w:sz w:val="24"/>
          <w:szCs w:val="24"/>
        </w:rPr>
        <w:t xml:space="preserve">ar partneru institūciju reģistriem un datu bāzēm, lai </w:t>
      </w:r>
      <w:r w:rsidR="007A0AD8" w:rsidRPr="00E0256A">
        <w:rPr>
          <w:rFonts w:ascii="Times New Roman" w:hAnsi="Times New Roman"/>
          <w:sz w:val="24"/>
          <w:szCs w:val="24"/>
        </w:rPr>
        <w:t xml:space="preserve">tādējādi </w:t>
      </w:r>
      <w:r w:rsidRPr="00E0256A">
        <w:rPr>
          <w:rFonts w:ascii="Times New Roman" w:hAnsi="Times New Roman"/>
          <w:sz w:val="24"/>
          <w:szCs w:val="24"/>
        </w:rPr>
        <w:t>nodrošinātu</w:t>
      </w:r>
      <w:r w:rsidRPr="00FB254B">
        <w:rPr>
          <w:rFonts w:ascii="Times New Roman" w:hAnsi="Times New Roman"/>
          <w:sz w:val="24"/>
          <w:szCs w:val="24"/>
        </w:rPr>
        <w:t xml:space="preserve"> informācijas un pārskatu iesniegšanu maksimāli automatizētā, elektroniskā veidā.</w:t>
      </w:r>
    </w:p>
    <w:p w14:paraId="101C269F" w14:textId="2108098A" w:rsidR="00AD6F27" w:rsidRPr="002D7733" w:rsidRDefault="003523F8" w:rsidP="00E7642A">
      <w:pPr>
        <w:pStyle w:val="Heading1"/>
        <w:numPr>
          <w:ilvl w:val="1"/>
          <w:numId w:val="1"/>
        </w:numPr>
        <w:tabs>
          <w:tab w:val="left" w:pos="993"/>
        </w:tabs>
        <w:spacing w:before="360" w:after="120"/>
        <w:ind w:left="567" w:firstLine="0"/>
        <w:jc w:val="center"/>
      </w:pPr>
      <w:bookmarkStart w:id="33" w:name="_Toc458673276"/>
      <w:r w:rsidRPr="00C07278">
        <w:rPr>
          <w:rFonts w:ascii="Times New Roman" w:hAnsi="Times New Roman"/>
          <w:color w:val="auto"/>
          <w:sz w:val="24"/>
          <w:szCs w:val="24"/>
        </w:rPr>
        <w:t xml:space="preserve">ES struktūrfondu </w:t>
      </w:r>
      <w:r w:rsidRPr="00566937">
        <w:rPr>
          <w:rFonts w:ascii="Times New Roman" w:hAnsi="Times New Roman"/>
          <w:color w:val="auto"/>
          <w:sz w:val="24"/>
          <w:szCs w:val="24"/>
        </w:rPr>
        <w:t>2007.</w:t>
      </w:r>
      <w:r w:rsidR="007C43C2" w:rsidRPr="00566937">
        <w:rPr>
          <w:rFonts w:ascii="Times New Roman" w:hAnsi="Times New Roman"/>
          <w:color w:val="auto"/>
          <w:sz w:val="24"/>
          <w:szCs w:val="24"/>
        </w:rPr>
        <w:t>–</w:t>
      </w:r>
      <w:r w:rsidRPr="00566937">
        <w:rPr>
          <w:rFonts w:ascii="Times New Roman" w:hAnsi="Times New Roman"/>
          <w:color w:val="auto"/>
          <w:sz w:val="24"/>
          <w:szCs w:val="24"/>
        </w:rPr>
        <w:t>2013</w:t>
      </w:r>
      <w:r w:rsidRPr="00C07278">
        <w:rPr>
          <w:rFonts w:ascii="Times New Roman" w:hAnsi="Times New Roman"/>
          <w:color w:val="auto"/>
          <w:sz w:val="24"/>
          <w:szCs w:val="24"/>
        </w:rPr>
        <w:t>.gada plānošanas periodā gūtās mācības</w:t>
      </w:r>
      <w:bookmarkEnd w:id="33"/>
    </w:p>
    <w:p w14:paraId="23025B3C" w14:textId="0469E920" w:rsidR="00636134" w:rsidRPr="00636134" w:rsidRDefault="00F7291B" w:rsidP="00E7642A">
      <w:pPr>
        <w:tabs>
          <w:tab w:val="left" w:pos="0"/>
          <w:tab w:val="left" w:pos="1134"/>
        </w:tabs>
        <w:ind w:left="0" w:firstLine="567"/>
        <w:rPr>
          <w:rFonts w:ascii="Times New Roman" w:hAnsi="Times New Roman"/>
          <w:sz w:val="24"/>
          <w:szCs w:val="24"/>
        </w:rPr>
      </w:pPr>
      <w:r>
        <w:rPr>
          <w:rFonts w:ascii="Times New Roman" w:hAnsi="Times New Roman"/>
          <w:sz w:val="24"/>
          <w:szCs w:val="24"/>
        </w:rPr>
        <w:t xml:space="preserve">Analizējot </w:t>
      </w:r>
      <w:r w:rsidR="006C4181" w:rsidRPr="00636134">
        <w:rPr>
          <w:rFonts w:ascii="Times New Roman" w:hAnsi="Times New Roman"/>
          <w:sz w:val="24"/>
          <w:szCs w:val="24"/>
        </w:rPr>
        <w:t>ES struktūrfondu 2007.</w:t>
      </w:r>
      <w:r w:rsidR="007C43C2" w:rsidRPr="002D7733">
        <w:rPr>
          <w:rFonts w:ascii="Times New Roman" w:hAnsi="Times New Roman"/>
          <w:sz w:val="24"/>
          <w:szCs w:val="24"/>
        </w:rPr>
        <w:t>–</w:t>
      </w:r>
      <w:r w:rsidR="006C4181" w:rsidRPr="00636134">
        <w:rPr>
          <w:rFonts w:ascii="Times New Roman" w:hAnsi="Times New Roman"/>
          <w:sz w:val="24"/>
          <w:szCs w:val="24"/>
        </w:rPr>
        <w:t>2013.</w:t>
      </w:r>
      <w:r w:rsidR="006A354B">
        <w:rPr>
          <w:rFonts w:ascii="Times New Roman" w:hAnsi="Times New Roman"/>
          <w:sz w:val="24"/>
          <w:szCs w:val="24"/>
        </w:rPr>
        <w:t xml:space="preserve"> </w:t>
      </w:r>
      <w:r w:rsidR="006C4181" w:rsidRPr="00636134">
        <w:rPr>
          <w:rFonts w:ascii="Times New Roman" w:hAnsi="Times New Roman"/>
          <w:sz w:val="24"/>
          <w:szCs w:val="24"/>
        </w:rPr>
        <w:t>gada plānošanas p</w:t>
      </w:r>
      <w:r w:rsidR="003C63A4" w:rsidRPr="00636134">
        <w:rPr>
          <w:rFonts w:ascii="Times New Roman" w:hAnsi="Times New Roman"/>
          <w:sz w:val="24"/>
          <w:szCs w:val="24"/>
        </w:rPr>
        <w:t>erioda aktivitā</w:t>
      </w:r>
      <w:r>
        <w:rPr>
          <w:rFonts w:ascii="Times New Roman" w:hAnsi="Times New Roman"/>
          <w:sz w:val="24"/>
          <w:szCs w:val="24"/>
        </w:rPr>
        <w:t>šu ieviešanu,</w:t>
      </w:r>
      <w:r w:rsidR="00636134" w:rsidRPr="00636134">
        <w:rPr>
          <w:rFonts w:ascii="Times New Roman" w:hAnsi="Times New Roman"/>
          <w:sz w:val="24"/>
          <w:szCs w:val="24"/>
        </w:rPr>
        <w:t xml:space="preserve"> </w:t>
      </w:r>
      <w:r w:rsidR="003C63A4" w:rsidRPr="00636134">
        <w:rPr>
          <w:rFonts w:ascii="Times New Roman" w:hAnsi="Times New Roman"/>
          <w:sz w:val="24"/>
          <w:szCs w:val="24"/>
        </w:rPr>
        <w:t xml:space="preserve">konstatētas </w:t>
      </w:r>
      <w:r w:rsidR="00DC3254">
        <w:rPr>
          <w:rFonts w:ascii="Times New Roman" w:hAnsi="Times New Roman"/>
          <w:sz w:val="24"/>
          <w:szCs w:val="24"/>
        </w:rPr>
        <w:t>divu vei</w:t>
      </w:r>
      <w:r w:rsidR="00636134" w:rsidRPr="00636134">
        <w:rPr>
          <w:rFonts w:ascii="Times New Roman" w:hAnsi="Times New Roman"/>
          <w:sz w:val="24"/>
          <w:szCs w:val="24"/>
        </w:rPr>
        <w:t xml:space="preserve">du </w:t>
      </w:r>
      <w:r w:rsidR="003C63A4" w:rsidRPr="00636134">
        <w:rPr>
          <w:rFonts w:ascii="Times New Roman" w:hAnsi="Times New Roman"/>
          <w:sz w:val="24"/>
          <w:szCs w:val="24"/>
        </w:rPr>
        <w:t>problēmas, kas kavē sekmīgu projektu uzsākšanu un īstenošanu</w:t>
      </w:r>
      <w:r>
        <w:rPr>
          <w:rFonts w:ascii="Times New Roman" w:hAnsi="Times New Roman"/>
          <w:sz w:val="24"/>
          <w:szCs w:val="24"/>
        </w:rPr>
        <w:t>, t.i.</w:t>
      </w:r>
      <w:r w:rsidR="00636134" w:rsidRPr="00636134">
        <w:rPr>
          <w:rFonts w:ascii="Times New Roman" w:hAnsi="Times New Roman"/>
          <w:sz w:val="24"/>
          <w:szCs w:val="24"/>
        </w:rPr>
        <w:t xml:space="preserve"> sistēmiskās</w:t>
      </w:r>
      <w:r w:rsidR="00A46FC4">
        <w:rPr>
          <w:rFonts w:ascii="Times New Roman" w:hAnsi="Times New Roman"/>
          <w:sz w:val="24"/>
          <w:szCs w:val="24"/>
        </w:rPr>
        <w:t xml:space="preserve"> </w:t>
      </w:r>
      <w:r w:rsidR="00636134" w:rsidRPr="00636134">
        <w:rPr>
          <w:rFonts w:ascii="Times New Roman" w:hAnsi="Times New Roman"/>
          <w:sz w:val="24"/>
          <w:szCs w:val="24"/>
        </w:rPr>
        <w:t xml:space="preserve">un tehniskās problēmas. </w:t>
      </w:r>
    </w:p>
    <w:p w14:paraId="2C72CC7D" w14:textId="77777777" w:rsidR="00636134" w:rsidRPr="00511CD3" w:rsidRDefault="00636134" w:rsidP="00E7642A">
      <w:pPr>
        <w:tabs>
          <w:tab w:val="left" w:pos="0"/>
          <w:tab w:val="left" w:pos="1134"/>
        </w:tabs>
        <w:ind w:left="0" w:firstLine="567"/>
      </w:pPr>
      <w:r w:rsidRPr="00636134">
        <w:rPr>
          <w:rFonts w:ascii="Times New Roman" w:hAnsi="Times New Roman"/>
          <w:bCs/>
          <w:sz w:val="24"/>
          <w:szCs w:val="24"/>
        </w:rPr>
        <w:t>S</w:t>
      </w:r>
      <w:r w:rsidR="003C63A4" w:rsidRPr="00636134">
        <w:rPr>
          <w:rFonts w:ascii="Times New Roman" w:hAnsi="Times New Roman"/>
          <w:bCs/>
          <w:sz w:val="24"/>
          <w:szCs w:val="24"/>
        </w:rPr>
        <w:t>istēmiskās problēmas</w:t>
      </w:r>
      <w:r w:rsidR="007C43C2">
        <w:rPr>
          <w:rFonts w:ascii="Times New Roman" w:hAnsi="Times New Roman"/>
          <w:bCs/>
          <w:sz w:val="24"/>
          <w:szCs w:val="24"/>
        </w:rPr>
        <w:t xml:space="preserve"> saistītas</w:t>
      </w:r>
      <w:r w:rsidR="00BA5661">
        <w:rPr>
          <w:rFonts w:ascii="Times New Roman" w:hAnsi="Times New Roman"/>
          <w:bCs/>
          <w:sz w:val="24"/>
          <w:szCs w:val="24"/>
        </w:rPr>
        <w:t>,</w:t>
      </w:r>
      <w:r w:rsidR="003C63A4" w:rsidRPr="00636134">
        <w:rPr>
          <w:rFonts w:ascii="Times New Roman" w:hAnsi="Times New Roman"/>
          <w:bCs/>
          <w:sz w:val="24"/>
          <w:szCs w:val="24"/>
        </w:rPr>
        <w:t xml:space="preserve"> </w:t>
      </w:r>
      <w:r w:rsidRPr="00636134">
        <w:rPr>
          <w:rFonts w:ascii="Times New Roman" w:hAnsi="Times New Roman"/>
          <w:bCs/>
          <w:sz w:val="24"/>
          <w:szCs w:val="24"/>
        </w:rPr>
        <w:t>pirmkārt</w:t>
      </w:r>
      <w:r w:rsidR="00BA5661">
        <w:rPr>
          <w:rFonts w:ascii="Times New Roman" w:hAnsi="Times New Roman"/>
          <w:bCs/>
          <w:sz w:val="24"/>
          <w:szCs w:val="24"/>
        </w:rPr>
        <w:t>,</w:t>
      </w:r>
      <w:r w:rsidRPr="00636134">
        <w:rPr>
          <w:rFonts w:ascii="Times New Roman" w:hAnsi="Times New Roman"/>
          <w:bCs/>
          <w:sz w:val="24"/>
          <w:szCs w:val="24"/>
        </w:rPr>
        <w:t xml:space="preserve"> </w:t>
      </w:r>
      <w:r w:rsidR="00F7291B">
        <w:rPr>
          <w:rFonts w:ascii="Times New Roman" w:hAnsi="Times New Roman"/>
          <w:bCs/>
          <w:sz w:val="24"/>
          <w:szCs w:val="24"/>
        </w:rPr>
        <w:t xml:space="preserve">ar </w:t>
      </w:r>
      <w:r w:rsidR="003523F8" w:rsidRPr="00636134">
        <w:rPr>
          <w:rFonts w:ascii="Times New Roman" w:hAnsi="Times New Roman"/>
          <w:sz w:val="24"/>
          <w:szCs w:val="24"/>
        </w:rPr>
        <w:t>zemaj</w:t>
      </w:r>
      <w:r w:rsidR="00BA5661">
        <w:rPr>
          <w:rFonts w:ascii="Times New Roman" w:hAnsi="Times New Roman"/>
          <w:sz w:val="24"/>
          <w:szCs w:val="24"/>
        </w:rPr>
        <w:t>ie</w:t>
      </w:r>
      <w:r w:rsidR="003523F8" w:rsidRPr="00636134">
        <w:rPr>
          <w:rFonts w:ascii="Times New Roman" w:hAnsi="Times New Roman"/>
          <w:sz w:val="24"/>
          <w:szCs w:val="24"/>
        </w:rPr>
        <w:t>m valsts</w:t>
      </w:r>
      <w:r w:rsidR="003C63A4" w:rsidRPr="00636134">
        <w:rPr>
          <w:rFonts w:ascii="Times New Roman" w:hAnsi="Times New Roman"/>
          <w:sz w:val="24"/>
          <w:szCs w:val="24"/>
        </w:rPr>
        <w:t xml:space="preserve"> budžeta </w:t>
      </w:r>
      <w:r w:rsidRPr="00636134">
        <w:rPr>
          <w:rFonts w:ascii="Times New Roman" w:hAnsi="Times New Roman"/>
          <w:sz w:val="24"/>
          <w:szCs w:val="24"/>
        </w:rPr>
        <w:t xml:space="preserve">ieguldījumiem </w:t>
      </w:r>
      <w:r w:rsidR="003C63A4" w:rsidRPr="00636134">
        <w:rPr>
          <w:rFonts w:ascii="Times New Roman" w:hAnsi="Times New Roman"/>
          <w:sz w:val="24"/>
          <w:szCs w:val="24"/>
        </w:rPr>
        <w:t xml:space="preserve">pētniecības </w:t>
      </w:r>
      <w:r w:rsidR="0052449E" w:rsidRPr="00636134">
        <w:rPr>
          <w:rFonts w:ascii="Times New Roman" w:hAnsi="Times New Roman"/>
          <w:sz w:val="24"/>
          <w:szCs w:val="24"/>
        </w:rPr>
        <w:t xml:space="preserve">un attīstības </w:t>
      </w:r>
      <w:r w:rsidR="003C63A4" w:rsidRPr="00636134">
        <w:rPr>
          <w:rFonts w:ascii="Times New Roman" w:hAnsi="Times New Roman"/>
          <w:sz w:val="24"/>
          <w:szCs w:val="24"/>
        </w:rPr>
        <w:t>nodrošināšanai valsts zinātniskajās institūcijās</w:t>
      </w:r>
      <w:r w:rsidR="003B384F">
        <w:rPr>
          <w:rFonts w:ascii="Times New Roman" w:hAnsi="Times New Roman"/>
          <w:sz w:val="24"/>
          <w:szCs w:val="24"/>
        </w:rPr>
        <w:t>.</w:t>
      </w:r>
      <w:r w:rsidRPr="00636134">
        <w:rPr>
          <w:rFonts w:ascii="Times New Roman" w:hAnsi="Times New Roman"/>
          <w:sz w:val="24"/>
          <w:szCs w:val="24"/>
        </w:rPr>
        <w:t xml:space="preserve"> </w:t>
      </w:r>
      <w:r w:rsidR="003B384F">
        <w:rPr>
          <w:rFonts w:ascii="Times New Roman" w:hAnsi="Times New Roman"/>
          <w:sz w:val="24"/>
          <w:szCs w:val="24"/>
        </w:rPr>
        <w:t>R</w:t>
      </w:r>
      <w:r w:rsidRPr="002D7733">
        <w:rPr>
          <w:rFonts w:ascii="Times New Roman" w:hAnsi="Times New Roman"/>
          <w:sz w:val="24"/>
          <w:szCs w:val="24"/>
        </w:rPr>
        <w:t xml:space="preserve">ezultātā </w:t>
      </w:r>
      <w:r w:rsidR="00BA5661" w:rsidRPr="002D7733">
        <w:rPr>
          <w:rFonts w:ascii="Times New Roman" w:hAnsi="Times New Roman"/>
          <w:sz w:val="24"/>
          <w:szCs w:val="24"/>
        </w:rPr>
        <w:t>zinātnisk</w:t>
      </w:r>
      <w:r w:rsidR="00BA5661">
        <w:rPr>
          <w:rFonts w:ascii="Times New Roman" w:hAnsi="Times New Roman"/>
          <w:sz w:val="24"/>
          <w:szCs w:val="24"/>
        </w:rPr>
        <w:t>ās</w:t>
      </w:r>
      <w:r w:rsidR="00BA5661" w:rsidRPr="002D7733">
        <w:rPr>
          <w:rFonts w:ascii="Times New Roman" w:hAnsi="Times New Roman"/>
          <w:sz w:val="24"/>
          <w:szCs w:val="24"/>
        </w:rPr>
        <w:t xml:space="preserve"> institūcij</w:t>
      </w:r>
      <w:r w:rsidR="00BA5661">
        <w:rPr>
          <w:rFonts w:ascii="Times New Roman" w:hAnsi="Times New Roman"/>
          <w:sz w:val="24"/>
          <w:szCs w:val="24"/>
        </w:rPr>
        <w:t>as saskaras ar</w:t>
      </w:r>
      <w:r w:rsidR="00BA5661" w:rsidRPr="002D7733">
        <w:rPr>
          <w:rFonts w:ascii="Times New Roman" w:hAnsi="Times New Roman"/>
          <w:sz w:val="24"/>
          <w:szCs w:val="24"/>
        </w:rPr>
        <w:t xml:space="preserve"> </w:t>
      </w:r>
      <w:r w:rsidR="003C63A4" w:rsidRPr="002D7733">
        <w:rPr>
          <w:rFonts w:ascii="Times New Roman" w:hAnsi="Times New Roman"/>
          <w:sz w:val="24"/>
          <w:szCs w:val="24"/>
        </w:rPr>
        <w:t>problēm</w:t>
      </w:r>
      <w:r w:rsidR="00BA5661">
        <w:rPr>
          <w:rFonts w:ascii="Times New Roman" w:hAnsi="Times New Roman"/>
          <w:sz w:val="24"/>
          <w:szCs w:val="24"/>
        </w:rPr>
        <w:t>ām</w:t>
      </w:r>
      <w:r w:rsidR="003B384F">
        <w:rPr>
          <w:rFonts w:ascii="Times New Roman" w:hAnsi="Times New Roman"/>
          <w:sz w:val="24"/>
          <w:szCs w:val="24"/>
        </w:rPr>
        <w:t xml:space="preserve"> nodrošināt</w:t>
      </w:r>
      <w:r w:rsidR="00BA5661">
        <w:rPr>
          <w:rFonts w:ascii="Times New Roman" w:hAnsi="Times New Roman"/>
          <w:sz w:val="24"/>
          <w:szCs w:val="24"/>
        </w:rPr>
        <w:t xml:space="preserve"> </w:t>
      </w:r>
      <w:r w:rsidR="00BA5661" w:rsidRPr="002D7733">
        <w:rPr>
          <w:rFonts w:ascii="Times New Roman" w:hAnsi="Times New Roman"/>
          <w:sz w:val="24"/>
          <w:szCs w:val="24"/>
        </w:rPr>
        <w:t xml:space="preserve">projektu īstenošanai </w:t>
      </w:r>
      <w:r w:rsidR="003B384F">
        <w:rPr>
          <w:rFonts w:ascii="Times New Roman" w:hAnsi="Times New Roman"/>
          <w:sz w:val="24"/>
          <w:szCs w:val="24"/>
        </w:rPr>
        <w:t xml:space="preserve">nepieciešamo </w:t>
      </w:r>
      <w:r w:rsidR="00BA5661">
        <w:rPr>
          <w:rFonts w:ascii="Times New Roman" w:hAnsi="Times New Roman"/>
          <w:sz w:val="24"/>
          <w:szCs w:val="24"/>
        </w:rPr>
        <w:t>līdzfinansējuma apmēr</w:t>
      </w:r>
      <w:r w:rsidR="003B384F">
        <w:rPr>
          <w:rFonts w:ascii="Times New Roman" w:hAnsi="Times New Roman"/>
          <w:sz w:val="24"/>
          <w:szCs w:val="24"/>
        </w:rPr>
        <w:t>u</w:t>
      </w:r>
      <w:r w:rsidR="003C63A4" w:rsidRPr="002D7733">
        <w:rPr>
          <w:rFonts w:ascii="Times New Roman" w:hAnsi="Times New Roman"/>
          <w:sz w:val="24"/>
          <w:szCs w:val="24"/>
        </w:rPr>
        <w:t xml:space="preserve">. </w:t>
      </w:r>
      <w:r w:rsidR="00BA5661">
        <w:rPr>
          <w:rFonts w:ascii="Times New Roman" w:hAnsi="Times New Roman"/>
          <w:sz w:val="24"/>
          <w:szCs w:val="24"/>
        </w:rPr>
        <w:t>Tādējādi v</w:t>
      </w:r>
      <w:r>
        <w:rPr>
          <w:rFonts w:ascii="Times New Roman" w:hAnsi="Times New Roman"/>
          <w:sz w:val="24"/>
          <w:szCs w:val="24"/>
        </w:rPr>
        <w:t>ājākās</w:t>
      </w:r>
      <w:r w:rsidR="003C63A4" w:rsidRPr="002D7733">
        <w:rPr>
          <w:rFonts w:ascii="Times New Roman" w:hAnsi="Times New Roman"/>
          <w:sz w:val="24"/>
          <w:szCs w:val="24"/>
        </w:rPr>
        <w:t xml:space="preserve"> zinātniskās institūcijas</w:t>
      </w:r>
      <w:r>
        <w:rPr>
          <w:rFonts w:ascii="Times New Roman" w:hAnsi="Times New Roman"/>
          <w:sz w:val="24"/>
          <w:szCs w:val="24"/>
        </w:rPr>
        <w:t xml:space="preserve"> </w:t>
      </w:r>
      <w:r w:rsidR="003C63A4" w:rsidRPr="002D7733">
        <w:rPr>
          <w:rFonts w:ascii="Times New Roman" w:hAnsi="Times New Roman"/>
          <w:sz w:val="24"/>
          <w:szCs w:val="24"/>
        </w:rPr>
        <w:t>nespēj nodrošināt līdzfinansējuma apmēru no zinātniskajai institūcijai piešķirtā bāzes finansējuma vai tās rīcībā esošā pašu finansējuma</w:t>
      </w:r>
      <w:r w:rsidR="00BA5661">
        <w:rPr>
          <w:rFonts w:ascii="Times New Roman" w:hAnsi="Times New Roman"/>
          <w:sz w:val="24"/>
          <w:szCs w:val="24"/>
        </w:rPr>
        <w:t xml:space="preserve"> un ir</w:t>
      </w:r>
      <w:r w:rsidR="003C63A4" w:rsidRPr="002D7733">
        <w:rPr>
          <w:rFonts w:ascii="Times New Roman" w:hAnsi="Times New Roman"/>
          <w:sz w:val="24"/>
          <w:szCs w:val="24"/>
        </w:rPr>
        <w:t xml:space="preserve"> spiestas atteikties no projektu īstenošanas vai, kā tas ir </w:t>
      </w:r>
      <w:r w:rsidRPr="002D7733">
        <w:rPr>
          <w:rFonts w:ascii="Times New Roman" w:hAnsi="Times New Roman"/>
          <w:sz w:val="24"/>
          <w:szCs w:val="24"/>
        </w:rPr>
        <w:t xml:space="preserve">konstatēts </w:t>
      </w:r>
      <w:r w:rsidR="003C63A4" w:rsidRPr="002D7733">
        <w:rPr>
          <w:rFonts w:ascii="Times New Roman" w:hAnsi="Times New Roman"/>
          <w:sz w:val="24"/>
          <w:szCs w:val="24"/>
        </w:rPr>
        <w:t>VNPC ietvaros</w:t>
      </w:r>
      <w:r w:rsidR="0029542A" w:rsidRPr="002D7733">
        <w:rPr>
          <w:rFonts w:ascii="Times New Roman" w:hAnsi="Times New Roman"/>
          <w:sz w:val="24"/>
          <w:szCs w:val="24"/>
        </w:rPr>
        <w:t>,</w:t>
      </w:r>
      <w:r w:rsidR="003C63A4" w:rsidRPr="002D7733">
        <w:rPr>
          <w:rFonts w:ascii="Times New Roman" w:hAnsi="Times New Roman"/>
          <w:sz w:val="24"/>
          <w:szCs w:val="24"/>
        </w:rPr>
        <w:t xml:space="preserve"> atteikties no daļas zinātniskajai institūcijai pieejamā ERAF finansējuma infrastruktūras modernizēšanai par labu citai šī VNPC veidojošajai zinātniskajai institūcijai, kas spēj nodrošināt nepieciešamo līdzfinansējum</w:t>
      </w:r>
      <w:r w:rsidR="00BA5661">
        <w:rPr>
          <w:rFonts w:ascii="Times New Roman" w:hAnsi="Times New Roman"/>
          <w:sz w:val="24"/>
          <w:szCs w:val="24"/>
        </w:rPr>
        <w:t>a apmēru.</w:t>
      </w:r>
    </w:p>
    <w:p w14:paraId="4B1B9A05" w14:textId="579CCF63" w:rsidR="00900B26" w:rsidRDefault="00900B26" w:rsidP="00E7642A">
      <w:pPr>
        <w:tabs>
          <w:tab w:val="left" w:pos="0"/>
          <w:tab w:val="left" w:pos="567"/>
          <w:tab w:val="left" w:pos="1134"/>
        </w:tabs>
        <w:ind w:left="0"/>
        <w:rPr>
          <w:rFonts w:ascii="Times New Roman" w:hAnsi="Times New Roman"/>
          <w:sz w:val="24"/>
          <w:szCs w:val="24"/>
        </w:rPr>
      </w:pPr>
      <w:r>
        <w:rPr>
          <w:rFonts w:ascii="Times New Roman" w:hAnsi="Times New Roman"/>
          <w:sz w:val="24"/>
          <w:szCs w:val="24"/>
        </w:rPr>
        <w:tab/>
      </w:r>
      <w:r w:rsidR="00DC3254" w:rsidRPr="00846439">
        <w:rPr>
          <w:rFonts w:ascii="Times New Roman" w:hAnsi="Times New Roman"/>
          <w:sz w:val="24"/>
          <w:szCs w:val="24"/>
        </w:rPr>
        <w:t>Otrkārt,</w:t>
      </w:r>
      <w:r w:rsidR="00DC3254">
        <w:t xml:space="preserve"> </w:t>
      </w:r>
      <w:r w:rsidR="00DC3254" w:rsidRPr="00DC3254">
        <w:rPr>
          <w:rFonts w:ascii="Times New Roman" w:hAnsi="Times New Roman"/>
          <w:sz w:val="24"/>
          <w:szCs w:val="24"/>
        </w:rPr>
        <w:t>p</w:t>
      </w:r>
      <w:r w:rsidR="003C23C1" w:rsidRPr="002D7733">
        <w:rPr>
          <w:rFonts w:ascii="Times New Roman" w:hAnsi="Times New Roman"/>
          <w:sz w:val="24"/>
          <w:szCs w:val="24"/>
        </w:rPr>
        <w:t xml:space="preserve">rojektu īstenošanu </w:t>
      </w:r>
      <w:r w:rsidR="00636134" w:rsidRPr="002D7733">
        <w:rPr>
          <w:rFonts w:ascii="Times New Roman" w:hAnsi="Times New Roman"/>
          <w:sz w:val="24"/>
          <w:szCs w:val="24"/>
        </w:rPr>
        <w:t xml:space="preserve">ievērojami </w:t>
      </w:r>
      <w:r w:rsidR="003C23C1" w:rsidRPr="002D7733">
        <w:rPr>
          <w:rFonts w:ascii="Times New Roman" w:hAnsi="Times New Roman"/>
          <w:sz w:val="24"/>
          <w:szCs w:val="24"/>
        </w:rPr>
        <w:t xml:space="preserve">apgrūtināja tas, ka ERAF </w:t>
      </w:r>
      <w:r w:rsidR="00BA5661">
        <w:rPr>
          <w:rFonts w:ascii="Times New Roman" w:hAnsi="Times New Roman"/>
          <w:sz w:val="24"/>
          <w:szCs w:val="24"/>
        </w:rPr>
        <w:t xml:space="preserve">līdzfinansētiem infrastruktūras </w:t>
      </w:r>
      <w:r w:rsidR="003C23C1" w:rsidRPr="002D7733">
        <w:rPr>
          <w:rFonts w:ascii="Times New Roman" w:hAnsi="Times New Roman"/>
          <w:sz w:val="24"/>
          <w:szCs w:val="24"/>
        </w:rPr>
        <w:t>projektiem nebija attiecināmas administratīvās izmaksas</w:t>
      </w:r>
      <w:r w:rsidR="00682A99">
        <w:rPr>
          <w:rFonts w:ascii="Times New Roman" w:hAnsi="Times New Roman"/>
          <w:sz w:val="24"/>
          <w:szCs w:val="24"/>
        </w:rPr>
        <w:t>.</w:t>
      </w:r>
      <w:r w:rsidR="0043380C">
        <w:rPr>
          <w:rFonts w:ascii="Times New Roman" w:hAnsi="Times New Roman"/>
          <w:sz w:val="24"/>
          <w:szCs w:val="24"/>
        </w:rPr>
        <w:t xml:space="preserve"> </w:t>
      </w:r>
      <w:r w:rsidR="00636134" w:rsidRPr="002D7733">
        <w:rPr>
          <w:rFonts w:ascii="Times New Roman" w:hAnsi="Times New Roman"/>
          <w:sz w:val="24"/>
          <w:szCs w:val="24"/>
        </w:rPr>
        <w:t>Rezultātā</w:t>
      </w:r>
      <w:r w:rsidR="00BA5661">
        <w:rPr>
          <w:rFonts w:ascii="Times New Roman" w:hAnsi="Times New Roman"/>
          <w:sz w:val="24"/>
          <w:szCs w:val="24"/>
        </w:rPr>
        <w:t xml:space="preserve">, </w:t>
      </w:r>
      <w:r w:rsidR="00BA5661" w:rsidRPr="002D7733">
        <w:rPr>
          <w:rFonts w:ascii="Times New Roman" w:hAnsi="Times New Roman"/>
          <w:sz w:val="24"/>
          <w:szCs w:val="24"/>
        </w:rPr>
        <w:t>jau tā ierobežotā finansējuma apstākļos</w:t>
      </w:r>
      <w:r w:rsidR="00BA5661">
        <w:rPr>
          <w:rFonts w:ascii="Times New Roman" w:hAnsi="Times New Roman"/>
          <w:sz w:val="24"/>
          <w:szCs w:val="24"/>
        </w:rPr>
        <w:t>, zinātniskajām institūcijām</w:t>
      </w:r>
      <w:r w:rsidR="00636134" w:rsidRPr="002D7733">
        <w:rPr>
          <w:rFonts w:ascii="Times New Roman" w:hAnsi="Times New Roman"/>
          <w:sz w:val="24"/>
          <w:szCs w:val="24"/>
        </w:rPr>
        <w:t xml:space="preserve"> tika </w:t>
      </w:r>
      <w:r w:rsidR="003C23C1" w:rsidRPr="002D7733">
        <w:rPr>
          <w:rFonts w:ascii="Times New Roman" w:hAnsi="Times New Roman"/>
          <w:sz w:val="24"/>
          <w:szCs w:val="24"/>
        </w:rPr>
        <w:t>radī</w:t>
      </w:r>
      <w:r w:rsidR="00636134" w:rsidRPr="002D7733">
        <w:rPr>
          <w:rFonts w:ascii="Times New Roman" w:hAnsi="Times New Roman"/>
          <w:sz w:val="24"/>
          <w:szCs w:val="24"/>
        </w:rPr>
        <w:t>ts</w:t>
      </w:r>
      <w:r w:rsidR="003C23C1" w:rsidRPr="002D7733">
        <w:rPr>
          <w:rFonts w:ascii="Times New Roman" w:hAnsi="Times New Roman"/>
          <w:sz w:val="24"/>
          <w:szCs w:val="24"/>
        </w:rPr>
        <w:t xml:space="preserve"> papildus finansiāl</w:t>
      </w:r>
      <w:r w:rsidR="00636134" w:rsidRPr="002D7733">
        <w:rPr>
          <w:rFonts w:ascii="Times New Roman" w:hAnsi="Times New Roman"/>
          <w:sz w:val="24"/>
          <w:szCs w:val="24"/>
        </w:rPr>
        <w:t>ais</w:t>
      </w:r>
      <w:r w:rsidR="003C23C1" w:rsidRPr="002D7733">
        <w:rPr>
          <w:rFonts w:ascii="Times New Roman" w:hAnsi="Times New Roman"/>
          <w:sz w:val="24"/>
          <w:szCs w:val="24"/>
        </w:rPr>
        <w:t xml:space="preserve"> slog</w:t>
      </w:r>
      <w:r w:rsidR="00636134" w:rsidRPr="002D7733">
        <w:rPr>
          <w:rFonts w:ascii="Times New Roman" w:hAnsi="Times New Roman"/>
          <w:sz w:val="24"/>
          <w:szCs w:val="24"/>
        </w:rPr>
        <w:t>s</w:t>
      </w:r>
      <w:r w:rsidR="00BA5661">
        <w:rPr>
          <w:rFonts w:ascii="Times New Roman" w:hAnsi="Times New Roman"/>
          <w:sz w:val="24"/>
          <w:szCs w:val="24"/>
        </w:rPr>
        <w:t xml:space="preserve">, tādējādi </w:t>
      </w:r>
      <w:r w:rsidR="00636134" w:rsidRPr="002D7733">
        <w:rPr>
          <w:rFonts w:ascii="Times New Roman" w:hAnsi="Times New Roman"/>
          <w:sz w:val="24"/>
          <w:szCs w:val="24"/>
        </w:rPr>
        <w:t xml:space="preserve">projektu </w:t>
      </w:r>
      <w:r w:rsidR="00636134" w:rsidRPr="00682A99">
        <w:rPr>
          <w:rFonts w:ascii="Times New Roman" w:hAnsi="Times New Roman"/>
          <w:sz w:val="24"/>
          <w:szCs w:val="24"/>
        </w:rPr>
        <w:t>vadības veiktspēja</w:t>
      </w:r>
      <w:r w:rsidR="00BA5661" w:rsidRPr="00682A99">
        <w:rPr>
          <w:rFonts w:ascii="Times New Roman" w:hAnsi="Times New Roman"/>
          <w:sz w:val="24"/>
          <w:szCs w:val="24"/>
        </w:rPr>
        <w:t xml:space="preserve"> starp pētniecības un attīstības infrastruktūras projektiem </w:t>
      </w:r>
      <w:r w:rsidR="00BA5661" w:rsidRPr="00E0256A">
        <w:rPr>
          <w:rFonts w:ascii="Times New Roman" w:hAnsi="Times New Roman"/>
          <w:sz w:val="24"/>
          <w:szCs w:val="24"/>
        </w:rPr>
        <w:t>bija ļoti atšķirīga</w:t>
      </w:r>
      <w:r w:rsidR="00682A99" w:rsidRPr="00E0256A">
        <w:rPr>
          <w:rFonts w:ascii="Times New Roman" w:hAnsi="Times New Roman"/>
          <w:sz w:val="24"/>
          <w:szCs w:val="24"/>
        </w:rPr>
        <w:t>.</w:t>
      </w:r>
      <w:r w:rsidR="00452614" w:rsidRPr="00E0256A">
        <w:rPr>
          <w:rFonts w:ascii="Times New Roman" w:hAnsi="Times New Roman"/>
          <w:sz w:val="24"/>
          <w:szCs w:val="24"/>
        </w:rPr>
        <w:t xml:space="preserve"> </w:t>
      </w:r>
      <w:r w:rsidR="00682A99" w:rsidRPr="00E0256A">
        <w:rPr>
          <w:rFonts w:ascii="Times New Roman" w:hAnsi="Times New Roman"/>
          <w:sz w:val="24"/>
          <w:szCs w:val="24"/>
        </w:rPr>
        <w:t>Vienlaikus infrastruktūras projektu īstenošana bija pārāk birokrātiska valstī pārspīlēto prasību dēļ</w:t>
      </w:r>
      <w:r w:rsidR="0043380C" w:rsidRPr="00E0256A">
        <w:rPr>
          <w:rFonts w:ascii="Times New Roman" w:hAnsi="Times New Roman"/>
          <w:sz w:val="24"/>
          <w:szCs w:val="24"/>
        </w:rPr>
        <w:t xml:space="preserve">, </w:t>
      </w:r>
      <w:r w:rsidR="00452614" w:rsidRPr="00E0256A">
        <w:rPr>
          <w:rFonts w:ascii="Times New Roman" w:hAnsi="Times New Roman"/>
          <w:sz w:val="24"/>
          <w:szCs w:val="24"/>
        </w:rPr>
        <w:t xml:space="preserve">tai skaitā projektu īstenošanas uzraudzības procesā, it īpaši gadījumos, kad nepieciešamas specifiskas zināšanas ar pētniecību saistītos jautājumos, </w:t>
      </w:r>
      <w:r w:rsidR="0043380C" w:rsidRPr="00E0256A">
        <w:rPr>
          <w:rFonts w:ascii="Times New Roman" w:hAnsi="Times New Roman"/>
          <w:sz w:val="24"/>
          <w:szCs w:val="24"/>
        </w:rPr>
        <w:t>tādējādi</w:t>
      </w:r>
      <w:r w:rsidR="0043380C" w:rsidRPr="00682A99">
        <w:rPr>
          <w:rFonts w:ascii="Times New Roman" w:hAnsi="Times New Roman"/>
          <w:sz w:val="24"/>
          <w:szCs w:val="24"/>
        </w:rPr>
        <w:t xml:space="preserve"> </w:t>
      </w:r>
      <w:r w:rsidR="00682A99" w:rsidRPr="00682A99">
        <w:rPr>
          <w:rFonts w:ascii="Times New Roman" w:hAnsi="Times New Roman"/>
          <w:sz w:val="24"/>
          <w:szCs w:val="24"/>
        </w:rPr>
        <w:t>radot</w:t>
      </w:r>
      <w:r w:rsidR="0043380C" w:rsidRPr="00682A99">
        <w:rPr>
          <w:rFonts w:ascii="Times New Roman" w:hAnsi="Times New Roman"/>
          <w:sz w:val="24"/>
          <w:szCs w:val="24"/>
        </w:rPr>
        <w:t xml:space="preserve"> </w:t>
      </w:r>
      <w:r w:rsidR="00170B58">
        <w:rPr>
          <w:rFonts w:ascii="Times New Roman" w:hAnsi="Times New Roman"/>
          <w:sz w:val="24"/>
          <w:szCs w:val="24"/>
        </w:rPr>
        <w:t>zinātniskajām institūcijām papildus gan administratīvu, gan finansiālu slogu</w:t>
      </w:r>
      <w:r>
        <w:rPr>
          <w:rFonts w:ascii="Times New Roman" w:hAnsi="Times New Roman"/>
          <w:sz w:val="24"/>
          <w:szCs w:val="24"/>
        </w:rPr>
        <w:t>.</w:t>
      </w:r>
    </w:p>
    <w:p w14:paraId="7CF09E02" w14:textId="77777777" w:rsidR="00BA5661" w:rsidRDefault="00E1264B" w:rsidP="00E7642A">
      <w:pPr>
        <w:tabs>
          <w:tab w:val="left" w:pos="0"/>
          <w:tab w:val="left" w:pos="567"/>
          <w:tab w:val="left" w:pos="1134"/>
        </w:tabs>
        <w:ind w:left="0"/>
        <w:rPr>
          <w:rFonts w:ascii="Times New Roman" w:hAnsi="Times New Roman"/>
          <w:sz w:val="24"/>
          <w:szCs w:val="24"/>
        </w:rPr>
      </w:pPr>
      <w:r>
        <w:rPr>
          <w:rFonts w:ascii="Times New Roman" w:hAnsi="Times New Roman"/>
          <w:sz w:val="24"/>
          <w:szCs w:val="24"/>
        </w:rPr>
        <w:tab/>
      </w:r>
      <w:r w:rsidR="00BC2AA2">
        <w:rPr>
          <w:rFonts w:ascii="Times New Roman" w:hAnsi="Times New Roman"/>
          <w:sz w:val="24"/>
          <w:szCs w:val="24"/>
        </w:rPr>
        <w:t>Treškārt, z</w:t>
      </w:r>
      <w:r w:rsidR="00F93534" w:rsidRPr="002D7733">
        <w:rPr>
          <w:rFonts w:ascii="Times New Roman" w:hAnsi="Times New Roman"/>
          <w:sz w:val="24"/>
          <w:szCs w:val="24"/>
        </w:rPr>
        <w:t>inātniskās institūcijas ierobežotā finansējuma ietvaros nespēj piesaistīt kvalificētus speciālistus</w:t>
      </w:r>
      <w:r w:rsidR="003D02F4" w:rsidRPr="002D7733">
        <w:rPr>
          <w:rFonts w:ascii="Times New Roman" w:hAnsi="Times New Roman"/>
          <w:sz w:val="24"/>
          <w:szCs w:val="24"/>
        </w:rPr>
        <w:t xml:space="preserve"> vai apmācīt jau esošos darbiniekus</w:t>
      </w:r>
      <w:r w:rsidR="00F93534" w:rsidRPr="002D7733">
        <w:rPr>
          <w:rFonts w:ascii="Times New Roman" w:hAnsi="Times New Roman"/>
          <w:sz w:val="24"/>
          <w:szCs w:val="24"/>
        </w:rPr>
        <w:t xml:space="preserve">, kas veicinātu zinātniskās institūcijas </w:t>
      </w:r>
      <w:r w:rsidR="002071F7" w:rsidRPr="002D7733">
        <w:rPr>
          <w:rFonts w:ascii="Times New Roman" w:hAnsi="Times New Roman"/>
          <w:sz w:val="24"/>
          <w:szCs w:val="24"/>
        </w:rPr>
        <w:t xml:space="preserve">vadības </w:t>
      </w:r>
      <w:r w:rsidR="00F93534" w:rsidRPr="002D7733">
        <w:rPr>
          <w:rFonts w:ascii="Times New Roman" w:hAnsi="Times New Roman"/>
          <w:sz w:val="24"/>
          <w:szCs w:val="24"/>
        </w:rPr>
        <w:t>problēmu risināšanu</w:t>
      </w:r>
      <w:r w:rsidR="005C095F" w:rsidRPr="002D7733">
        <w:rPr>
          <w:rFonts w:ascii="Times New Roman" w:hAnsi="Times New Roman"/>
          <w:sz w:val="24"/>
          <w:szCs w:val="24"/>
        </w:rPr>
        <w:t xml:space="preserve"> un veidotu mārketinga aktivitātes, tādējādi veicinātu komersantu informētību par zinātnisko institūci</w:t>
      </w:r>
      <w:r w:rsidR="0052449E" w:rsidRPr="002D7733">
        <w:rPr>
          <w:rFonts w:ascii="Times New Roman" w:hAnsi="Times New Roman"/>
          <w:sz w:val="24"/>
          <w:szCs w:val="24"/>
        </w:rPr>
        <w:t xml:space="preserve">ju izstrādātajiem produktiem, </w:t>
      </w:r>
      <w:r w:rsidR="005C095F" w:rsidRPr="002D7733">
        <w:rPr>
          <w:rFonts w:ascii="Times New Roman" w:hAnsi="Times New Roman"/>
          <w:sz w:val="24"/>
          <w:szCs w:val="24"/>
        </w:rPr>
        <w:t>pakalpojumiem</w:t>
      </w:r>
      <w:r w:rsidR="0052449E" w:rsidRPr="002D7733">
        <w:rPr>
          <w:rFonts w:ascii="Times New Roman" w:hAnsi="Times New Roman"/>
          <w:sz w:val="24"/>
          <w:szCs w:val="24"/>
        </w:rPr>
        <w:t xml:space="preserve"> un pieejamo pētniecības infrastruktūru</w:t>
      </w:r>
      <w:r w:rsidR="00F93534" w:rsidRPr="002D7733">
        <w:rPr>
          <w:rFonts w:ascii="Times New Roman" w:hAnsi="Times New Roman"/>
          <w:sz w:val="24"/>
          <w:szCs w:val="24"/>
        </w:rPr>
        <w:t>.</w:t>
      </w:r>
      <w:r w:rsidR="003523F8" w:rsidRPr="002D7733">
        <w:rPr>
          <w:rFonts w:ascii="Times New Roman" w:hAnsi="Times New Roman"/>
          <w:sz w:val="24"/>
          <w:szCs w:val="24"/>
        </w:rPr>
        <w:t xml:space="preserve"> </w:t>
      </w:r>
      <w:r w:rsidR="00BC2AA2">
        <w:rPr>
          <w:rFonts w:ascii="Times New Roman" w:hAnsi="Times New Roman"/>
          <w:sz w:val="24"/>
          <w:szCs w:val="24"/>
        </w:rPr>
        <w:t>Z</w:t>
      </w:r>
      <w:r w:rsidR="003D02F4" w:rsidRPr="002D7733">
        <w:rPr>
          <w:rFonts w:ascii="Times New Roman" w:hAnsi="Times New Roman"/>
          <w:sz w:val="24"/>
          <w:szCs w:val="24"/>
        </w:rPr>
        <w:t>ināšanu pārnesi neveicina komersantu</w:t>
      </w:r>
      <w:r w:rsidR="005C095F" w:rsidRPr="002D7733">
        <w:rPr>
          <w:rFonts w:ascii="Times New Roman" w:hAnsi="Times New Roman"/>
          <w:sz w:val="24"/>
          <w:szCs w:val="24"/>
        </w:rPr>
        <w:t xml:space="preserve"> zemā intelektuālo īpašumu pirktspēja, jo Latvijas biznesa struktūru pārsvarā veido mazie un vidējie komersanti, kam ir ierobežoti finanšu resursi pētniecības un inovācijas attīstībai un ieviešanai</w:t>
      </w:r>
      <w:r w:rsidR="00BC2AA2">
        <w:rPr>
          <w:rFonts w:ascii="Times New Roman" w:hAnsi="Times New Roman"/>
          <w:sz w:val="24"/>
          <w:szCs w:val="24"/>
        </w:rPr>
        <w:t>.</w:t>
      </w:r>
    </w:p>
    <w:p w14:paraId="35EABE05" w14:textId="77777777" w:rsidR="0043380C" w:rsidRDefault="00BC2AA2" w:rsidP="00E7642A">
      <w:pPr>
        <w:tabs>
          <w:tab w:val="left" w:pos="0"/>
          <w:tab w:val="left" w:pos="1134"/>
        </w:tabs>
        <w:ind w:left="0" w:firstLine="567"/>
        <w:rPr>
          <w:rFonts w:ascii="Times New Roman" w:hAnsi="Times New Roman"/>
          <w:sz w:val="24"/>
          <w:szCs w:val="24"/>
        </w:rPr>
      </w:pPr>
      <w:r>
        <w:rPr>
          <w:rFonts w:ascii="Times New Roman" w:hAnsi="Times New Roman"/>
          <w:sz w:val="24"/>
          <w:szCs w:val="24"/>
        </w:rPr>
        <w:t>Ceturtkārt</w:t>
      </w:r>
      <w:r w:rsidR="00DC3254" w:rsidRPr="002D7733">
        <w:rPr>
          <w:rFonts w:ascii="Times New Roman" w:hAnsi="Times New Roman"/>
          <w:sz w:val="24"/>
          <w:szCs w:val="24"/>
        </w:rPr>
        <w:t>, n</w:t>
      </w:r>
      <w:r w:rsidR="00A33A7A" w:rsidRPr="002D7733">
        <w:rPr>
          <w:rFonts w:ascii="Times New Roman" w:hAnsi="Times New Roman"/>
          <w:sz w:val="24"/>
          <w:szCs w:val="24"/>
        </w:rPr>
        <w:t>eskaidrais un</w:t>
      </w:r>
      <w:r w:rsidR="003523F8" w:rsidRPr="002D7733">
        <w:rPr>
          <w:rFonts w:ascii="Times New Roman" w:hAnsi="Times New Roman"/>
          <w:sz w:val="24"/>
          <w:szCs w:val="24"/>
        </w:rPr>
        <w:t xml:space="preserve"> neviennozīmīgais valsts atba</w:t>
      </w:r>
      <w:r w:rsidR="00EE34C7" w:rsidRPr="002D7733">
        <w:rPr>
          <w:rFonts w:ascii="Times New Roman" w:hAnsi="Times New Roman"/>
          <w:sz w:val="24"/>
          <w:szCs w:val="24"/>
        </w:rPr>
        <w:t>lsta regulējums pētniecības un attīstības infras</w:t>
      </w:r>
      <w:r w:rsidR="002F671E" w:rsidRPr="002D7733">
        <w:rPr>
          <w:rFonts w:ascii="Times New Roman" w:hAnsi="Times New Roman"/>
          <w:sz w:val="24"/>
          <w:szCs w:val="24"/>
        </w:rPr>
        <w:t>truktūras attīstībā</w:t>
      </w:r>
      <w:r w:rsidR="00DC3254" w:rsidRPr="002D7733">
        <w:rPr>
          <w:rFonts w:ascii="Times New Roman" w:hAnsi="Times New Roman"/>
          <w:sz w:val="24"/>
          <w:szCs w:val="24"/>
        </w:rPr>
        <w:t xml:space="preserve"> ir</w:t>
      </w:r>
      <w:r w:rsidR="002F671E" w:rsidRPr="002D7733">
        <w:rPr>
          <w:rFonts w:ascii="Times New Roman" w:hAnsi="Times New Roman"/>
          <w:sz w:val="24"/>
          <w:szCs w:val="24"/>
        </w:rPr>
        <w:t xml:space="preserve"> radīj</w:t>
      </w:r>
      <w:r w:rsidR="00EE34C7" w:rsidRPr="002D7733">
        <w:rPr>
          <w:rFonts w:ascii="Times New Roman" w:hAnsi="Times New Roman"/>
          <w:sz w:val="24"/>
          <w:szCs w:val="24"/>
        </w:rPr>
        <w:t>i</w:t>
      </w:r>
      <w:r w:rsidR="002F671E" w:rsidRPr="002D7733">
        <w:rPr>
          <w:rFonts w:ascii="Times New Roman" w:hAnsi="Times New Roman"/>
          <w:sz w:val="24"/>
          <w:szCs w:val="24"/>
        </w:rPr>
        <w:t>s</w:t>
      </w:r>
      <w:r w:rsidR="00EE34C7" w:rsidRPr="002D7733">
        <w:rPr>
          <w:rFonts w:ascii="Times New Roman" w:hAnsi="Times New Roman"/>
          <w:sz w:val="24"/>
          <w:szCs w:val="24"/>
        </w:rPr>
        <w:t xml:space="preserve"> neproporcionālu finansiālo slogu zinātniskajām institūcijām komerciāliem mērķiem izmantojamas pētniecības</w:t>
      </w:r>
      <w:r w:rsidR="002F671E" w:rsidRPr="002D7733">
        <w:rPr>
          <w:rFonts w:ascii="Times New Roman" w:hAnsi="Times New Roman"/>
          <w:sz w:val="24"/>
          <w:szCs w:val="24"/>
        </w:rPr>
        <w:t xml:space="preserve"> </w:t>
      </w:r>
      <w:r w:rsidR="00EE34C7" w:rsidRPr="002D7733">
        <w:rPr>
          <w:rFonts w:ascii="Times New Roman" w:hAnsi="Times New Roman"/>
          <w:sz w:val="24"/>
          <w:szCs w:val="24"/>
        </w:rPr>
        <w:t>infrastruktūras līdzfinansēšanai</w:t>
      </w:r>
      <w:r>
        <w:rPr>
          <w:rFonts w:ascii="Times New Roman" w:hAnsi="Times New Roman"/>
          <w:sz w:val="24"/>
          <w:szCs w:val="24"/>
        </w:rPr>
        <w:t>.</w:t>
      </w:r>
      <w:r w:rsidR="003112D0">
        <w:rPr>
          <w:rFonts w:ascii="Times New Roman" w:hAnsi="Times New Roman"/>
          <w:sz w:val="24"/>
          <w:szCs w:val="24"/>
        </w:rPr>
        <w:t xml:space="preserve"> </w:t>
      </w:r>
    </w:p>
    <w:p w14:paraId="09889312" w14:textId="77777777" w:rsidR="00CB4D1D" w:rsidRDefault="00BC2AA2" w:rsidP="00E7642A">
      <w:pPr>
        <w:tabs>
          <w:tab w:val="left" w:pos="0"/>
          <w:tab w:val="left" w:pos="1134"/>
        </w:tabs>
        <w:ind w:left="0" w:firstLine="567"/>
        <w:rPr>
          <w:rFonts w:ascii="Times New Roman" w:hAnsi="Times New Roman"/>
          <w:sz w:val="24"/>
          <w:szCs w:val="24"/>
        </w:rPr>
      </w:pPr>
      <w:r>
        <w:rPr>
          <w:rFonts w:ascii="Times New Roman" w:hAnsi="Times New Roman"/>
          <w:sz w:val="24"/>
          <w:szCs w:val="24"/>
        </w:rPr>
        <w:t>Piektkārt</w:t>
      </w:r>
      <w:r w:rsidR="00DC3254" w:rsidRPr="002D7733">
        <w:rPr>
          <w:rFonts w:ascii="Times New Roman" w:hAnsi="Times New Roman"/>
          <w:sz w:val="24"/>
          <w:szCs w:val="24"/>
        </w:rPr>
        <w:t xml:space="preserve">, </w:t>
      </w:r>
      <w:r w:rsidR="003D02F4" w:rsidRPr="002D7733">
        <w:rPr>
          <w:rFonts w:ascii="Times New Roman" w:hAnsi="Times New Roman"/>
          <w:sz w:val="24"/>
          <w:szCs w:val="24"/>
        </w:rPr>
        <w:t>k</w:t>
      </w:r>
      <w:r w:rsidR="003523F8" w:rsidRPr="002D7733">
        <w:rPr>
          <w:rFonts w:ascii="Times New Roman" w:hAnsi="Times New Roman"/>
          <w:sz w:val="24"/>
          <w:szCs w:val="24"/>
        </w:rPr>
        <w:t>omersantu kapacitātes un vēlmes trūkums līdzfinansēt pētniecīb</w:t>
      </w:r>
      <w:r w:rsidR="003D02F4" w:rsidRPr="002D7733">
        <w:rPr>
          <w:rFonts w:ascii="Times New Roman" w:hAnsi="Times New Roman"/>
          <w:sz w:val="24"/>
          <w:szCs w:val="24"/>
        </w:rPr>
        <w:t>a</w:t>
      </w:r>
      <w:r w:rsidR="0052449E" w:rsidRPr="002D7733">
        <w:rPr>
          <w:rFonts w:ascii="Times New Roman" w:hAnsi="Times New Roman"/>
          <w:sz w:val="24"/>
          <w:szCs w:val="24"/>
        </w:rPr>
        <w:t xml:space="preserve">s un attīstības infrastruktūru, kurai </w:t>
      </w:r>
      <w:r w:rsidR="003D02F4" w:rsidRPr="002D7733">
        <w:rPr>
          <w:rFonts w:ascii="Times New Roman" w:hAnsi="Times New Roman"/>
          <w:sz w:val="24"/>
          <w:szCs w:val="24"/>
        </w:rPr>
        <w:t xml:space="preserve">ir salīdzinoši </w:t>
      </w:r>
      <w:r w:rsidR="003523F8" w:rsidRPr="002D7733">
        <w:rPr>
          <w:rFonts w:ascii="Times New Roman" w:hAnsi="Times New Roman"/>
          <w:sz w:val="24"/>
          <w:szCs w:val="24"/>
        </w:rPr>
        <w:t xml:space="preserve">ilgs atmaksāšanās </w:t>
      </w:r>
      <w:r w:rsidR="00136A8A" w:rsidRPr="002D7733">
        <w:rPr>
          <w:rFonts w:ascii="Times New Roman" w:hAnsi="Times New Roman"/>
          <w:sz w:val="24"/>
          <w:szCs w:val="24"/>
        </w:rPr>
        <w:t xml:space="preserve">periods un </w:t>
      </w:r>
      <w:r w:rsidR="00A06444" w:rsidRPr="002D7733">
        <w:rPr>
          <w:rFonts w:ascii="Times New Roman" w:hAnsi="Times New Roman"/>
          <w:sz w:val="24"/>
          <w:szCs w:val="24"/>
        </w:rPr>
        <w:t xml:space="preserve">attiecīgi </w:t>
      </w:r>
      <w:r w:rsidR="00C8188C" w:rsidRPr="002D7733">
        <w:rPr>
          <w:rFonts w:ascii="Times New Roman" w:hAnsi="Times New Roman"/>
          <w:sz w:val="24"/>
          <w:szCs w:val="24"/>
        </w:rPr>
        <w:t xml:space="preserve">infrastruktūras </w:t>
      </w:r>
      <w:r w:rsidR="00A06444" w:rsidRPr="002D7733">
        <w:rPr>
          <w:rFonts w:ascii="Times New Roman" w:hAnsi="Times New Roman"/>
          <w:sz w:val="24"/>
          <w:szCs w:val="24"/>
        </w:rPr>
        <w:t>pilnīgas noslogošanas</w:t>
      </w:r>
      <w:r w:rsidR="005C095F" w:rsidRPr="002D7733">
        <w:rPr>
          <w:rFonts w:ascii="Times New Roman" w:hAnsi="Times New Roman"/>
          <w:sz w:val="24"/>
          <w:szCs w:val="24"/>
        </w:rPr>
        <w:t xml:space="preserve"> problēmas, </w:t>
      </w:r>
      <w:r w:rsidR="00136A8A" w:rsidRPr="002D7733">
        <w:rPr>
          <w:rFonts w:ascii="Times New Roman" w:hAnsi="Times New Roman"/>
          <w:sz w:val="24"/>
          <w:szCs w:val="24"/>
        </w:rPr>
        <w:t xml:space="preserve">kā arī </w:t>
      </w:r>
      <w:r w:rsidR="005C095F" w:rsidRPr="002D7733">
        <w:rPr>
          <w:rFonts w:ascii="Times New Roman" w:hAnsi="Times New Roman"/>
          <w:sz w:val="24"/>
          <w:szCs w:val="24"/>
        </w:rPr>
        <w:t>Latvijas</w:t>
      </w:r>
      <w:r w:rsidR="003523F8" w:rsidRPr="002D7733">
        <w:rPr>
          <w:rFonts w:ascii="Times New Roman" w:hAnsi="Times New Roman"/>
          <w:sz w:val="24"/>
          <w:szCs w:val="24"/>
        </w:rPr>
        <w:t xml:space="preserve"> biznesa struktūra</w:t>
      </w:r>
      <w:r w:rsidR="005C095F" w:rsidRPr="002D7733">
        <w:rPr>
          <w:rFonts w:ascii="Times New Roman" w:hAnsi="Times New Roman"/>
          <w:sz w:val="24"/>
          <w:szCs w:val="24"/>
        </w:rPr>
        <w:t xml:space="preserve">, </w:t>
      </w:r>
      <w:r w:rsidR="00CB4D1D" w:rsidRPr="002D7733">
        <w:rPr>
          <w:rFonts w:ascii="Times New Roman" w:hAnsi="Times New Roman"/>
          <w:sz w:val="24"/>
          <w:szCs w:val="24"/>
        </w:rPr>
        <w:t>kurā dominē mazie un vidējie uzņēmumi, kuriem nav kapacitātes i</w:t>
      </w:r>
      <w:r w:rsidR="00055DF7" w:rsidRPr="002D7733">
        <w:rPr>
          <w:rFonts w:ascii="Times New Roman" w:hAnsi="Times New Roman"/>
          <w:sz w:val="24"/>
          <w:szCs w:val="24"/>
        </w:rPr>
        <w:t>eguldīt pētniecībā un attīstībā un, kas lielākoties nav spējīgi paši veidot un uzturēt savus pētnieciskos centrus, bet lielo uzņēmumu, kas to varētu atļauties, Latvijā ir ļoti maz.</w:t>
      </w:r>
      <w:r>
        <w:rPr>
          <w:rFonts w:ascii="Times New Roman" w:hAnsi="Times New Roman"/>
          <w:sz w:val="24"/>
          <w:szCs w:val="24"/>
        </w:rPr>
        <w:t xml:space="preserve"> Kā arī n</w:t>
      </w:r>
      <w:r w:rsidRPr="002D7733">
        <w:rPr>
          <w:rFonts w:ascii="Times New Roman" w:hAnsi="Times New Roman"/>
          <w:sz w:val="24"/>
          <w:szCs w:val="24"/>
        </w:rPr>
        <w:t>epietiekams atbalsts tika sniegts tehnoloģiju pārneses infrastruktūras attīstībai</w:t>
      </w:r>
      <w:r>
        <w:rPr>
          <w:rFonts w:ascii="Times New Roman" w:hAnsi="Times New Roman"/>
          <w:sz w:val="24"/>
          <w:szCs w:val="24"/>
        </w:rPr>
        <w:t>.</w:t>
      </w:r>
    </w:p>
    <w:p w14:paraId="577ED76E" w14:textId="6E2128AB" w:rsidR="003523F8" w:rsidRPr="00511CD3" w:rsidRDefault="00BC2AA2" w:rsidP="00E7642A">
      <w:pPr>
        <w:tabs>
          <w:tab w:val="left" w:pos="0"/>
          <w:tab w:val="left" w:pos="567"/>
          <w:tab w:val="left" w:pos="993"/>
        </w:tabs>
        <w:spacing w:before="120"/>
        <w:ind w:left="0"/>
      </w:pPr>
      <w:r>
        <w:rPr>
          <w:rFonts w:ascii="Times New Roman" w:hAnsi="Times New Roman"/>
          <w:bCs/>
          <w:sz w:val="24"/>
          <w:szCs w:val="24"/>
        </w:rPr>
        <w:lastRenderedPageBreak/>
        <w:tab/>
      </w:r>
      <w:r w:rsidR="003523F8" w:rsidRPr="00DC3254">
        <w:rPr>
          <w:rFonts w:ascii="Times New Roman" w:hAnsi="Times New Roman"/>
          <w:bCs/>
          <w:sz w:val="24"/>
          <w:szCs w:val="24"/>
        </w:rPr>
        <w:t>Tehnisk</w:t>
      </w:r>
      <w:r w:rsidR="003523F8" w:rsidRPr="00462578">
        <w:rPr>
          <w:rFonts w:ascii="Times New Roman" w:hAnsi="Times New Roman"/>
          <w:bCs/>
          <w:sz w:val="24"/>
          <w:szCs w:val="24"/>
        </w:rPr>
        <w:t>ās problēmas</w:t>
      </w:r>
      <w:r w:rsidR="00DC3254" w:rsidRPr="00462578">
        <w:rPr>
          <w:rFonts w:ascii="Times New Roman" w:hAnsi="Times New Roman"/>
          <w:bCs/>
          <w:sz w:val="24"/>
          <w:szCs w:val="24"/>
        </w:rPr>
        <w:t xml:space="preserve"> ir saistītas ar projektu īstenošanas laika grafiku. </w:t>
      </w:r>
      <w:r w:rsidR="003D02F4" w:rsidRPr="002D7733">
        <w:rPr>
          <w:rFonts w:ascii="Times New Roman" w:hAnsi="Times New Roman"/>
          <w:sz w:val="24"/>
          <w:szCs w:val="24"/>
        </w:rPr>
        <w:t>ES fondu 2007.</w:t>
      </w:r>
      <w:r w:rsidR="004A2214" w:rsidRPr="002D7733">
        <w:rPr>
          <w:rFonts w:ascii="Times New Roman" w:hAnsi="Times New Roman"/>
          <w:sz w:val="24"/>
          <w:szCs w:val="24"/>
        </w:rPr>
        <w:t>–</w:t>
      </w:r>
      <w:r w:rsidR="003D02F4" w:rsidRPr="002D7733">
        <w:rPr>
          <w:rFonts w:ascii="Times New Roman" w:hAnsi="Times New Roman"/>
          <w:sz w:val="24"/>
          <w:szCs w:val="24"/>
        </w:rPr>
        <w:t>2013.</w:t>
      </w:r>
      <w:r w:rsidR="006A354B">
        <w:rPr>
          <w:rFonts w:ascii="Times New Roman" w:hAnsi="Times New Roman"/>
          <w:sz w:val="24"/>
          <w:szCs w:val="24"/>
        </w:rPr>
        <w:t xml:space="preserve"> </w:t>
      </w:r>
      <w:r w:rsidR="003D02F4" w:rsidRPr="002D7733">
        <w:rPr>
          <w:rFonts w:ascii="Times New Roman" w:hAnsi="Times New Roman"/>
          <w:sz w:val="24"/>
          <w:szCs w:val="24"/>
        </w:rPr>
        <w:t>gada plānošanas periodā ir vērojamas b</w:t>
      </w:r>
      <w:r w:rsidR="003523F8" w:rsidRPr="002D7733">
        <w:rPr>
          <w:rFonts w:ascii="Times New Roman" w:hAnsi="Times New Roman"/>
          <w:sz w:val="24"/>
          <w:szCs w:val="24"/>
        </w:rPr>
        <w:t xml:space="preserve">ūtiskas nobīdes </w:t>
      </w:r>
      <w:r w:rsidR="003D02F4" w:rsidRPr="002D7733">
        <w:rPr>
          <w:rFonts w:ascii="Times New Roman" w:hAnsi="Times New Roman"/>
          <w:sz w:val="24"/>
          <w:szCs w:val="24"/>
        </w:rPr>
        <w:t xml:space="preserve">no sākotnēji izstrādātā projektu īstenošanas laika grafika, jo projektiem ir salīdzinoši zema projektu gatavības pakāpe, </w:t>
      </w:r>
      <w:r w:rsidR="005C1B3B">
        <w:rPr>
          <w:rFonts w:ascii="Times New Roman" w:hAnsi="Times New Roman"/>
          <w:sz w:val="24"/>
          <w:szCs w:val="24"/>
        </w:rPr>
        <w:t>kā rezultātā projektu īstenošanas laikā rodas sarežģījumi un būtiski aizkavējas projektu ieviešana. S</w:t>
      </w:r>
      <w:r w:rsidR="003D02F4" w:rsidRPr="002D7733">
        <w:rPr>
          <w:rFonts w:ascii="Times New Roman" w:hAnsi="Times New Roman"/>
          <w:sz w:val="24"/>
          <w:szCs w:val="24"/>
        </w:rPr>
        <w:t>a</w:t>
      </w:r>
      <w:r w:rsidR="004D1296" w:rsidRPr="002D7733">
        <w:rPr>
          <w:rFonts w:ascii="Times New Roman" w:hAnsi="Times New Roman"/>
          <w:sz w:val="24"/>
          <w:szCs w:val="24"/>
        </w:rPr>
        <w:t>režģītas</w:t>
      </w:r>
      <w:r w:rsidR="005C1B3B">
        <w:rPr>
          <w:rFonts w:ascii="Times New Roman" w:hAnsi="Times New Roman"/>
          <w:sz w:val="24"/>
          <w:szCs w:val="24"/>
        </w:rPr>
        <w:t xml:space="preserve"> un apjomīgas</w:t>
      </w:r>
      <w:r w:rsidR="004D1296" w:rsidRPr="002D7733">
        <w:rPr>
          <w:rFonts w:ascii="Times New Roman" w:hAnsi="Times New Roman"/>
          <w:sz w:val="24"/>
          <w:szCs w:val="24"/>
        </w:rPr>
        <w:t xml:space="preserve"> iepirkuma procedūras</w:t>
      </w:r>
      <w:r w:rsidR="005C1B3B">
        <w:rPr>
          <w:rFonts w:ascii="Times New Roman" w:hAnsi="Times New Roman"/>
          <w:sz w:val="24"/>
          <w:szCs w:val="24"/>
        </w:rPr>
        <w:t xml:space="preserve"> un biežās pretendentu iesniegtās </w:t>
      </w:r>
      <w:r w:rsidR="004D1296" w:rsidRPr="002D7733">
        <w:rPr>
          <w:rFonts w:ascii="Times New Roman" w:hAnsi="Times New Roman"/>
          <w:sz w:val="24"/>
          <w:szCs w:val="24"/>
        </w:rPr>
        <w:t>publiskā iepirkuma pārsūdzības</w:t>
      </w:r>
      <w:r w:rsidR="005C1B3B">
        <w:rPr>
          <w:rFonts w:ascii="Times New Roman" w:hAnsi="Times New Roman"/>
          <w:sz w:val="24"/>
          <w:szCs w:val="24"/>
        </w:rPr>
        <w:t xml:space="preserve"> Iepirkumu uzraudzības birojam, tādējādi iepirkumu procedūru norisei ti</w:t>
      </w:r>
      <w:r w:rsidR="004A2214">
        <w:rPr>
          <w:rFonts w:ascii="Times New Roman" w:hAnsi="Times New Roman"/>
          <w:sz w:val="24"/>
          <w:szCs w:val="24"/>
        </w:rPr>
        <w:t>ka</w:t>
      </w:r>
      <w:r w:rsidR="005C1B3B">
        <w:rPr>
          <w:rFonts w:ascii="Times New Roman" w:hAnsi="Times New Roman"/>
          <w:sz w:val="24"/>
          <w:szCs w:val="24"/>
        </w:rPr>
        <w:t xml:space="preserve"> patērēts ilgāks laiks nekā sākotnēji projekta iesniegumā tika plānots</w:t>
      </w:r>
      <w:r w:rsidR="00136A8A" w:rsidRPr="002D7733">
        <w:rPr>
          <w:rFonts w:ascii="Times New Roman" w:hAnsi="Times New Roman"/>
          <w:sz w:val="24"/>
          <w:szCs w:val="24"/>
        </w:rPr>
        <w:t xml:space="preserve">. Vienlaikus </w:t>
      </w:r>
      <w:r w:rsidR="003D02F4" w:rsidRPr="002D7733">
        <w:rPr>
          <w:rFonts w:ascii="Times New Roman" w:hAnsi="Times New Roman"/>
          <w:sz w:val="24"/>
          <w:szCs w:val="24"/>
        </w:rPr>
        <w:t>vērojams projektu aktivitāšu ieviešanai nepieciešamo pakalpojumu sadārdzinājums attiecībā pret sākotnēji</w:t>
      </w:r>
      <w:r w:rsidR="00136A8A" w:rsidRPr="002D7733">
        <w:rPr>
          <w:rFonts w:ascii="Times New Roman" w:hAnsi="Times New Roman"/>
          <w:sz w:val="24"/>
          <w:szCs w:val="24"/>
        </w:rPr>
        <w:t xml:space="preserve"> projektā</w:t>
      </w:r>
      <w:r w:rsidR="003D02F4" w:rsidRPr="002D7733">
        <w:rPr>
          <w:rFonts w:ascii="Times New Roman" w:hAnsi="Times New Roman"/>
          <w:sz w:val="24"/>
          <w:szCs w:val="24"/>
        </w:rPr>
        <w:t xml:space="preserve"> plānoto, kā arī</w:t>
      </w:r>
      <w:r w:rsidR="00136A8A" w:rsidRPr="002D7733">
        <w:rPr>
          <w:rFonts w:ascii="Times New Roman" w:hAnsi="Times New Roman"/>
          <w:sz w:val="24"/>
          <w:szCs w:val="24"/>
        </w:rPr>
        <w:t xml:space="preserve"> ārpakalpojuma rezultātā</w:t>
      </w:r>
      <w:r w:rsidR="003D02F4" w:rsidRPr="002D7733">
        <w:rPr>
          <w:rFonts w:ascii="Times New Roman" w:hAnsi="Times New Roman"/>
          <w:sz w:val="24"/>
          <w:szCs w:val="24"/>
        </w:rPr>
        <w:t xml:space="preserve"> sniegto pakalpojumu kvalitāte bieži vien </w:t>
      </w:r>
      <w:r w:rsidR="004A2214">
        <w:rPr>
          <w:rFonts w:ascii="Times New Roman" w:hAnsi="Times New Roman"/>
          <w:sz w:val="24"/>
          <w:szCs w:val="24"/>
        </w:rPr>
        <w:t xml:space="preserve">nebija </w:t>
      </w:r>
      <w:r w:rsidR="003D02F4" w:rsidRPr="002D7733">
        <w:rPr>
          <w:rFonts w:ascii="Times New Roman" w:hAnsi="Times New Roman"/>
          <w:sz w:val="24"/>
          <w:szCs w:val="24"/>
        </w:rPr>
        <w:t>atbilstošā</w:t>
      </w:r>
      <w:r w:rsidR="000756FA" w:rsidRPr="002D7733">
        <w:rPr>
          <w:rFonts w:ascii="Times New Roman" w:hAnsi="Times New Roman"/>
          <w:sz w:val="24"/>
          <w:szCs w:val="24"/>
        </w:rPr>
        <w:t xml:space="preserve"> kvalitātes</w:t>
      </w:r>
      <w:r w:rsidR="003D02F4" w:rsidRPr="002D7733">
        <w:rPr>
          <w:rFonts w:ascii="Times New Roman" w:hAnsi="Times New Roman"/>
          <w:sz w:val="24"/>
          <w:szCs w:val="24"/>
        </w:rPr>
        <w:t xml:space="preserve"> līmenī, it sevišķi </w:t>
      </w:r>
      <w:r w:rsidR="003523F8" w:rsidRPr="002D7733">
        <w:rPr>
          <w:rFonts w:ascii="Times New Roman" w:hAnsi="Times New Roman"/>
          <w:sz w:val="24"/>
          <w:szCs w:val="24"/>
        </w:rPr>
        <w:t xml:space="preserve">būvniecības pakalpojumu </w:t>
      </w:r>
      <w:r w:rsidR="003D02F4" w:rsidRPr="002D7733">
        <w:rPr>
          <w:rFonts w:ascii="Times New Roman" w:hAnsi="Times New Roman"/>
          <w:sz w:val="24"/>
          <w:szCs w:val="24"/>
        </w:rPr>
        <w:t>jomā.</w:t>
      </w:r>
      <w:r w:rsidR="005C1B3B">
        <w:rPr>
          <w:rFonts w:ascii="Times New Roman" w:hAnsi="Times New Roman"/>
          <w:sz w:val="24"/>
          <w:szCs w:val="24"/>
        </w:rPr>
        <w:t xml:space="preserve"> </w:t>
      </w:r>
    </w:p>
    <w:p w14:paraId="381B7226" w14:textId="77777777" w:rsidR="009B6533" w:rsidRPr="002D7733" w:rsidRDefault="009B6533" w:rsidP="00E7642A">
      <w:pPr>
        <w:pStyle w:val="Header"/>
        <w:tabs>
          <w:tab w:val="clear" w:pos="4320"/>
          <w:tab w:val="clear" w:pos="8640"/>
          <w:tab w:val="center" w:pos="709"/>
        </w:tabs>
        <w:spacing w:after="0" w:line="240" w:lineRule="auto"/>
        <w:ind w:firstLine="567"/>
        <w:jc w:val="both"/>
        <w:rPr>
          <w:rFonts w:ascii="Times New Roman" w:hAnsi="Times New Roman"/>
          <w:lang w:val="lv-LV"/>
        </w:rPr>
      </w:pPr>
      <w:r w:rsidRPr="002D7733">
        <w:rPr>
          <w:rFonts w:ascii="Times New Roman" w:hAnsi="Times New Roman"/>
          <w:lang w:val="lv-LV"/>
        </w:rPr>
        <w:tab/>
      </w:r>
      <w:r w:rsidRPr="00C07278">
        <w:rPr>
          <w:rFonts w:ascii="Times New Roman" w:hAnsi="Times New Roman"/>
          <w:sz w:val="24"/>
          <w:szCs w:val="24"/>
          <w:lang w:val="lv-LV"/>
        </w:rPr>
        <w:t>2014.</w:t>
      </w:r>
      <w:r w:rsidR="006A354B">
        <w:rPr>
          <w:rFonts w:ascii="Times New Roman" w:hAnsi="Times New Roman"/>
          <w:sz w:val="24"/>
          <w:szCs w:val="24"/>
          <w:lang w:val="lv-LV"/>
        </w:rPr>
        <w:t xml:space="preserve"> </w:t>
      </w:r>
      <w:r w:rsidRPr="00C07278">
        <w:rPr>
          <w:rFonts w:ascii="Times New Roman" w:hAnsi="Times New Roman"/>
          <w:sz w:val="24"/>
          <w:szCs w:val="24"/>
          <w:lang w:val="lv-LV"/>
        </w:rPr>
        <w:t xml:space="preserve">gadā Viedās specializācijas stratēģijas </w:t>
      </w:r>
      <w:r w:rsidR="00462578">
        <w:rPr>
          <w:rFonts w:ascii="Times New Roman" w:hAnsi="Times New Roman"/>
          <w:sz w:val="24"/>
          <w:szCs w:val="24"/>
          <w:lang w:val="lv-LV"/>
        </w:rPr>
        <w:t>diskusiju platformu ietvaros</w:t>
      </w:r>
      <w:r w:rsidRPr="00C07278">
        <w:rPr>
          <w:rFonts w:ascii="Times New Roman" w:hAnsi="Times New Roman"/>
          <w:vertAlign w:val="superscript"/>
          <w:lang w:val="lv-LV"/>
        </w:rPr>
        <w:footnoteReference w:id="20"/>
      </w:r>
      <w:r w:rsidRPr="00C07278">
        <w:rPr>
          <w:rFonts w:ascii="Times New Roman" w:hAnsi="Times New Roman"/>
          <w:sz w:val="24"/>
          <w:szCs w:val="24"/>
          <w:lang w:val="lv-LV"/>
        </w:rPr>
        <w:t xml:space="preserve"> zinātnieki, augstākās izglītības iestāžu un uzņēmējdarbības sektora pārstāvji</w:t>
      </w:r>
      <w:r w:rsidR="00462578">
        <w:rPr>
          <w:rFonts w:ascii="Times New Roman" w:hAnsi="Times New Roman"/>
          <w:sz w:val="24"/>
          <w:szCs w:val="24"/>
          <w:lang w:val="lv-LV"/>
        </w:rPr>
        <w:t xml:space="preserve"> </w:t>
      </w:r>
      <w:r w:rsidR="00462578" w:rsidRPr="00C07278">
        <w:rPr>
          <w:rFonts w:ascii="Times New Roman" w:hAnsi="Times New Roman"/>
          <w:sz w:val="24"/>
          <w:szCs w:val="24"/>
          <w:lang w:val="lv-LV"/>
        </w:rPr>
        <w:t>tikās</w:t>
      </w:r>
      <w:r w:rsidRPr="00C07278">
        <w:rPr>
          <w:rFonts w:ascii="Times New Roman" w:hAnsi="Times New Roman"/>
          <w:sz w:val="24"/>
          <w:szCs w:val="24"/>
          <w:lang w:val="lv-LV"/>
        </w:rPr>
        <w:t xml:space="preserve">, lai identificētu problēmas, kuras nepieciešams risināt nozares </w:t>
      </w:r>
      <w:r w:rsidR="00462578">
        <w:rPr>
          <w:rFonts w:ascii="Times New Roman" w:hAnsi="Times New Roman"/>
          <w:sz w:val="24"/>
          <w:szCs w:val="24"/>
          <w:lang w:val="lv-LV"/>
        </w:rPr>
        <w:t>izaugsmes nodrošināšanai. D</w:t>
      </w:r>
      <w:r w:rsidRPr="00C07278">
        <w:rPr>
          <w:rFonts w:ascii="Times New Roman" w:hAnsi="Times New Roman"/>
          <w:sz w:val="24"/>
          <w:szCs w:val="24"/>
          <w:lang w:val="lv-LV"/>
        </w:rPr>
        <w:t xml:space="preserve">iskusiju dalībnieki norādīja, ka </w:t>
      </w:r>
      <w:r w:rsidR="001B261C">
        <w:rPr>
          <w:rFonts w:ascii="Times New Roman" w:hAnsi="Times New Roman"/>
          <w:sz w:val="24"/>
          <w:szCs w:val="24"/>
          <w:lang w:val="lv-LV"/>
        </w:rPr>
        <w:t>nepieciešamas aktivizēt</w:t>
      </w:r>
      <w:r w:rsidRPr="00C07278">
        <w:rPr>
          <w:rFonts w:ascii="Times New Roman" w:hAnsi="Times New Roman"/>
          <w:sz w:val="24"/>
          <w:szCs w:val="24"/>
          <w:lang w:val="lv-LV"/>
        </w:rPr>
        <w:t xml:space="preserve"> tehnoloģiju pārneses centru</w:t>
      </w:r>
      <w:r w:rsidR="001B261C">
        <w:rPr>
          <w:rFonts w:ascii="Times New Roman" w:hAnsi="Times New Roman"/>
          <w:sz w:val="24"/>
          <w:szCs w:val="24"/>
          <w:lang w:val="lv-LV"/>
        </w:rPr>
        <w:t xml:space="preserve"> darbību</w:t>
      </w:r>
      <w:r w:rsidRPr="00C07278">
        <w:rPr>
          <w:rFonts w:ascii="Times New Roman" w:hAnsi="Times New Roman"/>
          <w:sz w:val="24"/>
          <w:szCs w:val="24"/>
          <w:lang w:val="lv-LV"/>
        </w:rPr>
        <w:t xml:space="preserve"> un </w:t>
      </w:r>
      <w:r w:rsidR="00CD1A70">
        <w:rPr>
          <w:rFonts w:ascii="Times New Roman" w:hAnsi="Times New Roman"/>
          <w:sz w:val="24"/>
          <w:szCs w:val="24"/>
          <w:lang w:val="lv-LV"/>
        </w:rPr>
        <w:t xml:space="preserve">veidot inovāciju </w:t>
      </w:r>
      <w:r w:rsidRPr="00C07278">
        <w:rPr>
          <w:rFonts w:ascii="Times New Roman" w:hAnsi="Times New Roman"/>
          <w:sz w:val="24"/>
          <w:szCs w:val="24"/>
          <w:lang w:val="lv-LV"/>
        </w:rPr>
        <w:t xml:space="preserve">infrastruktūras, kas sekmētu rūpniecisko un eksperimentālo pētījumu veikšanu un jaunu </w:t>
      </w:r>
      <w:r w:rsidRPr="00C07278">
        <w:rPr>
          <w:rFonts w:ascii="Times New Roman" w:hAnsi="Times New Roman"/>
          <w:i/>
          <w:sz w:val="24"/>
          <w:szCs w:val="24"/>
          <w:lang w:val="lv-LV"/>
        </w:rPr>
        <w:t>spin-off</w:t>
      </w:r>
      <w:r w:rsidRPr="00C07278">
        <w:rPr>
          <w:rFonts w:ascii="Times New Roman" w:hAnsi="Times New Roman"/>
          <w:sz w:val="24"/>
          <w:szCs w:val="24"/>
          <w:lang w:val="lv-LV"/>
        </w:rPr>
        <w:t xml:space="preserve"> izveidi, trūkst testēšanas laboratorijas, konstruktoru biroj</w:t>
      </w:r>
      <w:r w:rsidR="00462578">
        <w:rPr>
          <w:rFonts w:ascii="Times New Roman" w:hAnsi="Times New Roman"/>
          <w:sz w:val="24"/>
          <w:szCs w:val="24"/>
          <w:lang w:val="lv-LV"/>
        </w:rPr>
        <w:t>u</w:t>
      </w:r>
      <w:r w:rsidRPr="00C07278">
        <w:rPr>
          <w:rFonts w:ascii="Times New Roman" w:hAnsi="Times New Roman"/>
          <w:sz w:val="24"/>
          <w:szCs w:val="24"/>
          <w:lang w:val="lv-LV"/>
        </w:rPr>
        <w:t>, eksperimentāl</w:t>
      </w:r>
      <w:r w:rsidR="00462578">
        <w:rPr>
          <w:rFonts w:ascii="Times New Roman" w:hAnsi="Times New Roman"/>
          <w:sz w:val="24"/>
          <w:szCs w:val="24"/>
          <w:lang w:val="lv-LV"/>
        </w:rPr>
        <w:t>o</w:t>
      </w:r>
      <w:r w:rsidRPr="00C07278">
        <w:rPr>
          <w:rFonts w:ascii="Times New Roman" w:hAnsi="Times New Roman"/>
          <w:sz w:val="24"/>
          <w:szCs w:val="24"/>
          <w:lang w:val="lv-LV"/>
        </w:rPr>
        <w:t xml:space="preserve"> darbnīc</w:t>
      </w:r>
      <w:r w:rsidR="00462578">
        <w:rPr>
          <w:rFonts w:ascii="Times New Roman" w:hAnsi="Times New Roman"/>
          <w:sz w:val="24"/>
          <w:szCs w:val="24"/>
          <w:lang w:val="lv-LV"/>
        </w:rPr>
        <w:t>u</w:t>
      </w:r>
      <w:r w:rsidRPr="00C07278">
        <w:rPr>
          <w:rFonts w:ascii="Times New Roman" w:hAnsi="Times New Roman"/>
          <w:sz w:val="24"/>
          <w:szCs w:val="24"/>
          <w:lang w:val="lv-LV"/>
        </w:rPr>
        <w:t xml:space="preserve"> un pilotražot</w:t>
      </w:r>
      <w:r w:rsidR="00462578">
        <w:rPr>
          <w:rFonts w:ascii="Times New Roman" w:hAnsi="Times New Roman"/>
          <w:sz w:val="24"/>
          <w:szCs w:val="24"/>
          <w:lang w:val="lv-LV"/>
        </w:rPr>
        <w:t>ņu</w:t>
      </w:r>
      <w:r w:rsidRPr="00C07278">
        <w:rPr>
          <w:rFonts w:ascii="Times New Roman" w:hAnsi="Times New Roman"/>
          <w:sz w:val="24"/>
          <w:szCs w:val="24"/>
          <w:lang w:val="lv-LV"/>
        </w:rPr>
        <w:t xml:space="preserve">, lai varētu piedāvāt jaunus tehnoloģiskos risinājumus uzņēmēju tirgus apjomu un nišu palielināšanai. Vienlaikus diskusiju dalībnieki norādīja, ka, lai nodrošinātu tehnoloģijas pārneses infrastruktūras mērķtiecīgu </w:t>
      </w:r>
      <w:r w:rsidR="00462578">
        <w:rPr>
          <w:rFonts w:ascii="Times New Roman" w:hAnsi="Times New Roman"/>
          <w:sz w:val="24"/>
          <w:szCs w:val="24"/>
          <w:lang w:val="lv-LV"/>
        </w:rPr>
        <w:t>izveidi</w:t>
      </w:r>
      <w:r w:rsidRPr="00C07278">
        <w:rPr>
          <w:rFonts w:ascii="Times New Roman" w:hAnsi="Times New Roman"/>
          <w:sz w:val="24"/>
          <w:szCs w:val="24"/>
          <w:lang w:val="lv-LV"/>
        </w:rPr>
        <w:t xml:space="preserve">, </w:t>
      </w:r>
      <w:r w:rsidRPr="00865538">
        <w:rPr>
          <w:rFonts w:ascii="Times New Roman" w:hAnsi="Times New Roman"/>
          <w:sz w:val="24"/>
          <w:szCs w:val="24"/>
          <w:lang w:val="lv-LV"/>
        </w:rPr>
        <w:t>nepieciešams finansiāli atbalstīt projektu priekšizpēti.</w:t>
      </w:r>
      <w:r w:rsidRPr="002D7733">
        <w:rPr>
          <w:rFonts w:ascii="Times New Roman" w:hAnsi="Times New Roman"/>
          <w:lang w:val="lv-LV"/>
        </w:rPr>
        <w:t xml:space="preserve"> </w:t>
      </w:r>
    </w:p>
    <w:p w14:paraId="0FF6F7D2" w14:textId="77777777" w:rsidR="00086DDB" w:rsidRDefault="00CD432E"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r w:rsidRPr="002D7733">
        <w:rPr>
          <w:rFonts w:ascii="Times New Roman" w:hAnsi="Times New Roman"/>
          <w:sz w:val="24"/>
          <w:szCs w:val="24"/>
          <w:lang w:val="lv-LV"/>
        </w:rPr>
        <w:t>2015.</w:t>
      </w:r>
      <w:r w:rsidR="006A354B">
        <w:rPr>
          <w:rFonts w:ascii="Times New Roman" w:hAnsi="Times New Roman"/>
          <w:sz w:val="24"/>
          <w:szCs w:val="24"/>
          <w:lang w:val="lv-LV"/>
        </w:rPr>
        <w:t xml:space="preserve"> </w:t>
      </w:r>
      <w:r w:rsidRPr="002D7733">
        <w:rPr>
          <w:rFonts w:ascii="Times New Roman" w:hAnsi="Times New Roman"/>
          <w:sz w:val="24"/>
          <w:szCs w:val="24"/>
          <w:lang w:val="lv-LV"/>
        </w:rPr>
        <w:t>gad</w:t>
      </w:r>
      <w:r w:rsidR="00086DDB" w:rsidRPr="002D7733">
        <w:rPr>
          <w:rFonts w:ascii="Times New Roman" w:hAnsi="Times New Roman"/>
          <w:sz w:val="24"/>
          <w:szCs w:val="24"/>
          <w:lang w:val="lv-LV"/>
        </w:rPr>
        <w:t>a augustā</w:t>
      </w:r>
      <w:r w:rsidRPr="002D7733">
        <w:rPr>
          <w:rFonts w:ascii="Times New Roman" w:hAnsi="Times New Roman"/>
          <w:sz w:val="24"/>
          <w:szCs w:val="24"/>
          <w:lang w:val="lv-LV"/>
        </w:rPr>
        <w:t xml:space="preserve"> </w:t>
      </w:r>
      <w:r w:rsidR="00BC2AA2" w:rsidRPr="00C07278">
        <w:rPr>
          <w:rFonts w:ascii="Times New Roman" w:hAnsi="Times New Roman"/>
          <w:sz w:val="24"/>
          <w:szCs w:val="24"/>
          <w:lang w:val="lv-LV"/>
        </w:rPr>
        <w:t>Viedās specializācijas stratēģijas</w:t>
      </w:r>
      <w:r w:rsidR="00462578" w:rsidRPr="002D7733">
        <w:rPr>
          <w:rFonts w:ascii="Times New Roman" w:hAnsi="Times New Roman"/>
          <w:sz w:val="24"/>
          <w:szCs w:val="24"/>
          <w:lang w:val="lv-LV"/>
        </w:rPr>
        <w:t xml:space="preserve"> </w:t>
      </w:r>
      <w:r w:rsidR="008F768F" w:rsidRPr="002D7733">
        <w:rPr>
          <w:rFonts w:ascii="Times New Roman" w:hAnsi="Times New Roman"/>
          <w:sz w:val="24"/>
          <w:szCs w:val="24"/>
          <w:lang w:val="lv-LV"/>
        </w:rPr>
        <w:t xml:space="preserve">platformas </w:t>
      </w:r>
      <w:r w:rsidR="00462578" w:rsidRPr="002D7733">
        <w:rPr>
          <w:rFonts w:ascii="Times New Roman" w:hAnsi="Times New Roman"/>
          <w:sz w:val="24"/>
          <w:szCs w:val="24"/>
          <w:lang w:val="lv-LV"/>
        </w:rPr>
        <w:t xml:space="preserve">diskusijās </w:t>
      </w:r>
      <w:r w:rsidRPr="002D7733">
        <w:rPr>
          <w:rFonts w:ascii="Times New Roman" w:hAnsi="Times New Roman"/>
          <w:sz w:val="24"/>
          <w:szCs w:val="24"/>
          <w:lang w:val="lv-LV"/>
        </w:rPr>
        <w:t>par VNPC tālākās attīstības scenārijiem</w:t>
      </w:r>
      <w:r w:rsidR="008B2A76" w:rsidRPr="002D7733">
        <w:rPr>
          <w:rStyle w:val="FootnoteReference"/>
          <w:rFonts w:ascii="Times New Roman" w:hAnsi="Times New Roman"/>
          <w:sz w:val="24"/>
          <w:szCs w:val="24"/>
          <w:lang w:val="lv-LV"/>
        </w:rPr>
        <w:footnoteReference w:id="21"/>
      </w:r>
      <w:r w:rsidRPr="002D7733">
        <w:rPr>
          <w:rFonts w:ascii="Times New Roman" w:hAnsi="Times New Roman"/>
          <w:sz w:val="24"/>
          <w:szCs w:val="24"/>
          <w:lang w:val="lv-LV"/>
        </w:rPr>
        <w:t xml:space="preserve">, dalībnieki </w:t>
      </w:r>
      <w:r w:rsidR="008F768F" w:rsidRPr="002D7733">
        <w:rPr>
          <w:rFonts w:ascii="Times New Roman" w:hAnsi="Times New Roman"/>
          <w:sz w:val="24"/>
          <w:szCs w:val="24"/>
          <w:lang w:val="lv-LV"/>
        </w:rPr>
        <w:t>pozitīvi novērtēja</w:t>
      </w:r>
      <w:r w:rsidRPr="002D7733">
        <w:rPr>
          <w:rFonts w:ascii="Times New Roman" w:hAnsi="Times New Roman"/>
          <w:sz w:val="24"/>
          <w:szCs w:val="24"/>
          <w:lang w:val="lv-LV"/>
        </w:rPr>
        <w:t xml:space="preserve"> </w:t>
      </w:r>
      <w:r w:rsidR="001B261C">
        <w:rPr>
          <w:rFonts w:ascii="Times New Roman" w:hAnsi="Times New Roman"/>
          <w:sz w:val="24"/>
          <w:szCs w:val="24"/>
          <w:lang w:val="lv-LV"/>
        </w:rPr>
        <w:t xml:space="preserve">sadarbības tīklu </w:t>
      </w:r>
      <w:r w:rsidR="008F768F" w:rsidRPr="002D7733">
        <w:rPr>
          <w:rFonts w:ascii="Times New Roman" w:hAnsi="Times New Roman"/>
          <w:sz w:val="24"/>
          <w:szCs w:val="24"/>
          <w:lang w:val="lv-LV"/>
        </w:rPr>
        <w:t>izveidi</w:t>
      </w:r>
      <w:r w:rsidR="001B261C">
        <w:rPr>
          <w:rFonts w:ascii="Times New Roman" w:hAnsi="Times New Roman"/>
          <w:sz w:val="24"/>
          <w:szCs w:val="24"/>
          <w:lang w:val="lv-LV"/>
        </w:rPr>
        <w:t xml:space="preserve"> </w:t>
      </w:r>
      <w:r w:rsidR="001B261C" w:rsidRPr="002D7733">
        <w:rPr>
          <w:rFonts w:ascii="Times New Roman" w:hAnsi="Times New Roman"/>
          <w:sz w:val="24"/>
          <w:szCs w:val="24"/>
          <w:lang w:val="lv-LV"/>
        </w:rPr>
        <w:t>VNPC</w:t>
      </w:r>
      <w:r w:rsidR="001B261C">
        <w:rPr>
          <w:rFonts w:ascii="Times New Roman" w:hAnsi="Times New Roman"/>
          <w:sz w:val="24"/>
          <w:szCs w:val="24"/>
          <w:lang w:val="lv-LV"/>
        </w:rPr>
        <w:t xml:space="preserve"> ietvaros</w:t>
      </w:r>
      <w:r w:rsidR="008F768F" w:rsidRPr="002D7733">
        <w:rPr>
          <w:rFonts w:ascii="Times New Roman" w:hAnsi="Times New Roman"/>
          <w:sz w:val="24"/>
          <w:szCs w:val="24"/>
          <w:lang w:val="lv-LV"/>
        </w:rPr>
        <w:t>, jo šie projekti</w:t>
      </w:r>
      <w:r w:rsidRPr="002D7733">
        <w:rPr>
          <w:rFonts w:ascii="Times New Roman" w:hAnsi="Times New Roman"/>
          <w:sz w:val="24"/>
          <w:szCs w:val="24"/>
          <w:lang w:val="lv-LV"/>
        </w:rPr>
        <w:t xml:space="preserve"> veicināja</w:t>
      </w:r>
      <w:r w:rsidR="001B261C">
        <w:rPr>
          <w:rFonts w:ascii="Times New Roman" w:hAnsi="Times New Roman"/>
          <w:sz w:val="24"/>
          <w:szCs w:val="24"/>
          <w:lang w:val="lv-LV"/>
        </w:rPr>
        <w:t xml:space="preserve"> gan</w:t>
      </w:r>
      <w:r w:rsidRPr="002D7733">
        <w:rPr>
          <w:rFonts w:ascii="Times New Roman" w:hAnsi="Times New Roman"/>
          <w:sz w:val="24"/>
          <w:szCs w:val="24"/>
          <w:lang w:val="lv-LV"/>
        </w:rPr>
        <w:t xml:space="preserve"> zinātnisko institūciju ciešāku </w:t>
      </w:r>
      <w:r w:rsidR="008F768F" w:rsidRPr="002D7733">
        <w:rPr>
          <w:rFonts w:ascii="Times New Roman" w:hAnsi="Times New Roman"/>
          <w:sz w:val="24"/>
          <w:szCs w:val="24"/>
          <w:lang w:val="lv-LV"/>
        </w:rPr>
        <w:t xml:space="preserve">un mērķtiecīgāku </w:t>
      </w:r>
      <w:r w:rsidRPr="002D7733">
        <w:rPr>
          <w:rFonts w:ascii="Times New Roman" w:hAnsi="Times New Roman"/>
          <w:sz w:val="24"/>
          <w:szCs w:val="24"/>
          <w:lang w:val="lv-LV"/>
        </w:rPr>
        <w:t>sadarbību</w:t>
      </w:r>
      <w:r w:rsidR="001B261C">
        <w:rPr>
          <w:rFonts w:ascii="Times New Roman" w:hAnsi="Times New Roman"/>
          <w:sz w:val="24"/>
          <w:szCs w:val="24"/>
          <w:lang w:val="lv-LV"/>
        </w:rPr>
        <w:t>, gan</w:t>
      </w:r>
      <w:r w:rsidR="008F768F" w:rsidRPr="002D7733">
        <w:rPr>
          <w:rFonts w:ascii="Times New Roman" w:hAnsi="Times New Roman"/>
          <w:sz w:val="24"/>
          <w:szCs w:val="24"/>
          <w:lang w:val="lv-LV"/>
        </w:rPr>
        <w:t xml:space="preserve"> </w:t>
      </w:r>
      <w:r w:rsidR="00D53A0E">
        <w:rPr>
          <w:rFonts w:ascii="Times New Roman" w:hAnsi="Times New Roman"/>
          <w:sz w:val="24"/>
          <w:szCs w:val="24"/>
          <w:lang w:val="lv-LV"/>
        </w:rPr>
        <w:t xml:space="preserve">koordinētāku </w:t>
      </w:r>
      <w:r w:rsidR="00BC2AA2">
        <w:rPr>
          <w:rFonts w:ascii="Times New Roman" w:hAnsi="Times New Roman"/>
          <w:sz w:val="24"/>
          <w:szCs w:val="24"/>
          <w:lang w:val="lv-LV"/>
        </w:rPr>
        <w:t xml:space="preserve">attiecīgo </w:t>
      </w:r>
      <w:r w:rsidR="008F768F" w:rsidRPr="002D7733">
        <w:rPr>
          <w:rFonts w:ascii="Times New Roman" w:hAnsi="Times New Roman"/>
          <w:sz w:val="24"/>
          <w:szCs w:val="24"/>
          <w:lang w:val="lv-LV"/>
        </w:rPr>
        <w:t xml:space="preserve">zināšanu </w:t>
      </w:r>
      <w:r w:rsidR="00BC2AA2" w:rsidRPr="002D7733">
        <w:rPr>
          <w:rFonts w:ascii="Times New Roman" w:hAnsi="Times New Roman"/>
          <w:sz w:val="24"/>
          <w:szCs w:val="24"/>
          <w:lang w:val="lv-LV"/>
        </w:rPr>
        <w:t>jom</w:t>
      </w:r>
      <w:r w:rsidR="00BC2AA2">
        <w:rPr>
          <w:rFonts w:ascii="Times New Roman" w:hAnsi="Times New Roman"/>
          <w:sz w:val="24"/>
          <w:szCs w:val="24"/>
          <w:lang w:val="lv-LV"/>
        </w:rPr>
        <w:t>u</w:t>
      </w:r>
      <w:r w:rsidR="00BC2AA2" w:rsidRPr="002D7733">
        <w:rPr>
          <w:rFonts w:ascii="Times New Roman" w:hAnsi="Times New Roman"/>
          <w:sz w:val="24"/>
          <w:szCs w:val="24"/>
          <w:lang w:val="lv-LV"/>
        </w:rPr>
        <w:t xml:space="preserve"> </w:t>
      </w:r>
      <w:r w:rsidR="00086DDB" w:rsidRPr="002D7733">
        <w:rPr>
          <w:rFonts w:ascii="Times New Roman" w:hAnsi="Times New Roman"/>
          <w:sz w:val="24"/>
          <w:szCs w:val="24"/>
          <w:lang w:val="lv-LV"/>
        </w:rPr>
        <w:t xml:space="preserve">attīstību </w:t>
      </w:r>
      <w:r w:rsidR="008F768F" w:rsidRPr="002D7733">
        <w:rPr>
          <w:rFonts w:ascii="Times New Roman" w:hAnsi="Times New Roman"/>
          <w:sz w:val="24"/>
          <w:szCs w:val="24"/>
          <w:lang w:val="lv-LV"/>
        </w:rPr>
        <w:t xml:space="preserve">un </w:t>
      </w:r>
      <w:r w:rsidR="00D53A0E">
        <w:rPr>
          <w:rFonts w:ascii="Times New Roman" w:hAnsi="Times New Roman"/>
          <w:sz w:val="24"/>
          <w:szCs w:val="24"/>
          <w:lang w:val="lv-LV"/>
        </w:rPr>
        <w:t xml:space="preserve">pārdomātāku </w:t>
      </w:r>
      <w:r w:rsidRPr="002D7733">
        <w:rPr>
          <w:rFonts w:ascii="Times New Roman" w:hAnsi="Times New Roman"/>
          <w:sz w:val="24"/>
          <w:szCs w:val="24"/>
          <w:lang w:val="lv-LV"/>
        </w:rPr>
        <w:t xml:space="preserve">ieguldījumu </w:t>
      </w:r>
      <w:r w:rsidR="008F768F" w:rsidRPr="002D7733">
        <w:rPr>
          <w:rFonts w:ascii="Times New Roman" w:hAnsi="Times New Roman"/>
          <w:sz w:val="24"/>
          <w:szCs w:val="24"/>
          <w:lang w:val="lv-LV"/>
        </w:rPr>
        <w:t>koordināciju</w:t>
      </w:r>
      <w:r w:rsidRPr="002D7733">
        <w:rPr>
          <w:rFonts w:ascii="Times New Roman" w:hAnsi="Times New Roman"/>
          <w:sz w:val="24"/>
          <w:szCs w:val="24"/>
          <w:lang w:val="lv-LV"/>
        </w:rPr>
        <w:t>.</w:t>
      </w:r>
      <w:r w:rsidR="00086DDB" w:rsidRPr="002D7733">
        <w:rPr>
          <w:rFonts w:ascii="Times New Roman" w:hAnsi="Times New Roman"/>
          <w:sz w:val="24"/>
          <w:szCs w:val="24"/>
          <w:lang w:val="lv-LV"/>
        </w:rPr>
        <w:t xml:space="preserve"> </w:t>
      </w:r>
      <w:r w:rsidR="008F768F" w:rsidRPr="002D7733">
        <w:rPr>
          <w:rFonts w:ascii="Times New Roman" w:hAnsi="Times New Roman"/>
          <w:sz w:val="24"/>
          <w:szCs w:val="24"/>
          <w:lang w:val="lv-LV"/>
        </w:rPr>
        <w:t>D</w:t>
      </w:r>
      <w:r w:rsidR="00086DDB" w:rsidRPr="002D7733">
        <w:rPr>
          <w:rFonts w:ascii="Times New Roman" w:hAnsi="Times New Roman"/>
          <w:sz w:val="24"/>
          <w:szCs w:val="24"/>
          <w:lang w:val="lv-LV"/>
        </w:rPr>
        <w:t xml:space="preserve">iskusiju dalībnieki norādīja, </w:t>
      </w:r>
      <w:r w:rsidR="008F768F" w:rsidRPr="002D7733">
        <w:rPr>
          <w:rFonts w:ascii="Times New Roman" w:hAnsi="Times New Roman"/>
          <w:sz w:val="24"/>
          <w:szCs w:val="24"/>
          <w:lang w:val="lv-LV"/>
        </w:rPr>
        <w:t>ka</w:t>
      </w:r>
      <w:r w:rsidR="00865538">
        <w:rPr>
          <w:rFonts w:ascii="Times New Roman" w:hAnsi="Times New Roman"/>
          <w:sz w:val="24"/>
          <w:szCs w:val="24"/>
          <w:lang w:val="lv-LV"/>
        </w:rPr>
        <w:t xml:space="preserve"> turpmāk</w:t>
      </w:r>
      <w:r w:rsidR="008F768F" w:rsidRPr="002D7733">
        <w:rPr>
          <w:rFonts w:ascii="Times New Roman" w:hAnsi="Times New Roman"/>
          <w:sz w:val="24"/>
          <w:szCs w:val="24"/>
          <w:lang w:val="lv-LV"/>
        </w:rPr>
        <w:t xml:space="preserve"> </w:t>
      </w:r>
      <w:r w:rsidR="00086DDB" w:rsidRPr="002D7733">
        <w:rPr>
          <w:rFonts w:ascii="Times New Roman" w:hAnsi="Times New Roman"/>
          <w:sz w:val="24"/>
          <w:szCs w:val="24"/>
          <w:lang w:val="lv-LV"/>
        </w:rPr>
        <w:t xml:space="preserve">ir </w:t>
      </w:r>
      <w:r w:rsidR="008F768F" w:rsidRPr="002D7733">
        <w:rPr>
          <w:rFonts w:ascii="Times New Roman" w:hAnsi="Times New Roman"/>
          <w:sz w:val="24"/>
          <w:szCs w:val="24"/>
          <w:lang w:val="lv-LV"/>
        </w:rPr>
        <w:t xml:space="preserve">nepieciešams stiprināt </w:t>
      </w:r>
      <w:r w:rsidR="00086DDB" w:rsidRPr="002D7733">
        <w:rPr>
          <w:rFonts w:ascii="Times New Roman" w:hAnsi="Times New Roman"/>
          <w:sz w:val="24"/>
          <w:szCs w:val="24"/>
          <w:lang w:val="lv-LV"/>
        </w:rPr>
        <w:t>zinātnes un uzņēmējdarbības</w:t>
      </w:r>
      <w:r w:rsidR="008B2A76" w:rsidRPr="002D7733">
        <w:rPr>
          <w:rFonts w:ascii="Times New Roman" w:hAnsi="Times New Roman"/>
          <w:sz w:val="24"/>
          <w:szCs w:val="24"/>
          <w:lang w:val="lv-LV"/>
        </w:rPr>
        <w:t xml:space="preserve"> sektora</w:t>
      </w:r>
      <w:r w:rsidR="00086DDB" w:rsidRPr="002D7733">
        <w:rPr>
          <w:rFonts w:ascii="Times New Roman" w:hAnsi="Times New Roman"/>
          <w:sz w:val="24"/>
          <w:szCs w:val="24"/>
          <w:lang w:val="lv-LV"/>
        </w:rPr>
        <w:t xml:space="preserve"> sadarbīb</w:t>
      </w:r>
      <w:r w:rsidR="008F768F" w:rsidRPr="002D7733">
        <w:rPr>
          <w:rFonts w:ascii="Times New Roman" w:hAnsi="Times New Roman"/>
          <w:sz w:val="24"/>
          <w:szCs w:val="24"/>
          <w:lang w:val="lv-LV"/>
        </w:rPr>
        <w:t xml:space="preserve">u un atrast jaunus </w:t>
      </w:r>
      <w:r w:rsidR="00086DDB" w:rsidRPr="002D7733">
        <w:rPr>
          <w:rFonts w:ascii="Times New Roman" w:hAnsi="Times New Roman"/>
          <w:sz w:val="24"/>
          <w:szCs w:val="24"/>
          <w:lang w:val="lv-LV"/>
        </w:rPr>
        <w:t>zināšanu un tehnoloģiju pārnes</w:t>
      </w:r>
      <w:r w:rsidR="008F768F" w:rsidRPr="002D7733">
        <w:rPr>
          <w:rFonts w:ascii="Times New Roman" w:hAnsi="Times New Roman"/>
          <w:sz w:val="24"/>
          <w:szCs w:val="24"/>
          <w:lang w:val="lv-LV"/>
        </w:rPr>
        <w:t xml:space="preserve">es veidus un </w:t>
      </w:r>
      <w:r w:rsidR="00086DDB" w:rsidRPr="002D7733">
        <w:rPr>
          <w:rFonts w:ascii="Times New Roman" w:hAnsi="Times New Roman"/>
          <w:sz w:val="24"/>
          <w:szCs w:val="24"/>
          <w:lang w:val="lv-LV"/>
        </w:rPr>
        <w:t xml:space="preserve">aicināja sniegt atbalstu </w:t>
      </w:r>
      <w:r w:rsidR="008F768F" w:rsidRPr="002D7733">
        <w:rPr>
          <w:rFonts w:ascii="Times New Roman" w:hAnsi="Times New Roman"/>
          <w:sz w:val="24"/>
          <w:szCs w:val="24"/>
          <w:lang w:val="lv-LV"/>
        </w:rPr>
        <w:t xml:space="preserve">koplietošanas </w:t>
      </w:r>
      <w:r w:rsidR="00086DDB" w:rsidRPr="002D7733">
        <w:rPr>
          <w:rFonts w:ascii="Times New Roman" w:hAnsi="Times New Roman"/>
          <w:sz w:val="24"/>
          <w:szCs w:val="24"/>
          <w:lang w:val="lv-LV"/>
        </w:rPr>
        <w:t>tehnoloģijas pārneses infrastruktūras izveidei</w:t>
      </w:r>
      <w:r w:rsidR="00BC2AA2">
        <w:rPr>
          <w:rFonts w:ascii="Times New Roman" w:hAnsi="Times New Roman"/>
          <w:sz w:val="24"/>
          <w:szCs w:val="24"/>
          <w:lang w:val="lv-LV"/>
        </w:rPr>
        <w:t>,</w:t>
      </w:r>
      <w:r w:rsidR="008F768F" w:rsidRPr="002D7733">
        <w:rPr>
          <w:rFonts w:ascii="Times New Roman" w:hAnsi="Times New Roman"/>
          <w:sz w:val="24"/>
          <w:szCs w:val="24"/>
          <w:lang w:val="lv-LV"/>
        </w:rPr>
        <w:t xml:space="preserve"> ko varētu izmantot</w:t>
      </w:r>
      <w:r w:rsidR="00086DDB" w:rsidRPr="002D7733">
        <w:rPr>
          <w:rFonts w:ascii="Times New Roman" w:hAnsi="Times New Roman"/>
          <w:sz w:val="24"/>
          <w:szCs w:val="24"/>
          <w:lang w:val="lv-LV"/>
        </w:rPr>
        <w:t xml:space="preserve"> gan zinātnieki,</w:t>
      </w:r>
      <w:r w:rsidR="00BC2AA2">
        <w:rPr>
          <w:rFonts w:ascii="Times New Roman" w:hAnsi="Times New Roman"/>
          <w:sz w:val="24"/>
          <w:szCs w:val="24"/>
          <w:lang w:val="lv-LV"/>
        </w:rPr>
        <w:t xml:space="preserve"> </w:t>
      </w:r>
      <w:r w:rsidR="00086DDB" w:rsidRPr="002D7733">
        <w:rPr>
          <w:rFonts w:ascii="Times New Roman" w:hAnsi="Times New Roman"/>
          <w:sz w:val="24"/>
          <w:szCs w:val="24"/>
          <w:lang w:val="lv-LV"/>
        </w:rPr>
        <w:t>gan uzņēmējdarbības sektor</w:t>
      </w:r>
      <w:r w:rsidR="008F768F" w:rsidRPr="002D7733">
        <w:rPr>
          <w:rFonts w:ascii="Times New Roman" w:hAnsi="Times New Roman"/>
          <w:sz w:val="24"/>
          <w:szCs w:val="24"/>
          <w:lang w:val="lv-LV"/>
        </w:rPr>
        <w:t>s</w:t>
      </w:r>
      <w:r w:rsidR="00BC2AA2">
        <w:rPr>
          <w:rFonts w:ascii="Times New Roman" w:hAnsi="Times New Roman"/>
          <w:sz w:val="24"/>
          <w:szCs w:val="24"/>
          <w:lang w:val="lv-LV"/>
        </w:rPr>
        <w:t xml:space="preserve"> </w:t>
      </w:r>
      <w:r w:rsidR="00BC2AA2" w:rsidRPr="00D53A0E">
        <w:rPr>
          <w:rFonts w:ascii="Times New Roman" w:hAnsi="Times New Roman"/>
          <w:sz w:val="24"/>
          <w:szCs w:val="24"/>
          <w:lang w:val="lv-LV"/>
        </w:rPr>
        <w:t>jaunu produktu un pakalpojumu izstrādei.</w:t>
      </w:r>
    </w:p>
    <w:p w14:paraId="108DE8DE" w14:textId="77777777" w:rsidR="00CB4854" w:rsidRPr="00E9323C" w:rsidRDefault="00CB4854"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r w:rsidRPr="00E9323C">
        <w:rPr>
          <w:rFonts w:ascii="Times New Roman" w:hAnsi="Times New Roman"/>
          <w:sz w:val="24"/>
          <w:szCs w:val="24"/>
          <w:lang w:val="lv-LV"/>
        </w:rPr>
        <w:t>Apkopojot iepriekš izteiktos secinājumus, kā pozitīvo pieredzi var minēt:</w:t>
      </w:r>
    </w:p>
    <w:p w14:paraId="2F2B3B41" w14:textId="77777777" w:rsidR="00CB4854" w:rsidRDefault="00CB4854" w:rsidP="00E7642A">
      <w:pPr>
        <w:pStyle w:val="Header"/>
        <w:numPr>
          <w:ilvl w:val="0"/>
          <w:numId w:val="18"/>
        </w:numPr>
        <w:tabs>
          <w:tab w:val="clear" w:pos="4320"/>
          <w:tab w:val="clear" w:pos="8640"/>
          <w:tab w:val="center" w:pos="709"/>
        </w:tabs>
        <w:spacing w:after="0" w:line="240" w:lineRule="auto"/>
        <w:jc w:val="both"/>
        <w:rPr>
          <w:rFonts w:ascii="Times New Roman" w:hAnsi="Times New Roman"/>
          <w:sz w:val="24"/>
          <w:szCs w:val="24"/>
          <w:lang w:val="lv-LV"/>
        </w:rPr>
      </w:pPr>
      <w:r w:rsidRPr="00E9323C">
        <w:rPr>
          <w:rFonts w:ascii="Times New Roman" w:hAnsi="Times New Roman"/>
          <w:sz w:val="24"/>
          <w:szCs w:val="24"/>
          <w:lang w:val="lv-LV"/>
        </w:rPr>
        <w:t xml:space="preserve">ierobežota projektu iesniegumu atlase (turpmāk </w:t>
      </w:r>
      <w:r w:rsidR="004A2214" w:rsidRPr="002D7733">
        <w:rPr>
          <w:rFonts w:ascii="Times New Roman" w:hAnsi="Times New Roman"/>
          <w:sz w:val="24"/>
          <w:szCs w:val="24"/>
        </w:rPr>
        <w:t>–</w:t>
      </w:r>
      <w:r w:rsidRPr="00E9323C">
        <w:rPr>
          <w:rFonts w:ascii="Times New Roman" w:hAnsi="Times New Roman"/>
          <w:sz w:val="24"/>
          <w:szCs w:val="24"/>
          <w:lang w:val="lv-LV"/>
        </w:rPr>
        <w:t xml:space="preserve"> IPIA).</w:t>
      </w:r>
      <w:r w:rsidRPr="00E9323C">
        <w:rPr>
          <w:rFonts w:ascii="Times New Roman" w:hAnsi="Times New Roman"/>
          <w:lang w:val="lv-LV"/>
        </w:rPr>
        <w:t xml:space="preserve"> IPIA ietvaros</w:t>
      </w:r>
      <w:r w:rsidRPr="00E9323C">
        <w:rPr>
          <w:rFonts w:ascii="Times New Roman" w:hAnsi="Times New Roman"/>
          <w:sz w:val="24"/>
          <w:szCs w:val="24"/>
          <w:lang w:val="lv-LV"/>
        </w:rPr>
        <w:t xml:space="preserve"> bija iepriekš zināms noteikts projektu iesniedzēju loks, t.i., </w:t>
      </w:r>
      <w:r>
        <w:rPr>
          <w:rFonts w:ascii="Times New Roman" w:hAnsi="Times New Roman"/>
          <w:sz w:val="24"/>
          <w:szCs w:val="24"/>
          <w:lang w:val="lv-LV"/>
        </w:rPr>
        <w:t>zinātniskās institūcijas</w:t>
      </w:r>
      <w:r w:rsidRPr="00E9323C">
        <w:rPr>
          <w:rFonts w:ascii="Times New Roman" w:hAnsi="Times New Roman"/>
          <w:sz w:val="24"/>
          <w:szCs w:val="24"/>
          <w:lang w:val="lv-LV"/>
        </w:rPr>
        <w:t>, kuras uzaicināja iesniegt projektu iesniegumus. IPIA gadījumā tika apstiprināti un finansēti visi projektu iesniegumi, kuri atbilda projektu iesniegumu vērtēšanas kritērijiem. Netiek patērēti lieki resursi projektu iesniegumu vērtēšanas procesam;</w:t>
      </w:r>
    </w:p>
    <w:p w14:paraId="288D05B4" w14:textId="77777777" w:rsidR="00E9323C" w:rsidRDefault="00CB4854" w:rsidP="00E7642A">
      <w:pPr>
        <w:pStyle w:val="Header"/>
        <w:numPr>
          <w:ilvl w:val="0"/>
          <w:numId w:val="18"/>
        </w:numPr>
        <w:tabs>
          <w:tab w:val="clear" w:pos="4320"/>
          <w:tab w:val="clear" w:pos="8640"/>
          <w:tab w:val="center" w:pos="709"/>
        </w:tabs>
        <w:spacing w:after="0" w:line="240" w:lineRule="auto"/>
        <w:jc w:val="both"/>
        <w:rPr>
          <w:rFonts w:ascii="Times New Roman" w:hAnsi="Times New Roman"/>
          <w:sz w:val="24"/>
          <w:szCs w:val="24"/>
          <w:lang w:val="lv-LV"/>
        </w:rPr>
      </w:pPr>
      <w:r>
        <w:rPr>
          <w:rFonts w:ascii="Times New Roman" w:hAnsi="Times New Roman"/>
          <w:sz w:val="24"/>
          <w:szCs w:val="24"/>
          <w:lang w:val="lv-LV"/>
        </w:rPr>
        <w:t>VNPC veidojošo zinātnisko institūciju sadarbības</w:t>
      </w:r>
      <w:r w:rsidRPr="00E9323C">
        <w:rPr>
          <w:rFonts w:ascii="Times New Roman" w:hAnsi="Times New Roman"/>
          <w:sz w:val="24"/>
          <w:szCs w:val="24"/>
          <w:lang w:val="lv-LV"/>
        </w:rPr>
        <w:t xml:space="preserve"> stratēģij</w:t>
      </w:r>
      <w:r w:rsidRPr="00CB4854">
        <w:rPr>
          <w:rFonts w:ascii="Times New Roman" w:hAnsi="Times New Roman"/>
          <w:sz w:val="24"/>
          <w:szCs w:val="24"/>
          <w:lang w:val="lv-LV"/>
        </w:rPr>
        <w:t>as un katras VNPC veidojo</w:t>
      </w:r>
      <w:r>
        <w:rPr>
          <w:rFonts w:ascii="Times New Roman" w:hAnsi="Times New Roman"/>
          <w:sz w:val="24"/>
          <w:szCs w:val="24"/>
          <w:lang w:val="lv-LV"/>
        </w:rPr>
        <w:t xml:space="preserve">šās zinātniskās institūcijas teritoriāli telpiskās attīstības stratēģijas </w:t>
      </w:r>
      <w:r w:rsidRPr="00E9323C">
        <w:rPr>
          <w:rFonts w:ascii="Times New Roman" w:hAnsi="Times New Roman"/>
          <w:sz w:val="24"/>
          <w:szCs w:val="24"/>
          <w:lang w:val="lv-LV"/>
        </w:rPr>
        <w:t>izstrāde. Ar projektu iesniegumu vērtēšanas kritēri</w:t>
      </w:r>
      <w:r w:rsidRPr="00CB4854">
        <w:rPr>
          <w:rFonts w:ascii="Times New Roman" w:hAnsi="Times New Roman"/>
          <w:sz w:val="24"/>
          <w:szCs w:val="24"/>
          <w:lang w:val="lv-LV"/>
        </w:rPr>
        <w:t xml:space="preserve">jiem tika izvirzīts nosacījums, </w:t>
      </w:r>
      <w:r w:rsidRPr="00E9323C">
        <w:rPr>
          <w:rFonts w:ascii="Times New Roman" w:hAnsi="Times New Roman"/>
          <w:sz w:val="24"/>
          <w:szCs w:val="24"/>
          <w:lang w:val="lv-LV"/>
        </w:rPr>
        <w:t xml:space="preserve">ka plānotajam ERAF ieguldījumam </w:t>
      </w:r>
      <w:r>
        <w:rPr>
          <w:rFonts w:ascii="Times New Roman" w:hAnsi="Times New Roman"/>
          <w:sz w:val="24"/>
          <w:szCs w:val="24"/>
          <w:lang w:val="lv-LV"/>
        </w:rPr>
        <w:t>zinātnisko institūciju pētniecības</w:t>
      </w:r>
      <w:r w:rsidRPr="00E9323C">
        <w:rPr>
          <w:rFonts w:ascii="Times New Roman" w:hAnsi="Times New Roman"/>
          <w:sz w:val="24"/>
          <w:szCs w:val="24"/>
          <w:lang w:val="lv-LV"/>
        </w:rPr>
        <w:t xml:space="preserve"> infrastruktūras moder</w:t>
      </w:r>
      <w:r>
        <w:rPr>
          <w:rFonts w:ascii="Times New Roman" w:hAnsi="Times New Roman"/>
          <w:sz w:val="24"/>
          <w:szCs w:val="24"/>
          <w:lang w:val="lv-LV"/>
        </w:rPr>
        <w:t>nizācijā jāatbilst iepriekš minētajās stratēģijās plānotajam</w:t>
      </w:r>
      <w:r w:rsidRPr="00E9323C">
        <w:rPr>
          <w:rFonts w:ascii="Times New Roman" w:hAnsi="Times New Roman"/>
          <w:sz w:val="24"/>
          <w:szCs w:val="24"/>
          <w:lang w:val="lv-LV"/>
        </w:rPr>
        <w:t>;</w:t>
      </w:r>
    </w:p>
    <w:p w14:paraId="4520A31B" w14:textId="77777777" w:rsidR="009F14CD" w:rsidRDefault="00CB4854" w:rsidP="00E7642A">
      <w:pPr>
        <w:pStyle w:val="Header"/>
        <w:numPr>
          <w:ilvl w:val="0"/>
          <w:numId w:val="18"/>
        </w:numPr>
        <w:tabs>
          <w:tab w:val="clear" w:pos="4320"/>
          <w:tab w:val="clear" w:pos="8640"/>
          <w:tab w:val="center" w:pos="709"/>
        </w:tabs>
        <w:spacing w:after="0" w:line="240" w:lineRule="auto"/>
        <w:jc w:val="both"/>
        <w:rPr>
          <w:rFonts w:ascii="Times New Roman" w:hAnsi="Times New Roman"/>
          <w:sz w:val="24"/>
          <w:szCs w:val="24"/>
          <w:lang w:val="lv-LV"/>
        </w:rPr>
      </w:pPr>
      <w:r w:rsidRPr="00E9323C">
        <w:rPr>
          <w:rFonts w:ascii="Times New Roman" w:hAnsi="Times New Roman"/>
          <w:sz w:val="24"/>
          <w:szCs w:val="24"/>
          <w:lang w:val="lv-LV"/>
        </w:rPr>
        <w:lastRenderedPageBreak/>
        <w:t xml:space="preserve">ERAF ieguldījumi ir sekmējuši </w:t>
      </w:r>
      <w:r w:rsidR="00E9323C" w:rsidRPr="002D7733">
        <w:rPr>
          <w:rFonts w:ascii="Times New Roman" w:hAnsi="Times New Roman"/>
          <w:sz w:val="24"/>
          <w:szCs w:val="24"/>
          <w:lang w:val="lv-LV"/>
        </w:rPr>
        <w:t xml:space="preserve">mērķtiecīgāku </w:t>
      </w:r>
      <w:r w:rsidR="00E9323C">
        <w:rPr>
          <w:rFonts w:ascii="Times New Roman" w:hAnsi="Times New Roman"/>
          <w:sz w:val="24"/>
          <w:szCs w:val="24"/>
          <w:lang w:val="lv-LV"/>
        </w:rPr>
        <w:t>un koordinētāku sadarbību starp iesaistītajām</w:t>
      </w:r>
      <w:r w:rsidR="00A46FC4">
        <w:rPr>
          <w:rFonts w:ascii="Times New Roman" w:hAnsi="Times New Roman"/>
          <w:sz w:val="24"/>
          <w:szCs w:val="24"/>
          <w:lang w:val="lv-LV"/>
        </w:rPr>
        <w:t xml:space="preserve"> zinātniskajām</w:t>
      </w:r>
      <w:r w:rsidR="00E9323C">
        <w:rPr>
          <w:rFonts w:ascii="Times New Roman" w:hAnsi="Times New Roman"/>
          <w:sz w:val="24"/>
          <w:szCs w:val="24"/>
          <w:lang w:val="lv-LV"/>
        </w:rPr>
        <w:t xml:space="preserve"> institūcijām, kā arī sekmējuši pārdomātāku </w:t>
      </w:r>
      <w:r w:rsidR="00E9323C" w:rsidRPr="002D7733">
        <w:rPr>
          <w:rFonts w:ascii="Times New Roman" w:hAnsi="Times New Roman"/>
          <w:sz w:val="24"/>
          <w:szCs w:val="24"/>
          <w:lang w:val="lv-LV"/>
        </w:rPr>
        <w:t>ieguldījumu koordināciju</w:t>
      </w:r>
      <w:r w:rsidR="007D20E3">
        <w:rPr>
          <w:rFonts w:ascii="Times New Roman" w:hAnsi="Times New Roman"/>
          <w:sz w:val="24"/>
          <w:szCs w:val="24"/>
          <w:lang w:val="lv-LV"/>
        </w:rPr>
        <w:t>.</w:t>
      </w:r>
    </w:p>
    <w:p w14:paraId="362A1C6F" w14:textId="77777777" w:rsidR="000811B0" w:rsidRDefault="000811B0" w:rsidP="00E7642A">
      <w:pPr>
        <w:pStyle w:val="Header"/>
        <w:tabs>
          <w:tab w:val="clear" w:pos="4320"/>
          <w:tab w:val="clear" w:pos="8640"/>
          <w:tab w:val="center" w:pos="709"/>
        </w:tabs>
        <w:spacing w:after="0" w:line="240" w:lineRule="auto"/>
        <w:ind w:left="927"/>
        <w:jc w:val="both"/>
        <w:rPr>
          <w:rFonts w:ascii="Times New Roman" w:hAnsi="Times New Roman"/>
          <w:sz w:val="24"/>
          <w:szCs w:val="24"/>
          <w:lang w:val="lv-LV"/>
        </w:rPr>
      </w:pPr>
    </w:p>
    <w:p w14:paraId="014B9543" w14:textId="16D45207" w:rsidR="00620092" w:rsidRDefault="009F14CD"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ab/>
      </w:r>
      <w:r w:rsidRPr="009F14CD">
        <w:rPr>
          <w:rFonts w:ascii="Times New Roman" w:hAnsi="Times New Roman"/>
          <w:sz w:val="24"/>
          <w:szCs w:val="24"/>
          <w:lang w:val="lv-LV"/>
        </w:rPr>
        <w:t>Analizējot līdzšinējos ieguldījumus pētniecībā un attīstībā, tajā skaitā ES struktūrfondu 2007.</w:t>
      </w:r>
      <w:r w:rsidR="004A2214" w:rsidRPr="004A2214">
        <w:rPr>
          <w:rFonts w:ascii="Times New Roman" w:hAnsi="Times New Roman"/>
          <w:sz w:val="24"/>
          <w:szCs w:val="24"/>
          <w:lang w:val="lv-LV"/>
        </w:rPr>
        <w:t>–</w:t>
      </w:r>
      <w:r w:rsidRPr="009F14CD">
        <w:rPr>
          <w:rFonts w:ascii="Times New Roman" w:hAnsi="Times New Roman"/>
          <w:sz w:val="24"/>
          <w:szCs w:val="24"/>
          <w:lang w:val="lv-LV"/>
        </w:rPr>
        <w:t>2013. gada plānošanas perioda ieguldījumus pētniecības infrastruktūras attīstībai VNPC tīklu ietvaros</w:t>
      </w:r>
      <w:r w:rsidR="004A2214" w:rsidRPr="009F14CD">
        <w:rPr>
          <w:rFonts w:ascii="Times New Roman" w:hAnsi="Times New Roman"/>
          <w:sz w:val="24"/>
          <w:szCs w:val="24"/>
          <w:lang w:val="lv-LV"/>
        </w:rPr>
        <w:t>,</w:t>
      </w:r>
      <w:r w:rsidR="004A2214">
        <w:rPr>
          <w:rFonts w:ascii="Times New Roman" w:hAnsi="Times New Roman"/>
          <w:sz w:val="24"/>
          <w:szCs w:val="24"/>
          <w:lang w:val="lv-LV"/>
        </w:rPr>
        <w:t xml:space="preserve"> un </w:t>
      </w:r>
      <w:r w:rsidRPr="009F14CD">
        <w:rPr>
          <w:rFonts w:ascii="Times New Roman" w:hAnsi="Times New Roman"/>
          <w:sz w:val="24"/>
          <w:szCs w:val="24"/>
          <w:lang w:val="lv-LV"/>
        </w:rPr>
        <w:t>gūto pieredzi aktivitāšu plānošanā un projektu īstenošanā, secināms, ka ieguldījumi</w:t>
      </w:r>
      <w:r w:rsidR="008D490E">
        <w:rPr>
          <w:rFonts w:ascii="Times New Roman" w:hAnsi="Times New Roman"/>
          <w:sz w:val="24"/>
          <w:szCs w:val="24"/>
          <w:lang w:val="lv-LV"/>
        </w:rPr>
        <w:t>,</w:t>
      </w:r>
      <w:r w:rsidRPr="009F14CD">
        <w:rPr>
          <w:rFonts w:ascii="Times New Roman" w:hAnsi="Times New Roman"/>
          <w:sz w:val="24"/>
          <w:szCs w:val="24"/>
          <w:lang w:val="lv-LV"/>
        </w:rPr>
        <w:t xml:space="preserve"> stratēģiski veidojot tematiskus zinātnisko institūtu tīklus ir stiprinājuši kopējo Latvijas zinātnes veiktspēju un veicinājuši </w:t>
      </w:r>
      <w:r w:rsidRPr="006F0606">
        <w:rPr>
          <w:rFonts w:ascii="Times New Roman" w:hAnsi="Times New Roman"/>
          <w:sz w:val="24"/>
          <w:szCs w:val="24"/>
          <w:lang w:val="lv-LV"/>
        </w:rPr>
        <w:t>pētniecības resursu koncentrāciju deviņās zināšanu jomās</w:t>
      </w:r>
      <w:r w:rsidR="00620092">
        <w:rPr>
          <w:rFonts w:ascii="Times New Roman" w:hAnsi="Times New Roman"/>
          <w:sz w:val="24"/>
          <w:szCs w:val="24"/>
          <w:lang w:val="lv-LV"/>
        </w:rPr>
        <w:t xml:space="preserve">, kas atbilst Latvijas viedās specializācijas jomām. </w:t>
      </w:r>
      <w:r w:rsidR="00042240">
        <w:rPr>
          <w:rFonts w:ascii="Times New Roman" w:hAnsi="Times New Roman"/>
          <w:sz w:val="24"/>
          <w:szCs w:val="24"/>
          <w:lang w:val="lv-LV"/>
        </w:rPr>
        <w:t xml:space="preserve">Tādējādi, </w:t>
      </w:r>
      <w:r w:rsidR="00042240" w:rsidRPr="008D490E">
        <w:rPr>
          <w:rFonts w:ascii="Times New Roman" w:hAnsi="Times New Roman"/>
          <w:sz w:val="24"/>
          <w:szCs w:val="24"/>
          <w:lang w:val="lv-LV"/>
        </w:rPr>
        <w:t xml:space="preserve">visās piecās specializācijas jomās ir jau ir </w:t>
      </w:r>
      <w:r w:rsidR="00042240" w:rsidRPr="00DA23B3">
        <w:rPr>
          <w:rFonts w:ascii="Times New Roman" w:hAnsi="Times New Roman"/>
          <w:sz w:val="24"/>
          <w:szCs w:val="24"/>
          <w:lang w:val="lv-LV"/>
        </w:rPr>
        <w:t>izveidota infrastrukt</w:t>
      </w:r>
      <w:r w:rsidR="00042240" w:rsidRPr="00995E9E">
        <w:rPr>
          <w:rFonts w:ascii="Times New Roman" w:hAnsi="Times New Roman"/>
          <w:sz w:val="24"/>
          <w:szCs w:val="24"/>
          <w:lang w:val="lv-LV"/>
        </w:rPr>
        <w:t>ūra un sadarbības tīkli</w:t>
      </w:r>
      <w:r w:rsidR="00042240" w:rsidRPr="002F0329">
        <w:rPr>
          <w:rFonts w:ascii="Times New Roman" w:hAnsi="Times New Roman"/>
          <w:sz w:val="24"/>
          <w:szCs w:val="24"/>
          <w:lang w:val="lv-LV"/>
        </w:rPr>
        <w:t xml:space="preserve"> (Attēls Nr. </w:t>
      </w:r>
      <w:r w:rsidR="004F69AB" w:rsidRPr="00A952E6">
        <w:rPr>
          <w:rFonts w:ascii="Times New Roman" w:hAnsi="Times New Roman"/>
          <w:sz w:val="24"/>
          <w:szCs w:val="24"/>
          <w:lang w:val="lv-LV"/>
        </w:rPr>
        <w:t>7</w:t>
      </w:r>
      <w:r w:rsidR="00042240" w:rsidRPr="008D490E">
        <w:rPr>
          <w:rFonts w:ascii="Times New Roman" w:hAnsi="Times New Roman"/>
          <w:sz w:val="24"/>
          <w:szCs w:val="24"/>
          <w:lang w:val="lv-LV"/>
        </w:rPr>
        <w:t>).</w:t>
      </w:r>
      <w:r w:rsidR="00042240">
        <w:rPr>
          <w:rFonts w:ascii="Times New Roman" w:hAnsi="Times New Roman"/>
          <w:sz w:val="24"/>
          <w:szCs w:val="24"/>
          <w:lang w:val="lv-LV"/>
        </w:rPr>
        <w:t xml:space="preserve"> Turpmāk </w:t>
      </w:r>
      <w:r w:rsidR="00CC6D58">
        <w:rPr>
          <w:rFonts w:ascii="Times New Roman" w:hAnsi="Times New Roman"/>
          <w:sz w:val="24"/>
          <w:szCs w:val="24"/>
          <w:lang w:val="lv-LV"/>
        </w:rPr>
        <w:t xml:space="preserve">ar </w:t>
      </w:r>
      <w:r w:rsidR="00042240">
        <w:rPr>
          <w:rFonts w:ascii="Times New Roman" w:hAnsi="Times New Roman"/>
          <w:sz w:val="24"/>
          <w:szCs w:val="24"/>
          <w:lang w:val="lv-LV"/>
        </w:rPr>
        <w:t>ES struktūrfondu 2014.</w:t>
      </w:r>
      <w:r w:rsidR="00042240" w:rsidRPr="004A2214">
        <w:rPr>
          <w:rFonts w:ascii="Times New Roman" w:hAnsi="Times New Roman"/>
          <w:sz w:val="24"/>
          <w:szCs w:val="24"/>
          <w:lang w:val="lv-LV"/>
        </w:rPr>
        <w:t>–</w:t>
      </w:r>
      <w:r w:rsidR="00042240">
        <w:rPr>
          <w:rFonts w:ascii="Times New Roman" w:hAnsi="Times New Roman"/>
          <w:sz w:val="24"/>
          <w:szCs w:val="24"/>
          <w:lang w:val="lv-LV"/>
        </w:rPr>
        <w:t>2020. gada plānošanas perioda ieguldījumi</w:t>
      </w:r>
      <w:r w:rsidR="00CC6D58">
        <w:rPr>
          <w:rFonts w:ascii="Times New Roman" w:hAnsi="Times New Roman"/>
          <w:sz w:val="24"/>
          <w:szCs w:val="24"/>
          <w:lang w:val="lv-LV"/>
        </w:rPr>
        <w:t>em</w:t>
      </w:r>
      <w:r w:rsidR="00042240">
        <w:rPr>
          <w:rFonts w:ascii="Times New Roman" w:hAnsi="Times New Roman"/>
          <w:sz w:val="24"/>
          <w:szCs w:val="24"/>
          <w:lang w:val="lv-LV"/>
        </w:rPr>
        <w:t xml:space="preserve"> tiks</w:t>
      </w:r>
      <w:r w:rsidR="00CC6D58">
        <w:rPr>
          <w:rFonts w:ascii="Times New Roman" w:hAnsi="Times New Roman"/>
          <w:sz w:val="24"/>
          <w:szCs w:val="24"/>
          <w:lang w:val="lv-LV"/>
        </w:rPr>
        <w:t xml:space="preserve"> stiprinātas šajos tīklos esošās zinātniskās institūcijas</w:t>
      </w:r>
      <w:r w:rsidR="008D490E">
        <w:rPr>
          <w:rFonts w:ascii="Times New Roman" w:hAnsi="Times New Roman"/>
          <w:sz w:val="24"/>
          <w:szCs w:val="24"/>
          <w:lang w:val="lv-LV"/>
        </w:rPr>
        <w:t>,</w:t>
      </w:r>
      <w:r w:rsidR="00CC6D58">
        <w:rPr>
          <w:rFonts w:ascii="Times New Roman" w:hAnsi="Times New Roman"/>
          <w:sz w:val="24"/>
          <w:szCs w:val="24"/>
          <w:lang w:val="lv-LV"/>
        </w:rPr>
        <w:t xml:space="preserve"> </w:t>
      </w:r>
      <w:r w:rsidR="00042240">
        <w:rPr>
          <w:rFonts w:ascii="Times New Roman" w:hAnsi="Times New Roman"/>
          <w:sz w:val="24"/>
          <w:szCs w:val="24"/>
          <w:lang w:val="lv-LV"/>
        </w:rPr>
        <w:t xml:space="preserve">pētniecības </w:t>
      </w:r>
      <w:r w:rsidR="00042240" w:rsidRPr="00C95968">
        <w:rPr>
          <w:rFonts w:ascii="Times New Roman" w:hAnsi="Times New Roman"/>
          <w:sz w:val="24"/>
          <w:szCs w:val="24"/>
          <w:lang w:val="lv-LV"/>
        </w:rPr>
        <w:t>infrastruktūras ieguldījumus koncentrē</w:t>
      </w:r>
      <w:r w:rsidR="00CC6D58">
        <w:rPr>
          <w:rFonts w:ascii="Times New Roman" w:hAnsi="Times New Roman"/>
          <w:sz w:val="24"/>
          <w:szCs w:val="24"/>
          <w:lang w:val="lv-LV"/>
        </w:rPr>
        <w:t>jot</w:t>
      </w:r>
      <w:r w:rsidR="00042240">
        <w:rPr>
          <w:rFonts w:ascii="Times New Roman" w:hAnsi="Times New Roman"/>
          <w:sz w:val="24"/>
          <w:szCs w:val="24"/>
          <w:lang w:val="lv-LV"/>
        </w:rPr>
        <w:t xml:space="preserve"> </w:t>
      </w:r>
      <w:r w:rsidR="00042240" w:rsidRPr="00D53A0E">
        <w:rPr>
          <w:rFonts w:ascii="Times New Roman" w:hAnsi="Times New Roman"/>
          <w:sz w:val="24"/>
          <w:szCs w:val="24"/>
          <w:lang w:val="lv-LV"/>
        </w:rPr>
        <w:t>tematiski un</w:t>
      </w:r>
      <w:r w:rsidR="00042240" w:rsidRPr="00C95968">
        <w:rPr>
          <w:rFonts w:ascii="Times New Roman" w:hAnsi="Times New Roman"/>
          <w:sz w:val="24"/>
          <w:szCs w:val="24"/>
          <w:lang w:val="lv-LV"/>
        </w:rPr>
        <w:t xml:space="preserve"> telpiski, vienviet </w:t>
      </w:r>
      <w:r w:rsidR="00CC6D58">
        <w:rPr>
          <w:rFonts w:ascii="Times New Roman" w:hAnsi="Times New Roman"/>
          <w:sz w:val="24"/>
          <w:szCs w:val="24"/>
          <w:lang w:val="lv-LV"/>
        </w:rPr>
        <w:t>veidojot</w:t>
      </w:r>
      <w:r w:rsidR="00042240" w:rsidRPr="00C95968">
        <w:rPr>
          <w:rFonts w:ascii="Times New Roman" w:hAnsi="Times New Roman"/>
          <w:sz w:val="24"/>
          <w:szCs w:val="24"/>
          <w:lang w:val="lv-LV"/>
        </w:rPr>
        <w:t xml:space="preserve"> pētniecības, augstākās izglītības un </w:t>
      </w:r>
      <w:r w:rsidR="00042240" w:rsidRPr="00E9323C">
        <w:rPr>
          <w:rFonts w:ascii="Times New Roman" w:hAnsi="Times New Roman"/>
          <w:sz w:val="24"/>
          <w:szCs w:val="24"/>
          <w:lang w:val="lv-LV"/>
        </w:rPr>
        <w:t>uzņēmējdarbības organizācijām izmantojamu infrastruktūru</w:t>
      </w:r>
      <w:r w:rsidR="00042240">
        <w:rPr>
          <w:rFonts w:ascii="Times New Roman" w:hAnsi="Times New Roman"/>
          <w:sz w:val="24"/>
          <w:szCs w:val="24"/>
          <w:lang w:val="lv-LV"/>
        </w:rPr>
        <w:t>.</w:t>
      </w:r>
      <w:r w:rsidR="007A470A">
        <w:rPr>
          <w:rFonts w:ascii="Times New Roman" w:hAnsi="Times New Roman"/>
          <w:sz w:val="24"/>
          <w:szCs w:val="24"/>
          <w:lang w:val="lv-LV"/>
        </w:rPr>
        <w:t xml:space="preserve"> Infrastruktūras ieguldījumi tiks koncentrēti </w:t>
      </w:r>
      <w:r w:rsidR="007A470A" w:rsidRPr="00E733AE">
        <w:rPr>
          <w:rFonts w:ascii="Times New Roman" w:hAnsi="Times New Roman"/>
          <w:sz w:val="24"/>
          <w:szCs w:val="24"/>
          <w:lang w:val="lv-LV"/>
        </w:rPr>
        <w:t>Latvij</w:t>
      </w:r>
      <w:r w:rsidR="007A470A">
        <w:rPr>
          <w:rFonts w:ascii="Times New Roman" w:hAnsi="Times New Roman"/>
          <w:sz w:val="24"/>
          <w:szCs w:val="24"/>
          <w:lang w:val="lv-LV"/>
        </w:rPr>
        <w:t xml:space="preserve">as Organiskās sintēzes institūtā, </w:t>
      </w:r>
      <w:r w:rsidR="007A470A" w:rsidRPr="00E733AE">
        <w:rPr>
          <w:rFonts w:ascii="Times New Roman" w:hAnsi="Times New Roman"/>
          <w:sz w:val="24"/>
          <w:szCs w:val="24"/>
          <w:lang w:val="lv-LV"/>
        </w:rPr>
        <w:t>Latvijas Biomedi</w:t>
      </w:r>
      <w:r w:rsidR="007A470A">
        <w:rPr>
          <w:rFonts w:ascii="Times New Roman" w:hAnsi="Times New Roman"/>
          <w:sz w:val="24"/>
          <w:szCs w:val="24"/>
          <w:lang w:val="lv-LV"/>
        </w:rPr>
        <w:t xml:space="preserve">cīnas pētījumu un studiju centrā, </w:t>
      </w:r>
      <w:r w:rsidR="007A470A" w:rsidRPr="00E733AE">
        <w:rPr>
          <w:rFonts w:ascii="Times New Roman" w:hAnsi="Times New Roman"/>
          <w:sz w:val="24"/>
          <w:szCs w:val="24"/>
          <w:lang w:val="lv-LV"/>
        </w:rPr>
        <w:t>Latvi</w:t>
      </w:r>
      <w:r w:rsidR="007A470A">
        <w:rPr>
          <w:rFonts w:ascii="Times New Roman" w:hAnsi="Times New Roman"/>
          <w:sz w:val="24"/>
          <w:szCs w:val="24"/>
          <w:lang w:val="lv-LV"/>
        </w:rPr>
        <w:t>jas valsts Mežzinātnes institūtā</w:t>
      </w:r>
      <w:r w:rsidR="007A470A" w:rsidRPr="00E733AE">
        <w:rPr>
          <w:rFonts w:ascii="Times New Roman" w:hAnsi="Times New Roman"/>
          <w:sz w:val="24"/>
          <w:szCs w:val="24"/>
          <w:lang w:val="lv-LV"/>
        </w:rPr>
        <w:t xml:space="preserve"> "Silava"</w:t>
      </w:r>
      <w:r w:rsidR="007A470A">
        <w:rPr>
          <w:rFonts w:ascii="Times New Roman" w:hAnsi="Times New Roman"/>
          <w:sz w:val="24"/>
          <w:szCs w:val="24"/>
          <w:lang w:val="lv-LV"/>
        </w:rPr>
        <w:t xml:space="preserve">, </w:t>
      </w:r>
      <w:r w:rsidR="007A470A" w:rsidRPr="00E733AE">
        <w:rPr>
          <w:rFonts w:ascii="Times New Roman" w:hAnsi="Times New Roman"/>
          <w:sz w:val="24"/>
          <w:szCs w:val="24"/>
          <w:lang w:val="lv-LV"/>
        </w:rPr>
        <w:t>Latvijas V</w:t>
      </w:r>
      <w:r w:rsidR="007A470A">
        <w:rPr>
          <w:rFonts w:ascii="Times New Roman" w:hAnsi="Times New Roman"/>
          <w:sz w:val="24"/>
          <w:szCs w:val="24"/>
          <w:lang w:val="lv-LV"/>
        </w:rPr>
        <w:t xml:space="preserve">alsts koksnes ķīmijas institūtā, </w:t>
      </w:r>
      <w:r w:rsidR="007A470A" w:rsidRPr="00E733AE">
        <w:rPr>
          <w:rFonts w:ascii="Times New Roman" w:hAnsi="Times New Roman"/>
          <w:sz w:val="24"/>
          <w:szCs w:val="24"/>
          <w:lang w:val="lv-LV"/>
        </w:rPr>
        <w:t>Elektr</w:t>
      </w:r>
      <w:r w:rsidR="007A470A">
        <w:rPr>
          <w:rFonts w:ascii="Times New Roman" w:hAnsi="Times New Roman"/>
          <w:sz w:val="24"/>
          <w:szCs w:val="24"/>
          <w:lang w:val="lv-LV"/>
        </w:rPr>
        <w:t xml:space="preserve">onikas un datorzinātņu institūtā, </w:t>
      </w:r>
      <w:r w:rsidR="007A470A" w:rsidRPr="00E733AE">
        <w:rPr>
          <w:rFonts w:ascii="Times New Roman" w:hAnsi="Times New Roman"/>
          <w:sz w:val="24"/>
          <w:szCs w:val="24"/>
          <w:lang w:val="lv-LV"/>
        </w:rPr>
        <w:t>Pārtikas drošības, dzīvnieku veselības</w:t>
      </w:r>
      <w:r w:rsidR="007A470A">
        <w:rPr>
          <w:rFonts w:ascii="Times New Roman" w:hAnsi="Times New Roman"/>
          <w:sz w:val="24"/>
          <w:szCs w:val="24"/>
          <w:lang w:val="lv-LV"/>
        </w:rPr>
        <w:t xml:space="preserve"> un vides zinātniskajā institūtā</w:t>
      </w:r>
      <w:r w:rsidR="007A470A" w:rsidRPr="00E733AE">
        <w:rPr>
          <w:rFonts w:ascii="Times New Roman" w:hAnsi="Times New Roman"/>
          <w:sz w:val="24"/>
          <w:szCs w:val="24"/>
          <w:lang w:val="lv-LV"/>
        </w:rPr>
        <w:t xml:space="preserve"> "BIOR"</w:t>
      </w:r>
      <w:r w:rsidR="007A470A">
        <w:rPr>
          <w:rFonts w:ascii="Times New Roman" w:hAnsi="Times New Roman"/>
          <w:sz w:val="24"/>
          <w:szCs w:val="24"/>
          <w:lang w:val="lv-LV"/>
        </w:rPr>
        <w:t xml:space="preserve">, </w:t>
      </w:r>
      <w:r w:rsidR="007A470A" w:rsidRPr="00E733AE">
        <w:rPr>
          <w:rFonts w:ascii="Times New Roman" w:hAnsi="Times New Roman"/>
          <w:sz w:val="24"/>
          <w:szCs w:val="24"/>
          <w:lang w:val="lv-LV"/>
        </w:rPr>
        <w:t>Rīgas Tehnisk</w:t>
      </w:r>
      <w:r w:rsidR="007A470A">
        <w:rPr>
          <w:rFonts w:ascii="Times New Roman" w:hAnsi="Times New Roman"/>
          <w:sz w:val="24"/>
          <w:szCs w:val="24"/>
          <w:lang w:val="lv-LV"/>
        </w:rPr>
        <w:t xml:space="preserve">ajā universitātē, Rīgas Stradiņa universitātē, </w:t>
      </w:r>
      <w:r w:rsidR="007A470A" w:rsidRPr="00E733AE">
        <w:rPr>
          <w:rFonts w:ascii="Times New Roman" w:hAnsi="Times New Roman"/>
          <w:sz w:val="24"/>
          <w:szCs w:val="24"/>
          <w:lang w:val="lv-LV"/>
        </w:rPr>
        <w:t>Latvij</w:t>
      </w:r>
      <w:r w:rsidR="007A470A">
        <w:rPr>
          <w:rFonts w:ascii="Times New Roman" w:hAnsi="Times New Roman"/>
          <w:sz w:val="24"/>
          <w:szCs w:val="24"/>
          <w:lang w:val="lv-LV"/>
        </w:rPr>
        <w:t>as Lauksaimniecības universitātē un tās institūtos</w:t>
      </w:r>
      <w:r w:rsidR="007A470A" w:rsidRPr="00E733AE">
        <w:rPr>
          <w:rFonts w:ascii="Times New Roman" w:hAnsi="Times New Roman"/>
          <w:sz w:val="24"/>
          <w:szCs w:val="24"/>
          <w:lang w:val="lv-LV"/>
        </w:rPr>
        <w:t xml:space="preserve"> - Agr</w:t>
      </w:r>
      <w:r w:rsidR="007A470A">
        <w:rPr>
          <w:rFonts w:ascii="Times New Roman" w:hAnsi="Times New Roman"/>
          <w:sz w:val="24"/>
          <w:szCs w:val="24"/>
          <w:lang w:val="lv-LV"/>
        </w:rPr>
        <w:t>oresursu un ekonomikas institūts un Dārzkopības institūts, Ventspils augstskolā, Vidzemes augstskolā, Latvijas Universitātē</w:t>
      </w:r>
      <w:r w:rsidR="007A470A" w:rsidRPr="00E733AE">
        <w:rPr>
          <w:rFonts w:ascii="Times New Roman" w:hAnsi="Times New Roman"/>
          <w:sz w:val="24"/>
          <w:szCs w:val="24"/>
          <w:lang w:val="lv-LV"/>
        </w:rPr>
        <w:t xml:space="preserve"> un </w:t>
      </w:r>
      <w:r w:rsidR="007A470A">
        <w:rPr>
          <w:rFonts w:ascii="Times New Roman" w:hAnsi="Times New Roman"/>
          <w:sz w:val="24"/>
          <w:szCs w:val="24"/>
          <w:lang w:val="lv-LV"/>
        </w:rPr>
        <w:t xml:space="preserve">tās institūtos </w:t>
      </w:r>
      <w:r w:rsidR="007A470A" w:rsidRPr="00E733AE">
        <w:rPr>
          <w:rFonts w:ascii="Times New Roman" w:hAnsi="Times New Roman"/>
          <w:sz w:val="24"/>
          <w:szCs w:val="24"/>
          <w:lang w:val="lv-LV"/>
        </w:rPr>
        <w:t>LU Matemātikas un informātikas institūts</w:t>
      </w:r>
      <w:r w:rsidR="007A470A">
        <w:rPr>
          <w:rFonts w:ascii="Times New Roman" w:hAnsi="Times New Roman"/>
          <w:sz w:val="24"/>
          <w:szCs w:val="24"/>
          <w:lang w:val="lv-LV"/>
        </w:rPr>
        <w:t xml:space="preserve"> un LU Cietvielu fizikas institūts, kā arī Daugavpils Universitātē to integrējot ar Latvijas Hidreoekoloģijas institūtu.</w:t>
      </w:r>
    </w:p>
    <w:p w14:paraId="24482447" w14:textId="19583EF8" w:rsidR="00620092" w:rsidRPr="00E0256A" w:rsidRDefault="00620092" w:rsidP="00E7642A">
      <w:pPr>
        <w:pStyle w:val="Default"/>
        <w:tabs>
          <w:tab w:val="left" w:pos="1560"/>
        </w:tabs>
        <w:spacing w:before="120" w:after="120"/>
        <w:ind w:left="1559"/>
        <w:jc w:val="right"/>
        <w:rPr>
          <w:i/>
        </w:rPr>
      </w:pPr>
      <w:r w:rsidRPr="00FD6296">
        <w:rPr>
          <w:i/>
        </w:rPr>
        <w:t xml:space="preserve">Attēls Nr. </w:t>
      </w:r>
      <w:r w:rsidR="004F69AB" w:rsidRPr="00A952E6">
        <w:rPr>
          <w:i/>
        </w:rPr>
        <w:t>7</w:t>
      </w:r>
      <w:r w:rsidRPr="00FD6296">
        <w:rPr>
          <w:i/>
        </w:rPr>
        <w:t>.</w:t>
      </w:r>
    </w:p>
    <w:p w14:paraId="7EA46AAA" w14:textId="77777777" w:rsidR="00620092" w:rsidRPr="009C7153" w:rsidRDefault="00620092" w:rsidP="00E7642A">
      <w:pPr>
        <w:spacing w:after="200"/>
        <w:ind w:left="0" w:firstLine="567"/>
        <w:jc w:val="center"/>
        <w:rPr>
          <w:rFonts w:ascii="Times New Roman" w:hAnsi="Times New Roman"/>
          <w:b/>
          <w:color w:val="000000"/>
          <w:sz w:val="24"/>
          <w:szCs w:val="24"/>
          <w:lang w:eastAsia="lv-LV"/>
        </w:rPr>
      </w:pPr>
      <w:r w:rsidRPr="009C7153">
        <w:rPr>
          <w:rFonts w:ascii="Times New Roman" w:hAnsi="Times New Roman"/>
          <w:b/>
          <w:color w:val="000000"/>
          <w:sz w:val="24"/>
          <w:szCs w:val="24"/>
          <w:lang w:eastAsia="lv-LV"/>
        </w:rPr>
        <w:t>VNPC un Viedās specializācijas jomas</w:t>
      </w:r>
    </w:p>
    <w:p w14:paraId="049D08C7" w14:textId="77777777" w:rsidR="00620092" w:rsidRPr="00291F8D" w:rsidRDefault="00620092" w:rsidP="00E7642A">
      <w:pPr>
        <w:ind w:left="0"/>
        <w:rPr>
          <w:rFonts w:ascii="Times New Roman" w:hAnsi="Times New Roman"/>
          <w:sz w:val="24"/>
          <w:szCs w:val="24"/>
        </w:rPr>
      </w:pPr>
      <w:r w:rsidRPr="00A952E6">
        <w:rPr>
          <w:rFonts w:ascii="Times New Roman" w:hAnsi="Times New Roman"/>
          <w:noProof/>
          <w:sz w:val="24"/>
          <w:szCs w:val="24"/>
          <w:lang w:eastAsia="lv-LV"/>
        </w:rPr>
        <w:drawing>
          <wp:inline distT="0" distB="0" distL="0" distR="0" wp14:anchorId="4EB37A11" wp14:editId="565EBDDC">
            <wp:extent cx="5771744" cy="2303027"/>
            <wp:effectExtent l="0" t="0" r="635" b="2540"/>
            <wp:docPr id="9" name="Picture 9" descr="C:\Users\azilinsk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linska\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2138" cy="2315155"/>
                    </a:xfrm>
                    <a:prstGeom prst="rect">
                      <a:avLst/>
                    </a:prstGeom>
                    <a:noFill/>
                    <a:ln>
                      <a:noFill/>
                    </a:ln>
                  </pic:spPr>
                </pic:pic>
              </a:graphicData>
            </a:graphic>
          </wp:inline>
        </w:drawing>
      </w:r>
      <w:r w:rsidRPr="00D22BDC" w:rsidDel="00D22BDC">
        <w:rPr>
          <w:rFonts w:ascii="Times New Roman" w:hAnsi="Times New Roman"/>
          <w:sz w:val="24"/>
          <w:szCs w:val="24"/>
        </w:rPr>
        <w:t xml:space="preserve"> </w:t>
      </w:r>
    </w:p>
    <w:p w14:paraId="17666814" w14:textId="77777777" w:rsidR="00620092" w:rsidRPr="009C7153" w:rsidRDefault="00620092" w:rsidP="00E7642A">
      <w:pPr>
        <w:ind w:left="0"/>
        <w:jc w:val="left"/>
        <w:rPr>
          <w:rFonts w:ascii="Times New Roman" w:hAnsi="Times New Roman"/>
          <w:i/>
          <w:color w:val="000000"/>
          <w:sz w:val="24"/>
          <w:szCs w:val="24"/>
          <w:lang w:eastAsia="lv-LV"/>
        </w:rPr>
      </w:pPr>
      <w:r w:rsidRPr="009C7153">
        <w:rPr>
          <w:rFonts w:ascii="Times New Roman" w:hAnsi="Times New Roman"/>
          <w:i/>
          <w:color w:val="000000"/>
          <w:sz w:val="24"/>
          <w:szCs w:val="24"/>
          <w:lang w:eastAsia="lv-LV"/>
        </w:rPr>
        <w:t>Datu avots: IZM</w:t>
      </w:r>
    </w:p>
    <w:p w14:paraId="4BA9D347" w14:textId="77777777" w:rsidR="00620092" w:rsidRDefault="00620092"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p>
    <w:p w14:paraId="0009D4E4" w14:textId="195C2672" w:rsidR="00620092" w:rsidRDefault="00620092"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p>
    <w:p w14:paraId="1F46D5B7" w14:textId="30506216" w:rsidR="003D49D4" w:rsidRPr="009E23E6" w:rsidRDefault="00525A9D"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Lai nodrošinātu tehnoloģiju pārnesi, </w:t>
      </w:r>
      <w:r w:rsidR="007208E2">
        <w:rPr>
          <w:rFonts w:ascii="Times New Roman" w:hAnsi="Times New Roman"/>
          <w:sz w:val="24"/>
          <w:szCs w:val="24"/>
          <w:lang w:val="lv-LV"/>
        </w:rPr>
        <w:t>infrastruktūra, kas tiks veidota nosauktajās zinātniskajās institūcijās</w:t>
      </w:r>
      <w:r w:rsidR="00995E9E">
        <w:rPr>
          <w:rFonts w:ascii="Times New Roman" w:hAnsi="Times New Roman"/>
          <w:sz w:val="24"/>
          <w:szCs w:val="24"/>
          <w:lang w:val="lv-LV"/>
        </w:rPr>
        <w:t>,</w:t>
      </w:r>
      <w:r w:rsidR="007208E2">
        <w:rPr>
          <w:rFonts w:ascii="Times New Roman" w:hAnsi="Times New Roman"/>
          <w:sz w:val="24"/>
          <w:szCs w:val="24"/>
          <w:lang w:val="lv-LV"/>
        </w:rPr>
        <w:t xml:space="preserve"> ietvers tehnoloģiju pārneses elementus, piemēram</w:t>
      </w:r>
      <w:r w:rsidR="00995E9E">
        <w:rPr>
          <w:rFonts w:ascii="Times New Roman" w:hAnsi="Times New Roman"/>
          <w:sz w:val="24"/>
          <w:szCs w:val="24"/>
          <w:lang w:val="lv-LV"/>
        </w:rPr>
        <w:t>,</w:t>
      </w:r>
      <w:r w:rsidR="007208E2">
        <w:rPr>
          <w:rFonts w:ascii="Times New Roman" w:hAnsi="Times New Roman"/>
          <w:sz w:val="24"/>
          <w:szCs w:val="24"/>
          <w:lang w:val="lv-LV"/>
        </w:rPr>
        <w:t xml:space="preserve"> atvērtās laboratorijas. Ekonomikas ministrijas kompetences centri tiks izvietoti zinātniskajos institūtos un universitātēs. </w:t>
      </w:r>
      <w:r w:rsidR="003D49D4" w:rsidRPr="009E23E6">
        <w:rPr>
          <w:rFonts w:ascii="Times New Roman" w:hAnsi="Times New Roman"/>
          <w:sz w:val="24"/>
          <w:szCs w:val="24"/>
          <w:lang w:val="lv-LV"/>
        </w:rPr>
        <w:t xml:space="preserve">Lai </w:t>
      </w:r>
      <w:r w:rsidR="007F152D">
        <w:rPr>
          <w:rFonts w:ascii="Times New Roman" w:hAnsi="Times New Roman"/>
          <w:sz w:val="24"/>
          <w:szCs w:val="24"/>
          <w:lang w:val="lv-LV"/>
        </w:rPr>
        <w:t xml:space="preserve">zinātniskās institūcijas </w:t>
      </w:r>
      <w:r w:rsidR="009E23E6" w:rsidRPr="009E23E6">
        <w:rPr>
          <w:rFonts w:ascii="Times New Roman" w:hAnsi="Times New Roman"/>
          <w:sz w:val="24"/>
          <w:szCs w:val="24"/>
          <w:lang w:val="lv-LV"/>
        </w:rPr>
        <w:t xml:space="preserve">pētniecības infrastruktūras projektu ietvaros </w:t>
      </w:r>
      <w:r w:rsidR="003D49D4" w:rsidRPr="009E23E6">
        <w:rPr>
          <w:rFonts w:ascii="Times New Roman" w:hAnsi="Times New Roman"/>
          <w:sz w:val="24"/>
          <w:szCs w:val="24"/>
          <w:lang w:val="lv-LV"/>
        </w:rPr>
        <w:t xml:space="preserve">nodrošinātu </w:t>
      </w:r>
      <w:r w:rsidR="009E23E6" w:rsidRPr="009E23E6">
        <w:rPr>
          <w:rFonts w:ascii="Times New Roman" w:hAnsi="Times New Roman"/>
          <w:sz w:val="24"/>
          <w:szCs w:val="24"/>
          <w:lang w:val="lv-LV"/>
        </w:rPr>
        <w:t>kvalificētu speciālistu piesaisti</w:t>
      </w:r>
      <w:r w:rsidR="004A2214">
        <w:rPr>
          <w:rFonts w:ascii="Times New Roman" w:hAnsi="Times New Roman"/>
          <w:sz w:val="24"/>
          <w:szCs w:val="24"/>
          <w:lang w:val="lv-LV"/>
        </w:rPr>
        <w:t>,</w:t>
      </w:r>
      <w:r w:rsidR="009E23E6" w:rsidRPr="009E23E6">
        <w:rPr>
          <w:rFonts w:ascii="Times New Roman" w:hAnsi="Times New Roman"/>
          <w:sz w:val="24"/>
          <w:szCs w:val="24"/>
          <w:lang w:val="lv-LV"/>
        </w:rPr>
        <w:t xml:space="preserve"> projekta ietvaros </w:t>
      </w:r>
      <w:r w:rsidR="003D49D4" w:rsidRPr="009E23E6">
        <w:rPr>
          <w:rFonts w:ascii="Times New Roman" w:hAnsi="Times New Roman"/>
          <w:sz w:val="24"/>
          <w:szCs w:val="24"/>
          <w:lang w:val="lv-LV"/>
        </w:rPr>
        <w:t>veicamo darbību</w:t>
      </w:r>
      <w:r w:rsidR="009E23E6" w:rsidRPr="009E23E6">
        <w:rPr>
          <w:rFonts w:ascii="Times New Roman" w:hAnsi="Times New Roman"/>
          <w:sz w:val="24"/>
          <w:szCs w:val="24"/>
          <w:lang w:val="lv-LV"/>
        </w:rPr>
        <w:t xml:space="preserve"> un aktivitāšu</w:t>
      </w:r>
      <w:r w:rsidR="003D49D4" w:rsidRPr="009E23E6">
        <w:rPr>
          <w:rFonts w:ascii="Times New Roman" w:hAnsi="Times New Roman"/>
          <w:sz w:val="24"/>
          <w:szCs w:val="24"/>
          <w:lang w:val="lv-LV"/>
        </w:rPr>
        <w:t xml:space="preserve"> plāno</w:t>
      </w:r>
      <w:r w:rsidR="009E23E6" w:rsidRPr="009E23E6">
        <w:rPr>
          <w:rFonts w:ascii="Times New Roman" w:hAnsi="Times New Roman"/>
          <w:sz w:val="24"/>
          <w:szCs w:val="24"/>
          <w:lang w:val="lv-LV"/>
        </w:rPr>
        <w:t xml:space="preserve">šanai, ieviešanai, koordinēšanai, </w:t>
      </w:r>
      <w:r w:rsidR="003D49D4" w:rsidRPr="009E23E6">
        <w:rPr>
          <w:rFonts w:ascii="Times New Roman" w:hAnsi="Times New Roman"/>
          <w:sz w:val="24"/>
          <w:szCs w:val="24"/>
          <w:lang w:val="lv-LV"/>
        </w:rPr>
        <w:t xml:space="preserve">plānoto </w:t>
      </w:r>
      <w:r w:rsidR="003D49D4" w:rsidRPr="009E23E6">
        <w:rPr>
          <w:rFonts w:ascii="Times New Roman" w:hAnsi="Times New Roman"/>
          <w:sz w:val="24"/>
          <w:szCs w:val="24"/>
          <w:lang w:val="lv-LV"/>
        </w:rPr>
        <w:lastRenderedPageBreak/>
        <w:t>iepirkumu organizēšan</w:t>
      </w:r>
      <w:r w:rsidR="009E23E6" w:rsidRPr="009E23E6">
        <w:rPr>
          <w:rFonts w:ascii="Times New Roman" w:hAnsi="Times New Roman"/>
          <w:sz w:val="24"/>
          <w:szCs w:val="24"/>
          <w:lang w:val="lv-LV"/>
        </w:rPr>
        <w:t>ai, kā arī kontrolei,</w:t>
      </w:r>
      <w:r w:rsidR="003D49D4" w:rsidRPr="009E23E6">
        <w:rPr>
          <w:rFonts w:ascii="Times New Roman" w:hAnsi="Times New Roman"/>
          <w:sz w:val="24"/>
          <w:szCs w:val="24"/>
          <w:lang w:val="lv-LV"/>
        </w:rPr>
        <w:t xml:space="preserve"> </w:t>
      </w:r>
      <w:r w:rsidR="009E23E6" w:rsidRPr="009E23E6">
        <w:rPr>
          <w:rFonts w:ascii="Times New Roman" w:hAnsi="Times New Roman"/>
          <w:sz w:val="24"/>
          <w:szCs w:val="24"/>
          <w:lang w:val="lv-LV"/>
        </w:rPr>
        <w:t>ES struktūrfondu 2014.</w:t>
      </w:r>
      <w:r w:rsidR="004A2214" w:rsidRPr="004A2214">
        <w:rPr>
          <w:rFonts w:ascii="Times New Roman" w:hAnsi="Times New Roman"/>
          <w:sz w:val="24"/>
          <w:szCs w:val="24"/>
          <w:lang w:val="lv-LV"/>
        </w:rPr>
        <w:t>–</w:t>
      </w:r>
      <w:r w:rsidR="009E23E6" w:rsidRPr="009E23E6">
        <w:rPr>
          <w:rFonts w:ascii="Times New Roman" w:hAnsi="Times New Roman"/>
          <w:sz w:val="24"/>
          <w:szCs w:val="24"/>
          <w:lang w:val="lv-LV"/>
        </w:rPr>
        <w:t>2020.</w:t>
      </w:r>
      <w:r w:rsidR="00F7697B">
        <w:rPr>
          <w:rFonts w:ascii="Times New Roman" w:hAnsi="Times New Roman"/>
          <w:sz w:val="24"/>
          <w:szCs w:val="24"/>
          <w:lang w:val="lv-LV"/>
        </w:rPr>
        <w:t> </w:t>
      </w:r>
      <w:r w:rsidR="009E23E6" w:rsidRPr="009E23E6">
        <w:rPr>
          <w:rFonts w:ascii="Times New Roman" w:hAnsi="Times New Roman"/>
          <w:sz w:val="24"/>
          <w:szCs w:val="24"/>
          <w:lang w:val="lv-LV"/>
        </w:rPr>
        <w:t xml:space="preserve">gada plānošanas periodā </w:t>
      </w:r>
      <w:r w:rsidR="003D49D4" w:rsidRPr="009E23E6">
        <w:rPr>
          <w:rFonts w:ascii="Times New Roman" w:hAnsi="Times New Roman"/>
          <w:sz w:val="24"/>
          <w:szCs w:val="24"/>
          <w:lang w:val="lv-LV"/>
        </w:rPr>
        <w:t xml:space="preserve">kā projekta attiecināmās izmaksas ir paredzētas </w:t>
      </w:r>
      <w:r w:rsidR="00900B26" w:rsidRPr="009E23E6">
        <w:rPr>
          <w:rFonts w:ascii="Times New Roman" w:hAnsi="Times New Roman"/>
          <w:sz w:val="24"/>
          <w:szCs w:val="24"/>
          <w:lang w:val="lv-LV"/>
        </w:rPr>
        <w:t>projektu vadības personāla</w:t>
      </w:r>
      <w:r w:rsidR="009E23E6" w:rsidRPr="009E23E6">
        <w:rPr>
          <w:rFonts w:ascii="Times New Roman" w:hAnsi="Times New Roman"/>
          <w:sz w:val="24"/>
          <w:szCs w:val="24"/>
          <w:lang w:val="lv-LV"/>
        </w:rPr>
        <w:t xml:space="preserve"> </w:t>
      </w:r>
      <w:r w:rsidR="003D49D4" w:rsidRPr="009E23E6">
        <w:rPr>
          <w:rFonts w:ascii="Times New Roman" w:hAnsi="Times New Roman"/>
          <w:sz w:val="24"/>
          <w:szCs w:val="24"/>
          <w:lang w:val="lv-LV"/>
        </w:rPr>
        <w:t xml:space="preserve">atlīdzības </w:t>
      </w:r>
      <w:r w:rsidR="00900B26" w:rsidRPr="009E23E6">
        <w:rPr>
          <w:rFonts w:ascii="Times New Roman" w:hAnsi="Times New Roman"/>
          <w:sz w:val="24"/>
          <w:szCs w:val="24"/>
          <w:lang w:val="lv-LV"/>
        </w:rPr>
        <w:t>izmaksas</w:t>
      </w:r>
      <w:r w:rsidR="00900B26" w:rsidRPr="009E23E6">
        <w:rPr>
          <w:rFonts w:ascii="Times New Roman" w:hAnsi="Times New Roman"/>
          <w:sz w:val="24"/>
          <w:szCs w:val="24"/>
          <w:vertAlign w:val="superscript"/>
          <w:lang w:val="lv-LV"/>
        </w:rPr>
        <w:footnoteReference w:id="22"/>
      </w:r>
      <w:r w:rsidR="009E23E6" w:rsidRPr="009E23E6">
        <w:rPr>
          <w:rFonts w:ascii="Times New Roman" w:hAnsi="Times New Roman"/>
          <w:sz w:val="24"/>
          <w:szCs w:val="24"/>
          <w:lang w:val="lv-LV"/>
        </w:rPr>
        <w:t>. Plānots, ka v</w:t>
      </w:r>
      <w:r w:rsidR="003D49D4" w:rsidRPr="009E23E6">
        <w:rPr>
          <w:rFonts w:ascii="Times New Roman" w:hAnsi="Times New Roman"/>
          <w:sz w:val="24"/>
          <w:szCs w:val="24"/>
          <w:lang w:val="lv-LV"/>
        </w:rPr>
        <w:t xml:space="preserve">isbiežāk projektu vadībā </w:t>
      </w:r>
      <w:r w:rsidR="009E23E6" w:rsidRPr="009E23E6">
        <w:rPr>
          <w:rFonts w:ascii="Times New Roman" w:hAnsi="Times New Roman"/>
          <w:sz w:val="24"/>
          <w:szCs w:val="24"/>
          <w:lang w:val="lv-LV"/>
        </w:rPr>
        <w:t xml:space="preserve">varētu tiks </w:t>
      </w:r>
      <w:r w:rsidR="003D49D4" w:rsidRPr="009E23E6">
        <w:rPr>
          <w:rFonts w:ascii="Times New Roman" w:hAnsi="Times New Roman"/>
          <w:sz w:val="24"/>
          <w:szCs w:val="24"/>
          <w:lang w:val="lv-LV"/>
        </w:rPr>
        <w:t>iesaistīts projektu vadītājs, projektu vadītāja asistents, iepirkuma speciālists, grāmatvedis, finansists un dažos gadījumos arī būveksperts.</w:t>
      </w:r>
    </w:p>
    <w:p w14:paraId="5DD46149" w14:textId="77777777" w:rsidR="00525A9D" w:rsidRDefault="007F152D" w:rsidP="00E7642A">
      <w:pPr>
        <w:pStyle w:val="Header"/>
        <w:tabs>
          <w:tab w:val="clear" w:pos="4320"/>
          <w:tab w:val="clear" w:pos="8640"/>
          <w:tab w:val="center" w:pos="709"/>
        </w:tabs>
        <w:spacing w:after="0" w:line="240" w:lineRule="auto"/>
        <w:ind w:firstLine="567"/>
        <w:jc w:val="both"/>
        <w:rPr>
          <w:rFonts w:ascii="Times New Roman" w:eastAsia="SimSun" w:hAnsi="Times New Roman"/>
          <w:bCs/>
          <w:sz w:val="24"/>
          <w:szCs w:val="24"/>
          <w:lang w:val="lv-LV" w:eastAsia="zh-CN" w:bidi="lo-LA"/>
        </w:rPr>
      </w:pPr>
      <w:r w:rsidRPr="00982ADC">
        <w:rPr>
          <w:rFonts w:ascii="Times New Roman" w:hAnsi="Times New Roman"/>
          <w:sz w:val="24"/>
          <w:szCs w:val="24"/>
          <w:lang w:val="lv-LV"/>
        </w:rPr>
        <w:t xml:space="preserve">Savukārt, </w:t>
      </w:r>
      <w:r w:rsidR="00982ADC">
        <w:rPr>
          <w:rFonts w:ascii="Times New Roman" w:hAnsi="Times New Roman"/>
          <w:sz w:val="24"/>
          <w:szCs w:val="24"/>
          <w:lang w:val="lv-LV"/>
        </w:rPr>
        <w:t>lai sekmētu</w:t>
      </w:r>
      <w:r w:rsidR="00982ADC" w:rsidRPr="00982ADC">
        <w:rPr>
          <w:rFonts w:ascii="Times New Roman" w:hAnsi="Times New Roman"/>
          <w:sz w:val="24"/>
          <w:szCs w:val="24"/>
          <w:lang w:val="lv-LV"/>
        </w:rPr>
        <w:t xml:space="preserve"> </w:t>
      </w:r>
      <w:r w:rsidR="00982ADC">
        <w:rPr>
          <w:rFonts w:ascii="Times New Roman" w:hAnsi="Times New Roman"/>
          <w:sz w:val="24"/>
          <w:szCs w:val="24"/>
          <w:lang w:val="lv-LV"/>
        </w:rPr>
        <w:t>īstermiņa un</w:t>
      </w:r>
      <w:r w:rsidR="00982ADC" w:rsidRPr="00206CEB">
        <w:rPr>
          <w:rFonts w:ascii="Times New Roman" w:hAnsi="Times New Roman"/>
          <w:sz w:val="24"/>
          <w:szCs w:val="24"/>
          <w:lang w:val="lv-LV"/>
        </w:rPr>
        <w:t xml:space="preserve"> vidēja termiņa </w:t>
      </w:r>
      <w:r w:rsidR="004A2214" w:rsidRPr="00FE416B">
        <w:rPr>
          <w:rFonts w:ascii="Times New Roman" w:hAnsi="Times New Roman"/>
          <w:sz w:val="24"/>
          <w:szCs w:val="24"/>
          <w:lang w:val="lv-LV"/>
        </w:rPr>
        <w:t xml:space="preserve">zinātnes, tehnoloģiju </w:t>
      </w:r>
      <w:r w:rsidR="004A2214">
        <w:rPr>
          <w:rFonts w:ascii="Times New Roman" w:hAnsi="Times New Roman"/>
          <w:sz w:val="24"/>
          <w:szCs w:val="24"/>
          <w:lang w:val="lv-LV"/>
        </w:rPr>
        <w:t xml:space="preserve">attīstības </w:t>
      </w:r>
      <w:r w:rsidR="004A2214" w:rsidRPr="00FE416B">
        <w:rPr>
          <w:rFonts w:ascii="Times New Roman" w:hAnsi="Times New Roman"/>
          <w:sz w:val="24"/>
          <w:szCs w:val="24"/>
          <w:lang w:val="lv-LV"/>
        </w:rPr>
        <w:t xml:space="preserve">un inovāciju </w:t>
      </w:r>
      <w:r w:rsidR="00982ADC" w:rsidRPr="00206CEB">
        <w:rPr>
          <w:rFonts w:ascii="Times New Roman" w:hAnsi="Times New Roman"/>
          <w:sz w:val="24"/>
          <w:szCs w:val="24"/>
          <w:lang w:val="lv-LV"/>
        </w:rPr>
        <w:t>analītiskās kapacitātes veidošanu valstī</w:t>
      </w:r>
      <w:r w:rsidR="00982ADC">
        <w:rPr>
          <w:rFonts w:ascii="Times New Roman" w:hAnsi="Times New Roman"/>
          <w:sz w:val="24"/>
          <w:szCs w:val="24"/>
          <w:lang w:val="lv-LV"/>
        </w:rPr>
        <w:t xml:space="preserve">, </w:t>
      </w:r>
      <w:r w:rsidRPr="00982ADC">
        <w:rPr>
          <w:rFonts w:ascii="Times New Roman" w:hAnsi="Times New Roman"/>
          <w:sz w:val="24"/>
          <w:szCs w:val="24"/>
          <w:lang w:val="lv-LV"/>
        </w:rPr>
        <w:t xml:space="preserve">Latvijas </w:t>
      </w:r>
      <w:r w:rsidR="004A2214">
        <w:rPr>
          <w:rFonts w:ascii="Times New Roman" w:hAnsi="Times New Roman"/>
          <w:sz w:val="24"/>
          <w:szCs w:val="24"/>
          <w:lang w:val="lv-LV"/>
        </w:rPr>
        <w:t>v</w:t>
      </w:r>
      <w:r w:rsidRPr="00982ADC">
        <w:rPr>
          <w:rFonts w:ascii="Times New Roman" w:hAnsi="Times New Roman"/>
          <w:sz w:val="24"/>
          <w:szCs w:val="24"/>
          <w:lang w:val="lv-LV"/>
        </w:rPr>
        <w:t>iedās specializācijas stratēģijas monitoringa sistēmas</w:t>
      </w:r>
      <w:r w:rsidR="00E80589">
        <w:rPr>
          <w:rStyle w:val="FootnoteReference"/>
          <w:rFonts w:ascii="Times New Roman" w:hAnsi="Times New Roman"/>
          <w:sz w:val="24"/>
          <w:szCs w:val="24"/>
          <w:lang w:val="lv-LV"/>
        </w:rPr>
        <w:footnoteReference w:id="23"/>
      </w:r>
      <w:r w:rsidRPr="00982ADC">
        <w:rPr>
          <w:rFonts w:ascii="Times New Roman" w:hAnsi="Times New Roman"/>
          <w:sz w:val="24"/>
          <w:szCs w:val="24"/>
          <w:lang w:val="lv-LV"/>
        </w:rPr>
        <w:t xml:space="preserve"> ietvaros plānots </w:t>
      </w:r>
      <w:r w:rsidR="00982ADC">
        <w:rPr>
          <w:rFonts w:ascii="Times New Roman" w:hAnsi="Times New Roman"/>
          <w:sz w:val="24"/>
          <w:szCs w:val="24"/>
          <w:lang w:val="lv-LV"/>
        </w:rPr>
        <w:t xml:space="preserve">attīstīt </w:t>
      </w:r>
      <w:r w:rsidRPr="00982ADC">
        <w:rPr>
          <w:rFonts w:ascii="Times New Roman" w:hAnsi="Times New Roman"/>
          <w:sz w:val="24"/>
          <w:szCs w:val="24"/>
          <w:lang w:val="lv-LV"/>
        </w:rPr>
        <w:t xml:space="preserve">un stiprināt </w:t>
      </w:r>
      <w:r w:rsidR="00E80589" w:rsidRPr="00982ADC">
        <w:rPr>
          <w:rFonts w:ascii="Times New Roman" w:hAnsi="Times New Roman"/>
          <w:sz w:val="24"/>
          <w:szCs w:val="24"/>
          <w:lang w:val="lv-LV"/>
        </w:rPr>
        <w:t>Latvijas viedās specializācijas stratēģijas programmu finansējošajās organizācijās</w:t>
      </w:r>
      <w:r w:rsidR="00E80589">
        <w:rPr>
          <w:rFonts w:ascii="Times New Roman" w:hAnsi="Times New Roman"/>
          <w:sz w:val="24"/>
          <w:szCs w:val="24"/>
          <w:lang w:val="lv-LV"/>
        </w:rPr>
        <w:t xml:space="preserve"> </w:t>
      </w:r>
      <w:r w:rsidRPr="00982ADC">
        <w:rPr>
          <w:rFonts w:ascii="Times New Roman" w:hAnsi="Times New Roman"/>
          <w:sz w:val="24"/>
          <w:szCs w:val="24"/>
          <w:lang w:val="lv-LV"/>
        </w:rPr>
        <w:t>pētniecības, attīstības un inovāciju pārvaldības cilvēkresursu zināšanu bāzi un analītisko kapacitāti</w:t>
      </w:r>
      <w:r w:rsidR="00E80589">
        <w:rPr>
          <w:rFonts w:ascii="Times New Roman" w:hAnsi="Times New Roman"/>
          <w:sz w:val="24"/>
          <w:szCs w:val="24"/>
          <w:lang w:val="lv-LV"/>
        </w:rPr>
        <w:t xml:space="preserve"> par </w:t>
      </w:r>
      <w:r w:rsidR="00982ADC" w:rsidRPr="00FE416B">
        <w:rPr>
          <w:rFonts w:ascii="Times New Roman" w:hAnsi="Times New Roman"/>
          <w:sz w:val="24"/>
          <w:szCs w:val="24"/>
          <w:lang w:val="lv-LV"/>
        </w:rPr>
        <w:t>zinātnes, tehnoloģiju un inovāciju politikas publiskās pārvaldības teorētiskajiem un empīriskajiem konceptiem</w:t>
      </w:r>
      <w:r w:rsidR="00982ADC" w:rsidRPr="00982ADC">
        <w:rPr>
          <w:rFonts w:ascii="Times New Roman" w:hAnsi="Times New Roman"/>
          <w:sz w:val="24"/>
          <w:szCs w:val="24"/>
          <w:lang w:val="lv-LV"/>
        </w:rPr>
        <w:t>.</w:t>
      </w:r>
      <w:r w:rsidR="00982ADC">
        <w:rPr>
          <w:rFonts w:ascii="Times New Roman" w:hAnsi="Times New Roman"/>
          <w:sz w:val="24"/>
          <w:szCs w:val="24"/>
          <w:lang w:val="lv-LV"/>
        </w:rPr>
        <w:t xml:space="preserve"> </w:t>
      </w:r>
      <w:r w:rsidR="00982ADC" w:rsidRPr="00982ADC">
        <w:rPr>
          <w:rFonts w:ascii="Times New Roman" w:hAnsi="Times New Roman"/>
          <w:sz w:val="24"/>
          <w:szCs w:val="24"/>
          <w:lang w:val="lv-LV"/>
        </w:rPr>
        <w:t xml:space="preserve">Ilgtermiņa </w:t>
      </w:r>
      <w:r w:rsidR="00982ADC">
        <w:rPr>
          <w:rFonts w:ascii="Times New Roman" w:hAnsi="Times New Roman"/>
          <w:sz w:val="24"/>
          <w:szCs w:val="24"/>
          <w:lang w:val="lv-LV"/>
        </w:rPr>
        <w:t xml:space="preserve">pētniecības, attīstības un </w:t>
      </w:r>
      <w:r w:rsidR="00982ADC" w:rsidRPr="00E80589">
        <w:rPr>
          <w:rFonts w:ascii="Times New Roman" w:eastAsia="SimSun" w:hAnsi="Times New Roman"/>
          <w:bCs/>
          <w:sz w:val="24"/>
          <w:szCs w:val="24"/>
          <w:lang w:val="lv-LV" w:eastAsia="zh-CN" w:bidi="lo-LA"/>
        </w:rPr>
        <w:t xml:space="preserve">inovāciju analītiskās kapacitātes nodrošināšanai plānots izveidot </w:t>
      </w:r>
      <w:r w:rsidR="00982ADC" w:rsidRPr="00982ADC">
        <w:rPr>
          <w:rFonts w:ascii="Times New Roman" w:eastAsia="SimSun" w:hAnsi="Times New Roman"/>
          <w:bCs/>
          <w:sz w:val="24"/>
          <w:szCs w:val="24"/>
          <w:lang w:val="lv-LV" w:eastAsia="zh-CN" w:bidi="lo-LA"/>
        </w:rPr>
        <w:t xml:space="preserve">starptautiskas starpdisciplināras maģistra un doktora </w:t>
      </w:r>
      <w:r w:rsidR="00982ADC">
        <w:rPr>
          <w:rFonts w:ascii="Times New Roman" w:eastAsia="SimSun" w:hAnsi="Times New Roman"/>
          <w:bCs/>
          <w:sz w:val="24"/>
          <w:szCs w:val="24"/>
          <w:lang w:val="lv-LV" w:eastAsia="zh-CN" w:bidi="lo-LA"/>
        </w:rPr>
        <w:t>pētniecības, attīstības un inovāciju</w:t>
      </w:r>
      <w:r w:rsidR="00982ADC" w:rsidRPr="00982ADC">
        <w:rPr>
          <w:rFonts w:ascii="Times New Roman" w:eastAsia="SimSun" w:hAnsi="Times New Roman"/>
          <w:bCs/>
          <w:sz w:val="24"/>
          <w:szCs w:val="24"/>
          <w:lang w:val="lv-LV" w:eastAsia="zh-CN" w:bidi="lo-LA"/>
        </w:rPr>
        <w:t xml:space="preserve"> pārvaldības studiju programmas angļu valodā</w:t>
      </w:r>
      <w:r w:rsidR="00982ADC">
        <w:rPr>
          <w:rFonts w:ascii="Times New Roman" w:eastAsia="SimSun" w:hAnsi="Times New Roman"/>
          <w:bCs/>
          <w:sz w:val="24"/>
          <w:szCs w:val="24"/>
          <w:lang w:val="lv-LV" w:eastAsia="zh-CN" w:bidi="lo-LA"/>
        </w:rPr>
        <w:t>.</w:t>
      </w:r>
      <w:r w:rsidR="00525A9D">
        <w:rPr>
          <w:rFonts w:ascii="Times New Roman" w:eastAsia="SimSun" w:hAnsi="Times New Roman"/>
          <w:bCs/>
          <w:sz w:val="24"/>
          <w:szCs w:val="24"/>
          <w:lang w:val="lv-LV" w:eastAsia="zh-CN" w:bidi="lo-LA"/>
        </w:rPr>
        <w:t xml:space="preserve"> </w:t>
      </w:r>
    </w:p>
    <w:p w14:paraId="7B818167" w14:textId="2E43418B" w:rsidR="00867AC1" w:rsidRPr="00E9323C" w:rsidRDefault="00525A9D"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r>
        <w:rPr>
          <w:rFonts w:ascii="Times New Roman" w:eastAsia="SimSun" w:hAnsi="Times New Roman"/>
          <w:bCs/>
          <w:sz w:val="24"/>
          <w:szCs w:val="24"/>
          <w:lang w:val="lv-LV" w:eastAsia="zh-CN" w:bidi="lo-LA"/>
        </w:rPr>
        <w:t>L</w:t>
      </w:r>
      <w:r w:rsidR="00E80589">
        <w:rPr>
          <w:rFonts w:ascii="Times New Roman" w:eastAsia="SimSun" w:hAnsi="Times New Roman"/>
          <w:bCs/>
          <w:sz w:val="24"/>
          <w:szCs w:val="24"/>
          <w:lang w:val="lv-LV" w:eastAsia="zh-CN" w:bidi="lo-LA"/>
        </w:rPr>
        <w:t xml:space="preserve">ai sekmētu </w:t>
      </w:r>
      <w:r w:rsidR="00E80589">
        <w:rPr>
          <w:rFonts w:ascii="Times New Roman" w:hAnsi="Times New Roman"/>
          <w:sz w:val="24"/>
          <w:szCs w:val="24"/>
          <w:lang w:val="lv-LV"/>
        </w:rPr>
        <w:t>pētniecības, attīstības un inovāciju</w:t>
      </w:r>
      <w:r w:rsidR="00E80589" w:rsidRPr="00206CEB">
        <w:rPr>
          <w:rFonts w:ascii="Times New Roman" w:hAnsi="Times New Roman"/>
          <w:sz w:val="24"/>
          <w:szCs w:val="24"/>
          <w:lang w:val="lv-LV"/>
        </w:rPr>
        <w:t xml:space="preserve"> analītiskās kapacitātes veidošanu</w:t>
      </w:r>
      <w:r w:rsidR="00E80589">
        <w:rPr>
          <w:rFonts w:ascii="Times New Roman" w:hAnsi="Times New Roman"/>
          <w:sz w:val="24"/>
          <w:szCs w:val="24"/>
          <w:lang w:val="lv-LV"/>
        </w:rPr>
        <w:t>, atbalstu</w:t>
      </w:r>
      <w:r w:rsidR="00E80589" w:rsidRPr="00206CEB">
        <w:rPr>
          <w:rFonts w:ascii="Times New Roman" w:hAnsi="Times New Roman"/>
          <w:sz w:val="24"/>
          <w:szCs w:val="24"/>
          <w:lang w:val="lv-LV"/>
        </w:rPr>
        <w:t xml:space="preserve"> </w:t>
      </w:r>
      <w:r w:rsidR="00E80589">
        <w:rPr>
          <w:rFonts w:ascii="Times New Roman" w:eastAsia="SimSun" w:hAnsi="Times New Roman"/>
          <w:bCs/>
          <w:sz w:val="24"/>
          <w:szCs w:val="24"/>
          <w:lang w:val="lv-LV" w:eastAsia="zh-CN" w:bidi="lo-LA"/>
        </w:rPr>
        <w:t xml:space="preserve">plānots </w:t>
      </w:r>
      <w:r w:rsidR="00982ADC">
        <w:rPr>
          <w:rFonts w:ascii="Times New Roman" w:eastAsia="SimSun" w:hAnsi="Times New Roman"/>
          <w:bCs/>
          <w:sz w:val="24"/>
          <w:szCs w:val="24"/>
          <w:lang w:val="lv-LV" w:eastAsia="zh-CN" w:bidi="lo-LA"/>
        </w:rPr>
        <w:t xml:space="preserve">sniegt </w:t>
      </w:r>
      <w:r w:rsidR="00982ADC" w:rsidRPr="00982ADC">
        <w:rPr>
          <w:rFonts w:ascii="Times New Roman" w:eastAsia="SimSun" w:hAnsi="Times New Roman"/>
          <w:bCs/>
          <w:sz w:val="24"/>
          <w:szCs w:val="24"/>
          <w:lang w:val="lv-LV" w:eastAsia="zh-CN" w:bidi="lo-LA"/>
        </w:rPr>
        <w:t>inovācijas procesu pētījumi</w:t>
      </w:r>
      <w:r w:rsidR="00982ADC">
        <w:rPr>
          <w:rFonts w:ascii="Times New Roman" w:eastAsia="SimSun" w:hAnsi="Times New Roman"/>
          <w:bCs/>
          <w:sz w:val="24"/>
          <w:szCs w:val="24"/>
          <w:lang w:val="lv-LV" w:eastAsia="zh-CN" w:bidi="lo-LA"/>
        </w:rPr>
        <w:t>em, kuru ietvaros tiktu izveidota</w:t>
      </w:r>
      <w:r w:rsidR="00982ADC" w:rsidRPr="00982ADC">
        <w:rPr>
          <w:rFonts w:ascii="Times New Roman" w:eastAsia="SimSun" w:hAnsi="Times New Roman"/>
          <w:bCs/>
          <w:sz w:val="24"/>
          <w:szCs w:val="24"/>
          <w:lang w:val="lv-LV" w:eastAsia="zh-CN" w:bidi="lo-LA"/>
        </w:rPr>
        <w:t xml:space="preserve"> zināšanu bāze</w:t>
      </w:r>
      <w:r w:rsidR="00982ADC" w:rsidRPr="00E80589">
        <w:rPr>
          <w:rFonts w:ascii="Times New Roman" w:eastAsia="SimSun" w:hAnsi="Times New Roman"/>
          <w:bCs/>
          <w:sz w:val="24"/>
          <w:szCs w:val="24"/>
          <w:lang w:val="lv-LV" w:eastAsia="zh-CN" w:bidi="lo-LA"/>
        </w:rPr>
        <w:t xml:space="preserve"> par</w:t>
      </w:r>
      <w:r w:rsidR="00982ADC" w:rsidRPr="00982ADC">
        <w:rPr>
          <w:rFonts w:ascii="Times New Roman" w:eastAsia="SimSun" w:hAnsi="Times New Roman"/>
          <w:bCs/>
          <w:sz w:val="24"/>
          <w:szCs w:val="24"/>
          <w:lang w:val="lv-LV" w:eastAsia="zh-CN" w:bidi="lo-LA"/>
        </w:rPr>
        <w:t xml:space="preserve"> inovāciju procesiem Latvijā</w:t>
      </w:r>
      <w:r w:rsidR="00E80589">
        <w:rPr>
          <w:rFonts w:ascii="Times New Roman" w:eastAsia="SimSun" w:hAnsi="Times New Roman"/>
          <w:bCs/>
          <w:sz w:val="24"/>
          <w:szCs w:val="24"/>
          <w:lang w:val="lv-LV" w:eastAsia="zh-CN" w:bidi="lo-LA"/>
        </w:rPr>
        <w:t>.</w:t>
      </w:r>
      <w:r w:rsidR="00982ADC" w:rsidRPr="00982ADC">
        <w:rPr>
          <w:rFonts w:ascii="Times New Roman" w:eastAsia="SimSun" w:hAnsi="Times New Roman"/>
          <w:bCs/>
          <w:sz w:val="24"/>
          <w:szCs w:val="24"/>
          <w:lang w:val="lv-LV" w:eastAsia="zh-CN" w:bidi="lo-LA"/>
        </w:rPr>
        <w:t xml:space="preserve"> </w:t>
      </w:r>
      <w:r w:rsidR="006300F5" w:rsidRPr="00E9323C">
        <w:rPr>
          <w:rFonts w:ascii="Times New Roman" w:hAnsi="Times New Roman"/>
          <w:sz w:val="24"/>
          <w:szCs w:val="24"/>
          <w:lang w:val="lv-LV"/>
        </w:rPr>
        <w:t xml:space="preserve">Detalizēta informācija par pētniecības un attīstības atbalsta instrumentu sasaisti norādīta informatīvā ziņojuma </w:t>
      </w:r>
      <w:r w:rsidR="00B55BBD">
        <w:rPr>
          <w:rFonts w:ascii="Times New Roman" w:hAnsi="Times New Roman"/>
          <w:sz w:val="24"/>
          <w:szCs w:val="24"/>
          <w:lang w:val="lv-LV"/>
        </w:rPr>
        <w:t>7</w:t>
      </w:r>
      <w:r w:rsidR="006300F5" w:rsidRPr="00E9323C">
        <w:rPr>
          <w:rFonts w:ascii="Times New Roman" w:hAnsi="Times New Roman"/>
          <w:sz w:val="24"/>
          <w:szCs w:val="24"/>
          <w:lang w:val="lv-LV"/>
        </w:rPr>
        <w:t>.</w:t>
      </w:r>
      <w:r w:rsidR="00A36CEB">
        <w:rPr>
          <w:rFonts w:ascii="Times New Roman" w:hAnsi="Times New Roman"/>
          <w:sz w:val="24"/>
          <w:szCs w:val="24"/>
          <w:lang w:val="lv-LV"/>
        </w:rPr>
        <w:t> </w:t>
      </w:r>
      <w:r w:rsidR="006300F5" w:rsidRPr="00E9323C">
        <w:rPr>
          <w:rFonts w:ascii="Times New Roman" w:hAnsi="Times New Roman"/>
          <w:sz w:val="24"/>
          <w:szCs w:val="24"/>
          <w:lang w:val="lv-LV"/>
        </w:rPr>
        <w:t>pielikumā.</w:t>
      </w:r>
    </w:p>
    <w:p w14:paraId="197E576D" w14:textId="77777777" w:rsidR="004E392D" w:rsidRDefault="004E392D" w:rsidP="00E7642A">
      <w:pPr>
        <w:spacing w:after="160" w:line="259" w:lineRule="auto"/>
        <w:ind w:left="0"/>
        <w:jc w:val="left"/>
        <w:rPr>
          <w:rFonts w:ascii="Times New Roman" w:eastAsia="Times New Roman" w:hAnsi="Times New Roman"/>
          <w:b/>
          <w:bCs/>
          <w:sz w:val="24"/>
          <w:szCs w:val="24"/>
          <w:lang w:eastAsia="lv-LV"/>
        </w:rPr>
      </w:pPr>
      <w:r>
        <w:rPr>
          <w:rFonts w:ascii="Times New Roman" w:hAnsi="Times New Roman"/>
          <w:sz w:val="24"/>
          <w:szCs w:val="24"/>
        </w:rPr>
        <w:br w:type="page"/>
      </w:r>
    </w:p>
    <w:p w14:paraId="324E47E7" w14:textId="458EFCA0" w:rsidR="003B0B52" w:rsidRDefault="003523F8" w:rsidP="00E7642A">
      <w:pPr>
        <w:pStyle w:val="Heading1"/>
        <w:numPr>
          <w:ilvl w:val="0"/>
          <w:numId w:val="1"/>
        </w:numPr>
        <w:spacing w:before="360" w:after="120"/>
        <w:ind w:left="357" w:hanging="357"/>
        <w:jc w:val="center"/>
        <w:rPr>
          <w:rFonts w:ascii="Times New Roman" w:hAnsi="Times New Roman"/>
          <w:color w:val="auto"/>
          <w:sz w:val="24"/>
          <w:szCs w:val="24"/>
        </w:rPr>
      </w:pPr>
      <w:bookmarkStart w:id="34" w:name="_Toc458673277"/>
      <w:r w:rsidRPr="003B0B52">
        <w:rPr>
          <w:rFonts w:ascii="Times New Roman" w:hAnsi="Times New Roman"/>
          <w:color w:val="auto"/>
          <w:sz w:val="24"/>
          <w:szCs w:val="24"/>
        </w:rPr>
        <w:lastRenderedPageBreak/>
        <w:t>Cit</w:t>
      </w:r>
      <w:r w:rsidR="003B0B52" w:rsidRPr="003B0B52">
        <w:rPr>
          <w:rFonts w:ascii="Times New Roman" w:hAnsi="Times New Roman"/>
          <w:color w:val="auto"/>
          <w:sz w:val="24"/>
          <w:szCs w:val="24"/>
        </w:rPr>
        <w:t>u</w:t>
      </w:r>
      <w:r w:rsidRPr="003B0B52">
        <w:rPr>
          <w:rFonts w:ascii="Times New Roman" w:hAnsi="Times New Roman"/>
          <w:color w:val="auto"/>
          <w:sz w:val="24"/>
          <w:szCs w:val="24"/>
        </w:rPr>
        <w:t xml:space="preserve"> atbalsta </w:t>
      </w:r>
      <w:r w:rsidR="003B0B52" w:rsidRPr="003B0B52">
        <w:rPr>
          <w:rFonts w:ascii="Times New Roman" w:hAnsi="Times New Roman"/>
          <w:color w:val="auto"/>
          <w:sz w:val="24"/>
          <w:szCs w:val="24"/>
        </w:rPr>
        <w:t xml:space="preserve">programmu līdzšinējie un plānotie ieguldījumi </w:t>
      </w:r>
      <w:r w:rsidRPr="003B0B52">
        <w:rPr>
          <w:rFonts w:ascii="Times New Roman" w:hAnsi="Times New Roman"/>
          <w:color w:val="auto"/>
          <w:sz w:val="24"/>
          <w:szCs w:val="24"/>
        </w:rPr>
        <w:t xml:space="preserve">zinātnes nozaru </w:t>
      </w:r>
      <w:r w:rsidR="003B0B52" w:rsidRPr="003B0B52">
        <w:rPr>
          <w:rFonts w:ascii="Times New Roman" w:hAnsi="Times New Roman"/>
          <w:color w:val="auto"/>
          <w:sz w:val="24"/>
          <w:szCs w:val="24"/>
        </w:rPr>
        <w:t xml:space="preserve">attīstībai </w:t>
      </w:r>
      <w:r w:rsidRPr="003B0B52">
        <w:rPr>
          <w:rFonts w:ascii="Times New Roman" w:hAnsi="Times New Roman"/>
          <w:color w:val="auto"/>
          <w:sz w:val="24"/>
          <w:szCs w:val="24"/>
        </w:rPr>
        <w:t>un sadarbība</w:t>
      </w:r>
      <w:r w:rsidR="003B0B52" w:rsidRPr="003B0B52">
        <w:rPr>
          <w:rFonts w:ascii="Times New Roman" w:hAnsi="Times New Roman"/>
          <w:color w:val="auto"/>
          <w:sz w:val="24"/>
          <w:szCs w:val="24"/>
        </w:rPr>
        <w:t>s veicināšanai</w:t>
      </w:r>
      <w:r w:rsidRPr="003B0B52">
        <w:rPr>
          <w:rFonts w:ascii="Times New Roman" w:hAnsi="Times New Roman"/>
          <w:color w:val="auto"/>
          <w:sz w:val="24"/>
          <w:szCs w:val="24"/>
        </w:rPr>
        <w:t xml:space="preserve"> ar uzņēmējdarbības un augstākās izglītības sektoru</w:t>
      </w:r>
      <w:bookmarkEnd w:id="34"/>
      <w:r w:rsidRPr="003B0B52">
        <w:rPr>
          <w:rFonts w:ascii="Times New Roman" w:hAnsi="Times New Roman"/>
          <w:color w:val="auto"/>
          <w:sz w:val="24"/>
          <w:szCs w:val="24"/>
        </w:rPr>
        <w:t xml:space="preserve"> </w:t>
      </w:r>
    </w:p>
    <w:p w14:paraId="00292996" w14:textId="77D51945" w:rsidR="003B0B52" w:rsidRPr="003B0B52" w:rsidRDefault="00EF24FF" w:rsidP="00E7642A">
      <w:pPr>
        <w:pStyle w:val="Header"/>
        <w:tabs>
          <w:tab w:val="clear" w:pos="4320"/>
          <w:tab w:val="clear" w:pos="8640"/>
          <w:tab w:val="center" w:pos="709"/>
        </w:tabs>
        <w:spacing w:after="0" w:line="240" w:lineRule="auto"/>
        <w:ind w:firstLine="567"/>
        <w:jc w:val="both"/>
        <w:rPr>
          <w:rFonts w:ascii="Times New Roman" w:hAnsi="Times New Roman"/>
          <w:sz w:val="24"/>
          <w:szCs w:val="24"/>
          <w:lang w:val="lv-LV"/>
        </w:rPr>
      </w:pPr>
      <w:r w:rsidRPr="003B0B52">
        <w:rPr>
          <w:rFonts w:ascii="Times New Roman" w:hAnsi="Times New Roman"/>
          <w:sz w:val="24"/>
          <w:szCs w:val="24"/>
          <w:lang w:val="lv-LV"/>
        </w:rPr>
        <w:t>Latvijas Nacionālā attīstības plānā 2014.</w:t>
      </w:r>
      <w:r w:rsidR="004A2214" w:rsidRPr="004A2214">
        <w:rPr>
          <w:rFonts w:ascii="Times New Roman" w:hAnsi="Times New Roman"/>
          <w:sz w:val="24"/>
          <w:szCs w:val="24"/>
          <w:lang w:val="lv-LV"/>
        </w:rPr>
        <w:t>–</w:t>
      </w:r>
      <w:r w:rsidRPr="003B0B52">
        <w:rPr>
          <w:rFonts w:ascii="Times New Roman" w:hAnsi="Times New Roman"/>
          <w:sz w:val="24"/>
          <w:szCs w:val="24"/>
          <w:lang w:val="lv-LV"/>
        </w:rPr>
        <w:t xml:space="preserve">2020. gadam </w:t>
      </w:r>
      <w:r w:rsidR="00706984" w:rsidRPr="003B0B52">
        <w:rPr>
          <w:rFonts w:ascii="Times New Roman" w:hAnsi="Times New Roman"/>
          <w:sz w:val="24"/>
          <w:szCs w:val="24"/>
          <w:lang w:val="lv-LV"/>
        </w:rPr>
        <w:t>paredzētais u</w:t>
      </w:r>
      <w:r w:rsidR="003523F8" w:rsidRPr="003B0B52">
        <w:rPr>
          <w:rFonts w:ascii="Times New Roman" w:hAnsi="Times New Roman"/>
          <w:sz w:val="24"/>
          <w:szCs w:val="24"/>
          <w:lang w:val="lv-LV"/>
        </w:rPr>
        <w:t>z zināšanām</w:t>
      </w:r>
      <w:r w:rsidR="000A4072" w:rsidRPr="003B0B52">
        <w:rPr>
          <w:rFonts w:ascii="Times New Roman" w:hAnsi="Times New Roman"/>
          <w:sz w:val="24"/>
          <w:szCs w:val="24"/>
          <w:lang w:val="lv-LV"/>
        </w:rPr>
        <w:t xml:space="preserve"> un inovācijām</w:t>
      </w:r>
      <w:r w:rsidR="003523F8" w:rsidRPr="003B0B52">
        <w:rPr>
          <w:rFonts w:ascii="Times New Roman" w:hAnsi="Times New Roman"/>
          <w:sz w:val="24"/>
          <w:szCs w:val="24"/>
          <w:lang w:val="lv-LV"/>
        </w:rPr>
        <w:t xml:space="preserve"> balstīt</w:t>
      </w:r>
      <w:r w:rsidR="00706984" w:rsidRPr="003B0B52">
        <w:rPr>
          <w:rFonts w:ascii="Times New Roman" w:hAnsi="Times New Roman"/>
          <w:sz w:val="24"/>
          <w:szCs w:val="24"/>
          <w:lang w:val="lv-LV"/>
        </w:rPr>
        <w:t>ai</w:t>
      </w:r>
      <w:r w:rsidR="003523F8" w:rsidRPr="003B0B52">
        <w:rPr>
          <w:rFonts w:ascii="Times New Roman" w:hAnsi="Times New Roman"/>
          <w:sz w:val="24"/>
          <w:szCs w:val="24"/>
          <w:lang w:val="lv-LV"/>
        </w:rPr>
        <w:t xml:space="preserve">s </w:t>
      </w:r>
      <w:r w:rsidR="00051B7A" w:rsidRPr="003B0B52">
        <w:rPr>
          <w:rFonts w:ascii="Times New Roman" w:hAnsi="Times New Roman"/>
          <w:sz w:val="24"/>
          <w:szCs w:val="24"/>
          <w:lang w:val="lv-LV"/>
        </w:rPr>
        <w:t xml:space="preserve">tautsaimniecības </w:t>
      </w:r>
      <w:r w:rsidR="003523F8" w:rsidRPr="003B0B52">
        <w:rPr>
          <w:rFonts w:ascii="Times New Roman" w:hAnsi="Times New Roman"/>
          <w:sz w:val="24"/>
          <w:szCs w:val="24"/>
          <w:lang w:val="lv-LV"/>
        </w:rPr>
        <w:t>attīstības modelis izvirz</w:t>
      </w:r>
      <w:r w:rsidR="00706984" w:rsidRPr="003B0B52">
        <w:rPr>
          <w:rFonts w:ascii="Times New Roman" w:hAnsi="Times New Roman"/>
          <w:sz w:val="24"/>
          <w:szCs w:val="24"/>
          <w:lang w:val="lv-LV"/>
        </w:rPr>
        <w:t>īj</w:t>
      </w:r>
      <w:r w:rsidR="003523F8" w:rsidRPr="003B0B52">
        <w:rPr>
          <w:rFonts w:ascii="Times New Roman" w:hAnsi="Times New Roman"/>
          <w:sz w:val="24"/>
          <w:szCs w:val="24"/>
          <w:lang w:val="lv-LV"/>
        </w:rPr>
        <w:t xml:space="preserve">a izglītību, zinātni, ar tām saistīto tehnoloģisko attīstību un inovāciju kā priekšnosacījumus sekmīgai, ilgtspējīgai valsts attīstībai. </w:t>
      </w:r>
      <w:r w:rsidR="00706984" w:rsidRPr="003B0B52">
        <w:rPr>
          <w:rFonts w:ascii="Times New Roman" w:hAnsi="Times New Roman"/>
          <w:sz w:val="24"/>
          <w:szCs w:val="24"/>
          <w:lang w:val="lv-LV"/>
        </w:rPr>
        <w:t xml:space="preserve">Iepriekšējos ES fondu plānošanas periodos ieguldījumi </w:t>
      </w:r>
      <w:r w:rsidRPr="003B0B52">
        <w:rPr>
          <w:rFonts w:ascii="Times New Roman" w:hAnsi="Times New Roman"/>
          <w:sz w:val="24"/>
          <w:szCs w:val="24"/>
          <w:lang w:val="lv-LV"/>
        </w:rPr>
        <w:t xml:space="preserve">pētniecības </w:t>
      </w:r>
      <w:r w:rsidR="000A4072" w:rsidRPr="003B0B52">
        <w:rPr>
          <w:rFonts w:ascii="Times New Roman" w:hAnsi="Times New Roman"/>
          <w:sz w:val="24"/>
          <w:szCs w:val="24"/>
          <w:lang w:val="lv-LV"/>
        </w:rPr>
        <w:t>infrastruktūras modernizēšanai tik</w:t>
      </w:r>
      <w:r w:rsidR="00706984" w:rsidRPr="003B0B52">
        <w:rPr>
          <w:rFonts w:ascii="Times New Roman" w:hAnsi="Times New Roman"/>
          <w:sz w:val="24"/>
          <w:szCs w:val="24"/>
          <w:lang w:val="lv-LV"/>
        </w:rPr>
        <w:t>a</w:t>
      </w:r>
      <w:r w:rsidR="000A4072" w:rsidRPr="003B0B52">
        <w:rPr>
          <w:rFonts w:ascii="Times New Roman" w:hAnsi="Times New Roman"/>
          <w:sz w:val="24"/>
          <w:szCs w:val="24"/>
          <w:lang w:val="lv-LV"/>
        </w:rPr>
        <w:t xml:space="preserve"> </w:t>
      </w:r>
      <w:r w:rsidR="00706984" w:rsidRPr="003B0B52">
        <w:rPr>
          <w:rFonts w:ascii="Times New Roman" w:hAnsi="Times New Roman"/>
          <w:sz w:val="24"/>
          <w:szCs w:val="24"/>
          <w:lang w:val="lv-LV"/>
        </w:rPr>
        <w:t>veikti</w:t>
      </w:r>
      <w:r w:rsidR="000A4072" w:rsidRPr="003B0B52">
        <w:rPr>
          <w:rFonts w:ascii="Times New Roman" w:hAnsi="Times New Roman"/>
          <w:sz w:val="24"/>
          <w:szCs w:val="24"/>
          <w:lang w:val="lv-LV"/>
        </w:rPr>
        <w:t xml:space="preserve"> tajās zinātnes nozarēs, kur</w:t>
      </w:r>
      <w:r w:rsidR="00EF50FD" w:rsidRPr="003B0B52">
        <w:rPr>
          <w:rFonts w:ascii="Times New Roman" w:hAnsi="Times New Roman"/>
          <w:sz w:val="24"/>
          <w:szCs w:val="24"/>
          <w:lang w:val="lv-LV"/>
        </w:rPr>
        <w:t>ās</w:t>
      </w:r>
      <w:r w:rsidR="000A4072" w:rsidRPr="003B0B52">
        <w:rPr>
          <w:rFonts w:ascii="Times New Roman" w:hAnsi="Times New Roman"/>
          <w:sz w:val="24"/>
          <w:szCs w:val="24"/>
          <w:lang w:val="lv-LV"/>
        </w:rPr>
        <w:t xml:space="preserve"> Latvijai ir salīdzinošās priekšrocības</w:t>
      </w:r>
      <w:r w:rsidR="00A20EFE" w:rsidRPr="003B0B52">
        <w:rPr>
          <w:rFonts w:ascii="Times New Roman" w:hAnsi="Times New Roman"/>
          <w:sz w:val="24"/>
          <w:szCs w:val="24"/>
          <w:lang w:val="lv-LV"/>
        </w:rPr>
        <w:t>, t.i.</w:t>
      </w:r>
      <w:r w:rsidR="006A354B" w:rsidRPr="003B0B52">
        <w:rPr>
          <w:rFonts w:ascii="Times New Roman" w:hAnsi="Times New Roman"/>
          <w:sz w:val="24"/>
          <w:szCs w:val="24"/>
          <w:lang w:val="lv-LV"/>
        </w:rPr>
        <w:t>,</w:t>
      </w:r>
      <w:r w:rsidR="00A20EFE" w:rsidRPr="003B0B52">
        <w:rPr>
          <w:rFonts w:ascii="Times New Roman" w:hAnsi="Times New Roman"/>
          <w:sz w:val="24"/>
          <w:szCs w:val="24"/>
          <w:lang w:val="lv-LV"/>
        </w:rPr>
        <w:t xml:space="preserve"> atbilstoša zināšanu bāze un cilvēkkapitāls</w:t>
      </w:r>
      <w:r w:rsidR="000A4072" w:rsidRPr="003B0B52">
        <w:rPr>
          <w:rFonts w:ascii="Times New Roman" w:hAnsi="Times New Roman"/>
          <w:sz w:val="24"/>
          <w:szCs w:val="24"/>
          <w:lang w:val="lv-LV"/>
        </w:rPr>
        <w:t xml:space="preserve">. </w:t>
      </w:r>
      <w:r w:rsidR="00706984" w:rsidRPr="003B0B52">
        <w:rPr>
          <w:rFonts w:ascii="Times New Roman" w:hAnsi="Times New Roman"/>
          <w:sz w:val="24"/>
          <w:szCs w:val="24"/>
          <w:lang w:val="lv-LV"/>
        </w:rPr>
        <w:t>L</w:t>
      </w:r>
      <w:r w:rsidR="000A4072" w:rsidRPr="003B0B52">
        <w:rPr>
          <w:rFonts w:ascii="Times New Roman" w:hAnsi="Times New Roman"/>
          <w:sz w:val="24"/>
          <w:szCs w:val="24"/>
          <w:lang w:val="lv-LV"/>
        </w:rPr>
        <w:t xml:space="preserve">ai </w:t>
      </w:r>
      <w:r w:rsidR="00706984" w:rsidRPr="003B0B52">
        <w:rPr>
          <w:rFonts w:ascii="Times New Roman" w:hAnsi="Times New Roman"/>
          <w:sz w:val="24"/>
          <w:szCs w:val="24"/>
          <w:lang w:val="lv-LV"/>
        </w:rPr>
        <w:t>labāk izmantotu</w:t>
      </w:r>
      <w:r w:rsidR="000A4072" w:rsidRPr="003B0B52">
        <w:rPr>
          <w:rFonts w:ascii="Times New Roman" w:hAnsi="Times New Roman"/>
          <w:sz w:val="24"/>
          <w:szCs w:val="24"/>
          <w:lang w:val="lv-LV"/>
        </w:rPr>
        <w:t xml:space="preserve"> šo zinātnes nozaru ietvaros veikto pētījumu</w:t>
      </w:r>
      <w:r w:rsidR="00706984" w:rsidRPr="003B0B52">
        <w:rPr>
          <w:rFonts w:ascii="Times New Roman" w:hAnsi="Times New Roman"/>
          <w:sz w:val="24"/>
          <w:szCs w:val="24"/>
          <w:lang w:val="lv-LV"/>
        </w:rPr>
        <w:t xml:space="preserve"> rezultātus</w:t>
      </w:r>
      <w:r w:rsidR="000A4072" w:rsidRPr="003B0B52">
        <w:rPr>
          <w:rFonts w:ascii="Times New Roman" w:hAnsi="Times New Roman"/>
          <w:sz w:val="24"/>
          <w:szCs w:val="24"/>
          <w:lang w:val="lv-LV"/>
        </w:rPr>
        <w:t xml:space="preserve">, sagatavotu kvalificētus speciālistus un sekmētu uzņēmējdarbības un pētniecības sektora sadarbību, IZM un EM </w:t>
      </w:r>
      <w:r w:rsidR="00706984" w:rsidRPr="003B0B52">
        <w:rPr>
          <w:rFonts w:ascii="Times New Roman" w:hAnsi="Times New Roman"/>
          <w:sz w:val="24"/>
          <w:szCs w:val="24"/>
          <w:lang w:val="lv-LV"/>
        </w:rPr>
        <w:t>ir izveidojušas</w:t>
      </w:r>
      <w:r w:rsidR="007831A1" w:rsidRPr="003B0B52">
        <w:rPr>
          <w:rFonts w:ascii="Times New Roman" w:hAnsi="Times New Roman"/>
          <w:sz w:val="24"/>
          <w:szCs w:val="24"/>
          <w:lang w:val="lv-LV"/>
        </w:rPr>
        <w:t xml:space="preserve"> savstarpēji koordinētas</w:t>
      </w:r>
      <w:r w:rsidR="00706984" w:rsidRPr="003B0B52">
        <w:rPr>
          <w:rFonts w:ascii="Times New Roman" w:hAnsi="Times New Roman"/>
          <w:sz w:val="24"/>
          <w:szCs w:val="24"/>
          <w:lang w:val="lv-LV"/>
        </w:rPr>
        <w:t xml:space="preserve"> infrastruktūras ieguldījumus papildinošas </w:t>
      </w:r>
      <w:r w:rsidR="00A20EFE" w:rsidRPr="003B0B52">
        <w:rPr>
          <w:rFonts w:ascii="Times New Roman" w:hAnsi="Times New Roman"/>
          <w:sz w:val="24"/>
          <w:szCs w:val="24"/>
          <w:lang w:val="lv-LV"/>
        </w:rPr>
        <w:t xml:space="preserve">valsts budžeta </w:t>
      </w:r>
      <w:r w:rsidR="00706984" w:rsidRPr="003B0B52">
        <w:rPr>
          <w:rFonts w:ascii="Times New Roman" w:hAnsi="Times New Roman"/>
          <w:sz w:val="24"/>
          <w:szCs w:val="24"/>
          <w:lang w:val="lv-LV"/>
        </w:rPr>
        <w:t xml:space="preserve">un </w:t>
      </w:r>
      <w:r w:rsidR="00A20EFE" w:rsidRPr="003B0B52">
        <w:rPr>
          <w:rFonts w:ascii="Times New Roman" w:hAnsi="Times New Roman"/>
          <w:sz w:val="24"/>
          <w:szCs w:val="24"/>
          <w:lang w:val="lv-LV"/>
        </w:rPr>
        <w:t>ES struktūrfondu finansētas</w:t>
      </w:r>
      <w:r w:rsidR="00172189" w:rsidRPr="003B0B52">
        <w:rPr>
          <w:rFonts w:ascii="Times New Roman" w:hAnsi="Times New Roman"/>
          <w:sz w:val="24"/>
          <w:szCs w:val="24"/>
          <w:lang w:val="lv-LV"/>
        </w:rPr>
        <w:t xml:space="preserve"> programmas.</w:t>
      </w:r>
    </w:p>
    <w:p w14:paraId="462D099A" w14:textId="77777777" w:rsidR="00A20EFE" w:rsidRPr="00C07278" w:rsidRDefault="007C7CEE" w:rsidP="00E7642A">
      <w:pPr>
        <w:pStyle w:val="Header"/>
        <w:tabs>
          <w:tab w:val="clear" w:pos="4320"/>
          <w:tab w:val="clear" w:pos="8640"/>
          <w:tab w:val="center" w:pos="709"/>
        </w:tabs>
        <w:spacing w:before="200"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Viens no zinātnes un uzņēmējdarbības konkurētspējas stiprināšanas instrumentiem ir pētniecības fokusēšana tautsaimniecības attīstībai </w:t>
      </w:r>
      <w:r w:rsidRPr="00C07278">
        <w:rPr>
          <w:rFonts w:ascii="Times New Roman" w:hAnsi="Times New Roman"/>
          <w:sz w:val="24"/>
          <w:szCs w:val="24"/>
          <w:lang w:val="lv-LV"/>
        </w:rPr>
        <w:t>nozīmīgās un ienākumus nesošās</w:t>
      </w:r>
      <w:r>
        <w:rPr>
          <w:rFonts w:ascii="Times New Roman" w:hAnsi="Times New Roman"/>
          <w:sz w:val="24"/>
          <w:szCs w:val="24"/>
          <w:lang w:val="lv-LV"/>
        </w:rPr>
        <w:t xml:space="preserve"> zināšanu jomās. </w:t>
      </w:r>
      <w:r w:rsidR="0012631E">
        <w:rPr>
          <w:rFonts w:ascii="Times New Roman" w:hAnsi="Times New Roman"/>
          <w:sz w:val="24"/>
          <w:szCs w:val="24"/>
          <w:lang w:val="lv-LV"/>
        </w:rPr>
        <w:t>Pētniecības fokusē</w:t>
      </w:r>
      <w:r w:rsidR="001D3EFC">
        <w:rPr>
          <w:rFonts w:ascii="Times New Roman" w:hAnsi="Times New Roman"/>
          <w:sz w:val="24"/>
          <w:szCs w:val="24"/>
          <w:lang w:val="lv-LV"/>
        </w:rPr>
        <w:t>šana</w:t>
      </w:r>
      <w:r w:rsidR="0012631E">
        <w:rPr>
          <w:rFonts w:ascii="Times New Roman" w:hAnsi="Times New Roman"/>
          <w:sz w:val="24"/>
          <w:szCs w:val="24"/>
          <w:lang w:val="lv-LV"/>
        </w:rPr>
        <w:t xml:space="preserve"> </w:t>
      </w:r>
      <w:r w:rsidR="001D3EFC">
        <w:rPr>
          <w:rFonts w:ascii="Times New Roman" w:hAnsi="Times New Roman"/>
          <w:sz w:val="24"/>
          <w:szCs w:val="24"/>
          <w:lang w:val="lv-LV"/>
        </w:rPr>
        <w:t xml:space="preserve">tika uzsākta </w:t>
      </w:r>
      <w:r w:rsidR="00A20EFE" w:rsidRPr="00C07278">
        <w:rPr>
          <w:rFonts w:ascii="Times New Roman" w:hAnsi="Times New Roman"/>
          <w:sz w:val="24"/>
          <w:szCs w:val="24"/>
          <w:lang w:val="lv-LV"/>
        </w:rPr>
        <w:t>2001.</w:t>
      </w:r>
      <w:r w:rsidR="006A354B">
        <w:rPr>
          <w:rFonts w:ascii="Times New Roman" w:hAnsi="Times New Roman"/>
          <w:sz w:val="24"/>
          <w:szCs w:val="24"/>
          <w:lang w:val="lv-LV"/>
        </w:rPr>
        <w:t xml:space="preserve"> </w:t>
      </w:r>
      <w:r w:rsidR="00A20EFE" w:rsidRPr="00C07278">
        <w:rPr>
          <w:rFonts w:ascii="Times New Roman" w:hAnsi="Times New Roman"/>
          <w:sz w:val="24"/>
          <w:szCs w:val="24"/>
          <w:lang w:val="lv-LV"/>
        </w:rPr>
        <w:t>gadā</w:t>
      </w:r>
      <w:r w:rsidR="001D3EFC">
        <w:rPr>
          <w:rFonts w:ascii="Times New Roman" w:hAnsi="Times New Roman"/>
          <w:sz w:val="24"/>
          <w:szCs w:val="24"/>
          <w:lang w:val="lv-LV"/>
        </w:rPr>
        <w:t>, kad pirmo reizi</w:t>
      </w:r>
      <w:r w:rsidR="00A20EFE" w:rsidRPr="00C07278">
        <w:rPr>
          <w:rFonts w:ascii="Times New Roman" w:hAnsi="Times New Roman"/>
          <w:sz w:val="24"/>
          <w:szCs w:val="24"/>
          <w:lang w:val="lv-LV"/>
        </w:rPr>
        <w:t xml:space="preserve"> tika noteikti un apstiprināti prioritārie zinātnes virzieni.</w:t>
      </w:r>
      <w:r w:rsidR="00C567B2">
        <w:rPr>
          <w:rFonts w:ascii="Times New Roman" w:hAnsi="Times New Roman"/>
          <w:sz w:val="24"/>
          <w:szCs w:val="24"/>
          <w:lang w:val="lv-LV"/>
        </w:rPr>
        <w:t xml:space="preserve"> Secīgi, </w:t>
      </w:r>
      <w:r w:rsidR="00657E4E" w:rsidRPr="00C07278">
        <w:rPr>
          <w:rFonts w:ascii="Times New Roman" w:hAnsi="Times New Roman"/>
          <w:sz w:val="24"/>
          <w:szCs w:val="24"/>
          <w:lang w:val="lv-LV"/>
        </w:rPr>
        <w:t>2013.</w:t>
      </w:r>
      <w:r w:rsidR="006A354B">
        <w:rPr>
          <w:rFonts w:ascii="Times New Roman" w:hAnsi="Times New Roman"/>
          <w:sz w:val="24"/>
          <w:szCs w:val="24"/>
          <w:lang w:val="lv-LV"/>
        </w:rPr>
        <w:t xml:space="preserve"> </w:t>
      </w:r>
      <w:r w:rsidR="00657E4E" w:rsidRPr="00C07278">
        <w:rPr>
          <w:rFonts w:ascii="Times New Roman" w:hAnsi="Times New Roman"/>
          <w:sz w:val="24"/>
          <w:szCs w:val="24"/>
          <w:lang w:val="lv-LV"/>
        </w:rPr>
        <w:t xml:space="preserve">gadā tika </w:t>
      </w:r>
      <w:r w:rsidR="00A20EFE" w:rsidRPr="00C07278">
        <w:rPr>
          <w:rFonts w:ascii="Times New Roman" w:hAnsi="Times New Roman"/>
          <w:sz w:val="24"/>
          <w:szCs w:val="24"/>
          <w:lang w:val="lv-LV"/>
        </w:rPr>
        <w:t xml:space="preserve">apstiprināti </w:t>
      </w:r>
      <w:r w:rsidR="00C567B2">
        <w:rPr>
          <w:rFonts w:ascii="Times New Roman" w:hAnsi="Times New Roman"/>
          <w:sz w:val="24"/>
          <w:szCs w:val="24"/>
          <w:lang w:val="lv-LV"/>
        </w:rPr>
        <w:t>seši</w:t>
      </w:r>
      <w:r w:rsidR="00A20EFE" w:rsidRPr="00C07278">
        <w:rPr>
          <w:rFonts w:ascii="Times New Roman" w:hAnsi="Times New Roman"/>
          <w:sz w:val="24"/>
          <w:szCs w:val="24"/>
          <w:lang w:val="lv-LV"/>
        </w:rPr>
        <w:t xml:space="preserve"> prioritārie zinātnes virzieni fundamentālo un lietišķo pētījumu </w:t>
      </w:r>
      <w:r w:rsidR="001D3EFC">
        <w:rPr>
          <w:rFonts w:ascii="Times New Roman" w:hAnsi="Times New Roman"/>
          <w:sz w:val="24"/>
          <w:szCs w:val="24"/>
          <w:lang w:val="lv-LV"/>
        </w:rPr>
        <w:t>tematiskai fokusēšanai</w:t>
      </w:r>
      <w:r w:rsidR="001D3EFC" w:rsidRPr="00C07278">
        <w:rPr>
          <w:rFonts w:ascii="Times New Roman" w:hAnsi="Times New Roman"/>
          <w:sz w:val="24"/>
          <w:szCs w:val="24"/>
          <w:lang w:val="lv-LV"/>
        </w:rPr>
        <w:t xml:space="preserve"> </w:t>
      </w:r>
      <w:r w:rsidR="00A20EFE" w:rsidRPr="00C07278">
        <w:rPr>
          <w:rFonts w:ascii="Times New Roman" w:hAnsi="Times New Roman"/>
          <w:sz w:val="24"/>
          <w:szCs w:val="24"/>
          <w:lang w:val="lv-LV"/>
        </w:rPr>
        <w:t>2014.</w:t>
      </w:r>
      <w:r w:rsidR="004A2214">
        <w:rPr>
          <w:rFonts w:ascii="Times New Roman" w:hAnsi="Times New Roman"/>
          <w:sz w:val="24"/>
          <w:szCs w:val="24"/>
          <w:lang w:val="lv-LV"/>
        </w:rPr>
        <w:t> </w:t>
      </w:r>
      <w:r w:rsidR="00A20EFE" w:rsidRPr="00C07278">
        <w:rPr>
          <w:rFonts w:ascii="Times New Roman" w:hAnsi="Times New Roman"/>
          <w:sz w:val="24"/>
          <w:szCs w:val="24"/>
          <w:lang w:val="lv-LV"/>
        </w:rPr>
        <w:t>–2017.</w:t>
      </w:r>
      <w:r w:rsidR="006A354B">
        <w:rPr>
          <w:rFonts w:ascii="Times New Roman" w:hAnsi="Times New Roman"/>
          <w:sz w:val="24"/>
          <w:szCs w:val="24"/>
          <w:lang w:val="lv-LV"/>
        </w:rPr>
        <w:t> </w:t>
      </w:r>
      <w:r w:rsidR="00A20EFE" w:rsidRPr="00C07278">
        <w:rPr>
          <w:rFonts w:ascii="Times New Roman" w:hAnsi="Times New Roman"/>
          <w:sz w:val="24"/>
          <w:szCs w:val="24"/>
          <w:lang w:val="lv-LV"/>
        </w:rPr>
        <w:t>gadā</w:t>
      </w:r>
      <w:r w:rsidR="00657E4E" w:rsidRPr="00C07278">
        <w:rPr>
          <w:rStyle w:val="FootnoteReference"/>
          <w:rFonts w:ascii="Times New Roman" w:hAnsi="Times New Roman"/>
          <w:sz w:val="24"/>
          <w:szCs w:val="24"/>
          <w:lang w:val="lv-LV"/>
        </w:rPr>
        <w:footnoteReference w:id="24"/>
      </w:r>
      <w:r w:rsidR="00A20EFE" w:rsidRPr="00C07278">
        <w:rPr>
          <w:rFonts w:ascii="Times New Roman" w:hAnsi="Times New Roman"/>
          <w:sz w:val="24"/>
          <w:szCs w:val="24"/>
          <w:lang w:val="lv-LV"/>
        </w:rPr>
        <w:t>:</w:t>
      </w:r>
    </w:p>
    <w:p w14:paraId="48D635EF" w14:textId="77777777" w:rsidR="00890A30" w:rsidRPr="00C07278" w:rsidRDefault="00890A30" w:rsidP="00E7642A">
      <w:pPr>
        <w:pStyle w:val="Header"/>
        <w:tabs>
          <w:tab w:val="clear" w:pos="4320"/>
          <w:tab w:val="clear" w:pos="8640"/>
          <w:tab w:val="center" w:pos="709"/>
        </w:tabs>
        <w:spacing w:after="0" w:line="240" w:lineRule="auto"/>
        <w:ind w:left="851" w:hanging="284"/>
        <w:jc w:val="both"/>
        <w:rPr>
          <w:rFonts w:ascii="Times New Roman" w:hAnsi="Times New Roman"/>
          <w:sz w:val="24"/>
          <w:szCs w:val="24"/>
          <w:lang w:val="lv-LV"/>
        </w:rPr>
      </w:pPr>
      <w:r w:rsidRPr="00C07278">
        <w:rPr>
          <w:rFonts w:ascii="Times New Roman" w:hAnsi="Times New Roman"/>
          <w:sz w:val="24"/>
          <w:szCs w:val="24"/>
          <w:lang w:val="lv-LV"/>
        </w:rPr>
        <w:t xml:space="preserve">1. Vide, klimats un enerģija </w:t>
      </w:r>
      <w:r w:rsidRPr="002D7733">
        <w:rPr>
          <w:rFonts w:ascii="Times New Roman" w:hAnsi="Times New Roman"/>
          <w:i/>
          <w:sz w:val="24"/>
          <w:szCs w:val="24"/>
          <w:lang w:val="lv-LV"/>
        </w:rPr>
        <w:t>(vide, ekosistēmas un bioloģiskā daudzveidība, atjaunojamo resursu ieguve, enerģētiskā neatkarība, elektroapgādes drošuma paaugstināšanas tehnoloģijas, oglekļa mazietilpīgas ražošanas attīstība, klimata pārmaiņu samazināšana un pielāgošanās klimata pārmaiņām).</w:t>
      </w:r>
    </w:p>
    <w:p w14:paraId="5CDFE3A5" w14:textId="77777777" w:rsidR="00890A30" w:rsidRPr="00C07278" w:rsidRDefault="00890A30" w:rsidP="00E7642A">
      <w:pPr>
        <w:pStyle w:val="Header"/>
        <w:tabs>
          <w:tab w:val="clear" w:pos="4320"/>
          <w:tab w:val="clear" w:pos="8640"/>
          <w:tab w:val="center" w:pos="709"/>
        </w:tabs>
        <w:spacing w:after="0" w:line="240" w:lineRule="auto"/>
        <w:ind w:left="851" w:hanging="284"/>
        <w:jc w:val="both"/>
        <w:rPr>
          <w:rFonts w:ascii="Times New Roman" w:hAnsi="Times New Roman"/>
          <w:sz w:val="24"/>
          <w:szCs w:val="24"/>
          <w:lang w:val="lv-LV"/>
        </w:rPr>
      </w:pPr>
      <w:r w:rsidRPr="00C07278">
        <w:rPr>
          <w:rFonts w:ascii="Times New Roman" w:hAnsi="Times New Roman"/>
          <w:sz w:val="24"/>
          <w:szCs w:val="24"/>
          <w:lang w:val="lv-LV"/>
        </w:rPr>
        <w:t xml:space="preserve">2. Inovatīvie un uzlabotie materiāli, viedās tehnoloģijas </w:t>
      </w:r>
      <w:r w:rsidRPr="002D7733">
        <w:rPr>
          <w:rFonts w:ascii="Times New Roman" w:hAnsi="Times New Roman"/>
          <w:i/>
          <w:sz w:val="24"/>
          <w:szCs w:val="24"/>
          <w:lang w:val="lv-LV"/>
        </w:rPr>
        <w:t>(daudzfunkcionālie materiāli un kompozīti, nanotehnoloģijas un fotonika, informātika, datorzinātne, informācijas un komunikācijas tehnoloģijas, signālapstrādes tehnoloģijas).</w:t>
      </w:r>
    </w:p>
    <w:p w14:paraId="142D1845" w14:textId="77777777" w:rsidR="00890A30" w:rsidRPr="00C07278" w:rsidRDefault="00890A30" w:rsidP="00E7642A">
      <w:pPr>
        <w:pStyle w:val="Header"/>
        <w:tabs>
          <w:tab w:val="clear" w:pos="4320"/>
          <w:tab w:val="clear" w:pos="8640"/>
          <w:tab w:val="center" w:pos="709"/>
        </w:tabs>
        <w:spacing w:after="0" w:line="240" w:lineRule="auto"/>
        <w:ind w:left="851" w:hanging="284"/>
        <w:jc w:val="both"/>
        <w:rPr>
          <w:rFonts w:ascii="Times New Roman" w:hAnsi="Times New Roman"/>
          <w:sz w:val="24"/>
          <w:szCs w:val="24"/>
          <w:lang w:val="lv-LV"/>
        </w:rPr>
      </w:pPr>
      <w:r w:rsidRPr="00C07278">
        <w:rPr>
          <w:rFonts w:ascii="Times New Roman" w:hAnsi="Times New Roman"/>
          <w:sz w:val="24"/>
          <w:szCs w:val="24"/>
          <w:lang w:val="lv-LV"/>
        </w:rPr>
        <w:t xml:space="preserve">3. Sabiedrības veselība </w:t>
      </w:r>
      <w:r w:rsidRPr="002D7733">
        <w:rPr>
          <w:rFonts w:ascii="Times New Roman" w:hAnsi="Times New Roman"/>
          <w:i/>
          <w:sz w:val="24"/>
          <w:szCs w:val="24"/>
          <w:lang w:val="lv-LV"/>
        </w:rPr>
        <w:t>(profilakse, diagnostika, ārstniecība, klīniskā medicīna, ārstniecības metodes un tehnoloģijas, ārstniecības līdzekļi un biomedicīnas tehnoloģijas).</w:t>
      </w:r>
    </w:p>
    <w:p w14:paraId="2108D50D" w14:textId="77777777" w:rsidR="00890A30" w:rsidRPr="002D7733" w:rsidRDefault="00890A30" w:rsidP="00E7642A">
      <w:pPr>
        <w:pStyle w:val="Header"/>
        <w:tabs>
          <w:tab w:val="clear" w:pos="4320"/>
          <w:tab w:val="clear" w:pos="8640"/>
          <w:tab w:val="center" w:pos="709"/>
        </w:tabs>
        <w:spacing w:after="0" w:line="240" w:lineRule="auto"/>
        <w:ind w:left="851" w:hanging="284"/>
        <w:jc w:val="both"/>
        <w:rPr>
          <w:rFonts w:ascii="Times New Roman" w:hAnsi="Times New Roman"/>
          <w:i/>
          <w:sz w:val="24"/>
          <w:szCs w:val="24"/>
          <w:lang w:val="lv-LV"/>
        </w:rPr>
      </w:pPr>
      <w:r w:rsidRPr="00C07278">
        <w:rPr>
          <w:rFonts w:ascii="Times New Roman" w:hAnsi="Times New Roman"/>
          <w:sz w:val="24"/>
          <w:szCs w:val="24"/>
          <w:lang w:val="lv-LV"/>
        </w:rPr>
        <w:t xml:space="preserve">4. Vietējo resursu izpēte un ilgtspējīga izmantošana </w:t>
      </w:r>
      <w:r w:rsidRPr="002D7733">
        <w:rPr>
          <w:rFonts w:ascii="Times New Roman" w:hAnsi="Times New Roman"/>
          <w:i/>
          <w:sz w:val="24"/>
          <w:szCs w:val="24"/>
          <w:lang w:val="lv-LV"/>
        </w:rPr>
        <w:t>(zemes dzīļu, ūdens, lauksaimniecības un mežu resursu apguves tehnoloģijas un pārtikas tehnoloģijas, biotehnoloģijas).</w:t>
      </w:r>
    </w:p>
    <w:p w14:paraId="6AE22039" w14:textId="77777777" w:rsidR="00890A30" w:rsidRPr="002D7733" w:rsidRDefault="00890A30" w:rsidP="00E7642A">
      <w:pPr>
        <w:pStyle w:val="Header"/>
        <w:tabs>
          <w:tab w:val="clear" w:pos="4320"/>
          <w:tab w:val="clear" w:pos="8640"/>
          <w:tab w:val="center" w:pos="709"/>
        </w:tabs>
        <w:spacing w:after="0" w:line="240" w:lineRule="auto"/>
        <w:ind w:left="851" w:hanging="284"/>
        <w:jc w:val="both"/>
        <w:rPr>
          <w:rFonts w:ascii="Times New Roman" w:hAnsi="Times New Roman"/>
          <w:i/>
          <w:sz w:val="24"/>
          <w:szCs w:val="24"/>
          <w:lang w:val="lv-LV"/>
        </w:rPr>
      </w:pPr>
      <w:r w:rsidRPr="00C07278">
        <w:rPr>
          <w:rFonts w:ascii="Times New Roman" w:hAnsi="Times New Roman"/>
          <w:sz w:val="24"/>
          <w:szCs w:val="24"/>
          <w:lang w:val="lv-LV"/>
        </w:rPr>
        <w:t xml:space="preserve">5. Valsts un sabiedrības ilgtspējīga attīstība </w:t>
      </w:r>
      <w:r w:rsidRPr="002D7733">
        <w:rPr>
          <w:rFonts w:ascii="Times New Roman" w:hAnsi="Times New Roman"/>
          <w:i/>
          <w:sz w:val="24"/>
          <w:szCs w:val="24"/>
          <w:lang w:val="lv-LV"/>
        </w:rPr>
        <w:t>(sabiedrība, pārvaldība, resursi, tautsaimniecība, demogrāfija, vide).</w:t>
      </w:r>
    </w:p>
    <w:p w14:paraId="7FFB1600" w14:textId="77777777" w:rsidR="001D3EFC" w:rsidRDefault="00890A30" w:rsidP="00E7642A">
      <w:pPr>
        <w:pStyle w:val="Header"/>
        <w:tabs>
          <w:tab w:val="clear" w:pos="4320"/>
          <w:tab w:val="clear" w:pos="8640"/>
          <w:tab w:val="center" w:pos="709"/>
        </w:tabs>
        <w:spacing w:after="0" w:line="240" w:lineRule="auto"/>
        <w:ind w:left="851" w:hanging="284"/>
        <w:jc w:val="both"/>
        <w:rPr>
          <w:rFonts w:ascii="Times New Roman" w:hAnsi="Times New Roman"/>
          <w:sz w:val="24"/>
          <w:szCs w:val="24"/>
          <w:lang w:val="lv-LV"/>
        </w:rPr>
      </w:pPr>
      <w:r w:rsidRPr="00C07278">
        <w:rPr>
          <w:rFonts w:ascii="Times New Roman" w:hAnsi="Times New Roman"/>
          <w:sz w:val="24"/>
          <w:szCs w:val="24"/>
          <w:lang w:val="lv-LV"/>
        </w:rPr>
        <w:t xml:space="preserve">6. Letonika </w:t>
      </w:r>
      <w:r w:rsidRPr="002D7733">
        <w:rPr>
          <w:rFonts w:ascii="Times New Roman" w:hAnsi="Times New Roman"/>
          <w:i/>
          <w:sz w:val="24"/>
          <w:szCs w:val="24"/>
          <w:lang w:val="lv-LV"/>
        </w:rPr>
        <w:t>(Latvijas vēsture, valodas, kultūra, vērtības).</w:t>
      </w:r>
    </w:p>
    <w:p w14:paraId="5E880266" w14:textId="4335D773" w:rsidR="003055AB" w:rsidRPr="00064160" w:rsidRDefault="001D3EFC" w:rsidP="00E7642A">
      <w:pPr>
        <w:pStyle w:val="Header"/>
        <w:tabs>
          <w:tab w:val="clear" w:pos="4320"/>
          <w:tab w:val="clear" w:pos="8640"/>
          <w:tab w:val="center" w:pos="709"/>
        </w:tabs>
        <w:spacing w:after="0" w:line="240" w:lineRule="auto"/>
        <w:ind w:firstLine="567"/>
        <w:jc w:val="both"/>
        <w:rPr>
          <w:lang w:val="lv-LV"/>
        </w:rPr>
      </w:pPr>
      <w:r>
        <w:rPr>
          <w:rFonts w:ascii="Times New Roman" w:hAnsi="Times New Roman"/>
          <w:sz w:val="24"/>
          <w:szCs w:val="24"/>
          <w:lang w:val="lv-LV"/>
        </w:rPr>
        <w:t xml:space="preserve">Šajos </w:t>
      </w:r>
      <w:r w:rsidR="00890A30" w:rsidRPr="00C07278">
        <w:rPr>
          <w:rFonts w:ascii="Times New Roman" w:hAnsi="Times New Roman"/>
          <w:sz w:val="24"/>
          <w:szCs w:val="24"/>
          <w:lang w:val="lv-LV"/>
        </w:rPr>
        <w:t>virzienos</w:t>
      </w:r>
      <w:r>
        <w:rPr>
          <w:rFonts w:ascii="Times New Roman" w:hAnsi="Times New Roman"/>
          <w:sz w:val="24"/>
          <w:szCs w:val="24"/>
          <w:lang w:val="lv-LV"/>
        </w:rPr>
        <w:t xml:space="preserve"> </w:t>
      </w:r>
      <w:r w:rsidR="00890A30" w:rsidRPr="00C07278">
        <w:rPr>
          <w:rFonts w:ascii="Times New Roman" w:hAnsi="Times New Roman"/>
          <w:sz w:val="24"/>
          <w:szCs w:val="24"/>
          <w:lang w:val="lv-LV"/>
        </w:rPr>
        <w:t>tiek piešķirts finansējums grantu veidā fundamentālo un lietišķo pētījumu veikšanai</w:t>
      </w:r>
      <w:r w:rsidR="00657E4E" w:rsidRPr="00C07278">
        <w:rPr>
          <w:rStyle w:val="FootnoteReference"/>
          <w:rFonts w:ascii="Times New Roman" w:hAnsi="Times New Roman"/>
          <w:sz w:val="24"/>
          <w:szCs w:val="24"/>
          <w:lang w:val="lv-LV"/>
        </w:rPr>
        <w:footnoteReference w:id="25"/>
      </w:r>
      <w:r w:rsidR="008E5306" w:rsidRPr="00C07278">
        <w:rPr>
          <w:rFonts w:ascii="Times New Roman" w:hAnsi="Times New Roman"/>
          <w:sz w:val="24"/>
          <w:szCs w:val="24"/>
          <w:lang w:val="lv-LV"/>
        </w:rPr>
        <w:t>, kas paredz noteiktas zinātniskas problēmas risināšanu vai starpnozaru pētījumus, lai risinātu ar vienojošu mērķi saistītas zinātniskas problēmas, tai skaitā noteikta pētnieciskās infrastruktūras objekta (piemēram, kolekcijas, datub</w:t>
      </w:r>
      <w:r w:rsidR="008E5306" w:rsidRPr="001D3EFC">
        <w:rPr>
          <w:rFonts w:ascii="Times New Roman" w:hAnsi="Times New Roman"/>
          <w:sz w:val="24"/>
          <w:szCs w:val="24"/>
          <w:lang w:val="lv-LV"/>
        </w:rPr>
        <w:t>āzes, unikālas iekārtas) izmantošanu.</w:t>
      </w:r>
      <w:r w:rsidRPr="002D7733">
        <w:rPr>
          <w:rFonts w:ascii="Times New Roman" w:hAnsi="Times New Roman"/>
          <w:sz w:val="24"/>
          <w:szCs w:val="24"/>
          <w:lang w:val="lv-LV"/>
        </w:rPr>
        <w:t xml:space="preserve"> </w:t>
      </w:r>
      <w:r w:rsidR="003055AB" w:rsidRPr="002D7733">
        <w:rPr>
          <w:rFonts w:ascii="Times New Roman" w:hAnsi="Times New Roman"/>
          <w:sz w:val="24"/>
          <w:szCs w:val="24"/>
          <w:lang w:val="lv-LV"/>
        </w:rPr>
        <w:t>Laika periodā no 2012. līdz 2015.</w:t>
      </w:r>
      <w:r w:rsidR="004E392D">
        <w:rPr>
          <w:rFonts w:ascii="Times New Roman" w:hAnsi="Times New Roman"/>
          <w:sz w:val="24"/>
          <w:szCs w:val="24"/>
          <w:lang w:val="lv-LV"/>
        </w:rPr>
        <w:t xml:space="preserve"> gadam </w:t>
      </w:r>
      <w:r w:rsidR="003055AB" w:rsidRPr="002D7733">
        <w:rPr>
          <w:rFonts w:ascii="Times New Roman" w:hAnsi="Times New Roman"/>
          <w:sz w:val="24"/>
          <w:szCs w:val="24"/>
          <w:lang w:val="lv-LV"/>
        </w:rPr>
        <w:t xml:space="preserve">fundamentālo un lietišķo pētījumu veikšanai piešķirts finansējums 18 120 269 </w:t>
      </w:r>
      <w:r w:rsidR="003055AB" w:rsidRPr="002D7733">
        <w:rPr>
          <w:rFonts w:ascii="Times New Roman" w:hAnsi="Times New Roman"/>
          <w:i/>
          <w:sz w:val="24"/>
          <w:szCs w:val="24"/>
          <w:lang w:val="lv-LV"/>
        </w:rPr>
        <w:t>euro</w:t>
      </w:r>
      <w:r>
        <w:rPr>
          <w:rFonts w:ascii="Times New Roman" w:hAnsi="Times New Roman"/>
          <w:sz w:val="24"/>
          <w:szCs w:val="24"/>
          <w:lang w:val="lv-LV"/>
        </w:rPr>
        <w:t xml:space="preserve">, proti apmēram 4 milj. </w:t>
      </w:r>
      <w:r w:rsidRPr="002D7733">
        <w:rPr>
          <w:rFonts w:ascii="Times New Roman" w:hAnsi="Times New Roman"/>
          <w:i/>
          <w:sz w:val="24"/>
          <w:szCs w:val="24"/>
          <w:lang w:val="lv-LV"/>
        </w:rPr>
        <w:t>euro</w:t>
      </w:r>
      <w:r w:rsidR="004E392D">
        <w:rPr>
          <w:rFonts w:ascii="Times New Roman" w:hAnsi="Times New Roman"/>
          <w:sz w:val="24"/>
          <w:szCs w:val="24"/>
          <w:lang w:val="lv-LV"/>
        </w:rPr>
        <w:t xml:space="preserve"> gadā. </w:t>
      </w:r>
      <w:r w:rsidRPr="002D7733">
        <w:rPr>
          <w:rFonts w:ascii="Times New Roman" w:hAnsi="Times New Roman"/>
          <w:sz w:val="24"/>
          <w:szCs w:val="24"/>
          <w:lang w:val="lv-LV"/>
        </w:rPr>
        <w:t>2016</w:t>
      </w:r>
      <w:r w:rsidRPr="001D3EFC">
        <w:rPr>
          <w:rFonts w:ascii="Times New Roman" w:hAnsi="Times New Roman"/>
          <w:sz w:val="24"/>
          <w:szCs w:val="24"/>
          <w:lang w:val="lv-LV"/>
        </w:rPr>
        <w:t>.</w:t>
      </w:r>
      <w:r w:rsidR="004E392D">
        <w:rPr>
          <w:rFonts w:ascii="Times New Roman" w:hAnsi="Times New Roman"/>
          <w:sz w:val="24"/>
          <w:szCs w:val="24"/>
          <w:lang w:val="lv-LV"/>
        </w:rPr>
        <w:t xml:space="preserve"> </w:t>
      </w:r>
      <w:r w:rsidRPr="001D3EFC">
        <w:rPr>
          <w:rFonts w:ascii="Times New Roman" w:hAnsi="Times New Roman"/>
          <w:sz w:val="24"/>
          <w:szCs w:val="24"/>
          <w:lang w:val="lv-LV"/>
        </w:rPr>
        <w:t xml:space="preserve">gadā pētījumiem </w:t>
      </w:r>
      <w:r>
        <w:rPr>
          <w:rFonts w:ascii="Times New Roman" w:hAnsi="Times New Roman"/>
          <w:sz w:val="24"/>
          <w:szCs w:val="24"/>
          <w:lang w:val="lv-LV"/>
        </w:rPr>
        <w:t xml:space="preserve">ir </w:t>
      </w:r>
      <w:r w:rsidRPr="001D3EFC">
        <w:rPr>
          <w:rFonts w:ascii="Times New Roman" w:hAnsi="Times New Roman"/>
          <w:sz w:val="24"/>
          <w:szCs w:val="24"/>
          <w:lang w:val="lv-LV"/>
        </w:rPr>
        <w:t xml:space="preserve">piešķirts valsts budžeta finansējums 4 388 212 </w:t>
      </w:r>
      <w:r w:rsidRPr="001D3EFC">
        <w:rPr>
          <w:rFonts w:ascii="Times New Roman" w:hAnsi="Times New Roman"/>
          <w:i/>
          <w:sz w:val="24"/>
          <w:szCs w:val="24"/>
          <w:lang w:val="lv-LV"/>
        </w:rPr>
        <w:t>euro</w:t>
      </w:r>
      <w:r>
        <w:rPr>
          <w:rFonts w:ascii="Times New Roman" w:hAnsi="Times New Roman"/>
          <w:i/>
          <w:sz w:val="24"/>
          <w:szCs w:val="24"/>
          <w:lang w:val="lv-LV"/>
        </w:rPr>
        <w:t xml:space="preserve"> </w:t>
      </w:r>
      <w:r w:rsidRPr="002D7733">
        <w:rPr>
          <w:rFonts w:ascii="Times New Roman" w:hAnsi="Times New Roman"/>
          <w:sz w:val="24"/>
          <w:szCs w:val="24"/>
          <w:lang w:val="lv-LV"/>
        </w:rPr>
        <w:t>un 2017.</w:t>
      </w:r>
      <w:r w:rsidR="004E392D">
        <w:rPr>
          <w:rFonts w:ascii="Times New Roman" w:hAnsi="Times New Roman"/>
          <w:sz w:val="24"/>
          <w:szCs w:val="24"/>
          <w:lang w:val="lv-LV"/>
        </w:rPr>
        <w:t> gadā plānots finansējums 1 </w:t>
      </w:r>
      <w:r w:rsidRPr="002D7733">
        <w:rPr>
          <w:rFonts w:ascii="Times New Roman" w:hAnsi="Times New Roman"/>
          <w:sz w:val="24"/>
          <w:szCs w:val="24"/>
          <w:lang w:val="lv-LV"/>
        </w:rPr>
        <w:t xml:space="preserve">195 447 </w:t>
      </w:r>
      <w:r w:rsidRPr="002D7733">
        <w:rPr>
          <w:rFonts w:ascii="Times New Roman" w:hAnsi="Times New Roman"/>
          <w:i/>
          <w:sz w:val="24"/>
          <w:szCs w:val="24"/>
          <w:lang w:val="lv-LV"/>
        </w:rPr>
        <w:t>euro</w:t>
      </w:r>
      <w:r w:rsidRPr="002D7733">
        <w:rPr>
          <w:rFonts w:ascii="Times New Roman" w:hAnsi="Times New Roman"/>
          <w:sz w:val="24"/>
          <w:szCs w:val="24"/>
          <w:lang w:val="lv-LV"/>
        </w:rPr>
        <w:t xml:space="preserve"> apmērā.</w:t>
      </w:r>
      <w:r>
        <w:rPr>
          <w:rFonts w:ascii="Times New Roman" w:hAnsi="Times New Roman"/>
          <w:sz w:val="24"/>
          <w:szCs w:val="24"/>
          <w:lang w:val="lv-LV"/>
        </w:rPr>
        <w:t xml:space="preserve"> Ņemot vērā to, ka fundamentālo un lietišķo pētījumu uzdevums ir veidot valsts un </w:t>
      </w:r>
      <w:r>
        <w:rPr>
          <w:rFonts w:ascii="Times New Roman" w:hAnsi="Times New Roman"/>
          <w:sz w:val="24"/>
          <w:szCs w:val="24"/>
          <w:lang w:val="lv-LV"/>
        </w:rPr>
        <w:lastRenderedPageBreak/>
        <w:t>tautsaimniecības attīstībai nepieciešamo zināšanu bāzi visās zinātņu nozar</w:t>
      </w:r>
      <w:r w:rsidR="005A4244">
        <w:rPr>
          <w:rFonts w:ascii="Times New Roman" w:hAnsi="Times New Roman"/>
          <w:sz w:val="24"/>
          <w:szCs w:val="24"/>
          <w:lang w:val="lv-LV"/>
        </w:rPr>
        <w:t xml:space="preserve">ēs, finansējums 4 milj. </w:t>
      </w:r>
      <w:r w:rsidR="005A4244" w:rsidRPr="00350F96">
        <w:rPr>
          <w:rFonts w:ascii="Times New Roman" w:hAnsi="Times New Roman"/>
          <w:i/>
          <w:sz w:val="24"/>
          <w:szCs w:val="24"/>
          <w:lang w:val="lv-LV"/>
        </w:rPr>
        <w:t>euro</w:t>
      </w:r>
      <w:r w:rsidR="005A4244">
        <w:rPr>
          <w:rFonts w:ascii="Times New Roman" w:hAnsi="Times New Roman"/>
          <w:sz w:val="24"/>
          <w:szCs w:val="24"/>
          <w:lang w:val="lv-LV"/>
        </w:rPr>
        <w:t xml:space="preserve"> gadā nav pietiekošs šī zinātnei izvirzītā uzdevuma veikšanai. Tāpēc plānojot </w:t>
      </w:r>
      <w:r w:rsidR="00634ECF">
        <w:rPr>
          <w:rFonts w:ascii="Times New Roman" w:hAnsi="Times New Roman"/>
          <w:sz w:val="24"/>
          <w:szCs w:val="24"/>
          <w:lang w:val="lv-LV"/>
        </w:rPr>
        <w:t>2014</w:t>
      </w:r>
      <w:r w:rsidR="004A2214">
        <w:rPr>
          <w:rFonts w:ascii="Times New Roman" w:hAnsi="Times New Roman"/>
          <w:sz w:val="24"/>
          <w:szCs w:val="24"/>
          <w:lang w:val="lv-LV"/>
        </w:rPr>
        <w:t>.</w:t>
      </w:r>
      <w:r w:rsidR="004A2214" w:rsidRPr="004A2214">
        <w:rPr>
          <w:rFonts w:ascii="Times New Roman" w:hAnsi="Times New Roman"/>
          <w:sz w:val="24"/>
          <w:szCs w:val="24"/>
          <w:lang w:val="lv-LV"/>
        </w:rPr>
        <w:t>–</w:t>
      </w:r>
      <w:r w:rsidR="005A4244">
        <w:rPr>
          <w:rFonts w:ascii="Times New Roman" w:hAnsi="Times New Roman"/>
          <w:sz w:val="24"/>
          <w:szCs w:val="24"/>
          <w:lang w:val="lv-LV"/>
        </w:rPr>
        <w:t>2020.</w:t>
      </w:r>
      <w:r w:rsidR="006A354B">
        <w:rPr>
          <w:rFonts w:ascii="Times New Roman" w:hAnsi="Times New Roman"/>
          <w:sz w:val="24"/>
          <w:szCs w:val="24"/>
          <w:lang w:val="lv-LV"/>
        </w:rPr>
        <w:t xml:space="preserve"> </w:t>
      </w:r>
      <w:r w:rsidR="005A4244">
        <w:rPr>
          <w:rFonts w:ascii="Times New Roman" w:hAnsi="Times New Roman"/>
          <w:sz w:val="24"/>
          <w:szCs w:val="24"/>
          <w:lang w:val="lv-LV"/>
        </w:rPr>
        <w:t xml:space="preserve">gada </w:t>
      </w:r>
      <w:r w:rsidR="00634ECF">
        <w:rPr>
          <w:rFonts w:ascii="Times New Roman" w:hAnsi="Times New Roman"/>
          <w:sz w:val="24"/>
          <w:szCs w:val="24"/>
          <w:lang w:val="lv-LV"/>
        </w:rPr>
        <w:t xml:space="preserve">plānošanas perioda </w:t>
      </w:r>
      <w:r w:rsidR="005A4244">
        <w:rPr>
          <w:rFonts w:ascii="Times New Roman" w:hAnsi="Times New Roman"/>
          <w:sz w:val="24"/>
          <w:szCs w:val="24"/>
          <w:lang w:val="lv-LV"/>
        </w:rPr>
        <w:t xml:space="preserve">ES fondu ieguldījumus 20 </w:t>
      </w:r>
      <w:r w:rsidR="00634ECF">
        <w:rPr>
          <w:rFonts w:ascii="Times New Roman" w:hAnsi="Times New Roman"/>
          <w:sz w:val="24"/>
          <w:szCs w:val="24"/>
          <w:lang w:val="lv-LV"/>
        </w:rPr>
        <w:t>procentus</w:t>
      </w:r>
      <w:r w:rsidR="004A2214">
        <w:rPr>
          <w:rFonts w:ascii="Times New Roman" w:hAnsi="Times New Roman"/>
          <w:sz w:val="24"/>
          <w:szCs w:val="24"/>
          <w:lang w:val="lv-LV"/>
        </w:rPr>
        <w:t xml:space="preserve"> </w:t>
      </w:r>
      <w:r w:rsidR="005A4244">
        <w:rPr>
          <w:rFonts w:ascii="Times New Roman" w:hAnsi="Times New Roman"/>
          <w:sz w:val="24"/>
          <w:szCs w:val="24"/>
          <w:lang w:val="lv-LV"/>
        </w:rPr>
        <w:t xml:space="preserve">no </w:t>
      </w:r>
      <w:r w:rsidR="00634ECF">
        <w:rPr>
          <w:rFonts w:ascii="Times New Roman" w:hAnsi="Times New Roman"/>
          <w:sz w:val="24"/>
          <w:szCs w:val="24"/>
          <w:lang w:val="lv-LV"/>
        </w:rPr>
        <w:t xml:space="preserve">1.1.1.1. pasākuma „Praktiskas ievirzes pētījumi” ietvaros </w:t>
      </w:r>
      <w:r w:rsidR="005A4244">
        <w:rPr>
          <w:rFonts w:ascii="Times New Roman" w:hAnsi="Times New Roman"/>
          <w:sz w:val="24"/>
          <w:szCs w:val="24"/>
          <w:lang w:val="lv-LV"/>
        </w:rPr>
        <w:t xml:space="preserve">praktiskas ievirzes pētījumiem plānotā finansējuma jeb apmēram 15 milj. </w:t>
      </w:r>
      <w:r w:rsidR="005A4244" w:rsidRPr="002D7733">
        <w:rPr>
          <w:rFonts w:ascii="Times New Roman" w:hAnsi="Times New Roman"/>
          <w:i/>
          <w:sz w:val="24"/>
          <w:szCs w:val="24"/>
          <w:lang w:val="lv-LV"/>
        </w:rPr>
        <w:t>euro</w:t>
      </w:r>
      <w:r w:rsidR="005A4244">
        <w:rPr>
          <w:rFonts w:ascii="Times New Roman" w:hAnsi="Times New Roman"/>
          <w:sz w:val="24"/>
          <w:szCs w:val="24"/>
          <w:lang w:val="lv-LV"/>
        </w:rPr>
        <w:t xml:space="preserve"> ir paredzēts</w:t>
      </w:r>
      <w:r w:rsidR="00634ECF">
        <w:rPr>
          <w:rFonts w:ascii="Times New Roman" w:hAnsi="Times New Roman"/>
          <w:sz w:val="24"/>
          <w:szCs w:val="24"/>
          <w:lang w:val="lv-LV"/>
        </w:rPr>
        <w:t xml:space="preserve"> novirzīt</w:t>
      </w:r>
      <w:r w:rsidR="005A4244">
        <w:rPr>
          <w:rFonts w:ascii="Times New Roman" w:hAnsi="Times New Roman"/>
          <w:sz w:val="24"/>
          <w:szCs w:val="24"/>
          <w:lang w:val="lv-LV"/>
        </w:rPr>
        <w:t xml:space="preserve"> fundamentālo pētījumu īstenošanai. Šis ir krīzes risinājums, kura mērķis ir nodrošināt zinātnes esamības Latvijā nepārtrauktību. </w:t>
      </w:r>
    </w:p>
    <w:p w14:paraId="22D0DB66" w14:textId="6AB0A50E" w:rsidR="003523F8" w:rsidRPr="00C07278" w:rsidRDefault="00034FC8" w:rsidP="00E7642A">
      <w:pPr>
        <w:autoSpaceDE w:val="0"/>
        <w:autoSpaceDN w:val="0"/>
        <w:adjustRightInd w:val="0"/>
        <w:spacing w:before="200"/>
        <w:ind w:left="0" w:firstLine="567"/>
        <w:rPr>
          <w:rFonts w:ascii="Times New Roman" w:hAnsi="Times New Roman"/>
          <w:sz w:val="24"/>
          <w:szCs w:val="24"/>
        </w:rPr>
      </w:pPr>
      <w:r w:rsidRPr="00C07278">
        <w:rPr>
          <w:rFonts w:ascii="Times New Roman" w:hAnsi="Times New Roman"/>
          <w:color w:val="000000"/>
          <w:sz w:val="24"/>
          <w:szCs w:val="24"/>
        </w:rPr>
        <w:t>2014.</w:t>
      </w:r>
      <w:r w:rsidR="00634ECF" w:rsidRPr="004A2214">
        <w:rPr>
          <w:rFonts w:ascii="Times New Roman" w:hAnsi="Times New Roman"/>
          <w:sz w:val="24"/>
          <w:szCs w:val="24"/>
        </w:rPr>
        <w:t>–</w:t>
      </w:r>
      <w:r w:rsidRPr="00C07278">
        <w:rPr>
          <w:rFonts w:ascii="Times New Roman" w:hAnsi="Times New Roman"/>
          <w:color w:val="000000"/>
          <w:sz w:val="24"/>
          <w:szCs w:val="24"/>
        </w:rPr>
        <w:t>2017</w:t>
      </w:r>
      <w:r w:rsidR="008E5306" w:rsidRPr="00C07278">
        <w:rPr>
          <w:rFonts w:ascii="Times New Roman" w:hAnsi="Times New Roman"/>
          <w:color w:val="000000"/>
          <w:sz w:val="24"/>
          <w:szCs w:val="24"/>
        </w:rPr>
        <w:t>.</w:t>
      </w:r>
      <w:r w:rsidR="006A354B">
        <w:rPr>
          <w:rFonts w:ascii="Times New Roman" w:hAnsi="Times New Roman"/>
          <w:color w:val="000000"/>
          <w:sz w:val="24"/>
          <w:szCs w:val="24"/>
        </w:rPr>
        <w:t xml:space="preserve"> </w:t>
      </w:r>
      <w:r w:rsidR="008E5306" w:rsidRPr="00C07278">
        <w:rPr>
          <w:rFonts w:ascii="Times New Roman" w:hAnsi="Times New Roman"/>
          <w:color w:val="000000"/>
          <w:sz w:val="24"/>
          <w:szCs w:val="24"/>
        </w:rPr>
        <w:t xml:space="preserve">gadā tiek </w:t>
      </w:r>
      <w:r w:rsidR="007C7CEE">
        <w:rPr>
          <w:rFonts w:ascii="Times New Roman" w:hAnsi="Times New Roman"/>
          <w:color w:val="000000"/>
          <w:sz w:val="24"/>
          <w:szCs w:val="24"/>
        </w:rPr>
        <w:t xml:space="preserve">īstenotas </w:t>
      </w:r>
      <w:r w:rsidRPr="00C07278">
        <w:rPr>
          <w:rFonts w:ascii="Times New Roman" w:hAnsi="Times New Roman"/>
          <w:color w:val="000000"/>
          <w:sz w:val="24"/>
          <w:szCs w:val="24"/>
        </w:rPr>
        <w:t>14</w:t>
      </w:r>
      <w:r w:rsidR="008E5306" w:rsidRPr="00C07278">
        <w:rPr>
          <w:rFonts w:ascii="Times New Roman" w:hAnsi="Times New Roman"/>
          <w:color w:val="000000"/>
          <w:sz w:val="24"/>
          <w:szCs w:val="24"/>
        </w:rPr>
        <w:t xml:space="preserve"> </w:t>
      </w:r>
      <w:r w:rsidR="00DA3D5A" w:rsidRPr="00C07278">
        <w:rPr>
          <w:rFonts w:ascii="Times New Roman" w:hAnsi="Times New Roman"/>
          <w:sz w:val="24"/>
          <w:szCs w:val="24"/>
        </w:rPr>
        <w:t>Valsts pētījumu programmas</w:t>
      </w:r>
      <w:r w:rsidR="00DA3D5A" w:rsidRPr="00C07278">
        <w:rPr>
          <w:rStyle w:val="FootnoteReference"/>
          <w:rFonts w:ascii="Times New Roman" w:hAnsi="Times New Roman"/>
          <w:sz w:val="24"/>
          <w:szCs w:val="24"/>
        </w:rPr>
        <w:footnoteReference w:id="26"/>
      </w:r>
      <w:r w:rsidR="00271854">
        <w:rPr>
          <w:rFonts w:ascii="Times New Roman" w:hAnsi="Times New Roman"/>
          <w:color w:val="000000"/>
          <w:sz w:val="24"/>
          <w:szCs w:val="24"/>
        </w:rPr>
        <w:t xml:space="preserve"> </w:t>
      </w:r>
      <w:r w:rsidR="00634ECF" w:rsidRPr="004A2214">
        <w:rPr>
          <w:rFonts w:ascii="Times New Roman" w:hAnsi="Times New Roman"/>
          <w:sz w:val="24"/>
          <w:szCs w:val="24"/>
        </w:rPr>
        <w:t>–</w:t>
      </w:r>
      <w:r w:rsidR="00271854">
        <w:rPr>
          <w:rFonts w:ascii="Times New Roman" w:hAnsi="Times New Roman"/>
          <w:color w:val="000000"/>
          <w:sz w:val="24"/>
          <w:szCs w:val="24"/>
        </w:rPr>
        <w:t xml:space="preserve"> </w:t>
      </w:r>
      <w:r w:rsidR="008E5306" w:rsidRPr="00C07278">
        <w:rPr>
          <w:rFonts w:ascii="Times New Roman" w:hAnsi="Times New Roman"/>
          <w:sz w:val="24"/>
          <w:szCs w:val="24"/>
        </w:rPr>
        <w:t>valsts pasūtījums pētījumi</w:t>
      </w:r>
      <w:r w:rsidR="007C7CEE">
        <w:rPr>
          <w:rFonts w:ascii="Times New Roman" w:hAnsi="Times New Roman"/>
          <w:sz w:val="24"/>
          <w:szCs w:val="24"/>
        </w:rPr>
        <w:t>em</w:t>
      </w:r>
      <w:r w:rsidR="008E5306" w:rsidRPr="00C07278">
        <w:rPr>
          <w:rFonts w:ascii="Times New Roman" w:hAnsi="Times New Roman"/>
          <w:sz w:val="24"/>
          <w:szCs w:val="24"/>
        </w:rPr>
        <w:t xml:space="preserve"> noteiktā ekonomikas, izglītības, kultūras vai citā valstij </w:t>
      </w:r>
      <w:r w:rsidR="00D55F2F">
        <w:rPr>
          <w:rFonts w:ascii="Times New Roman" w:hAnsi="Times New Roman"/>
          <w:sz w:val="24"/>
          <w:szCs w:val="24"/>
        </w:rPr>
        <w:t>nozīmīgā zināšanu jomā</w:t>
      </w:r>
      <w:r w:rsidR="008E5306" w:rsidRPr="00C07278">
        <w:rPr>
          <w:rFonts w:ascii="Times New Roman" w:hAnsi="Times New Roman"/>
          <w:sz w:val="24"/>
          <w:szCs w:val="24"/>
        </w:rPr>
        <w:t xml:space="preserve"> ar mērķi veicināt šīs </w:t>
      </w:r>
      <w:r w:rsidR="00D55F2F">
        <w:rPr>
          <w:rFonts w:ascii="Times New Roman" w:hAnsi="Times New Roman"/>
          <w:sz w:val="24"/>
          <w:szCs w:val="24"/>
        </w:rPr>
        <w:t>jomas</w:t>
      </w:r>
      <w:r w:rsidR="00D55F2F" w:rsidRPr="00C07278">
        <w:rPr>
          <w:rFonts w:ascii="Times New Roman" w:hAnsi="Times New Roman"/>
          <w:sz w:val="24"/>
          <w:szCs w:val="24"/>
        </w:rPr>
        <w:t xml:space="preserve"> </w:t>
      </w:r>
      <w:r w:rsidR="008E5306" w:rsidRPr="00C07278">
        <w:rPr>
          <w:rFonts w:ascii="Times New Roman" w:hAnsi="Times New Roman"/>
          <w:sz w:val="24"/>
          <w:szCs w:val="24"/>
        </w:rPr>
        <w:t xml:space="preserve">attīstību. </w:t>
      </w:r>
      <w:r w:rsidRPr="00D55F2F">
        <w:rPr>
          <w:rFonts w:ascii="Times New Roman" w:hAnsi="Times New Roman"/>
          <w:sz w:val="24"/>
          <w:szCs w:val="24"/>
        </w:rPr>
        <w:t>Valsts budžeta programmas “Zinātne” apakšprogrammas 05</w:t>
      </w:r>
      <w:r w:rsidRPr="00E0256A">
        <w:rPr>
          <w:rFonts w:ascii="Times New Roman" w:hAnsi="Times New Roman"/>
          <w:sz w:val="24"/>
          <w:szCs w:val="24"/>
        </w:rPr>
        <w:t xml:space="preserve">.12.00. </w:t>
      </w:r>
      <w:r w:rsidR="006A354B" w:rsidRPr="00E0256A">
        <w:rPr>
          <w:rFonts w:ascii="Times New Roman" w:hAnsi="Times New Roman"/>
          <w:sz w:val="24"/>
          <w:szCs w:val="24"/>
        </w:rPr>
        <w:t>“</w:t>
      </w:r>
      <w:r w:rsidRPr="00E0256A">
        <w:rPr>
          <w:rFonts w:ascii="Times New Roman" w:hAnsi="Times New Roman"/>
          <w:sz w:val="24"/>
          <w:szCs w:val="24"/>
        </w:rPr>
        <w:t xml:space="preserve">Valsts pētījumu programmas” kopējais indikatīvais finansējums 2014.–2017. gadam </w:t>
      </w:r>
      <w:r w:rsidR="00271854" w:rsidRPr="00E0256A">
        <w:rPr>
          <w:rFonts w:ascii="Times New Roman" w:hAnsi="Times New Roman"/>
          <w:sz w:val="24"/>
          <w:szCs w:val="24"/>
        </w:rPr>
        <w:t>ir</w:t>
      </w:r>
      <w:r w:rsidRPr="00E0256A">
        <w:rPr>
          <w:rFonts w:ascii="Times New Roman" w:hAnsi="Times New Roman"/>
          <w:sz w:val="24"/>
          <w:szCs w:val="24"/>
        </w:rPr>
        <w:t xml:space="preserve"> </w:t>
      </w:r>
      <w:r w:rsidR="00692190" w:rsidRPr="00E0256A">
        <w:rPr>
          <w:rFonts w:ascii="Times New Roman" w:hAnsi="Times New Roman"/>
          <w:sz w:val="24"/>
          <w:szCs w:val="24"/>
        </w:rPr>
        <w:t>26</w:t>
      </w:r>
      <w:r w:rsidR="00C55FC8" w:rsidRPr="00E0256A">
        <w:rPr>
          <w:rFonts w:ascii="Times New Roman" w:hAnsi="Times New Roman"/>
          <w:sz w:val="24"/>
          <w:szCs w:val="24"/>
        </w:rPr>
        <w:t> 952 784</w:t>
      </w:r>
      <w:r w:rsidRPr="00E0256A">
        <w:rPr>
          <w:rFonts w:ascii="Times New Roman" w:hAnsi="Times New Roman"/>
          <w:sz w:val="24"/>
          <w:szCs w:val="24"/>
        </w:rPr>
        <w:t xml:space="preserve"> </w:t>
      </w:r>
      <w:r w:rsidRPr="00E0256A">
        <w:rPr>
          <w:rFonts w:ascii="Times New Roman" w:hAnsi="Times New Roman"/>
          <w:i/>
          <w:sz w:val="24"/>
          <w:szCs w:val="24"/>
        </w:rPr>
        <w:t>euro</w:t>
      </w:r>
      <w:r w:rsidR="00C55FC8" w:rsidRPr="00E0256A">
        <w:rPr>
          <w:rStyle w:val="FootnoteReference"/>
          <w:rFonts w:ascii="Times New Roman" w:hAnsi="Times New Roman"/>
          <w:i/>
          <w:sz w:val="24"/>
          <w:szCs w:val="24"/>
        </w:rPr>
        <w:footnoteReference w:id="27"/>
      </w:r>
      <w:r w:rsidR="007208E2">
        <w:rPr>
          <w:rFonts w:ascii="Times New Roman" w:hAnsi="Times New Roman"/>
          <w:sz w:val="24"/>
          <w:szCs w:val="24"/>
        </w:rPr>
        <w:t xml:space="preserve">, jeb apmēram 5 milj. </w:t>
      </w:r>
      <w:r w:rsidR="007208E2" w:rsidRPr="00A952E6">
        <w:rPr>
          <w:rFonts w:ascii="Times New Roman" w:hAnsi="Times New Roman"/>
          <w:i/>
          <w:sz w:val="24"/>
          <w:szCs w:val="24"/>
        </w:rPr>
        <w:t xml:space="preserve">euro </w:t>
      </w:r>
      <w:r w:rsidR="007208E2">
        <w:rPr>
          <w:rFonts w:ascii="Times New Roman" w:hAnsi="Times New Roman"/>
          <w:sz w:val="24"/>
          <w:szCs w:val="24"/>
        </w:rPr>
        <w:t xml:space="preserve">gadā. </w:t>
      </w:r>
      <w:r w:rsidR="00271854" w:rsidRPr="00E0256A">
        <w:rPr>
          <w:rFonts w:ascii="Times New Roman" w:hAnsi="Times New Roman"/>
          <w:sz w:val="24"/>
          <w:szCs w:val="24"/>
        </w:rPr>
        <w:t xml:space="preserve">Šāds finansējums nav pietiekošs visu tautsaimniecības attīstībai nepieciešamo pētījumu nodrošināšanai. Tāpēc </w:t>
      </w:r>
      <w:r w:rsidR="00D72ABF">
        <w:rPr>
          <w:rFonts w:ascii="Times New Roman" w:hAnsi="Times New Roman"/>
          <w:sz w:val="24"/>
          <w:szCs w:val="24"/>
        </w:rPr>
        <w:t xml:space="preserve">ir nepieciešams veidot ar tautsaimniecības nozarēm saistītas valsts pētījumu programmas, ko finansē attiecīgās nozaru ministrijas. </w:t>
      </w:r>
      <w:r w:rsidR="00271854" w:rsidRPr="00E0256A">
        <w:rPr>
          <w:rFonts w:ascii="Times New Roman" w:hAnsi="Times New Roman"/>
          <w:sz w:val="24"/>
          <w:szCs w:val="24"/>
        </w:rPr>
        <w:t>Enerģētikas pamatnostādnes 2016</w:t>
      </w:r>
      <w:r w:rsidR="004E392D" w:rsidRPr="00E0256A">
        <w:rPr>
          <w:rFonts w:ascii="Times New Roman" w:hAnsi="Times New Roman"/>
          <w:sz w:val="24"/>
          <w:szCs w:val="24"/>
        </w:rPr>
        <w:t>.–</w:t>
      </w:r>
      <w:r w:rsidR="00271854" w:rsidRPr="00E0256A">
        <w:rPr>
          <w:rFonts w:ascii="Times New Roman" w:hAnsi="Times New Roman"/>
          <w:sz w:val="24"/>
          <w:szCs w:val="24"/>
        </w:rPr>
        <w:t>2020</w:t>
      </w:r>
      <w:r w:rsidR="00C13A43" w:rsidRPr="00E0256A">
        <w:rPr>
          <w:rFonts w:ascii="Times New Roman" w:hAnsi="Times New Roman"/>
          <w:sz w:val="24"/>
          <w:szCs w:val="24"/>
        </w:rPr>
        <w:t>. gadam</w:t>
      </w:r>
      <w:r w:rsidR="00A520C8" w:rsidRPr="00E0256A">
        <w:rPr>
          <w:rStyle w:val="FootnoteReference"/>
          <w:rFonts w:ascii="Times New Roman" w:hAnsi="Times New Roman"/>
          <w:sz w:val="24"/>
          <w:szCs w:val="24"/>
        </w:rPr>
        <w:footnoteReference w:id="28"/>
      </w:r>
      <w:r w:rsidR="00271854" w:rsidRPr="00E0256A">
        <w:rPr>
          <w:rFonts w:ascii="Times New Roman" w:hAnsi="Times New Roman"/>
          <w:sz w:val="24"/>
          <w:szCs w:val="24"/>
        </w:rPr>
        <w:t xml:space="preserve"> paredz jaunas</w:t>
      </w:r>
      <w:r w:rsidR="00271854">
        <w:rPr>
          <w:rFonts w:ascii="Times New Roman" w:hAnsi="Times New Roman"/>
          <w:sz w:val="24"/>
          <w:szCs w:val="24"/>
        </w:rPr>
        <w:t xml:space="preserve"> Valsts pētījumu programmas iz</w:t>
      </w:r>
      <w:r w:rsidR="00BE2625">
        <w:rPr>
          <w:rFonts w:ascii="Times New Roman" w:hAnsi="Times New Roman"/>
          <w:sz w:val="24"/>
          <w:szCs w:val="24"/>
        </w:rPr>
        <w:t xml:space="preserve">strādi ar indikatīvo nepieciešamo papildus finansējumu 4 </w:t>
      </w:r>
      <w:r w:rsidR="00A520C8">
        <w:rPr>
          <w:rFonts w:ascii="Times New Roman" w:hAnsi="Times New Roman"/>
          <w:sz w:val="24"/>
          <w:szCs w:val="24"/>
        </w:rPr>
        <w:t xml:space="preserve">milj. </w:t>
      </w:r>
      <w:r w:rsidR="00A520C8" w:rsidRPr="00A520C8">
        <w:rPr>
          <w:rFonts w:ascii="Times New Roman" w:hAnsi="Times New Roman"/>
          <w:i/>
          <w:sz w:val="24"/>
          <w:szCs w:val="24"/>
        </w:rPr>
        <w:t>euro</w:t>
      </w:r>
      <w:r w:rsidR="00BE2625">
        <w:rPr>
          <w:rFonts w:ascii="Times New Roman" w:hAnsi="Times New Roman"/>
          <w:sz w:val="24"/>
          <w:szCs w:val="24"/>
        </w:rPr>
        <w:t xml:space="preserve"> gadā. </w:t>
      </w:r>
    </w:p>
    <w:p w14:paraId="417D9173" w14:textId="191C1690" w:rsidR="003523F8" w:rsidRPr="00C07278" w:rsidRDefault="003523F8" w:rsidP="00E7642A">
      <w:pPr>
        <w:tabs>
          <w:tab w:val="left" w:pos="0"/>
          <w:tab w:val="left" w:pos="567"/>
        </w:tabs>
        <w:spacing w:before="200"/>
        <w:ind w:left="0"/>
        <w:rPr>
          <w:rFonts w:ascii="Times New Roman" w:hAnsi="Times New Roman"/>
          <w:sz w:val="24"/>
          <w:szCs w:val="24"/>
        </w:rPr>
      </w:pPr>
      <w:r w:rsidRPr="00C07278">
        <w:rPr>
          <w:rFonts w:ascii="Times New Roman" w:hAnsi="Times New Roman"/>
          <w:sz w:val="24"/>
          <w:szCs w:val="24"/>
        </w:rPr>
        <w:tab/>
        <w:t>Lai nodrošinātu kvalificētu un darba tirgus prasībām atbilstošu speciālistu sagatavošanu, kas profesionālo darbību varētu trupināt kādā no zinātniskajām institūcijām</w:t>
      </w:r>
      <w:r w:rsidR="00233CAF">
        <w:rPr>
          <w:rFonts w:ascii="Times New Roman" w:hAnsi="Times New Roman"/>
          <w:sz w:val="24"/>
          <w:szCs w:val="24"/>
        </w:rPr>
        <w:t xml:space="preserve"> vai nozaru uzņēmumos</w:t>
      </w:r>
      <w:r w:rsidRPr="00C07278">
        <w:rPr>
          <w:rFonts w:ascii="Times New Roman" w:hAnsi="Times New Roman"/>
          <w:sz w:val="24"/>
          <w:szCs w:val="24"/>
        </w:rPr>
        <w:t>, ES struktūrfondu 2007.</w:t>
      </w:r>
      <w:r w:rsidR="006A354B" w:rsidRPr="00D55F2F">
        <w:rPr>
          <w:rFonts w:ascii="Times New Roman" w:hAnsi="Times New Roman"/>
          <w:sz w:val="24"/>
          <w:szCs w:val="24"/>
        </w:rPr>
        <w:t>–</w:t>
      </w:r>
      <w:r w:rsidRPr="00C07278">
        <w:rPr>
          <w:rFonts w:ascii="Times New Roman" w:hAnsi="Times New Roman"/>
          <w:sz w:val="24"/>
          <w:szCs w:val="24"/>
        </w:rPr>
        <w:t>2013.</w:t>
      </w:r>
      <w:r w:rsidR="00A36CEB">
        <w:rPr>
          <w:rFonts w:ascii="Times New Roman" w:hAnsi="Times New Roman"/>
          <w:sz w:val="24"/>
          <w:szCs w:val="24"/>
        </w:rPr>
        <w:t> </w:t>
      </w:r>
      <w:r w:rsidRPr="00C07278">
        <w:rPr>
          <w:rFonts w:ascii="Times New Roman" w:hAnsi="Times New Roman"/>
          <w:sz w:val="24"/>
          <w:szCs w:val="24"/>
        </w:rPr>
        <w:t>gada plānošanas periodā 3.1.2.1.1.</w:t>
      </w:r>
      <w:r w:rsidR="006A354B">
        <w:rPr>
          <w:rFonts w:ascii="Times New Roman" w:hAnsi="Times New Roman"/>
          <w:sz w:val="24"/>
          <w:szCs w:val="24"/>
        </w:rPr>
        <w:t xml:space="preserve"> </w:t>
      </w:r>
      <w:r w:rsidRPr="00C07278">
        <w:rPr>
          <w:rFonts w:ascii="Times New Roman" w:hAnsi="Times New Roman"/>
          <w:sz w:val="24"/>
          <w:szCs w:val="24"/>
        </w:rPr>
        <w:t>apakšaktivitātes "</w:t>
      </w:r>
      <w:r w:rsidRPr="002D7733">
        <w:rPr>
          <w:rFonts w:ascii="Times New Roman" w:hAnsi="Times New Roman"/>
          <w:i/>
          <w:sz w:val="24"/>
          <w:szCs w:val="24"/>
        </w:rPr>
        <w:t>Augstākās izglītības iestāžu telpu un iekārtu modernizēšana studiju programmu kvalitātes uzlabošanai, tajā skaitā, nodrošinot izglītības programmu apgūšanas iespējas arī personām ar funkcionāliem traucējumiem</w:t>
      </w:r>
      <w:r w:rsidRPr="00C07278">
        <w:rPr>
          <w:rFonts w:ascii="Times New Roman" w:hAnsi="Times New Roman"/>
          <w:sz w:val="24"/>
          <w:szCs w:val="24"/>
        </w:rPr>
        <w:t>"</w:t>
      </w:r>
      <w:r w:rsidRPr="00C07278">
        <w:rPr>
          <w:rStyle w:val="FootnoteReference"/>
          <w:rFonts w:ascii="Times New Roman" w:hAnsi="Times New Roman"/>
          <w:sz w:val="24"/>
          <w:szCs w:val="24"/>
        </w:rPr>
        <w:footnoteReference w:id="29"/>
      </w:r>
      <w:r w:rsidRPr="00C07278">
        <w:rPr>
          <w:rFonts w:ascii="Times New Roman" w:hAnsi="Times New Roman"/>
          <w:sz w:val="24"/>
          <w:szCs w:val="24"/>
        </w:rPr>
        <w:t xml:space="preserve"> ietvaros </w:t>
      </w:r>
      <w:r w:rsidR="00D55F2F">
        <w:rPr>
          <w:rFonts w:ascii="Times New Roman" w:hAnsi="Times New Roman"/>
          <w:sz w:val="24"/>
          <w:szCs w:val="24"/>
        </w:rPr>
        <w:t>ieguldījumi tika veikti</w:t>
      </w:r>
      <w:r w:rsidRPr="00C07278">
        <w:rPr>
          <w:rFonts w:ascii="Times New Roman" w:hAnsi="Times New Roman"/>
          <w:sz w:val="24"/>
          <w:szCs w:val="24"/>
        </w:rPr>
        <w:t xml:space="preserve"> to augstākās izglītības infrastruktūras modernizēšan</w:t>
      </w:r>
      <w:r w:rsidR="00D55F2F">
        <w:rPr>
          <w:rFonts w:ascii="Times New Roman" w:hAnsi="Times New Roman"/>
          <w:sz w:val="24"/>
          <w:szCs w:val="24"/>
        </w:rPr>
        <w:t>ā</w:t>
      </w:r>
      <w:r w:rsidRPr="00C07278">
        <w:rPr>
          <w:rFonts w:ascii="Times New Roman" w:hAnsi="Times New Roman"/>
          <w:sz w:val="24"/>
          <w:szCs w:val="24"/>
        </w:rPr>
        <w:t>, kas īsteno sekojošas augstākās izglītības programmas:</w:t>
      </w:r>
    </w:p>
    <w:p w14:paraId="0941C7DD" w14:textId="77777777" w:rsidR="00DC74BA" w:rsidRPr="00C07278" w:rsidRDefault="003523F8" w:rsidP="00E7642A">
      <w:pPr>
        <w:pStyle w:val="ListParagraph"/>
        <w:numPr>
          <w:ilvl w:val="0"/>
          <w:numId w:val="9"/>
        </w:numPr>
        <w:tabs>
          <w:tab w:val="left" w:pos="0"/>
        </w:tabs>
        <w:ind w:left="993" w:hanging="426"/>
        <w:rPr>
          <w:rFonts w:cs="Times New Roman"/>
        </w:rPr>
      </w:pPr>
      <w:r w:rsidRPr="00C07278">
        <w:rPr>
          <w:rFonts w:cs="Times New Roman"/>
        </w:rPr>
        <w:t>dabaszinātnes, matemātika un informācijas tehnoloģijas vai inženierzinātnes, ražošana un būvniecība;</w:t>
      </w:r>
    </w:p>
    <w:p w14:paraId="3B9D3005" w14:textId="77777777" w:rsidR="00DC74BA" w:rsidRPr="00C07278" w:rsidRDefault="003523F8" w:rsidP="00E7642A">
      <w:pPr>
        <w:pStyle w:val="ListParagraph"/>
        <w:numPr>
          <w:ilvl w:val="0"/>
          <w:numId w:val="9"/>
        </w:numPr>
        <w:tabs>
          <w:tab w:val="left" w:pos="0"/>
        </w:tabs>
        <w:ind w:left="993" w:hanging="426"/>
        <w:rPr>
          <w:rFonts w:cs="Times New Roman"/>
        </w:rPr>
      </w:pPr>
      <w:r w:rsidRPr="00C07278">
        <w:rPr>
          <w:rFonts w:cs="Times New Roman"/>
        </w:rPr>
        <w:t>veselības aprūpe (izņemot kosmetoloģijas izglītības programmu kopu), vides aizsardzība vai māksla (radošās industrijas) (izņemot dizaina izglītības programmu kopu);</w:t>
      </w:r>
    </w:p>
    <w:p w14:paraId="1847F547" w14:textId="77777777" w:rsidR="00DC74BA" w:rsidRPr="00C07278" w:rsidRDefault="003523F8" w:rsidP="00E7642A">
      <w:pPr>
        <w:pStyle w:val="ListParagraph"/>
        <w:numPr>
          <w:ilvl w:val="0"/>
          <w:numId w:val="9"/>
        </w:numPr>
        <w:tabs>
          <w:tab w:val="left" w:pos="0"/>
        </w:tabs>
        <w:ind w:left="993" w:hanging="426"/>
        <w:rPr>
          <w:rFonts w:cs="Times New Roman"/>
        </w:rPr>
      </w:pPr>
      <w:r w:rsidRPr="00C07278">
        <w:rPr>
          <w:rFonts w:cs="Times New Roman"/>
        </w:rPr>
        <w:t>pedagogu izglītība, kas saistīta ar prioritārajām augstākās izglītības tematiskajām grupām vai jomām, tai skaitā dabaszinātņu skolotājs, matemātikas skolotājs, informātikas skolotājs, speciālās izglītības skolotājs, surdopedagogs (surdotulks);</w:t>
      </w:r>
    </w:p>
    <w:p w14:paraId="1B9966E2" w14:textId="77777777" w:rsidR="00DC74BA" w:rsidRPr="00C07278" w:rsidRDefault="003523F8" w:rsidP="00E7642A">
      <w:pPr>
        <w:pStyle w:val="ListParagraph"/>
        <w:numPr>
          <w:ilvl w:val="0"/>
          <w:numId w:val="9"/>
        </w:numPr>
        <w:tabs>
          <w:tab w:val="left" w:pos="0"/>
        </w:tabs>
        <w:ind w:left="993" w:hanging="426"/>
        <w:rPr>
          <w:rFonts w:cs="Times New Roman"/>
        </w:rPr>
      </w:pPr>
      <w:r w:rsidRPr="00C07278">
        <w:rPr>
          <w:rFonts w:cs="Times New Roman"/>
        </w:rPr>
        <w:t>lauksaimniecība, mežsaimniecība, zivsaimniecība vai veterinārija;</w:t>
      </w:r>
    </w:p>
    <w:p w14:paraId="670CA785" w14:textId="77777777" w:rsidR="009D5766" w:rsidRPr="00C07278" w:rsidRDefault="003523F8" w:rsidP="00E7642A">
      <w:pPr>
        <w:pStyle w:val="ListParagraph"/>
        <w:numPr>
          <w:ilvl w:val="0"/>
          <w:numId w:val="9"/>
        </w:numPr>
        <w:tabs>
          <w:tab w:val="left" w:pos="0"/>
        </w:tabs>
        <w:ind w:left="993" w:hanging="426"/>
        <w:rPr>
          <w:rFonts w:cs="Times New Roman"/>
        </w:rPr>
      </w:pPr>
      <w:r w:rsidRPr="00C07278">
        <w:rPr>
          <w:rFonts w:cs="Times New Roman"/>
        </w:rPr>
        <w:t>sociālie pakalpojumi, lai nodrošinātu vai uzlabotu studiju iespējas personām ar funkcionāliem traucējumiem;</w:t>
      </w:r>
    </w:p>
    <w:p w14:paraId="6B8374BA" w14:textId="77777777" w:rsidR="00D55F2F" w:rsidRPr="006D72E2" w:rsidRDefault="003523F8" w:rsidP="00E7642A">
      <w:pPr>
        <w:pStyle w:val="ListParagraph"/>
        <w:numPr>
          <w:ilvl w:val="0"/>
          <w:numId w:val="9"/>
        </w:numPr>
        <w:tabs>
          <w:tab w:val="left" w:pos="0"/>
        </w:tabs>
        <w:ind w:left="993" w:hanging="426"/>
        <w:rPr>
          <w:rFonts w:cs="Times New Roman"/>
        </w:rPr>
      </w:pPr>
      <w:r w:rsidRPr="00C07278">
        <w:rPr>
          <w:rFonts w:cs="Times New Roman"/>
        </w:rPr>
        <w:lastRenderedPageBreak/>
        <w:t>pirmā līmeņa profesionālās augstākās izglītības programmās, lai nodrošinātu vai uzlabotu studiju iespējas personām ar funkcionāliem traucējumiem.</w:t>
      </w:r>
    </w:p>
    <w:p w14:paraId="2D21F47D" w14:textId="77777777" w:rsidR="006D73F8" w:rsidRPr="00C07278" w:rsidRDefault="00413ACC"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r>
      <w:r w:rsidRPr="00D55F2F">
        <w:rPr>
          <w:rFonts w:ascii="Times New Roman" w:hAnsi="Times New Roman"/>
          <w:sz w:val="24"/>
          <w:szCs w:val="24"/>
        </w:rPr>
        <w:t>3.1.2.1.1.</w:t>
      </w:r>
      <w:r w:rsidR="006A354B">
        <w:rPr>
          <w:rFonts w:ascii="Times New Roman" w:hAnsi="Times New Roman"/>
          <w:sz w:val="24"/>
          <w:szCs w:val="24"/>
        </w:rPr>
        <w:t xml:space="preserve"> </w:t>
      </w:r>
      <w:r w:rsidRPr="00D55F2F">
        <w:rPr>
          <w:rFonts w:ascii="Times New Roman" w:hAnsi="Times New Roman"/>
          <w:sz w:val="24"/>
          <w:szCs w:val="24"/>
        </w:rPr>
        <w:t>apakšaktivitātes ietvaros</w:t>
      </w:r>
      <w:r w:rsidR="00C738DD" w:rsidRPr="00D55F2F">
        <w:rPr>
          <w:rFonts w:ascii="Times New Roman" w:hAnsi="Times New Roman"/>
          <w:sz w:val="24"/>
          <w:szCs w:val="24"/>
        </w:rPr>
        <w:t xml:space="preserve"> </w:t>
      </w:r>
      <w:r w:rsidR="00D55F2F" w:rsidRPr="002D7733">
        <w:rPr>
          <w:rFonts w:ascii="Times New Roman" w:hAnsi="Times New Roman"/>
          <w:sz w:val="24"/>
          <w:szCs w:val="24"/>
        </w:rPr>
        <w:t xml:space="preserve">ir </w:t>
      </w:r>
      <w:r w:rsidRPr="00D55F2F">
        <w:rPr>
          <w:rFonts w:ascii="Times New Roman" w:hAnsi="Times New Roman"/>
          <w:sz w:val="24"/>
          <w:szCs w:val="24"/>
        </w:rPr>
        <w:t>noslēg</w:t>
      </w:r>
      <w:r w:rsidR="00C738DD" w:rsidRPr="00D55F2F">
        <w:rPr>
          <w:rFonts w:ascii="Times New Roman" w:hAnsi="Times New Roman"/>
          <w:sz w:val="24"/>
          <w:szCs w:val="24"/>
        </w:rPr>
        <w:t>usies</w:t>
      </w:r>
      <w:r w:rsidRPr="00D55F2F">
        <w:rPr>
          <w:rFonts w:ascii="Times New Roman" w:hAnsi="Times New Roman"/>
          <w:sz w:val="24"/>
          <w:szCs w:val="24"/>
        </w:rPr>
        <w:t xml:space="preserve"> 31 </w:t>
      </w:r>
      <w:r w:rsidR="00C738DD" w:rsidRPr="002D7733">
        <w:rPr>
          <w:rFonts w:ascii="Times New Roman" w:hAnsi="Times New Roman"/>
          <w:sz w:val="24"/>
          <w:szCs w:val="24"/>
        </w:rPr>
        <w:t xml:space="preserve">projekta ieviešana, kuru rezultātā modernizēta studiju procesu nodrošināšanai nepieciešamā infrastruktūra par kopējo attiecināmo finansējumu </w:t>
      </w:r>
      <w:r w:rsidRPr="00D55F2F">
        <w:rPr>
          <w:rFonts w:ascii="Times New Roman" w:hAnsi="Times New Roman"/>
          <w:sz w:val="24"/>
          <w:szCs w:val="24"/>
        </w:rPr>
        <w:t>142,20 milj. </w:t>
      </w:r>
      <w:r w:rsidRPr="00D55F2F">
        <w:rPr>
          <w:rFonts w:ascii="Times New Roman" w:hAnsi="Times New Roman"/>
          <w:i/>
          <w:sz w:val="24"/>
          <w:szCs w:val="24"/>
        </w:rPr>
        <w:t>euro</w:t>
      </w:r>
      <w:r w:rsidR="000868E1" w:rsidRPr="00D55F2F">
        <w:rPr>
          <w:rFonts w:ascii="Times New Roman" w:hAnsi="Times New Roman"/>
          <w:sz w:val="24"/>
          <w:szCs w:val="24"/>
        </w:rPr>
        <w:t>, tai skaitā,</w:t>
      </w:r>
      <w:r w:rsidRPr="00D55F2F">
        <w:rPr>
          <w:rFonts w:ascii="Times New Roman" w:hAnsi="Times New Roman"/>
          <w:sz w:val="24"/>
          <w:szCs w:val="24"/>
        </w:rPr>
        <w:t xml:space="preserve"> ERAF finansējums – 120,86 milj. </w:t>
      </w:r>
      <w:r w:rsidRPr="00D55F2F">
        <w:rPr>
          <w:rFonts w:ascii="Times New Roman" w:hAnsi="Times New Roman"/>
          <w:i/>
          <w:sz w:val="24"/>
          <w:szCs w:val="24"/>
        </w:rPr>
        <w:t>euro</w:t>
      </w:r>
      <w:r w:rsidR="00C738DD" w:rsidRPr="00D55F2F">
        <w:rPr>
          <w:rFonts w:ascii="Times New Roman" w:hAnsi="Times New Roman"/>
          <w:sz w:val="24"/>
          <w:szCs w:val="24"/>
        </w:rPr>
        <w:t xml:space="preserve">. </w:t>
      </w:r>
      <w:r w:rsidR="00C738DD" w:rsidRPr="002D7733">
        <w:rPr>
          <w:rFonts w:ascii="Times New Roman" w:hAnsi="Times New Roman"/>
          <w:sz w:val="24"/>
          <w:szCs w:val="24"/>
        </w:rPr>
        <w:t>3.1.2.1.1.</w:t>
      </w:r>
      <w:r w:rsidR="00634ECF">
        <w:rPr>
          <w:rFonts w:ascii="Times New Roman" w:hAnsi="Times New Roman"/>
          <w:sz w:val="24"/>
          <w:szCs w:val="24"/>
        </w:rPr>
        <w:t> </w:t>
      </w:r>
      <w:r w:rsidR="00C738DD" w:rsidRPr="002D7733">
        <w:rPr>
          <w:rFonts w:ascii="Times New Roman" w:hAnsi="Times New Roman"/>
          <w:sz w:val="24"/>
          <w:szCs w:val="24"/>
        </w:rPr>
        <w:t>apakšaktivitātes ietvaros atbalsts sniegts 20</w:t>
      </w:r>
      <w:r w:rsidR="00B96177" w:rsidRPr="002D7733">
        <w:rPr>
          <w:rFonts w:ascii="Times New Roman" w:hAnsi="Times New Roman"/>
          <w:sz w:val="24"/>
          <w:szCs w:val="24"/>
        </w:rPr>
        <w:t xml:space="preserve"> </w:t>
      </w:r>
      <w:r w:rsidR="00B96177" w:rsidRPr="00D55F2F">
        <w:rPr>
          <w:rFonts w:ascii="Times New Roman" w:hAnsi="Times New Roman"/>
          <w:sz w:val="24"/>
          <w:szCs w:val="24"/>
        </w:rPr>
        <w:t>augstskolu</w:t>
      </w:r>
      <w:r w:rsidR="00AE077C" w:rsidRPr="002D7733">
        <w:rPr>
          <w:rFonts w:ascii="Times New Roman" w:hAnsi="Times New Roman"/>
          <w:sz w:val="24"/>
          <w:szCs w:val="24"/>
        </w:rPr>
        <w:t xml:space="preserve"> infrastruktūras pilnveidei par kopējo finansējumu 137,1 milj. </w:t>
      </w:r>
      <w:r w:rsidR="00AE077C" w:rsidRPr="002D7733">
        <w:rPr>
          <w:rFonts w:ascii="Times New Roman" w:hAnsi="Times New Roman"/>
          <w:i/>
          <w:sz w:val="24"/>
          <w:szCs w:val="24"/>
        </w:rPr>
        <w:t>euro</w:t>
      </w:r>
      <w:r w:rsidR="00AE077C" w:rsidRPr="002D7733">
        <w:rPr>
          <w:rFonts w:ascii="Times New Roman" w:hAnsi="Times New Roman"/>
          <w:sz w:val="24"/>
          <w:szCs w:val="24"/>
        </w:rPr>
        <w:t>, t</w:t>
      </w:r>
      <w:r w:rsidR="00634ECF">
        <w:rPr>
          <w:rFonts w:ascii="Times New Roman" w:hAnsi="Times New Roman"/>
          <w:sz w:val="24"/>
          <w:szCs w:val="24"/>
        </w:rPr>
        <w:t xml:space="preserve">ai </w:t>
      </w:r>
      <w:r w:rsidR="00AE077C" w:rsidRPr="002D7733">
        <w:rPr>
          <w:rFonts w:ascii="Times New Roman" w:hAnsi="Times New Roman"/>
          <w:sz w:val="24"/>
          <w:szCs w:val="24"/>
        </w:rPr>
        <w:t>sk</w:t>
      </w:r>
      <w:r w:rsidR="00634ECF">
        <w:rPr>
          <w:rFonts w:ascii="Times New Roman" w:hAnsi="Times New Roman"/>
          <w:sz w:val="24"/>
          <w:szCs w:val="24"/>
        </w:rPr>
        <w:t>aitā</w:t>
      </w:r>
      <w:r w:rsidR="00AE077C" w:rsidRPr="002D7733">
        <w:rPr>
          <w:rFonts w:ascii="Times New Roman" w:hAnsi="Times New Roman"/>
          <w:sz w:val="24"/>
          <w:szCs w:val="24"/>
        </w:rPr>
        <w:t xml:space="preserve"> ERAF finansējums</w:t>
      </w:r>
      <w:r w:rsidR="00B96177" w:rsidRPr="002D7733">
        <w:rPr>
          <w:rFonts w:ascii="Times New Roman" w:hAnsi="Times New Roman"/>
          <w:sz w:val="24"/>
          <w:szCs w:val="24"/>
        </w:rPr>
        <w:t xml:space="preserve"> </w:t>
      </w:r>
      <w:r w:rsidR="00AE077C" w:rsidRPr="002D7733">
        <w:rPr>
          <w:rFonts w:ascii="Times New Roman" w:hAnsi="Times New Roman"/>
          <w:sz w:val="24"/>
          <w:szCs w:val="24"/>
        </w:rPr>
        <w:t xml:space="preserve">116,5 milj. </w:t>
      </w:r>
      <w:r w:rsidR="00AE077C" w:rsidRPr="002D7733">
        <w:rPr>
          <w:rFonts w:ascii="Times New Roman" w:hAnsi="Times New Roman"/>
          <w:i/>
          <w:sz w:val="24"/>
          <w:szCs w:val="24"/>
        </w:rPr>
        <w:t>euro</w:t>
      </w:r>
      <w:r w:rsidR="00AE077C" w:rsidRPr="002D7733">
        <w:rPr>
          <w:rFonts w:ascii="Times New Roman" w:hAnsi="Times New Roman"/>
          <w:sz w:val="24"/>
          <w:szCs w:val="24"/>
        </w:rPr>
        <w:t xml:space="preserve"> </w:t>
      </w:r>
      <w:r w:rsidR="005F3332" w:rsidRPr="00D55F2F">
        <w:rPr>
          <w:rFonts w:ascii="Times New Roman" w:hAnsi="Times New Roman"/>
          <w:sz w:val="24"/>
          <w:szCs w:val="24"/>
        </w:rPr>
        <w:t>un 11 k</w:t>
      </w:r>
      <w:r w:rsidRPr="00D55F2F">
        <w:rPr>
          <w:rFonts w:ascii="Times New Roman" w:hAnsi="Times New Roman"/>
          <w:sz w:val="24"/>
          <w:szCs w:val="24"/>
        </w:rPr>
        <w:t>oledžu</w:t>
      </w:r>
      <w:r w:rsidR="00AE077C" w:rsidRPr="002D7733">
        <w:rPr>
          <w:rFonts w:ascii="Times New Roman" w:hAnsi="Times New Roman"/>
          <w:sz w:val="24"/>
          <w:szCs w:val="24"/>
        </w:rPr>
        <w:t xml:space="preserve"> studiju procesa </w:t>
      </w:r>
      <w:r w:rsidR="00C738DD" w:rsidRPr="002D7733">
        <w:rPr>
          <w:rFonts w:ascii="Times New Roman" w:hAnsi="Times New Roman"/>
          <w:sz w:val="24"/>
          <w:szCs w:val="24"/>
        </w:rPr>
        <w:t>infrastruktūr</w:t>
      </w:r>
      <w:r w:rsidR="00AE077C" w:rsidRPr="002D7733">
        <w:rPr>
          <w:rFonts w:ascii="Times New Roman" w:hAnsi="Times New Roman"/>
          <w:sz w:val="24"/>
          <w:szCs w:val="24"/>
        </w:rPr>
        <w:t>as</w:t>
      </w:r>
      <w:r w:rsidR="00C738DD" w:rsidRPr="002D7733">
        <w:rPr>
          <w:rFonts w:ascii="Times New Roman" w:hAnsi="Times New Roman"/>
          <w:sz w:val="24"/>
          <w:szCs w:val="24"/>
        </w:rPr>
        <w:t xml:space="preserve"> moderniz</w:t>
      </w:r>
      <w:r w:rsidR="00AE077C" w:rsidRPr="002D7733">
        <w:rPr>
          <w:rFonts w:ascii="Times New Roman" w:hAnsi="Times New Roman"/>
          <w:sz w:val="24"/>
          <w:szCs w:val="24"/>
        </w:rPr>
        <w:t xml:space="preserve">ēšanai un pilnveidei par kopējo finansējumu 5,1 milj. </w:t>
      </w:r>
      <w:r w:rsidR="00AE077C" w:rsidRPr="002D7733">
        <w:rPr>
          <w:rFonts w:ascii="Times New Roman" w:hAnsi="Times New Roman"/>
          <w:i/>
          <w:sz w:val="24"/>
          <w:szCs w:val="24"/>
        </w:rPr>
        <w:t>euro</w:t>
      </w:r>
      <w:r w:rsidR="00AE077C" w:rsidRPr="002D7733">
        <w:rPr>
          <w:rFonts w:ascii="Times New Roman" w:hAnsi="Times New Roman"/>
          <w:sz w:val="24"/>
          <w:szCs w:val="24"/>
        </w:rPr>
        <w:t>, t</w:t>
      </w:r>
      <w:r w:rsidR="00634ECF">
        <w:rPr>
          <w:rFonts w:ascii="Times New Roman" w:hAnsi="Times New Roman"/>
          <w:sz w:val="24"/>
          <w:szCs w:val="24"/>
        </w:rPr>
        <w:t xml:space="preserve">ai </w:t>
      </w:r>
      <w:r w:rsidR="00AE077C" w:rsidRPr="002D7733">
        <w:rPr>
          <w:rFonts w:ascii="Times New Roman" w:hAnsi="Times New Roman"/>
          <w:sz w:val="24"/>
          <w:szCs w:val="24"/>
        </w:rPr>
        <w:t>sk</w:t>
      </w:r>
      <w:r w:rsidR="00634ECF">
        <w:rPr>
          <w:rFonts w:ascii="Times New Roman" w:hAnsi="Times New Roman"/>
          <w:sz w:val="24"/>
          <w:szCs w:val="24"/>
        </w:rPr>
        <w:t>aitā</w:t>
      </w:r>
      <w:r w:rsidR="00AE077C" w:rsidRPr="002D7733">
        <w:rPr>
          <w:rFonts w:ascii="Times New Roman" w:hAnsi="Times New Roman"/>
          <w:sz w:val="24"/>
          <w:szCs w:val="24"/>
        </w:rPr>
        <w:t xml:space="preserve"> ERAF finansējums 4,3 milj. </w:t>
      </w:r>
      <w:r w:rsidR="00AE077C" w:rsidRPr="002D7733">
        <w:rPr>
          <w:rFonts w:ascii="Times New Roman" w:hAnsi="Times New Roman"/>
          <w:i/>
          <w:sz w:val="24"/>
          <w:szCs w:val="24"/>
        </w:rPr>
        <w:t>euro</w:t>
      </w:r>
      <w:r w:rsidR="00AE077C" w:rsidRPr="002D7733">
        <w:rPr>
          <w:rFonts w:ascii="Times New Roman" w:hAnsi="Times New Roman"/>
          <w:sz w:val="24"/>
          <w:szCs w:val="24"/>
        </w:rPr>
        <w:t xml:space="preserve"> apmērā.</w:t>
      </w:r>
    </w:p>
    <w:p w14:paraId="0AAD2F10" w14:textId="77777777" w:rsidR="002E74A4" w:rsidRPr="002D7733" w:rsidRDefault="000358C1" w:rsidP="00E7642A">
      <w:pPr>
        <w:spacing w:before="200"/>
        <w:ind w:left="0" w:firstLine="425"/>
        <w:rPr>
          <w:rFonts w:ascii="Times New Roman" w:hAnsi="Times New Roman"/>
          <w:sz w:val="24"/>
          <w:szCs w:val="24"/>
        </w:rPr>
      </w:pPr>
      <w:r w:rsidRPr="002D7733">
        <w:rPr>
          <w:rFonts w:ascii="Times New Roman" w:hAnsi="Times New Roman"/>
          <w:sz w:val="24"/>
          <w:szCs w:val="24"/>
        </w:rPr>
        <w:t>2016.</w:t>
      </w:r>
      <w:r w:rsidR="006A354B">
        <w:rPr>
          <w:rFonts w:ascii="Times New Roman" w:hAnsi="Times New Roman"/>
          <w:sz w:val="24"/>
          <w:szCs w:val="24"/>
        </w:rPr>
        <w:t xml:space="preserve"> </w:t>
      </w:r>
      <w:r w:rsidRPr="002D7733">
        <w:rPr>
          <w:rFonts w:ascii="Times New Roman" w:hAnsi="Times New Roman"/>
          <w:sz w:val="24"/>
          <w:szCs w:val="24"/>
        </w:rPr>
        <w:t>gada 5.</w:t>
      </w:r>
      <w:r w:rsidR="006A354B">
        <w:rPr>
          <w:rFonts w:ascii="Times New Roman" w:hAnsi="Times New Roman"/>
          <w:sz w:val="24"/>
          <w:szCs w:val="24"/>
        </w:rPr>
        <w:t xml:space="preserve"> </w:t>
      </w:r>
      <w:r w:rsidRPr="002D7733">
        <w:rPr>
          <w:rFonts w:ascii="Times New Roman" w:hAnsi="Times New Roman"/>
          <w:sz w:val="24"/>
          <w:szCs w:val="24"/>
        </w:rPr>
        <w:t>janvārī MK apstiprināja noteikumus Nr.</w:t>
      </w:r>
      <w:r w:rsidR="006A354B">
        <w:rPr>
          <w:rFonts w:ascii="Times New Roman" w:hAnsi="Times New Roman"/>
          <w:sz w:val="24"/>
          <w:szCs w:val="24"/>
        </w:rPr>
        <w:t xml:space="preserve"> </w:t>
      </w:r>
      <w:r w:rsidRPr="002D7733">
        <w:rPr>
          <w:rFonts w:ascii="Times New Roman" w:hAnsi="Times New Roman"/>
          <w:sz w:val="24"/>
          <w:szCs w:val="24"/>
        </w:rPr>
        <w:t>2 “Darbības programmas “Izaugsme un nodarbinātība” 1.2.1.</w:t>
      </w:r>
      <w:r w:rsidR="00A36CEB">
        <w:rPr>
          <w:rFonts w:ascii="Times New Roman" w:hAnsi="Times New Roman"/>
          <w:sz w:val="24"/>
          <w:szCs w:val="24"/>
        </w:rPr>
        <w:t> </w:t>
      </w:r>
      <w:r w:rsidRPr="002D7733">
        <w:rPr>
          <w:rFonts w:ascii="Times New Roman" w:hAnsi="Times New Roman"/>
          <w:sz w:val="24"/>
          <w:szCs w:val="24"/>
        </w:rPr>
        <w:t>specifiskā atbalsta mērķa “</w:t>
      </w:r>
      <w:r w:rsidRPr="002D7733">
        <w:rPr>
          <w:rFonts w:ascii="Times New Roman" w:hAnsi="Times New Roman"/>
          <w:i/>
          <w:sz w:val="24"/>
          <w:szCs w:val="24"/>
        </w:rPr>
        <w:t>Palielināt privātā sektora investīcijas P&amp;A</w:t>
      </w:r>
      <w:r w:rsidRPr="002D7733">
        <w:rPr>
          <w:rFonts w:ascii="Times New Roman" w:hAnsi="Times New Roman"/>
          <w:sz w:val="24"/>
          <w:szCs w:val="24"/>
        </w:rPr>
        <w:t>” 1.2.1.1.</w:t>
      </w:r>
      <w:r w:rsidR="006A354B">
        <w:rPr>
          <w:rFonts w:ascii="Times New Roman" w:hAnsi="Times New Roman"/>
          <w:sz w:val="24"/>
          <w:szCs w:val="24"/>
        </w:rPr>
        <w:t> </w:t>
      </w:r>
      <w:r w:rsidRPr="002D7733">
        <w:rPr>
          <w:rFonts w:ascii="Times New Roman" w:hAnsi="Times New Roman"/>
          <w:sz w:val="24"/>
          <w:szCs w:val="24"/>
        </w:rPr>
        <w:t>pasākuma “</w:t>
      </w:r>
      <w:r w:rsidRPr="002D7733">
        <w:rPr>
          <w:rFonts w:ascii="Times New Roman" w:hAnsi="Times New Roman"/>
          <w:i/>
          <w:sz w:val="24"/>
          <w:szCs w:val="24"/>
        </w:rPr>
        <w:t>Atbalsts jaunu produktu un tehnoloģiju izstrādei kompetences centru ietvaros</w:t>
      </w:r>
      <w:r w:rsidRPr="002D7733">
        <w:rPr>
          <w:rFonts w:ascii="Times New Roman" w:hAnsi="Times New Roman"/>
          <w:sz w:val="24"/>
          <w:szCs w:val="24"/>
        </w:rPr>
        <w:t xml:space="preserve">” pirmās, otrās un ceturtās projektu iesniegumu atlases kārtas īstenošanas noteikumi”. Kompetences centru programmas </w:t>
      </w:r>
      <w:r w:rsidR="00E10BCB">
        <w:rPr>
          <w:rFonts w:ascii="Times New Roman" w:hAnsi="Times New Roman"/>
          <w:sz w:val="24"/>
          <w:szCs w:val="24"/>
        </w:rPr>
        <w:t xml:space="preserve">uzdevums ir </w:t>
      </w:r>
      <w:r w:rsidRPr="002D7733">
        <w:rPr>
          <w:rFonts w:ascii="Times New Roman" w:hAnsi="Times New Roman"/>
          <w:sz w:val="24"/>
          <w:szCs w:val="24"/>
        </w:rPr>
        <w:t>sekmēt pētniecības un rūpniecības sektoru sadarbību</w:t>
      </w:r>
      <w:r w:rsidR="00E10BCB">
        <w:rPr>
          <w:rFonts w:ascii="Times New Roman" w:hAnsi="Times New Roman"/>
          <w:sz w:val="24"/>
          <w:szCs w:val="24"/>
        </w:rPr>
        <w:t xml:space="preserve"> un tās ietvaros tiks</w:t>
      </w:r>
      <w:r w:rsidRPr="002D7733">
        <w:rPr>
          <w:rFonts w:ascii="Times New Roman" w:hAnsi="Times New Roman"/>
          <w:sz w:val="24"/>
          <w:szCs w:val="24"/>
        </w:rPr>
        <w:t xml:space="preserve"> īsteno</w:t>
      </w:r>
      <w:r w:rsidR="00E10BCB">
        <w:rPr>
          <w:rFonts w:ascii="Times New Roman" w:hAnsi="Times New Roman"/>
          <w:sz w:val="24"/>
          <w:szCs w:val="24"/>
        </w:rPr>
        <w:t xml:space="preserve">ti </w:t>
      </w:r>
      <w:r w:rsidRPr="002D7733">
        <w:rPr>
          <w:rFonts w:ascii="Times New Roman" w:hAnsi="Times New Roman"/>
          <w:sz w:val="24"/>
          <w:szCs w:val="24"/>
        </w:rPr>
        <w:t>projekt</w:t>
      </w:r>
      <w:r w:rsidR="00E10BCB">
        <w:rPr>
          <w:rFonts w:ascii="Times New Roman" w:hAnsi="Times New Roman"/>
          <w:sz w:val="24"/>
          <w:szCs w:val="24"/>
        </w:rPr>
        <w:t>i</w:t>
      </w:r>
      <w:r w:rsidRPr="002D7733">
        <w:rPr>
          <w:rFonts w:ascii="Times New Roman" w:hAnsi="Times New Roman"/>
          <w:sz w:val="24"/>
          <w:szCs w:val="24"/>
        </w:rPr>
        <w:t>, kas attīsta jaunus produktus un tehnoloģijas un ievieš tās ražošanā. Programmas pirmajā, otrajā un ceturtajā kārtā ERAF finansējums līdz 2021.</w:t>
      </w:r>
      <w:r w:rsidR="006A354B">
        <w:rPr>
          <w:rFonts w:ascii="Times New Roman" w:hAnsi="Times New Roman"/>
          <w:sz w:val="24"/>
          <w:szCs w:val="24"/>
        </w:rPr>
        <w:t> </w:t>
      </w:r>
      <w:r w:rsidRPr="002D7733">
        <w:rPr>
          <w:rFonts w:ascii="Times New Roman" w:hAnsi="Times New Roman"/>
          <w:sz w:val="24"/>
          <w:szCs w:val="24"/>
        </w:rPr>
        <w:t xml:space="preserve">gada nogalei ir 52,3 milj. </w:t>
      </w:r>
      <w:r w:rsidRPr="002D7733">
        <w:rPr>
          <w:rFonts w:ascii="Times New Roman" w:hAnsi="Times New Roman"/>
          <w:i/>
          <w:sz w:val="24"/>
          <w:szCs w:val="24"/>
        </w:rPr>
        <w:t>euro</w:t>
      </w:r>
      <w:r w:rsidRPr="002D7733">
        <w:rPr>
          <w:rFonts w:ascii="Times New Roman" w:hAnsi="Times New Roman"/>
          <w:sz w:val="24"/>
          <w:szCs w:val="24"/>
        </w:rPr>
        <w:t xml:space="preserve">. Kompetences centru programmas ietvaros </w:t>
      </w:r>
      <w:r w:rsidR="00E10BCB">
        <w:rPr>
          <w:rFonts w:ascii="Times New Roman" w:hAnsi="Times New Roman"/>
          <w:sz w:val="24"/>
          <w:szCs w:val="24"/>
        </w:rPr>
        <w:t xml:space="preserve">tiks izveidoti šādi </w:t>
      </w:r>
      <w:r w:rsidRPr="002D7733">
        <w:rPr>
          <w:rFonts w:ascii="Times New Roman" w:hAnsi="Times New Roman"/>
          <w:sz w:val="24"/>
          <w:szCs w:val="24"/>
        </w:rPr>
        <w:t>kompetences centr</w:t>
      </w:r>
      <w:r w:rsidR="00E10BCB">
        <w:rPr>
          <w:rFonts w:ascii="Times New Roman" w:hAnsi="Times New Roman"/>
          <w:sz w:val="24"/>
          <w:szCs w:val="24"/>
        </w:rPr>
        <w:t>s</w:t>
      </w:r>
      <w:r w:rsidRPr="002D7733">
        <w:rPr>
          <w:rFonts w:ascii="Times New Roman" w:hAnsi="Times New Roman"/>
          <w:sz w:val="24"/>
          <w:szCs w:val="24"/>
        </w:rPr>
        <w:t xml:space="preserve"> katr</w:t>
      </w:r>
      <w:r w:rsidR="00E10BCB">
        <w:rPr>
          <w:rFonts w:ascii="Times New Roman" w:hAnsi="Times New Roman"/>
          <w:sz w:val="24"/>
          <w:szCs w:val="24"/>
        </w:rPr>
        <w:t xml:space="preserve">i </w:t>
      </w:r>
      <w:r w:rsidRPr="002D7733">
        <w:rPr>
          <w:rFonts w:ascii="Times New Roman" w:hAnsi="Times New Roman"/>
          <w:sz w:val="24"/>
          <w:szCs w:val="24"/>
        </w:rPr>
        <w:t>Viedās specializācijas jomā</w:t>
      </w:r>
      <w:r w:rsidR="00E10BCB">
        <w:rPr>
          <w:rFonts w:ascii="Times New Roman" w:hAnsi="Times New Roman"/>
          <w:sz w:val="24"/>
          <w:szCs w:val="24"/>
        </w:rPr>
        <w:t>s</w:t>
      </w:r>
      <w:r w:rsidR="002E74A4" w:rsidRPr="002D7733">
        <w:rPr>
          <w:rFonts w:ascii="Times New Roman" w:hAnsi="Times New Roman"/>
          <w:sz w:val="24"/>
          <w:szCs w:val="24"/>
        </w:rPr>
        <w:t xml:space="preserve">: </w:t>
      </w:r>
    </w:p>
    <w:p w14:paraId="30F32F83"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1</w:t>
      </w:r>
      <w:r w:rsidR="000358C1" w:rsidRPr="002D7733">
        <w:rPr>
          <w:rFonts w:ascii="Times New Roman" w:hAnsi="Times New Roman"/>
          <w:sz w:val="24"/>
          <w:szCs w:val="24"/>
        </w:rPr>
        <w:t xml:space="preserve">) </w:t>
      </w:r>
      <w:r w:rsidR="0058775F" w:rsidRPr="002D7733">
        <w:rPr>
          <w:rFonts w:ascii="Times New Roman" w:hAnsi="Times New Roman"/>
          <w:sz w:val="24"/>
          <w:szCs w:val="24"/>
        </w:rPr>
        <w:t>z</w:t>
      </w:r>
      <w:r w:rsidR="000358C1" w:rsidRPr="002D7733">
        <w:rPr>
          <w:rFonts w:ascii="Times New Roman" w:hAnsi="Times New Roman"/>
          <w:sz w:val="24"/>
          <w:szCs w:val="24"/>
        </w:rPr>
        <w:t>ināšanu ietilpīga bioekonomika – Inovatīvi risinājumi mežsaimniecībai un kokapstrādē</w:t>
      </w:r>
      <w:r w:rsidRPr="002D7733">
        <w:rPr>
          <w:rFonts w:ascii="Times New Roman" w:hAnsi="Times New Roman"/>
          <w:sz w:val="24"/>
          <w:szCs w:val="24"/>
        </w:rPr>
        <w:t>;</w:t>
      </w:r>
    </w:p>
    <w:p w14:paraId="7C727EFE"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2</w:t>
      </w:r>
      <w:r w:rsidR="000358C1" w:rsidRPr="002D7733">
        <w:rPr>
          <w:rFonts w:ascii="Times New Roman" w:hAnsi="Times New Roman"/>
          <w:sz w:val="24"/>
          <w:szCs w:val="24"/>
        </w:rPr>
        <w:t xml:space="preserve">) </w:t>
      </w:r>
      <w:r w:rsidR="0058775F" w:rsidRPr="002D7733">
        <w:rPr>
          <w:rFonts w:ascii="Times New Roman" w:hAnsi="Times New Roman"/>
          <w:sz w:val="24"/>
          <w:szCs w:val="24"/>
        </w:rPr>
        <w:t>z</w:t>
      </w:r>
      <w:r w:rsidR="000358C1" w:rsidRPr="002D7733">
        <w:rPr>
          <w:rFonts w:ascii="Times New Roman" w:hAnsi="Times New Roman"/>
          <w:sz w:val="24"/>
          <w:szCs w:val="24"/>
        </w:rPr>
        <w:t>ināšanu ietilpīga bioekonomika – Inovatīvi risinājumi lauksaimniecībai un pārtikas ražošanai</w:t>
      </w:r>
      <w:r w:rsidRPr="002D7733">
        <w:rPr>
          <w:rFonts w:ascii="Times New Roman" w:hAnsi="Times New Roman"/>
          <w:sz w:val="24"/>
          <w:szCs w:val="24"/>
        </w:rPr>
        <w:t xml:space="preserve">; </w:t>
      </w:r>
    </w:p>
    <w:p w14:paraId="4F7EBE46"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3</w:t>
      </w:r>
      <w:r w:rsidR="000358C1" w:rsidRPr="002D7733">
        <w:rPr>
          <w:rFonts w:ascii="Times New Roman" w:hAnsi="Times New Roman"/>
          <w:sz w:val="24"/>
          <w:szCs w:val="24"/>
        </w:rPr>
        <w:t xml:space="preserve">) </w:t>
      </w:r>
      <w:r w:rsidR="0058775F" w:rsidRPr="002D7733">
        <w:rPr>
          <w:rFonts w:ascii="Times New Roman" w:hAnsi="Times New Roman"/>
          <w:sz w:val="24"/>
          <w:szCs w:val="24"/>
        </w:rPr>
        <w:t>b</w:t>
      </w:r>
      <w:r w:rsidR="000358C1" w:rsidRPr="002D7733">
        <w:rPr>
          <w:rFonts w:ascii="Times New Roman" w:hAnsi="Times New Roman"/>
          <w:sz w:val="24"/>
          <w:szCs w:val="24"/>
        </w:rPr>
        <w:t>iomedicīna, medicīnas tehnoloģijas, bio</w:t>
      </w:r>
      <w:r w:rsidRPr="002D7733">
        <w:rPr>
          <w:rFonts w:ascii="Times New Roman" w:hAnsi="Times New Roman"/>
          <w:sz w:val="24"/>
          <w:szCs w:val="24"/>
        </w:rPr>
        <w:t xml:space="preserve">farmācija un biotehnoloģijas; </w:t>
      </w:r>
    </w:p>
    <w:p w14:paraId="4C5661C4"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4</w:t>
      </w:r>
      <w:r w:rsidR="000358C1" w:rsidRPr="002D7733">
        <w:rPr>
          <w:rFonts w:ascii="Times New Roman" w:hAnsi="Times New Roman"/>
          <w:sz w:val="24"/>
          <w:szCs w:val="24"/>
        </w:rPr>
        <w:t xml:space="preserve">) </w:t>
      </w:r>
      <w:r w:rsidR="0058775F" w:rsidRPr="002D7733">
        <w:rPr>
          <w:rFonts w:ascii="Times New Roman" w:hAnsi="Times New Roman"/>
          <w:sz w:val="24"/>
          <w:szCs w:val="24"/>
        </w:rPr>
        <w:t>v</w:t>
      </w:r>
      <w:r w:rsidR="000358C1" w:rsidRPr="002D7733">
        <w:rPr>
          <w:rFonts w:ascii="Times New Roman" w:hAnsi="Times New Roman"/>
          <w:sz w:val="24"/>
          <w:szCs w:val="24"/>
        </w:rPr>
        <w:t>iedie materiāli, tehnoloģijas un inženiersistēmas – Viedie materiāli</w:t>
      </w:r>
      <w:r w:rsidRPr="002D7733">
        <w:rPr>
          <w:rFonts w:ascii="Times New Roman" w:hAnsi="Times New Roman"/>
          <w:sz w:val="24"/>
          <w:szCs w:val="24"/>
        </w:rPr>
        <w:t xml:space="preserve">; </w:t>
      </w:r>
    </w:p>
    <w:p w14:paraId="28F169FB"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5</w:t>
      </w:r>
      <w:r w:rsidR="000358C1" w:rsidRPr="002D7733">
        <w:rPr>
          <w:rFonts w:ascii="Times New Roman" w:hAnsi="Times New Roman"/>
          <w:sz w:val="24"/>
          <w:szCs w:val="24"/>
        </w:rPr>
        <w:t xml:space="preserve">) </w:t>
      </w:r>
      <w:r w:rsidR="0058775F" w:rsidRPr="002D7733">
        <w:rPr>
          <w:rFonts w:ascii="Times New Roman" w:hAnsi="Times New Roman"/>
          <w:sz w:val="24"/>
          <w:szCs w:val="24"/>
        </w:rPr>
        <w:t>v</w:t>
      </w:r>
      <w:r w:rsidR="000358C1" w:rsidRPr="002D7733">
        <w:rPr>
          <w:rFonts w:ascii="Times New Roman" w:hAnsi="Times New Roman"/>
          <w:sz w:val="24"/>
          <w:szCs w:val="24"/>
        </w:rPr>
        <w:t>iedie materiāli, tehnoloģijas un inženiersistēmas – Modernas ražošanas tehnoloģijas un inženiersistēmas</w:t>
      </w:r>
      <w:r w:rsidRPr="002D7733">
        <w:rPr>
          <w:rFonts w:ascii="Times New Roman" w:hAnsi="Times New Roman"/>
          <w:sz w:val="24"/>
          <w:szCs w:val="24"/>
        </w:rPr>
        <w:t xml:space="preserve">; </w:t>
      </w:r>
    </w:p>
    <w:p w14:paraId="507B8A7D"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6</w:t>
      </w:r>
      <w:r w:rsidR="000358C1" w:rsidRPr="002D7733">
        <w:rPr>
          <w:rFonts w:ascii="Times New Roman" w:hAnsi="Times New Roman"/>
          <w:sz w:val="24"/>
          <w:szCs w:val="24"/>
        </w:rPr>
        <w:t xml:space="preserve">) </w:t>
      </w:r>
      <w:r w:rsidR="0058775F" w:rsidRPr="002D7733">
        <w:rPr>
          <w:rFonts w:ascii="Times New Roman" w:hAnsi="Times New Roman"/>
          <w:sz w:val="24"/>
          <w:szCs w:val="24"/>
        </w:rPr>
        <w:t>i</w:t>
      </w:r>
      <w:r w:rsidR="000358C1" w:rsidRPr="002D7733">
        <w:rPr>
          <w:rFonts w:ascii="Times New Roman" w:hAnsi="Times New Roman"/>
          <w:sz w:val="24"/>
          <w:szCs w:val="24"/>
        </w:rPr>
        <w:t xml:space="preserve">nformācijas un komunikāciju tehnoloģijas – Aparātbūve; </w:t>
      </w:r>
    </w:p>
    <w:p w14:paraId="2E7CC21D"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7</w:t>
      </w:r>
      <w:r w:rsidR="000358C1" w:rsidRPr="002D7733">
        <w:rPr>
          <w:rFonts w:ascii="Times New Roman" w:hAnsi="Times New Roman"/>
          <w:sz w:val="24"/>
          <w:szCs w:val="24"/>
        </w:rPr>
        <w:t xml:space="preserve">) </w:t>
      </w:r>
      <w:r w:rsidR="0058775F" w:rsidRPr="002D7733">
        <w:rPr>
          <w:rFonts w:ascii="Times New Roman" w:hAnsi="Times New Roman"/>
          <w:sz w:val="24"/>
          <w:szCs w:val="24"/>
        </w:rPr>
        <w:t>i</w:t>
      </w:r>
      <w:r w:rsidR="000358C1" w:rsidRPr="002D7733">
        <w:rPr>
          <w:rFonts w:ascii="Times New Roman" w:hAnsi="Times New Roman"/>
          <w:sz w:val="24"/>
          <w:szCs w:val="24"/>
        </w:rPr>
        <w:t>nformācijas un komunikāciju tehnoloģijas – Informācijas un komunikāciju tehnoloģijas</w:t>
      </w:r>
      <w:r w:rsidRPr="002D7733">
        <w:rPr>
          <w:rFonts w:ascii="Times New Roman" w:hAnsi="Times New Roman"/>
          <w:sz w:val="24"/>
          <w:szCs w:val="24"/>
        </w:rPr>
        <w:t>;</w:t>
      </w:r>
    </w:p>
    <w:p w14:paraId="032FB12C" w14:textId="77777777" w:rsidR="00D55F2F"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8</w:t>
      </w:r>
      <w:r w:rsidR="000358C1" w:rsidRPr="002D7733">
        <w:rPr>
          <w:rFonts w:ascii="Times New Roman" w:hAnsi="Times New Roman"/>
          <w:sz w:val="24"/>
          <w:szCs w:val="24"/>
        </w:rPr>
        <w:t xml:space="preserve">) </w:t>
      </w:r>
      <w:r w:rsidR="0058775F" w:rsidRPr="002D7733">
        <w:rPr>
          <w:rFonts w:ascii="Times New Roman" w:hAnsi="Times New Roman"/>
          <w:sz w:val="24"/>
          <w:szCs w:val="24"/>
        </w:rPr>
        <w:t>v</w:t>
      </w:r>
      <w:r w:rsidR="000358C1" w:rsidRPr="002D7733">
        <w:rPr>
          <w:rFonts w:ascii="Times New Roman" w:hAnsi="Times New Roman"/>
          <w:sz w:val="24"/>
          <w:szCs w:val="24"/>
        </w:rPr>
        <w:t xml:space="preserve">iedā enerģētika. </w:t>
      </w:r>
    </w:p>
    <w:p w14:paraId="57ACA845" w14:textId="3EBAA6C4" w:rsidR="00B849ED" w:rsidRPr="00C07278" w:rsidRDefault="000358C1" w:rsidP="00E7642A">
      <w:pPr>
        <w:ind w:left="0" w:firstLine="425"/>
        <w:rPr>
          <w:rFonts w:ascii="Times New Roman" w:hAnsi="Times New Roman"/>
          <w:b/>
          <w:sz w:val="24"/>
          <w:szCs w:val="24"/>
        </w:rPr>
      </w:pPr>
      <w:r w:rsidRPr="002D7733">
        <w:rPr>
          <w:rFonts w:ascii="Times New Roman" w:hAnsi="Times New Roman"/>
          <w:sz w:val="24"/>
          <w:szCs w:val="24"/>
        </w:rPr>
        <w:t xml:space="preserve">Programmas ietvaros </w:t>
      </w:r>
      <w:r w:rsidR="00B849ED" w:rsidRPr="002D7733">
        <w:rPr>
          <w:rFonts w:ascii="Times New Roman" w:hAnsi="Times New Roman"/>
          <w:sz w:val="24"/>
          <w:szCs w:val="24"/>
        </w:rPr>
        <w:t xml:space="preserve">tiks finansēta </w:t>
      </w:r>
      <w:r w:rsidRPr="002D7733">
        <w:rPr>
          <w:rFonts w:ascii="Times New Roman" w:hAnsi="Times New Roman"/>
          <w:sz w:val="24"/>
          <w:szCs w:val="24"/>
        </w:rPr>
        <w:t>jaunu produktu un tehnoloģiju izstrāde, tostarp nepieciešamo  eksperimentālo izstrādņu (t</w:t>
      </w:r>
      <w:r w:rsidR="00F66097">
        <w:rPr>
          <w:rFonts w:ascii="Times New Roman" w:hAnsi="Times New Roman"/>
          <w:sz w:val="24"/>
          <w:szCs w:val="24"/>
        </w:rPr>
        <w:t xml:space="preserve">ai </w:t>
      </w:r>
      <w:r w:rsidRPr="002D7733">
        <w:rPr>
          <w:rFonts w:ascii="Times New Roman" w:hAnsi="Times New Roman"/>
          <w:sz w:val="24"/>
          <w:szCs w:val="24"/>
        </w:rPr>
        <w:t>sk</w:t>
      </w:r>
      <w:r w:rsidR="00F66097">
        <w:rPr>
          <w:rFonts w:ascii="Times New Roman" w:hAnsi="Times New Roman"/>
          <w:sz w:val="24"/>
          <w:szCs w:val="24"/>
        </w:rPr>
        <w:t>aitā,</w:t>
      </w:r>
      <w:r w:rsidRPr="002D7733">
        <w:rPr>
          <w:rFonts w:ascii="Times New Roman" w:hAnsi="Times New Roman"/>
          <w:sz w:val="24"/>
          <w:szCs w:val="24"/>
        </w:rPr>
        <w:t xml:space="preserve"> demonstrācijas prototipu) izstrāde un rūpniecisko pētījumu veikšana ar nosacījumu, ka vismaz 25</w:t>
      </w:r>
      <w:r w:rsidR="00F66097">
        <w:rPr>
          <w:rFonts w:ascii="Times New Roman" w:hAnsi="Times New Roman"/>
          <w:sz w:val="24"/>
          <w:szCs w:val="24"/>
        </w:rPr>
        <w:t> </w:t>
      </w:r>
      <w:r w:rsidR="00634ECF">
        <w:rPr>
          <w:rFonts w:ascii="Times New Roman" w:hAnsi="Times New Roman"/>
          <w:sz w:val="24"/>
          <w:szCs w:val="24"/>
        </w:rPr>
        <w:t>procenti</w:t>
      </w:r>
      <w:r w:rsidR="00634ECF" w:rsidRPr="002D7733">
        <w:rPr>
          <w:rFonts w:ascii="Times New Roman" w:hAnsi="Times New Roman"/>
          <w:sz w:val="24"/>
          <w:szCs w:val="24"/>
        </w:rPr>
        <w:t xml:space="preserve"> </w:t>
      </w:r>
      <w:r w:rsidRPr="002D7733">
        <w:rPr>
          <w:rFonts w:ascii="Times New Roman" w:hAnsi="Times New Roman"/>
          <w:sz w:val="24"/>
          <w:szCs w:val="24"/>
        </w:rPr>
        <w:t xml:space="preserve">no projekta finansējuma tiek </w:t>
      </w:r>
      <w:r w:rsidR="00634ECF" w:rsidRPr="002D7733">
        <w:rPr>
          <w:rFonts w:ascii="Times New Roman" w:hAnsi="Times New Roman"/>
          <w:sz w:val="24"/>
          <w:szCs w:val="24"/>
        </w:rPr>
        <w:t>paredzēt</w:t>
      </w:r>
      <w:r w:rsidR="00634ECF">
        <w:rPr>
          <w:rFonts w:ascii="Times New Roman" w:hAnsi="Times New Roman"/>
          <w:sz w:val="24"/>
          <w:szCs w:val="24"/>
        </w:rPr>
        <w:t>i</w:t>
      </w:r>
      <w:r w:rsidR="00634ECF" w:rsidRPr="002D7733">
        <w:rPr>
          <w:rFonts w:ascii="Times New Roman" w:hAnsi="Times New Roman"/>
          <w:sz w:val="24"/>
          <w:szCs w:val="24"/>
        </w:rPr>
        <w:t xml:space="preserve"> </w:t>
      </w:r>
      <w:r w:rsidRPr="002D7733">
        <w:rPr>
          <w:rFonts w:ascii="Times New Roman" w:hAnsi="Times New Roman"/>
          <w:sz w:val="24"/>
          <w:szCs w:val="24"/>
        </w:rPr>
        <w:t xml:space="preserve">eksperimentālajām izstrādnēm. Vienlaikus </w:t>
      </w:r>
      <w:r w:rsidR="00B849ED" w:rsidRPr="002D7733">
        <w:rPr>
          <w:rFonts w:ascii="Times New Roman" w:hAnsi="Times New Roman"/>
          <w:sz w:val="24"/>
          <w:szCs w:val="24"/>
        </w:rPr>
        <w:t>tiks finansēta</w:t>
      </w:r>
      <w:r w:rsidRPr="002D7733">
        <w:rPr>
          <w:rFonts w:ascii="Times New Roman" w:hAnsi="Times New Roman"/>
          <w:sz w:val="24"/>
          <w:szCs w:val="24"/>
        </w:rPr>
        <w:t xml:space="preserve"> komercializācijas iespēju priekšizpēt</w:t>
      </w:r>
      <w:r w:rsidR="00B849ED" w:rsidRPr="002D7733">
        <w:rPr>
          <w:rFonts w:ascii="Times New Roman" w:hAnsi="Times New Roman"/>
          <w:sz w:val="24"/>
          <w:szCs w:val="24"/>
        </w:rPr>
        <w:t>e</w:t>
      </w:r>
      <w:r w:rsidRPr="002D7733">
        <w:rPr>
          <w:rFonts w:ascii="Times New Roman" w:hAnsi="Times New Roman"/>
          <w:sz w:val="24"/>
          <w:szCs w:val="24"/>
        </w:rPr>
        <w:t xml:space="preserve"> tādiem plānotajiem pētniecības projektiem, kuru kopsumma pārsniedz 250 tūkst. </w:t>
      </w:r>
      <w:r w:rsidRPr="002D7733">
        <w:rPr>
          <w:rFonts w:ascii="Times New Roman" w:hAnsi="Times New Roman"/>
          <w:i/>
          <w:sz w:val="24"/>
          <w:szCs w:val="24"/>
        </w:rPr>
        <w:t>euro</w:t>
      </w:r>
      <w:r w:rsidRPr="002D7733">
        <w:rPr>
          <w:rFonts w:ascii="Times New Roman" w:hAnsi="Times New Roman"/>
          <w:sz w:val="24"/>
          <w:szCs w:val="24"/>
        </w:rPr>
        <w:t xml:space="preserve">, </w:t>
      </w:r>
      <w:r w:rsidR="00B849ED" w:rsidRPr="002D7733">
        <w:rPr>
          <w:rFonts w:ascii="Times New Roman" w:hAnsi="Times New Roman"/>
          <w:sz w:val="24"/>
          <w:szCs w:val="24"/>
        </w:rPr>
        <w:t xml:space="preserve">ar </w:t>
      </w:r>
      <w:r w:rsidRPr="002D7733">
        <w:rPr>
          <w:rFonts w:ascii="Times New Roman" w:hAnsi="Times New Roman"/>
          <w:sz w:val="24"/>
          <w:szCs w:val="24"/>
        </w:rPr>
        <w:t xml:space="preserve">nosacījumu, ka maksimālais finansējuma apjoms šādām darbībām nepārsniedz 300 tūkst. </w:t>
      </w:r>
      <w:r w:rsidRPr="002D7733">
        <w:rPr>
          <w:rFonts w:ascii="Times New Roman" w:hAnsi="Times New Roman"/>
          <w:i/>
          <w:sz w:val="24"/>
          <w:szCs w:val="24"/>
        </w:rPr>
        <w:t>euro</w:t>
      </w:r>
      <w:r w:rsidRPr="002D7733">
        <w:rPr>
          <w:rFonts w:ascii="Times New Roman" w:hAnsi="Times New Roman"/>
          <w:sz w:val="24"/>
          <w:szCs w:val="24"/>
        </w:rPr>
        <w:t xml:space="preserve"> gadā vienam kompetences centram. Maksimālais finansējums vienam kompetences centra projektam vienā kārtā </w:t>
      </w:r>
      <w:r w:rsidR="004E392D">
        <w:rPr>
          <w:rFonts w:ascii="Times New Roman" w:hAnsi="Times New Roman"/>
          <w:sz w:val="24"/>
          <w:szCs w:val="24"/>
        </w:rPr>
        <w:t xml:space="preserve">ir </w:t>
      </w:r>
      <w:r w:rsidRPr="002D7733">
        <w:rPr>
          <w:rFonts w:ascii="Times New Roman" w:hAnsi="Times New Roman"/>
          <w:sz w:val="24"/>
          <w:szCs w:val="24"/>
        </w:rPr>
        <w:t xml:space="preserve">3,2 milj. </w:t>
      </w:r>
      <w:r w:rsidRPr="002D7733">
        <w:rPr>
          <w:rFonts w:ascii="Times New Roman" w:hAnsi="Times New Roman"/>
          <w:i/>
          <w:sz w:val="24"/>
          <w:szCs w:val="24"/>
        </w:rPr>
        <w:t>euro</w:t>
      </w:r>
      <w:r w:rsidRPr="002D7733">
        <w:rPr>
          <w:rFonts w:ascii="Times New Roman" w:hAnsi="Times New Roman"/>
          <w:sz w:val="24"/>
          <w:szCs w:val="24"/>
        </w:rPr>
        <w:t xml:space="preserve">. </w:t>
      </w:r>
      <w:r w:rsidR="00B849ED" w:rsidRPr="002D7733">
        <w:rPr>
          <w:rFonts w:ascii="Times New Roman" w:hAnsi="Times New Roman"/>
          <w:sz w:val="24"/>
          <w:szCs w:val="24"/>
        </w:rPr>
        <w:t>Projektu ietvaros tiks finansēta arī</w:t>
      </w:r>
      <w:r w:rsidRPr="002D7733">
        <w:rPr>
          <w:rFonts w:ascii="Times New Roman" w:hAnsi="Times New Roman"/>
          <w:sz w:val="24"/>
          <w:szCs w:val="24"/>
        </w:rPr>
        <w:t xml:space="preserve"> nozares pētniecības projektu koordinācija un īstenošanas uzraudzība,</w:t>
      </w:r>
      <w:r w:rsidR="00B849ED" w:rsidRPr="002D7733">
        <w:rPr>
          <w:rFonts w:ascii="Times New Roman" w:hAnsi="Times New Roman"/>
          <w:sz w:val="24"/>
          <w:szCs w:val="24"/>
        </w:rPr>
        <w:t xml:space="preserve"> </w:t>
      </w:r>
      <w:r w:rsidRPr="002D7733">
        <w:rPr>
          <w:rFonts w:ascii="Times New Roman" w:hAnsi="Times New Roman"/>
          <w:sz w:val="24"/>
          <w:szCs w:val="24"/>
        </w:rPr>
        <w:t>komersantu iesaist</w:t>
      </w:r>
      <w:r w:rsidR="00B849ED" w:rsidRPr="002D7733">
        <w:rPr>
          <w:rFonts w:ascii="Times New Roman" w:hAnsi="Times New Roman"/>
          <w:sz w:val="24"/>
          <w:szCs w:val="24"/>
        </w:rPr>
        <w:t>es</w:t>
      </w:r>
      <w:r w:rsidRPr="002D7733">
        <w:rPr>
          <w:rFonts w:ascii="Times New Roman" w:hAnsi="Times New Roman"/>
          <w:sz w:val="24"/>
          <w:szCs w:val="24"/>
        </w:rPr>
        <w:t xml:space="preserve"> starptautiskos pētniecības projektos, piemēram, ES pētniecības un inovācijas pamatprogrammā “Apvārsnis 2020” u.c.</w:t>
      </w:r>
      <w:r w:rsidRPr="002D7733">
        <w:rPr>
          <w:rFonts w:ascii="Times New Roman" w:hAnsi="Times New Roman"/>
        </w:rPr>
        <w:t xml:space="preserve"> </w:t>
      </w:r>
      <w:r w:rsidR="00B849ED" w:rsidRPr="002D7733">
        <w:rPr>
          <w:rFonts w:ascii="Times New Roman" w:hAnsi="Times New Roman"/>
          <w:sz w:val="24"/>
          <w:szCs w:val="24"/>
        </w:rPr>
        <w:t>veicināšana (projektu sagatavošanas palīdzība, pētniecības projektu atlase, analīze u.tml.). Bez tam, k</w:t>
      </w:r>
      <w:r w:rsidRPr="002D7733">
        <w:rPr>
          <w:rFonts w:ascii="Times New Roman" w:hAnsi="Times New Roman"/>
          <w:sz w:val="24"/>
          <w:szCs w:val="24"/>
        </w:rPr>
        <w:t>ompetences centru programmas ietvaros paredzēts organizēt atsevišķu atlases kārtu, kurā atbalstītie kompetences centri par kopējo ERAF finansējuma apjomu – 20 milj.</w:t>
      </w:r>
      <w:r w:rsidRPr="00C07278">
        <w:rPr>
          <w:rFonts w:ascii="Times New Roman" w:hAnsi="Times New Roman"/>
          <w:b/>
          <w:sz w:val="24"/>
          <w:szCs w:val="24"/>
        </w:rPr>
        <w:t xml:space="preserve"> </w:t>
      </w:r>
      <w:r w:rsidRPr="002D7733">
        <w:rPr>
          <w:rFonts w:ascii="Times New Roman" w:hAnsi="Times New Roman"/>
          <w:i/>
          <w:sz w:val="24"/>
          <w:szCs w:val="24"/>
        </w:rPr>
        <w:t>euro</w:t>
      </w:r>
      <w:r w:rsidRPr="002D7733">
        <w:rPr>
          <w:rFonts w:ascii="Times New Roman" w:hAnsi="Times New Roman"/>
          <w:sz w:val="24"/>
          <w:szCs w:val="24"/>
        </w:rPr>
        <w:t xml:space="preserve"> </w:t>
      </w:r>
      <w:r w:rsidRPr="00C07278">
        <w:rPr>
          <w:rFonts w:ascii="Times New Roman" w:hAnsi="Times New Roman"/>
          <w:b/>
          <w:sz w:val="24"/>
          <w:szCs w:val="24"/>
        </w:rPr>
        <w:t xml:space="preserve">– </w:t>
      </w:r>
      <w:r w:rsidRPr="002D7733">
        <w:rPr>
          <w:rFonts w:ascii="Times New Roman" w:hAnsi="Times New Roman"/>
          <w:sz w:val="24"/>
          <w:szCs w:val="24"/>
        </w:rPr>
        <w:t>varēs pretendēt uz atbalstu pētniecībai nepieciešamās infrastruktūras izveidei.</w:t>
      </w:r>
    </w:p>
    <w:p w14:paraId="15C03D42" w14:textId="2D2B1A77" w:rsidR="002E74A4" w:rsidRPr="002D7733" w:rsidRDefault="000358C1" w:rsidP="00E7642A">
      <w:pPr>
        <w:ind w:left="0" w:firstLine="425"/>
        <w:rPr>
          <w:rFonts w:ascii="Times New Roman" w:hAnsi="Times New Roman"/>
          <w:sz w:val="24"/>
          <w:szCs w:val="24"/>
        </w:rPr>
      </w:pPr>
      <w:r w:rsidRPr="002D7733">
        <w:rPr>
          <w:rFonts w:ascii="Times New Roman" w:hAnsi="Times New Roman"/>
          <w:sz w:val="24"/>
          <w:szCs w:val="24"/>
        </w:rPr>
        <w:t>Šī programma ir secīgs turpinājums ES struktūrfond</w:t>
      </w:r>
      <w:r w:rsidR="00B849ED" w:rsidRPr="002D7733">
        <w:rPr>
          <w:rFonts w:ascii="Times New Roman" w:hAnsi="Times New Roman"/>
          <w:sz w:val="24"/>
          <w:szCs w:val="24"/>
        </w:rPr>
        <w:t>u</w:t>
      </w:r>
      <w:r w:rsidRPr="002D7733">
        <w:rPr>
          <w:rFonts w:ascii="Times New Roman" w:hAnsi="Times New Roman"/>
          <w:sz w:val="24"/>
          <w:szCs w:val="24"/>
        </w:rPr>
        <w:t xml:space="preserve"> </w:t>
      </w:r>
      <w:r w:rsidR="002E74A4" w:rsidRPr="002D7733">
        <w:rPr>
          <w:rFonts w:ascii="Times New Roman" w:hAnsi="Times New Roman"/>
          <w:sz w:val="24"/>
          <w:szCs w:val="24"/>
        </w:rPr>
        <w:t>2007.</w:t>
      </w:r>
      <w:r w:rsidR="00634ECF" w:rsidRPr="00D55F2F">
        <w:rPr>
          <w:rFonts w:ascii="Times New Roman" w:hAnsi="Times New Roman"/>
          <w:sz w:val="24"/>
          <w:szCs w:val="24"/>
        </w:rPr>
        <w:t>–</w:t>
      </w:r>
      <w:r w:rsidR="002E74A4" w:rsidRPr="002D7733">
        <w:rPr>
          <w:rFonts w:ascii="Times New Roman" w:hAnsi="Times New Roman"/>
          <w:sz w:val="24"/>
          <w:szCs w:val="24"/>
        </w:rPr>
        <w:t>2013.</w:t>
      </w:r>
      <w:r w:rsidR="006A354B">
        <w:rPr>
          <w:rFonts w:ascii="Times New Roman" w:hAnsi="Times New Roman"/>
          <w:sz w:val="24"/>
          <w:szCs w:val="24"/>
        </w:rPr>
        <w:t xml:space="preserve"> </w:t>
      </w:r>
      <w:r w:rsidR="002E74A4" w:rsidRPr="002D7733">
        <w:rPr>
          <w:rFonts w:ascii="Times New Roman" w:hAnsi="Times New Roman"/>
          <w:sz w:val="24"/>
          <w:szCs w:val="24"/>
        </w:rPr>
        <w:t xml:space="preserve">gada plānošanas perioda </w:t>
      </w:r>
      <w:r w:rsidRPr="002D7733">
        <w:rPr>
          <w:rFonts w:ascii="Times New Roman" w:hAnsi="Times New Roman"/>
          <w:sz w:val="24"/>
          <w:szCs w:val="24"/>
        </w:rPr>
        <w:t xml:space="preserve">programmai </w:t>
      </w:r>
      <w:r w:rsidRPr="002D7733">
        <w:rPr>
          <w:rFonts w:ascii="Times New Roman" w:hAnsi="Times New Roman"/>
          <w:i/>
          <w:sz w:val="24"/>
          <w:szCs w:val="24"/>
        </w:rPr>
        <w:t>Kompetences centri</w:t>
      </w:r>
      <w:r w:rsidRPr="002D7733">
        <w:rPr>
          <w:rFonts w:ascii="Times New Roman" w:hAnsi="Times New Roman"/>
          <w:sz w:val="24"/>
          <w:szCs w:val="24"/>
        </w:rPr>
        <w:t>, kas tika īstenota</w:t>
      </w:r>
      <w:r w:rsidRPr="002D7733">
        <w:rPr>
          <w:rFonts w:ascii="Times New Roman" w:hAnsi="Times New Roman"/>
        </w:rPr>
        <w:t xml:space="preserve"> </w:t>
      </w:r>
      <w:r w:rsidRPr="002D7733">
        <w:rPr>
          <w:rFonts w:ascii="Times New Roman" w:hAnsi="Times New Roman"/>
          <w:sz w:val="24"/>
          <w:szCs w:val="24"/>
        </w:rPr>
        <w:t>laikā no 2010.</w:t>
      </w:r>
      <w:r w:rsidR="00634ECF" w:rsidRPr="00D55F2F">
        <w:rPr>
          <w:rFonts w:ascii="Times New Roman" w:hAnsi="Times New Roman"/>
          <w:sz w:val="24"/>
          <w:szCs w:val="24"/>
        </w:rPr>
        <w:t>–</w:t>
      </w:r>
      <w:r w:rsidRPr="002D7733">
        <w:rPr>
          <w:rFonts w:ascii="Times New Roman" w:hAnsi="Times New Roman"/>
          <w:sz w:val="24"/>
          <w:szCs w:val="24"/>
        </w:rPr>
        <w:lastRenderedPageBreak/>
        <w:t>2015.</w:t>
      </w:r>
      <w:r w:rsidR="006A354B">
        <w:rPr>
          <w:rFonts w:ascii="Times New Roman" w:hAnsi="Times New Roman"/>
          <w:sz w:val="24"/>
          <w:szCs w:val="24"/>
        </w:rPr>
        <w:t xml:space="preserve"> </w:t>
      </w:r>
      <w:r w:rsidRPr="002D7733">
        <w:rPr>
          <w:rFonts w:ascii="Times New Roman" w:hAnsi="Times New Roman"/>
          <w:sz w:val="24"/>
          <w:szCs w:val="24"/>
        </w:rPr>
        <w:t xml:space="preserve">gadam un kuras ietvaros tika izveidoti kompetences centri sešās Latvijas tautsaimniecībai nozīmīgās nozarēs: </w:t>
      </w:r>
    </w:p>
    <w:p w14:paraId="0AFABD75"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1</w:t>
      </w:r>
      <w:r w:rsidR="000358C1" w:rsidRPr="002D7733">
        <w:rPr>
          <w:rFonts w:ascii="Times New Roman" w:hAnsi="Times New Roman"/>
          <w:sz w:val="24"/>
          <w:szCs w:val="24"/>
        </w:rPr>
        <w:t>) f</w:t>
      </w:r>
      <w:r w:rsidRPr="002D7733">
        <w:rPr>
          <w:rFonts w:ascii="Times New Roman" w:hAnsi="Times New Roman"/>
          <w:sz w:val="24"/>
          <w:szCs w:val="24"/>
        </w:rPr>
        <w:t>armācija un ķīmiskā rūpniecība;</w:t>
      </w:r>
    </w:p>
    <w:p w14:paraId="5042F8FC"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2</w:t>
      </w:r>
      <w:r w:rsidR="000358C1" w:rsidRPr="002D7733">
        <w:rPr>
          <w:rFonts w:ascii="Times New Roman" w:hAnsi="Times New Roman"/>
          <w:sz w:val="24"/>
          <w:szCs w:val="24"/>
        </w:rPr>
        <w:t xml:space="preserve">) informācijas un komunikācijas tehnoloģijas; </w:t>
      </w:r>
    </w:p>
    <w:p w14:paraId="3456C054"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3</w:t>
      </w:r>
      <w:r w:rsidR="000358C1" w:rsidRPr="002D7733">
        <w:rPr>
          <w:rFonts w:ascii="Times New Roman" w:hAnsi="Times New Roman"/>
          <w:sz w:val="24"/>
          <w:szCs w:val="24"/>
        </w:rPr>
        <w:t xml:space="preserve">) meža nozare; </w:t>
      </w:r>
    </w:p>
    <w:p w14:paraId="7F1D15C0"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4</w:t>
      </w:r>
      <w:r w:rsidR="000358C1" w:rsidRPr="002D7733">
        <w:rPr>
          <w:rFonts w:ascii="Times New Roman" w:hAnsi="Times New Roman"/>
          <w:sz w:val="24"/>
          <w:szCs w:val="24"/>
        </w:rPr>
        <w:t>) elektrisko</w:t>
      </w:r>
      <w:r w:rsidRPr="002D7733">
        <w:rPr>
          <w:rFonts w:ascii="Times New Roman" w:hAnsi="Times New Roman"/>
          <w:sz w:val="24"/>
          <w:szCs w:val="24"/>
        </w:rPr>
        <w:t xml:space="preserve"> un optisko iekārtu ražošana; </w:t>
      </w:r>
    </w:p>
    <w:p w14:paraId="19D872A5"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5</w:t>
      </w:r>
      <w:r w:rsidR="000358C1" w:rsidRPr="002D7733">
        <w:rPr>
          <w:rFonts w:ascii="Times New Roman" w:hAnsi="Times New Roman"/>
          <w:sz w:val="24"/>
          <w:szCs w:val="24"/>
        </w:rPr>
        <w:t>) vides, bioenerģētikas</w:t>
      </w:r>
      <w:r w:rsidRPr="002D7733">
        <w:rPr>
          <w:rFonts w:ascii="Times New Roman" w:hAnsi="Times New Roman"/>
          <w:sz w:val="24"/>
          <w:szCs w:val="24"/>
        </w:rPr>
        <w:t xml:space="preserve"> un biotehnoloģiju nozare; </w:t>
      </w:r>
    </w:p>
    <w:p w14:paraId="1FB2DC37" w14:textId="77777777" w:rsidR="002E74A4" w:rsidRPr="002D7733" w:rsidRDefault="002E74A4" w:rsidP="00E7642A">
      <w:pPr>
        <w:ind w:left="0" w:firstLine="425"/>
        <w:rPr>
          <w:rFonts w:ascii="Times New Roman" w:hAnsi="Times New Roman"/>
          <w:sz w:val="24"/>
          <w:szCs w:val="24"/>
        </w:rPr>
      </w:pPr>
      <w:r w:rsidRPr="002D7733">
        <w:rPr>
          <w:rFonts w:ascii="Times New Roman" w:hAnsi="Times New Roman"/>
          <w:sz w:val="24"/>
          <w:szCs w:val="24"/>
        </w:rPr>
        <w:t>6</w:t>
      </w:r>
      <w:r w:rsidR="000358C1" w:rsidRPr="002D7733">
        <w:rPr>
          <w:rFonts w:ascii="Times New Roman" w:hAnsi="Times New Roman"/>
          <w:sz w:val="24"/>
          <w:szCs w:val="24"/>
        </w:rPr>
        <w:t xml:space="preserve">) transporta un mašīnbūves nozare. </w:t>
      </w:r>
    </w:p>
    <w:p w14:paraId="2BB6ED45" w14:textId="69A32051" w:rsidR="002E74A4" w:rsidRPr="00C07278" w:rsidRDefault="000358C1" w:rsidP="00E7642A">
      <w:pPr>
        <w:ind w:left="0" w:firstLine="425"/>
        <w:rPr>
          <w:rFonts w:ascii="Times New Roman" w:hAnsi="Times New Roman"/>
          <w:b/>
          <w:sz w:val="24"/>
          <w:szCs w:val="24"/>
        </w:rPr>
      </w:pPr>
      <w:r w:rsidRPr="002D7733">
        <w:rPr>
          <w:rFonts w:ascii="Times New Roman" w:hAnsi="Times New Roman"/>
          <w:sz w:val="24"/>
          <w:szCs w:val="24"/>
        </w:rPr>
        <w:t xml:space="preserve">Programmas kopējais publiskais finansējums bija 53,17 milj. </w:t>
      </w:r>
      <w:r w:rsidRPr="002D7733">
        <w:rPr>
          <w:rFonts w:ascii="Times New Roman" w:hAnsi="Times New Roman"/>
          <w:i/>
          <w:sz w:val="24"/>
          <w:szCs w:val="24"/>
        </w:rPr>
        <w:t>euro</w:t>
      </w:r>
      <w:r w:rsidRPr="002D7733">
        <w:rPr>
          <w:rFonts w:ascii="Times New Roman" w:hAnsi="Times New Roman"/>
          <w:sz w:val="24"/>
          <w:szCs w:val="24"/>
        </w:rPr>
        <w:t xml:space="preserve"> un privāt</w:t>
      </w:r>
      <w:r w:rsidR="00F82E46" w:rsidRPr="002D7733">
        <w:rPr>
          <w:rFonts w:ascii="Times New Roman" w:hAnsi="Times New Roman"/>
          <w:sz w:val="24"/>
          <w:szCs w:val="24"/>
        </w:rPr>
        <w:t>ais</w:t>
      </w:r>
      <w:r w:rsidRPr="002D7733">
        <w:rPr>
          <w:rFonts w:ascii="Times New Roman" w:hAnsi="Times New Roman"/>
          <w:sz w:val="24"/>
          <w:szCs w:val="24"/>
        </w:rPr>
        <w:t xml:space="preserve"> līdzfinansējum</w:t>
      </w:r>
      <w:r w:rsidR="00F82E46" w:rsidRPr="002D7733">
        <w:rPr>
          <w:rFonts w:ascii="Times New Roman" w:hAnsi="Times New Roman"/>
          <w:sz w:val="24"/>
          <w:szCs w:val="24"/>
        </w:rPr>
        <w:t>s</w:t>
      </w:r>
      <w:r w:rsidRPr="002D7733">
        <w:rPr>
          <w:rFonts w:ascii="Times New Roman" w:hAnsi="Times New Roman"/>
          <w:sz w:val="24"/>
          <w:szCs w:val="24"/>
        </w:rPr>
        <w:t xml:space="preserve"> </w:t>
      </w:r>
      <w:r w:rsidR="00550B46">
        <w:rPr>
          <w:rFonts w:ascii="Times New Roman" w:hAnsi="Times New Roman"/>
          <w:sz w:val="24"/>
          <w:szCs w:val="24"/>
        </w:rPr>
        <w:t>pētniecībai un attīstībai</w:t>
      </w:r>
      <w:r w:rsidRPr="002D7733">
        <w:rPr>
          <w:rFonts w:ascii="Times New Roman" w:hAnsi="Times New Roman"/>
          <w:sz w:val="24"/>
          <w:szCs w:val="24"/>
        </w:rPr>
        <w:t xml:space="preserve"> </w:t>
      </w:r>
      <w:r w:rsidR="00F82E46" w:rsidRPr="002D7733">
        <w:rPr>
          <w:rFonts w:ascii="Times New Roman" w:hAnsi="Times New Roman"/>
          <w:sz w:val="24"/>
          <w:szCs w:val="24"/>
        </w:rPr>
        <w:t xml:space="preserve">bija </w:t>
      </w:r>
      <w:r w:rsidRPr="002D7733">
        <w:rPr>
          <w:rFonts w:ascii="Times New Roman" w:hAnsi="Times New Roman"/>
          <w:sz w:val="24"/>
          <w:szCs w:val="24"/>
        </w:rPr>
        <w:t xml:space="preserve">21,7 milj. </w:t>
      </w:r>
      <w:r w:rsidRPr="002D7733">
        <w:rPr>
          <w:rFonts w:ascii="Times New Roman" w:hAnsi="Times New Roman"/>
          <w:i/>
          <w:sz w:val="24"/>
          <w:szCs w:val="24"/>
        </w:rPr>
        <w:t>euro</w:t>
      </w:r>
      <w:r w:rsidRPr="002D7733">
        <w:rPr>
          <w:rFonts w:ascii="Times New Roman" w:hAnsi="Times New Roman"/>
          <w:sz w:val="24"/>
          <w:szCs w:val="24"/>
        </w:rPr>
        <w:t>. Visos sešos kompetences centros kopumā tika iesniegt</w:t>
      </w:r>
      <w:r w:rsidR="00F82E46" w:rsidRPr="002D7733">
        <w:rPr>
          <w:rFonts w:ascii="Times New Roman" w:hAnsi="Times New Roman"/>
          <w:sz w:val="24"/>
          <w:szCs w:val="24"/>
        </w:rPr>
        <w:t>i</w:t>
      </w:r>
      <w:r w:rsidRPr="002D7733">
        <w:rPr>
          <w:rFonts w:ascii="Times New Roman" w:hAnsi="Times New Roman"/>
          <w:sz w:val="24"/>
          <w:szCs w:val="24"/>
        </w:rPr>
        <w:t xml:space="preserve"> 231 rūpniecisko pētījumu un jaunu produktu un tehnoloģiju izstrādes projekt</w:t>
      </w:r>
      <w:r w:rsidR="00F82E46" w:rsidRPr="002D7733">
        <w:rPr>
          <w:rFonts w:ascii="Times New Roman" w:hAnsi="Times New Roman"/>
          <w:sz w:val="24"/>
          <w:szCs w:val="24"/>
        </w:rPr>
        <w:t>i</w:t>
      </w:r>
      <w:r w:rsidRPr="002D7733">
        <w:rPr>
          <w:rFonts w:ascii="Times New Roman" w:hAnsi="Times New Roman"/>
          <w:sz w:val="24"/>
          <w:szCs w:val="24"/>
        </w:rPr>
        <w:t>, no kuriem līdz 2015.</w:t>
      </w:r>
      <w:r w:rsidR="006A354B">
        <w:rPr>
          <w:rFonts w:ascii="Times New Roman" w:hAnsi="Times New Roman"/>
          <w:sz w:val="24"/>
          <w:szCs w:val="24"/>
        </w:rPr>
        <w:t xml:space="preserve"> </w:t>
      </w:r>
      <w:r w:rsidRPr="002D7733">
        <w:rPr>
          <w:rFonts w:ascii="Times New Roman" w:hAnsi="Times New Roman"/>
          <w:sz w:val="24"/>
          <w:szCs w:val="24"/>
        </w:rPr>
        <w:t>gada 1.</w:t>
      </w:r>
      <w:r w:rsidR="006A354B">
        <w:rPr>
          <w:rFonts w:ascii="Times New Roman" w:hAnsi="Times New Roman"/>
          <w:sz w:val="24"/>
          <w:szCs w:val="24"/>
        </w:rPr>
        <w:t xml:space="preserve"> </w:t>
      </w:r>
      <w:r w:rsidRPr="002D7733">
        <w:rPr>
          <w:rFonts w:ascii="Times New Roman" w:hAnsi="Times New Roman"/>
          <w:sz w:val="24"/>
          <w:szCs w:val="24"/>
        </w:rPr>
        <w:t>decembrim tika pabeigti 84 projekti. Kompetences centros kopumā ir</w:t>
      </w:r>
      <w:r w:rsidR="00F82E46" w:rsidRPr="002D7733">
        <w:rPr>
          <w:rFonts w:ascii="Times New Roman" w:hAnsi="Times New Roman"/>
          <w:sz w:val="24"/>
          <w:szCs w:val="24"/>
        </w:rPr>
        <w:t xml:space="preserve"> bijuši</w:t>
      </w:r>
      <w:r w:rsidRPr="002D7733">
        <w:rPr>
          <w:rFonts w:ascii="Times New Roman" w:hAnsi="Times New Roman"/>
          <w:sz w:val="24"/>
          <w:szCs w:val="24"/>
        </w:rPr>
        <w:t xml:space="preserve"> iesaistīti 164 uzņēmumi un 33 zinātniskās institūcijas, </w:t>
      </w:r>
      <w:r w:rsidR="00F82E46" w:rsidRPr="002D7733">
        <w:rPr>
          <w:rFonts w:ascii="Times New Roman" w:hAnsi="Times New Roman"/>
          <w:sz w:val="24"/>
          <w:szCs w:val="24"/>
        </w:rPr>
        <w:t>un izveidotas</w:t>
      </w:r>
      <w:r w:rsidR="002E74A4" w:rsidRPr="002D7733">
        <w:rPr>
          <w:rFonts w:ascii="Times New Roman" w:hAnsi="Times New Roman"/>
          <w:sz w:val="24"/>
          <w:szCs w:val="24"/>
        </w:rPr>
        <w:t xml:space="preserve"> 455 </w:t>
      </w:r>
      <w:r w:rsidR="00550B46">
        <w:rPr>
          <w:rFonts w:ascii="Times New Roman" w:hAnsi="Times New Roman"/>
          <w:sz w:val="24"/>
          <w:szCs w:val="24"/>
        </w:rPr>
        <w:t>pētniecības un attīstības</w:t>
      </w:r>
      <w:r w:rsidRPr="002D7733">
        <w:rPr>
          <w:rFonts w:ascii="Times New Roman" w:hAnsi="Times New Roman"/>
          <w:sz w:val="24"/>
          <w:szCs w:val="24"/>
        </w:rPr>
        <w:t xml:space="preserve"> darba vietas.</w:t>
      </w:r>
      <w:r w:rsidR="002E74A4" w:rsidRPr="00C07278">
        <w:rPr>
          <w:rFonts w:ascii="Times New Roman" w:hAnsi="Times New Roman"/>
          <w:b/>
          <w:sz w:val="24"/>
          <w:szCs w:val="24"/>
        </w:rPr>
        <w:t xml:space="preserve"> </w:t>
      </w:r>
      <w:r w:rsidR="002E74A4" w:rsidRPr="002D7733">
        <w:rPr>
          <w:rFonts w:ascii="Times New Roman" w:hAnsi="Times New Roman"/>
          <w:sz w:val="24"/>
          <w:szCs w:val="24"/>
        </w:rPr>
        <w:t>Sākotnēji programmas nosacījumi paredzēja atbalstu arī ieguldījumiem infrastruktūrā, kas saistīti ar jaunas pētnieciskās darbības uzsākšanu vai esošas pētnieciskās darbības paplašināšanu kompetences centrā. Tomēr neviens no kompetences centriem savos projektos šādu attecināmo darbību nebija paredzējis un tā no programmas nosacījumiem tika izslēgta.</w:t>
      </w:r>
    </w:p>
    <w:p w14:paraId="23B927E4" w14:textId="77777777" w:rsidR="003536A4" w:rsidRDefault="000358C1" w:rsidP="00E7642A">
      <w:pPr>
        <w:spacing w:before="200"/>
        <w:ind w:left="0" w:firstLine="425"/>
        <w:rPr>
          <w:rFonts w:ascii="Times New Roman" w:hAnsi="Times New Roman"/>
          <w:b/>
          <w:sz w:val="24"/>
          <w:szCs w:val="24"/>
        </w:rPr>
      </w:pPr>
      <w:r w:rsidRPr="002D7733">
        <w:rPr>
          <w:rFonts w:ascii="Times New Roman" w:hAnsi="Times New Roman"/>
          <w:sz w:val="24"/>
          <w:szCs w:val="24"/>
        </w:rPr>
        <w:t>2016.</w:t>
      </w:r>
      <w:r w:rsidR="006A354B">
        <w:rPr>
          <w:rFonts w:ascii="Times New Roman" w:hAnsi="Times New Roman"/>
          <w:sz w:val="24"/>
          <w:szCs w:val="24"/>
        </w:rPr>
        <w:t xml:space="preserve"> </w:t>
      </w:r>
      <w:r w:rsidRPr="002D7733">
        <w:rPr>
          <w:rFonts w:ascii="Times New Roman" w:hAnsi="Times New Roman"/>
          <w:sz w:val="24"/>
          <w:szCs w:val="24"/>
        </w:rPr>
        <w:t>gadā turpinās priekšdarbi</w:t>
      </w:r>
      <w:r w:rsidR="00F82E46" w:rsidRPr="002D7733">
        <w:rPr>
          <w:rFonts w:ascii="Times New Roman" w:hAnsi="Times New Roman"/>
          <w:sz w:val="24"/>
          <w:szCs w:val="24"/>
        </w:rPr>
        <w:t xml:space="preserve"> </w:t>
      </w:r>
      <w:r w:rsidRPr="002D7733">
        <w:rPr>
          <w:rFonts w:ascii="Times New Roman" w:hAnsi="Times New Roman"/>
          <w:sz w:val="24"/>
          <w:szCs w:val="24"/>
        </w:rPr>
        <w:t xml:space="preserve">tehnoloģiju pārneses </w:t>
      </w:r>
      <w:r w:rsidR="00F82E46" w:rsidRPr="002D7733">
        <w:rPr>
          <w:rFonts w:ascii="Times New Roman" w:hAnsi="Times New Roman"/>
          <w:sz w:val="24"/>
          <w:szCs w:val="24"/>
        </w:rPr>
        <w:t>p</w:t>
      </w:r>
      <w:r w:rsidRPr="002D7733">
        <w:rPr>
          <w:rFonts w:ascii="Times New Roman" w:hAnsi="Times New Roman"/>
          <w:sz w:val="24"/>
          <w:szCs w:val="24"/>
        </w:rPr>
        <w:t>rogramm</w:t>
      </w:r>
      <w:r w:rsidR="00F82E46" w:rsidRPr="002D7733">
        <w:rPr>
          <w:rFonts w:ascii="Times New Roman" w:hAnsi="Times New Roman"/>
          <w:sz w:val="24"/>
          <w:szCs w:val="24"/>
        </w:rPr>
        <w:t>as izveidei, ar kopējo</w:t>
      </w:r>
      <w:r w:rsidRPr="002D7733">
        <w:rPr>
          <w:rFonts w:ascii="Times New Roman" w:hAnsi="Times New Roman"/>
          <w:sz w:val="24"/>
          <w:szCs w:val="24"/>
        </w:rPr>
        <w:t xml:space="preserve"> ERAF finansējum</w:t>
      </w:r>
      <w:r w:rsidR="00F82E46" w:rsidRPr="002D7733">
        <w:rPr>
          <w:rFonts w:ascii="Times New Roman" w:hAnsi="Times New Roman"/>
          <w:sz w:val="24"/>
          <w:szCs w:val="24"/>
        </w:rPr>
        <w:t xml:space="preserve">u </w:t>
      </w:r>
      <w:r w:rsidRPr="002D7733">
        <w:rPr>
          <w:rFonts w:ascii="Times New Roman" w:hAnsi="Times New Roman"/>
          <w:sz w:val="24"/>
          <w:szCs w:val="24"/>
        </w:rPr>
        <w:t xml:space="preserve">31,5 milj. </w:t>
      </w:r>
      <w:r w:rsidRPr="002D7733">
        <w:rPr>
          <w:rFonts w:ascii="Times New Roman" w:hAnsi="Times New Roman"/>
          <w:i/>
          <w:sz w:val="24"/>
          <w:szCs w:val="24"/>
        </w:rPr>
        <w:t>euro</w:t>
      </w:r>
      <w:r w:rsidRPr="002D7733">
        <w:rPr>
          <w:rFonts w:ascii="Times New Roman" w:hAnsi="Times New Roman"/>
          <w:sz w:val="24"/>
          <w:szCs w:val="24"/>
        </w:rPr>
        <w:t>.</w:t>
      </w:r>
      <w:r w:rsidRPr="002D7733">
        <w:rPr>
          <w:rFonts w:ascii="Times New Roman" w:hAnsi="Times New Roman"/>
        </w:rPr>
        <w:t xml:space="preserve"> </w:t>
      </w:r>
      <w:r w:rsidRPr="002D7733">
        <w:rPr>
          <w:rFonts w:ascii="Times New Roman" w:hAnsi="Times New Roman"/>
          <w:sz w:val="24"/>
          <w:szCs w:val="24"/>
        </w:rPr>
        <w:t xml:space="preserve">Tehnoloģiju pārneses </w:t>
      </w:r>
      <w:r w:rsidR="00F82E46" w:rsidRPr="002D7733">
        <w:rPr>
          <w:rFonts w:ascii="Times New Roman" w:hAnsi="Times New Roman"/>
          <w:sz w:val="24"/>
          <w:szCs w:val="24"/>
        </w:rPr>
        <w:t xml:space="preserve">programmas mērķis ir palielināt valsts </w:t>
      </w:r>
      <w:r w:rsidRPr="002D7733">
        <w:rPr>
          <w:rFonts w:ascii="Times New Roman" w:hAnsi="Times New Roman"/>
          <w:sz w:val="24"/>
          <w:szCs w:val="24"/>
        </w:rPr>
        <w:t xml:space="preserve">zinātnisko institūciju </w:t>
      </w:r>
      <w:r w:rsidR="00F82E46" w:rsidRPr="002D7733">
        <w:rPr>
          <w:rFonts w:ascii="Times New Roman" w:hAnsi="Times New Roman"/>
          <w:sz w:val="24"/>
          <w:szCs w:val="24"/>
        </w:rPr>
        <w:t xml:space="preserve">iesaisti komercializējamos </w:t>
      </w:r>
      <w:r w:rsidRPr="002D7733">
        <w:rPr>
          <w:rFonts w:ascii="Times New Roman" w:hAnsi="Times New Roman"/>
          <w:sz w:val="24"/>
          <w:szCs w:val="24"/>
        </w:rPr>
        <w:t>pētījum</w:t>
      </w:r>
      <w:r w:rsidR="00F82E46" w:rsidRPr="002D7733">
        <w:rPr>
          <w:rFonts w:ascii="Times New Roman" w:hAnsi="Times New Roman"/>
          <w:sz w:val="24"/>
          <w:szCs w:val="24"/>
        </w:rPr>
        <w:t>os</w:t>
      </w:r>
      <w:r w:rsidR="001700C8" w:rsidRPr="002D7733">
        <w:rPr>
          <w:rFonts w:ascii="Times New Roman" w:hAnsi="Times New Roman"/>
          <w:sz w:val="24"/>
          <w:szCs w:val="24"/>
        </w:rPr>
        <w:t xml:space="preserve"> un to, </w:t>
      </w:r>
      <w:r w:rsidRPr="002D7733">
        <w:rPr>
          <w:rFonts w:ascii="Times New Roman" w:hAnsi="Times New Roman"/>
          <w:sz w:val="24"/>
          <w:szCs w:val="24"/>
        </w:rPr>
        <w:t xml:space="preserve">zinātnisko institūciju pētījumu rezultāti tiktu transformēti praktiskā uzņēmējdarbībā. Paredzēts, ka tehnoloģiju pārneses </w:t>
      </w:r>
      <w:r w:rsidR="001700C8" w:rsidRPr="002D7733">
        <w:rPr>
          <w:rFonts w:ascii="Times New Roman" w:hAnsi="Times New Roman"/>
          <w:sz w:val="24"/>
          <w:szCs w:val="24"/>
        </w:rPr>
        <w:t xml:space="preserve">programmas </w:t>
      </w:r>
      <w:r w:rsidRPr="002D7733">
        <w:rPr>
          <w:rFonts w:ascii="Times New Roman" w:hAnsi="Times New Roman"/>
          <w:sz w:val="24"/>
          <w:szCs w:val="24"/>
        </w:rPr>
        <w:t>ietvaros tiktu izveidota trīs līmeņu pārneses sistēma.</w:t>
      </w:r>
      <w:r w:rsidRPr="00C07278">
        <w:rPr>
          <w:rFonts w:ascii="Times New Roman" w:hAnsi="Times New Roman"/>
          <w:b/>
          <w:sz w:val="24"/>
          <w:szCs w:val="24"/>
        </w:rPr>
        <w:t xml:space="preserve"> </w:t>
      </w:r>
      <w:r w:rsidRPr="002D7733">
        <w:rPr>
          <w:rFonts w:ascii="Times New Roman" w:hAnsi="Times New Roman"/>
          <w:sz w:val="24"/>
          <w:szCs w:val="24"/>
        </w:rPr>
        <w:t xml:space="preserve">Pirmkārt, plānots stiprināt </w:t>
      </w:r>
      <w:r w:rsidR="00550B46">
        <w:rPr>
          <w:rFonts w:ascii="Times New Roman" w:hAnsi="Times New Roman"/>
          <w:sz w:val="24"/>
          <w:szCs w:val="24"/>
        </w:rPr>
        <w:t>LIAA</w:t>
      </w:r>
      <w:r w:rsidRPr="002D7733">
        <w:rPr>
          <w:rFonts w:ascii="Times New Roman" w:hAnsi="Times New Roman"/>
          <w:sz w:val="24"/>
          <w:szCs w:val="24"/>
        </w:rPr>
        <w:t xml:space="preserve"> kapacitāti tehnoloģiju pārneses</w:t>
      </w:r>
      <w:r w:rsidR="00BF0C09" w:rsidRPr="002D7733">
        <w:rPr>
          <w:rFonts w:ascii="Times New Roman" w:hAnsi="Times New Roman"/>
          <w:sz w:val="24"/>
          <w:szCs w:val="24"/>
        </w:rPr>
        <w:t xml:space="preserve"> un</w:t>
      </w:r>
      <w:r w:rsidRPr="002D7733">
        <w:rPr>
          <w:rFonts w:ascii="Times New Roman" w:hAnsi="Times New Roman"/>
          <w:sz w:val="24"/>
          <w:szCs w:val="24"/>
        </w:rPr>
        <w:t xml:space="preserve"> pakalpojumu sniegšanas zinātniskajām institūcijām jomā, tostarp lai sniegtu tehnoloģiju pārneses pakalpojumus un atbalstītu tehnoloģiju pārneses specialistu darbu zinātnisko institūciju līmenī. Šim nolūkam </w:t>
      </w:r>
      <w:r w:rsidR="00550B46">
        <w:rPr>
          <w:rFonts w:ascii="Times New Roman" w:hAnsi="Times New Roman"/>
          <w:sz w:val="24"/>
          <w:szCs w:val="24"/>
        </w:rPr>
        <w:t>LIAA</w:t>
      </w:r>
      <w:r w:rsidRPr="002D7733">
        <w:rPr>
          <w:rFonts w:ascii="Times New Roman" w:hAnsi="Times New Roman"/>
          <w:sz w:val="24"/>
          <w:szCs w:val="24"/>
        </w:rPr>
        <w:t xml:space="preserve"> </w:t>
      </w:r>
      <w:r w:rsidR="00233CAF">
        <w:rPr>
          <w:rFonts w:ascii="Times New Roman" w:hAnsi="Times New Roman"/>
          <w:sz w:val="24"/>
          <w:szCs w:val="24"/>
        </w:rPr>
        <w:t xml:space="preserve">struktūrā </w:t>
      </w:r>
      <w:r w:rsidRPr="002D7733">
        <w:rPr>
          <w:rFonts w:ascii="Times New Roman" w:hAnsi="Times New Roman"/>
          <w:sz w:val="24"/>
          <w:szCs w:val="24"/>
        </w:rPr>
        <w:t xml:space="preserve">paredzēts </w:t>
      </w:r>
      <w:r w:rsidR="00233CAF">
        <w:rPr>
          <w:rFonts w:ascii="Times New Roman" w:hAnsi="Times New Roman"/>
          <w:sz w:val="24"/>
          <w:szCs w:val="24"/>
        </w:rPr>
        <w:t xml:space="preserve">izveidot </w:t>
      </w:r>
      <w:r w:rsidR="00233CAF" w:rsidRPr="002D7733">
        <w:rPr>
          <w:rFonts w:ascii="Times New Roman" w:hAnsi="Times New Roman"/>
          <w:sz w:val="24"/>
          <w:szCs w:val="24"/>
        </w:rPr>
        <w:t xml:space="preserve"> </w:t>
      </w:r>
      <w:r w:rsidRPr="002D7733">
        <w:rPr>
          <w:rFonts w:ascii="Times New Roman" w:hAnsi="Times New Roman"/>
          <w:sz w:val="24"/>
          <w:szCs w:val="24"/>
        </w:rPr>
        <w:t>Vienotā tehnoloģiju pārneses centr</w:t>
      </w:r>
      <w:r w:rsidR="00233CAF">
        <w:rPr>
          <w:rFonts w:ascii="Times New Roman" w:hAnsi="Times New Roman"/>
          <w:sz w:val="24"/>
          <w:szCs w:val="24"/>
        </w:rPr>
        <w:t xml:space="preserve">u </w:t>
      </w:r>
      <w:r w:rsidRPr="002D7733">
        <w:rPr>
          <w:rFonts w:ascii="Times New Roman" w:hAnsi="Times New Roman"/>
          <w:sz w:val="24"/>
          <w:szCs w:val="24"/>
        </w:rPr>
        <w:t xml:space="preserve"> </w:t>
      </w:r>
      <w:r w:rsidR="00233CAF">
        <w:rPr>
          <w:rFonts w:ascii="Times New Roman" w:hAnsi="Times New Roman"/>
          <w:sz w:val="24"/>
          <w:szCs w:val="24"/>
        </w:rPr>
        <w:t>(</w:t>
      </w:r>
      <w:r w:rsidRPr="002D7733">
        <w:rPr>
          <w:rFonts w:ascii="Times New Roman" w:hAnsi="Times New Roman"/>
          <w:sz w:val="24"/>
          <w:szCs w:val="24"/>
        </w:rPr>
        <w:t>VTPC</w:t>
      </w:r>
      <w:r w:rsidR="00233CAF">
        <w:rPr>
          <w:rFonts w:ascii="Times New Roman" w:hAnsi="Times New Roman"/>
          <w:sz w:val="24"/>
          <w:szCs w:val="24"/>
        </w:rPr>
        <w:t>)</w:t>
      </w:r>
      <w:r w:rsidR="00A520C8">
        <w:rPr>
          <w:rFonts w:ascii="Times New Roman" w:hAnsi="Times New Roman"/>
          <w:sz w:val="24"/>
          <w:szCs w:val="24"/>
        </w:rPr>
        <w:t xml:space="preserve">, </w:t>
      </w:r>
      <w:r w:rsidR="00233CAF">
        <w:rPr>
          <w:rFonts w:ascii="Times New Roman" w:hAnsi="Times New Roman"/>
          <w:sz w:val="24"/>
          <w:szCs w:val="24"/>
        </w:rPr>
        <w:t>ko plānots izvietot valsts zinātnisko institūtu un universitāšu telpās</w:t>
      </w:r>
      <w:r w:rsidRPr="002D7733">
        <w:rPr>
          <w:rFonts w:ascii="Times New Roman" w:hAnsi="Times New Roman"/>
          <w:sz w:val="24"/>
          <w:szCs w:val="24"/>
        </w:rPr>
        <w:t>.</w:t>
      </w:r>
      <w:r w:rsidRPr="00C07278">
        <w:rPr>
          <w:rFonts w:ascii="Times New Roman" w:hAnsi="Times New Roman"/>
          <w:b/>
          <w:sz w:val="24"/>
          <w:szCs w:val="24"/>
        </w:rPr>
        <w:t xml:space="preserve"> </w:t>
      </w:r>
    </w:p>
    <w:p w14:paraId="113C15AC" w14:textId="77777777" w:rsidR="002E74A4" w:rsidRPr="002D7733" w:rsidRDefault="000358C1" w:rsidP="00E7642A">
      <w:pPr>
        <w:ind w:left="0" w:firstLine="425"/>
        <w:rPr>
          <w:rFonts w:ascii="Times New Roman" w:hAnsi="Times New Roman"/>
          <w:sz w:val="24"/>
          <w:szCs w:val="24"/>
        </w:rPr>
      </w:pPr>
      <w:r w:rsidRPr="002D7733">
        <w:rPr>
          <w:rFonts w:ascii="Times New Roman" w:hAnsi="Times New Roman"/>
          <w:sz w:val="24"/>
          <w:szCs w:val="24"/>
        </w:rPr>
        <w:t xml:space="preserve">Otrkārt, </w:t>
      </w:r>
      <w:r w:rsidR="003536A4" w:rsidRPr="002D7733">
        <w:rPr>
          <w:rFonts w:ascii="Times New Roman" w:hAnsi="Times New Roman"/>
          <w:sz w:val="24"/>
          <w:szCs w:val="24"/>
        </w:rPr>
        <w:t>lai</w:t>
      </w:r>
      <w:r w:rsidRPr="002D7733">
        <w:rPr>
          <w:rFonts w:ascii="Times New Roman" w:hAnsi="Times New Roman"/>
          <w:sz w:val="24"/>
          <w:szCs w:val="24"/>
        </w:rPr>
        <w:t xml:space="preserve"> paaugstināt</w:t>
      </w:r>
      <w:r w:rsidR="003536A4" w:rsidRPr="002D7733">
        <w:rPr>
          <w:rFonts w:ascii="Times New Roman" w:hAnsi="Times New Roman"/>
          <w:sz w:val="24"/>
          <w:szCs w:val="24"/>
        </w:rPr>
        <w:t>u</w:t>
      </w:r>
      <w:r w:rsidRPr="002D7733">
        <w:rPr>
          <w:rFonts w:ascii="Times New Roman" w:hAnsi="Times New Roman"/>
          <w:sz w:val="24"/>
          <w:szCs w:val="24"/>
        </w:rPr>
        <w:t xml:space="preserve"> komercializācijas piedāvājumu gatavības pakāpi</w:t>
      </w:r>
      <w:r w:rsidR="003536A4" w:rsidRPr="002D7733">
        <w:rPr>
          <w:rFonts w:ascii="Times New Roman" w:hAnsi="Times New Roman"/>
          <w:sz w:val="24"/>
          <w:szCs w:val="24"/>
        </w:rPr>
        <w:t xml:space="preserve"> un</w:t>
      </w:r>
      <w:r w:rsidRPr="002D7733">
        <w:rPr>
          <w:rFonts w:ascii="Times New Roman" w:hAnsi="Times New Roman"/>
          <w:sz w:val="24"/>
          <w:szCs w:val="24"/>
        </w:rPr>
        <w:t xml:space="preserve"> sekmētu licenciātu</w:t>
      </w:r>
      <w:r w:rsidR="003536A4" w:rsidRPr="002D7733">
        <w:rPr>
          <w:rFonts w:ascii="Times New Roman" w:hAnsi="Times New Roman"/>
          <w:sz w:val="24"/>
          <w:szCs w:val="24"/>
        </w:rPr>
        <w:t xml:space="preserve"> un </w:t>
      </w:r>
      <w:r w:rsidRPr="002D7733">
        <w:rPr>
          <w:rFonts w:ascii="Times New Roman" w:hAnsi="Times New Roman"/>
          <w:sz w:val="24"/>
          <w:szCs w:val="24"/>
        </w:rPr>
        <w:t xml:space="preserve">investoru piesaisti, paredzēts novirzīt finansējumu zinātnisko institūtu rīcībā esošo pētniecisko izstrādņu komercializācijas gatavības paaugstināšanai. Visbeidzot paredzēts, ka </w:t>
      </w:r>
      <w:r w:rsidR="00634ECF">
        <w:rPr>
          <w:rFonts w:ascii="Times New Roman" w:hAnsi="Times New Roman"/>
          <w:sz w:val="24"/>
          <w:szCs w:val="24"/>
        </w:rPr>
        <w:t>LIAA</w:t>
      </w:r>
      <w:r w:rsidRPr="002D7733">
        <w:rPr>
          <w:rFonts w:ascii="Times New Roman" w:hAnsi="Times New Roman"/>
          <w:sz w:val="24"/>
          <w:szCs w:val="24"/>
        </w:rPr>
        <w:t xml:space="preserve"> un VTPC nodrošinās inovācijas vaučeru sniegšanu (pieejamais finansējums 7 milj. </w:t>
      </w:r>
      <w:r w:rsidRPr="002D7733">
        <w:rPr>
          <w:rFonts w:ascii="Times New Roman" w:hAnsi="Times New Roman"/>
          <w:i/>
          <w:sz w:val="24"/>
          <w:szCs w:val="24"/>
        </w:rPr>
        <w:t>euro</w:t>
      </w:r>
      <w:r w:rsidRPr="002D7733">
        <w:rPr>
          <w:rFonts w:ascii="Times New Roman" w:hAnsi="Times New Roman"/>
          <w:sz w:val="24"/>
          <w:szCs w:val="24"/>
        </w:rPr>
        <w:t>), lai sekmētu mikro, mazo un vidējo uzņēmumu inovācijas aktivitātes jaunu produktu vai tehnoloģiju attīstīšanas jomā, sniedzot atbalstu ārējo pakalpojumu iegādei – tehniski ekonomiskās priekšizpētes un rūpniecisko pētījumu un eksperimentālo izstrādņu veikšanai, rūpniecisko īpašumtiesību nostiprināšanai tādiem objektiem kā: patents, dizainparaugs, pusvadītāju topogrāfija, kā arī rūpnieciskā dizaina izstrādei un jauna produkta vai tehnoloģijas testēšanai un sertificēšanai.</w:t>
      </w:r>
    </w:p>
    <w:p w14:paraId="491811AB" w14:textId="6E01AB19" w:rsidR="002E74A4" w:rsidRPr="00C07278" w:rsidRDefault="003536A4" w:rsidP="00E7642A">
      <w:pPr>
        <w:ind w:left="0" w:firstLine="425"/>
        <w:rPr>
          <w:rFonts w:ascii="Times New Roman" w:hAnsi="Times New Roman"/>
          <w:b/>
          <w:sz w:val="24"/>
          <w:szCs w:val="24"/>
        </w:rPr>
      </w:pPr>
      <w:r w:rsidRPr="002D7733">
        <w:rPr>
          <w:rFonts w:ascii="Times New Roman" w:hAnsi="Times New Roman"/>
          <w:sz w:val="24"/>
          <w:szCs w:val="24"/>
        </w:rPr>
        <w:t>No</w:t>
      </w:r>
      <w:r w:rsidR="000358C1" w:rsidRPr="002D7733">
        <w:rPr>
          <w:rFonts w:ascii="Times New Roman" w:hAnsi="Times New Roman"/>
          <w:sz w:val="24"/>
          <w:szCs w:val="24"/>
        </w:rPr>
        <w:t xml:space="preserve"> 2008.</w:t>
      </w:r>
      <w:r w:rsidR="006A354B">
        <w:rPr>
          <w:rFonts w:ascii="Times New Roman" w:hAnsi="Times New Roman"/>
          <w:sz w:val="24"/>
          <w:szCs w:val="24"/>
        </w:rPr>
        <w:t xml:space="preserve"> </w:t>
      </w:r>
      <w:r w:rsidR="000358C1" w:rsidRPr="002D7733">
        <w:rPr>
          <w:rFonts w:ascii="Times New Roman" w:hAnsi="Times New Roman"/>
          <w:sz w:val="24"/>
          <w:szCs w:val="24"/>
        </w:rPr>
        <w:t>gada līdz 2013.</w:t>
      </w:r>
      <w:r w:rsidR="006A354B">
        <w:rPr>
          <w:rFonts w:ascii="Times New Roman" w:hAnsi="Times New Roman"/>
          <w:sz w:val="24"/>
          <w:szCs w:val="24"/>
        </w:rPr>
        <w:t xml:space="preserve"> </w:t>
      </w:r>
      <w:r w:rsidR="000358C1" w:rsidRPr="002D7733">
        <w:rPr>
          <w:rFonts w:ascii="Times New Roman" w:hAnsi="Times New Roman"/>
          <w:sz w:val="24"/>
          <w:szCs w:val="24"/>
        </w:rPr>
        <w:t xml:space="preserve">gada beigām LIAA no ES struktūrfondiem </w:t>
      </w:r>
      <w:r w:rsidR="002E74A4" w:rsidRPr="002D7733">
        <w:rPr>
          <w:rFonts w:ascii="Times New Roman" w:hAnsi="Times New Roman"/>
          <w:sz w:val="24"/>
          <w:szCs w:val="24"/>
        </w:rPr>
        <w:t>2007.</w:t>
      </w:r>
      <w:r w:rsidR="00634ECF" w:rsidRPr="00D55F2F">
        <w:rPr>
          <w:rFonts w:ascii="Times New Roman" w:hAnsi="Times New Roman"/>
          <w:sz w:val="24"/>
          <w:szCs w:val="24"/>
        </w:rPr>
        <w:t>–</w:t>
      </w:r>
      <w:r w:rsidR="002E74A4" w:rsidRPr="002D7733">
        <w:rPr>
          <w:rFonts w:ascii="Times New Roman" w:hAnsi="Times New Roman"/>
          <w:sz w:val="24"/>
          <w:szCs w:val="24"/>
        </w:rPr>
        <w:t>2013.</w:t>
      </w:r>
      <w:r w:rsidR="006A354B">
        <w:rPr>
          <w:rFonts w:ascii="Times New Roman" w:hAnsi="Times New Roman"/>
          <w:sz w:val="24"/>
          <w:szCs w:val="24"/>
        </w:rPr>
        <w:t xml:space="preserve"> </w:t>
      </w:r>
      <w:r w:rsidR="002E74A4" w:rsidRPr="002D7733">
        <w:rPr>
          <w:rFonts w:ascii="Times New Roman" w:hAnsi="Times New Roman"/>
          <w:sz w:val="24"/>
          <w:szCs w:val="24"/>
        </w:rPr>
        <w:t xml:space="preserve">gada plānošanas perioda </w:t>
      </w:r>
      <w:r w:rsidR="000358C1" w:rsidRPr="002D7733">
        <w:rPr>
          <w:rFonts w:ascii="Times New Roman" w:hAnsi="Times New Roman"/>
          <w:sz w:val="24"/>
          <w:szCs w:val="24"/>
        </w:rPr>
        <w:t xml:space="preserve">finansētās programmas </w:t>
      </w:r>
      <w:r w:rsidR="000358C1" w:rsidRPr="002D7733">
        <w:rPr>
          <w:rFonts w:ascii="Times New Roman" w:hAnsi="Times New Roman"/>
          <w:i/>
          <w:sz w:val="24"/>
          <w:szCs w:val="24"/>
        </w:rPr>
        <w:t>Tehnoloģiju pārneses kontaktpunkti</w:t>
      </w:r>
      <w:r w:rsidR="000358C1" w:rsidRPr="002D7733">
        <w:rPr>
          <w:rFonts w:ascii="Times New Roman" w:hAnsi="Times New Roman"/>
          <w:sz w:val="24"/>
          <w:szCs w:val="24"/>
        </w:rPr>
        <w:t xml:space="preserve"> ietvaros </w:t>
      </w:r>
      <w:r w:rsidRPr="00857DF8">
        <w:rPr>
          <w:rFonts w:ascii="Times New Roman" w:hAnsi="Times New Roman"/>
          <w:sz w:val="24"/>
          <w:szCs w:val="24"/>
        </w:rPr>
        <w:t xml:space="preserve">nodrošināja </w:t>
      </w:r>
      <w:r w:rsidR="000358C1" w:rsidRPr="002D7733">
        <w:rPr>
          <w:rFonts w:ascii="Times New Roman" w:hAnsi="Times New Roman"/>
          <w:sz w:val="24"/>
          <w:szCs w:val="24"/>
        </w:rPr>
        <w:t>8 Tehnoloģiju pārneses kontaktpunktu darbīb</w:t>
      </w:r>
      <w:r w:rsidRPr="00857DF8">
        <w:rPr>
          <w:rFonts w:ascii="Times New Roman" w:hAnsi="Times New Roman"/>
          <w:sz w:val="24"/>
          <w:szCs w:val="24"/>
        </w:rPr>
        <w:t>u</w:t>
      </w:r>
      <w:r w:rsidR="000358C1" w:rsidRPr="002D7733">
        <w:rPr>
          <w:rFonts w:ascii="Times New Roman" w:hAnsi="Times New Roman"/>
          <w:sz w:val="24"/>
          <w:szCs w:val="24"/>
        </w:rPr>
        <w:t xml:space="preserve"> augstākās izglītības iestādēs. Tehnoloģiju pārneses kontaktpunkti ir augstākās izglītības iestāžu izveidotas struktūrvienības un to uzdevums bija īstenot zināšanu un tehnoloģiju pārneses aktivitātes, piemēram, apzināt potenciāli komercializējamos pētījumu rezultātus, gan uzņēmēju pieprasījumu un vajadzības, nodrošināt rūpnieciskā īpašuma aizsardzības pakalpojumus, piesaistīt potenciālos licenciātus un sadarbības partnerus. Programm</w:t>
      </w:r>
      <w:r w:rsidR="00857DF8">
        <w:rPr>
          <w:rFonts w:ascii="Times New Roman" w:hAnsi="Times New Roman"/>
          <w:sz w:val="24"/>
          <w:szCs w:val="24"/>
        </w:rPr>
        <w:t>as</w:t>
      </w:r>
      <w:r w:rsidR="000358C1" w:rsidRPr="002D7733">
        <w:rPr>
          <w:rFonts w:ascii="Times New Roman" w:hAnsi="Times New Roman"/>
          <w:sz w:val="24"/>
          <w:szCs w:val="24"/>
        </w:rPr>
        <w:t xml:space="preserve"> kopējais finansējums </w:t>
      </w:r>
      <w:r w:rsidR="00857DF8">
        <w:rPr>
          <w:rFonts w:ascii="Times New Roman" w:hAnsi="Times New Roman"/>
          <w:sz w:val="24"/>
          <w:szCs w:val="24"/>
        </w:rPr>
        <w:t>bija</w:t>
      </w:r>
      <w:r w:rsidR="0058775F" w:rsidRPr="002D7733">
        <w:rPr>
          <w:rFonts w:ascii="Times New Roman" w:hAnsi="Times New Roman"/>
          <w:sz w:val="24"/>
          <w:szCs w:val="24"/>
        </w:rPr>
        <w:t xml:space="preserve"> </w:t>
      </w:r>
      <w:r w:rsidR="000358C1" w:rsidRPr="002D7733">
        <w:rPr>
          <w:rFonts w:ascii="Times New Roman" w:hAnsi="Times New Roman"/>
          <w:sz w:val="24"/>
          <w:szCs w:val="24"/>
        </w:rPr>
        <w:t xml:space="preserve">2,4 milj. </w:t>
      </w:r>
      <w:r w:rsidR="000358C1" w:rsidRPr="002D7733">
        <w:rPr>
          <w:rFonts w:ascii="Times New Roman" w:hAnsi="Times New Roman"/>
          <w:i/>
          <w:sz w:val="24"/>
          <w:szCs w:val="24"/>
        </w:rPr>
        <w:t>euro</w:t>
      </w:r>
      <w:r w:rsidR="000358C1" w:rsidRPr="002D7733">
        <w:rPr>
          <w:rFonts w:ascii="Times New Roman" w:hAnsi="Times New Roman"/>
          <w:sz w:val="24"/>
          <w:szCs w:val="24"/>
        </w:rPr>
        <w:t xml:space="preserve">. Tehnoloģiju pārneses </w:t>
      </w:r>
      <w:r w:rsidR="000358C1" w:rsidRPr="002D7733">
        <w:rPr>
          <w:rFonts w:ascii="Times New Roman" w:hAnsi="Times New Roman"/>
          <w:sz w:val="24"/>
          <w:szCs w:val="24"/>
        </w:rPr>
        <w:lastRenderedPageBreak/>
        <w:t>k</w:t>
      </w:r>
      <w:r w:rsidR="0058775F" w:rsidRPr="002D7733">
        <w:rPr>
          <w:rFonts w:ascii="Times New Roman" w:hAnsi="Times New Roman"/>
          <w:sz w:val="24"/>
          <w:szCs w:val="24"/>
        </w:rPr>
        <w:t>ontaktpunktu darbības rezultātā</w:t>
      </w:r>
      <w:r w:rsidR="000358C1" w:rsidRPr="002D7733">
        <w:rPr>
          <w:rFonts w:ascii="Times New Roman" w:hAnsi="Times New Roman"/>
          <w:sz w:val="24"/>
          <w:szCs w:val="24"/>
        </w:rPr>
        <w:t xml:space="preserve"> </w:t>
      </w:r>
      <w:r w:rsidR="00857DF8">
        <w:rPr>
          <w:rFonts w:ascii="Times New Roman" w:hAnsi="Times New Roman"/>
          <w:sz w:val="24"/>
          <w:szCs w:val="24"/>
        </w:rPr>
        <w:t xml:space="preserve">tika </w:t>
      </w:r>
      <w:r w:rsidR="000358C1" w:rsidRPr="002D7733">
        <w:rPr>
          <w:rFonts w:ascii="Times New Roman" w:hAnsi="Times New Roman"/>
          <w:sz w:val="24"/>
          <w:szCs w:val="24"/>
        </w:rPr>
        <w:t xml:space="preserve">sagatavoti 360 pētniecības rezultātu komercializācijas piedāvājumi, iesniegti 242 patentu pieteikumi (no tiem 24 starptautiskie patentu pieteikumi), kā arī noslēgti 270 komersantu un zinātnieku sadarbības līgumi par pasūtījumu pētījumu veikšanu, pētniecisko pakalpojumu sniegšanu un rūpnieciskā īpašuma vai tā lietošanas tiesību pārdošanu. Tehnoloģiju pārneses kontaktpunktu īstenoto darbību ietvaros </w:t>
      </w:r>
      <w:r w:rsidR="00857DF8">
        <w:rPr>
          <w:rFonts w:ascii="Times New Roman" w:hAnsi="Times New Roman"/>
          <w:sz w:val="24"/>
          <w:szCs w:val="24"/>
        </w:rPr>
        <w:t xml:space="preserve">tika </w:t>
      </w:r>
      <w:r w:rsidR="000358C1" w:rsidRPr="002D7733">
        <w:rPr>
          <w:rFonts w:ascii="Times New Roman" w:hAnsi="Times New Roman"/>
          <w:sz w:val="24"/>
          <w:szCs w:val="24"/>
        </w:rPr>
        <w:t xml:space="preserve">piesaistīts privātā sektora finansējums 1,4 milj. </w:t>
      </w:r>
      <w:r w:rsidR="000358C1" w:rsidRPr="002D7733">
        <w:rPr>
          <w:rFonts w:ascii="Times New Roman" w:hAnsi="Times New Roman"/>
          <w:i/>
          <w:sz w:val="24"/>
          <w:szCs w:val="24"/>
        </w:rPr>
        <w:t>euro</w:t>
      </w:r>
      <w:r w:rsidR="000358C1" w:rsidRPr="002D7733">
        <w:rPr>
          <w:rFonts w:ascii="Times New Roman" w:hAnsi="Times New Roman"/>
          <w:sz w:val="24"/>
          <w:szCs w:val="24"/>
        </w:rPr>
        <w:t xml:space="preserve"> apmērā</w:t>
      </w:r>
      <w:r w:rsidR="002E0E23">
        <w:rPr>
          <w:rFonts w:ascii="Times New Roman" w:hAnsi="Times New Roman"/>
          <w:sz w:val="24"/>
          <w:szCs w:val="24"/>
        </w:rPr>
        <w:t>.</w:t>
      </w:r>
    </w:p>
    <w:p w14:paraId="3B6AB113" w14:textId="77777777" w:rsidR="002E74A4" w:rsidRPr="002D7733" w:rsidRDefault="00857DF8" w:rsidP="00E7642A">
      <w:pPr>
        <w:spacing w:before="200"/>
        <w:ind w:left="0" w:firstLine="425"/>
        <w:rPr>
          <w:rFonts w:ascii="Times New Roman" w:hAnsi="Times New Roman"/>
          <w:sz w:val="24"/>
          <w:szCs w:val="24"/>
        </w:rPr>
      </w:pPr>
      <w:r w:rsidRPr="002D7733">
        <w:rPr>
          <w:rFonts w:ascii="Times New Roman" w:hAnsi="Times New Roman"/>
          <w:sz w:val="24"/>
          <w:szCs w:val="24"/>
        </w:rPr>
        <w:t>K</w:t>
      </w:r>
      <w:r w:rsidR="000358C1" w:rsidRPr="002D7733">
        <w:rPr>
          <w:rFonts w:ascii="Times New Roman" w:hAnsi="Times New Roman"/>
          <w:sz w:val="24"/>
          <w:szCs w:val="24"/>
        </w:rPr>
        <w:t>opš 2012.</w:t>
      </w:r>
      <w:r w:rsidR="004D67FD">
        <w:rPr>
          <w:rFonts w:ascii="Times New Roman" w:hAnsi="Times New Roman"/>
          <w:sz w:val="24"/>
          <w:szCs w:val="24"/>
        </w:rPr>
        <w:t xml:space="preserve"> </w:t>
      </w:r>
      <w:r w:rsidR="000358C1" w:rsidRPr="002D7733">
        <w:rPr>
          <w:rFonts w:ascii="Times New Roman" w:hAnsi="Times New Roman"/>
          <w:sz w:val="24"/>
          <w:szCs w:val="24"/>
        </w:rPr>
        <w:t>gada nogales līdz 2014.</w:t>
      </w:r>
      <w:r w:rsidR="004D67FD">
        <w:rPr>
          <w:rFonts w:ascii="Times New Roman" w:hAnsi="Times New Roman"/>
          <w:sz w:val="24"/>
          <w:szCs w:val="24"/>
        </w:rPr>
        <w:t xml:space="preserve"> </w:t>
      </w:r>
      <w:r w:rsidR="000358C1" w:rsidRPr="002D7733">
        <w:rPr>
          <w:rFonts w:ascii="Times New Roman" w:hAnsi="Times New Roman"/>
          <w:sz w:val="24"/>
          <w:szCs w:val="24"/>
        </w:rPr>
        <w:t>gada 30.</w:t>
      </w:r>
      <w:r w:rsidR="004D67FD">
        <w:rPr>
          <w:rFonts w:ascii="Times New Roman" w:hAnsi="Times New Roman"/>
          <w:sz w:val="24"/>
          <w:szCs w:val="24"/>
        </w:rPr>
        <w:t xml:space="preserve"> </w:t>
      </w:r>
      <w:r w:rsidR="000358C1" w:rsidRPr="002D7733">
        <w:rPr>
          <w:rFonts w:ascii="Times New Roman" w:hAnsi="Times New Roman"/>
          <w:sz w:val="24"/>
          <w:szCs w:val="24"/>
        </w:rPr>
        <w:t xml:space="preserve">aprīlim tika īstenota </w:t>
      </w:r>
      <w:r w:rsidR="000358C1" w:rsidRPr="002D7733">
        <w:rPr>
          <w:rFonts w:ascii="Times New Roman" w:hAnsi="Times New Roman"/>
          <w:i/>
          <w:sz w:val="24"/>
          <w:szCs w:val="24"/>
        </w:rPr>
        <w:t>Mikro, mazo un vidējo komersantu jaunu produktu un tehnoloģiju attīstības programma</w:t>
      </w:r>
      <w:r w:rsidR="000358C1" w:rsidRPr="002D7733">
        <w:rPr>
          <w:rFonts w:ascii="Times New Roman" w:hAnsi="Times New Roman"/>
          <w:sz w:val="24"/>
          <w:szCs w:val="24"/>
        </w:rPr>
        <w:t xml:space="preserve"> (inovācijas vaučeri). Programma tika izstrādāta, lai sekmētu mikro (sīko), mazo un vidējo uzņēmumu inovācijas aktivitātes jaunu produktu vai tehnoloģiju attīstīšanas jomā, sniedzot atbalstu ārējo pakalpojumu iegādei jaunu produk</w:t>
      </w:r>
      <w:r w:rsidR="002E74A4" w:rsidRPr="002D7733">
        <w:rPr>
          <w:rFonts w:ascii="Times New Roman" w:hAnsi="Times New Roman"/>
          <w:sz w:val="24"/>
          <w:szCs w:val="24"/>
        </w:rPr>
        <w:t>tu</w:t>
      </w:r>
      <w:r w:rsidR="000358C1" w:rsidRPr="002D7733">
        <w:rPr>
          <w:rFonts w:ascii="Times New Roman" w:hAnsi="Times New Roman"/>
          <w:sz w:val="24"/>
          <w:szCs w:val="24"/>
        </w:rPr>
        <w:t xml:space="preserve"> un tehnoloģiju izstrādei. Kopējais programmā pieejamais ES struktūrfondu finansējums bija 2,85 milj. </w:t>
      </w:r>
      <w:r w:rsidR="000358C1" w:rsidRPr="002D7733">
        <w:rPr>
          <w:rFonts w:ascii="Times New Roman" w:hAnsi="Times New Roman"/>
          <w:i/>
          <w:sz w:val="24"/>
          <w:szCs w:val="24"/>
        </w:rPr>
        <w:t>euro</w:t>
      </w:r>
      <w:r w:rsidR="000358C1" w:rsidRPr="002D7733">
        <w:rPr>
          <w:rFonts w:ascii="Times New Roman" w:hAnsi="Times New Roman"/>
          <w:sz w:val="24"/>
          <w:szCs w:val="24"/>
        </w:rPr>
        <w:t xml:space="preserve">. Viens finansējuma saņēmējs programmā varēja pretendēt uz 14,23 tūkst. </w:t>
      </w:r>
      <w:r w:rsidR="000358C1" w:rsidRPr="00A36CEB">
        <w:rPr>
          <w:rFonts w:ascii="Times New Roman" w:hAnsi="Times New Roman"/>
          <w:i/>
          <w:sz w:val="24"/>
          <w:szCs w:val="24"/>
        </w:rPr>
        <w:t>euro</w:t>
      </w:r>
      <w:r w:rsidR="000358C1" w:rsidRPr="002D7733">
        <w:rPr>
          <w:rFonts w:ascii="Times New Roman" w:hAnsi="Times New Roman"/>
          <w:sz w:val="24"/>
          <w:szCs w:val="24"/>
        </w:rPr>
        <w:t xml:space="preserve"> ar maksimāli pieļaujamo finansējuma intensitāti 60%. Programmas projektu iesniegumu uzsaukuma laikā kopumā tika iesniegti 41 projektu pieteikumi, no kuriem atbalstīti 22 projekti (noslēgti līgumi) par finansējuma apjomu 0,25 milj. </w:t>
      </w:r>
      <w:r w:rsidR="000358C1" w:rsidRPr="002D7733">
        <w:rPr>
          <w:rFonts w:ascii="Times New Roman" w:hAnsi="Times New Roman"/>
          <w:i/>
          <w:sz w:val="24"/>
          <w:szCs w:val="24"/>
        </w:rPr>
        <w:t>euro</w:t>
      </w:r>
      <w:r w:rsidR="000358C1" w:rsidRPr="002D7733">
        <w:rPr>
          <w:rFonts w:ascii="Times New Roman" w:hAnsi="Times New Roman"/>
          <w:sz w:val="24"/>
          <w:szCs w:val="24"/>
        </w:rPr>
        <w:t>. No šiem projektiem uz 2015.</w:t>
      </w:r>
      <w:r w:rsidR="004D67FD">
        <w:rPr>
          <w:rFonts w:ascii="Times New Roman" w:hAnsi="Times New Roman"/>
          <w:sz w:val="24"/>
          <w:szCs w:val="24"/>
        </w:rPr>
        <w:t xml:space="preserve"> </w:t>
      </w:r>
      <w:r w:rsidR="000358C1" w:rsidRPr="002D7733">
        <w:rPr>
          <w:rFonts w:ascii="Times New Roman" w:hAnsi="Times New Roman"/>
          <w:sz w:val="24"/>
          <w:szCs w:val="24"/>
        </w:rPr>
        <w:t>gada 1.</w:t>
      </w:r>
      <w:r w:rsidR="004D67FD">
        <w:rPr>
          <w:rFonts w:ascii="Times New Roman" w:hAnsi="Times New Roman"/>
          <w:sz w:val="24"/>
          <w:szCs w:val="24"/>
        </w:rPr>
        <w:t xml:space="preserve"> </w:t>
      </w:r>
      <w:r w:rsidR="000358C1" w:rsidRPr="002D7733">
        <w:rPr>
          <w:rFonts w:ascii="Times New Roman" w:hAnsi="Times New Roman"/>
          <w:sz w:val="24"/>
          <w:szCs w:val="24"/>
        </w:rPr>
        <w:t>decembri tika pabeigti (t</w:t>
      </w:r>
      <w:r w:rsidR="00634ECF">
        <w:rPr>
          <w:rFonts w:ascii="Times New Roman" w:hAnsi="Times New Roman"/>
          <w:sz w:val="24"/>
          <w:szCs w:val="24"/>
        </w:rPr>
        <w:t xml:space="preserve">ai </w:t>
      </w:r>
      <w:r w:rsidR="000358C1" w:rsidRPr="002D7733">
        <w:rPr>
          <w:rFonts w:ascii="Times New Roman" w:hAnsi="Times New Roman"/>
          <w:sz w:val="24"/>
          <w:szCs w:val="24"/>
        </w:rPr>
        <w:t>sk</w:t>
      </w:r>
      <w:r w:rsidR="00634ECF">
        <w:rPr>
          <w:rFonts w:ascii="Times New Roman" w:hAnsi="Times New Roman"/>
          <w:sz w:val="24"/>
          <w:szCs w:val="24"/>
        </w:rPr>
        <w:t>aitā</w:t>
      </w:r>
      <w:r w:rsidR="000358C1" w:rsidRPr="002D7733">
        <w:rPr>
          <w:rFonts w:ascii="Times New Roman" w:hAnsi="Times New Roman"/>
          <w:sz w:val="24"/>
          <w:szCs w:val="24"/>
        </w:rPr>
        <w:t xml:space="preserve"> izmaksāts finansējums) 20 projektiem par kopējo finansējumu 0,22 milj. </w:t>
      </w:r>
      <w:r w:rsidR="000358C1" w:rsidRPr="002D7733">
        <w:rPr>
          <w:rFonts w:ascii="Times New Roman" w:hAnsi="Times New Roman"/>
          <w:i/>
          <w:sz w:val="24"/>
          <w:szCs w:val="24"/>
        </w:rPr>
        <w:t>euro</w:t>
      </w:r>
      <w:r w:rsidR="000358C1" w:rsidRPr="002D7733">
        <w:rPr>
          <w:rFonts w:ascii="Times New Roman" w:hAnsi="Times New Roman"/>
          <w:sz w:val="24"/>
          <w:szCs w:val="24"/>
        </w:rPr>
        <w:t>.</w:t>
      </w:r>
    </w:p>
    <w:p w14:paraId="07180B95" w14:textId="77777777" w:rsidR="000358C1" w:rsidRPr="002D7733" w:rsidRDefault="000358C1" w:rsidP="00E7642A">
      <w:pPr>
        <w:spacing w:before="200"/>
        <w:ind w:left="0" w:firstLine="567"/>
        <w:rPr>
          <w:rFonts w:ascii="Times New Roman" w:hAnsi="Times New Roman"/>
          <w:sz w:val="24"/>
          <w:szCs w:val="24"/>
        </w:rPr>
      </w:pPr>
      <w:r w:rsidRPr="002D7733">
        <w:rPr>
          <w:rFonts w:ascii="Times New Roman" w:hAnsi="Times New Roman"/>
          <w:sz w:val="24"/>
          <w:szCs w:val="24"/>
        </w:rPr>
        <w:t xml:space="preserve">Norvēģijas finanšu instrumenta programmas </w:t>
      </w:r>
      <w:r w:rsidRPr="002D7733">
        <w:rPr>
          <w:rFonts w:ascii="Times New Roman" w:hAnsi="Times New Roman"/>
          <w:i/>
          <w:sz w:val="24"/>
          <w:szCs w:val="24"/>
        </w:rPr>
        <w:t>Inovācijas “zaļās” ražošanas jomā</w:t>
      </w:r>
      <w:r w:rsidRPr="002D7733">
        <w:rPr>
          <w:rFonts w:ascii="Times New Roman" w:hAnsi="Times New Roman"/>
          <w:sz w:val="24"/>
          <w:szCs w:val="24"/>
        </w:rPr>
        <w:t xml:space="preserve"> ietvaros tika sniegti pirmsinkubācijas un inkubācijas pakalpojumi, finansiāls atbalsts komercdarbības aktivitāšu attīstībai jaunu vai būtiski uzlabotu vides produktu, tehnoloģiju izstrādei un komercializēšanai, kā arī ieviešanai ražošanā.</w:t>
      </w:r>
      <w:r w:rsidR="002E74A4" w:rsidRPr="002D7733">
        <w:rPr>
          <w:rFonts w:ascii="Times New Roman" w:hAnsi="Times New Roman"/>
          <w:sz w:val="24"/>
          <w:szCs w:val="24"/>
        </w:rPr>
        <w:t xml:space="preserve"> </w:t>
      </w:r>
      <w:r w:rsidRPr="002D7733">
        <w:rPr>
          <w:rFonts w:ascii="Times New Roman" w:hAnsi="Times New Roman"/>
          <w:sz w:val="24"/>
          <w:szCs w:val="24"/>
        </w:rPr>
        <w:t>Norvēģijas finanšu instrumenta programmas ietvaros izveidotajā Zaļo tehnoloģiju inkubatorā tika turpināta pirmsinkubācijas pakalpojumu sniegšana 81 biznesa idejai, kas tika atbalstīta 2014. un 2015.</w:t>
      </w:r>
      <w:r w:rsidR="004D67FD">
        <w:rPr>
          <w:rFonts w:ascii="Times New Roman" w:hAnsi="Times New Roman"/>
          <w:sz w:val="24"/>
          <w:szCs w:val="24"/>
        </w:rPr>
        <w:t xml:space="preserve"> </w:t>
      </w:r>
      <w:r w:rsidRPr="002D7733">
        <w:rPr>
          <w:rFonts w:ascii="Times New Roman" w:hAnsi="Times New Roman"/>
          <w:sz w:val="24"/>
          <w:szCs w:val="24"/>
        </w:rPr>
        <w:t>gadā organizēto piecu projektu atlases kārtu ietvaros, kā arī 2015.</w:t>
      </w:r>
      <w:r w:rsidR="004D67FD">
        <w:rPr>
          <w:rFonts w:ascii="Times New Roman" w:hAnsi="Times New Roman"/>
          <w:sz w:val="24"/>
          <w:szCs w:val="24"/>
        </w:rPr>
        <w:t xml:space="preserve"> </w:t>
      </w:r>
      <w:r w:rsidRPr="002D7733">
        <w:rPr>
          <w:rFonts w:ascii="Times New Roman" w:hAnsi="Times New Roman"/>
          <w:sz w:val="24"/>
          <w:szCs w:val="24"/>
        </w:rPr>
        <w:t>gadā uzsākta inkubācijas pakalpojumu sniegšana 24 projektiem.</w:t>
      </w:r>
    </w:p>
    <w:p w14:paraId="40811943" w14:textId="77777777" w:rsidR="002716B1" w:rsidRPr="00C07278" w:rsidRDefault="00C47B76"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r>
    </w:p>
    <w:p w14:paraId="33B2F9C8" w14:textId="1BB7353E" w:rsidR="007D5054" w:rsidRPr="00C07278" w:rsidRDefault="0065236E" w:rsidP="00E7642A">
      <w:pPr>
        <w:tabs>
          <w:tab w:val="left" w:pos="0"/>
          <w:tab w:val="left" w:pos="567"/>
        </w:tabs>
        <w:ind w:left="0"/>
        <w:rPr>
          <w:rFonts w:ascii="Times New Roman" w:hAnsi="Times New Roman"/>
          <w:sz w:val="24"/>
          <w:szCs w:val="24"/>
          <w:shd w:val="clear" w:color="auto" w:fill="D9D9D9" w:themeFill="background1" w:themeFillShade="D9"/>
        </w:rPr>
      </w:pPr>
      <w:r w:rsidRPr="00C07278">
        <w:rPr>
          <w:rFonts w:ascii="Times New Roman" w:hAnsi="Times New Roman"/>
          <w:sz w:val="24"/>
          <w:szCs w:val="24"/>
        </w:rPr>
        <w:tab/>
      </w:r>
      <w:r w:rsidR="00857DF8">
        <w:rPr>
          <w:rFonts w:ascii="Times New Roman" w:hAnsi="Times New Roman"/>
          <w:sz w:val="24"/>
          <w:szCs w:val="24"/>
        </w:rPr>
        <w:t xml:space="preserve">Apkopojot augstākminēto ir secināms, ka gan līdzšinējie, gan turpmākie ES fondu ieguldījumi </w:t>
      </w:r>
      <w:r w:rsidR="00B471A0" w:rsidRPr="00C07278">
        <w:rPr>
          <w:rFonts w:ascii="Times New Roman" w:hAnsi="Times New Roman"/>
          <w:sz w:val="24"/>
          <w:szCs w:val="24"/>
        </w:rPr>
        <w:t>pēt</w:t>
      </w:r>
      <w:r w:rsidR="00857DF8">
        <w:rPr>
          <w:rFonts w:ascii="Times New Roman" w:hAnsi="Times New Roman"/>
          <w:sz w:val="24"/>
          <w:szCs w:val="24"/>
        </w:rPr>
        <w:t>niecībā</w:t>
      </w:r>
      <w:r w:rsidR="00846439">
        <w:rPr>
          <w:rFonts w:ascii="Times New Roman" w:hAnsi="Times New Roman"/>
          <w:sz w:val="24"/>
          <w:szCs w:val="24"/>
        </w:rPr>
        <w:t xml:space="preserve"> un attīstībā</w:t>
      </w:r>
      <w:r w:rsidR="00857DF8">
        <w:rPr>
          <w:rFonts w:ascii="Times New Roman" w:hAnsi="Times New Roman"/>
          <w:sz w:val="24"/>
          <w:szCs w:val="24"/>
        </w:rPr>
        <w:t xml:space="preserve"> ir paredzēti</w:t>
      </w:r>
      <w:r w:rsidR="00B471A0" w:rsidRPr="00C07278">
        <w:rPr>
          <w:rFonts w:ascii="Times New Roman" w:hAnsi="Times New Roman"/>
          <w:sz w:val="24"/>
          <w:szCs w:val="24"/>
        </w:rPr>
        <w:t xml:space="preserve"> </w:t>
      </w:r>
      <w:r w:rsidR="00857DF8">
        <w:rPr>
          <w:rFonts w:ascii="Times New Roman" w:hAnsi="Times New Roman"/>
          <w:sz w:val="24"/>
          <w:szCs w:val="24"/>
        </w:rPr>
        <w:t>tajās zināšanu jomās,</w:t>
      </w:r>
      <w:r w:rsidR="00C47B76" w:rsidRPr="00C07278">
        <w:rPr>
          <w:rFonts w:ascii="Times New Roman" w:hAnsi="Times New Roman"/>
          <w:sz w:val="24"/>
          <w:szCs w:val="24"/>
        </w:rPr>
        <w:t xml:space="preserve"> kur Latvijai </w:t>
      </w:r>
      <w:r w:rsidR="00846439">
        <w:rPr>
          <w:rFonts w:ascii="Times New Roman" w:hAnsi="Times New Roman"/>
          <w:sz w:val="24"/>
          <w:szCs w:val="24"/>
        </w:rPr>
        <w:t>ir salīdzinošas priekšrocības</w:t>
      </w:r>
      <w:r w:rsidR="000B4DE7" w:rsidRPr="00C07278">
        <w:rPr>
          <w:rFonts w:ascii="Times New Roman" w:hAnsi="Times New Roman"/>
          <w:sz w:val="24"/>
          <w:szCs w:val="24"/>
        </w:rPr>
        <w:t xml:space="preserve"> </w:t>
      </w:r>
      <w:r w:rsidR="00857DF8">
        <w:rPr>
          <w:rFonts w:ascii="Times New Roman" w:hAnsi="Times New Roman"/>
          <w:sz w:val="24"/>
          <w:szCs w:val="24"/>
        </w:rPr>
        <w:t>un paredzama lielākā iespējamā atdeve</w:t>
      </w:r>
      <w:r w:rsidR="00846439">
        <w:rPr>
          <w:rFonts w:ascii="Times New Roman" w:hAnsi="Times New Roman"/>
          <w:sz w:val="24"/>
          <w:szCs w:val="24"/>
        </w:rPr>
        <w:t>. T</w:t>
      </w:r>
      <w:r w:rsidR="00857DF8">
        <w:rPr>
          <w:rFonts w:ascii="Times New Roman" w:hAnsi="Times New Roman"/>
          <w:sz w:val="24"/>
          <w:szCs w:val="24"/>
        </w:rPr>
        <w:t>ādējādi</w:t>
      </w:r>
      <w:r w:rsidR="00590B73" w:rsidRPr="00C07278">
        <w:rPr>
          <w:rFonts w:ascii="Times New Roman" w:hAnsi="Times New Roman"/>
          <w:sz w:val="24"/>
          <w:szCs w:val="24"/>
        </w:rPr>
        <w:t xml:space="preserve"> </w:t>
      </w:r>
      <w:r w:rsidR="00DE3562">
        <w:rPr>
          <w:rFonts w:ascii="Times New Roman" w:hAnsi="Times New Roman"/>
          <w:sz w:val="24"/>
          <w:szCs w:val="24"/>
        </w:rPr>
        <w:t>sekmējot atbilstošas</w:t>
      </w:r>
      <w:r w:rsidR="00857DF8">
        <w:rPr>
          <w:rFonts w:ascii="Times New Roman" w:hAnsi="Times New Roman"/>
          <w:sz w:val="24"/>
          <w:szCs w:val="24"/>
        </w:rPr>
        <w:t xml:space="preserve"> zināšanu </w:t>
      </w:r>
      <w:r w:rsidR="00846439">
        <w:rPr>
          <w:rFonts w:ascii="Times New Roman" w:hAnsi="Times New Roman"/>
          <w:sz w:val="24"/>
          <w:szCs w:val="24"/>
        </w:rPr>
        <w:t>bāze</w:t>
      </w:r>
      <w:r w:rsidR="00DE3562">
        <w:rPr>
          <w:rFonts w:ascii="Times New Roman" w:hAnsi="Times New Roman"/>
          <w:sz w:val="24"/>
          <w:szCs w:val="24"/>
        </w:rPr>
        <w:t>s un cilvēkkapitāla veidošanu</w:t>
      </w:r>
      <w:r w:rsidR="00DE3562" w:rsidRPr="00C07278">
        <w:rPr>
          <w:rFonts w:ascii="Times New Roman" w:hAnsi="Times New Roman"/>
          <w:sz w:val="24"/>
          <w:szCs w:val="24"/>
        </w:rPr>
        <w:t xml:space="preserve"> </w:t>
      </w:r>
      <w:r w:rsidR="00590B73" w:rsidRPr="00C07278">
        <w:rPr>
          <w:rFonts w:ascii="Times New Roman" w:hAnsi="Times New Roman"/>
          <w:sz w:val="24"/>
          <w:szCs w:val="24"/>
        </w:rPr>
        <w:t xml:space="preserve">Viedās specializācijas stratēģijā </w:t>
      </w:r>
      <w:r w:rsidR="00DE3562" w:rsidRPr="00C07278">
        <w:rPr>
          <w:rFonts w:ascii="Times New Roman" w:hAnsi="Times New Roman"/>
          <w:sz w:val="24"/>
          <w:szCs w:val="24"/>
        </w:rPr>
        <w:t>noteikt</w:t>
      </w:r>
      <w:r w:rsidR="00DE3562">
        <w:rPr>
          <w:rFonts w:ascii="Times New Roman" w:hAnsi="Times New Roman"/>
          <w:sz w:val="24"/>
          <w:szCs w:val="24"/>
        </w:rPr>
        <w:t>o</w:t>
      </w:r>
      <w:r w:rsidR="00DE3562" w:rsidRPr="00C07278">
        <w:rPr>
          <w:rFonts w:ascii="Times New Roman" w:hAnsi="Times New Roman"/>
          <w:sz w:val="24"/>
          <w:szCs w:val="24"/>
        </w:rPr>
        <w:t xml:space="preserve"> </w:t>
      </w:r>
      <w:r w:rsidR="00857DF8">
        <w:rPr>
          <w:rFonts w:ascii="Times New Roman" w:hAnsi="Times New Roman"/>
          <w:sz w:val="24"/>
          <w:szCs w:val="24"/>
        </w:rPr>
        <w:t xml:space="preserve">Latvijas </w:t>
      </w:r>
      <w:r w:rsidR="00590B73" w:rsidRPr="00C07278">
        <w:rPr>
          <w:rFonts w:ascii="Times New Roman" w:hAnsi="Times New Roman"/>
          <w:sz w:val="24"/>
          <w:szCs w:val="24"/>
        </w:rPr>
        <w:t xml:space="preserve">viedās specializācijas </w:t>
      </w:r>
      <w:r w:rsidR="00DE3562" w:rsidRPr="00C07278">
        <w:rPr>
          <w:rFonts w:ascii="Times New Roman" w:hAnsi="Times New Roman"/>
          <w:sz w:val="24"/>
          <w:szCs w:val="24"/>
        </w:rPr>
        <w:t>jom</w:t>
      </w:r>
      <w:r w:rsidR="00DE3562">
        <w:rPr>
          <w:rFonts w:ascii="Times New Roman" w:hAnsi="Times New Roman"/>
          <w:sz w:val="24"/>
          <w:szCs w:val="24"/>
        </w:rPr>
        <w:t xml:space="preserve">u  </w:t>
      </w:r>
      <w:r w:rsidR="00AC4392">
        <w:rPr>
          <w:rFonts w:ascii="Times New Roman" w:hAnsi="Times New Roman"/>
          <w:sz w:val="24"/>
          <w:szCs w:val="24"/>
        </w:rPr>
        <w:t>un</w:t>
      </w:r>
      <w:r w:rsidR="00DE3562">
        <w:rPr>
          <w:rFonts w:ascii="Times New Roman" w:hAnsi="Times New Roman"/>
          <w:sz w:val="24"/>
          <w:szCs w:val="24"/>
        </w:rPr>
        <w:t xml:space="preserve"> pašreizējo šo jomu potenciālo </w:t>
      </w:r>
      <w:r w:rsidR="00AC4392">
        <w:rPr>
          <w:rFonts w:ascii="Times New Roman" w:hAnsi="Times New Roman"/>
          <w:sz w:val="24"/>
          <w:szCs w:val="24"/>
        </w:rPr>
        <w:t xml:space="preserve">specializācijas </w:t>
      </w:r>
      <w:r w:rsidR="00DE3562">
        <w:rPr>
          <w:rFonts w:ascii="Times New Roman" w:hAnsi="Times New Roman"/>
          <w:sz w:val="24"/>
          <w:szCs w:val="24"/>
        </w:rPr>
        <w:t xml:space="preserve">nišu </w:t>
      </w:r>
      <w:r w:rsidR="00AC4392" w:rsidRPr="00A42043">
        <w:rPr>
          <w:rFonts w:ascii="Times New Roman" w:hAnsi="Times New Roman"/>
          <w:sz w:val="24"/>
          <w:szCs w:val="24"/>
        </w:rPr>
        <w:t>ietvaros</w:t>
      </w:r>
      <w:r w:rsidR="000B4DE7" w:rsidRPr="00A42043">
        <w:rPr>
          <w:rFonts w:ascii="Times New Roman" w:hAnsi="Times New Roman"/>
          <w:sz w:val="24"/>
          <w:szCs w:val="24"/>
        </w:rPr>
        <w:t xml:space="preserve"> (</w:t>
      </w:r>
      <w:r w:rsidR="005C6E26" w:rsidRPr="00A42043">
        <w:rPr>
          <w:rFonts w:ascii="Times New Roman" w:hAnsi="Times New Roman"/>
          <w:sz w:val="24"/>
          <w:szCs w:val="24"/>
        </w:rPr>
        <w:t>sk</w:t>
      </w:r>
      <w:r w:rsidR="005163E5">
        <w:rPr>
          <w:rFonts w:ascii="Times New Roman" w:hAnsi="Times New Roman"/>
          <w:sz w:val="24"/>
          <w:szCs w:val="24"/>
        </w:rPr>
        <w:t>at</w:t>
      </w:r>
      <w:r w:rsidR="005C6E26" w:rsidRPr="00A42043">
        <w:rPr>
          <w:rFonts w:ascii="Times New Roman" w:hAnsi="Times New Roman"/>
          <w:sz w:val="24"/>
          <w:szCs w:val="24"/>
        </w:rPr>
        <w:t xml:space="preserve">. </w:t>
      </w:r>
      <w:r w:rsidR="005163E5">
        <w:rPr>
          <w:rFonts w:ascii="Times New Roman" w:hAnsi="Times New Roman"/>
          <w:sz w:val="24"/>
          <w:szCs w:val="24"/>
        </w:rPr>
        <w:t>7.</w:t>
      </w:r>
      <w:r w:rsidR="00A36CEB">
        <w:rPr>
          <w:rFonts w:ascii="Times New Roman" w:hAnsi="Times New Roman"/>
          <w:sz w:val="24"/>
          <w:szCs w:val="24"/>
        </w:rPr>
        <w:t> </w:t>
      </w:r>
      <w:r w:rsidR="003B28F4">
        <w:rPr>
          <w:rFonts w:ascii="Times New Roman" w:hAnsi="Times New Roman"/>
          <w:sz w:val="24"/>
          <w:szCs w:val="24"/>
        </w:rPr>
        <w:t>t</w:t>
      </w:r>
      <w:r w:rsidR="003B28F4" w:rsidRPr="00A42043">
        <w:rPr>
          <w:rFonts w:ascii="Times New Roman" w:hAnsi="Times New Roman"/>
          <w:sz w:val="24"/>
          <w:szCs w:val="24"/>
        </w:rPr>
        <w:t>abulu</w:t>
      </w:r>
      <w:r w:rsidR="00FD3F1A" w:rsidRPr="00A42043">
        <w:rPr>
          <w:rFonts w:ascii="Times New Roman" w:hAnsi="Times New Roman"/>
          <w:sz w:val="24"/>
          <w:szCs w:val="24"/>
        </w:rPr>
        <w:t xml:space="preserve"> </w:t>
      </w:r>
      <w:r w:rsidR="009117F7" w:rsidRPr="00A42043">
        <w:rPr>
          <w:rFonts w:ascii="Times New Roman" w:hAnsi="Times New Roman"/>
          <w:sz w:val="24"/>
          <w:szCs w:val="24"/>
        </w:rPr>
        <w:t xml:space="preserve">un </w:t>
      </w:r>
      <w:r w:rsidR="00646785">
        <w:rPr>
          <w:rFonts w:ascii="Times New Roman" w:hAnsi="Times New Roman"/>
          <w:sz w:val="24"/>
          <w:szCs w:val="24"/>
        </w:rPr>
        <w:t>10</w:t>
      </w:r>
      <w:r w:rsidR="005163E5">
        <w:rPr>
          <w:rFonts w:ascii="Times New Roman" w:hAnsi="Times New Roman"/>
          <w:sz w:val="24"/>
          <w:szCs w:val="24"/>
        </w:rPr>
        <w:t>.</w:t>
      </w:r>
      <w:r w:rsidR="00A36CEB">
        <w:rPr>
          <w:rFonts w:ascii="Times New Roman" w:hAnsi="Times New Roman"/>
          <w:sz w:val="24"/>
          <w:szCs w:val="24"/>
        </w:rPr>
        <w:t> </w:t>
      </w:r>
      <w:r w:rsidR="005C6E26" w:rsidRPr="00A42043">
        <w:rPr>
          <w:rFonts w:ascii="Times New Roman" w:hAnsi="Times New Roman"/>
          <w:sz w:val="24"/>
          <w:szCs w:val="24"/>
        </w:rPr>
        <w:t>a</w:t>
      </w:r>
      <w:r w:rsidR="000B4DE7" w:rsidRPr="00A42043">
        <w:rPr>
          <w:rFonts w:ascii="Times New Roman" w:hAnsi="Times New Roman"/>
          <w:sz w:val="24"/>
          <w:szCs w:val="24"/>
        </w:rPr>
        <w:t>ttēlu)</w:t>
      </w:r>
      <w:r w:rsidR="002D1521" w:rsidRPr="00A42043">
        <w:rPr>
          <w:rFonts w:ascii="Times New Roman" w:hAnsi="Times New Roman"/>
          <w:sz w:val="24"/>
          <w:szCs w:val="24"/>
        </w:rPr>
        <w:t>.</w:t>
      </w:r>
      <w:r w:rsidR="00A42043" w:rsidRPr="00A42043">
        <w:rPr>
          <w:rFonts w:ascii="Times New Roman" w:hAnsi="Times New Roman"/>
          <w:sz w:val="24"/>
          <w:szCs w:val="24"/>
        </w:rPr>
        <w:t xml:space="preserve"> </w:t>
      </w:r>
      <w:r w:rsidR="003C303B" w:rsidRPr="00A42043">
        <w:rPr>
          <w:rFonts w:ascii="Times New Roman" w:hAnsi="Times New Roman"/>
          <w:sz w:val="24"/>
          <w:szCs w:val="24"/>
        </w:rPr>
        <w:t xml:space="preserve">Pilni viedās specializācijas ekosistēmu paraksti ir pieejami </w:t>
      </w:r>
      <w:r w:rsidR="005163E5">
        <w:rPr>
          <w:rFonts w:ascii="Times New Roman" w:hAnsi="Times New Roman"/>
          <w:sz w:val="24"/>
          <w:szCs w:val="24"/>
        </w:rPr>
        <w:t xml:space="preserve">informatīvā ziņojuma </w:t>
      </w:r>
      <w:r w:rsidR="00646785">
        <w:rPr>
          <w:rFonts w:ascii="Times New Roman" w:hAnsi="Times New Roman"/>
          <w:sz w:val="24"/>
          <w:szCs w:val="24"/>
        </w:rPr>
        <w:t>8</w:t>
      </w:r>
      <w:r w:rsidR="006C54E2">
        <w:rPr>
          <w:rFonts w:ascii="Times New Roman" w:hAnsi="Times New Roman"/>
          <w:sz w:val="24"/>
          <w:szCs w:val="24"/>
        </w:rPr>
        <w:t>.</w:t>
      </w:r>
      <w:r w:rsidR="00634ECF" w:rsidRPr="00D55F2F">
        <w:rPr>
          <w:rFonts w:ascii="Times New Roman" w:hAnsi="Times New Roman"/>
          <w:sz w:val="24"/>
          <w:szCs w:val="24"/>
        </w:rPr>
        <w:t>–</w:t>
      </w:r>
      <w:r w:rsidR="006C54E2">
        <w:rPr>
          <w:rFonts w:ascii="Times New Roman" w:hAnsi="Times New Roman"/>
          <w:sz w:val="24"/>
          <w:szCs w:val="24"/>
        </w:rPr>
        <w:t>1</w:t>
      </w:r>
      <w:r w:rsidR="00B55BBD">
        <w:rPr>
          <w:rFonts w:ascii="Times New Roman" w:hAnsi="Times New Roman"/>
          <w:sz w:val="24"/>
          <w:szCs w:val="24"/>
        </w:rPr>
        <w:t>2</w:t>
      </w:r>
      <w:r w:rsidR="006C54E2">
        <w:rPr>
          <w:rFonts w:ascii="Times New Roman" w:hAnsi="Times New Roman"/>
          <w:sz w:val="24"/>
          <w:szCs w:val="24"/>
        </w:rPr>
        <w:t>.</w:t>
      </w:r>
      <w:r w:rsidR="003C303B" w:rsidRPr="00A42043">
        <w:rPr>
          <w:rFonts w:ascii="Times New Roman" w:hAnsi="Times New Roman"/>
          <w:sz w:val="24"/>
          <w:szCs w:val="24"/>
        </w:rPr>
        <w:t>pielikum</w:t>
      </w:r>
      <w:r w:rsidR="006C54E2">
        <w:rPr>
          <w:rFonts w:ascii="Times New Roman" w:hAnsi="Times New Roman"/>
          <w:sz w:val="24"/>
          <w:szCs w:val="24"/>
        </w:rPr>
        <w:t>os</w:t>
      </w:r>
      <w:r w:rsidR="003C303B" w:rsidRPr="00A42043">
        <w:rPr>
          <w:rFonts w:ascii="Times New Roman" w:hAnsi="Times New Roman"/>
          <w:sz w:val="24"/>
          <w:szCs w:val="24"/>
        </w:rPr>
        <w:t xml:space="preserve">. </w:t>
      </w:r>
    </w:p>
    <w:p w14:paraId="74252A58" w14:textId="19C822DB" w:rsidR="00C95968" w:rsidRPr="00C95968" w:rsidRDefault="004E392D" w:rsidP="00E7642A">
      <w:pPr>
        <w:pStyle w:val="Caption"/>
        <w:keepNext/>
        <w:spacing w:before="120" w:after="120"/>
        <w:jc w:val="right"/>
        <w:rPr>
          <w:sz w:val="24"/>
          <w:szCs w:val="24"/>
          <w:shd w:val="clear" w:color="auto" w:fill="D9D9D9" w:themeFill="background1" w:themeFillShade="D9"/>
        </w:rPr>
      </w:pPr>
      <w:r>
        <w:rPr>
          <w:rFonts w:ascii="Times New Roman" w:hAnsi="Times New Roman"/>
          <w:color w:val="auto"/>
          <w:sz w:val="24"/>
          <w:szCs w:val="24"/>
        </w:rPr>
        <w:t xml:space="preserve">Tabula </w:t>
      </w:r>
      <w:r w:rsidR="00C95968" w:rsidRPr="00C95968">
        <w:rPr>
          <w:rFonts w:ascii="Times New Roman" w:hAnsi="Times New Roman"/>
          <w:color w:val="auto"/>
          <w:sz w:val="24"/>
          <w:szCs w:val="24"/>
        </w:rPr>
        <w:t xml:space="preserve">Nr. </w:t>
      </w:r>
      <w:r w:rsidR="00417751" w:rsidRPr="00C95968">
        <w:rPr>
          <w:rFonts w:ascii="Times New Roman" w:hAnsi="Times New Roman"/>
          <w:color w:val="auto"/>
          <w:sz w:val="24"/>
          <w:szCs w:val="24"/>
        </w:rPr>
        <w:fldChar w:fldCharType="begin"/>
      </w:r>
      <w:r w:rsidR="00C95968" w:rsidRPr="00C95968">
        <w:rPr>
          <w:rFonts w:ascii="Times New Roman" w:hAnsi="Times New Roman"/>
          <w:color w:val="auto"/>
          <w:sz w:val="24"/>
          <w:szCs w:val="24"/>
        </w:rPr>
        <w:instrText xml:space="preserve"> SEQ Tabula \* ARABIC </w:instrText>
      </w:r>
      <w:r w:rsidR="00417751" w:rsidRPr="00C95968">
        <w:rPr>
          <w:rFonts w:ascii="Times New Roman" w:hAnsi="Times New Roman"/>
          <w:color w:val="auto"/>
          <w:sz w:val="24"/>
          <w:szCs w:val="24"/>
        </w:rPr>
        <w:fldChar w:fldCharType="separate"/>
      </w:r>
      <w:r w:rsidR="00E7642A">
        <w:rPr>
          <w:rFonts w:ascii="Times New Roman" w:hAnsi="Times New Roman"/>
          <w:noProof/>
          <w:color w:val="auto"/>
          <w:sz w:val="24"/>
          <w:szCs w:val="24"/>
        </w:rPr>
        <w:t>7</w:t>
      </w:r>
      <w:r w:rsidR="00417751" w:rsidRPr="00C95968">
        <w:rPr>
          <w:rFonts w:ascii="Times New Roman" w:hAnsi="Times New Roman"/>
          <w:color w:val="auto"/>
          <w:sz w:val="24"/>
          <w:szCs w:val="24"/>
        </w:rPr>
        <w:fldChar w:fldCharType="end"/>
      </w:r>
    </w:p>
    <w:p w14:paraId="50D6771E" w14:textId="77777777" w:rsidR="007D5054" w:rsidRPr="00C95968" w:rsidRDefault="007D5054" w:rsidP="00E7642A">
      <w:pPr>
        <w:tabs>
          <w:tab w:val="left" w:pos="0"/>
          <w:tab w:val="left" w:pos="567"/>
        </w:tabs>
        <w:spacing w:after="200"/>
        <w:ind w:left="0"/>
        <w:jc w:val="center"/>
        <w:rPr>
          <w:rFonts w:ascii="Times New Roman" w:hAnsi="Times New Roman"/>
          <w:b/>
          <w:sz w:val="24"/>
          <w:szCs w:val="24"/>
          <w:shd w:val="clear" w:color="auto" w:fill="D9D9D9" w:themeFill="background1" w:themeFillShade="D9"/>
        </w:rPr>
      </w:pPr>
      <w:r w:rsidRPr="00C95968">
        <w:rPr>
          <w:rFonts w:ascii="Times New Roman" w:hAnsi="Times New Roman"/>
          <w:b/>
          <w:sz w:val="24"/>
          <w:szCs w:val="24"/>
        </w:rPr>
        <w:t xml:space="preserve">Latvijas industrijas potenciālās specializācijas nišas </w:t>
      </w:r>
      <w:r w:rsidR="002C0CA7">
        <w:rPr>
          <w:rFonts w:ascii="Times New Roman" w:hAnsi="Times New Roman"/>
          <w:b/>
          <w:sz w:val="24"/>
          <w:szCs w:val="24"/>
        </w:rPr>
        <w:t>v</w:t>
      </w:r>
      <w:r w:rsidRPr="00C95968">
        <w:rPr>
          <w:rFonts w:ascii="Times New Roman" w:hAnsi="Times New Roman"/>
          <w:b/>
          <w:sz w:val="24"/>
          <w:szCs w:val="24"/>
        </w:rPr>
        <w:t xml:space="preserve">iedās specializācijas jomas ietvaros, saskaņā </w:t>
      </w:r>
      <w:r w:rsidR="002633BC" w:rsidRPr="00C95968">
        <w:rPr>
          <w:rFonts w:ascii="Times New Roman" w:hAnsi="Times New Roman"/>
          <w:b/>
          <w:sz w:val="24"/>
          <w:szCs w:val="24"/>
        </w:rPr>
        <w:t xml:space="preserve">ar </w:t>
      </w:r>
      <w:r w:rsidR="002C0CA7">
        <w:rPr>
          <w:rFonts w:ascii="Times New Roman" w:hAnsi="Times New Roman"/>
          <w:b/>
          <w:sz w:val="24"/>
          <w:szCs w:val="24"/>
        </w:rPr>
        <w:t>Latvijas viedās specializācijas stratēģijas</w:t>
      </w:r>
      <w:r w:rsidR="002633BC">
        <w:rPr>
          <w:rFonts w:ascii="Times New Roman" w:hAnsi="Times New Roman"/>
          <w:b/>
          <w:sz w:val="24"/>
          <w:szCs w:val="24"/>
        </w:rPr>
        <w:t xml:space="preserve"> 2015.</w:t>
      </w:r>
      <w:r w:rsidR="002E0E23">
        <w:rPr>
          <w:rFonts w:ascii="Times New Roman" w:hAnsi="Times New Roman"/>
          <w:b/>
          <w:sz w:val="24"/>
          <w:szCs w:val="24"/>
        </w:rPr>
        <w:t> </w:t>
      </w:r>
      <w:r w:rsidR="002633BC">
        <w:rPr>
          <w:rFonts w:ascii="Times New Roman" w:hAnsi="Times New Roman"/>
          <w:b/>
          <w:sz w:val="24"/>
          <w:szCs w:val="24"/>
        </w:rPr>
        <w:t xml:space="preserve">gada </w:t>
      </w:r>
      <w:r w:rsidR="002C0CA7">
        <w:rPr>
          <w:rFonts w:ascii="Times New Roman" w:hAnsi="Times New Roman"/>
          <w:b/>
          <w:sz w:val="24"/>
          <w:szCs w:val="24"/>
        </w:rPr>
        <w:t xml:space="preserve">publisko </w:t>
      </w:r>
      <w:r w:rsidR="002633BC">
        <w:rPr>
          <w:rFonts w:ascii="Times New Roman" w:hAnsi="Times New Roman"/>
          <w:b/>
          <w:sz w:val="24"/>
          <w:szCs w:val="24"/>
        </w:rPr>
        <w:t>diskusiju rezultātiem</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6636"/>
      </w:tblGrid>
      <w:tr w:rsidR="007D5054" w:rsidRPr="0096715F" w14:paraId="65C6EDBB" w14:textId="77777777" w:rsidTr="00FB4DF5">
        <w:trPr>
          <w:trHeight w:val="440"/>
          <w:jc w:val="center"/>
        </w:trPr>
        <w:tc>
          <w:tcPr>
            <w:tcW w:w="716" w:type="pct"/>
            <w:shd w:val="clear" w:color="auto" w:fill="D0CECE" w:themeFill="background2" w:themeFillShade="E6"/>
            <w:vAlign w:val="center"/>
          </w:tcPr>
          <w:p w14:paraId="4EA48B32" w14:textId="77777777" w:rsidR="007D5054" w:rsidRPr="00846439" w:rsidRDefault="007D5054" w:rsidP="00E7642A">
            <w:pPr>
              <w:ind w:left="29"/>
              <w:jc w:val="center"/>
              <w:rPr>
                <w:rFonts w:ascii="Times New Roman" w:hAnsi="Times New Roman"/>
                <w:b/>
                <w:bCs/>
                <w:color w:val="2E74B5"/>
                <w:sz w:val="24"/>
                <w:szCs w:val="20"/>
              </w:rPr>
            </w:pPr>
            <w:r w:rsidRPr="00846439">
              <w:rPr>
                <w:rFonts w:ascii="Times New Roman" w:hAnsi="Times New Roman"/>
                <w:b/>
                <w:bCs/>
                <w:color w:val="000000"/>
                <w:kern w:val="24"/>
                <w:sz w:val="24"/>
                <w:szCs w:val="20"/>
              </w:rPr>
              <w:t>Specializācijas jomas</w:t>
            </w:r>
          </w:p>
        </w:tc>
        <w:tc>
          <w:tcPr>
            <w:tcW w:w="4284" w:type="pct"/>
            <w:shd w:val="clear" w:color="auto" w:fill="D0CECE" w:themeFill="background2" w:themeFillShade="E6"/>
            <w:vAlign w:val="center"/>
          </w:tcPr>
          <w:p w14:paraId="197CDA14" w14:textId="77777777" w:rsidR="007D5054" w:rsidRPr="00846439" w:rsidRDefault="007D5054" w:rsidP="00E7642A">
            <w:pPr>
              <w:jc w:val="center"/>
              <w:rPr>
                <w:rFonts w:ascii="Times New Roman" w:hAnsi="Times New Roman"/>
                <w:b/>
                <w:bCs/>
                <w:color w:val="2E74B5"/>
                <w:sz w:val="24"/>
                <w:szCs w:val="20"/>
              </w:rPr>
            </w:pPr>
            <w:r w:rsidRPr="00846439">
              <w:rPr>
                <w:rFonts w:ascii="Times New Roman" w:hAnsi="Times New Roman"/>
                <w:b/>
                <w:sz w:val="24"/>
                <w:szCs w:val="20"/>
              </w:rPr>
              <w:t>Industrijas potenciālās specializācijas nišas</w:t>
            </w:r>
          </w:p>
        </w:tc>
      </w:tr>
      <w:tr w:rsidR="007D5054" w:rsidRPr="00AC4392" w14:paraId="69392F80" w14:textId="77777777" w:rsidTr="00FB4DF5">
        <w:trPr>
          <w:trHeight w:val="260"/>
          <w:jc w:val="center"/>
        </w:trPr>
        <w:tc>
          <w:tcPr>
            <w:tcW w:w="716" w:type="pct"/>
          </w:tcPr>
          <w:p w14:paraId="1B9B0F2E" w14:textId="77777777" w:rsidR="007D5054" w:rsidRPr="002D7733" w:rsidRDefault="007D5054" w:rsidP="00E7642A">
            <w:pPr>
              <w:pStyle w:val="ListParagraph"/>
              <w:ind w:left="0" w:firstLine="29"/>
              <w:rPr>
                <w:rFonts w:cs="Times New Roman"/>
                <w:sz w:val="20"/>
                <w:szCs w:val="20"/>
              </w:rPr>
            </w:pPr>
            <w:r w:rsidRPr="002D7733">
              <w:rPr>
                <w:rFonts w:cs="Times New Roman"/>
                <w:bCs/>
                <w:kern w:val="24"/>
                <w:sz w:val="20"/>
                <w:szCs w:val="20"/>
              </w:rPr>
              <w:t>1.Zināšanu ietilpīga bioekonomika</w:t>
            </w:r>
          </w:p>
          <w:p w14:paraId="26A20EEF" w14:textId="77777777" w:rsidR="007D5054" w:rsidRPr="002D7733" w:rsidRDefault="007D5054" w:rsidP="00E7642A">
            <w:pPr>
              <w:tabs>
                <w:tab w:val="num" w:pos="284"/>
              </w:tabs>
              <w:ind w:firstLine="29"/>
              <w:rPr>
                <w:rFonts w:ascii="Times New Roman" w:hAnsi="Times New Roman"/>
                <w:b/>
                <w:bCs/>
                <w:sz w:val="20"/>
                <w:szCs w:val="20"/>
              </w:rPr>
            </w:pPr>
          </w:p>
        </w:tc>
        <w:tc>
          <w:tcPr>
            <w:tcW w:w="4284" w:type="pct"/>
          </w:tcPr>
          <w:p w14:paraId="3223BBA5" w14:textId="77777777" w:rsidR="00EC6F45" w:rsidRPr="00EC6F45" w:rsidRDefault="007D5054" w:rsidP="00E7642A">
            <w:pPr>
              <w:pStyle w:val="ListParagraph"/>
              <w:numPr>
                <w:ilvl w:val="0"/>
                <w:numId w:val="22"/>
              </w:numPr>
              <w:ind w:left="274" w:hanging="284"/>
              <w:rPr>
                <w:rFonts w:cs="Times New Roman"/>
                <w:sz w:val="20"/>
                <w:szCs w:val="20"/>
              </w:rPr>
            </w:pPr>
            <w:r w:rsidRPr="00EC6F45">
              <w:rPr>
                <w:rFonts w:cs="Times New Roman"/>
                <w:sz w:val="20"/>
                <w:szCs w:val="20"/>
              </w:rPr>
              <w:t xml:space="preserve">Ilgtspējīga un produktīva meža audzēšana mainīgos klimata apstākļos; </w:t>
            </w:r>
          </w:p>
          <w:p w14:paraId="1FE27419" w14:textId="77777777" w:rsidR="00EC6F45" w:rsidRPr="00EC6F45" w:rsidRDefault="007D5054" w:rsidP="00E7642A">
            <w:pPr>
              <w:pStyle w:val="ListParagraph"/>
              <w:numPr>
                <w:ilvl w:val="0"/>
                <w:numId w:val="22"/>
              </w:numPr>
              <w:ind w:left="274" w:hanging="284"/>
              <w:rPr>
                <w:rFonts w:cs="Times New Roman"/>
                <w:sz w:val="20"/>
                <w:szCs w:val="20"/>
              </w:rPr>
            </w:pPr>
            <w:r w:rsidRPr="00EC6F45">
              <w:rPr>
                <w:rFonts w:cs="Times New Roman"/>
                <w:sz w:val="20"/>
                <w:szCs w:val="20"/>
              </w:rPr>
              <w:t>Koksnes biomasas pilnīga izmantošana ķīmiskajai pārstrādei un enerģijai;</w:t>
            </w:r>
          </w:p>
          <w:p w14:paraId="4D8C9DAD" w14:textId="77777777" w:rsidR="00EC6F45" w:rsidRPr="00EC6F45" w:rsidRDefault="007D5054" w:rsidP="00E7642A">
            <w:pPr>
              <w:pStyle w:val="ListParagraph"/>
              <w:numPr>
                <w:ilvl w:val="0"/>
                <w:numId w:val="22"/>
              </w:numPr>
              <w:ind w:left="274" w:hanging="284"/>
              <w:rPr>
                <w:rFonts w:cs="Times New Roman"/>
                <w:sz w:val="20"/>
                <w:szCs w:val="20"/>
              </w:rPr>
            </w:pPr>
            <w:r w:rsidRPr="00EC6F45">
              <w:rPr>
                <w:rFonts w:cs="Times New Roman"/>
                <w:sz w:val="20"/>
                <w:szCs w:val="20"/>
              </w:rPr>
              <w:t>Inovatīvas, riskus mazinošas augu un dzīvnieku  audzēšanas tehnoloģijas;</w:t>
            </w:r>
          </w:p>
          <w:p w14:paraId="2689D156" w14:textId="77777777" w:rsidR="00EC6F45" w:rsidRPr="00EC6F45" w:rsidRDefault="007D5054" w:rsidP="00E7642A">
            <w:pPr>
              <w:pStyle w:val="ListParagraph"/>
              <w:numPr>
                <w:ilvl w:val="0"/>
                <w:numId w:val="22"/>
              </w:numPr>
              <w:ind w:left="274" w:hanging="284"/>
              <w:rPr>
                <w:rFonts w:cs="Times New Roman"/>
                <w:sz w:val="20"/>
                <w:szCs w:val="20"/>
              </w:rPr>
            </w:pPr>
            <w:r w:rsidRPr="00EC6F45">
              <w:rPr>
                <w:rFonts w:cs="Times New Roman"/>
                <w:sz w:val="20"/>
                <w:szCs w:val="20"/>
              </w:rPr>
              <w:t xml:space="preserve">Inovatīvu augstas pievienotās vērtības nišas produktu izstrāde no koksnes, tradicionālām un  netradicionālām lauksaimniecības augu  un dzīvnieku izejvielām; </w:t>
            </w:r>
          </w:p>
          <w:p w14:paraId="1030A1C4" w14:textId="77777777" w:rsidR="00EC6F45" w:rsidRPr="00EC6F45" w:rsidRDefault="00301E3F" w:rsidP="00E7642A">
            <w:pPr>
              <w:pStyle w:val="ListParagraph"/>
              <w:numPr>
                <w:ilvl w:val="0"/>
                <w:numId w:val="22"/>
              </w:numPr>
              <w:ind w:left="274" w:hanging="284"/>
              <w:rPr>
                <w:rFonts w:cs="Times New Roman"/>
                <w:sz w:val="20"/>
                <w:szCs w:val="20"/>
              </w:rPr>
            </w:pPr>
            <w:r w:rsidRPr="00EC6F45">
              <w:rPr>
                <w:rFonts w:cs="Times New Roman"/>
                <w:sz w:val="20"/>
                <w:szCs w:val="20"/>
              </w:rPr>
              <w:lastRenderedPageBreak/>
              <w:t>A</w:t>
            </w:r>
            <w:r w:rsidR="007D5054" w:rsidRPr="00EC6F45">
              <w:rPr>
                <w:rFonts w:cs="Times New Roman"/>
                <w:sz w:val="20"/>
                <w:szCs w:val="20"/>
              </w:rPr>
              <w:t xml:space="preserve">ugu un dzīvnieku audzēšanas un pārstrādes blakusproduktu izmantošanas tehnoloģiskie risinājumi; </w:t>
            </w:r>
          </w:p>
          <w:p w14:paraId="34BAA7A8" w14:textId="77777777" w:rsidR="00EC6F45" w:rsidRPr="00EC6F45" w:rsidRDefault="007D5054" w:rsidP="00E7642A">
            <w:pPr>
              <w:pStyle w:val="ListParagraph"/>
              <w:numPr>
                <w:ilvl w:val="0"/>
                <w:numId w:val="22"/>
              </w:numPr>
              <w:ind w:left="274" w:hanging="284"/>
              <w:rPr>
                <w:rFonts w:cs="Times New Roman"/>
                <w:sz w:val="20"/>
                <w:szCs w:val="20"/>
              </w:rPr>
            </w:pPr>
            <w:r w:rsidRPr="00EC6F45">
              <w:rPr>
                <w:rFonts w:cs="Times New Roman"/>
                <w:sz w:val="20"/>
                <w:szCs w:val="20"/>
              </w:rPr>
              <w:t>Pārtikas drošība</w:t>
            </w:r>
            <w:r w:rsidR="00E04BF1" w:rsidRPr="00EC6F45">
              <w:rPr>
                <w:rFonts w:cs="Times New Roman"/>
                <w:sz w:val="20"/>
                <w:szCs w:val="20"/>
              </w:rPr>
              <w:t>;</w:t>
            </w:r>
          </w:p>
          <w:p w14:paraId="77BEAE7F" w14:textId="77777777" w:rsidR="007D5054" w:rsidRPr="00EC6F45" w:rsidRDefault="00E04BF1" w:rsidP="00E7642A">
            <w:pPr>
              <w:pStyle w:val="ListParagraph"/>
              <w:numPr>
                <w:ilvl w:val="0"/>
                <w:numId w:val="22"/>
              </w:numPr>
              <w:ind w:left="274" w:hanging="284"/>
              <w:rPr>
                <w:rFonts w:cs="Times New Roman"/>
                <w:sz w:val="20"/>
                <w:szCs w:val="20"/>
              </w:rPr>
            </w:pPr>
            <w:r w:rsidRPr="00EC6F45">
              <w:rPr>
                <w:rFonts w:cs="Times New Roman"/>
                <w:sz w:val="20"/>
                <w:szCs w:val="20"/>
              </w:rPr>
              <w:t>Zivsaimniecība.</w:t>
            </w:r>
          </w:p>
        </w:tc>
      </w:tr>
      <w:tr w:rsidR="007D5054" w:rsidRPr="00AC4392" w14:paraId="42A332CF" w14:textId="77777777" w:rsidTr="00FB4DF5">
        <w:trPr>
          <w:trHeight w:val="836"/>
          <w:jc w:val="center"/>
        </w:trPr>
        <w:tc>
          <w:tcPr>
            <w:tcW w:w="716" w:type="pct"/>
          </w:tcPr>
          <w:p w14:paraId="51E03AF5" w14:textId="77777777" w:rsidR="007D5054" w:rsidRPr="002D7733" w:rsidRDefault="007D5054" w:rsidP="00E7642A">
            <w:pPr>
              <w:pStyle w:val="ListParagraph"/>
              <w:ind w:left="0" w:firstLine="29"/>
              <w:rPr>
                <w:rFonts w:cs="Times New Roman"/>
                <w:sz w:val="20"/>
                <w:szCs w:val="20"/>
              </w:rPr>
            </w:pPr>
            <w:r w:rsidRPr="002D7733">
              <w:rPr>
                <w:rFonts w:cs="Times New Roman"/>
                <w:bCs/>
                <w:kern w:val="24"/>
                <w:sz w:val="20"/>
                <w:szCs w:val="20"/>
              </w:rPr>
              <w:lastRenderedPageBreak/>
              <w:t>2.Biomedicīna, medicīnas tehnoloģijas, biofarmācija un biotehnoloģijas</w:t>
            </w:r>
          </w:p>
        </w:tc>
        <w:tc>
          <w:tcPr>
            <w:tcW w:w="4284" w:type="pct"/>
          </w:tcPr>
          <w:p w14:paraId="2242B3B4" w14:textId="77777777" w:rsidR="00EC6F45" w:rsidRPr="00EC6F45" w:rsidRDefault="007D5054" w:rsidP="00E7642A">
            <w:pPr>
              <w:pStyle w:val="ListParagraph"/>
              <w:numPr>
                <w:ilvl w:val="0"/>
                <w:numId w:val="23"/>
              </w:numPr>
              <w:ind w:left="274" w:hanging="274"/>
              <w:rPr>
                <w:sz w:val="20"/>
                <w:szCs w:val="20"/>
              </w:rPr>
            </w:pPr>
            <w:r w:rsidRPr="00EC6F45">
              <w:rPr>
                <w:sz w:val="20"/>
                <w:szCs w:val="20"/>
              </w:rPr>
              <w:t>Farmaceitisk</w:t>
            </w:r>
            <w:r w:rsidR="00E20CF1" w:rsidRPr="00EC6F45">
              <w:rPr>
                <w:sz w:val="20"/>
                <w:szCs w:val="20"/>
              </w:rPr>
              <w:t>o un bioaktīvo vielu iegūšanas ķ</w:t>
            </w:r>
            <w:r w:rsidRPr="00EC6F45">
              <w:rPr>
                <w:sz w:val="20"/>
                <w:szCs w:val="20"/>
              </w:rPr>
              <w:t>īmiskās un biotehnoloģiskās metodes un produkti;</w:t>
            </w:r>
            <w:r w:rsidR="00E20CF1" w:rsidRPr="00EC6F45">
              <w:rPr>
                <w:sz w:val="20"/>
                <w:szCs w:val="20"/>
              </w:rPr>
              <w:t xml:space="preserve"> </w:t>
            </w:r>
          </w:p>
          <w:p w14:paraId="73F4CD0A" w14:textId="77777777" w:rsidR="00EC6F45" w:rsidRPr="00EC6F45" w:rsidRDefault="007D5054" w:rsidP="00E7642A">
            <w:pPr>
              <w:pStyle w:val="ListParagraph"/>
              <w:numPr>
                <w:ilvl w:val="0"/>
                <w:numId w:val="23"/>
              </w:numPr>
              <w:ind w:left="274" w:hanging="274"/>
              <w:rPr>
                <w:rFonts w:cs="Times New Roman"/>
                <w:sz w:val="20"/>
                <w:szCs w:val="20"/>
              </w:rPr>
            </w:pPr>
            <w:r w:rsidRPr="00EC6F45">
              <w:rPr>
                <w:rFonts w:cs="Times New Roman"/>
                <w:sz w:val="20"/>
                <w:szCs w:val="20"/>
              </w:rPr>
              <w:t>Jaunu un esošo humāno un veterināro zāļu izstrāde un izpēte;</w:t>
            </w:r>
            <w:r w:rsidR="00E20CF1" w:rsidRPr="00EC6F45">
              <w:rPr>
                <w:rFonts w:cs="Times New Roman"/>
                <w:sz w:val="20"/>
                <w:szCs w:val="20"/>
              </w:rPr>
              <w:t xml:space="preserve"> </w:t>
            </w:r>
          </w:p>
          <w:p w14:paraId="116AF1DF" w14:textId="77777777" w:rsidR="00EC6F45" w:rsidRPr="00EC6F45" w:rsidRDefault="007D5054" w:rsidP="00E7642A">
            <w:pPr>
              <w:pStyle w:val="ListParagraph"/>
              <w:numPr>
                <w:ilvl w:val="0"/>
                <w:numId w:val="23"/>
              </w:numPr>
              <w:ind w:left="274" w:hanging="274"/>
              <w:rPr>
                <w:rFonts w:cs="Times New Roman"/>
                <w:sz w:val="20"/>
                <w:szCs w:val="20"/>
              </w:rPr>
            </w:pPr>
            <w:r w:rsidRPr="00EC6F45">
              <w:rPr>
                <w:rFonts w:cs="Times New Roman"/>
                <w:sz w:val="20"/>
                <w:szCs w:val="20"/>
              </w:rPr>
              <w:t>Molekulārās un individualizētās ārstēšanas un diagnostikas metodes un šūnu tehnoloģijas;</w:t>
            </w:r>
            <w:r w:rsidR="00E20CF1" w:rsidRPr="00EC6F45">
              <w:rPr>
                <w:rFonts w:cs="Times New Roman"/>
                <w:sz w:val="20"/>
                <w:szCs w:val="20"/>
              </w:rPr>
              <w:t xml:space="preserve"> </w:t>
            </w:r>
          </w:p>
          <w:p w14:paraId="4ECDA797" w14:textId="77777777" w:rsidR="007D5054" w:rsidRPr="00EC6F45" w:rsidRDefault="007D5054" w:rsidP="00E7642A">
            <w:pPr>
              <w:pStyle w:val="ListParagraph"/>
              <w:numPr>
                <w:ilvl w:val="0"/>
                <w:numId w:val="23"/>
              </w:numPr>
              <w:ind w:left="274" w:hanging="274"/>
              <w:rPr>
                <w:rFonts w:cs="Times New Roman"/>
                <w:sz w:val="20"/>
                <w:szCs w:val="20"/>
              </w:rPr>
            </w:pPr>
            <w:r w:rsidRPr="00EC6F45">
              <w:rPr>
                <w:rFonts w:cs="Times New Roman"/>
                <w:sz w:val="20"/>
                <w:szCs w:val="20"/>
              </w:rPr>
              <w:t>Funkcionālā pārtika, ārstnieciskā kosmētika un bioaktīvi dabas vielu produkti.</w:t>
            </w:r>
          </w:p>
        </w:tc>
      </w:tr>
      <w:tr w:rsidR="007D5054" w:rsidRPr="00AC4392" w14:paraId="54AE486C" w14:textId="77777777" w:rsidTr="00FB4DF5">
        <w:trPr>
          <w:trHeight w:val="683"/>
          <w:jc w:val="center"/>
        </w:trPr>
        <w:tc>
          <w:tcPr>
            <w:tcW w:w="716" w:type="pct"/>
          </w:tcPr>
          <w:p w14:paraId="09E0F8B5" w14:textId="77777777" w:rsidR="007D5054" w:rsidRPr="002D7733" w:rsidRDefault="007D5054" w:rsidP="00E7642A">
            <w:pPr>
              <w:pStyle w:val="ListParagraph"/>
              <w:ind w:left="0" w:firstLine="29"/>
              <w:rPr>
                <w:rFonts w:cs="Times New Roman"/>
                <w:sz w:val="20"/>
                <w:szCs w:val="20"/>
              </w:rPr>
            </w:pPr>
            <w:r w:rsidRPr="002D7733">
              <w:rPr>
                <w:rFonts w:cs="Times New Roman"/>
                <w:bCs/>
                <w:kern w:val="24"/>
                <w:sz w:val="20"/>
                <w:szCs w:val="20"/>
              </w:rPr>
              <w:t>3.Viedie materiāli, tehnoloģijas un inženiersistēmas</w:t>
            </w:r>
          </w:p>
        </w:tc>
        <w:tc>
          <w:tcPr>
            <w:tcW w:w="4284" w:type="pct"/>
          </w:tcPr>
          <w:p w14:paraId="16B1F280" w14:textId="77777777" w:rsidR="00EC6F45" w:rsidRPr="00EC6F45" w:rsidRDefault="007D5054" w:rsidP="00E7642A">
            <w:pPr>
              <w:pStyle w:val="ListParagraph"/>
              <w:numPr>
                <w:ilvl w:val="0"/>
                <w:numId w:val="24"/>
              </w:numPr>
              <w:ind w:left="274" w:hanging="274"/>
              <w:rPr>
                <w:sz w:val="20"/>
                <w:szCs w:val="20"/>
              </w:rPr>
            </w:pPr>
            <w:r w:rsidRPr="00EC6F45">
              <w:rPr>
                <w:sz w:val="20"/>
                <w:szCs w:val="20"/>
              </w:rPr>
              <w:t>Implantu materiāli</w:t>
            </w:r>
            <w:r w:rsidR="00E71AFC" w:rsidRPr="00EC6F45">
              <w:rPr>
                <w:sz w:val="20"/>
                <w:szCs w:val="20"/>
              </w:rPr>
              <w:t>;</w:t>
            </w:r>
          </w:p>
          <w:p w14:paraId="43B0DB90" w14:textId="77777777" w:rsidR="00EC6F45" w:rsidRPr="00EC6F45" w:rsidRDefault="00E71AFC" w:rsidP="00E7642A">
            <w:pPr>
              <w:pStyle w:val="ListParagraph"/>
              <w:numPr>
                <w:ilvl w:val="0"/>
                <w:numId w:val="24"/>
              </w:numPr>
              <w:ind w:left="274" w:hanging="274"/>
              <w:rPr>
                <w:rFonts w:cs="Times New Roman"/>
                <w:sz w:val="20"/>
                <w:szCs w:val="20"/>
              </w:rPr>
            </w:pPr>
            <w:r w:rsidRPr="00EC6F45">
              <w:rPr>
                <w:rFonts w:cs="Times New Roman"/>
                <w:sz w:val="20"/>
                <w:szCs w:val="20"/>
              </w:rPr>
              <w:t>K</w:t>
            </w:r>
            <w:r w:rsidR="007D5054" w:rsidRPr="00EC6F45">
              <w:rPr>
                <w:rFonts w:cs="Times New Roman"/>
                <w:sz w:val="20"/>
                <w:szCs w:val="20"/>
              </w:rPr>
              <w:t>ompozītmateriāli</w:t>
            </w:r>
            <w:r w:rsidRPr="00EC6F45">
              <w:rPr>
                <w:rFonts w:cs="Times New Roman"/>
                <w:sz w:val="20"/>
                <w:szCs w:val="20"/>
              </w:rPr>
              <w:t>;</w:t>
            </w:r>
          </w:p>
          <w:p w14:paraId="72E3EC97" w14:textId="77777777" w:rsidR="00EC6F45" w:rsidRPr="00EC6F45" w:rsidRDefault="00E71AFC" w:rsidP="00E7642A">
            <w:pPr>
              <w:pStyle w:val="ListParagraph"/>
              <w:numPr>
                <w:ilvl w:val="0"/>
                <w:numId w:val="24"/>
              </w:numPr>
              <w:ind w:left="274" w:hanging="274"/>
              <w:rPr>
                <w:rFonts w:cs="Times New Roman"/>
                <w:sz w:val="20"/>
                <w:szCs w:val="20"/>
              </w:rPr>
            </w:pPr>
            <w:r w:rsidRPr="00EC6F45">
              <w:rPr>
                <w:rFonts w:cs="Times New Roman"/>
                <w:sz w:val="20"/>
                <w:szCs w:val="20"/>
              </w:rPr>
              <w:t>P</w:t>
            </w:r>
            <w:r w:rsidR="007D5054" w:rsidRPr="00EC6F45">
              <w:rPr>
                <w:rFonts w:cs="Times New Roman"/>
                <w:sz w:val="20"/>
                <w:szCs w:val="20"/>
              </w:rPr>
              <w:t>lānie slāņi un pārklājumi</w:t>
            </w:r>
            <w:r w:rsidRPr="00EC6F45">
              <w:rPr>
                <w:rFonts w:cs="Times New Roman"/>
                <w:sz w:val="20"/>
                <w:szCs w:val="20"/>
              </w:rPr>
              <w:t>;</w:t>
            </w:r>
          </w:p>
          <w:p w14:paraId="2CF84F6C" w14:textId="77777777" w:rsidR="00EC6F45" w:rsidRPr="00EC6F45" w:rsidRDefault="00E71AFC" w:rsidP="00E7642A">
            <w:pPr>
              <w:pStyle w:val="ListParagraph"/>
              <w:numPr>
                <w:ilvl w:val="0"/>
                <w:numId w:val="24"/>
              </w:numPr>
              <w:ind w:left="274" w:hanging="274"/>
              <w:rPr>
                <w:rFonts w:cs="Times New Roman"/>
                <w:sz w:val="20"/>
                <w:szCs w:val="20"/>
              </w:rPr>
            </w:pPr>
            <w:r w:rsidRPr="00EC6F45">
              <w:rPr>
                <w:rFonts w:cs="Times New Roman"/>
                <w:sz w:val="20"/>
                <w:szCs w:val="20"/>
              </w:rPr>
              <w:t>I</w:t>
            </w:r>
            <w:r w:rsidR="007D5054" w:rsidRPr="00EC6F45">
              <w:rPr>
                <w:rFonts w:cs="Times New Roman"/>
                <w:sz w:val="20"/>
                <w:szCs w:val="20"/>
              </w:rPr>
              <w:t>ekārtas, mehānismi un darba mašīnas</w:t>
            </w:r>
            <w:r w:rsidRPr="00EC6F45">
              <w:rPr>
                <w:rFonts w:cs="Times New Roman"/>
                <w:sz w:val="20"/>
                <w:szCs w:val="20"/>
              </w:rPr>
              <w:t>;</w:t>
            </w:r>
          </w:p>
          <w:p w14:paraId="4D0BB1BC" w14:textId="77777777" w:rsidR="007D5054" w:rsidRPr="00EC6F45" w:rsidRDefault="00E71AFC" w:rsidP="00E7642A">
            <w:pPr>
              <w:pStyle w:val="ListParagraph"/>
              <w:numPr>
                <w:ilvl w:val="0"/>
                <w:numId w:val="24"/>
              </w:numPr>
              <w:ind w:left="274" w:hanging="274"/>
              <w:rPr>
                <w:rFonts w:cs="Times New Roman"/>
                <w:color w:val="000000"/>
                <w:sz w:val="20"/>
                <w:szCs w:val="20"/>
              </w:rPr>
            </w:pPr>
            <w:r w:rsidRPr="00EC6F45">
              <w:rPr>
                <w:rFonts w:cs="Times New Roman"/>
                <w:sz w:val="20"/>
                <w:szCs w:val="20"/>
              </w:rPr>
              <w:t>S</w:t>
            </w:r>
            <w:r w:rsidR="007D5054" w:rsidRPr="00EC6F45">
              <w:rPr>
                <w:rFonts w:cs="Times New Roman"/>
                <w:sz w:val="20"/>
                <w:szCs w:val="20"/>
              </w:rPr>
              <w:t>tikla šķiedras izstrādājumi un viedie materiāl</w:t>
            </w:r>
            <w:r w:rsidRPr="00EC6F45">
              <w:rPr>
                <w:rFonts w:cs="Times New Roman"/>
                <w:sz w:val="20"/>
                <w:szCs w:val="20"/>
              </w:rPr>
              <w:t>i</w:t>
            </w:r>
            <w:r w:rsidR="007D5054" w:rsidRPr="00EC6F45">
              <w:rPr>
                <w:rFonts w:cs="Times New Roman"/>
                <w:sz w:val="20"/>
                <w:szCs w:val="20"/>
              </w:rPr>
              <w:t xml:space="preserve"> uz stikla šķiedras bāzes.</w:t>
            </w:r>
            <w:r w:rsidR="007D5054" w:rsidRPr="00EC6F45">
              <w:rPr>
                <w:rFonts w:cs="Times New Roman"/>
                <w:color w:val="000000"/>
                <w:sz w:val="20"/>
                <w:szCs w:val="20"/>
              </w:rPr>
              <w:t xml:space="preserve"> </w:t>
            </w:r>
          </w:p>
        </w:tc>
      </w:tr>
      <w:tr w:rsidR="007D5054" w:rsidRPr="00AC4392" w14:paraId="68FD4C30" w14:textId="77777777" w:rsidTr="00FB4DF5">
        <w:trPr>
          <w:trHeight w:val="207"/>
          <w:jc w:val="center"/>
        </w:trPr>
        <w:tc>
          <w:tcPr>
            <w:tcW w:w="716" w:type="pct"/>
          </w:tcPr>
          <w:p w14:paraId="3D1D29E1" w14:textId="77777777" w:rsidR="007D5054" w:rsidRPr="002D7733" w:rsidRDefault="007D5054" w:rsidP="00E7642A">
            <w:pPr>
              <w:pStyle w:val="ListParagraph"/>
              <w:ind w:left="0" w:firstLine="29"/>
              <w:rPr>
                <w:rFonts w:cs="Times New Roman"/>
                <w:sz w:val="20"/>
                <w:szCs w:val="20"/>
              </w:rPr>
            </w:pPr>
            <w:r w:rsidRPr="002D7733">
              <w:rPr>
                <w:rFonts w:cs="Times New Roman"/>
                <w:bCs/>
                <w:kern w:val="24"/>
                <w:sz w:val="20"/>
                <w:szCs w:val="20"/>
              </w:rPr>
              <w:t>4.Viedā enerģētika</w:t>
            </w:r>
          </w:p>
        </w:tc>
        <w:tc>
          <w:tcPr>
            <w:tcW w:w="4284" w:type="pct"/>
          </w:tcPr>
          <w:p w14:paraId="22DC83FE" w14:textId="77777777" w:rsidR="00EC6F45" w:rsidRPr="00EC6F45" w:rsidRDefault="00E04BF1" w:rsidP="00E7642A">
            <w:pPr>
              <w:pStyle w:val="ListParagraph"/>
              <w:numPr>
                <w:ilvl w:val="0"/>
                <w:numId w:val="25"/>
              </w:numPr>
              <w:ind w:left="274" w:hanging="274"/>
              <w:rPr>
                <w:sz w:val="20"/>
                <w:szCs w:val="20"/>
              </w:rPr>
            </w:pPr>
            <w:r w:rsidRPr="00EC6F45">
              <w:rPr>
                <w:sz w:val="20"/>
                <w:szCs w:val="20"/>
              </w:rPr>
              <w:t>Viedo tīklu attīstīšana - pieprasījuma-piedāvājuma sistēmu izstrāde, viedās ēkas, mājas, ierīces un mājas automatizācijas sistēmas;</w:t>
            </w:r>
          </w:p>
          <w:p w14:paraId="00C0664B" w14:textId="77777777" w:rsidR="00EC6F45" w:rsidRPr="00EC6F45" w:rsidRDefault="00E04BF1" w:rsidP="00E7642A">
            <w:pPr>
              <w:pStyle w:val="ListParagraph"/>
              <w:numPr>
                <w:ilvl w:val="0"/>
                <w:numId w:val="25"/>
              </w:numPr>
              <w:ind w:left="274" w:hanging="274"/>
              <w:rPr>
                <w:rFonts w:cs="Times New Roman"/>
                <w:sz w:val="20"/>
                <w:szCs w:val="20"/>
              </w:rPr>
            </w:pPr>
            <w:r w:rsidRPr="00EC6F45">
              <w:rPr>
                <w:rFonts w:cs="Times New Roman"/>
                <w:sz w:val="20"/>
                <w:szCs w:val="20"/>
              </w:rPr>
              <w:t>Nākamās paaudzes tehnoloģiju izstrāde enerģijas iegūšanai no atjaunojamiem energoresursiem;</w:t>
            </w:r>
          </w:p>
          <w:p w14:paraId="7020F581" w14:textId="77777777" w:rsidR="00EC6F45" w:rsidRPr="00EC6F45" w:rsidRDefault="00E71AFC" w:rsidP="00E7642A">
            <w:pPr>
              <w:pStyle w:val="ListParagraph"/>
              <w:numPr>
                <w:ilvl w:val="0"/>
                <w:numId w:val="25"/>
              </w:numPr>
              <w:ind w:left="274" w:hanging="274"/>
              <w:rPr>
                <w:rFonts w:cs="Times New Roman"/>
                <w:sz w:val="20"/>
                <w:szCs w:val="20"/>
              </w:rPr>
            </w:pPr>
            <w:r w:rsidRPr="00EC6F45">
              <w:rPr>
                <w:rFonts w:cs="Times New Roman"/>
                <w:sz w:val="20"/>
                <w:szCs w:val="20"/>
              </w:rPr>
              <w:t>Energoefektivitātes palielināšana – būvkonstrukciju energoefektivitāte, apdzīvoto vietu infrastruktūras elementu energoefektivitāte;</w:t>
            </w:r>
          </w:p>
          <w:p w14:paraId="3B7740CA" w14:textId="77777777" w:rsidR="00E71AFC" w:rsidRPr="00EC6F45" w:rsidRDefault="00E71AFC" w:rsidP="00E7642A">
            <w:pPr>
              <w:pStyle w:val="ListParagraph"/>
              <w:numPr>
                <w:ilvl w:val="0"/>
                <w:numId w:val="25"/>
              </w:numPr>
              <w:ind w:left="274" w:hanging="274"/>
              <w:rPr>
                <w:rFonts w:cs="Times New Roman"/>
                <w:sz w:val="20"/>
                <w:szCs w:val="20"/>
              </w:rPr>
            </w:pPr>
            <w:r w:rsidRPr="00EC6F45">
              <w:rPr>
                <w:rFonts w:cs="Times New Roman"/>
                <w:sz w:val="20"/>
                <w:szCs w:val="20"/>
              </w:rPr>
              <w:t>Ilgtspējīga enerģija transportam – jaunas tehnoloģijas, to ieviešanas paātrināšana, elektromobilitāte.</w:t>
            </w:r>
          </w:p>
        </w:tc>
      </w:tr>
      <w:tr w:rsidR="007D5054" w:rsidRPr="00AC4392" w14:paraId="6FC434CB" w14:textId="77777777" w:rsidTr="00FB4DF5">
        <w:trPr>
          <w:trHeight w:val="345"/>
          <w:jc w:val="center"/>
        </w:trPr>
        <w:tc>
          <w:tcPr>
            <w:tcW w:w="716" w:type="pct"/>
          </w:tcPr>
          <w:p w14:paraId="5860C03A" w14:textId="77777777" w:rsidR="007D5054" w:rsidRPr="002D7733" w:rsidRDefault="007D5054" w:rsidP="00E7642A">
            <w:pPr>
              <w:pStyle w:val="ListParagraph"/>
              <w:ind w:left="0" w:firstLine="29"/>
              <w:rPr>
                <w:rFonts w:cs="Times New Roman"/>
                <w:sz w:val="20"/>
                <w:szCs w:val="20"/>
              </w:rPr>
            </w:pPr>
            <w:r w:rsidRPr="002D7733">
              <w:rPr>
                <w:rFonts w:cs="Times New Roman"/>
                <w:bCs/>
                <w:kern w:val="24"/>
                <w:sz w:val="20"/>
                <w:szCs w:val="20"/>
              </w:rPr>
              <w:t>5.Informācijas un komunikāciju tehnoloģijas</w:t>
            </w:r>
          </w:p>
          <w:p w14:paraId="12BB5567" w14:textId="77777777" w:rsidR="007D5054" w:rsidRPr="002D7733" w:rsidRDefault="007D5054" w:rsidP="00E7642A">
            <w:pPr>
              <w:tabs>
                <w:tab w:val="num" w:pos="284"/>
              </w:tabs>
              <w:ind w:firstLine="29"/>
              <w:rPr>
                <w:rFonts w:ascii="Times New Roman" w:hAnsi="Times New Roman"/>
                <w:b/>
                <w:bCs/>
                <w:sz w:val="20"/>
                <w:szCs w:val="20"/>
              </w:rPr>
            </w:pPr>
          </w:p>
        </w:tc>
        <w:tc>
          <w:tcPr>
            <w:tcW w:w="4284" w:type="pct"/>
          </w:tcPr>
          <w:p w14:paraId="37C80C36" w14:textId="77777777" w:rsidR="00EC6F45" w:rsidRPr="00EC6F45" w:rsidRDefault="007D5054" w:rsidP="00E7642A">
            <w:pPr>
              <w:pStyle w:val="ListParagraph"/>
              <w:numPr>
                <w:ilvl w:val="0"/>
                <w:numId w:val="26"/>
              </w:numPr>
              <w:ind w:left="274" w:hanging="284"/>
              <w:rPr>
                <w:sz w:val="20"/>
                <w:szCs w:val="20"/>
              </w:rPr>
            </w:pPr>
            <w:r w:rsidRPr="00EC6F45">
              <w:rPr>
                <w:sz w:val="20"/>
                <w:szCs w:val="20"/>
              </w:rPr>
              <w:t xml:space="preserve">Inovatīva zināšanu pārvaldība, sistēmu modelēšanas un programmatūras izstrādes metodes un rīki; </w:t>
            </w:r>
          </w:p>
          <w:p w14:paraId="10894B83" w14:textId="77777777" w:rsidR="00EC6F45" w:rsidRPr="00EC6F45" w:rsidRDefault="00301E3F" w:rsidP="00E7642A">
            <w:pPr>
              <w:pStyle w:val="ListParagraph"/>
              <w:numPr>
                <w:ilvl w:val="0"/>
                <w:numId w:val="26"/>
              </w:numPr>
              <w:ind w:left="274" w:hanging="284"/>
              <w:rPr>
                <w:rFonts w:cs="Times New Roman"/>
                <w:sz w:val="20"/>
                <w:szCs w:val="20"/>
              </w:rPr>
            </w:pPr>
            <w:r w:rsidRPr="00EC6F45">
              <w:rPr>
                <w:rFonts w:cs="Times New Roman"/>
                <w:sz w:val="20"/>
                <w:szCs w:val="20"/>
              </w:rPr>
              <w:t>I</w:t>
            </w:r>
            <w:r w:rsidR="007D5054" w:rsidRPr="00EC6F45">
              <w:rPr>
                <w:rFonts w:cs="Times New Roman"/>
                <w:sz w:val="20"/>
                <w:szCs w:val="20"/>
              </w:rPr>
              <w:t>novatīvi nozaru IKT aparatūras (</w:t>
            </w:r>
            <w:r w:rsidR="007D5054" w:rsidRPr="00EC6F45">
              <w:rPr>
                <w:rFonts w:cs="Times New Roman"/>
                <w:i/>
                <w:sz w:val="20"/>
                <w:szCs w:val="20"/>
              </w:rPr>
              <w:t>hardware</w:t>
            </w:r>
            <w:r w:rsidR="007D5054" w:rsidRPr="00EC6F45">
              <w:rPr>
                <w:rFonts w:cs="Times New Roman"/>
                <w:sz w:val="20"/>
                <w:szCs w:val="20"/>
              </w:rPr>
              <w:t>) un programmatūras (</w:t>
            </w:r>
            <w:r w:rsidR="007D5054" w:rsidRPr="00EC6F45">
              <w:rPr>
                <w:rFonts w:cs="Times New Roman"/>
                <w:i/>
                <w:sz w:val="20"/>
                <w:szCs w:val="20"/>
              </w:rPr>
              <w:t>software</w:t>
            </w:r>
            <w:r w:rsidR="007D5054" w:rsidRPr="00EC6F45">
              <w:rPr>
                <w:rFonts w:cs="Times New Roman"/>
                <w:sz w:val="20"/>
                <w:szCs w:val="20"/>
              </w:rPr>
              <w:t xml:space="preserve">) lietojumi; </w:t>
            </w:r>
          </w:p>
          <w:p w14:paraId="7E229689" w14:textId="77777777" w:rsidR="00EC6F45" w:rsidRPr="00EC6F45" w:rsidRDefault="00301E3F" w:rsidP="00E7642A">
            <w:pPr>
              <w:pStyle w:val="ListParagraph"/>
              <w:numPr>
                <w:ilvl w:val="0"/>
                <w:numId w:val="26"/>
              </w:numPr>
              <w:ind w:left="274" w:hanging="284"/>
              <w:rPr>
                <w:rFonts w:cs="Times New Roman"/>
                <w:sz w:val="20"/>
                <w:szCs w:val="20"/>
              </w:rPr>
            </w:pPr>
            <w:r w:rsidRPr="00EC6F45">
              <w:rPr>
                <w:rFonts w:cs="Times New Roman"/>
                <w:sz w:val="20"/>
                <w:szCs w:val="20"/>
              </w:rPr>
              <w:t>K</w:t>
            </w:r>
            <w:r w:rsidR="007D5054" w:rsidRPr="00EC6F45">
              <w:rPr>
                <w:rFonts w:cs="Times New Roman"/>
                <w:sz w:val="20"/>
                <w:szCs w:val="20"/>
              </w:rPr>
              <w:t xml:space="preserve">iberfizikālās sistēmas, valodu tehnoloģijas un semantiskais tīmeklis; </w:t>
            </w:r>
          </w:p>
          <w:p w14:paraId="0FF5FD95" w14:textId="77777777" w:rsidR="00EC6F45" w:rsidRPr="00EC6F45" w:rsidRDefault="00301E3F" w:rsidP="00E7642A">
            <w:pPr>
              <w:pStyle w:val="ListParagraph"/>
              <w:numPr>
                <w:ilvl w:val="0"/>
                <w:numId w:val="26"/>
              </w:numPr>
              <w:ind w:left="274" w:hanging="284"/>
              <w:rPr>
                <w:rFonts w:cs="Times New Roman"/>
                <w:sz w:val="20"/>
                <w:szCs w:val="20"/>
              </w:rPr>
            </w:pPr>
            <w:r w:rsidRPr="00EC6F45">
              <w:rPr>
                <w:rFonts w:cs="Times New Roman"/>
                <w:sz w:val="20"/>
                <w:szCs w:val="20"/>
              </w:rPr>
              <w:t>L</w:t>
            </w:r>
            <w:r w:rsidR="007D5054" w:rsidRPr="00EC6F45">
              <w:rPr>
                <w:rFonts w:cs="Times New Roman"/>
                <w:sz w:val="20"/>
                <w:szCs w:val="20"/>
              </w:rPr>
              <w:t xml:space="preserve">ielapjoma datu un zināšanu infrastruktūra; </w:t>
            </w:r>
          </w:p>
          <w:p w14:paraId="6B0E01B0" w14:textId="77777777" w:rsidR="00EC6F45" w:rsidRPr="00EC6F45" w:rsidRDefault="00E04BF1" w:rsidP="00E7642A">
            <w:pPr>
              <w:pStyle w:val="ListParagraph"/>
              <w:numPr>
                <w:ilvl w:val="0"/>
                <w:numId w:val="26"/>
              </w:numPr>
              <w:ind w:left="274" w:hanging="284"/>
              <w:rPr>
                <w:rFonts w:cs="Times New Roman"/>
                <w:sz w:val="20"/>
                <w:szCs w:val="20"/>
              </w:rPr>
            </w:pPr>
            <w:r w:rsidRPr="00EC6F45">
              <w:rPr>
                <w:rFonts w:cs="Times New Roman"/>
                <w:sz w:val="20"/>
                <w:szCs w:val="20"/>
              </w:rPr>
              <w:t>I</w:t>
            </w:r>
            <w:r w:rsidR="007D5054" w:rsidRPr="00EC6F45">
              <w:rPr>
                <w:rFonts w:cs="Times New Roman"/>
                <w:sz w:val="20"/>
                <w:szCs w:val="20"/>
              </w:rPr>
              <w:t xml:space="preserve">nformācijas drošība un kvantu datori; </w:t>
            </w:r>
          </w:p>
          <w:p w14:paraId="13639E7F" w14:textId="77777777" w:rsidR="007D5054" w:rsidRPr="00EC6F45" w:rsidRDefault="00E04BF1" w:rsidP="00E7642A">
            <w:pPr>
              <w:pStyle w:val="ListParagraph"/>
              <w:numPr>
                <w:ilvl w:val="0"/>
                <w:numId w:val="26"/>
              </w:numPr>
              <w:ind w:left="274" w:hanging="284"/>
              <w:rPr>
                <w:rFonts w:cs="Times New Roman"/>
                <w:sz w:val="20"/>
                <w:szCs w:val="20"/>
              </w:rPr>
            </w:pPr>
            <w:r w:rsidRPr="00EC6F45">
              <w:rPr>
                <w:rFonts w:cs="Times New Roman"/>
                <w:sz w:val="20"/>
                <w:szCs w:val="20"/>
              </w:rPr>
              <w:t>D</w:t>
            </w:r>
            <w:r w:rsidR="007D5054" w:rsidRPr="00EC6F45">
              <w:rPr>
                <w:rFonts w:cs="Times New Roman"/>
                <w:sz w:val="20"/>
                <w:szCs w:val="20"/>
              </w:rPr>
              <w:t>atorsistēmu testēšanas metodes.</w:t>
            </w:r>
          </w:p>
        </w:tc>
      </w:tr>
    </w:tbl>
    <w:p w14:paraId="4AD87489" w14:textId="0B2E8EB2" w:rsidR="00E0256A" w:rsidRDefault="00E20CF1" w:rsidP="00E7642A">
      <w:pPr>
        <w:tabs>
          <w:tab w:val="left" w:pos="0"/>
          <w:tab w:val="left" w:pos="567"/>
        </w:tabs>
        <w:ind w:left="0"/>
        <w:jc w:val="left"/>
      </w:pPr>
      <w:r w:rsidRPr="00C95968">
        <w:rPr>
          <w:rFonts w:ascii="Times New Roman" w:hAnsi="Times New Roman"/>
          <w:i/>
          <w:sz w:val="24"/>
          <w:szCs w:val="24"/>
        </w:rPr>
        <w:t xml:space="preserve">Datu avots: </w:t>
      </w:r>
      <w:r w:rsidR="00E71AFC" w:rsidRPr="00C95968">
        <w:rPr>
          <w:rFonts w:ascii="Times New Roman" w:hAnsi="Times New Roman"/>
          <w:i/>
          <w:sz w:val="24"/>
          <w:szCs w:val="24"/>
        </w:rPr>
        <w:t xml:space="preserve">Viedās specializācijas jomu ekosistēmu analītiskie apraksti SIA „FIDEA” </w:t>
      </w:r>
      <w:r w:rsidR="00E0256A">
        <w:br w:type="page"/>
      </w:r>
    </w:p>
    <w:p w14:paraId="4F30BE4D" w14:textId="1F1D8733" w:rsidR="00713616" w:rsidRPr="007C0E47" w:rsidRDefault="004F4C6E" w:rsidP="00E7642A">
      <w:pPr>
        <w:pStyle w:val="Heading1"/>
        <w:numPr>
          <w:ilvl w:val="0"/>
          <w:numId w:val="1"/>
        </w:numPr>
        <w:spacing w:before="360" w:after="120"/>
        <w:ind w:left="357" w:hanging="357"/>
        <w:jc w:val="center"/>
        <w:rPr>
          <w:rFonts w:ascii="Times New Roman" w:hAnsi="Times New Roman"/>
          <w:color w:val="auto"/>
          <w:sz w:val="24"/>
          <w:szCs w:val="24"/>
        </w:rPr>
      </w:pPr>
      <w:bookmarkStart w:id="35" w:name="_Toc458673278"/>
      <w:r w:rsidRPr="007C0E47">
        <w:rPr>
          <w:rFonts w:ascii="Times New Roman" w:hAnsi="Times New Roman"/>
          <w:color w:val="auto"/>
          <w:sz w:val="24"/>
          <w:szCs w:val="24"/>
        </w:rPr>
        <w:lastRenderedPageBreak/>
        <w:t>Z</w:t>
      </w:r>
      <w:r w:rsidR="00713616" w:rsidRPr="007C0E47">
        <w:rPr>
          <w:rFonts w:ascii="Times New Roman" w:hAnsi="Times New Roman"/>
          <w:color w:val="auto"/>
          <w:sz w:val="24"/>
          <w:szCs w:val="24"/>
        </w:rPr>
        <w:t>inātnisko institūciju institucionālās kapacitātes stiprināšana</w:t>
      </w:r>
      <w:bookmarkEnd w:id="35"/>
    </w:p>
    <w:p w14:paraId="1C017F52" w14:textId="081E7309" w:rsidR="00066FC2" w:rsidRPr="00C07278" w:rsidRDefault="00713616" w:rsidP="00E7642A">
      <w:pPr>
        <w:pStyle w:val="NormalWeb"/>
        <w:spacing w:before="0" w:beforeAutospacing="0" w:after="0" w:afterAutospacing="0"/>
        <w:ind w:firstLine="567"/>
        <w:jc w:val="both"/>
        <w:rPr>
          <w:rFonts w:eastAsia="Calibri"/>
          <w:lang w:eastAsia="en-US"/>
        </w:rPr>
      </w:pPr>
      <w:r w:rsidRPr="007C0E47">
        <w:rPr>
          <w:rFonts w:eastAsia="Calibri"/>
          <w:lang w:eastAsia="en-US"/>
        </w:rPr>
        <w:t>ES Padome rekomendē</w:t>
      </w:r>
      <w:r w:rsidR="004F4C6E" w:rsidRPr="007C0E47">
        <w:rPr>
          <w:rFonts w:eastAsia="Calibri"/>
          <w:lang w:eastAsia="en-US"/>
        </w:rPr>
        <w:t>ja</w:t>
      </w:r>
      <w:r w:rsidRPr="007C0E47">
        <w:rPr>
          <w:rFonts w:eastAsia="Calibri"/>
          <w:lang w:eastAsia="en-US"/>
        </w:rPr>
        <w:t xml:space="preserve"> Latvijai </w:t>
      </w:r>
      <w:r w:rsidRPr="007C0E47">
        <w:t>veikt pasākumus integrēt</w:t>
      </w:r>
      <w:r w:rsidR="0039616D" w:rsidRPr="007C0E47">
        <w:t>a</w:t>
      </w:r>
      <w:r w:rsidRPr="007C0E47">
        <w:t>i un visaptverošai pētniecības sistēmas attīstībai</w:t>
      </w:r>
      <w:r w:rsidR="004545A8">
        <w:t xml:space="preserve"> s</w:t>
      </w:r>
      <w:r w:rsidRPr="007C0E47">
        <w:t>tarptautiski konkurētspējīgā</w:t>
      </w:r>
      <w:r w:rsidR="0039616D" w:rsidRPr="007C0E47">
        <w:t>s</w:t>
      </w:r>
      <w:r w:rsidRPr="007C0E47">
        <w:t xml:space="preserve"> pētniecības</w:t>
      </w:r>
      <w:r w:rsidR="004545A8">
        <w:t xml:space="preserve"> institūcijās</w:t>
      </w:r>
      <w:r w:rsidRPr="007C0E47">
        <w:rPr>
          <w:rStyle w:val="FootnoteReference"/>
        </w:rPr>
        <w:footnoteReference w:id="30"/>
      </w:r>
      <w:r w:rsidR="004545A8">
        <w:rPr>
          <w:rFonts w:eastAsia="Calibri"/>
          <w:lang w:eastAsia="en-US"/>
        </w:rPr>
        <w:t xml:space="preserve"> </w:t>
      </w:r>
      <w:r w:rsidR="002C0CA7" w:rsidRPr="00D55F2F">
        <w:t>–</w:t>
      </w:r>
      <w:r w:rsidR="004545A8">
        <w:rPr>
          <w:rFonts w:eastAsia="Calibri"/>
          <w:lang w:eastAsia="en-US"/>
        </w:rPr>
        <w:t xml:space="preserve"> z</w:t>
      </w:r>
      <w:r w:rsidRPr="007C0E47">
        <w:rPr>
          <w:rFonts w:eastAsia="Calibri"/>
          <w:lang w:eastAsia="en-US"/>
        </w:rPr>
        <w:t xml:space="preserve">inātnisko institūciju </w:t>
      </w:r>
      <w:r w:rsidRPr="00C07278">
        <w:rPr>
          <w:rFonts w:eastAsia="Calibri"/>
          <w:lang w:eastAsia="en-US"/>
        </w:rPr>
        <w:t>konsolidācija un konkurētspējīgo zinātnisko institūciju rīcībspējas uzlabošana ir priekšnoteikums ES struktūrfondu 2014.</w:t>
      </w:r>
      <w:r w:rsidR="002C0CA7" w:rsidRPr="00D55F2F">
        <w:t>–</w:t>
      </w:r>
      <w:r w:rsidRPr="00C07278">
        <w:rPr>
          <w:rFonts w:eastAsia="Calibri"/>
          <w:lang w:eastAsia="en-US"/>
        </w:rPr>
        <w:t>2020.</w:t>
      </w:r>
      <w:r w:rsidR="004D67FD">
        <w:rPr>
          <w:rFonts w:eastAsia="Calibri"/>
          <w:lang w:eastAsia="en-US"/>
        </w:rPr>
        <w:t xml:space="preserve"> </w:t>
      </w:r>
      <w:r w:rsidRPr="00C07278">
        <w:rPr>
          <w:rFonts w:eastAsia="Calibri"/>
          <w:lang w:eastAsia="en-US"/>
        </w:rPr>
        <w:t>gada plānošanas perioda investīcijām pētniecībā un attīstībā</w:t>
      </w:r>
      <w:r w:rsidR="004545A8">
        <w:rPr>
          <w:rFonts w:eastAsia="Calibri"/>
          <w:lang w:eastAsia="en-US"/>
        </w:rPr>
        <w:t xml:space="preserve">. </w:t>
      </w:r>
      <w:r w:rsidRPr="00C07278">
        <w:rPr>
          <w:rFonts w:eastAsia="Calibri"/>
          <w:lang w:eastAsia="en-US"/>
        </w:rPr>
        <w:t xml:space="preserve"> </w:t>
      </w:r>
      <w:r w:rsidR="004545A8">
        <w:t>T</w:t>
      </w:r>
      <w:r w:rsidRPr="00C07278">
        <w:t xml:space="preserve">ādējādi </w:t>
      </w:r>
      <w:r w:rsidR="004545A8">
        <w:t xml:space="preserve">tiks </w:t>
      </w:r>
      <w:r w:rsidRPr="00C07278">
        <w:t>novērs</w:t>
      </w:r>
      <w:r w:rsidR="004545A8">
        <w:t>ta</w:t>
      </w:r>
      <w:r w:rsidRPr="00C07278">
        <w:t xml:space="preserve"> turpmāku </w:t>
      </w:r>
      <w:r w:rsidR="002C0CA7">
        <w:t>pētniecības un attīstības</w:t>
      </w:r>
      <w:r w:rsidRPr="00C07278">
        <w:t xml:space="preserve"> finansējuma fragmentēšan</w:t>
      </w:r>
      <w:r w:rsidR="004545A8">
        <w:t>a</w:t>
      </w:r>
      <w:r w:rsidRPr="00C07278">
        <w:t xml:space="preserve"> un nodrošinā</w:t>
      </w:r>
      <w:r w:rsidR="004545A8">
        <w:t>ta</w:t>
      </w:r>
      <w:r w:rsidRPr="00C07278">
        <w:t xml:space="preserve"> </w:t>
      </w:r>
      <w:r w:rsidRPr="00C07278">
        <w:rPr>
          <w:rFonts w:eastAsia="Calibri"/>
          <w:lang w:eastAsia="en-US"/>
        </w:rPr>
        <w:t xml:space="preserve">ES struktūrfondu </w:t>
      </w:r>
      <w:r w:rsidRPr="00C07278">
        <w:t>ieguldījumu mērķtiecīgu koncentrēšanu</w:t>
      </w:r>
      <w:r w:rsidRPr="00C07278">
        <w:rPr>
          <w:rStyle w:val="FootnoteReference"/>
          <w:rFonts w:eastAsia="Calibri"/>
          <w:lang w:eastAsia="en-US"/>
        </w:rPr>
        <w:footnoteReference w:id="31"/>
      </w:r>
      <w:r w:rsidRPr="00C07278">
        <w:rPr>
          <w:rFonts w:eastAsia="Calibri"/>
          <w:lang w:eastAsia="en-US"/>
        </w:rPr>
        <w:t xml:space="preserve">. </w:t>
      </w:r>
    </w:p>
    <w:p w14:paraId="007E1D1F" w14:textId="77777777" w:rsidR="00066FC2" w:rsidRPr="003F1092" w:rsidRDefault="000B4DE7" w:rsidP="00E7642A">
      <w:pPr>
        <w:pStyle w:val="NormalWeb"/>
        <w:spacing w:before="0" w:beforeAutospacing="0" w:after="0" w:afterAutospacing="0"/>
        <w:ind w:firstLine="567"/>
        <w:jc w:val="both"/>
        <w:rPr>
          <w:rFonts w:eastAsia="Calibri"/>
          <w:lang w:eastAsia="en-US"/>
        </w:rPr>
      </w:pPr>
      <w:r w:rsidRPr="00C07278">
        <w:rPr>
          <w:rFonts w:eastAsia="Calibri"/>
          <w:lang w:eastAsia="en-US"/>
        </w:rPr>
        <w:t>L</w:t>
      </w:r>
      <w:r w:rsidR="00713616" w:rsidRPr="00C07278">
        <w:rPr>
          <w:rFonts w:eastAsia="Calibri"/>
          <w:lang w:eastAsia="en-US"/>
        </w:rPr>
        <w:t xml:space="preserve">ai nodrošinātu </w:t>
      </w:r>
      <w:r w:rsidR="0039616D">
        <w:rPr>
          <w:rFonts w:eastAsia="Calibri"/>
          <w:lang w:eastAsia="en-US"/>
        </w:rPr>
        <w:t>ES padomes rekomendāciju izpildi</w:t>
      </w:r>
      <w:r w:rsidR="00713616" w:rsidRPr="00C07278">
        <w:rPr>
          <w:rFonts w:eastAsia="Calibri"/>
          <w:lang w:eastAsia="en-US"/>
        </w:rPr>
        <w:t xml:space="preserve"> </w:t>
      </w:r>
      <w:r w:rsidR="00F90570" w:rsidRPr="0039616D">
        <w:rPr>
          <w:rFonts w:eastAsia="Calibri"/>
          <w:lang w:eastAsia="en-US"/>
        </w:rPr>
        <w:t>2014. gada novembrī</w:t>
      </w:r>
      <w:r w:rsidR="00713616" w:rsidRPr="0039616D">
        <w:rPr>
          <w:rFonts w:eastAsia="Calibri"/>
          <w:lang w:eastAsia="en-US"/>
        </w:rPr>
        <w:t xml:space="preserve"> </w:t>
      </w:r>
      <w:r w:rsidR="00F90570" w:rsidRPr="0039616D">
        <w:rPr>
          <w:rFonts w:eastAsia="Calibri"/>
          <w:lang w:eastAsia="en-US"/>
        </w:rPr>
        <w:t xml:space="preserve">MK </w:t>
      </w:r>
      <w:r w:rsidR="0039616D">
        <w:rPr>
          <w:rFonts w:eastAsia="Calibri"/>
          <w:lang w:eastAsia="en-US"/>
        </w:rPr>
        <w:t xml:space="preserve">pieņēma lēmumu par to, ka Latvijas zinātnes resursi </w:t>
      </w:r>
      <w:r w:rsidR="00B32965">
        <w:rPr>
          <w:rFonts w:eastAsia="Calibri"/>
          <w:lang w:eastAsia="en-US"/>
        </w:rPr>
        <w:t>koncentrējami</w:t>
      </w:r>
      <w:r w:rsidR="0039616D">
        <w:rPr>
          <w:rFonts w:eastAsia="Calibri"/>
          <w:lang w:eastAsia="en-US"/>
        </w:rPr>
        <w:t xml:space="preserve"> spēcīgākajās zinātniskajās institūcijās </w:t>
      </w:r>
      <w:r w:rsidR="00B32965">
        <w:rPr>
          <w:rFonts w:eastAsia="Calibri"/>
          <w:lang w:eastAsia="en-US"/>
        </w:rPr>
        <w:t xml:space="preserve">un izveidoja </w:t>
      </w:r>
      <w:r w:rsidR="00F90570" w:rsidRPr="0039616D">
        <w:rPr>
          <w:rFonts w:eastAsia="Calibri"/>
          <w:lang w:eastAsia="en-US"/>
        </w:rPr>
        <w:t>2</w:t>
      </w:r>
      <w:r w:rsidR="00713616" w:rsidRPr="0039616D">
        <w:rPr>
          <w:rFonts w:eastAsia="Calibri"/>
          <w:lang w:eastAsia="en-US"/>
        </w:rPr>
        <w:t>.1.1.3.3.</w:t>
      </w:r>
      <w:r w:rsidR="0096715F">
        <w:rPr>
          <w:rFonts w:eastAsia="Calibri"/>
          <w:lang w:eastAsia="en-US"/>
        </w:rPr>
        <w:t xml:space="preserve"> </w:t>
      </w:r>
      <w:r w:rsidR="00713616" w:rsidRPr="0039616D">
        <w:rPr>
          <w:rFonts w:eastAsia="Calibri"/>
          <w:lang w:eastAsia="en-US"/>
        </w:rPr>
        <w:t xml:space="preserve">apakšaktivitāti </w:t>
      </w:r>
      <w:r w:rsidR="00713616" w:rsidRPr="002D7733">
        <w:rPr>
          <w:rFonts w:eastAsia="Calibri"/>
          <w:i/>
          <w:lang w:eastAsia="en-US"/>
        </w:rPr>
        <w:t>“Zinātnisko institūciju institucionāl</w:t>
      </w:r>
      <w:r w:rsidR="00F90570" w:rsidRPr="002D7733">
        <w:rPr>
          <w:rFonts w:eastAsia="Calibri"/>
          <w:i/>
          <w:lang w:eastAsia="en-US"/>
        </w:rPr>
        <w:t>ās kapacitātes attīstība</w:t>
      </w:r>
      <w:r w:rsidR="00F90570" w:rsidRPr="0039616D">
        <w:rPr>
          <w:rFonts w:eastAsia="Calibri"/>
          <w:lang w:eastAsia="en-US"/>
        </w:rPr>
        <w:t>”</w:t>
      </w:r>
      <w:r w:rsidR="00F90570" w:rsidRPr="0039616D">
        <w:rPr>
          <w:rStyle w:val="FootnoteReference"/>
          <w:rFonts w:eastAsia="Calibri"/>
          <w:lang w:eastAsia="en-US"/>
        </w:rPr>
        <w:footnoteReference w:id="32"/>
      </w:r>
      <w:r w:rsidR="00066FC2" w:rsidRPr="0039616D">
        <w:rPr>
          <w:rFonts w:eastAsia="Calibri"/>
          <w:lang w:eastAsia="en-US"/>
        </w:rPr>
        <w:t xml:space="preserve">. </w:t>
      </w:r>
      <w:r w:rsidR="00066FC2" w:rsidRPr="002D7733">
        <w:t>Apakšaktivitātes</w:t>
      </w:r>
      <w:r w:rsidR="00066FC2" w:rsidRPr="0039616D">
        <w:t xml:space="preserve"> </w:t>
      </w:r>
      <w:r w:rsidR="00AC1DC2">
        <w:t>mērķis bija</w:t>
      </w:r>
      <w:r w:rsidR="00AC1DC2" w:rsidRPr="00C07278">
        <w:rPr>
          <w:rFonts w:eastAsia="Calibri"/>
          <w:lang w:eastAsia="en-US"/>
        </w:rPr>
        <w:t xml:space="preserve"> v</w:t>
      </w:r>
      <w:r w:rsidR="00AC1DC2">
        <w:t>eicināt</w:t>
      </w:r>
      <w:r w:rsidR="00AC1DC2" w:rsidRPr="00C07278">
        <w:t xml:space="preserve"> starptautiski konkurētspējīgu zinātni un pētniecībā balstītu modernu augstāko izglītību</w:t>
      </w:r>
      <w:r w:rsidR="00AC1DC2" w:rsidRPr="00C07278">
        <w:rPr>
          <w:rStyle w:val="FootnoteReference"/>
        </w:rPr>
        <w:footnoteReference w:id="33"/>
      </w:r>
      <w:r w:rsidR="00AC1DC2" w:rsidRPr="00C07278">
        <w:rPr>
          <w:rFonts w:eastAsia="Calibri"/>
          <w:lang w:eastAsia="en-US"/>
        </w:rPr>
        <w:t xml:space="preserve">, </w:t>
      </w:r>
      <w:r w:rsidR="00AC1DC2" w:rsidRPr="002D7733">
        <w:rPr>
          <w:rFonts w:eastAsia="Calibri"/>
          <w:lang w:eastAsia="en-US"/>
        </w:rPr>
        <w:t>resursus koncentrējot labākajos valsts zinātniskajos institūtos un uni</w:t>
      </w:r>
      <w:r w:rsidR="00AC1DC2">
        <w:rPr>
          <w:rFonts w:eastAsia="Calibri"/>
          <w:lang w:eastAsia="en-US"/>
        </w:rPr>
        <w:t>versitātēs, kā zināšanu centros. Tās</w:t>
      </w:r>
      <w:r w:rsidR="00AC1DC2" w:rsidRPr="0039616D">
        <w:rPr>
          <w:rFonts w:eastAsia="Calibri"/>
          <w:lang w:eastAsia="en-US"/>
        </w:rPr>
        <w:t xml:space="preserve"> </w:t>
      </w:r>
      <w:r w:rsidR="00066FC2" w:rsidRPr="0039616D">
        <w:rPr>
          <w:rFonts w:eastAsia="Calibri"/>
          <w:lang w:eastAsia="en-US"/>
        </w:rPr>
        <w:t xml:space="preserve">ietvaros </w:t>
      </w:r>
      <w:r w:rsidR="00B32965">
        <w:rPr>
          <w:rFonts w:eastAsia="Calibri"/>
          <w:lang w:eastAsia="en-US"/>
        </w:rPr>
        <w:t>tika finansēta zinātnisko institūciju konsolidācija un izcilības attīstība, i</w:t>
      </w:r>
      <w:r w:rsidR="00066FC2" w:rsidRPr="0039616D">
        <w:rPr>
          <w:rFonts w:eastAsia="Calibri"/>
          <w:lang w:eastAsia="en-US"/>
        </w:rPr>
        <w:t>erobežotas projektu iesniegum</w:t>
      </w:r>
      <w:r w:rsidR="00066FC2" w:rsidRPr="00C07278">
        <w:rPr>
          <w:rFonts w:eastAsia="Calibri"/>
          <w:lang w:eastAsia="en-US"/>
        </w:rPr>
        <w:t xml:space="preserve">u atlases ietvaros </w:t>
      </w:r>
      <w:r w:rsidR="00B32965">
        <w:rPr>
          <w:rFonts w:eastAsia="Calibri"/>
          <w:lang w:eastAsia="en-US"/>
        </w:rPr>
        <w:t xml:space="preserve">piešķirot finansējumu 12 valsts </w:t>
      </w:r>
      <w:r w:rsidR="00B32965" w:rsidRPr="00B32965">
        <w:rPr>
          <w:rFonts w:eastAsia="Calibri"/>
          <w:lang w:eastAsia="en-US"/>
        </w:rPr>
        <w:t xml:space="preserve">zinātniskajiem institūtiem un universitātēm. </w:t>
      </w:r>
      <w:r w:rsidR="00B32965" w:rsidRPr="002D7733">
        <w:rPr>
          <w:rFonts w:eastAsia="Calibri"/>
          <w:lang w:eastAsia="en-US"/>
        </w:rPr>
        <w:t>Laikā no 2015.</w:t>
      </w:r>
      <w:r w:rsidR="0096715F">
        <w:rPr>
          <w:rFonts w:eastAsia="Calibri"/>
          <w:lang w:eastAsia="en-US"/>
        </w:rPr>
        <w:t xml:space="preserve"> </w:t>
      </w:r>
      <w:r w:rsidR="00B32965" w:rsidRPr="002D7733">
        <w:rPr>
          <w:rFonts w:eastAsia="Calibri"/>
          <w:lang w:eastAsia="en-US"/>
        </w:rPr>
        <w:t>gada 25.</w:t>
      </w:r>
      <w:r w:rsidR="0096715F">
        <w:rPr>
          <w:rFonts w:eastAsia="Calibri"/>
          <w:lang w:eastAsia="en-US"/>
        </w:rPr>
        <w:t xml:space="preserve"> </w:t>
      </w:r>
      <w:r w:rsidR="00B32965" w:rsidRPr="002D7733">
        <w:rPr>
          <w:rFonts w:eastAsia="Calibri"/>
          <w:lang w:eastAsia="en-US"/>
        </w:rPr>
        <w:t>maija līdz 12.</w:t>
      </w:r>
      <w:r w:rsidR="0096715F">
        <w:rPr>
          <w:rFonts w:eastAsia="Calibri"/>
          <w:lang w:eastAsia="en-US"/>
        </w:rPr>
        <w:t xml:space="preserve"> </w:t>
      </w:r>
      <w:r w:rsidR="00B32965" w:rsidRPr="002D7733">
        <w:rPr>
          <w:rFonts w:eastAsia="Calibri"/>
          <w:lang w:eastAsia="en-US"/>
        </w:rPr>
        <w:t>jūnijam tika parakstīti līgumi ar BIOR, BMC, CFI, DU, EDI, LLU, LU, KĶI, OSI, RTU, TSI un VeA par projektu īstenošanu 2.1.1.3.3.</w:t>
      </w:r>
      <w:r w:rsidR="0096715F">
        <w:rPr>
          <w:rFonts w:eastAsia="Calibri"/>
          <w:lang w:eastAsia="en-US"/>
        </w:rPr>
        <w:t xml:space="preserve"> </w:t>
      </w:r>
      <w:r w:rsidR="00B32965" w:rsidRPr="002D7733">
        <w:rPr>
          <w:rFonts w:eastAsia="Calibri"/>
          <w:lang w:eastAsia="en-US"/>
        </w:rPr>
        <w:t>apakšaktivitātes ietvaros līdz 2015.</w:t>
      </w:r>
      <w:r w:rsidR="0096715F">
        <w:rPr>
          <w:rFonts w:eastAsia="Calibri"/>
          <w:lang w:eastAsia="en-US"/>
        </w:rPr>
        <w:t xml:space="preserve"> </w:t>
      </w:r>
      <w:r w:rsidR="00B32965" w:rsidRPr="002D7733">
        <w:rPr>
          <w:rFonts w:eastAsia="Calibri"/>
          <w:lang w:eastAsia="en-US"/>
        </w:rPr>
        <w:t>gada 31.</w:t>
      </w:r>
      <w:r w:rsidR="0096715F">
        <w:rPr>
          <w:rFonts w:eastAsia="Calibri"/>
          <w:lang w:eastAsia="en-US"/>
        </w:rPr>
        <w:t xml:space="preserve"> </w:t>
      </w:r>
      <w:r w:rsidR="00B32965" w:rsidRPr="002D7733">
        <w:rPr>
          <w:rFonts w:eastAsia="Calibri"/>
          <w:lang w:eastAsia="en-US"/>
        </w:rPr>
        <w:t xml:space="preserve">decembrim. Kopējais pieejamais finansējums šo projektu īstenošanai </w:t>
      </w:r>
      <w:r w:rsidR="0096715F">
        <w:rPr>
          <w:rFonts w:eastAsia="Calibri"/>
          <w:lang w:eastAsia="en-US"/>
        </w:rPr>
        <w:t>–</w:t>
      </w:r>
      <w:r w:rsidR="00B32965" w:rsidRPr="002D7733">
        <w:rPr>
          <w:rFonts w:eastAsia="Calibri"/>
          <w:lang w:eastAsia="en-US"/>
        </w:rPr>
        <w:t xml:space="preserve"> 11 216 908 </w:t>
      </w:r>
      <w:r w:rsidR="00B32965" w:rsidRPr="002D7733">
        <w:rPr>
          <w:rFonts w:eastAsia="Calibri"/>
          <w:i/>
          <w:lang w:eastAsia="en-US"/>
        </w:rPr>
        <w:t>euro</w:t>
      </w:r>
      <w:r w:rsidR="00B32965" w:rsidRPr="002D7733">
        <w:rPr>
          <w:rFonts w:eastAsia="Calibri"/>
          <w:lang w:eastAsia="en-US"/>
        </w:rPr>
        <w:t>, kas ir 100</w:t>
      </w:r>
      <w:r w:rsidR="00A36CEB">
        <w:rPr>
          <w:rFonts w:eastAsia="Calibri"/>
          <w:lang w:eastAsia="en-US"/>
        </w:rPr>
        <w:t> </w:t>
      </w:r>
      <w:r w:rsidR="00B32965" w:rsidRPr="002D7733">
        <w:rPr>
          <w:rFonts w:eastAsia="Calibri"/>
          <w:lang w:eastAsia="en-US"/>
        </w:rPr>
        <w:t>% ERAF finansējums.</w:t>
      </w:r>
    </w:p>
    <w:p w14:paraId="012FE7D0" w14:textId="77777777" w:rsidR="00713616" w:rsidRPr="003F1092" w:rsidRDefault="00066FC2" w:rsidP="00E7642A">
      <w:pPr>
        <w:pStyle w:val="NormalWeb"/>
        <w:tabs>
          <w:tab w:val="left" w:pos="567"/>
        </w:tabs>
        <w:spacing w:before="0" w:beforeAutospacing="0" w:after="0" w:afterAutospacing="0"/>
        <w:jc w:val="both"/>
        <w:rPr>
          <w:rFonts w:eastAsia="Calibri"/>
          <w:lang w:eastAsia="en-US"/>
        </w:rPr>
      </w:pPr>
      <w:r w:rsidRPr="003F1092">
        <w:tab/>
      </w:r>
      <w:r w:rsidRPr="002D7733">
        <w:rPr>
          <w:rFonts w:eastAsia="Calibri"/>
          <w:lang w:eastAsia="en-US"/>
        </w:rPr>
        <w:t>Apakšaktivitātes</w:t>
      </w:r>
      <w:r w:rsidRPr="003F1092">
        <w:rPr>
          <w:rFonts w:eastAsia="Calibri"/>
          <w:lang w:eastAsia="en-US"/>
        </w:rPr>
        <w:t xml:space="preserve"> </w:t>
      </w:r>
      <w:r w:rsidR="00380291" w:rsidRPr="003F1092">
        <w:rPr>
          <w:rFonts w:eastAsia="Calibri"/>
          <w:lang w:eastAsia="en-US"/>
        </w:rPr>
        <w:t>ietvaros</w:t>
      </w:r>
      <w:r w:rsidR="00713616" w:rsidRPr="003F1092">
        <w:rPr>
          <w:rFonts w:eastAsia="Calibri"/>
          <w:lang w:eastAsia="en-US"/>
        </w:rPr>
        <w:t xml:space="preserve"> </w:t>
      </w:r>
      <w:r w:rsidRPr="002D7733">
        <w:rPr>
          <w:rFonts w:eastAsia="Calibri"/>
          <w:lang w:eastAsia="en-US"/>
        </w:rPr>
        <w:t>tika</w:t>
      </w:r>
      <w:r w:rsidR="00B32965" w:rsidRPr="003F1092">
        <w:rPr>
          <w:rFonts w:eastAsia="Calibri"/>
          <w:lang w:eastAsia="en-US"/>
        </w:rPr>
        <w:t xml:space="preserve"> finansēti sekojoši pasākumi</w:t>
      </w:r>
      <w:r w:rsidR="00713616" w:rsidRPr="003F1092">
        <w:rPr>
          <w:rFonts w:eastAsia="Calibri"/>
          <w:lang w:eastAsia="en-US"/>
        </w:rPr>
        <w:t>:</w:t>
      </w:r>
    </w:p>
    <w:p w14:paraId="25DCB6DC" w14:textId="77777777" w:rsidR="00713616" w:rsidRPr="00C07278" w:rsidRDefault="00713616" w:rsidP="00E7642A">
      <w:pPr>
        <w:pStyle w:val="NormalWeb"/>
        <w:numPr>
          <w:ilvl w:val="0"/>
          <w:numId w:val="10"/>
        </w:numPr>
        <w:spacing w:before="0" w:beforeAutospacing="0" w:after="0" w:afterAutospacing="0"/>
        <w:ind w:left="993" w:hanging="426"/>
        <w:jc w:val="both"/>
        <w:rPr>
          <w:rFonts w:eastAsia="Calibri"/>
          <w:lang w:eastAsia="en-US"/>
        </w:rPr>
      </w:pPr>
      <w:r w:rsidRPr="003F1092">
        <w:rPr>
          <w:rFonts w:eastAsia="Calibri"/>
          <w:lang w:eastAsia="en-US"/>
        </w:rPr>
        <w:t>institūtu pētniecības programm</w:t>
      </w:r>
      <w:r w:rsidR="00B32965" w:rsidRPr="003F1092">
        <w:rPr>
          <w:rFonts w:eastAsia="Calibri"/>
          <w:lang w:eastAsia="en-US"/>
        </w:rPr>
        <w:t>u, un attīstības stratēģiju šo programmu īstenošanai, ta</w:t>
      </w:r>
      <w:r w:rsidR="00B153DC">
        <w:rPr>
          <w:rFonts w:eastAsia="Calibri"/>
          <w:lang w:eastAsia="en-US"/>
        </w:rPr>
        <w:t>jā</w:t>
      </w:r>
      <w:r w:rsidR="00B32965" w:rsidRPr="003F1092">
        <w:rPr>
          <w:rFonts w:eastAsia="Calibri"/>
          <w:lang w:eastAsia="en-US"/>
        </w:rPr>
        <w:t xml:space="preserve"> skaitā </w:t>
      </w:r>
      <w:r w:rsidRPr="003F1092">
        <w:rPr>
          <w:rFonts w:eastAsia="Calibri"/>
          <w:lang w:eastAsia="en-US"/>
        </w:rPr>
        <w:t>cilvēkresursu</w:t>
      </w:r>
      <w:r w:rsidRPr="00C07278">
        <w:rPr>
          <w:rFonts w:eastAsia="Calibri"/>
          <w:lang w:eastAsia="en-US"/>
        </w:rPr>
        <w:t xml:space="preserve"> </w:t>
      </w:r>
      <w:r w:rsidR="00B32965">
        <w:rPr>
          <w:rFonts w:eastAsia="Calibri"/>
          <w:lang w:eastAsia="en-US"/>
        </w:rPr>
        <w:t>un i</w:t>
      </w:r>
      <w:r w:rsidR="003F1092">
        <w:rPr>
          <w:rFonts w:eastAsia="Calibri"/>
          <w:lang w:eastAsia="en-US"/>
        </w:rPr>
        <w:t>n</w:t>
      </w:r>
      <w:r w:rsidR="00B32965">
        <w:rPr>
          <w:rFonts w:eastAsia="Calibri"/>
          <w:lang w:eastAsia="en-US"/>
        </w:rPr>
        <w:t xml:space="preserve">frastruktūras </w:t>
      </w:r>
      <w:r w:rsidRPr="00C07278">
        <w:rPr>
          <w:rFonts w:eastAsia="Calibri"/>
          <w:lang w:eastAsia="en-US"/>
        </w:rPr>
        <w:t xml:space="preserve">attīstības plānu izstrāde; </w:t>
      </w:r>
    </w:p>
    <w:p w14:paraId="1F5FDFEA" w14:textId="77777777" w:rsidR="00713616" w:rsidRPr="00C07278" w:rsidRDefault="00713616" w:rsidP="00E7642A">
      <w:pPr>
        <w:pStyle w:val="NormalWeb"/>
        <w:numPr>
          <w:ilvl w:val="0"/>
          <w:numId w:val="10"/>
        </w:numPr>
        <w:spacing w:before="0" w:beforeAutospacing="0" w:after="0" w:afterAutospacing="0"/>
        <w:ind w:left="993" w:hanging="426"/>
        <w:jc w:val="both"/>
        <w:rPr>
          <w:rFonts w:eastAsia="Calibri"/>
          <w:lang w:eastAsia="en-US"/>
        </w:rPr>
      </w:pPr>
      <w:r w:rsidRPr="00C07278">
        <w:rPr>
          <w:rFonts w:eastAsia="Calibri"/>
          <w:lang w:eastAsia="en-US"/>
        </w:rPr>
        <w:t>sadarbības  pilnveidei starp zinātniskajām institūcijām, augstskolām</w:t>
      </w:r>
      <w:r w:rsidR="00170B58">
        <w:rPr>
          <w:rFonts w:eastAsia="Calibri"/>
          <w:lang w:eastAsia="en-US"/>
        </w:rPr>
        <w:t xml:space="preserve">, </w:t>
      </w:r>
      <w:r w:rsidR="00170B58" w:rsidRPr="00170B58">
        <w:rPr>
          <w:rFonts w:eastAsia="Calibri"/>
          <w:lang w:eastAsia="en-US"/>
        </w:rPr>
        <w:t>politikas veidotājiem un</w:t>
      </w:r>
      <w:r w:rsidRPr="00C07278">
        <w:rPr>
          <w:rFonts w:eastAsia="Calibri"/>
          <w:lang w:eastAsia="en-US"/>
        </w:rPr>
        <w:t xml:space="preserve"> darba devēju pārstāvjiem; </w:t>
      </w:r>
    </w:p>
    <w:p w14:paraId="3C1DD1DD" w14:textId="77777777" w:rsidR="00713616" w:rsidRPr="00C07278" w:rsidRDefault="00713616" w:rsidP="00E7642A">
      <w:pPr>
        <w:pStyle w:val="NormalWeb"/>
        <w:numPr>
          <w:ilvl w:val="0"/>
          <w:numId w:val="10"/>
        </w:numPr>
        <w:spacing w:before="0" w:beforeAutospacing="0" w:after="0" w:afterAutospacing="0"/>
        <w:ind w:left="993" w:hanging="426"/>
        <w:jc w:val="both"/>
        <w:rPr>
          <w:rFonts w:eastAsia="Calibri"/>
          <w:lang w:eastAsia="en-US"/>
        </w:rPr>
      </w:pPr>
      <w:r w:rsidRPr="00C07278">
        <w:rPr>
          <w:rFonts w:eastAsia="Calibri"/>
          <w:lang w:eastAsia="en-US"/>
        </w:rPr>
        <w:t xml:space="preserve">zinātnisko institūciju reorganizācijas vai likvidācija; </w:t>
      </w:r>
    </w:p>
    <w:p w14:paraId="5F08CFCE" w14:textId="77777777" w:rsidR="00713616" w:rsidRPr="00C07278" w:rsidRDefault="00713616" w:rsidP="00E7642A">
      <w:pPr>
        <w:pStyle w:val="NormalWeb"/>
        <w:numPr>
          <w:ilvl w:val="0"/>
          <w:numId w:val="10"/>
        </w:numPr>
        <w:spacing w:before="0" w:beforeAutospacing="0" w:after="0" w:afterAutospacing="0"/>
        <w:ind w:left="993" w:hanging="426"/>
        <w:jc w:val="both"/>
        <w:rPr>
          <w:rFonts w:eastAsia="Calibri"/>
          <w:lang w:eastAsia="en-US"/>
        </w:rPr>
      </w:pPr>
      <w:r w:rsidRPr="00C07278">
        <w:rPr>
          <w:rFonts w:eastAsia="Calibri"/>
          <w:lang w:eastAsia="en-US"/>
        </w:rPr>
        <w:t>resursu vadības un rezultātu pārvaldības sistēm</w:t>
      </w:r>
      <w:r w:rsidR="003F1092">
        <w:rPr>
          <w:rFonts w:eastAsia="Calibri"/>
          <w:lang w:eastAsia="en-US"/>
        </w:rPr>
        <w:t>u</w:t>
      </w:r>
      <w:r w:rsidRPr="00C07278">
        <w:rPr>
          <w:rFonts w:eastAsia="Calibri"/>
          <w:lang w:eastAsia="en-US"/>
        </w:rPr>
        <w:t xml:space="preserve"> pilnveide; </w:t>
      </w:r>
    </w:p>
    <w:p w14:paraId="70190320" w14:textId="77777777" w:rsidR="0070673E" w:rsidRPr="00C95968" w:rsidRDefault="00713616" w:rsidP="00E7642A">
      <w:pPr>
        <w:pStyle w:val="NormalWeb"/>
        <w:numPr>
          <w:ilvl w:val="0"/>
          <w:numId w:val="10"/>
        </w:numPr>
        <w:spacing w:before="0" w:beforeAutospacing="0" w:after="120" w:afterAutospacing="0"/>
        <w:ind w:left="993" w:hanging="426"/>
        <w:jc w:val="both"/>
        <w:rPr>
          <w:rFonts w:eastAsia="Calibri"/>
          <w:b/>
          <w:lang w:eastAsia="en-US"/>
        </w:rPr>
      </w:pPr>
      <w:r w:rsidRPr="00C07278">
        <w:rPr>
          <w:rFonts w:eastAsia="Calibri"/>
          <w:lang w:eastAsia="en-US"/>
        </w:rPr>
        <w:t>zinātnisko institūciju attīstības stratēģijā noteikto attīstības projektu sociāli ekonomiskā pamatojuma un būvdarbu tehniskās dokumentācijas izstrāde.</w:t>
      </w:r>
    </w:p>
    <w:p w14:paraId="0A99D50B" w14:textId="77777777" w:rsidR="00C95968" w:rsidRPr="00C95968" w:rsidRDefault="00C95968" w:rsidP="00E7642A">
      <w:pPr>
        <w:pStyle w:val="Caption"/>
        <w:keepNext/>
        <w:spacing w:before="120" w:after="120"/>
        <w:jc w:val="right"/>
        <w:rPr>
          <w:sz w:val="24"/>
          <w:szCs w:val="24"/>
          <w:shd w:val="clear" w:color="auto" w:fill="D9D9D9" w:themeFill="background1" w:themeFillShade="D9"/>
        </w:rPr>
      </w:pPr>
      <w:r w:rsidRPr="00C95968">
        <w:rPr>
          <w:rFonts w:ascii="Times New Roman" w:hAnsi="Times New Roman"/>
          <w:color w:val="auto"/>
          <w:sz w:val="24"/>
          <w:szCs w:val="24"/>
        </w:rPr>
        <w:t xml:space="preserve">Tabula Nr. </w:t>
      </w:r>
      <w:r w:rsidR="00417751" w:rsidRPr="00C95968">
        <w:rPr>
          <w:rFonts w:ascii="Times New Roman" w:hAnsi="Times New Roman"/>
          <w:color w:val="auto"/>
          <w:sz w:val="24"/>
          <w:szCs w:val="24"/>
        </w:rPr>
        <w:fldChar w:fldCharType="begin"/>
      </w:r>
      <w:r w:rsidRPr="00C95968">
        <w:rPr>
          <w:rFonts w:ascii="Times New Roman" w:hAnsi="Times New Roman"/>
          <w:color w:val="auto"/>
          <w:sz w:val="24"/>
          <w:szCs w:val="24"/>
        </w:rPr>
        <w:instrText xml:space="preserve"> SEQ Tabula \* ARABIC </w:instrText>
      </w:r>
      <w:r w:rsidR="00417751" w:rsidRPr="00C95968">
        <w:rPr>
          <w:rFonts w:ascii="Times New Roman" w:hAnsi="Times New Roman"/>
          <w:color w:val="auto"/>
          <w:sz w:val="24"/>
          <w:szCs w:val="24"/>
        </w:rPr>
        <w:fldChar w:fldCharType="separate"/>
      </w:r>
      <w:r w:rsidR="00E7642A">
        <w:rPr>
          <w:rFonts w:ascii="Times New Roman" w:hAnsi="Times New Roman"/>
          <w:noProof/>
          <w:color w:val="auto"/>
          <w:sz w:val="24"/>
          <w:szCs w:val="24"/>
        </w:rPr>
        <w:t>8</w:t>
      </w:r>
      <w:r w:rsidR="00417751" w:rsidRPr="00C95968">
        <w:rPr>
          <w:rFonts w:ascii="Times New Roman" w:hAnsi="Times New Roman"/>
          <w:color w:val="auto"/>
          <w:sz w:val="24"/>
          <w:szCs w:val="24"/>
        </w:rPr>
        <w:fldChar w:fldCharType="end"/>
      </w:r>
    </w:p>
    <w:p w14:paraId="4A8EC88F" w14:textId="77777777" w:rsidR="00BF548B" w:rsidRPr="00C07278" w:rsidRDefault="00DC42AB" w:rsidP="00E7642A">
      <w:pPr>
        <w:pStyle w:val="NormalWeb"/>
        <w:spacing w:before="0" w:beforeAutospacing="0" w:after="200" w:afterAutospacing="0"/>
        <w:ind w:firstLine="567"/>
        <w:jc w:val="center"/>
        <w:rPr>
          <w:rFonts w:eastAsia="Calibri"/>
          <w:b/>
          <w:lang w:eastAsia="en-US"/>
        </w:rPr>
      </w:pPr>
      <w:r w:rsidRPr="00C07278">
        <w:rPr>
          <w:rFonts w:eastAsia="Calibri"/>
          <w:b/>
          <w:lang w:eastAsia="en-US"/>
        </w:rPr>
        <w:t>2.1.1.3.3.</w:t>
      </w:r>
      <w:r w:rsidR="00A36CEB">
        <w:rPr>
          <w:rFonts w:eastAsia="Calibri"/>
          <w:b/>
          <w:lang w:eastAsia="en-US"/>
        </w:rPr>
        <w:t> </w:t>
      </w:r>
      <w:r w:rsidRPr="00C07278">
        <w:rPr>
          <w:rFonts w:eastAsia="Calibri"/>
          <w:b/>
          <w:lang w:eastAsia="en-US"/>
        </w:rPr>
        <w:t>apakšaktivitātes</w:t>
      </w:r>
      <w:r w:rsidR="00C95968">
        <w:rPr>
          <w:rFonts w:eastAsia="Calibri"/>
          <w:b/>
          <w:lang w:eastAsia="en-US"/>
        </w:rPr>
        <w:t xml:space="preserve"> projektu</w:t>
      </w:r>
      <w:r w:rsidRPr="00C07278">
        <w:rPr>
          <w:rFonts w:eastAsia="Calibri"/>
          <w:b/>
          <w:lang w:eastAsia="en-US"/>
        </w:rPr>
        <w:t xml:space="preserve"> ietvaros </w:t>
      </w:r>
      <w:r w:rsidR="009A6B73" w:rsidRPr="00C07278">
        <w:rPr>
          <w:rFonts w:eastAsia="Calibri"/>
          <w:b/>
          <w:lang w:eastAsia="en-US"/>
        </w:rPr>
        <w:t>sasniegti</w:t>
      </w:r>
      <w:r w:rsidRPr="00C07278">
        <w:rPr>
          <w:rFonts w:eastAsia="Calibri"/>
          <w:b/>
          <w:lang w:eastAsia="en-US"/>
        </w:rPr>
        <w:t>e</w:t>
      </w:r>
      <w:r w:rsidR="009A6B73" w:rsidRPr="00C07278">
        <w:rPr>
          <w:rFonts w:eastAsia="Calibri"/>
          <w:b/>
          <w:lang w:eastAsia="en-US"/>
        </w:rPr>
        <w:t xml:space="preserve"> </w:t>
      </w:r>
      <w:r w:rsidR="00BF548B" w:rsidRPr="00C07278">
        <w:rPr>
          <w:rFonts w:eastAsia="Calibri"/>
          <w:b/>
          <w:lang w:eastAsia="en-US"/>
        </w:rPr>
        <w:t>rezultāt</w:t>
      </w:r>
      <w:r w:rsidR="00A06F28" w:rsidRPr="00C07278">
        <w:rPr>
          <w:rFonts w:eastAsia="Calibri"/>
          <w:b/>
          <w:lang w:eastAsia="en-US"/>
        </w:rPr>
        <w:t>i</w:t>
      </w:r>
    </w:p>
    <w:tbl>
      <w:tblPr>
        <w:tblStyle w:val="TableGrid"/>
        <w:tblW w:w="5000" w:type="pct"/>
        <w:tblLook w:val="04A0" w:firstRow="1" w:lastRow="0" w:firstColumn="1" w:lastColumn="0" w:noHBand="0" w:noVBand="1"/>
      </w:tblPr>
      <w:tblGrid>
        <w:gridCol w:w="6489"/>
        <w:gridCol w:w="1748"/>
      </w:tblGrid>
      <w:tr w:rsidR="009A6B73" w:rsidRPr="0096715F" w14:paraId="166B4E16" w14:textId="77777777" w:rsidTr="00846439">
        <w:tc>
          <w:tcPr>
            <w:tcW w:w="3939" w:type="pct"/>
            <w:shd w:val="clear" w:color="auto" w:fill="D9D9D9" w:themeFill="background1" w:themeFillShade="D9"/>
            <w:vAlign w:val="center"/>
          </w:tcPr>
          <w:p w14:paraId="62B0ED50" w14:textId="77777777" w:rsidR="009A6B73" w:rsidRPr="00846439" w:rsidRDefault="009A6B73" w:rsidP="00E7642A">
            <w:pPr>
              <w:pStyle w:val="NormalWeb"/>
              <w:spacing w:before="0" w:beforeAutospacing="0" w:after="0" w:afterAutospacing="0"/>
              <w:jc w:val="center"/>
              <w:rPr>
                <w:rFonts w:eastAsia="Calibri"/>
                <w:b/>
                <w:lang w:eastAsia="en-US"/>
              </w:rPr>
            </w:pPr>
            <w:r w:rsidRPr="00846439">
              <w:rPr>
                <w:rFonts w:eastAsia="Calibri"/>
                <w:b/>
                <w:lang w:eastAsia="en-US"/>
              </w:rPr>
              <w:t>Rezultāts</w:t>
            </w:r>
          </w:p>
        </w:tc>
        <w:tc>
          <w:tcPr>
            <w:tcW w:w="1061" w:type="pct"/>
            <w:shd w:val="clear" w:color="auto" w:fill="D9D9D9" w:themeFill="background1" w:themeFillShade="D9"/>
            <w:vAlign w:val="center"/>
          </w:tcPr>
          <w:p w14:paraId="388D0E53" w14:textId="77777777" w:rsidR="009A6B73" w:rsidRPr="00846439" w:rsidRDefault="009A6B73" w:rsidP="00E7642A">
            <w:pPr>
              <w:pStyle w:val="NormalWeb"/>
              <w:spacing w:before="0" w:beforeAutospacing="0" w:after="0" w:afterAutospacing="0"/>
              <w:jc w:val="center"/>
              <w:rPr>
                <w:rFonts w:eastAsia="Calibri"/>
                <w:b/>
                <w:lang w:eastAsia="en-US"/>
              </w:rPr>
            </w:pPr>
            <w:r w:rsidRPr="00846439">
              <w:rPr>
                <w:rFonts w:eastAsia="Calibri"/>
                <w:b/>
                <w:lang w:eastAsia="en-US"/>
              </w:rPr>
              <w:t>Sasniegtā vērtība</w:t>
            </w:r>
          </w:p>
        </w:tc>
      </w:tr>
      <w:tr w:rsidR="009A6B73" w:rsidRPr="003F1092" w14:paraId="1B5FAB1A" w14:textId="77777777" w:rsidTr="00846439">
        <w:trPr>
          <w:trHeight w:val="170"/>
        </w:trPr>
        <w:tc>
          <w:tcPr>
            <w:tcW w:w="3939" w:type="pct"/>
            <w:vAlign w:val="center"/>
          </w:tcPr>
          <w:p w14:paraId="2D9F63DB" w14:textId="77777777" w:rsidR="009A6B73" w:rsidRPr="002D7733" w:rsidRDefault="009A6B73" w:rsidP="00E7642A">
            <w:pPr>
              <w:pStyle w:val="NormalWeb"/>
              <w:spacing w:before="0" w:beforeAutospacing="0" w:after="0" w:afterAutospacing="0"/>
              <w:jc w:val="both"/>
              <w:rPr>
                <w:rFonts w:eastAsia="Calibri"/>
                <w:lang w:eastAsia="en-US"/>
              </w:rPr>
            </w:pPr>
            <w:r w:rsidRPr="002D7733">
              <w:rPr>
                <w:rFonts w:eastAsia="Calibri"/>
                <w:lang w:eastAsia="en-US"/>
              </w:rPr>
              <w:t>Reorganizēto zinātnisko institūciju skaits</w:t>
            </w:r>
          </w:p>
        </w:tc>
        <w:tc>
          <w:tcPr>
            <w:tcW w:w="1061" w:type="pct"/>
            <w:vAlign w:val="center"/>
          </w:tcPr>
          <w:p w14:paraId="56C6956F" w14:textId="77777777" w:rsidR="009A6B73" w:rsidRPr="002D7733" w:rsidRDefault="003C6682" w:rsidP="00E7642A">
            <w:pPr>
              <w:pStyle w:val="NormalWeb"/>
              <w:spacing w:before="0" w:beforeAutospacing="0" w:after="0" w:afterAutospacing="0"/>
              <w:jc w:val="center"/>
              <w:rPr>
                <w:rFonts w:eastAsia="Calibri"/>
                <w:lang w:eastAsia="en-US"/>
              </w:rPr>
            </w:pPr>
            <w:r w:rsidRPr="002D7733">
              <w:rPr>
                <w:rFonts w:eastAsia="Calibri"/>
                <w:lang w:eastAsia="en-US"/>
              </w:rPr>
              <w:t>14</w:t>
            </w:r>
          </w:p>
        </w:tc>
      </w:tr>
      <w:tr w:rsidR="009A6B73" w:rsidRPr="003F1092" w14:paraId="78E46322" w14:textId="77777777" w:rsidTr="00846439">
        <w:trPr>
          <w:trHeight w:val="276"/>
        </w:trPr>
        <w:tc>
          <w:tcPr>
            <w:tcW w:w="3939" w:type="pct"/>
            <w:vAlign w:val="center"/>
          </w:tcPr>
          <w:p w14:paraId="4033CDE0" w14:textId="77777777" w:rsidR="009A6B73" w:rsidRPr="002D7733" w:rsidRDefault="003C6682" w:rsidP="00E7642A">
            <w:pPr>
              <w:pStyle w:val="NormalWeb"/>
              <w:spacing w:before="0" w:beforeAutospacing="0" w:after="0" w:afterAutospacing="0"/>
              <w:jc w:val="both"/>
              <w:rPr>
                <w:rFonts w:eastAsia="Calibri"/>
                <w:lang w:eastAsia="en-US"/>
              </w:rPr>
            </w:pPr>
            <w:r w:rsidRPr="002D7733">
              <w:rPr>
                <w:rFonts w:eastAsia="Calibri"/>
                <w:lang w:eastAsia="en-US"/>
              </w:rPr>
              <w:t xml:space="preserve">No </w:t>
            </w:r>
            <w:r w:rsidR="00AF3E03">
              <w:rPr>
                <w:rFonts w:eastAsia="Calibri"/>
                <w:lang w:eastAsia="en-US"/>
              </w:rPr>
              <w:t>zinātnisko institūciju reģistra</w:t>
            </w:r>
            <w:r w:rsidR="00AF3E03" w:rsidRPr="002D7733">
              <w:rPr>
                <w:rFonts w:eastAsia="Calibri"/>
                <w:lang w:eastAsia="en-US"/>
              </w:rPr>
              <w:t xml:space="preserve"> </w:t>
            </w:r>
            <w:r w:rsidRPr="002D7733">
              <w:rPr>
                <w:rFonts w:eastAsia="Calibri"/>
                <w:lang w:eastAsia="en-US"/>
              </w:rPr>
              <w:t>svītroto zinātnisko institūciju skaits</w:t>
            </w:r>
          </w:p>
        </w:tc>
        <w:tc>
          <w:tcPr>
            <w:tcW w:w="1061" w:type="pct"/>
            <w:vAlign w:val="center"/>
          </w:tcPr>
          <w:p w14:paraId="1E6DE484" w14:textId="77777777" w:rsidR="009A6B73" w:rsidRPr="002D7733" w:rsidRDefault="005D505F" w:rsidP="00E7642A">
            <w:pPr>
              <w:pStyle w:val="NormalWeb"/>
              <w:spacing w:before="0" w:beforeAutospacing="0" w:after="0" w:afterAutospacing="0"/>
              <w:jc w:val="center"/>
              <w:rPr>
                <w:rFonts w:eastAsia="Calibri"/>
                <w:lang w:eastAsia="en-US"/>
              </w:rPr>
            </w:pPr>
            <w:r w:rsidRPr="002D7733">
              <w:rPr>
                <w:rFonts w:eastAsia="Calibri"/>
                <w:lang w:eastAsia="en-US"/>
              </w:rPr>
              <w:t>18</w:t>
            </w:r>
          </w:p>
        </w:tc>
      </w:tr>
      <w:tr w:rsidR="003C6682" w:rsidRPr="003F1092" w14:paraId="13C3FE06" w14:textId="77777777" w:rsidTr="00846439">
        <w:trPr>
          <w:trHeight w:val="276"/>
        </w:trPr>
        <w:tc>
          <w:tcPr>
            <w:tcW w:w="3939" w:type="pct"/>
            <w:vAlign w:val="center"/>
          </w:tcPr>
          <w:p w14:paraId="6CBBFE9E" w14:textId="77777777" w:rsidR="003C6682" w:rsidRPr="002D7733" w:rsidRDefault="003C6682" w:rsidP="00E7642A">
            <w:pPr>
              <w:pStyle w:val="NormalWeb"/>
              <w:spacing w:before="0" w:beforeAutospacing="0" w:after="0" w:afterAutospacing="0"/>
              <w:jc w:val="both"/>
              <w:rPr>
                <w:rFonts w:eastAsia="Calibri"/>
                <w:lang w:eastAsia="en-US"/>
              </w:rPr>
            </w:pPr>
            <w:r w:rsidRPr="002D7733">
              <w:rPr>
                <w:rFonts w:eastAsia="Calibri"/>
                <w:lang w:eastAsia="en-US"/>
              </w:rPr>
              <w:lastRenderedPageBreak/>
              <w:t>Reorganizācijas</w:t>
            </w:r>
            <w:r w:rsidR="00AF3E03">
              <w:rPr>
                <w:rFonts w:eastAsia="Calibri"/>
                <w:lang w:eastAsia="en-US"/>
              </w:rPr>
              <w:t> </w:t>
            </w:r>
            <w:r w:rsidRPr="002D7733">
              <w:rPr>
                <w:rFonts w:eastAsia="Calibri"/>
                <w:lang w:eastAsia="en-US"/>
              </w:rPr>
              <w:t>/</w:t>
            </w:r>
            <w:r w:rsidR="00AF3E03">
              <w:rPr>
                <w:rFonts w:eastAsia="Calibri"/>
                <w:lang w:eastAsia="en-US"/>
              </w:rPr>
              <w:t> </w:t>
            </w:r>
            <w:r w:rsidRPr="002D7733">
              <w:rPr>
                <w:rFonts w:eastAsia="Calibri"/>
                <w:lang w:eastAsia="en-US"/>
              </w:rPr>
              <w:t>likvidācijas rezultātā jaunizveidoto</w:t>
            </w:r>
            <w:r w:rsidR="005D505F" w:rsidRPr="002D7733">
              <w:rPr>
                <w:rFonts w:eastAsia="Calibri"/>
                <w:lang w:eastAsia="en-US"/>
              </w:rPr>
              <w:t xml:space="preserve"> un </w:t>
            </w:r>
            <w:r w:rsidR="00AF3E03">
              <w:rPr>
                <w:rFonts w:eastAsia="Calibri"/>
                <w:lang w:eastAsia="en-US"/>
              </w:rPr>
              <w:t>zinātnisko institūciju reģistrā</w:t>
            </w:r>
            <w:r w:rsidR="005D505F" w:rsidRPr="002D7733">
              <w:rPr>
                <w:rFonts w:eastAsia="Calibri"/>
                <w:lang w:eastAsia="en-US"/>
              </w:rPr>
              <w:t xml:space="preserve"> reģistrēto</w:t>
            </w:r>
            <w:r w:rsidRPr="002D7733">
              <w:rPr>
                <w:rFonts w:eastAsia="Calibri"/>
                <w:lang w:eastAsia="en-US"/>
              </w:rPr>
              <w:t xml:space="preserve"> zinātnisko institūciju skaits</w:t>
            </w:r>
          </w:p>
        </w:tc>
        <w:tc>
          <w:tcPr>
            <w:tcW w:w="1061" w:type="pct"/>
            <w:vAlign w:val="center"/>
          </w:tcPr>
          <w:p w14:paraId="0323E990" w14:textId="77777777" w:rsidR="003C6682" w:rsidRPr="002D7733" w:rsidRDefault="005D505F" w:rsidP="00E7642A">
            <w:pPr>
              <w:pStyle w:val="NormalWeb"/>
              <w:spacing w:before="0" w:beforeAutospacing="0" w:after="0" w:afterAutospacing="0"/>
              <w:jc w:val="center"/>
              <w:rPr>
                <w:rFonts w:eastAsia="Calibri"/>
                <w:lang w:eastAsia="en-US"/>
              </w:rPr>
            </w:pPr>
            <w:r w:rsidRPr="002D7733">
              <w:rPr>
                <w:rFonts w:eastAsia="Calibri"/>
                <w:lang w:eastAsia="en-US"/>
              </w:rPr>
              <w:t>2</w:t>
            </w:r>
          </w:p>
        </w:tc>
      </w:tr>
      <w:tr w:rsidR="009A6B73" w:rsidRPr="003F1092" w14:paraId="667F327A" w14:textId="77777777" w:rsidTr="00846439">
        <w:tc>
          <w:tcPr>
            <w:tcW w:w="3939" w:type="pct"/>
            <w:vAlign w:val="center"/>
          </w:tcPr>
          <w:p w14:paraId="60F4F54F" w14:textId="77777777" w:rsidR="009A6B73" w:rsidRPr="002D7733" w:rsidRDefault="009A6B73" w:rsidP="00E7642A">
            <w:pPr>
              <w:pStyle w:val="NormalWeb"/>
              <w:spacing w:before="0" w:beforeAutospacing="0" w:after="0" w:afterAutospacing="0"/>
              <w:jc w:val="both"/>
              <w:rPr>
                <w:rFonts w:eastAsia="Calibri"/>
                <w:lang w:eastAsia="en-US"/>
              </w:rPr>
            </w:pPr>
            <w:r w:rsidRPr="002D7733">
              <w:rPr>
                <w:rFonts w:eastAsia="Calibri"/>
                <w:lang w:eastAsia="en-US"/>
              </w:rPr>
              <w:t>Noslēgto mērķsadarbības līgumu skaits</w:t>
            </w:r>
          </w:p>
        </w:tc>
        <w:tc>
          <w:tcPr>
            <w:tcW w:w="1061" w:type="pct"/>
            <w:vAlign w:val="center"/>
          </w:tcPr>
          <w:p w14:paraId="3073D355" w14:textId="77777777" w:rsidR="009A6B73"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83</w:t>
            </w:r>
          </w:p>
        </w:tc>
      </w:tr>
      <w:tr w:rsidR="009A6B73" w:rsidRPr="003F1092" w14:paraId="4ED231C7" w14:textId="77777777" w:rsidTr="00846439">
        <w:tc>
          <w:tcPr>
            <w:tcW w:w="3939" w:type="pct"/>
            <w:vAlign w:val="center"/>
          </w:tcPr>
          <w:p w14:paraId="38C060EA" w14:textId="77777777" w:rsidR="009A6B73" w:rsidRPr="002D7733" w:rsidRDefault="009A6B73" w:rsidP="00E7642A">
            <w:pPr>
              <w:pStyle w:val="NormalWeb"/>
              <w:spacing w:before="0" w:beforeAutospacing="0" w:after="0" w:afterAutospacing="0"/>
              <w:jc w:val="both"/>
              <w:rPr>
                <w:rFonts w:eastAsia="Calibri"/>
                <w:lang w:eastAsia="en-US"/>
              </w:rPr>
            </w:pPr>
            <w:r w:rsidRPr="002D7733">
              <w:rPr>
                <w:rFonts w:eastAsia="Calibri"/>
                <w:lang w:eastAsia="en-US"/>
              </w:rPr>
              <w:t>Izstrādāto un EK ekspertu novērtēto zinātnisko institūciju pētniecības programmu skaits</w:t>
            </w:r>
          </w:p>
        </w:tc>
        <w:tc>
          <w:tcPr>
            <w:tcW w:w="1061" w:type="pct"/>
            <w:vAlign w:val="center"/>
          </w:tcPr>
          <w:p w14:paraId="4752CEBE" w14:textId="77777777" w:rsidR="009A6B73"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14</w:t>
            </w:r>
          </w:p>
        </w:tc>
      </w:tr>
      <w:tr w:rsidR="009A6B73" w:rsidRPr="003F1092" w14:paraId="22D4F80C" w14:textId="77777777" w:rsidTr="00846439">
        <w:tc>
          <w:tcPr>
            <w:tcW w:w="3939" w:type="pct"/>
            <w:vAlign w:val="center"/>
          </w:tcPr>
          <w:p w14:paraId="70CC8891" w14:textId="77777777" w:rsidR="009A6B73" w:rsidRPr="002D7733" w:rsidRDefault="009A6B73" w:rsidP="00E7642A">
            <w:pPr>
              <w:pStyle w:val="NormalWeb"/>
              <w:spacing w:before="0" w:beforeAutospacing="0" w:after="0" w:afterAutospacing="0"/>
              <w:jc w:val="both"/>
              <w:rPr>
                <w:rFonts w:eastAsia="Calibri"/>
                <w:lang w:eastAsia="en-US"/>
              </w:rPr>
            </w:pPr>
            <w:r w:rsidRPr="002D7733">
              <w:rPr>
                <w:rFonts w:eastAsia="Calibri"/>
                <w:lang w:eastAsia="en-US"/>
              </w:rPr>
              <w:t>Izstrādāto zinātnisko institūciju attīstības stratēģiju skaits</w:t>
            </w:r>
          </w:p>
        </w:tc>
        <w:tc>
          <w:tcPr>
            <w:tcW w:w="1061" w:type="pct"/>
            <w:vAlign w:val="center"/>
          </w:tcPr>
          <w:p w14:paraId="71A00461" w14:textId="77777777" w:rsidR="009A6B73"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14</w:t>
            </w:r>
          </w:p>
        </w:tc>
      </w:tr>
      <w:tr w:rsidR="009A6B73" w:rsidRPr="003F1092" w14:paraId="1B49521A" w14:textId="77777777" w:rsidTr="00846439">
        <w:tc>
          <w:tcPr>
            <w:tcW w:w="3939" w:type="pct"/>
            <w:vAlign w:val="center"/>
          </w:tcPr>
          <w:p w14:paraId="5F3CB31C" w14:textId="77777777" w:rsidR="009A6B73" w:rsidRPr="002D7733" w:rsidRDefault="009A6B73" w:rsidP="00E7642A">
            <w:pPr>
              <w:pStyle w:val="NormalWeb"/>
              <w:spacing w:before="0" w:beforeAutospacing="0" w:after="0" w:afterAutospacing="0"/>
              <w:jc w:val="both"/>
              <w:rPr>
                <w:rFonts w:eastAsia="Calibri"/>
                <w:lang w:eastAsia="en-US"/>
              </w:rPr>
            </w:pPr>
            <w:r w:rsidRPr="002D7733">
              <w:rPr>
                <w:rFonts w:eastAsia="Calibri"/>
                <w:lang w:eastAsia="en-US"/>
              </w:rPr>
              <w:t>Izstrādāto zinātnisko institūciju rezultātu vadības sistēmu skaits</w:t>
            </w:r>
          </w:p>
        </w:tc>
        <w:tc>
          <w:tcPr>
            <w:tcW w:w="1061" w:type="pct"/>
            <w:vAlign w:val="center"/>
          </w:tcPr>
          <w:p w14:paraId="36B00F57" w14:textId="77777777" w:rsidR="009A6B73"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14</w:t>
            </w:r>
          </w:p>
        </w:tc>
      </w:tr>
      <w:tr w:rsidR="009A6B73" w:rsidRPr="003F1092" w14:paraId="1FCAF45E" w14:textId="77777777" w:rsidTr="00846439">
        <w:tc>
          <w:tcPr>
            <w:tcW w:w="3939" w:type="pct"/>
            <w:vAlign w:val="center"/>
          </w:tcPr>
          <w:p w14:paraId="66DF6C96" w14:textId="77777777" w:rsidR="009A6B73" w:rsidRPr="002D7733" w:rsidRDefault="009A6B73" w:rsidP="00E7642A">
            <w:pPr>
              <w:pStyle w:val="NormalWeb"/>
              <w:spacing w:before="0" w:beforeAutospacing="0" w:after="0" w:afterAutospacing="0"/>
              <w:jc w:val="both"/>
              <w:rPr>
                <w:rFonts w:eastAsia="Calibri"/>
                <w:lang w:eastAsia="en-US"/>
              </w:rPr>
            </w:pPr>
            <w:r w:rsidRPr="002D7733">
              <w:rPr>
                <w:rFonts w:eastAsia="Calibri"/>
                <w:lang w:eastAsia="en-US"/>
              </w:rPr>
              <w:t>Pilnveidoto</w:t>
            </w:r>
            <w:r w:rsidR="00AF3E03">
              <w:rPr>
                <w:rFonts w:eastAsia="Calibri"/>
                <w:lang w:eastAsia="en-US"/>
              </w:rPr>
              <w:t> </w:t>
            </w:r>
            <w:r w:rsidRPr="002D7733">
              <w:rPr>
                <w:rFonts w:eastAsia="Calibri"/>
                <w:lang w:eastAsia="en-US"/>
              </w:rPr>
              <w:t>/</w:t>
            </w:r>
            <w:r w:rsidR="00AF3E03">
              <w:rPr>
                <w:rFonts w:eastAsia="Calibri"/>
                <w:lang w:eastAsia="en-US"/>
              </w:rPr>
              <w:t> </w:t>
            </w:r>
            <w:r w:rsidRPr="002D7733">
              <w:rPr>
                <w:rFonts w:eastAsia="Calibri"/>
                <w:lang w:eastAsia="en-US"/>
              </w:rPr>
              <w:t>iegādāto nemateriālo aktīvu, datu bāžu skaits</w:t>
            </w:r>
          </w:p>
        </w:tc>
        <w:tc>
          <w:tcPr>
            <w:tcW w:w="1061" w:type="pct"/>
            <w:vAlign w:val="center"/>
          </w:tcPr>
          <w:p w14:paraId="245598BA" w14:textId="77777777" w:rsidR="009A6B73"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165 vienības;</w:t>
            </w:r>
          </w:p>
          <w:p w14:paraId="02D0D012" w14:textId="77777777" w:rsidR="00923F71"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6 komplekti</w:t>
            </w:r>
          </w:p>
        </w:tc>
      </w:tr>
      <w:tr w:rsidR="009A6B73" w:rsidRPr="003F1092" w14:paraId="0D213E48" w14:textId="77777777" w:rsidTr="00846439">
        <w:tc>
          <w:tcPr>
            <w:tcW w:w="3939" w:type="pct"/>
            <w:vAlign w:val="center"/>
          </w:tcPr>
          <w:p w14:paraId="480D8BF9" w14:textId="77777777" w:rsidR="009A6B73" w:rsidRPr="002D7733" w:rsidRDefault="009A6B73" w:rsidP="00E7642A">
            <w:pPr>
              <w:pStyle w:val="NormalWeb"/>
              <w:spacing w:before="0" w:beforeAutospacing="0" w:after="0" w:afterAutospacing="0"/>
              <w:jc w:val="both"/>
              <w:rPr>
                <w:rFonts w:eastAsia="Calibri"/>
                <w:lang w:eastAsia="en-US"/>
              </w:rPr>
            </w:pPr>
            <w:r w:rsidRPr="002D7733">
              <w:rPr>
                <w:rFonts w:eastAsia="Calibri"/>
                <w:lang w:eastAsia="en-US"/>
              </w:rPr>
              <w:t>Pilnveidoto</w:t>
            </w:r>
            <w:r w:rsidR="00AF3E03">
              <w:rPr>
                <w:rFonts w:eastAsia="Calibri"/>
                <w:lang w:eastAsia="en-US"/>
              </w:rPr>
              <w:t> </w:t>
            </w:r>
            <w:r w:rsidRPr="002D7733">
              <w:rPr>
                <w:rFonts w:eastAsia="Calibri"/>
                <w:lang w:eastAsia="en-US"/>
              </w:rPr>
              <w:t>/</w:t>
            </w:r>
            <w:r w:rsidR="00AF3E03">
              <w:rPr>
                <w:rFonts w:eastAsia="Calibri"/>
                <w:lang w:eastAsia="en-US"/>
              </w:rPr>
              <w:t> </w:t>
            </w:r>
            <w:r w:rsidRPr="002D7733">
              <w:rPr>
                <w:rFonts w:eastAsia="Calibri"/>
                <w:lang w:eastAsia="en-US"/>
              </w:rPr>
              <w:t>iegādāto materiālo aktīvu skaits</w:t>
            </w:r>
          </w:p>
        </w:tc>
        <w:tc>
          <w:tcPr>
            <w:tcW w:w="1061" w:type="pct"/>
            <w:vAlign w:val="center"/>
          </w:tcPr>
          <w:p w14:paraId="4ABFA76C" w14:textId="77777777" w:rsidR="009A6B73"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897 vienības;</w:t>
            </w:r>
          </w:p>
          <w:p w14:paraId="3586BD84" w14:textId="77777777" w:rsidR="00923F71" w:rsidRPr="002D7733" w:rsidRDefault="00923F71" w:rsidP="00E7642A">
            <w:pPr>
              <w:pStyle w:val="NormalWeb"/>
              <w:spacing w:before="0" w:beforeAutospacing="0" w:after="0" w:afterAutospacing="0"/>
              <w:jc w:val="center"/>
              <w:rPr>
                <w:rFonts w:eastAsia="Calibri"/>
                <w:lang w:eastAsia="en-US"/>
              </w:rPr>
            </w:pPr>
            <w:r w:rsidRPr="002D7733">
              <w:rPr>
                <w:rFonts w:eastAsia="Calibri"/>
                <w:lang w:eastAsia="en-US"/>
              </w:rPr>
              <w:t>29 komplekti</w:t>
            </w:r>
          </w:p>
        </w:tc>
      </w:tr>
    </w:tbl>
    <w:p w14:paraId="4F5F1504" w14:textId="77777777" w:rsidR="00DC42AB" w:rsidRPr="00C95968" w:rsidRDefault="00DC42AB" w:rsidP="00E7642A">
      <w:pPr>
        <w:pStyle w:val="NormalWeb"/>
        <w:spacing w:before="0" w:beforeAutospacing="0" w:after="0" w:afterAutospacing="0"/>
        <w:rPr>
          <w:rFonts w:eastAsia="Calibri"/>
          <w:i/>
          <w:lang w:eastAsia="en-US"/>
        </w:rPr>
      </w:pPr>
      <w:r w:rsidRPr="00C95968">
        <w:rPr>
          <w:rFonts w:eastAsia="Calibri"/>
          <w:i/>
          <w:lang w:eastAsia="en-US"/>
        </w:rPr>
        <w:t>Datu avots: IZM</w:t>
      </w:r>
    </w:p>
    <w:p w14:paraId="0DB61186" w14:textId="77777777" w:rsidR="00665BB2" w:rsidRPr="00C07278" w:rsidRDefault="00665BB2" w:rsidP="00E7642A">
      <w:pPr>
        <w:pStyle w:val="NormalWeb"/>
        <w:spacing w:before="0" w:beforeAutospacing="0" w:after="0" w:afterAutospacing="0"/>
        <w:ind w:firstLine="567"/>
        <w:jc w:val="both"/>
        <w:rPr>
          <w:rFonts w:eastAsia="Calibri"/>
          <w:lang w:eastAsia="en-US"/>
        </w:rPr>
      </w:pPr>
    </w:p>
    <w:p w14:paraId="1CCAF7B5" w14:textId="77777777" w:rsidR="00133868" w:rsidRPr="00C07278" w:rsidRDefault="00665BB2" w:rsidP="00E7642A">
      <w:pPr>
        <w:pStyle w:val="NormalWeb"/>
        <w:spacing w:before="0" w:beforeAutospacing="0" w:after="0" w:afterAutospacing="0"/>
        <w:ind w:firstLine="567"/>
        <w:jc w:val="both"/>
        <w:rPr>
          <w:rFonts w:eastAsia="Calibri"/>
          <w:lang w:eastAsia="en-US"/>
        </w:rPr>
      </w:pPr>
      <w:r w:rsidRPr="002D7733">
        <w:t xml:space="preserve">Kā redzams </w:t>
      </w:r>
      <w:r w:rsidR="005163E5">
        <w:t>8. un 9.</w:t>
      </w:r>
      <w:r w:rsidR="00A36CEB">
        <w:t> </w:t>
      </w:r>
      <w:r w:rsidRPr="002D7733">
        <w:t>tabulā, 2.1.1.3.3.</w:t>
      </w:r>
      <w:r w:rsidR="00A36CEB">
        <w:t> </w:t>
      </w:r>
      <w:r w:rsidRPr="002D7733">
        <w:t xml:space="preserve">apakšaktivitātes „Zinātnisko institūciju institucionālās kapacitātes attīstība” īstenoto projektu ietvaros tika veikta 14 </w:t>
      </w:r>
      <w:r w:rsidR="002C0CA7">
        <w:t>zinātnisko institūciju</w:t>
      </w:r>
      <w:r w:rsidR="002C0CA7" w:rsidRPr="002D7733">
        <w:t xml:space="preserve"> </w:t>
      </w:r>
      <w:r w:rsidRPr="002D7733">
        <w:t xml:space="preserve">reģistrā reģistrēto zinātnisko institūciju reorganizācija un no </w:t>
      </w:r>
      <w:r w:rsidR="002C0CA7">
        <w:t>zinātnisko institūciju</w:t>
      </w:r>
      <w:r w:rsidR="002C0CA7" w:rsidRPr="002D7733">
        <w:t xml:space="preserve"> </w:t>
      </w:r>
      <w:r w:rsidR="002C0CA7">
        <w:t>reģistra</w:t>
      </w:r>
      <w:r w:rsidRPr="002D7733">
        <w:t xml:space="preserve"> svītrotas </w:t>
      </w:r>
      <w:r w:rsidR="005D505F" w:rsidRPr="002D7733">
        <w:t>18</w:t>
      </w:r>
      <w:r w:rsidRPr="002D7733">
        <w:t xml:space="preserve"> zinātniskās institūcijas. </w:t>
      </w:r>
      <w:r w:rsidR="002C0CA7">
        <w:t>2.1.1.3.3.</w:t>
      </w:r>
      <w:r w:rsidR="00AF3E03">
        <w:t> </w:t>
      </w:r>
      <w:r w:rsidR="002C0CA7">
        <w:t>apakšaktivitātes ietvaros</w:t>
      </w:r>
      <w:r w:rsidR="003F1092" w:rsidRPr="00B45979">
        <w:t xml:space="preserve"> </w:t>
      </w:r>
      <w:r w:rsidR="00384C7C" w:rsidRPr="002D7733">
        <w:t xml:space="preserve">LLU </w:t>
      </w:r>
      <w:r w:rsidR="00B45979" w:rsidRPr="002D7733">
        <w:t xml:space="preserve">reorganizēja </w:t>
      </w:r>
      <w:r w:rsidR="00384C7C" w:rsidRPr="002D7733">
        <w:t>deviņ</w:t>
      </w:r>
      <w:r w:rsidR="00B45979" w:rsidRPr="002D7733">
        <w:t>as</w:t>
      </w:r>
      <w:r w:rsidR="00384C7C" w:rsidRPr="002D7733">
        <w:t xml:space="preserve"> zinātnis</w:t>
      </w:r>
      <w:r w:rsidR="00B45979" w:rsidRPr="002D7733">
        <w:t>kās</w:t>
      </w:r>
      <w:r w:rsidR="00384C7C" w:rsidRPr="002D7733">
        <w:t xml:space="preserve"> institūcij</w:t>
      </w:r>
      <w:r w:rsidR="00B45979" w:rsidRPr="002D7733">
        <w:t>as</w:t>
      </w:r>
      <w:r w:rsidR="00384C7C" w:rsidRPr="002D7733">
        <w:t xml:space="preserve"> un uz reorganizēto institūtu bāzes izveidoj</w:t>
      </w:r>
      <w:r w:rsidR="003F1092" w:rsidRPr="002D7733">
        <w:t>a</w:t>
      </w:r>
      <w:r w:rsidR="00384C7C" w:rsidRPr="002D7733">
        <w:t xml:space="preserve"> divus jaunus zinātniskos institūtus kā LLU pārraudzībā esošas atvasinātās publiskās personas</w:t>
      </w:r>
      <w:r w:rsidR="003F1092" w:rsidRPr="002D7733">
        <w:t xml:space="preserve"> </w:t>
      </w:r>
      <w:r w:rsidR="0096715F">
        <w:t>–</w:t>
      </w:r>
      <w:r w:rsidR="003F1092" w:rsidRPr="002D7733">
        <w:t xml:space="preserve"> </w:t>
      </w:r>
      <w:r w:rsidR="00DF7520" w:rsidRPr="002D7733">
        <w:t>DI un AREI</w:t>
      </w:r>
      <w:r w:rsidR="00384C7C" w:rsidRPr="002D7733">
        <w:t xml:space="preserve">. Savukārt LU </w:t>
      </w:r>
      <w:r w:rsidR="00B45979" w:rsidRPr="002D7733">
        <w:t xml:space="preserve">reorganizēja </w:t>
      </w:r>
      <w:r w:rsidR="00384C7C" w:rsidRPr="002D7733">
        <w:t>septiņ</w:t>
      </w:r>
      <w:r w:rsidR="00B45979" w:rsidRPr="002D7733">
        <w:t>as</w:t>
      </w:r>
      <w:r w:rsidR="00384C7C" w:rsidRPr="002D7733">
        <w:t xml:space="preserve"> tās pārraudzībā esoš</w:t>
      </w:r>
      <w:r w:rsidR="00B45979" w:rsidRPr="002D7733">
        <w:t>as</w:t>
      </w:r>
      <w:r w:rsidR="00384C7C" w:rsidRPr="002D7733">
        <w:t xml:space="preserve"> aģentūr</w:t>
      </w:r>
      <w:r w:rsidR="00B45979" w:rsidRPr="002D7733">
        <w:t>as</w:t>
      </w:r>
      <w:r w:rsidR="00384C7C" w:rsidRPr="002D7733">
        <w:t xml:space="preserve">, iekļaujot sešas no tām </w:t>
      </w:r>
      <w:r w:rsidR="00DF7520" w:rsidRPr="002D7733">
        <w:t>LU sastāvā kā struktūrvienības, bet vienu</w:t>
      </w:r>
      <w:r w:rsidR="00B45979" w:rsidRPr="002D7733">
        <w:t xml:space="preserve"> </w:t>
      </w:r>
      <w:r w:rsidR="0096715F">
        <w:t>–</w:t>
      </w:r>
      <w:r w:rsidR="00DF7520" w:rsidRPr="002D7733">
        <w:t xml:space="preserve"> LU MII izveidojot kā LU pārraudzībā esošu atvasinātu publisku personu.</w:t>
      </w:r>
      <w:r w:rsidR="00B45979" w:rsidRPr="002D7733">
        <w:t xml:space="preserve"> RTU reorganizēja tās pārraudzībā </w:t>
      </w:r>
      <w:r w:rsidR="00B6324B" w:rsidRPr="002D7733">
        <w:t>esoš</w:t>
      </w:r>
      <w:r w:rsidR="00B6324B">
        <w:t>o</w:t>
      </w:r>
      <w:r w:rsidR="00B6324B" w:rsidRPr="002D7733">
        <w:t xml:space="preserve"> </w:t>
      </w:r>
      <w:r w:rsidR="00B6324B">
        <w:t>RTU NĶI,</w:t>
      </w:r>
      <w:r w:rsidR="00B45979" w:rsidRPr="002D7733">
        <w:t xml:space="preserve"> pārceļot </w:t>
      </w:r>
      <w:r w:rsidR="00B6324B">
        <w:t xml:space="preserve">to </w:t>
      </w:r>
      <w:r w:rsidR="00B45979" w:rsidRPr="002D7733">
        <w:t xml:space="preserve">no Salaspils uz Ķīpsalu. </w:t>
      </w:r>
    </w:p>
    <w:p w14:paraId="318D8CCF" w14:textId="02846B2D" w:rsidR="00C95968" w:rsidRPr="00C95968" w:rsidRDefault="00C95968" w:rsidP="00E7642A">
      <w:pPr>
        <w:pStyle w:val="Caption"/>
        <w:keepNext/>
        <w:jc w:val="right"/>
        <w:rPr>
          <w:sz w:val="24"/>
          <w:szCs w:val="24"/>
          <w:shd w:val="clear" w:color="auto" w:fill="D9D9D9" w:themeFill="background1" w:themeFillShade="D9"/>
        </w:rPr>
      </w:pPr>
      <w:r w:rsidRPr="00C95968">
        <w:rPr>
          <w:rFonts w:ascii="Times New Roman" w:hAnsi="Times New Roman"/>
          <w:color w:val="auto"/>
          <w:sz w:val="24"/>
          <w:szCs w:val="24"/>
        </w:rPr>
        <w:t xml:space="preserve">Tabula Nr. </w:t>
      </w:r>
      <w:r w:rsidR="00417751" w:rsidRPr="00C95968">
        <w:rPr>
          <w:rFonts w:ascii="Times New Roman" w:hAnsi="Times New Roman"/>
          <w:color w:val="auto"/>
          <w:sz w:val="24"/>
          <w:szCs w:val="24"/>
        </w:rPr>
        <w:fldChar w:fldCharType="begin"/>
      </w:r>
      <w:r w:rsidRPr="00C95968">
        <w:rPr>
          <w:rFonts w:ascii="Times New Roman" w:hAnsi="Times New Roman"/>
          <w:color w:val="auto"/>
          <w:sz w:val="24"/>
          <w:szCs w:val="24"/>
        </w:rPr>
        <w:instrText xml:space="preserve"> SEQ Tabula \* ARABIC </w:instrText>
      </w:r>
      <w:r w:rsidR="00417751" w:rsidRPr="00C95968">
        <w:rPr>
          <w:rFonts w:ascii="Times New Roman" w:hAnsi="Times New Roman"/>
          <w:color w:val="auto"/>
          <w:sz w:val="24"/>
          <w:szCs w:val="24"/>
        </w:rPr>
        <w:fldChar w:fldCharType="separate"/>
      </w:r>
      <w:r w:rsidR="00E7642A">
        <w:rPr>
          <w:rFonts w:ascii="Times New Roman" w:hAnsi="Times New Roman"/>
          <w:noProof/>
          <w:color w:val="auto"/>
          <w:sz w:val="24"/>
          <w:szCs w:val="24"/>
        </w:rPr>
        <w:t>9</w:t>
      </w:r>
      <w:r w:rsidR="00417751" w:rsidRPr="00C95968">
        <w:rPr>
          <w:rFonts w:ascii="Times New Roman" w:hAnsi="Times New Roman"/>
          <w:color w:val="auto"/>
          <w:sz w:val="24"/>
          <w:szCs w:val="24"/>
        </w:rPr>
        <w:fldChar w:fldCharType="end"/>
      </w:r>
    </w:p>
    <w:p w14:paraId="1E5FA191" w14:textId="77777777" w:rsidR="00713616" w:rsidRPr="00C07278" w:rsidRDefault="006E3013" w:rsidP="00E7642A">
      <w:pPr>
        <w:pStyle w:val="NormalWeb"/>
        <w:spacing w:before="0" w:beforeAutospacing="0" w:after="200" w:afterAutospacing="0"/>
        <w:ind w:firstLine="567"/>
        <w:jc w:val="center"/>
        <w:rPr>
          <w:rFonts w:eastAsia="Calibri"/>
          <w:sz w:val="22"/>
          <w:szCs w:val="22"/>
          <w:lang w:eastAsia="en-US"/>
        </w:rPr>
      </w:pPr>
      <w:r w:rsidRPr="00C07278">
        <w:rPr>
          <w:rFonts w:eastAsia="Calibri"/>
          <w:sz w:val="22"/>
          <w:szCs w:val="22"/>
          <w:lang w:eastAsia="en-US"/>
        </w:rPr>
        <w:t xml:space="preserve"> </w:t>
      </w:r>
      <w:r w:rsidR="00713616" w:rsidRPr="00C95968">
        <w:rPr>
          <w:rFonts w:eastAsia="Calibri"/>
          <w:b/>
          <w:lang w:eastAsia="en-US"/>
        </w:rPr>
        <w:t>2.1.1.3.3.</w:t>
      </w:r>
      <w:r w:rsidR="0096715F">
        <w:rPr>
          <w:rFonts w:eastAsia="Calibri"/>
          <w:b/>
          <w:lang w:eastAsia="en-US"/>
        </w:rPr>
        <w:t xml:space="preserve"> </w:t>
      </w:r>
      <w:r w:rsidR="00713616" w:rsidRPr="00C95968">
        <w:rPr>
          <w:rFonts w:eastAsia="Calibri"/>
          <w:b/>
          <w:lang w:eastAsia="en-US"/>
        </w:rPr>
        <w:t>apakšaktivitātes konsolidāciju rezultāti</w:t>
      </w:r>
    </w:p>
    <w:tbl>
      <w:tblPr>
        <w:tblStyle w:val="TableGrid"/>
        <w:tblW w:w="9067" w:type="dxa"/>
        <w:tblLayout w:type="fixed"/>
        <w:tblLook w:val="04A0" w:firstRow="1" w:lastRow="0" w:firstColumn="1" w:lastColumn="0" w:noHBand="0" w:noVBand="1"/>
      </w:tblPr>
      <w:tblGrid>
        <w:gridCol w:w="1413"/>
        <w:gridCol w:w="3544"/>
        <w:gridCol w:w="2551"/>
        <w:gridCol w:w="1559"/>
      </w:tblGrid>
      <w:tr w:rsidR="00AE50F9" w:rsidRPr="00B45979" w14:paraId="17CA17A8" w14:textId="77777777" w:rsidTr="00CB4854">
        <w:tc>
          <w:tcPr>
            <w:tcW w:w="1413" w:type="dxa"/>
            <w:shd w:val="clear" w:color="auto" w:fill="D9D9D9" w:themeFill="background1" w:themeFillShade="D9"/>
            <w:vAlign w:val="center"/>
          </w:tcPr>
          <w:p w14:paraId="55C5EC46" w14:textId="77777777" w:rsidR="00AE50F9" w:rsidRPr="00C95968" w:rsidRDefault="00AE50F9" w:rsidP="00E7642A">
            <w:pPr>
              <w:pStyle w:val="NormalWeb"/>
              <w:spacing w:before="0" w:beforeAutospacing="0" w:after="0" w:afterAutospacing="0"/>
              <w:jc w:val="center"/>
              <w:rPr>
                <w:rFonts w:eastAsia="Calibri"/>
                <w:b/>
                <w:sz w:val="22"/>
                <w:szCs w:val="22"/>
                <w:lang w:eastAsia="en-US"/>
              </w:rPr>
            </w:pPr>
            <w:r w:rsidRPr="00C95968">
              <w:rPr>
                <w:rFonts w:eastAsia="Calibri"/>
                <w:b/>
                <w:sz w:val="22"/>
                <w:szCs w:val="22"/>
                <w:lang w:eastAsia="en-US"/>
              </w:rPr>
              <w:t>Zinātniskā institūcija (projekta iesniedzējs)</w:t>
            </w:r>
          </w:p>
        </w:tc>
        <w:tc>
          <w:tcPr>
            <w:tcW w:w="3544" w:type="dxa"/>
            <w:shd w:val="clear" w:color="auto" w:fill="D9D9D9" w:themeFill="background1" w:themeFillShade="D9"/>
            <w:vAlign w:val="center"/>
          </w:tcPr>
          <w:p w14:paraId="250626E7" w14:textId="77777777" w:rsidR="00AE50F9" w:rsidRPr="00C95968" w:rsidRDefault="00AE50F9" w:rsidP="00E7642A">
            <w:pPr>
              <w:pStyle w:val="NormalWeb"/>
              <w:spacing w:before="0" w:beforeAutospacing="0" w:after="0" w:afterAutospacing="0"/>
              <w:jc w:val="center"/>
              <w:rPr>
                <w:rFonts w:eastAsia="Calibri"/>
                <w:b/>
                <w:sz w:val="22"/>
                <w:szCs w:val="22"/>
                <w:lang w:eastAsia="en-US"/>
              </w:rPr>
            </w:pPr>
            <w:r w:rsidRPr="00C95968">
              <w:rPr>
                <w:rFonts w:eastAsia="Calibri"/>
                <w:b/>
                <w:sz w:val="22"/>
                <w:szCs w:val="22"/>
                <w:lang w:eastAsia="en-US"/>
              </w:rPr>
              <w:t>Resursu konsolidācijas rezultāti</w:t>
            </w:r>
          </w:p>
        </w:tc>
        <w:tc>
          <w:tcPr>
            <w:tcW w:w="2551" w:type="dxa"/>
            <w:shd w:val="clear" w:color="auto" w:fill="D9D9D9" w:themeFill="background1" w:themeFillShade="D9"/>
            <w:vAlign w:val="center"/>
          </w:tcPr>
          <w:p w14:paraId="780F2DDA" w14:textId="77777777" w:rsidR="00AE50F9" w:rsidRPr="00C95968" w:rsidRDefault="00AE50F9" w:rsidP="00E7642A">
            <w:pPr>
              <w:pStyle w:val="NormalWeb"/>
              <w:spacing w:before="0" w:beforeAutospacing="0" w:after="0" w:afterAutospacing="0"/>
              <w:jc w:val="center"/>
              <w:rPr>
                <w:rFonts w:eastAsia="Calibri"/>
                <w:b/>
                <w:sz w:val="22"/>
                <w:szCs w:val="22"/>
                <w:lang w:eastAsia="en-US"/>
              </w:rPr>
            </w:pPr>
            <w:r w:rsidRPr="00C95968">
              <w:rPr>
                <w:rFonts w:eastAsia="Calibri"/>
                <w:b/>
                <w:sz w:val="22"/>
                <w:szCs w:val="22"/>
                <w:lang w:eastAsia="en-US"/>
              </w:rPr>
              <w:t>No ZIR izslēgto zinātnisko institūciju skaits</w:t>
            </w:r>
          </w:p>
        </w:tc>
        <w:tc>
          <w:tcPr>
            <w:tcW w:w="1559" w:type="dxa"/>
            <w:shd w:val="clear" w:color="auto" w:fill="D9D9D9" w:themeFill="background1" w:themeFillShade="D9"/>
            <w:vAlign w:val="center"/>
          </w:tcPr>
          <w:p w14:paraId="795EFE66" w14:textId="77777777" w:rsidR="0096715F" w:rsidRDefault="00AE50F9" w:rsidP="00E7642A">
            <w:pPr>
              <w:pStyle w:val="NormalWeb"/>
              <w:spacing w:before="0" w:beforeAutospacing="0" w:after="0" w:afterAutospacing="0"/>
              <w:jc w:val="center"/>
              <w:rPr>
                <w:rFonts w:eastAsia="Calibri"/>
                <w:b/>
                <w:sz w:val="22"/>
                <w:szCs w:val="22"/>
                <w:lang w:eastAsia="en-US"/>
              </w:rPr>
            </w:pPr>
            <w:r w:rsidRPr="00C95968">
              <w:rPr>
                <w:rFonts w:eastAsia="Calibri"/>
                <w:b/>
                <w:sz w:val="22"/>
                <w:szCs w:val="22"/>
                <w:lang w:eastAsia="en-US"/>
              </w:rPr>
              <w:t>2.1.1.3.3.</w:t>
            </w:r>
          </w:p>
          <w:p w14:paraId="4C529926" w14:textId="77777777" w:rsidR="00AE50F9" w:rsidRPr="00C95968" w:rsidRDefault="00B6324B" w:rsidP="00E7642A">
            <w:pPr>
              <w:pStyle w:val="NormalWeb"/>
              <w:spacing w:before="0" w:beforeAutospacing="0" w:after="0" w:afterAutospacing="0"/>
              <w:jc w:val="center"/>
              <w:rPr>
                <w:rFonts w:eastAsia="Calibri"/>
                <w:b/>
                <w:sz w:val="22"/>
                <w:szCs w:val="22"/>
                <w:lang w:eastAsia="en-US"/>
              </w:rPr>
            </w:pPr>
            <w:r>
              <w:rPr>
                <w:rFonts w:eastAsia="Calibri"/>
                <w:b/>
                <w:sz w:val="22"/>
                <w:szCs w:val="22"/>
                <w:lang w:eastAsia="en-US"/>
              </w:rPr>
              <w:t>a</w:t>
            </w:r>
            <w:r w:rsidR="00AE50F9" w:rsidRPr="00C95968">
              <w:rPr>
                <w:rFonts w:eastAsia="Calibri"/>
                <w:b/>
                <w:sz w:val="22"/>
                <w:szCs w:val="22"/>
                <w:lang w:eastAsia="en-US"/>
              </w:rPr>
              <w:t>pakšaktivitā</w:t>
            </w:r>
            <w:r w:rsidR="00846439">
              <w:rPr>
                <w:rFonts w:eastAsia="Calibri"/>
                <w:b/>
                <w:sz w:val="22"/>
                <w:szCs w:val="22"/>
                <w:lang w:eastAsia="en-US"/>
              </w:rPr>
              <w:t>-</w:t>
            </w:r>
            <w:r w:rsidR="00AE50F9" w:rsidRPr="00C95968">
              <w:rPr>
                <w:rFonts w:eastAsia="Calibri"/>
                <w:b/>
                <w:sz w:val="22"/>
                <w:szCs w:val="22"/>
                <w:lang w:eastAsia="en-US"/>
              </w:rPr>
              <w:t xml:space="preserve">tes ietvaros aprēķinātais pieejamais ERAF finansējums, </w:t>
            </w:r>
            <w:r w:rsidR="00AE50F9" w:rsidRPr="00C95968">
              <w:rPr>
                <w:rFonts w:eastAsia="Calibri"/>
                <w:b/>
                <w:i/>
                <w:sz w:val="22"/>
                <w:szCs w:val="22"/>
                <w:lang w:eastAsia="en-US"/>
              </w:rPr>
              <w:t>euro</w:t>
            </w:r>
          </w:p>
        </w:tc>
      </w:tr>
      <w:tr w:rsidR="00AE50F9" w:rsidRPr="00B45979" w14:paraId="336F36D4" w14:textId="77777777" w:rsidTr="00CB4854">
        <w:tc>
          <w:tcPr>
            <w:tcW w:w="1413" w:type="dxa"/>
          </w:tcPr>
          <w:p w14:paraId="3EFA3B22" w14:textId="77777777" w:rsidR="00AE50F9" w:rsidRPr="00B45979" w:rsidRDefault="00AE50F9" w:rsidP="00E7642A">
            <w:pPr>
              <w:pStyle w:val="NormalWeb"/>
              <w:spacing w:before="0" w:beforeAutospacing="0" w:after="0" w:afterAutospacing="0"/>
              <w:rPr>
                <w:rFonts w:eastAsia="Calibri"/>
                <w:sz w:val="22"/>
                <w:szCs w:val="22"/>
                <w:lang w:eastAsia="en-US"/>
              </w:rPr>
            </w:pPr>
            <w:r w:rsidRPr="00B45979">
              <w:rPr>
                <w:rFonts w:eastAsia="Calibri"/>
                <w:sz w:val="22"/>
                <w:szCs w:val="22"/>
                <w:lang w:eastAsia="en-US"/>
              </w:rPr>
              <w:t>LLU</w:t>
            </w:r>
          </w:p>
        </w:tc>
        <w:tc>
          <w:tcPr>
            <w:tcW w:w="3544" w:type="dxa"/>
          </w:tcPr>
          <w:p w14:paraId="20BB5C8C" w14:textId="77777777" w:rsidR="00AE50F9" w:rsidRPr="00B45979" w:rsidRDefault="00AE50F9" w:rsidP="00E7642A">
            <w:pPr>
              <w:pStyle w:val="NormalWeb"/>
              <w:numPr>
                <w:ilvl w:val="0"/>
                <w:numId w:val="4"/>
              </w:numPr>
              <w:spacing w:before="0" w:beforeAutospacing="0" w:after="0" w:afterAutospacing="0"/>
              <w:ind w:left="317" w:hanging="283"/>
              <w:rPr>
                <w:rFonts w:eastAsia="Calibri"/>
                <w:sz w:val="22"/>
                <w:szCs w:val="22"/>
                <w:lang w:eastAsia="en-US"/>
              </w:rPr>
            </w:pPr>
            <w:r w:rsidRPr="00B45979">
              <w:rPr>
                <w:rFonts w:eastAsia="Calibri"/>
                <w:sz w:val="22"/>
                <w:szCs w:val="22"/>
                <w:lang w:eastAsia="en-US"/>
              </w:rPr>
              <w:t xml:space="preserve">LVAI, PDPC un z/s “Vīnkoki” reorganizācija un jaunas </w:t>
            </w:r>
            <w:r w:rsidR="004E56E8" w:rsidRPr="002D7733">
              <w:rPr>
                <w:rFonts w:eastAsia="Calibri"/>
                <w:sz w:val="22"/>
                <w:szCs w:val="22"/>
                <w:lang w:eastAsia="en-US"/>
              </w:rPr>
              <w:t>LLU atvasinātas publiskas personas</w:t>
            </w:r>
            <w:r w:rsidRPr="002D7733">
              <w:rPr>
                <w:rFonts w:eastAsia="Calibri"/>
                <w:sz w:val="22"/>
                <w:szCs w:val="22"/>
                <w:lang w:eastAsia="en-US"/>
              </w:rPr>
              <w:t xml:space="preserve"> </w:t>
            </w:r>
            <w:r w:rsidR="00BA5ED7" w:rsidRPr="002D7733">
              <w:rPr>
                <w:rFonts w:eastAsia="Calibri"/>
                <w:sz w:val="22"/>
                <w:szCs w:val="22"/>
                <w:lang w:eastAsia="en-US"/>
              </w:rPr>
              <w:t xml:space="preserve">- </w:t>
            </w:r>
            <w:r w:rsidR="00BF7CA5" w:rsidRPr="002D7733">
              <w:rPr>
                <w:rFonts w:eastAsia="Calibri"/>
                <w:sz w:val="22"/>
                <w:szCs w:val="22"/>
                <w:lang w:eastAsia="en-US"/>
              </w:rPr>
              <w:t>DI</w:t>
            </w:r>
            <w:r w:rsidRPr="00B45979">
              <w:rPr>
                <w:rFonts w:eastAsia="Calibri"/>
                <w:sz w:val="22"/>
                <w:szCs w:val="22"/>
                <w:lang w:eastAsia="en-US"/>
              </w:rPr>
              <w:t xml:space="preserve"> izveide. </w:t>
            </w:r>
          </w:p>
          <w:p w14:paraId="4EDA2E7E" w14:textId="77777777" w:rsidR="00AE50F9" w:rsidRPr="00B45979" w:rsidRDefault="00AE50F9" w:rsidP="00E7642A">
            <w:pPr>
              <w:pStyle w:val="NormalWeb"/>
              <w:numPr>
                <w:ilvl w:val="0"/>
                <w:numId w:val="4"/>
              </w:numPr>
              <w:spacing w:before="0" w:beforeAutospacing="0" w:after="0" w:afterAutospacing="0"/>
              <w:ind w:left="317" w:hanging="283"/>
              <w:rPr>
                <w:rFonts w:eastAsia="Calibri"/>
                <w:sz w:val="22"/>
                <w:szCs w:val="22"/>
                <w:lang w:eastAsia="en-US"/>
              </w:rPr>
            </w:pPr>
            <w:r w:rsidRPr="00B45979">
              <w:rPr>
                <w:rFonts w:eastAsia="Calibri"/>
                <w:sz w:val="22"/>
                <w:szCs w:val="22"/>
                <w:lang w:eastAsia="en-US"/>
              </w:rPr>
              <w:t>VPLSI, VSGSI, LVAEI</w:t>
            </w:r>
            <w:r w:rsidR="00BF7CA5" w:rsidRPr="00B45979">
              <w:rPr>
                <w:rFonts w:eastAsia="Calibri"/>
                <w:sz w:val="22"/>
                <w:szCs w:val="22"/>
                <w:lang w:eastAsia="en-US"/>
              </w:rPr>
              <w:t xml:space="preserve"> un </w:t>
            </w:r>
            <w:r w:rsidRPr="00B45979">
              <w:rPr>
                <w:rFonts w:eastAsia="Calibri"/>
                <w:sz w:val="22"/>
                <w:szCs w:val="22"/>
                <w:lang w:eastAsia="en-US"/>
              </w:rPr>
              <w:t>LLZC</w:t>
            </w:r>
            <w:r w:rsidR="00BF7CA5" w:rsidRPr="00B45979">
              <w:rPr>
                <w:rFonts w:eastAsia="Calibri"/>
                <w:sz w:val="22"/>
                <w:szCs w:val="22"/>
                <w:lang w:eastAsia="en-US"/>
              </w:rPr>
              <w:t xml:space="preserve"> </w:t>
            </w:r>
            <w:r w:rsidR="00BF7CA5" w:rsidRPr="002D7733">
              <w:rPr>
                <w:rFonts w:eastAsia="Calibri"/>
                <w:sz w:val="22"/>
                <w:szCs w:val="22"/>
                <w:lang w:eastAsia="en-US"/>
              </w:rPr>
              <w:t xml:space="preserve">reorganizācija un jaunas </w:t>
            </w:r>
            <w:r w:rsidRPr="00B45979">
              <w:rPr>
                <w:rFonts w:eastAsia="Calibri"/>
                <w:sz w:val="22"/>
                <w:szCs w:val="22"/>
                <w:lang w:eastAsia="en-US"/>
              </w:rPr>
              <w:t>LLU pārraudzībā esoš</w:t>
            </w:r>
            <w:r w:rsidR="00BF7CA5" w:rsidRPr="00B45979">
              <w:rPr>
                <w:rFonts w:eastAsia="Calibri"/>
                <w:sz w:val="22"/>
                <w:szCs w:val="22"/>
                <w:lang w:eastAsia="en-US"/>
              </w:rPr>
              <w:t>as</w:t>
            </w:r>
            <w:r w:rsidRPr="00B45979">
              <w:rPr>
                <w:rFonts w:eastAsia="Calibri"/>
                <w:sz w:val="22"/>
                <w:szCs w:val="22"/>
                <w:lang w:eastAsia="en-US"/>
              </w:rPr>
              <w:t xml:space="preserve"> atvasināt</w:t>
            </w:r>
            <w:r w:rsidR="00BF7CA5" w:rsidRPr="00B45979">
              <w:rPr>
                <w:rFonts w:eastAsia="Calibri"/>
                <w:sz w:val="22"/>
                <w:szCs w:val="22"/>
                <w:lang w:eastAsia="en-US"/>
              </w:rPr>
              <w:t>as</w:t>
            </w:r>
            <w:r w:rsidRPr="00B45979">
              <w:rPr>
                <w:rFonts w:eastAsia="Calibri"/>
                <w:sz w:val="22"/>
                <w:szCs w:val="22"/>
                <w:lang w:eastAsia="en-US"/>
              </w:rPr>
              <w:t xml:space="preserve"> publisk</w:t>
            </w:r>
            <w:r w:rsidR="00BF7CA5" w:rsidRPr="00B45979">
              <w:rPr>
                <w:rFonts w:eastAsia="Calibri"/>
                <w:sz w:val="22"/>
                <w:szCs w:val="22"/>
                <w:lang w:eastAsia="en-US"/>
              </w:rPr>
              <w:t>as</w:t>
            </w:r>
            <w:r w:rsidRPr="00B45979">
              <w:rPr>
                <w:rFonts w:eastAsia="Calibri"/>
                <w:sz w:val="22"/>
                <w:szCs w:val="22"/>
                <w:lang w:eastAsia="en-US"/>
              </w:rPr>
              <w:t xml:space="preserve"> person</w:t>
            </w:r>
            <w:r w:rsidR="00BF7CA5" w:rsidRPr="00B45979">
              <w:rPr>
                <w:rFonts w:eastAsia="Calibri"/>
                <w:sz w:val="22"/>
                <w:szCs w:val="22"/>
                <w:lang w:eastAsia="en-US"/>
              </w:rPr>
              <w:t>as</w:t>
            </w:r>
            <w:r w:rsidRPr="00B45979">
              <w:rPr>
                <w:rFonts w:eastAsia="Calibri"/>
                <w:sz w:val="22"/>
                <w:szCs w:val="22"/>
                <w:lang w:eastAsia="en-US"/>
              </w:rPr>
              <w:t xml:space="preserve"> </w:t>
            </w:r>
            <w:r w:rsidR="00BA5ED7" w:rsidRPr="00B45979">
              <w:rPr>
                <w:rFonts w:eastAsia="Calibri"/>
                <w:sz w:val="22"/>
                <w:szCs w:val="22"/>
                <w:lang w:eastAsia="en-US"/>
              </w:rPr>
              <w:t xml:space="preserve">- </w:t>
            </w:r>
            <w:r w:rsidR="00BF7CA5" w:rsidRPr="002D7733">
              <w:rPr>
                <w:rFonts w:eastAsia="Calibri"/>
                <w:sz w:val="22"/>
                <w:szCs w:val="22"/>
                <w:lang w:eastAsia="en-US"/>
              </w:rPr>
              <w:t>AREI izveide.</w:t>
            </w:r>
          </w:p>
          <w:p w14:paraId="23366421" w14:textId="77777777" w:rsidR="00AE50F9" w:rsidRPr="00B45979" w:rsidRDefault="00BF7CA5" w:rsidP="00E7642A">
            <w:pPr>
              <w:pStyle w:val="NormalWeb"/>
              <w:numPr>
                <w:ilvl w:val="0"/>
                <w:numId w:val="4"/>
              </w:numPr>
              <w:spacing w:before="0" w:beforeAutospacing="0" w:after="0" w:afterAutospacing="0"/>
              <w:ind w:left="317" w:hanging="283"/>
              <w:rPr>
                <w:rFonts w:eastAsia="Calibri"/>
                <w:sz w:val="22"/>
                <w:szCs w:val="22"/>
                <w:lang w:eastAsia="en-US"/>
              </w:rPr>
            </w:pPr>
            <w:r w:rsidRPr="002D7733">
              <w:rPr>
                <w:rFonts w:eastAsia="Calibri"/>
                <w:sz w:val="22"/>
                <w:szCs w:val="22"/>
                <w:lang w:eastAsia="en-US"/>
              </w:rPr>
              <w:t>R</w:t>
            </w:r>
            <w:r w:rsidR="00AE50F9" w:rsidRPr="002D7733">
              <w:rPr>
                <w:rFonts w:eastAsia="Calibri"/>
                <w:sz w:val="22"/>
                <w:szCs w:val="22"/>
                <w:lang w:eastAsia="en-US"/>
              </w:rPr>
              <w:t>eorgani</w:t>
            </w:r>
            <w:r w:rsidRPr="002D7733">
              <w:rPr>
                <w:rFonts w:eastAsia="Calibri"/>
                <w:sz w:val="22"/>
                <w:szCs w:val="22"/>
                <w:lang w:eastAsia="en-US"/>
              </w:rPr>
              <w:t>zēts un LLU Tehniskās fakultātes sastāvā iekļauts</w:t>
            </w:r>
            <w:r w:rsidR="00AE50F9" w:rsidRPr="00B45979">
              <w:rPr>
                <w:rFonts w:eastAsia="Calibri"/>
                <w:sz w:val="22"/>
                <w:szCs w:val="22"/>
                <w:lang w:eastAsia="en-US"/>
              </w:rPr>
              <w:t xml:space="preserve"> LTZI</w:t>
            </w:r>
            <w:r w:rsidRPr="00B45979">
              <w:rPr>
                <w:rFonts w:eastAsia="Calibri"/>
                <w:sz w:val="22"/>
                <w:szCs w:val="22"/>
                <w:lang w:eastAsia="en-US"/>
              </w:rPr>
              <w:t>;</w:t>
            </w:r>
          </w:p>
          <w:p w14:paraId="78ABFCFC" w14:textId="77777777" w:rsidR="00AE50F9" w:rsidRPr="00B45979" w:rsidRDefault="00BF7CA5" w:rsidP="00E7642A">
            <w:pPr>
              <w:pStyle w:val="NormalWeb"/>
              <w:numPr>
                <w:ilvl w:val="0"/>
                <w:numId w:val="4"/>
              </w:numPr>
              <w:spacing w:before="0" w:beforeAutospacing="0" w:after="0" w:afterAutospacing="0"/>
              <w:ind w:left="317" w:hanging="283"/>
              <w:rPr>
                <w:rFonts w:eastAsia="Calibri"/>
                <w:sz w:val="22"/>
                <w:szCs w:val="22"/>
                <w:lang w:eastAsia="en-US"/>
              </w:rPr>
            </w:pPr>
            <w:r w:rsidRPr="002D7733">
              <w:rPr>
                <w:rFonts w:eastAsia="Calibri"/>
                <w:sz w:val="22"/>
                <w:szCs w:val="22"/>
                <w:lang w:eastAsia="en-US"/>
              </w:rPr>
              <w:t>reorganizēts</w:t>
            </w:r>
            <w:r w:rsidR="00AE50F9" w:rsidRPr="00B45979">
              <w:rPr>
                <w:rFonts w:eastAsia="Calibri"/>
                <w:sz w:val="22"/>
                <w:szCs w:val="22"/>
                <w:lang w:eastAsia="en-US"/>
              </w:rPr>
              <w:t xml:space="preserve"> ZZI</w:t>
            </w:r>
            <w:r w:rsidRPr="00B45979">
              <w:rPr>
                <w:rFonts w:eastAsia="Calibri"/>
                <w:sz w:val="22"/>
                <w:szCs w:val="22"/>
                <w:lang w:eastAsia="en-US"/>
              </w:rPr>
              <w:t>.</w:t>
            </w:r>
          </w:p>
        </w:tc>
        <w:tc>
          <w:tcPr>
            <w:tcW w:w="2551" w:type="dxa"/>
          </w:tcPr>
          <w:p w14:paraId="791535D2" w14:textId="77777777" w:rsidR="00BA5ED7" w:rsidRPr="00B45979" w:rsidRDefault="00AE50F9" w:rsidP="00E7642A">
            <w:pPr>
              <w:pStyle w:val="NormalWeb"/>
              <w:spacing w:before="0" w:beforeAutospacing="0" w:after="0" w:afterAutospacing="0"/>
              <w:jc w:val="both"/>
              <w:rPr>
                <w:rFonts w:eastAsia="Calibri"/>
                <w:sz w:val="22"/>
                <w:szCs w:val="22"/>
                <w:lang w:eastAsia="en-US"/>
              </w:rPr>
            </w:pPr>
            <w:r w:rsidRPr="00B45979">
              <w:rPr>
                <w:rFonts w:eastAsia="Calibri"/>
                <w:sz w:val="22"/>
                <w:szCs w:val="22"/>
                <w:lang w:eastAsia="en-US"/>
              </w:rPr>
              <w:t>9 zinātniskās institūcijas</w:t>
            </w:r>
            <w:r w:rsidR="00BA5ED7" w:rsidRPr="00B45979">
              <w:rPr>
                <w:rFonts w:eastAsia="Calibri"/>
                <w:sz w:val="22"/>
                <w:szCs w:val="22"/>
                <w:lang w:eastAsia="en-US"/>
              </w:rPr>
              <w:t>:</w:t>
            </w:r>
          </w:p>
          <w:p w14:paraId="3DBEB73E" w14:textId="77777777" w:rsidR="00BA5ED7" w:rsidRPr="002D7733" w:rsidRDefault="00BA5ED7" w:rsidP="00E7642A">
            <w:pPr>
              <w:pStyle w:val="NormalWeb"/>
              <w:spacing w:before="0" w:beforeAutospacing="0" w:after="0" w:afterAutospacing="0"/>
              <w:jc w:val="both"/>
              <w:rPr>
                <w:rFonts w:eastAsia="Calibri"/>
                <w:sz w:val="22"/>
                <w:szCs w:val="22"/>
                <w:lang w:eastAsia="en-US"/>
              </w:rPr>
            </w:pPr>
            <w:r w:rsidRPr="002D7733">
              <w:rPr>
                <w:rFonts w:eastAsia="Calibri"/>
                <w:sz w:val="22"/>
                <w:szCs w:val="22"/>
                <w:lang w:eastAsia="en-US"/>
              </w:rPr>
              <w:t>LVAI; PDPC, Z/s „Vīnkoki”, VPLSI, VSGSI, LVAEI, LLZC, LTZI, ZZI</w:t>
            </w:r>
            <w:r w:rsidR="00AE50F9" w:rsidRPr="002D7733">
              <w:rPr>
                <w:rFonts w:eastAsia="Calibri"/>
                <w:sz w:val="22"/>
                <w:szCs w:val="22"/>
                <w:lang w:eastAsia="en-US"/>
              </w:rPr>
              <w:t xml:space="preserve"> </w:t>
            </w:r>
          </w:p>
          <w:p w14:paraId="5888AC66" w14:textId="77777777" w:rsidR="00BA5ED7" w:rsidRPr="00B45979" w:rsidRDefault="00BA5ED7" w:rsidP="00E7642A">
            <w:pPr>
              <w:pStyle w:val="NormalWeb"/>
              <w:spacing w:before="0" w:beforeAutospacing="0" w:after="0" w:afterAutospacing="0"/>
              <w:jc w:val="both"/>
              <w:rPr>
                <w:rFonts w:eastAsia="Calibri"/>
                <w:sz w:val="22"/>
                <w:szCs w:val="22"/>
                <w:lang w:eastAsia="en-US"/>
              </w:rPr>
            </w:pPr>
          </w:p>
          <w:p w14:paraId="0E4AADF5" w14:textId="77777777" w:rsidR="00AE50F9" w:rsidRPr="00B45979" w:rsidRDefault="00BA5ED7" w:rsidP="00E7642A">
            <w:pPr>
              <w:pStyle w:val="NormalWeb"/>
              <w:spacing w:before="0" w:beforeAutospacing="0" w:after="0" w:afterAutospacing="0"/>
              <w:rPr>
                <w:rFonts w:eastAsia="Calibri"/>
                <w:sz w:val="22"/>
                <w:szCs w:val="22"/>
                <w:lang w:eastAsia="en-US"/>
              </w:rPr>
            </w:pPr>
            <w:r w:rsidRPr="002D7733">
              <w:rPr>
                <w:rFonts w:eastAsia="Calibri"/>
                <w:sz w:val="22"/>
                <w:szCs w:val="22"/>
                <w:lang w:eastAsia="en-US"/>
              </w:rPr>
              <w:t xml:space="preserve">Reorganizācijas </w:t>
            </w:r>
            <w:r w:rsidRPr="002D7733">
              <w:rPr>
                <w:rFonts w:eastAsia="Calibri"/>
                <w:lang w:eastAsia="en-US"/>
              </w:rPr>
              <w:t xml:space="preserve">rezultātā jaunizveidotas </w:t>
            </w:r>
            <w:r w:rsidR="00AE50F9" w:rsidRPr="00B45979">
              <w:rPr>
                <w:rFonts w:eastAsia="Calibri"/>
                <w:sz w:val="22"/>
                <w:szCs w:val="22"/>
                <w:lang w:eastAsia="en-US"/>
              </w:rPr>
              <w:t>2 zinātniskās institūcijas</w:t>
            </w:r>
            <w:r w:rsidRPr="00B45979">
              <w:rPr>
                <w:rFonts w:eastAsia="Calibri"/>
                <w:sz w:val="22"/>
                <w:szCs w:val="22"/>
                <w:lang w:eastAsia="en-US"/>
              </w:rPr>
              <w:t xml:space="preserve">: </w:t>
            </w:r>
            <w:r w:rsidRPr="002D7733">
              <w:rPr>
                <w:rFonts w:eastAsia="Calibri"/>
                <w:sz w:val="22"/>
                <w:szCs w:val="22"/>
                <w:lang w:eastAsia="en-US"/>
              </w:rPr>
              <w:t>DI; AREI</w:t>
            </w:r>
          </w:p>
        </w:tc>
        <w:tc>
          <w:tcPr>
            <w:tcW w:w="1559" w:type="dxa"/>
          </w:tcPr>
          <w:p w14:paraId="62004EDE" w14:textId="77777777" w:rsidR="00BC7F60" w:rsidRPr="00B45979" w:rsidRDefault="00AE50F9" w:rsidP="00E7642A">
            <w:pPr>
              <w:pStyle w:val="NormalWeb"/>
              <w:spacing w:before="0" w:beforeAutospacing="0" w:after="120" w:afterAutospacing="0"/>
              <w:jc w:val="center"/>
              <w:rPr>
                <w:rFonts w:eastAsia="Calibri"/>
                <w:lang w:eastAsia="en-US"/>
              </w:rPr>
            </w:pPr>
            <w:r w:rsidRPr="00B45979">
              <w:rPr>
                <w:rFonts w:eastAsia="Calibri"/>
                <w:lang w:eastAsia="en-US"/>
              </w:rPr>
              <w:t>1 305</w:t>
            </w:r>
            <w:r w:rsidR="00792B14" w:rsidRPr="00B45979">
              <w:rPr>
                <w:rFonts w:eastAsia="Calibri"/>
                <w:lang w:eastAsia="en-US"/>
              </w:rPr>
              <w:t> </w:t>
            </w:r>
            <w:r w:rsidRPr="00B45979">
              <w:rPr>
                <w:rFonts w:eastAsia="Calibri"/>
                <w:lang w:eastAsia="en-US"/>
              </w:rPr>
              <w:t>771</w:t>
            </w:r>
            <w:r w:rsidR="00792B14" w:rsidRPr="00B45979">
              <w:rPr>
                <w:rFonts w:eastAsia="Calibri"/>
                <w:lang w:eastAsia="en-US"/>
              </w:rPr>
              <w:t xml:space="preserve"> </w:t>
            </w:r>
          </w:p>
          <w:p w14:paraId="40DE83B3" w14:textId="77777777" w:rsidR="00AE50F9" w:rsidRPr="00B45979" w:rsidRDefault="00AE50F9" w:rsidP="00E7642A">
            <w:pPr>
              <w:pStyle w:val="NormalWeb"/>
              <w:spacing w:before="0" w:beforeAutospacing="0" w:after="0" w:afterAutospacing="0"/>
              <w:jc w:val="center"/>
              <w:rPr>
                <w:rFonts w:eastAsia="Calibri"/>
                <w:sz w:val="22"/>
                <w:szCs w:val="22"/>
                <w:lang w:eastAsia="en-US"/>
              </w:rPr>
            </w:pPr>
          </w:p>
        </w:tc>
      </w:tr>
      <w:tr w:rsidR="00AE50F9" w:rsidRPr="00B45979" w14:paraId="605AB812" w14:textId="77777777" w:rsidTr="00CB4854">
        <w:tc>
          <w:tcPr>
            <w:tcW w:w="1413" w:type="dxa"/>
          </w:tcPr>
          <w:p w14:paraId="4C9743D3" w14:textId="77777777" w:rsidR="00AE50F9" w:rsidRPr="00B45979" w:rsidRDefault="00AE50F9" w:rsidP="00E7642A">
            <w:pPr>
              <w:pStyle w:val="NormalWeb"/>
              <w:spacing w:before="0" w:beforeAutospacing="0" w:after="0" w:afterAutospacing="0"/>
              <w:rPr>
                <w:rFonts w:eastAsia="Calibri"/>
                <w:sz w:val="22"/>
                <w:szCs w:val="22"/>
                <w:lang w:eastAsia="en-US"/>
              </w:rPr>
            </w:pPr>
            <w:r w:rsidRPr="00B45979">
              <w:rPr>
                <w:rFonts w:eastAsia="Calibri"/>
                <w:sz w:val="22"/>
                <w:szCs w:val="22"/>
                <w:lang w:eastAsia="en-US"/>
              </w:rPr>
              <w:t>LU</w:t>
            </w:r>
          </w:p>
        </w:tc>
        <w:tc>
          <w:tcPr>
            <w:tcW w:w="3544" w:type="dxa"/>
          </w:tcPr>
          <w:p w14:paraId="6211C334" w14:textId="77777777" w:rsidR="005D505F" w:rsidRPr="00B45979" w:rsidRDefault="00BA5ED7" w:rsidP="00E7642A">
            <w:pPr>
              <w:pStyle w:val="NormalWeb"/>
              <w:numPr>
                <w:ilvl w:val="0"/>
                <w:numId w:val="15"/>
              </w:numPr>
              <w:spacing w:before="0" w:beforeAutospacing="0" w:after="0" w:afterAutospacing="0"/>
              <w:ind w:left="317" w:hanging="283"/>
              <w:rPr>
                <w:rFonts w:eastAsia="Calibri"/>
                <w:sz w:val="22"/>
                <w:szCs w:val="22"/>
                <w:lang w:eastAsia="en-US"/>
              </w:rPr>
            </w:pPr>
            <w:r w:rsidRPr="002D7733">
              <w:rPr>
                <w:rFonts w:eastAsia="Calibri"/>
                <w:sz w:val="22"/>
                <w:szCs w:val="22"/>
                <w:lang w:eastAsia="en-US"/>
              </w:rPr>
              <w:t>LU reorganizētās aģentūras:</w:t>
            </w:r>
            <w:r w:rsidRPr="00B45979">
              <w:rPr>
                <w:rFonts w:eastAsia="Calibri"/>
                <w:sz w:val="22"/>
                <w:szCs w:val="22"/>
                <w:lang w:eastAsia="en-US"/>
              </w:rPr>
              <w:t xml:space="preserve"> </w:t>
            </w:r>
            <w:r w:rsidR="00AE50F9" w:rsidRPr="00B45979">
              <w:rPr>
                <w:rFonts w:eastAsia="Calibri"/>
                <w:sz w:val="22"/>
                <w:szCs w:val="22"/>
                <w:lang w:eastAsia="en-US"/>
              </w:rPr>
              <w:t>LU BI, LU FI, LU FSI, LU LVaI, LU LVI, LU MII un LU PMI</w:t>
            </w:r>
            <w:r w:rsidRPr="00B45979">
              <w:rPr>
                <w:rFonts w:eastAsia="Calibri"/>
                <w:sz w:val="22"/>
                <w:szCs w:val="22"/>
                <w:lang w:eastAsia="en-US"/>
              </w:rPr>
              <w:t>.</w:t>
            </w:r>
          </w:p>
          <w:p w14:paraId="5E7A7BA7" w14:textId="77777777" w:rsidR="00AE50F9" w:rsidRPr="002D7733" w:rsidRDefault="00BA5ED7" w:rsidP="00E7642A">
            <w:pPr>
              <w:pStyle w:val="NormalWeb"/>
              <w:numPr>
                <w:ilvl w:val="0"/>
                <w:numId w:val="15"/>
              </w:numPr>
              <w:spacing w:before="0" w:beforeAutospacing="0" w:after="0" w:afterAutospacing="0"/>
              <w:ind w:left="317" w:hanging="283"/>
              <w:rPr>
                <w:rFonts w:eastAsia="Calibri"/>
                <w:sz w:val="22"/>
                <w:szCs w:val="22"/>
                <w:lang w:eastAsia="en-US"/>
              </w:rPr>
            </w:pPr>
            <w:r w:rsidRPr="002D7733">
              <w:rPr>
                <w:rFonts w:eastAsia="Calibri"/>
                <w:sz w:val="22"/>
                <w:szCs w:val="22"/>
                <w:lang w:eastAsia="en-US"/>
              </w:rPr>
              <w:t xml:space="preserve">LU reorganizētās iekšējās struktūrvienības: Eksperimentālās </w:t>
            </w:r>
            <w:r w:rsidRPr="002D7733">
              <w:rPr>
                <w:rFonts w:eastAsia="Calibri"/>
                <w:sz w:val="22"/>
                <w:szCs w:val="22"/>
                <w:lang w:eastAsia="en-US"/>
              </w:rPr>
              <w:lastRenderedPageBreak/>
              <w:t>un klīniskās medicīnas institūts, Kardioloģijas zinātniskais institūts.</w:t>
            </w:r>
          </w:p>
        </w:tc>
        <w:tc>
          <w:tcPr>
            <w:tcW w:w="2551" w:type="dxa"/>
          </w:tcPr>
          <w:p w14:paraId="1BE6A6BD" w14:textId="77777777" w:rsidR="00AE50F9" w:rsidRPr="002D7733" w:rsidRDefault="00DD45A3" w:rsidP="00E7642A">
            <w:pPr>
              <w:pStyle w:val="NormalWeb"/>
              <w:spacing w:before="0" w:beforeAutospacing="0" w:after="0" w:afterAutospacing="0"/>
              <w:jc w:val="both"/>
              <w:rPr>
                <w:rFonts w:eastAsia="Calibri"/>
                <w:sz w:val="22"/>
                <w:szCs w:val="22"/>
                <w:lang w:eastAsia="en-US"/>
              </w:rPr>
            </w:pPr>
            <w:r w:rsidRPr="002D7733">
              <w:rPr>
                <w:rFonts w:eastAsia="Calibri"/>
                <w:sz w:val="22"/>
                <w:szCs w:val="22"/>
                <w:lang w:eastAsia="en-US"/>
              </w:rPr>
              <w:lastRenderedPageBreak/>
              <w:t>6</w:t>
            </w:r>
            <w:r w:rsidRPr="00B45979">
              <w:rPr>
                <w:rFonts w:eastAsia="Calibri"/>
                <w:sz w:val="22"/>
                <w:szCs w:val="22"/>
                <w:lang w:eastAsia="en-US"/>
              </w:rPr>
              <w:t xml:space="preserve"> </w:t>
            </w:r>
            <w:r w:rsidR="00AE50F9" w:rsidRPr="00B45979">
              <w:rPr>
                <w:rFonts w:eastAsia="Calibri"/>
                <w:sz w:val="22"/>
                <w:szCs w:val="22"/>
                <w:lang w:eastAsia="en-US"/>
              </w:rPr>
              <w:t>zinātniskās institūcijas</w:t>
            </w:r>
            <w:r w:rsidR="00BA5ED7" w:rsidRPr="00B45979">
              <w:rPr>
                <w:rFonts w:eastAsia="Calibri"/>
                <w:sz w:val="22"/>
                <w:szCs w:val="22"/>
                <w:lang w:eastAsia="en-US"/>
              </w:rPr>
              <w:t xml:space="preserve"> </w:t>
            </w:r>
            <w:r w:rsidR="00BA5ED7" w:rsidRPr="002D7733">
              <w:rPr>
                <w:rFonts w:eastAsia="Calibri"/>
                <w:sz w:val="22"/>
                <w:szCs w:val="22"/>
                <w:lang w:eastAsia="en-US"/>
              </w:rPr>
              <w:t>saskaņā ar kļūšanu par LU struktūrvienībām:</w:t>
            </w:r>
          </w:p>
          <w:p w14:paraId="7A9757CE" w14:textId="77777777" w:rsidR="00BA5ED7" w:rsidRPr="00B45979" w:rsidRDefault="00BA5ED7" w:rsidP="00E7642A">
            <w:pPr>
              <w:pStyle w:val="NormalWeb"/>
              <w:spacing w:before="0" w:beforeAutospacing="0" w:after="0" w:afterAutospacing="0"/>
              <w:jc w:val="both"/>
              <w:rPr>
                <w:rFonts w:eastAsia="Calibri"/>
                <w:sz w:val="22"/>
                <w:szCs w:val="22"/>
                <w:lang w:eastAsia="en-US"/>
              </w:rPr>
            </w:pPr>
            <w:r w:rsidRPr="002D7733">
              <w:rPr>
                <w:rFonts w:eastAsia="Calibri"/>
                <w:sz w:val="22"/>
                <w:szCs w:val="22"/>
                <w:lang w:eastAsia="en-US"/>
              </w:rPr>
              <w:t>LU BI, LU FI, LU FSI, LU LVI, LU LVaI, LU PMI</w:t>
            </w:r>
          </w:p>
        </w:tc>
        <w:tc>
          <w:tcPr>
            <w:tcW w:w="1559" w:type="dxa"/>
          </w:tcPr>
          <w:p w14:paraId="1B106E0D" w14:textId="77777777" w:rsidR="00BC7F60" w:rsidRPr="00B45979" w:rsidRDefault="00BC7F60" w:rsidP="00E7642A">
            <w:pPr>
              <w:pStyle w:val="NormalWeb"/>
              <w:spacing w:before="0" w:beforeAutospacing="0" w:after="0" w:afterAutospacing="0"/>
              <w:jc w:val="center"/>
            </w:pPr>
            <w:r w:rsidRPr="00B45979">
              <w:rPr>
                <w:bCs/>
              </w:rPr>
              <w:t xml:space="preserve">3 475 464 </w:t>
            </w:r>
          </w:p>
        </w:tc>
      </w:tr>
      <w:tr w:rsidR="00AE50F9" w:rsidRPr="00B45979" w14:paraId="583ED28E" w14:textId="77777777" w:rsidTr="00CB4854">
        <w:tc>
          <w:tcPr>
            <w:tcW w:w="1413" w:type="dxa"/>
          </w:tcPr>
          <w:p w14:paraId="13547218" w14:textId="77777777" w:rsidR="00AE50F9" w:rsidRPr="00B45979" w:rsidRDefault="00AE50F9" w:rsidP="00E7642A">
            <w:pPr>
              <w:pStyle w:val="NormalWeb"/>
              <w:spacing w:before="0" w:beforeAutospacing="0" w:after="0" w:afterAutospacing="0"/>
              <w:rPr>
                <w:rFonts w:eastAsia="Calibri"/>
                <w:sz w:val="22"/>
                <w:szCs w:val="22"/>
                <w:lang w:eastAsia="en-US"/>
              </w:rPr>
            </w:pPr>
            <w:r w:rsidRPr="00B45979">
              <w:rPr>
                <w:rFonts w:eastAsia="Calibri"/>
                <w:sz w:val="22"/>
                <w:szCs w:val="22"/>
                <w:lang w:eastAsia="en-US"/>
              </w:rPr>
              <w:lastRenderedPageBreak/>
              <w:t>RTU</w:t>
            </w:r>
          </w:p>
        </w:tc>
        <w:tc>
          <w:tcPr>
            <w:tcW w:w="3544" w:type="dxa"/>
          </w:tcPr>
          <w:p w14:paraId="29A9B73F" w14:textId="77777777" w:rsidR="00AE50F9" w:rsidRPr="00B45979" w:rsidRDefault="00FF47BD" w:rsidP="00E7642A">
            <w:pPr>
              <w:pStyle w:val="NormalWeb"/>
              <w:spacing w:before="0" w:beforeAutospacing="0" w:after="0" w:afterAutospacing="0"/>
              <w:jc w:val="both"/>
              <w:rPr>
                <w:rFonts w:eastAsia="Calibri"/>
                <w:sz w:val="22"/>
                <w:szCs w:val="22"/>
                <w:lang w:eastAsia="en-US"/>
              </w:rPr>
            </w:pPr>
            <w:r w:rsidRPr="002D7733">
              <w:rPr>
                <w:rFonts w:eastAsia="Calibri"/>
                <w:sz w:val="22"/>
                <w:szCs w:val="22"/>
                <w:lang w:eastAsia="en-US"/>
              </w:rPr>
              <w:t xml:space="preserve">Reorganizēts </w:t>
            </w:r>
            <w:r w:rsidR="00AE50F9" w:rsidRPr="00B45979">
              <w:rPr>
                <w:rFonts w:eastAsia="Calibri"/>
                <w:sz w:val="22"/>
                <w:szCs w:val="22"/>
                <w:lang w:eastAsia="en-US"/>
              </w:rPr>
              <w:t>RTU NĶI</w:t>
            </w:r>
            <w:r w:rsidRPr="00B45979">
              <w:rPr>
                <w:rFonts w:eastAsia="Calibri"/>
                <w:sz w:val="22"/>
                <w:szCs w:val="22"/>
                <w:lang w:eastAsia="en-US"/>
              </w:rPr>
              <w:t xml:space="preserve">, </w:t>
            </w:r>
            <w:r w:rsidRPr="002D7733">
              <w:rPr>
                <w:rFonts w:eastAsia="Calibri"/>
                <w:sz w:val="22"/>
                <w:szCs w:val="22"/>
                <w:lang w:eastAsia="en-US"/>
              </w:rPr>
              <w:t xml:space="preserve">kas </w:t>
            </w:r>
            <w:r w:rsidR="00AE50F9" w:rsidRPr="002D7733">
              <w:rPr>
                <w:rFonts w:eastAsia="Calibri"/>
                <w:sz w:val="22"/>
                <w:szCs w:val="22"/>
                <w:lang w:eastAsia="en-US"/>
              </w:rPr>
              <w:t>iekļau</w:t>
            </w:r>
            <w:r w:rsidRPr="002D7733">
              <w:rPr>
                <w:rFonts w:eastAsia="Calibri"/>
                <w:sz w:val="22"/>
                <w:szCs w:val="22"/>
                <w:lang w:eastAsia="en-US"/>
              </w:rPr>
              <w:t>ts</w:t>
            </w:r>
            <w:r w:rsidR="00AE50F9" w:rsidRPr="002D7733">
              <w:rPr>
                <w:rFonts w:eastAsia="Calibri"/>
                <w:sz w:val="22"/>
                <w:szCs w:val="22"/>
                <w:lang w:eastAsia="en-US"/>
              </w:rPr>
              <w:t xml:space="preserve"> </w:t>
            </w:r>
            <w:r w:rsidR="00AE50F9" w:rsidRPr="00B45979">
              <w:rPr>
                <w:rFonts w:eastAsia="Calibri"/>
                <w:sz w:val="22"/>
                <w:szCs w:val="22"/>
                <w:lang w:eastAsia="en-US"/>
              </w:rPr>
              <w:t xml:space="preserve">RTU </w:t>
            </w:r>
            <w:r w:rsidR="00AE50F9" w:rsidRPr="00B45979">
              <w:rPr>
                <w:rFonts w:eastAsia="Calibri"/>
                <w:bCs/>
                <w:sz w:val="22"/>
                <w:szCs w:val="22"/>
                <w:lang w:eastAsia="en-US"/>
              </w:rPr>
              <w:t>Materiālzinātnes un lietišķās ķīmijas fakultātes sastāvā</w:t>
            </w:r>
            <w:r w:rsidRPr="00B45979">
              <w:rPr>
                <w:rFonts w:eastAsia="Calibri"/>
                <w:bCs/>
                <w:sz w:val="22"/>
                <w:szCs w:val="22"/>
                <w:lang w:eastAsia="en-US"/>
              </w:rPr>
              <w:t xml:space="preserve"> </w:t>
            </w:r>
            <w:r w:rsidRPr="002D7733">
              <w:rPr>
                <w:rFonts w:eastAsia="Calibri"/>
                <w:sz w:val="22"/>
                <w:szCs w:val="22"/>
                <w:lang w:eastAsia="en-US"/>
              </w:rPr>
              <w:t>kā Materiālzinātnes un lietišķās ķīmijas fakultātes Neorganiskās ķīmijas institūts.</w:t>
            </w:r>
          </w:p>
        </w:tc>
        <w:tc>
          <w:tcPr>
            <w:tcW w:w="2551" w:type="dxa"/>
          </w:tcPr>
          <w:p w14:paraId="6EE7AC06" w14:textId="77777777" w:rsidR="00AE50F9" w:rsidRPr="00B45979" w:rsidRDefault="00AE50F9" w:rsidP="00E7642A">
            <w:pPr>
              <w:pStyle w:val="NormalWeb"/>
              <w:spacing w:before="0" w:beforeAutospacing="0" w:after="0" w:afterAutospacing="0"/>
              <w:jc w:val="both"/>
              <w:rPr>
                <w:rFonts w:eastAsia="Calibri"/>
                <w:sz w:val="22"/>
                <w:szCs w:val="22"/>
                <w:lang w:eastAsia="en-US"/>
              </w:rPr>
            </w:pPr>
            <w:r w:rsidRPr="00B45979">
              <w:rPr>
                <w:rFonts w:eastAsia="Calibri"/>
                <w:sz w:val="22"/>
                <w:szCs w:val="22"/>
                <w:lang w:eastAsia="en-US"/>
              </w:rPr>
              <w:t>No ZIR tiks izslēgta 1 zinātniskā institūcija</w:t>
            </w:r>
            <w:r w:rsidR="00FF47BD" w:rsidRPr="00B45979">
              <w:rPr>
                <w:rFonts w:eastAsia="Calibri"/>
                <w:sz w:val="22"/>
                <w:szCs w:val="22"/>
                <w:lang w:eastAsia="en-US"/>
              </w:rPr>
              <w:t>:</w:t>
            </w:r>
          </w:p>
          <w:p w14:paraId="48BF4E9A" w14:textId="77777777" w:rsidR="00FF47BD" w:rsidRPr="002D7733" w:rsidRDefault="00FF47BD" w:rsidP="00E7642A">
            <w:pPr>
              <w:pStyle w:val="NormalWeb"/>
              <w:spacing w:before="0" w:beforeAutospacing="0" w:after="0" w:afterAutospacing="0"/>
              <w:rPr>
                <w:rFonts w:eastAsia="Calibri"/>
                <w:sz w:val="22"/>
                <w:szCs w:val="22"/>
                <w:lang w:eastAsia="en-US"/>
              </w:rPr>
            </w:pPr>
            <w:r w:rsidRPr="002D7733">
              <w:rPr>
                <w:rFonts w:eastAsia="Calibri"/>
                <w:sz w:val="22"/>
                <w:szCs w:val="22"/>
                <w:lang w:eastAsia="en-US"/>
              </w:rPr>
              <w:t>RTU NĶI</w:t>
            </w:r>
          </w:p>
        </w:tc>
        <w:tc>
          <w:tcPr>
            <w:tcW w:w="1559" w:type="dxa"/>
          </w:tcPr>
          <w:p w14:paraId="6E373D7D" w14:textId="77777777" w:rsidR="00AE50F9" w:rsidRPr="00B45979" w:rsidRDefault="00AB7AE9" w:rsidP="00E7642A">
            <w:pPr>
              <w:pStyle w:val="NormalWeb"/>
              <w:spacing w:before="0" w:beforeAutospacing="0" w:after="0" w:afterAutospacing="0"/>
              <w:jc w:val="center"/>
              <w:rPr>
                <w:rFonts w:eastAsia="Calibri"/>
                <w:sz w:val="22"/>
                <w:szCs w:val="22"/>
                <w:lang w:eastAsia="en-US"/>
              </w:rPr>
            </w:pPr>
            <w:r w:rsidRPr="00B45979">
              <w:rPr>
                <w:rFonts w:eastAsia="Calibri"/>
                <w:lang w:eastAsia="en-US"/>
              </w:rPr>
              <w:t>2 489 102</w:t>
            </w:r>
          </w:p>
        </w:tc>
      </w:tr>
      <w:tr w:rsidR="00AE50F9" w:rsidRPr="00B45979" w14:paraId="3F0ADA8A" w14:textId="77777777" w:rsidTr="00CB4854">
        <w:tc>
          <w:tcPr>
            <w:tcW w:w="1413" w:type="dxa"/>
          </w:tcPr>
          <w:p w14:paraId="7D206C05" w14:textId="77777777" w:rsidR="00AE50F9" w:rsidRPr="00B45979" w:rsidRDefault="00AE50F9" w:rsidP="00E7642A">
            <w:pPr>
              <w:pStyle w:val="NormalWeb"/>
              <w:spacing w:before="0" w:beforeAutospacing="0" w:after="0" w:afterAutospacing="0"/>
              <w:rPr>
                <w:rFonts w:eastAsia="Calibri"/>
                <w:sz w:val="22"/>
                <w:szCs w:val="22"/>
                <w:lang w:eastAsia="en-US"/>
              </w:rPr>
            </w:pPr>
            <w:r w:rsidRPr="00B45979">
              <w:rPr>
                <w:rFonts w:eastAsia="Calibri"/>
                <w:sz w:val="22"/>
                <w:szCs w:val="22"/>
                <w:lang w:eastAsia="en-US"/>
              </w:rPr>
              <w:t>VeA</w:t>
            </w:r>
          </w:p>
        </w:tc>
        <w:tc>
          <w:tcPr>
            <w:tcW w:w="3544" w:type="dxa"/>
          </w:tcPr>
          <w:p w14:paraId="5FDD053C" w14:textId="77777777" w:rsidR="00AE50F9" w:rsidRPr="00B45979" w:rsidRDefault="00F00CFF" w:rsidP="00E7642A">
            <w:pPr>
              <w:pStyle w:val="NormalWeb"/>
              <w:spacing w:before="0" w:beforeAutospacing="0" w:after="0" w:afterAutospacing="0"/>
              <w:jc w:val="both"/>
              <w:rPr>
                <w:rFonts w:eastAsia="Calibri"/>
                <w:sz w:val="22"/>
                <w:szCs w:val="22"/>
                <w:lang w:eastAsia="en-US"/>
              </w:rPr>
            </w:pPr>
            <w:r w:rsidRPr="002D7733">
              <w:rPr>
                <w:rFonts w:eastAsia="Calibri"/>
                <w:sz w:val="22"/>
                <w:szCs w:val="22"/>
                <w:lang w:eastAsia="en-US"/>
              </w:rPr>
              <w:t>Izveidoti</w:t>
            </w:r>
            <w:r w:rsidR="00AE50F9" w:rsidRPr="00B45979">
              <w:rPr>
                <w:rFonts w:eastAsia="Calibri"/>
                <w:sz w:val="22"/>
                <w:szCs w:val="22"/>
                <w:lang w:eastAsia="en-US"/>
              </w:rPr>
              <w:t xml:space="preserve"> div</w:t>
            </w:r>
            <w:r w:rsidRPr="00B45979">
              <w:rPr>
                <w:rFonts w:eastAsia="Calibri"/>
                <w:sz w:val="22"/>
                <w:szCs w:val="22"/>
                <w:lang w:eastAsia="en-US"/>
              </w:rPr>
              <w:t>i</w:t>
            </w:r>
            <w:r w:rsidR="00AE50F9" w:rsidRPr="00B45979">
              <w:rPr>
                <w:rFonts w:eastAsia="Calibri"/>
                <w:sz w:val="22"/>
                <w:szCs w:val="22"/>
                <w:lang w:eastAsia="en-US"/>
              </w:rPr>
              <w:t xml:space="preserve"> VeA studiju un zinātniskās pētniecības centr</w:t>
            </w:r>
            <w:r w:rsidRPr="00B45979">
              <w:rPr>
                <w:rFonts w:eastAsia="Calibri"/>
                <w:sz w:val="22"/>
                <w:szCs w:val="22"/>
                <w:lang w:eastAsia="en-US"/>
              </w:rPr>
              <w:t>i</w:t>
            </w:r>
            <w:r w:rsidR="005D505F" w:rsidRPr="00B45979">
              <w:rPr>
                <w:rFonts w:eastAsia="Calibri"/>
                <w:sz w:val="22"/>
                <w:szCs w:val="22"/>
                <w:lang w:eastAsia="en-US"/>
              </w:rPr>
              <w:t xml:space="preserve">, </w:t>
            </w:r>
            <w:r w:rsidR="005D505F" w:rsidRPr="002D7733">
              <w:rPr>
                <w:rFonts w:eastAsia="Calibri"/>
                <w:sz w:val="22"/>
                <w:szCs w:val="22"/>
                <w:lang w:eastAsia="en-US"/>
              </w:rPr>
              <w:t>kā VeA iekšējās struktūrvienības</w:t>
            </w:r>
            <w:r w:rsidR="00AE50F9" w:rsidRPr="00B45979">
              <w:rPr>
                <w:rFonts w:eastAsia="Calibri"/>
                <w:sz w:val="22"/>
                <w:szCs w:val="22"/>
                <w:lang w:eastAsia="en-US"/>
              </w:rPr>
              <w:t xml:space="preserve">: </w:t>
            </w:r>
          </w:p>
          <w:p w14:paraId="3D1EADBB" w14:textId="77777777" w:rsidR="005D505F" w:rsidRPr="007C0E47" w:rsidRDefault="00F00CFF" w:rsidP="00E7642A">
            <w:pPr>
              <w:pStyle w:val="NormalWeb"/>
              <w:numPr>
                <w:ilvl w:val="0"/>
                <w:numId w:val="5"/>
              </w:numPr>
              <w:spacing w:before="0" w:beforeAutospacing="0" w:after="0" w:afterAutospacing="0"/>
              <w:ind w:left="317" w:hanging="283"/>
              <w:jc w:val="both"/>
              <w:rPr>
                <w:rFonts w:eastAsia="Calibri"/>
                <w:sz w:val="22"/>
                <w:szCs w:val="22"/>
                <w:lang w:eastAsia="en-US"/>
              </w:rPr>
            </w:pPr>
            <w:r w:rsidRPr="002D7733">
              <w:rPr>
                <w:rFonts w:eastAsia="Calibri"/>
                <w:sz w:val="22"/>
                <w:szCs w:val="22"/>
                <w:lang w:eastAsia="en-US"/>
              </w:rPr>
              <w:t>VeA</w:t>
            </w:r>
            <w:r w:rsidR="005D505F" w:rsidRPr="002D7733">
              <w:rPr>
                <w:rFonts w:eastAsia="Calibri"/>
                <w:sz w:val="22"/>
                <w:szCs w:val="22"/>
                <w:lang w:eastAsia="en-US"/>
              </w:rPr>
              <w:t xml:space="preserve"> Viedo tehnoloģiju pētniecības centrs un</w:t>
            </w:r>
            <w:r w:rsidR="00AE50F9" w:rsidRPr="00B45979">
              <w:rPr>
                <w:rFonts w:eastAsia="Calibri"/>
                <w:sz w:val="22"/>
                <w:szCs w:val="22"/>
                <w:lang w:eastAsia="en-US"/>
              </w:rPr>
              <w:t xml:space="preserve"> tā sastāvā iekļau</w:t>
            </w:r>
            <w:r w:rsidR="005D505F" w:rsidRPr="00B45979">
              <w:rPr>
                <w:rFonts w:eastAsia="Calibri"/>
                <w:sz w:val="22"/>
                <w:szCs w:val="22"/>
                <w:lang w:eastAsia="en-US"/>
              </w:rPr>
              <w:t>ts</w:t>
            </w:r>
            <w:r w:rsidR="00AE50F9" w:rsidRPr="00B45979">
              <w:rPr>
                <w:rFonts w:eastAsia="Calibri"/>
                <w:sz w:val="22"/>
                <w:szCs w:val="22"/>
                <w:lang w:eastAsia="en-US"/>
              </w:rPr>
              <w:t xml:space="preserve"> </w:t>
            </w:r>
            <w:r w:rsidR="007C0E47" w:rsidRPr="009D06D2">
              <w:rPr>
                <w:rFonts w:eastAsia="Calibri"/>
                <w:sz w:val="22"/>
                <w:szCs w:val="22"/>
                <w:lang w:eastAsia="en-US"/>
              </w:rPr>
              <w:t>Informācijas sistēmu menedžmenta augstskola</w:t>
            </w:r>
            <w:r w:rsidR="007C0E47">
              <w:rPr>
                <w:rFonts w:eastAsia="Calibri"/>
                <w:sz w:val="22"/>
                <w:szCs w:val="22"/>
                <w:lang w:eastAsia="en-US"/>
              </w:rPr>
              <w:t>s (</w:t>
            </w:r>
            <w:r w:rsidR="00AE50F9" w:rsidRPr="007C0E47">
              <w:rPr>
                <w:rFonts w:eastAsia="Calibri"/>
                <w:sz w:val="22"/>
                <w:szCs w:val="22"/>
                <w:lang w:eastAsia="en-US"/>
              </w:rPr>
              <w:t>ISMA</w:t>
            </w:r>
            <w:r w:rsidR="007C0E47">
              <w:rPr>
                <w:rFonts w:eastAsia="Calibri"/>
                <w:sz w:val="22"/>
                <w:szCs w:val="22"/>
                <w:lang w:eastAsia="en-US"/>
              </w:rPr>
              <w:t>)</w:t>
            </w:r>
            <w:r w:rsidR="00AE50F9" w:rsidRPr="007C0E47">
              <w:rPr>
                <w:rFonts w:eastAsia="Calibri"/>
                <w:sz w:val="22"/>
                <w:szCs w:val="22"/>
                <w:lang w:eastAsia="en-US"/>
              </w:rPr>
              <w:t xml:space="preserve"> </w:t>
            </w:r>
            <w:r w:rsidR="007C0E47">
              <w:rPr>
                <w:rFonts w:eastAsia="Calibri"/>
                <w:sz w:val="22"/>
                <w:szCs w:val="22"/>
                <w:lang w:eastAsia="en-US"/>
              </w:rPr>
              <w:t>Datortehnoloģiju institūts</w:t>
            </w:r>
            <w:r w:rsidR="00CB4854">
              <w:rPr>
                <w:rFonts w:eastAsia="Calibri"/>
                <w:sz w:val="22"/>
                <w:szCs w:val="22"/>
                <w:lang w:eastAsia="en-US"/>
              </w:rPr>
              <w:t>,</w:t>
            </w:r>
            <w:r w:rsidR="005D505F" w:rsidRPr="007C0E47">
              <w:rPr>
                <w:rFonts w:eastAsia="Calibri"/>
                <w:sz w:val="22"/>
                <w:szCs w:val="22"/>
                <w:lang w:eastAsia="en-US"/>
              </w:rPr>
              <w:t xml:space="preserve"> kā arī reorganizēts un  Viedo tehnoloģiju pētniecības centra sastāvā iekļauts VeA Lietišķās valodniecības centrs.</w:t>
            </w:r>
          </w:p>
          <w:p w14:paraId="5CFBBE17" w14:textId="77777777" w:rsidR="00AE50F9" w:rsidRPr="002D7733" w:rsidRDefault="009A6285" w:rsidP="00E7642A">
            <w:pPr>
              <w:pStyle w:val="NormalWeb"/>
              <w:numPr>
                <w:ilvl w:val="0"/>
                <w:numId w:val="5"/>
              </w:numPr>
              <w:spacing w:before="0" w:beforeAutospacing="0" w:after="0" w:afterAutospacing="0"/>
              <w:ind w:left="317" w:hanging="283"/>
              <w:jc w:val="both"/>
              <w:rPr>
                <w:rFonts w:eastAsia="Calibri"/>
                <w:sz w:val="22"/>
                <w:szCs w:val="22"/>
                <w:lang w:eastAsia="en-US"/>
              </w:rPr>
            </w:pPr>
            <w:r>
              <w:rPr>
                <w:rFonts w:eastAsia="Calibri"/>
                <w:sz w:val="22"/>
                <w:szCs w:val="22"/>
                <w:lang w:eastAsia="en-US"/>
              </w:rPr>
              <w:t xml:space="preserve">VeA </w:t>
            </w:r>
            <w:r w:rsidR="00F00CFF" w:rsidRPr="002D7733">
              <w:rPr>
                <w:rFonts w:eastAsia="Calibri"/>
                <w:sz w:val="22"/>
                <w:szCs w:val="22"/>
                <w:lang w:eastAsia="en-US"/>
              </w:rPr>
              <w:t>Uzņēmējdarbības, inovāciju un reģionālās attīstības centra sastāvā</w:t>
            </w:r>
            <w:r w:rsidR="00AE50F9" w:rsidRPr="002D7733">
              <w:rPr>
                <w:rFonts w:eastAsia="Calibri"/>
                <w:sz w:val="22"/>
                <w:szCs w:val="22"/>
                <w:lang w:eastAsia="en-US"/>
              </w:rPr>
              <w:t xml:space="preserve"> iekļa</w:t>
            </w:r>
            <w:r w:rsidR="00F00CFF" w:rsidRPr="002D7733">
              <w:rPr>
                <w:rFonts w:eastAsia="Calibri"/>
                <w:sz w:val="22"/>
                <w:szCs w:val="22"/>
                <w:lang w:eastAsia="en-US"/>
              </w:rPr>
              <w:t xml:space="preserve">uts </w:t>
            </w:r>
            <w:r w:rsidR="00AE50F9" w:rsidRPr="002D7733">
              <w:rPr>
                <w:rFonts w:eastAsia="Calibri"/>
                <w:sz w:val="22"/>
                <w:szCs w:val="22"/>
                <w:lang w:eastAsia="en-US"/>
              </w:rPr>
              <w:t xml:space="preserve">ISMA </w:t>
            </w:r>
            <w:r w:rsidR="00CB4854">
              <w:rPr>
                <w:rFonts w:eastAsia="Calibri"/>
                <w:sz w:val="22"/>
                <w:szCs w:val="22"/>
                <w:lang w:eastAsia="en-US"/>
              </w:rPr>
              <w:t>Biznesa institūts</w:t>
            </w:r>
            <w:r w:rsidR="00AE50F9" w:rsidRPr="002D7733">
              <w:rPr>
                <w:rFonts w:eastAsia="Calibri"/>
                <w:sz w:val="22"/>
                <w:szCs w:val="22"/>
                <w:lang w:eastAsia="en-US"/>
              </w:rPr>
              <w:t>.</w:t>
            </w:r>
          </w:p>
        </w:tc>
        <w:tc>
          <w:tcPr>
            <w:tcW w:w="2551" w:type="dxa"/>
          </w:tcPr>
          <w:p w14:paraId="40B86C6B" w14:textId="77777777" w:rsidR="00AE50F9" w:rsidRPr="00B45979" w:rsidRDefault="00AE50F9" w:rsidP="00E7642A">
            <w:pPr>
              <w:pStyle w:val="NormalWeb"/>
              <w:spacing w:before="0" w:beforeAutospacing="0" w:after="0" w:afterAutospacing="0"/>
              <w:jc w:val="both"/>
              <w:rPr>
                <w:rFonts w:eastAsia="Calibri"/>
                <w:sz w:val="22"/>
                <w:szCs w:val="22"/>
                <w:lang w:eastAsia="en-US"/>
              </w:rPr>
            </w:pPr>
            <w:r w:rsidRPr="00B45979">
              <w:rPr>
                <w:rFonts w:eastAsia="Calibri"/>
                <w:sz w:val="22"/>
                <w:szCs w:val="22"/>
                <w:lang w:eastAsia="en-US"/>
              </w:rPr>
              <w:t>2 zinātniskās institūcijas</w:t>
            </w:r>
            <w:r w:rsidR="00F00CFF" w:rsidRPr="00B45979">
              <w:rPr>
                <w:rFonts w:eastAsia="Calibri"/>
                <w:sz w:val="22"/>
                <w:szCs w:val="22"/>
                <w:lang w:eastAsia="en-US"/>
              </w:rPr>
              <w:t>:</w:t>
            </w:r>
          </w:p>
          <w:p w14:paraId="7E242C92" w14:textId="77777777" w:rsidR="007C0E47" w:rsidRPr="00CB4854" w:rsidRDefault="00CB4854" w:rsidP="00E7642A">
            <w:pPr>
              <w:pStyle w:val="NormalWeb"/>
              <w:spacing w:before="0" w:beforeAutospacing="0" w:after="0" w:afterAutospacing="0"/>
              <w:jc w:val="both"/>
              <w:rPr>
                <w:rFonts w:eastAsia="Calibri"/>
                <w:sz w:val="22"/>
                <w:szCs w:val="22"/>
                <w:lang w:eastAsia="en-US"/>
              </w:rPr>
            </w:pPr>
            <w:r>
              <w:rPr>
                <w:rFonts w:eastAsia="Calibri"/>
                <w:sz w:val="22"/>
                <w:szCs w:val="22"/>
                <w:lang w:eastAsia="en-US"/>
              </w:rPr>
              <w:t>ISMA Datortehnoloģiju institūts un ISMA Biznesa institūts</w:t>
            </w:r>
          </w:p>
          <w:p w14:paraId="4CCEC5DD" w14:textId="77777777" w:rsidR="00F00CFF" w:rsidRPr="002D7733" w:rsidRDefault="00F00CFF" w:rsidP="00E7642A">
            <w:pPr>
              <w:pStyle w:val="NormalWeb"/>
              <w:spacing w:before="0" w:beforeAutospacing="0" w:after="0" w:afterAutospacing="0"/>
              <w:rPr>
                <w:rFonts w:eastAsia="Calibri"/>
                <w:sz w:val="22"/>
                <w:szCs w:val="22"/>
                <w:lang w:eastAsia="en-US"/>
              </w:rPr>
            </w:pPr>
            <w:r w:rsidRPr="002D7733">
              <w:rPr>
                <w:rFonts w:eastAsia="Calibri"/>
                <w:sz w:val="22"/>
                <w:szCs w:val="22"/>
                <w:lang w:eastAsia="en-US"/>
              </w:rPr>
              <w:t xml:space="preserve"> </w:t>
            </w:r>
          </w:p>
        </w:tc>
        <w:tc>
          <w:tcPr>
            <w:tcW w:w="1559" w:type="dxa"/>
          </w:tcPr>
          <w:p w14:paraId="33898D9F" w14:textId="77777777" w:rsidR="00AE50F9" w:rsidRPr="00B45979" w:rsidRDefault="00AB7AE9" w:rsidP="00E7642A">
            <w:pPr>
              <w:pStyle w:val="NormalWeb"/>
              <w:spacing w:before="0" w:beforeAutospacing="0" w:after="0" w:afterAutospacing="0"/>
              <w:jc w:val="center"/>
              <w:rPr>
                <w:rFonts w:eastAsia="Calibri"/>
                <w:sz w:val="22"/>
                <w:szCs w:val="22"/>
                <w:lang w:eastAsia="en-US"/>
              </w:rPr>
            </w:pPr>
            <w:r w:rsidRPr="00B45979">
              <w:rPr>
                <w:rFonts w:eastAsia="Calibri"/>
                <w:lang w:eastAsia="en-US"/>
              </w:rPr>
              <w:t>751 465</w:t>
            </w:r>
          </w:p>
        </w:tc>
      </w:tr>
      <w:tr w:rsidR="00AB7AE9" w:rsidRPr="00B45979" w14:paraId="0A2875A4" w14:textId="77777777" w:rsidTr="00CB4854">
        <w:tc>
          <w:tcPr>
            <w:tcW w:w="1413" w:type="dxa"/>
          </w:tcPr>
          <w:p w14:paraId="1E6EA871"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BIOR</w:t>
            </w:r>
          </w:p>
        </w:tc>
        <w:tc>
          <w:tcPr>
            <w:tcW w:w="3544" w:type="dxa"/>
          </w:tcPr>
          <w:p w14:paraId="1640B565"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4B7B9BF6"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601B1604"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487 832</w:t>
            </w:r>
          </w:p>
        </w:tc>
      </w:tr>
      <w:tr w:rsidR="00AB7AE9" w:rsidRPr="00B45979" w14:paraId="6B251402" w14:textId="77777777" w:rsidTr="00CB4854">
        <w:tc>
          <w:tcPr>
            <w:tcW w:w="1413" w:type="dxa"/>
          </w:tcPr>
          <w:p w14:paraId="4D35D46B"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BMC</w:t>
            </w:r>
          </w:p>
        </w:tc>
        <w:tc>
          <w:tcPr>
            <w:tcW w:w="3544" w:type="dxa"/>
          </w:tcPr>
          <w:p w14:paraId="2522DD6C"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459535D3"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083EC555"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407 984</w:t>
            </w:r>
          </w:p>
        </w:tc>
      </w:tr>
      <w:tr w:rsidR="00AB7AE9" w:rsidRPr="00B45979" w14:paraId="313A6E3C" w14:textId="77777777" w:rsidTr="00CB4854">
        <w:tc>
          <w:tcPr>
            <w:tcW w:w="1413" w:type="dxa"/>
          </w:tcPr>
          <w:p w14:paraId="087D9188"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CFI</w:t>
            </w:r>
          </w:p>
        </w:tc>
        <w:tc>
          <w:tcPr>
            <w:tcW w:w="3544" w:type="dxa"/>
          </w:tcPr>
          <w:p w14:paraId="5444CB2C"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6E333CBC"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3EADEBC3"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512 275</w:t>
            </w:r>
          </w:p>
        </w:tc>
      </w:tr>
      <w:tr w:rsidR="00AB7AE9" w:rsidRPr="00B45979" w14:paraId="4BD6F565" w14:textId="77777777" w:rsidTr="00CB4854">
        <w:tc>
          <w:tcPr>
            <w:tcW w:w="1413" w:type="dxa"/>
          </w:tcPr>
          <w:p w14:paraId="29A3B7D5"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DU</w:t>
            </w:r>
          </w:p>
        </w:tc>
        <w:tc>
          <w:tcPr>
            <w:tcW w:w="3544" w:type="dxa"/>
          </w:tcPr>
          <w:p w14:paraId="08D03D86"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37D4FAAC"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00A16CC8"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184 736</w:t>
            </w:r>
          </w:p>
        </w:tc>
      </w:tr>
      <w:tr w:rsidR="00AB7AE9" w:rsidRPr="00B45979" w14:paraId="56360605" w14:textId="77777777" w:rsidTr="00CB4854">
        <w:tc>
          <w:tcPr>
            <w:tcW w:w="1413" w:type="dxa"/>
          </w:tcPr>
          <w:p w14:paraId="1090FB23"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EDI</w:t>
            </w:r>
          </w:p>
        </w:tc>
        <w:tc>
          <w:tcPr>
            <w:tcW w:w="3544" w:type="dxa"/>
          </w:tcPr>
          <w:p w14:paraId="24FF2BAF"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6C3B945D"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44B7B20A"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219 609</w:t>
            </w:r>
          </w:p>
        </w:tc>
      </w:tr>
      <w:tr w:rsidR="00AB7AE9" w:rsidRPr="00B45979" w14:paraId="7903603B" w14:textId="77777777" w:rsidTr="00CB4854">
        <w:tc>
          <w:tcPr>
            <w:tcW w:w="1413" w:type="dxa"/>
          </w:tcPr>
          <w:p w14:paraId="7191C63B"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KĶI</w:t>
            </w:r>
          </w:p>
        </w:tc>
        <w:tc>
          <w:tcPr>
            <w:tcW w:w="3544" w:type="dxa"/>
          </w:tcPr>
          <w:p w14:paraId="006EAC2A"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30CF7BEF"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22D24DE7"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263 281</w:t>
            </w:r>
          </w:p>
        </w:tc>
      </w:tr>
      <w:tr w:rsidR="00AB7AE9" w:rsidRPr="00B45979" w14:paraId="37C757D7" w14:textId="77777777" w:rsidTr="00CB4854">
        <w:tc>
          <w:tcPr>
            <w:tcW w:w="1413" w:type="dxa"/>
          </w:tcPr>
          <w:p w14:paraId="118FC0AB"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OSI</w:t>
            </w:r>
          </w:p>
        </w:tc>
        <w:tc>
          <w:tcPr>
            <w:tcW w:w="3544" w:type="dxa"/>
          </w:tcPr>
          <w:p w14:paraId="52DF1A57"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54025A9D"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795B1F29"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1 006 353</w:t>
            </w:r>
          </w:p>
        </w:tc>
      </w:tr>
      <w:tr w:rsidR="00AB7AE9" w:rsidRPr="00B45979" w14:paraId="16877BF9" w14:textId="77777777" w:rsidTr="00CB4854">
        <w:tc>
          <w:tcPr>
            <w:tcW w:w="1413" w:type="dxa"/>
          </w:tcPr>
          <w:p w14:paraId="758194F7"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TSI</w:t>
            </w:r>
          </w:p>
        </w:tc>
        <w:tc>
          <w:tcPr>
            <w:tcW w:w="3544" w:type="dxa"/>
          </w:tcPr>
          <w:p w14:paraId="073CBAF9" w14:textId="77777777" w:rsidR="00AB7AE9" w:rsidRPr="00B45979" w:rsidRDefault="00AB7AE9" w:rsidP="00E7642A">
            <w:pPr>
              <w:pStyle w:val="NormalWeb"/>
              <w:spacing w:before="0" w:beforeAutospacing="0" w:after="0" w:afterAutospacing="0"/>
              <w:rPr>
                <w:rFonts w:eastAsia="Calibri"/>
                <w:lang w:eastAsia="en-US"/>
              </w:rPr>
            </w:pPr>
            <w:r w:rsidRPr="00B45979">
              <w:rPr>
                <w:rFonts w:eastAsia="Calibri"/>
                <w:lang w:eastAsia="en-US"/>
              </w:rPr>
              <w:t>N/A</w:t>
            </w:r>
          </w:p>
        </w:tc>
        <w:tc>
          <w:tcPr>
            <w:tcW w:w="2551" w:type="dxa"/>
          </w:tcPr>
          <w:p w14:paraId="3FDDA405" w14:textId="77777777" w:rsidR="00AB7AE9" w:rsidRPr="00B45979" w:rsidRDefault="00AB7AE9" w:rsidP="00E7642A">
            <w:pPr>
              <w:pStyle w:val="NormalWeb"/>
              <w:spacing w:before="0" w:beforeAutospacing="0" w:after="0" w:afterAutospacing="0"/>
              <w:rPr>
                <w:rFonts w:eastAsia="Calibri"/>
                <w:sz w:val="22"/>
                <w:szCs w:val="22"/>
                <w:lang w:eastAsia="en-US"/>
              </w:rPr>
            </w:pPr>
            <w:r w:rsidRPr="00B45979">
              <w:rPr>
                <w:rFonts w:eastAsia="Calibri"/>
                <w:lang w:eastAsia="en-US"/>
              </w:rPr>
              <w:t>N/A</w:t>
            </w:r>
          </w:p>
        </w:tc>
        <w:tc>
          <w:tcPr>
            <w:tcW w:w="1559" w:type="dxa"/>
          </w:tcPr>
          <w:p w14:paraId="34EA2B2F" w14:textId="77777777" w:rsidR="00AB7AE9" w:rsidRPr="00B45979" w:rsidRDefault="00AB7AE9" w:rsidP="00E7642A">
            <w:pPr>
              <w:pStyle w:val="NormalWeb"/>
              <w:spacing w:before="0" w:beforeAutospacing="0" w:after="0" w:afterAutospacing="0"/>
              <w:jc w:val="center"/>
              <w:rPr>
                <w:rFonts w:eastAsia="Calibri"/>
                <w:lang w:eastAsia="en-US"/>
              </w:rPr>
            </w:pPr>
            <w:r w:rsidRPr="00B45979">
              <w:rPr>
                <w:rFonts w:eastAsia="Calibri"/>
                <w:lang w:eastAsia="en-US"/>
              </w:rPr>
              <w:t>113 036</w:t>
            </w:r>
          </w:p>
        </w:tc>
      </w:tr>
      <w:tr w:rsidR="005D505F" w:rsidRPr="00B45979" w14:paraId="566538A1" w14:textId="77777777" w:rsidTr="00CB4854">
        <w:tc>
          <w:tcPr>
            <w:tcW w:w="1413" w:type="dxa"/>
          </w:tcPr>
          <w:p w14:paraId="66ABC763" w14:textId="77777777" w:rsidR="005D505F" w:rsidRPr="002D7733" w:rsidRDefault="005D505F" w:rsidP="00E7642A">
            <w:pPr>
              <w:pStyle w:val="NormalWeb"/>
              <w:spacing w:before="0" w:beforeAutospacing="0" w:after="0" w:afterAutospacing="0"/>
              <w:rPr>
                <w:rFonts w:eastAsia="Calibri"/>
                <w:lang w:eastAsia="en-US"/>
              </w:rPr>
            </w:pPr>
            <w:r w:rsidRPr="002D7733">
              <w:rPr>
                <w:rFonts w:eastAsia="Calibri"/>
                <w:sz w:val="22"/>
                <w:szCs w:val="22"/>
                <w:lang w:eastAsia="en-US"/>
              </w:rPr>
              <w:t>RSU</w:t>
            </w:r>
          </w:p>
        </w:tc>
        <w:tc>
          <w:tcPr>
            <w:tcW w:w="3544" w:type="dxa"/>
          </w:tcPr>
          <w:p w14:paraId="670D0930" w14:textId="77777777" w:rsidR="005D505F" w:rsidRPr="002D7733" w:rsidRDefault="005D505F" w:rsidP="00E7642A">
            <w:pPr>
              <w:pStyle w:val="NormalWeb"/>
              <w:spacing w:before="0" w:beforeAutospacing="0" w:after="0" w:afterAutospacing="0"/>
              <w:rPr>
                <w:rFonts w:eastAsia="Calibri"/>
                <w:lang w:eastAsia="en-US"/>
              </w:rPr>
            </w:pPr>
            <w:r w:rsidRPr="002D7733">
              <w:rPr>
                <w:rFonts w:eastAsia="Calibri"/>
                <w:lang w:eastAsia="en-US"/>
              </w:rPr>
              <w:t>Projekts netika īstenots.</w:t>
            </w:r>
          </w:p>
        </w:tc>
        <w:tc>
          <w:tcPr>
            <w:tcW w:w="2551" w:type="dxa"/>
          </w:tcPr>
          <w:p w14:paraId="7A2669AD" w14:textId="77777777" w:rsidR="005D505F" w:rsidRPr="002D7733" w:rsidRDefault="005D505F" w:rsidP="00E7642A">
            <w:pPr>
              <w:pStyle w:val="NormalWeb"/>
              <w:spacing w:before="0" w:beforeAutospacing="0" w:after="0" w:afterAutospacing="0"/>
              <w:rPr>
                <w:rFonts w:eastAsia="Calibri"/>
                <w:lang w:eastAsia="en-US"/>
              </w:rPr>
            </w:pPr>
            <w:r w:rsidRPr="002D7733">
              <w:rPr>
                <w:rFonts w:eastAsia="Calibri"/>
                <w:lang w:eastAsia="en-US"/>
              </w:rPr>
              <w:t>Projekts netika īstenots.</w:t>
            </w:r>
          </w:p>
        </w:tc>
        <w:tc>
          <w:tcPr>
            <w:tcW w:w="1559" w:type="dxa"/>
          </w:tcPr>
          <w:p w14:paraId="2EB0F9A0" w14:textId="77777777" w:rsidR="005D505F" w:rsidRPr="002D7733" w:rsidRDefault="005D505F" w:rsidP="00E7642A">
            <w:pPr>
              <w:pStyle w:val="NormalWeb"/>
              <w:spacing w:before="0" w:beforeAutospacing="0" w:after="0" w:afterAutospacing="0"/>
              <w:jc w:val="center"/>
              <w:rPr>
                <w:rFonts w:eastAsia="Calibri"/>
                <w:lang w:eastAsia="en-US"/>
              </w:rPr>
            </w:pPr>
            <w:r w:rsidRPr="002D7733">
              <w:rPr>
                <w:rFonts w:eastAsia="Calibri"/>
                <w:lang w:eastAsia="en-US"/>
              </w:rPr>
              <w:t>652 525</w:t>
            </w:r>
            <w:r w:rsidR="00AC1DC2">
              <w:rPr>
                <w:rStyle w:val="FootnoteReference"/>
                <w:rFonts w:eastAsia="Calibri"/>
                <w:lang w:eastAsia="en-US"/>
              </w:rPr>
              <w:footnoteReference w:id="34"/>
            </w:r>
          </w:p>
        </w:tc>
      </w:tr>
    </w:tbl>
    <w:p w14:paraId="4D8C05A4" w14:textId="0681B7CD" w:rsidR="00310F5B" w:rsidRPr="00C07278" w:rsidRDefault="00713616" w:rsidP="00E7642A">
      <w:pPr>
        <w:pStyle w:val="NormalWeb"/>
        <w:spacing w:before="0" w:beforeAutospacing="0" w:after="0" w:afterAutospacing="0"/>
        <w:rPr>
          <w:b/>
        </w:rPr>
      </w:pPr>
      <w:r w:rsidRPr="00C95968">
        <w:rPr>
          <w:rFonts w:eastAsia="Calibri"/>
          <w:i/>
          <w:lang w:eastAsia="en-US"/>
        </w:rPr>
        <w:t>Datu avots: IZM</w:t>
      </w:r>
    </w:p>
    <w:p w14:paraId="0FC15439" w14:textId="7D6EA2F6" w:rsidR="003B28F4" w:rsidRDefault="003B28F4" w:rsidP="00E7642A">
      <w:pPr>
        <w:pStyle w:val="ListParagraph"/>
        <w:ind w:left="0" w:firstLine="567"/>
      </w:pPr>
      <w:r>
        <w:t xml:space="preserve">Ārpus konsolidācijas un izcilības atbalsta programmas palika trīs turpmākai Latvijas pētniecības un uzņēmējdarbības sektora konkurētspējas attīstībai nozīmīgas institūcijas </w:t>
      </w:r>
      <w:r w:rsidR="002C0CA7">
        <w:t>–</w:t>
      </w:r>
      <w:r w:rsidR="00AC1DC2">
        <w:t xml:space="preserve"> </w:t>
      </w:r>
      <w:r w:rsidR="00B6324B">
        <w:t>Rīgas Stradiņa universitāte</w:t>
      </w:r>
      <w:r>
        <w:t xml:space="preserve">, </w:t>
      </w:r>
      <w:r w:rsidR="00B6324B">
        <w:rPr>
          <w:rFonts w:cs="Times New Roman"/>
          <w:color w:val="000000"/>
        </w:rPr>
        <w:t>Mežzinātnes pētniecības institūts „</w:t>
      </w:r>
      <w:r>
        <w:t>Silava</w:t>
      </w:r>
      <w:r w:rsidR="00B6324B">
        <w:t>”</w:t>
      </w:r>
      <w:r>
        <w:t xml:space="preserve"> un Vidzemes Augstskola ar tās Sociotehnisko sistēmu institūtu. </w:t>
      </w:r>
      <w:r w:rsidR="00B6324B">
        <w:t>Rīgas Stradiņa universitāte</w:t>
      </w:r>
      <w:r>
        <w:t xml:space="preserve"> projekta sagatavošanas laikā atteicās no projekta īstenošanas</w:t>
      </w:r>
      <w:r w:rsidR="00B6324B">
        <w:rPr>
          <w:rStyle w:val="FootnoteReference"/>
        </w:rPr>
        <w:footnoteReference w:id="35"/>
      </w:r>
      <w:r>
        <w:t xml:space="preserve">. Silava netika ietverta finansējuma saņēmēju lokā, jo starptautiskajā novērtējumā tika novērtēta </w:t>
      </w:r>
      <w:r w:rsidR="0017182D">
        <w:t xml:space="preserve">ar </w:t>
      </w:r>
      <w:r w:rsidR="00AF3E03">
        <w:t xml:space="preserve">vērtējumu </w:t>
      </w:r>
      <w:r w:rsidR="0017182D">
        <w:t xml:space="preserve">„3” jeb </w:t>
      </w:r>
      <w:r>
        <w:t>spēcīgs vietēj</w:t>
      </w:r>
      <w:r w:rsidR="004E392D">
        <w:t xml:space="preserve">ā līmeņa. Vidzemes augstskolas </w:t>
      </w:r>
      <w:r>
        <w:t xml:space="preserve">Sociotehnisko sistēmu institūts, savukārt, tika novērtēts kā vājš vietējā līmeņa institūts. Tādējādi, abas institūcijas nekvalificējās finansējuma saņemšanai </w:t>
      </w:r>
      <w:r w:rsidR="0017182D">
        <w:t xml:space="preserve">pirmajā </w:t>
      </w:r>
      <w:r>
        <w:t>konsolidācijas kārtā</w:t>
      </w:r>
      <w:r w:rsidR="0017182D">
        <w:t xml:space="preserve">, kas paredzēja resursu koncentrāciju ar </w:t>
      </w:r>
      <w:r w:rsidR="00AF3E03">
        <w:t xml:space="preserve">vērtējumu </w:t>
      </w:r>
      <w:r w:rsidR="0017182D">
        <w:t>„4” un „5” novērtētaj</w:t>
      </w:r>
      <w:r w:rsidR="00AF3E03">
        <w:t>ā</w:t>
      </w:r>
      <w:r w:rsidR="0017182D">
        <w:t xml:space="preserve">s zinātniskajās institūcijās un universitātēs, kā zināšanu centros.  </w:t>
      </w:r>
    </w:p>
    <w:p w14:paraId="06C8DAEA" w14:textId="77777777" w:rsidR="003B28F4" w:rsidRPr="003B28F4" w:rsidRDefault="003B28F4" w:rsidP="00E7642A">
      <w:pPr>
        <w:pStyle w:val="ListParagraph"/>
        <w:ind w:left="0" w:firstLine="567"/>
        <w:rPr>
          <w:rFonts w:eastAsia="Calibri"/>
        </w:rPr>
      </w:pPr>
      <w:r>
        <w:rPr>
          <w:rFonts w:cs="Times New Roman"/>
          <w:color w:val="000000"/>
        </w:rPr>
        <w:lastRenderedPageBreak/>
        <w:t>S</w:t>
      </w:r>
      <w:r w:rsidRPr="0056466F">
        <w:rPr>
          <w:rFonts w:cs="Times New Roman"/>
        </w:rPr>
        <w:t>askaņā ar MK 2014.</w:t>
      </w:r>
      <w:r>
        <w:rPr>
          <w:rFonts w:cs="Times New Roman"/>
        </w:rPr>
        <w:t xml:space="preserve"> </w:t>
      </w:r>
      <w:r w:rsidRPr="0056466F">
        <w:rPr>
          <w:rFonts w:cs="Times New Roman"/>
        </w:rPr>
        <w:t>gada 19.</w:t>
      </w:r>
      <w:r>
        <w:rPr>
          <w:rFonts w:cs="Times New Roman"/>
        </w:rPr>
        <w:t xml:space="preserve"> </w:t>
      </w:r>
      <w:r w:rsidRPr="0056466F">
        <w:rPr>
          <w:rFonts w:cs="Times New Roman"/>
        </w:rPr>
        <w:t>augusta sēdes protokola Nr.</w:t>
      </w:r>
      <w:r>
        <w:rPr>
          <w:rFonts w:cs="Times New Roman"/>
        </w:rPr>
        <w:t xml:space="preserve"> </w:t>
      </w:r>
      <w:r w:rsidRPr="0056466F">
        <w:rPr>
          <w:rFonts w:cs="Times New Roman"/>
        </w:rPr>
        <w:t>44 47</w:t>
      </w:r>
      <w:r w:rsidR="00810EA0">
        <w:rPr>
          <w:rFonts w:cs="Times New Roman"/>
        </w:rPr>
        <w:t>.</w:t>
      </w:r>
      <w:r w:rsidR="00810EA0" w:rsidRPr="00810EA0">
        <w:rPr>
          <w:rFonts w:cs="Times New Roman"/>
        </w:rPr>
        <w:t xml:space="preserve"> </w:t>
      </w:r>
      <w:r w:rsidR="00810EA0" w:rsidRPr="0056466F">
        <w:rPr>
          <w:rFonts w:cs="Times New Roman"/>
        </w:rPr>
        <w:t>§</w:t>
      </w:r>
      <w:r w:rsidRPr="0056466F">
        <w:rPr>
          <w:rFonts w:cs="Times New Roman"/>
        </w:rPr>
        <w:t>,</w:t>
      </w:r>
      <w:r w:rsidRPr="0056466F">
        <w:rPr>
          <w:rFonts w:cs="Times New Roman"/>
          <w:color w:val="000000"/>
        </w:rPr>
        <w:t xml:space="preserve"> nākošais zinātnes izvērtējums plānots 2017.</w:t>
      </w:r>
      <w:r w:rsidR="00810EA0">
        <w:rPr>
          <w:rFonts w:cs="Times New Roman"/>
          <w:color w:val="000000"/>
        </w:rPr>
        <w:t> </w:t>
      </w:r>
      <w:r w:rsidRPr="0056466F">
        <w:rPr>
          <w:rFonts w:cs="Times New Roman"/>
          <w:color w:val="000000"/>
        </w:rPr>
        <w:t>gadā</w:t>
      </w:r>
      <w:r>
        <w:rPr>
          <w:rFonts w:cs="Times New Roman"/>
          <w:color w:val="000000"/>
        </w:rPr>
        <w:t>. Ņemot vērā to, ka z</w:t>
      </w:r>
      <w:r w:rsidRPr="002D7733">
        <w:rPr>
          <w:rFonts w:cs="Times New Roman"/>
          <w:color w:val="000000"/>
        </w:rPr>
        <w:t>inātniskā</w:t>
      </w:r>
      <w:r>
        <w:rPr>
          <w:rFonts w:cs="Times New Roman"/>
          <w:color w:val="000000"/>
        </w:rPr>
        <w:t>s</w:t>
      </w:r>
      <w:r w:rsidRPr="002D7733">
        <w:rPr>
          <w:rFonts w:cs="Times New Roman"/>
          <w:color w:val="000000"/>
        </w:rPr>
        <w:t xml:space="preserve"> institūcij</w:t>
      </w:r>
      <w:r>
        <w:rPr>
          <w:rFonts w:cs="Times New Roman"/>
          <w:color w:val="000000"/>
        </w:rPr>
        <w:t>as</w:t>
      </w:r>
      <w:r w:rsidRPr="002D7733">
        <w:rPr>
          <w:rFonts w:cs="Times New Roman"/>
          <w:color w:val="000000"/>
        </w:rPr>
        <w:t xml:space="preserve">, kas novērtētas </w:t>
      </w:r>
      <w:r w:rsidR="00810EA0">
        <w:rPr>
          <w:rFonts w:cs="Times New Roman"/>
          <w:color w:val="000000"/>
        </w:rPr>
        <w:t xml:space="preserve">ar vērtējumu </w:t>
      </w:r>
      <w:r w:rsidRPr="00350F96">
        <w:rPr>
          <w:rFonts w:cs="Times New Roman"/>
        </w:rPr>
        <w:t>“1” un “2”</w:t>
      </w:r>
      <w:r>
        <w:rPr>
          <w:rFonts w:cs="Times New Roman"/>
        </w:rPr>
        <w:t xml:space="preserve"> netiek no valsts budžeta finansētas, tām ir jā</w:t>
      </w:r>
      <w:r w:rsidRPr="002D7733">
        <w:rPr>
          <w:rFonts w:cs="Times New Roman"/>
          <w:color w:val="000000"/>
        </w:rPr>
        <w:t xml:space="preserve">meklē iespējas integrēties </w:t>
      </w:r>
      <w:r>
        <w:rPr>
          <w:rFonts w:cs="Times New Roman"/>
          <w:color w:val="000000"/>
        </w:rPr>
        <w:t xml:space="preserve">tematiski atbilstošās </w:t>
      </w:r>
      <w:r w:rsidRPr="002D7733">
        <w:rPr>
          <w:rFonts w:cs="Times New Roman"/>
          <w:color w:val="000000"/>
        </w:rPr>
        <w:t xml:space="preserve">spēcīgākās </w:t>
      </w:r>
      <w:r>
        <w:rPr>
          <w:rFonts w:cs="Times New Roman"/>
          <w:color w:val="000000"/>
        </w:rPr>
        <w:t xml:space="preserve">zinātniskajās </w:t>
      </w:r>
      <w:r w:rsidRPr="002D7733">
        <w:rPr>
          <w:rFonts w:cs="Times New Roman"/>
          <w:color w:val="000000"/>
        </w:rPr>
        <w:t>institūcijās</w:t>
      </w:r>
      <w:r w:rsidRPr="002D7733">
        <w:rPr>
          <w:rFonts w:cs="Times New Roman"/>
        </w:rPr>
        <w:t xml:space="preserve">, tādējādi sekmējot </w:t>
      </w:r>
      <w:r w:rsidR="00810EA0">
        <w:rPr>
          <w:rFonts w:cs="Times New Roman"/>
        </w:rPr>
        <w:t xml:space="preserve">pētniecības </w:t>
      </w:r>
      <w:r w:rsidRPr="002D7733">
        <w:rPr>
          <w:rFonts w:cs="Times New Roman"/>
          <w:color w:val="000000"/>
        </w:rPr>
        <w:t>resursu koncentrāciju un kritiskās masas veidošanos šajās institūcijās</w:t>
      </w:r>
      <w:r w:rsidR="008F3EFF">
        <w:rPr>
          <w:rFonts w:cs="Times New Roman"/>
          <w:color w:val="000000"/>
        </w:rPr>
        <w:t>,</w:t>
      </w:r>
      <w:r>
        <w:rPr>
          <w:rFonts w:cs="Times New Roman"/>
          <w:color w:val="000000"/>
        </w:rPr>
        <w:t xml:space="preserve"> un nodrošinot to administratīvās spējas pieaugumu</w:t>
      </w:r>
      <w:r w:rsidRPr="002D7733">
        <w:rPr>
          <w:rFonts w:cs="Times New Roman"/>
          <w:color w:val="000000"/>
        </w:rPr>
        <w:t xml:space="preserve">. </w:t>
      </w:r>
      <w:r>
        <w:rPr>
          <w:rFonts w:cs="Times New Roman"/>
          <w:color w:val="000000"/>
        </w:rPr>
        <w:t>Iepriekšminētajam Vidzemes augstskolas Sociotehnisko sistēmu institūtam ir ieteicams integrēties Vidzemes augstskolā</w:t>
      </w:r>
      <w:r w:rsidR="00810EA0">
        <w:rPr>
          <w:rFonts w:cs="Times New Roman"/>
          <w:color w:val="000000"/>
        </w:rPr>
        <w:t>,</w:t>
      </w:r>
      <w:r>
        <w:rPr>
          <w:rFonts w:cs="Times New Roman"/>
          <w:color w:val="000000"/>
        </w:rPr>
        <w:t xml:space="preserve"> tādējādi veidojot Vidzemes reģiona vajadzībām atbilstošu analītisko kapacitāti Vidzemes augstskolā. Fizikālās enerģētikas institūtam ieteicams integrēties RTU, kur turpmāk tiks attīstīta enerģētikas jomas pētniecība un saistītā </w:t>
      </w:r>
      <w:r w:rsidR="00810EA0">
        <w:rPr>
          <w:rFonts w:cs="Times New Roman"/>
          <w:color w:val="000000"/>
        </w:rPr>
        <w:t xml:space="preserve">pētniecības </w:t>
      </w:r>
      <w:r>
        <w:rPr>
          <w:rFonts w:cs="Times New Roman"/>
          <w:color w:val="000000"/>
        </w:rPr>
        <w:t>infrastruktūra. Latvija Nacionālā Botāniskā dārza pētniecības grupai savukārt ir ieteicams apsvērt integrāciju ar Mežzinātnes pētniecības institūtu „Silava”.</w:t>
      </w:r>
    </w:p>
    <w:p w14:paraId="6282EC11" w14:textId="48B45673" w:rsidR="00867AC1" w:rsidRPr="00C07278" w:rsidRDefault="00713616" w:rsidP="00E7642A">
      <w:pPr>
        <w:tabs>
          <w:tab w:val="left" w:pos="0"/>
          <w:tab w:val="left" w:pos="567"/>
        </w:tabs>
        <w:ind w:left="0"/>
        <w:rPr>
          <w:rFonts w:ascii="Times New Roman" w:hAnsi="Times New Roman"/>
          <w:sz w:val="24"/>
          <w:szCs w:val="24"/>
        </w:rPr>
      </w:pPr>
      <w:r w:rsidRPr="00C07278">
        <w:rPr>
          <w:rFonts w:ascii="Times New Roman" w:hAnsi="Times New Roman"/>
          <w:sz w:val="24"/>
          <w:szCs w:val="24"/>
        </w:rPr>
        <w:tab/>
      </w:r>
      <w:r w:rsidR="008535F0" w:rsidRPr="00C07278">
        <w:rPr>
          <w:rFonts w:ascii="Times New Roman" w:hAnsi="Times New Roman"/>
          <w:sz w:val="24"/>
          <w:szCs w:val="24"/>
        </w:rPr>
        <w:t>L</w:t>
      </w:r>
      <w:r w:rsidRPr="00C07278">
        <w:rPr>
          <w:rFonts w:ascii="Times New Roman" w:hAnsi="Times New Roman"/>
          <w:sz w:val="24"/>
          <w:szCs w:val="24"/>
        </w:rPr>
        <w:t>ai turpinātu zinātnisko institūciju institucionālās kapacitātes pilnveidi un stiprināšanu, ES struktūrfondu plānošanas perioda 2014.</w:t>
      </w:r>
      <w:r w:rsidR="004E392D">
        <w:t>–</w:t>
      </w:r>
      <w:r w:rsidRPr="00C07278">
        <w:rPr>
          <w:rFonts w:ascii="Times New Roman" w:hAnsi="Times New Roman"/>
          <w:sz w:val="24"/>
          <w:szCs w:val="24"/>
        </w:rPr>
        <w:t>2020.</w:t>
      </w:r>
      <w:r w:rsidR="0096715F">
        <w:rPr>
          <w:rFonts w:ascii="Times New Roman" w:hAnsi="Times New Roman"/>
          <w:sz w:val="24"/>
          <w:szCs w:val="24"/>
        </w:rPr>
        <w:t xml:space="preserve"> </w:t>
      </w:r>
      <w:r w:rsidRPr="00C07278">
        <w:rPr>
          <w:rFonts w:ascii="Times New Roman" w:hAnsi="Times New Roman"/>
          <w:sz w:val="24"/>
          <w:szCs w:val="24"/>
        </w:rPr>
        <w:t xml:space="preserve">gadam darbības programmas “Izaugsme un nodarbinātība” ietvaros plānots turpināt sniegt atbalstu zinātnisko institūciju institucionālās kapacitātes stiprināšanai, veiktspējas un </w:t>
      </w:r>
      <w:r w:rsidRPr="00FD7E04">
        <w:rPr>
          <w:rFonts w:ascii="Times New Roman" w:hAnsi="Times New Roman"/>
          <w:sz w:val="24"/>
          <w:szCs w:val="24"/>
        </w:rPr>
        <w:t xml:space="preserve">pārvaldības efektivitātes uzlabošanai, ieviešot zinātnisko institūciju darbības kvalitātes ārējā izvērtējuma rekomendācijas konkurētspējas palielināšanai starptautiskā līmenī un mērķtiecīgiem zinātnes resursu telpiskas un funkcionālas koncentrācijas pasākumiem. </w:t>
      </w:r>
      <w:r w:rsidR="00310F5B" w:rsidRPr="002D7733">
        <w:rPr>
          <w:rFonts w:ascii="Times New Roman" w:hAnsi="Times New Roman"/>
          <w:sz w:val="24"/>
          <w:szCs w:val="24"/>
        </w:rPr>
        <w:t>Detalizēta informācija par ES struktūrfondu 2014.</w:t>
      </w:r>
      <w:r w:rsidR="004E392D">
        <w:t>–</w:t>
      </w:r>
      <w:r w:rsidR="00310F5B" w:rsidRPr="002D7733">
        <w:rPr>
          <w:rFonts w:ascii="Times New Roman" w:hAnsi="Times New Roman"/>
          <w:sz w:val="24"/>
          <w:szCs w:val="24"/>
        </w:rPr>
        <w:t>2020.</w:t>
      </w:r>
      <w:r w:rsidR="0096715F">
        <w:rPr>
          <w:rFonts w:ascii="Times New Roman" w:hAnsi="Times New Roman"/>
          <w:sz w:val="24"/>
          <w:szCs w:val="24"/>
        </w:rPr>
        <w:t xml:space="preserve"> </w:t>
      </w:r>
      <w:r w:rsidR="00310F5B" w:rsidRPr="002D7733">
        <w:rPr>
          <w:rFonts w:ascii="Times New Roman" w:hAnsi="Times New Roman"/>
          <w:sz w:val="24"/>
          <w:szCs w:val="24"/>
        </w:rPr>
        <w:t xml:space="preserve">gada plānošanas perioda atbalstu </w:t>
      </w:r>
      <w:r w:rsidR="00FD7E04">
        <w:rPr>
          <w:rFonts w:ascii="Times New Roman" w:hAnsi="Times New Roman"/>
          <w:sz w:val="24"/>
          <w:szCs w:val="24"/>
        </w:rPr>
        <w:t>ir ietverta</w:t>
      </w:r>
      <w:r w:rsidR="00FD7E04" w:rsidRPr="002D7733">
        <w:rPr>
          <w:rFonts w:ascii="Times New Roman" w:hAnsi="Times New Roman"/>
          <w:sz w:val="24"/>
          <w:szCs w:val="24"/>
        </w:rPr>
        <w:t xml:space="preserve"> </w:t>
      </w:r>
      <w:r w:rsidR="00310F5B" w:rsidRPr="002D7733">
        <w:rPr>
          <w:rFonts w:ascii="Times New Roman" w:hAnsi="Times New Roman"/>
          <w:sz w:val="24"/>
          <w:szCs w:val="24"/>
        </w:rPr>
        <w:t xml:space="preserve">šī ziņojuma </w:t>
      </w:r>
      <w:r w:rsidR="00810EA0">
        <w:rPr>
          <w:rFonts w:ascii="Times New Roman" w:hAnsi="Times New Roman"/>
          <w:sz w:val="24"/>
          <w:szCs w:val="24"/>
        </w:rPr>
        <w:t>6.</w:t>
      </w:r>
      <w:r w:rsidR="00AF3E03">
        <w:rPr>
          <w:rFonts w:ascii="Times New Roman" w:hAnsi="Times New Roman"/>
          <w:sz w:val="24"/>
          <w:szCs w:val="24"/>
        </w:rPr>
        <w:t> </w:t>
      </w:r>
      <w:r w:rsidR="00310F5B" w:rsidRPr="002D7733">
        <w:rPr>
          <w:rFonts w:ascii="Times New Roman" w:hAnsi="Times New Roman"/>
          <w:sz w:val="24"/>
          <w:szCs w:val="24"/>
        </w:rPr>
        <w:t>sadaļā.</w:t>
      </w:r>
    </w:p>
    <w:p w14:paraId="5B4ABE80" w14:textId="77777777" w:rsidR="004E392D" w:rsidRDefault="004E392D" w:rsidP="00E7642A">
      <w:pPr>
        <w:spacing w:after="160" w:line="259" w:lineRule="auto"/>
        <w:ind w:left="0"/>
        <w:jc w:val="left"/>
        <w:rPr>
          <w:rFonts w:ascii="Times New Roman" w:eastAsia="Times New Roman" w:hAnsi="Times New Roman"/>
          <w:b/>
          <w:bCs/>
          <w:sz w:val="24"/>
          <w:szCs w:val="24"/>
          <w:lang w:eastAsia="lv-LV"/>
        </w:rPr>
      </w:pPr>
      <w:r>
        <w:rPr>
          <w:rFonts w:ascii="Times New Roman" w:hAnsi="Times New Roman"/>
          <w:sz w:val="24"/>
          <w:szCs w:val="24"/>
        </w:rPr>
        <w:br w:type="page"/>
      </w:r>
    </w:p>
    <w:p w14:paraId="53A736B2" w14:textId="2197E577" w:rsidR="00713616" w:rsidRPr="00C07278" w:rsidRDefault="00713616" w:rsidP="00E7642A">
      <w:pPr>
        <w:pStyle w:val="Heading1"/>
        <w:numPr>
          <w:ilvl w:val="0"/>
          <w:numId w:val="1"/>
        </w:numPr>
        <w:spacing w:before="360" w:after="120"/>
        <w:ind w:left="357" w:hanging="357"/>
        <w:jc w:val="center"/>
        <w:rPr>
          <w:rFonts w:ascii="Times New Roman" w:hAnsi="Times New Roman"/>
          <w:color w:val="auto"/>
          <w:sz w:val="24"/>
          <w:szCs w:val="24"/>
        </w:rPr>
      </w:pPr>
      <w:bookmarkStart w:id="36" w:name="_Toc458673279"/>
      <w:r w:rsidRPr="00C07278">
        <w:rPr>
          <w:rFonts w:ascii="Times New Roman" w:hAnsi="Times New Roman"/>
          <w:color w:val="auto"/>
          <w:sz w:val="24"/>
          <w:szCs w:val="24"/>
        </w:rPr>
        <w:lastRenderedPageBreak/>
        <w:t>Pētniecības, tehnoloģijas attīstības un inovāciju infrastruktūra Lietuvā un Igaunijā</w:t>
      </w:r>
      <w:bookmarkEnd w:id="36"/>
    </w:p>
    <w:p w14:paraId="50EA216E" w14:textId="77777777" w:rsidR="00A061AB" w:rsidRDefault="00A061AB" w:rsidP="00E7642A">
      <w:pPr>
        <w:autoSpaceDE w:val="0"/>
        <w:autoSpaceDN w:val="0"/>
        <w:adjustRightInd w:val="0"/>
        <w:ind w:left="0" w:firstLine="567"/>
        <w:rPr>
          <w:rFonts w:ascii="Times New Roman" w:hAnsi="Times New Roman"/>
          <w:color w:val="000000"/>
          <w:sz w:val="24"/>
          <w:szCs w:val="24"/>
          <w:lang w:eastAsia="lv-LV"/>
        </w:rPr>
      </w:pPr>
    </w:p>
    <w:p w14:paraId="41115FD6" w14:textId="5B811FBE" w:rsidR="00810EA0" w:rsidRDefault="00A061AB" w:rsidP="00E7642A">
      <w:pPr>
        <w:ind w:left="0" w:firstLine="567"/>
        <w:rPr>
          <w:rFonts w:ascii="Times New Roman" w:hAnsi="Times New Roman"/>
          <w:color w:val="000000"/>
          <w:sz w:val="24"/>
          <w:szCs w:val="24"/>
          <w:lang w:eastAsia="lv-LV"/>
        </w:rPr>
      </w:pPr>
      <w:r>
        <w:rPr>
          <w:rFonts w:ascii="Times New Roman" w:hAnsi="Times New Roman"/>
          <w:color w:val="000000"/>
          <w:sz w:val="24"/>
          <w:szCs w:val="24"/>
          <w:lang w:eastAsia="lv-LV"/>
        </w:rPr>
        <w:t>V</w:t>
      </w:r>
      <w:r w:rsidRPr="00C07278">
        <w:rPr>
          <w:rFonts w:ascii="Times New Roman" w:hAnsi="Times New Roman"/>
          <w:color w:val="000000"/>
          <w:sz w:val="24"/>
          <w:szCs w:val="24"/>
          <w:lang w:eastAsia="lv-LV"/>
        </w:rPr>
        <w:t>isas trīs Baltijas valstis 2014.</w:t>
      </w:r>
      <w:r w:rsidR="004E392D">
        <w:t>–</w:t>
      </w:r>
      <w:r w:rsidRPr="00C07278">
        <w:rPr>
          <w:rFonts w:ascii="Times New Roman" w:hAnsi="Times New Roman"/>
          <w:color w:val="000000"/>
          <w:sz w:val="24"/>
          <w:szCs w:val="24"/>
          <w:lang w:eastAsia="lv-LV"/>
        </w:rPr>
        <w:t>2020.</w:t>
      </w:r>
      <w:r>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t>gada plānošanas period</w:t>
      </w:r>
      <w:r>
        <w:rPr>
          <w:rFonts w:ascii="Times New Roman" w:hAnsi="Times New Roman"/>
          <w:color w:val="000000"/>
          <w:sz w:val="24"/>
          <w:szCs w:val="24"/>
          <w:lang w:eastAsia="lv-LV"/>
        </w:rPr>
        <w:t xml:space="preserve">ā </w:t>
      </w:r>
      <w:r w:rsidRPr="00C07278">
        <w:rPr>
          <w:rFonts w:ascii="Times New Roman" w:hAnsi="Times New Roman"/>
          <w:color w:val="000000"/>
          <w:sz w:val="24"/>
          <w:szCs w:val="24"/>
          <w:lang w:eastAsia="lv-LV"/>
        </w:rPr>
        <w:t>plāno veikt investīcijas informācijas un komunikāciju tehnoloģijas, biotehnoloģijas, funkcionālā pārtika</w:t>
      </w:r>
      <w:r>
        <w:rPr>
          <w:rFonts w:ascii="Times New Roman" w:hAnsi="Times New Roman"/>
          <w:color w:val="000000"/>
          <w:sz w:val="24"/>
          <w:szCs w:val="24"/>
          <w:lang w:eastAsia="lv-LV"/>
        </w:rPr>
        <w:t>s</w:t>
      </w:r>
      <w:r w:rsidRPr="00C07278">
        <w:rPr>
          <w:rFonts w:ascii="Times New Roman" w:hAnsi="Times New Roman"/>
          <w:color w:val="000000"/>
          <w:sz w:val="24"/>
          <w:szCs w:val="24"/>
          <w:lang w:eastAsia="lv-LV"/>
        </w:rPr>
        <w:t xml:space="preserve"> un pārtikas drošība</w:t>
      </w:r>
      <w:r>
        <w:rPr>
          <w:rFonts w:ascii="Times New Roman" w:hAnsi="Times New Roman"/>
          <w:color w:val="000000"/>
          <w:sz w:val="24"/>
          <w:szCs w:val="24"/>
          <w:lang w:eastAsia="lv-LV"/>
        </w:rPr>
        <w:t>s</w:t>
      </w:r>
      <w:r w:rsidRPr="00C07278">
        <w:rPr>
          <w:rFonts w:ascii="Times New Roman" w:hAnsi="Times New Roman"/>
          <w:color w:val="000000"/>
          <w:sz w:val="24"/>
          <w:szCs w:val="24"/>
          <w:lang w:eastAsia="lv-LV"/>
        </w:rPr>
        <w:t>, viedo materiālu un tehnoloģiju attīstīb</w:t>
      </w:r>
      <w:r>
        <w:rPr>
          <w:rFonts w:ascii="Times New Roman" w:hAnsi="Times New Roman"/>
          <w:color w:val="000000"/>
          <w:sz w:val="24"/>
          <w:szCs w:val="24"/>
          <w:lang w:eastAsia="lv-LV"/>
        </w:rPr>
        <w:t>ā</w:t>
      </w:r>
      <w:r w:rsidRPr="00C07278">
        <w:rPr>
          <w:rFonts w:ascii="Times New Roman" w:hAnsi="Times New Roman"/>
          <w:color w:val="000000"/>
          <w:sz w:val="24"/>
          <w:szCs w:val="24"/>
          <w:lang w:eastAsia="lv-LV"/>
        </w:rPr>
        <w:t xml:space="preserve">. Latvija un Lietuva plāno </w:t>
      </w:r>
      <w:r>
        <w:rPr>
          <w:rFonts w:ascii="Times New Roman" w:hAnsi="Times New Roman"/>
          <w:color w:val="000000"/>
          <w:sz w:val="24"/>
          <w:szCs w:val="24"/>
          <w:lang w:eastAsia="lv-LV"/>
        </w:rPr>
        <w:t xml:space="preserve">attīstīt </w:t>
      </w:r>
      <w:r w:rsidR="00810EA0">
        <w:rPr>
          <w:rFonts w:ascii="Times New Roman" w:hAnsi="Times New Roman"/>
          <w:color w:val="000000"/>
          <w:sz w:val="24"/>
          <w:szCs w:val="24"/>
          <w:lang w:eastAsia="lv-LV"/>
        </w:rPr>
        <w:t xml:space="preserve">tai skaitā </w:t>
      </w:r>
      <w:r w:rsidRPr="00C07278">
        <w:rPr>
          <w:rFonts w:ascii="Times New Roman" w:hAnsi="Times New Roman"/>
          <w:color w:val="000000"/>
          <w:sz w:val="24"/>
          <w:szCs w:val="24"/>
          <w:lang w:eastAsia="lv-LV"/>
        </w:rPr>
        <w:t xml:space="preserve">enerģētikas jomu. </w:t>
      </w:r>
      <w:r>
        <w:rPr>
          <w:rFonts w:ascii="Times New Roman" w:hAnsi="Times New Roman"/>
          <w:color w:val="000000"/>
          <w:sz w:val="24"/>
          <w:szCs w:val="24"/>
          <w:lang w:eastAsia="lv-LV"/>
        </w:rPr>
        <w:t xml:space="preserve"> Tādējādi šajās jomās tiks </w:t>
      </w:r>
      <w:r w:rsidR="00D50331">
        <w:rPr>
          <w:rFonts w:ascii="Times New Roman" w:hAnsi="Times New Roman"/>
          <w:color w:val="000000"/>
          <w:sz w:val="24"/>
          <w:szCs w:val="24"/>
          <w:lang w:eastAsia="lv-LV"/>
        </w:rPr>
        <w:t xml:space="preserve">radīta </w:t>
      </w:r>
      <w:r>
        <w:rPr>
          <w:rFonts w:ascii="Times New Roman" w:hAnsi="Times New Roman"/>
          <w:color w:val="000000"/>
          <w:sz w:val="24"/>
          <w:szCs w:val="24"/>
          <w:lang w:eastAsia="lv-LV"/>
        </w:rPr>
        <w:t xml:space="preserve">kritiskā masa, kas nepieciešama </w:t>
      </w:r>
      <w:r w:rsidR="00810EA0">
        <w:rPr>
          <w:rFonts w:ascii="Times New Roman" w:hAnsi="Times New Roman"/>
          <w:color w:val="000000"/>
          <w:sz w:val="24"/>
          <w:szCs w:val="24"/>
          <w:lang w:eastAsia="lv-LV"/>
        </w:rPr>
        <w:t xml:space="preserve">Baltijas valstu </w:t>
      </w:r>
      <w:r>
        <w:rPr>
          <w:rFonts w:ascii="Times New Roman" w:hAnsi="Times New Roman"/>
          <w:color w:val="000000"/>
          <w:sz w:val="24"/>
          <w:szCs w:val="24"/>
          <w:lang w:eastAsia="lv-LV"/>
        </w:rPr>
        <w:t xml:space="preserve">reģiona attīstībai. </w:t>
      </w:r>
    </w:p>
    <w:p w14:paraId="3FCD70DE" w14:textId="2F477DD1" w:rsidR="00C8553F" w:rsidRDefault="00A061AB" w:rsidP="00E7642A">
      <w:pPr>
        <w:ind w:left="0" w:firstLine="567"/>
        <w:rPr>
          <w:rFonts w:ascii="Times New Roman" w:hAnsi="Times New Roman"/>
          <w:color w:val="000000"/>
          <w:sz w:val="24"/>
          <w:szCs w:val="24"/>
          <w:lang w:eastAsia="lv-LV"/>
        </w:rPr>
      </w:pPr>
      <w:r>
        <w:rPr>
          <w:rFonts w:ascii="Times New Roman" w:hAnsi="Times New Roman"/>
          <w:color w:val="000000"/>
          <w:sz w:val="24"/>
          <w:szCs w:val="24"/>
          <w:lang w:eastAsia="lv-LV"/>
        </w:rPr>
        <w:t>S</w:t>
      </w:r>
      <w:r w:rsidRPr="00C07278">
        <w:rPr>
          <w:rFonts w:ascii="Times New Roman" w:hAnsi="Times New Roman"/>
          <w:color w:val="000000"/>
          <w:sz w:val="24"/>
          <w:szCs w:val="24"/>
          <w:lang w:eastAsia="lv-LV"/>
        </w:rPr>
        <w:t>adarbīb</w:t>
      </w:r>
      <w:r>
        <w:rPr>
          <w:rFonts w:ascii="Times New Roman" w:hAnsi="Times New Roman"/>
          <w:color w:val="000000"/>
          <w:sz w:val="24"/>
          <w:szCs w:val="24"/>
          <w:lang w:eastAsia="lv-LV"/>
        </w:rPr>
        <w:t>as</w:t>
      </w:r>
      <w:r w:rsidRPr="00C07278">
        <w:rPr>
          <w:rFonts w:ascii="Times New Roman" w:hAnsi="Times New Roman"/>
          <w:color w:val="000000"/>
          <w:sz w:val="24"/>
          <w:szCs w:val="24"/>
          <w:lang w:eastAsia="lv-LV"/>
        </w:rPr>
        <w:t xml:space="preserve"> </w:t>
      </w:r>
      <w:r w:rsidR="00D50331">
        <w:rPr>
          <w:rFonts w:ascii="Times New Roman" w:hAnsi="Times New Roman"/>
          <w:color w:val="000000"/>
          <w:sz w:val="24"/>
          <w:szCs w:val="24"/>
          <w:lang w:eastAsia="lv-LV"/>
        </w:rPr>
        <w:t xml:space="preserve">stiprināšanai </w:t>
      </w:r>
      <w:r w:rsidRPr="00C07278">
        <w:rPr>
          <w:rFonts w:ascii="Times New Roman" w:hAnsi="Times New Roman"/>
          <w:color w:val="000000"/>
          <w:sz w:val="24"/>
          <w:szCs w:val="24"/>
          <w:lang w:eastAsia="lv-LV"/>
        </w:rPr>
        <w:t xml:space="preserve">starp </w:t>
      </w:r>
      <w:r w:rsidR="00810EA0">
        <w:rPr>
          <w:rFonts w:ascii="Times New Roman" w:hAnsi="Times New Roman"/>
          <w:color w:val="000000"/>
          <w:sz w:val="24"/>
          <w:szCs w:val="24"/>
          <w:lang w:eastAsia="lv-LV"/>
        </w:rPr>
        <w:t>zinātniskajām</w:t>
      </w:r>
      <w:r w:rsidR="00810EA0" w:rsidRPr="00C07278">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t>institūcijām, augst</w:t>
      </w:r>
      <w:r>
        <w:rPr>
          <w:rFonts w:ascii="Times New Roman" w:hAnsi="Times New Roman"/>
          <w:color w:val="000000"/>
          <w:sz w:val="24"/>
          <w:szCs w:val="24"/>
          <w:lang w:eastAsia="lv-LV"/>
        </w:rPr>
        <w:t xml:space="preserve">skolām </w:t>
      </w:r>
      <w:r w:rsidRPr="00C07278">
        <w:rPr>
          <w:rFonts w:ascii="Times New Roman" w:hAnsi="Times New Roman"/>
          <w:color w:val="000000"/>
          <w:sz w:val="24"/>
          <w:szCs w:val="24"/>
          <w:lang w:eastAsia="lv-LV"/>
        </w:rPr>
        <w:t>un uzņēmējdarbības sektoru</w:t>
      </w:r>
      <w:r w:rsidR="00D50331">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w:t>
      </w:r>
      <w:r w:rsidR="00D50331">
        <w:rPr>
          <w:rFonts w:ascii="Times New Roman" w:hAnsi="Times New Roman"/>
          <w:color w:val="000000"/>
          <w:sz w:val="24"/>
          <w:szCs w:val="24"/>
          <w:lang w:eastAsia="lv-LV"/>
        </w:rPr>
        <w:t>2</w:t>
      </w:r>
      <w:r w:rsidRPr="00C07278">
        <w:rPr>
          <w:rFonts w:ascii="Times New Roman" w:hAnsi="Times New Roman"/>
          <w:color w:val="000000"/>
          <w:sz w:val="24"/>
          <w:szCs w:val="24"/>
          <w:lang w:eastAsia="lv-LV"/>
        </w:rPr>
        <w:t>012.</w:t>
      </w:r>
      <w:r>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t>gada 29.</w:t>
      </w:r>
      <w:r>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t>no</w:t>
      </w:r>
      <w:r>
        <w:rPr>
          <w:rFonts w:ascii="Times New Roman" w:hAnsi="Times New Roman"/>
          <w:color w:val="000000"/>
          <w:sz w:val="24"/>
          <w:szCs w:val="24"/>
          <w:lang w:eastAsia="lv-LV"/>
        </w:rPr>
        <w:t>v</w:t>
      </w:r>
      <w:r w:rsidRPr="00C07278">
        <w:rPr>
          <w:rFonts w:ascii="Times New Roman" w:hAnsi="Times New Roman"/>
          <w:color w:val="000000"/>
          <w:sz w:val="24"/>
          <w:szCs w:val="24"/>
          <w:lang w:eastAsia="lv-LV"/>
        </w:rPr>
        <w:t>embrī trīs Baltijas valstu izglītības un zinātnes ministri parakstīja Saprašanās memorandu</w:t>
      </w:r>
      <w:r w:rsidRPr="00C07278">
        <w:rPr>
          <w:rFonts w:ascii="Times New Roman" w:hAnsi="Times New Roman"/>
          <w:vertAlign w:val="superscript"/>
        </w:rPr>
        <w:footnoteReference w:id="36"/>
      </w:r>
      <w:r w:rsidRPr="00C07278">
        <w:rPr>
          <w:rFonts w:ascii="Times New Roman" w:hAnsi="Times New Roman"/>
          <w:color w:val="000000"/>
          <w:sz w:val="24"/>
          <w:szCs w:val="24"/>
          <w:lang w:eastAsia="lv-LV"/>
        </w:rPr>
        <w:t>. Saprašanās memorands paredz savstarpēji koordinēt pētniecības un attīstības infrastruktūras attīstības plānus un nacionālo pētniecības infrastruktūru ceļa kartes</w:t>
      </w:r>
      <w:r w:rsidR="00D50331">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w:t>
      </w:r>
      <w:r w:rsidR="00D50331">
        <w:rPr>
          <w:rFonts w:ascii="Times New Roman" w:hAnsi="Times New Roman"/>
          <w:color w:val="000000"/>
          <w:sz w:val="24"/>
          <w:szCs w:val="24"/>
          <w:lang w:eastAsia="lv-LV"/>
        </w:rPr>
        <w:t>Tāpat s</w:t>
      </w:r>
      <w:r w:rsidRPr="00C07278">
        <w:rPr>
          <w:rFonts w:ascii="Times New Roman" w:hAnsi="Times New Roman"/>
          <w:color w:val="000000"/>
          <w:sz w:val="24"/>
          <w:szCs w:val="24"/>
          <w:lang w:eastAsia="lv-LV"/>
        </w:rPr>
        <w:t xml:space="preserve">aprašanās memoranda ietvaros plānots veicināt informācijas apmaiņu par pētniecību, tehnoloģiju pārnesi un inovatīvo industriju viedās specializācijas jomās un identificējot kopējas prioritātes un sadarbības virzienus, tādējādi nodrošinātu pētniecības un attīstības </w:t>
      </w:r>
      <w:r w:rsidRPr="0040651B">
        <w:rPr>
          <w:rFonts w:ascii="Times New Roman" w:hAnsi="Times New Roman"/>
          <w:color w:val="000000"/>
          <w:sz w:val="24"/>
          <w:szCs w:val="24"/>
          <w:lang w:eastAsia="lv-LV"/>
        </w:rPr>
        <w:t xml:space="preserve">infrastruktūras efektīvu izmantošanu un savstarpējus ieguvumus no pētniecības un </w:t>
      </w:r>
      <w:r w:rsidRPr="00D50331">
        <w:rPr>
          <w:rFonts w:ascii="Times New Roman" w:hAnsi="Times New Roman"/>
          <w:color w:val="000000"/>
          <w:sz w:val="24"/>
          <w:szCs w:val="24"/>
          <w:lang w:eastAsia="lv-LV"/>
        </w:rPr>
        <w:t>inovāciju attīstības.</w:t>
      </w:r>
    </w:p>
    <w:p w14:paraId="00940E3C" w14:textId="36C402A6" w:rsidR="00137C4B" w:rsidRPr="00DE3FD6" w:rsidRDefault="00137C4B" w:rsidP="00E7642A">
      <w:pPr>
        <w:ind w:left="0" w:firstLine="567"/>
        <w:rPr>
          <w:rFonts w:ascii="Times New Roman" w:eastAsiaTheme="minorHAnsi" w:hAnsi="Times New Roman"/>
          <w:sz w:val="24"/>
          <w:szCs w:val="24"/>
        </w:rPr>
      </w:pPr>
      <w:r w:rsidRPr="00DE3FD6">
        <w:rPr>
          <w:rFonts w:ascii="Times New Roman" w:hAnsi="Times New Roman"/>
          <w:sz w:val="24"/>
          <w:szCs w:val="24"/>
        </w:rPr>
        <w:t>Latvijas iesaiste konsorcijos nodrošinās Latvijas zinātnisko institūciju starptautisko sadarbību un integrāciju Eiropas pētniecības telpā, kā arī nodrošinās piekļuvi Eiropas līmeņa pētniecības infrastruktūrām, pretendējot uz dažādu ES programmu atbalstu, tai skaitā ESFRI ietvaros. Saskaņā ar informatīvo ziņojumu „Par Latvijas dalību Eiropas pētniecības infrastruktūru stratēģiskā foruma (ESFRI) Eiropas pētniecības infrastruktūru Ceļa kartes konsorcijos”</w:t>
      </w:r>
      <w:r w:rsidR="0096148A" w:rsidRPr="00DE3FD6">
        <w:rPr>
          <w:rStyle w:val="FootnoteReference"/>
          <w:rFonts w:ascii="Times New Roman" w:hAnsi="Times New Roman"/>
          <w:sz w:val="24"/>
          <w:szCs w:val="24"/>
        </w:rPr>
        <w:footnoteReference w:id="37"/>
      </w:r>
      <w:r w:rsidRPr="00DE3FD6">
        <w:rPr>
          <w:rFonts w:ascii="Times New Roman" w:hAnsi="Times New Roman"/>
          <w:sz w:val="24"/>
          <w:szCs w:val="24"/>
        </w:rPr>
        <w:t>, Latvija plāno piedalīties astoņās ESFRI ceļa kartes infrastruktūrās, t.i. piecos konsorcijos - BBMRI, CLARIN, ESS, EATRIS un JIVE, kā arī trīs pētniecības infrastruktūras platformās (topošajos konsorcijos) – EU - OPENSCREEN, INSCTRUCT un MIRRI, tādejādi nodrošinot Latvijas zinātnisko institūciju piekļuvi šādām ESFRI ceļa kartes infrastruktūrām.</w:t>
      </w:r>
    </w:p>
    <w:p w14:paraId="725EE1CE" w14:textId="6E136AB8" w:rsidR="00A061AB" w:rsidRPr="00137C4B" w:rsidRDefault="0096148A" w:rsidP="00E7642A">
      <w:pPr>
        <w:ind w:left="0" w:firstLine="567"/>
        <w:rPr>
          <w:rFonts w:ascii="Times New Roman" w:eastAsiaTheme="minorHAnsi" w:hAnsi="Times New Roman"/>
          <w:sz w:val="24"/>
          <w:szCs w:val="24"/>
        </w:rPr>
      </w:pPr>
      <w:r w:rsidRPr="00DE3FD6">
        <w:rPr>
          <w:rFonts w:ascii="Times New Roman" w:hAnsi="Times New Roman"/>
          <w:sz w:val="24"/>
          <w:szCs w:val="24"/>
        </w:rPr>
        <w:t>Zinātnisko institūciju starptautiskās sadarbības un integrācijas Eiropas pētniecības telpā</w:t>
      </w:r>
      <w:r>
        <w:rPr>
          <w:rFonts w:ascii="Times New Roman" w:hAnsi="Times New Roman"/>
          <w:color w:val="000000"/>
          <w:sz w:val="24"/>
          <w:szCs w:val="24"/>
          <w:lang w:eastAsia="lv-LV"/>
        </w:rPr>
        <w:t xml:space="preserve"> veicināšanai, v</w:t>
      </w:r>
      <w:r w:rsidR="00A061AB">
        <w:rPr>
          <w:rFonts w:ascii="Times New Roman" w:hAnsi="Times New Roman"/>
          <w:color w:val="000000"/>
          <w:sz w:val="24"/>
          <w:szCs w:val="24"/>
          <w:lang w:eastAsia="lv-LV"/>
        </w:rPr>
        <w:t xml:space="preserve">isas trīs Baltijas valstis </w:t>
      </w:r>
      <w:r w:rsidR="00A061AB" w:rsidRPr="00C07278">
        <w:rPr>
          <w:rFonts w:ascii="Times New Roman" w:hAnsi="Times New Roman"/>
          <w:color w:val="000000"/>
          <w:sz w:val="24"/>
          <w:szCs w:val="24"/>
          <w:lang w:eastAsia="lv-LV"/>
        </w:rPr>
        <w:t>plāno piedalīties BBMRI, CLARIN, ESS infrastruktūras objektos, ta</w:t>
      </w:r>
      <w:r w:rsidR="00A061AB">
        <w:rPr>
          <w:rFonts w:ascii="Times New Roman" w:hAnsi="Times New Roman"/>
          <w:color w:val="000000"/>
          <w:sz w:val="24"/>
          <w:szCs w:val="24"/>
          <w:lang w:eastAsia="lv-LV"/>
        </w:rPr>
        <w:t>jā</w:t>
      </w:r>
      <w:r w:rsidR="00A061AB" w:rsidRPr="00C07278">
        <w:rPr>
          <w:rFonts w:ascii="Times New Roman" w:hAnsi="Times New Roman"/>
          <w:color w:val="000000"/>
          <w:sz w:val="24"/>
          <w:szCs w:val="24"/>
          <w:lang w:eastAsia="lv-LV"/>
        </w:rPr>
        <w:t xml:space="preserve"> skaitā Lietuva un Latvija plāno piedalīties arī INSTRUCT, savukārt Latvija un Igaunija </w:t>
      </w:r>
      <w:r w:rsidR="00A061AB">
        <w:rPr>
          <w:rFonts w:ascii="Times New Roman" w:hAnsi="Times New Roman"/>
          <w:color w:val="000000"/>
          <w:sz w:val="24"/>
          <w:szCs w:val="24"/>
          <w:lang w:eastAsia="lv-LV"/>
        </w:rPr>
        <w:t>–</w:t>
      </w:r>
      <w:r w:rsidR="00A061AB" w:rsidRPr="00C07278">
        <w:rPr>
          <w:rFonts w:ascii="Times New Roman" w:hAnsi="Times New Roman"/>
          <w:color w:val="000000"/>
          <w:sz w:val="24"/>
          <w:szCs w:val="24"/>
          <w:lang w:eastAsia="lv-LV"/>
        </w:rPr>
        <w:t xml:space="preserve"> E</w:t>
      </w:r>
      <w:r w:rsidR="00A061AB">
        <w:rPr>
          <w:rFonts w:ascii="Times New Roman" w:hAnsi="Times New Roman"/>
          <w:color w:val="000000"/>
          <w:sz w:val="24"/>
          <w:szCs w:val="24"/>
          <w:lang w:eastAsia="lv-LV"/>
        </w:rPr>
        <w:t xml:space="preserve">ATRIS </w:t>
      </w:r>
      <w:r w:rsidR="00A061AB" w:rsidRPr="00C07278">
        <w:rPr>
          <w:rFonts w:ascii="Times New Roman" w:hAnsi="Times New Roman"/>
          <w:color w:val="000000"/>
          <w:sz w:val="24"/>
          <w:szCs w:val="24"/>
          <w:lang w:eastAsia="lv-LV"/>
        </w:rPr>
        <w:t>pētniecības infrastruktūrā</w:t>
      </w:r>
      <w:r w:rsidR="00A061AB">
        <w:rPr>
          <w:rFonts w:ascii="Times New Roman" w:hAnsi="Times New Roman"/>
          <w:color w:val="000000"/>
          <w:sz w:val="24"/>
          <w:szCs w:val="24"/>
          <w:lang w:eastAsia="lv-LV"/>
        </w:rPr>
        <w:t xml:space="preserve"> (skat. 10.</w:t>
      </w:r>
      <w:r w:rsidR="00A36CEB">
        <w:rPr>
          <w:rFonts w:ascii="Times New Roman" w:hAnsi="Times New Roman"/>
          <w:color w:val="000000"/>
          <w:sz w:val="24"/>
          <w:szCs w:val="24"/>
          <w:lang w:eastAsia="lv-LV"/>
        </w:rPr>
        <w:t> </w:t>
      </w:r>
      <w:r w:rsidR="00A061AB">
        <w:rPr>
          <w:rFonts w:ascii="Times New Roman" w:hAnsi="Times New Roman"/>
          <w:color w:val="000000"/>
          <w:sz w:val="24"/>
          <w:szCs w:val="24"/>
          <w:lang w:eastAsia="lv-LV"/>
        </w:rPr>
        <w:t xml:space="preserve">tabulu). Baltijas valstu savstarpējā sadarbība dalībai </w:t>
      </w:r>
      <w:r w:rsidR="00A061AB" w:rsidRPr="009D06D2">
        <w:rPr>
          <w:rFonts w:ascii="Times New Roman" w:hAnsi="Times New Roman"/>
          <w:color w:val="000000"/>
          <w:sz w:val="24"/>
          <w:szCs w:val="24"/>
          <w:lang w:eastAsia="lv-LV"/>
        </w:rPr>
        <w:t>ESFRI pētniecības infrastruktūr</w:t>
      </w:r>
      <w:r w:rsidR="00A061AB">
        <w:rPr>
          <w:rFonts w:ascii="Times New Roman" w:hAnsi="Times New Roman"/>
          <w:color w:val="000000"/>
          <w:sz w:val="24"/>
          <w:szCs w:val="24"/>
          <w:lang w:eastAsia="lv-LV"/>
        </w:rPr>
        <w:t>ās,</w:t>
      </w:r>
      <w:r w:rsidR="00A061AB" w:rsidRPr="009D06D2">
        <w:rPr>
          <w:rFonts w:ascii="Times New Roman" w:hAnsi="Times New Roman"/>
          <w:color w:val="000000"/>
          <w:sz w:val="24"/>
          <w:szCs w:val="24"/>
          <w:lang w:eastAsia="lv-LV"/>
        </w:rPr>
        <w:t xml:space="preserve"> tiks nodrošināta vienotās pētniecības infrastruktūrās pārvaldības, datu un darba metodoloģijas vai pētniecības iekārtu pi</w:t>
      </w:r>
      <w:r w:rsidR="00A061AB">
        <w:rPr>
          <w:rFonts w:ascii="Times New Roman" w:hAnsi="Times New Roman"/>
          <w:color w:val="000000"/>
          <w:sz w:val="24"/>
          <w:szCs w:val="24"/>
          <w:lang w:eastAsia="lv-LV"/>
        </w:rPr>
        <w:t>eejamības un izmantošanas jomās.</w:t>
      </w:r>
    </w:p>
    <w:p w14:paraId="3D0984E3" w14:textId="77777777" w:rsidR="00A061AB" w:rsidRDefault="00A061AB" w:rsidP="00E7642A">
      <w:pPr>
        <w:ind w:left="0" w:firstLine="567"/>
        <w:rPr>
          <w:rFonts w:ascii="Times New Roman" w:hAnsi="Times New Roman"/>
          <w:color w:val="000000"/>
          <w:sz w:val="24"/>
          <w:szCs w:val="24"/>
          <w:lang w:eastAsia="lv-LV"/>
        </w:rPr>
      </w:pPr>
    </w:p>
    <w:p w14:paraId="313BC56B" w14:textId="15B902F3" w:rsidR="00A061AB" w:rsidRPr="002A14A7" w:rsidRDefault="00EF4168" w:rsidP="00E7642A">
      <w:pPr>
        <w:ind w:left="0" w:firstLine="567"/>
        <w:rPr>
          <w:rFonts w:ascii="Times New Roman" w:hAnsi="Times New Roman"/>
          <w:color w:val="000000"/>
          <w:sz w:val="24"/>
          <w:szCs w:val="24"/>
          <w:lang w:eastAsia="lv-LV"/>
        </w:rPr>
      </w:pPr>
      <w:r w:rsidRPr="00C07278">
        <w:rPr>
          <w:rFonts w:ascii="Times New Roman" w:hAnsi="Times New Roman"/>
          <w:color w:val="000000"/>
          <w:sz w:val="24"/>
          <w:szCs w:val="24"/>
          <w:lang w:eastAsia="lv-LV"/>
        </w:rPr>
        <w:t xml:space="preserve">Lietuvas Republikas valdība </w:t>
      </w:r>
      <w:r w:rsidR="00A061AB" w:rsidRPr="00C07278">
        <w:rPr>
          <w:rFonts w:ascii="Times New Roman" w:hAnsi="Times New Roman"/>
          <w:color w:val="000000"/>
          <w:sz w:val="24"/>
          <w:szCs w:val="24"/>
          <w:lang w:eastAsia="lv-LV"/>
        </w:rPr>
        <w:t>2007.</w:t>
      </w:r>
      <w:r w:rsidR="00A061AB">
        <w:rPr>
          <w:rFonts w:ascii="Times New Roman" w:hAnsi="Times New Roman"/>
          <w:color w:val="000000"/>
          <w:sz w:val="24"/>
          <w:szCs w:val="24"/>
          <w:lang w:eastAsia="lv-LV"/>
        </w:rPr>
        <w:t xml:space="preserve"> </w:t>
      </w:r>
      <w:r w:rsidR="00A061AB" w:rsidRPr="00C07278">
        <w:rPr>
          <w:rFonts w:ascii="Times New Roman" w:hAnsi="Times New Roman"/>
          <w:color w:val="000000"/>
          <w:sz w:val="24"/>
          <w:szCs w:val="24"/>
          <w:lang w:eastAsia="lv-LV"/>
        </w:rPr>
        <w:t xml:space="preserve">gadā aprīlī </w:t>
      </w:r>
      <w:r w:rsidR="00A061AB">
        <w:rPr>
          <w:rFonts w:ascii="Times New Roman" w:hAnsi="Times New Roman"/>
          <w:color w:val="000000"/>
          <w:sz w:val="24"/>
          <w:szCs w:val="24"/>
          <w:lang w:eastAsia="lv-LV"/>
        </w:rPr>
        <w:t>pieņēma lēmumu</w:t>
      </w:r>
      <w:r w:rsidRPr="00C07278">
        <w:rPr>
          <w:rFonts w:ascii="Times New Roman" w:hAnsi="Times New Roman"/>
          <w:color w:val="000000"/>
          <w:sz w:val="24"/>
          <w:szCs w:val="24"/>
          <w:lang w:eastAsia="lv-LV"/>
        </w:rPr>
        <w:t xml:space="preserve"> par integrēt</w:t>
      </w:r>
      <w:r w:rsidR="00A061AB">
        <w:rPr>
          <w:rFonts w:ascii="Times New Roman" w:hAnsi="Times New Roman"/>
          <w:color w:val="000000"/>
          <w:sz w:val="24"/>
          <w:szCs w:val="24"/>
          <w:lang w:eastAsia="lv-LV"/>
        </w:rPr>
        <w:t>u</w:t>
      </w:r>
      <w:r w:rsidRPr="00C07278">
        <w:rPr>
          <w:rFonts w:ascii="Times New Roman" w:hAnsi="Times New Roman"/>
          <w:color w:val="000000"/>
          <w:sz w:val="24"/>
          <w:szCs w:val="24"/>
          <w:lang w:eastAsia="lv-LV"/>
        </w:rPr>
        <w:t xml:space="preserve"> zinātnes, studiju un uzņēmējdarbības sadarbības centru jeb “ieleju” izveidi</w:t>
      </w:r>
      <w:r w:rsidRPr="00F66097">
        <w:rPr>
          <w:rFonts w:ascii="Times New Roman" w:hAnsi="Times New Roman"/>
          <w:vertAlign w:val="superscript"/>
        </w:rPr>
        <w:footnoteReference w:id="38"/>
      </w:r>
      <w:r w:rsidRPr="00C07278">
        <w:rPr>
          <w:rFonts w:ascii="Times New Roman" w:hAnsi="Times New Roman"/>
          <w:color w:val="000000"/>
          <w:sz w:val="24"/>
          <w:szCs w:val="24"/>
          <w:lang w:eastAsia="lv-LV"/>
        </w:rPr>
        <w:t>, lai novērstu sadrumstaloto inovāciju sistēmu un celtu investīciju līmeni</w:t>
      </w:r>
      <w:r w:rsidR="002A14A7">
        <w:rPr>
          <w:rFonts w:ascii="Times New Roman" w:hAnsi="Times New Roman"/>
          <w:color w:val="000000"/>
          <w:sz w:val="24"/>
          <w:szCs w:val="24"/>
          <w:lang w:eastAsia="lv-LV"/>
        </w:rPr>
        <w:t>,</w:t>
      </w:r>
      <w:r w:rsidR="002A14A7" w:rsidRPr="002A14A7">
        <w:rPr>
          <w:rFonts w:ascii="Times New Roman" w:hAnsi="Times New Roman"/>
          <w:color w:val="000000"/>
          <w:sz w:val="24"/>
          <w:szCs w:val="24"/>
          <w:lang w:eastAsia="lv-LV"/>
        </w:rPr>
        <w:t xml:space="preserve"> </w:t>
      </w:r>
      <w:r w:rsidR="00516D0A" w:rsidRPr="00516D0A">
        <w:rPr>
          <w:rFonts w:ascii="Times New Roman" w:hAnsi="Times New Roman"/>
          <w:color w:val="000000"/>
          <w:sz w:val="24"/>
          <w:szCs w:val="24"/>
          <w:lang w:eastAsia="lv-LV"/>
        </w:rPr>
        <w:t xml:space="preserve">tai skaitā </w:t>
      </w:r>
      <w:r w:rsidR="002A14A7" w:rsidRPr="00C07278">
        <w:rPr>
          <w:rFonts w:ascii="Times New Roman" w:hAnsi="Times New Roman"/>
          <w:color w:val="000000"/>
          <w:sz w:val="24"/>
          <w:szCs w:val="24"/>
          <w:lang w:eastAsia="lv-LV"/>
        </w:rPr>
        <w:t>privātajā sektorā, veicinātu tehnoloģiju pārnesi un komercializāciju, lielāku uzņēmējdarbības sektora līdzdalību visos inovācijas ciklos</w:t>
      </w:r>
      <w:r w:rsidR="002A14A7">
        <w:rPr>
          <w:rFonts w:ascii="Times New Roman" w:hAnsi="Times New Roman"/>
          <w:color w:val="000000"/>
          <w:sz w:val="24"/>
          <w:szCs w:val="24"/>
          <w:lang w:eastAsia="lv-LV"/>
        </w:rPr>
        <w:t xml:space="preserve">, </w:t>
      </w:r>
      <w:r w:rsidR="002A14A7" w:rsidRPr="00C07278">
        <w:rPr>
          <w:rFonts w:ascii="Times New Roman" w:hAnsi="Times New Roman"/>
          <w:color w:val="000000"/>
          <w:sz w:val="24"/>
          <w:szCs w:val="24"/>
          <w:lang w:eastAsia="lv-LV"/>
        </w:rPr>
        <w:t xml:space="preserve">kā arī nodrošinātu </w:t>
      </w:r>
      <w:r w:rsidR="002A14A7" w:rsidRPr="00C07278">
        <w:rPr>
          <w:rFonts w:ascii="Times New Roman" w:hAnsi="Times New Roman"/>
          <w:color w:val="000000"/>
          <w:sz w:val="24"/>
          <w:szCs w:val="24"/>
          <w:lang w:eastAsia="lv-LV"/>
        </w:rPr>
        <w:lastRenderedPageBreak/>
        <w:t>efektīvāku pētniecības un attīstības infrastruktūras izmantošanu un koncentrētu pieejamo pētniecības un attīstības potenciālu zinātnē, izglītībā un uzņēm</w:t>
      </w:r>
      <w:r w:rsidR="002A14A7">
        <w:rPr>
          <w:rFonts w:ascii="Times New Roman" w:hAnsi="Times New Roman"/>
          <w:color w:val="000000"/>
          <w:sz w:val="24"/>
          <w:szCs w:val="24"/>
          <w:lang w:eastAsia="lv-LV"/>
        </w:rPr>
        <w:t>ējdarbībā teritoriāli vienuviet (sk</w:t>
      </w:r>
      <w:r w:rsidR="005163E5">
        <w:rPr>
          <w:rFonts w:ascii="Times New Roman" w:hAnsi="Times New Roman"/>
          <w:color w:val="000000"/>
          <w:sz w:val="24"/>
          <w:szCs w:val="24"/>
          <w:lang w:eastAsia="lv-LV"/>
        </w:rPr>
        <w:t>at</w:t>
      </w:r>
      <w:r w:rsidR="002A14A7">
        <w:rPr>
          <w:rFonts w:ascii="Times New Roman" w:hAnsi="Times New Roman"/>
          <w:color w:val="000000"/>
          <w:sz w:val="24"/>
          <w:szCs w:val="24"/>
          <w:lang w:eastAsia="lv-LV"/>
        </w:rPr>
        <w:t xml:space="preserve">. </w:t>
      </w:r>
      <w:r w:rsidR="004F69AB">
        <w:rPr>
          <w:rFonts w:ascii="Times New Roman" w:hAnsi="Times New Roman"/>
          <w:color w:val="000000"/>
          <w:sz w:val="24"/>
          <w:szCs w:val="24"/>
          <w:lang w:eastAsia="lv-LV"/>
        </w:rPr>
        <w:t>8</w:t>
      </w:r>
      <w:r w:rsidR="005163E5">
        <w:rPr>
          <w:rFonts w:ascii="Times New Roman" w:hAnsi="Times New Roman"/>
          <w:color w:val="000000"/>
          <w:sz w:val="24"/>
          <w:szCs w:val="24"/>
          <w:lang w:eastAsia="lv-LV"/>
        </w:rPr>
        <w:t>.</w:t>
      </w:r>
      <w:r w:rsidR="002A14A7">
        <w:rPr>
          <w:rFonts w:ascii="Times New Roman" w:hAnsi="Times New Roman"/>
          <w:color w:val="000000"/>
          <w:sz w:val="24"/>
          <w:szCs w:val="24"/>
          <w:lang w:eastAsia="lv-LV"/>
        </w:rPr>
        <w:t>attēlu)</w:t>
      </w:r>
      <w:r>
        <w:rPr>
          <w:rFonts w:ascii="Times New Roman" w:hAnsi="Times New Roman"/>
          <w:color w:val="000000"/>
          <w:sz w:val="24"/>
          <w:szCs w:val="24"/>
          <w:lang w:eastAsia="lv-LV"/>
        </w:rPr>
        <w:t xml:space="preserve">. </w:t>
      </w:r>
      <w:r w:rsidR="00A061AB" w:rsidRPr="002A14A7">
        <w:rPr>
          <w:rFonts w:ascii="Times New Roman" w:hAnsi="Times New Roman"/>
          <w:color w:val="000000"/>
          <w:sz w:val="24"/>
          <w:szCs w:val="24"/>
          <w:lang w:eastAsia="lv-LV"/>
        </w:rPr>
        <w:t>Lietuvas valdība 2013.</w:t>
      </w:r>
      <w:r w:rsidR="00A36CEB">
        <w:rPr>
          <w:rFonts w:ascii="Times New Roman" w:hAnsi="Times New Roman"/>
          <w:color w:val="000000"/>
          <w:sz w:val="24"/>
          <w:szCs w:val="24"/>
          <w:lang w:eastAsia="lv-LV"/>
        </w:rPr>
        <w:t> </w:t>
      </w:r>
      <w:r w:rsidR="00A061AB" w:rsidRPr="002A14A7">
        <w:rPr>
          <w:rFonts w:ascii="Times New Roman" w:hAnsi="Times New Roman"/>
          <w:color w:val="000000"/>
          <w:sz w:val="24"/>
          <w:szCs w:val="24"/>
          <w:lang w:eastAsia="lv-LV"/>
        </w:rPr>
        <w:t>gada 14.</w:t>
      </w:r>
      <w:r w:rsidR="00A36CEB">
        <w:rPr>
          <w:rFonts w:ascii="Times New Roman" w:hAnsi="Times New Roman"/>
          <w:color w:val="000000"/>
          <w:sz w:val="24"/>
          <w:szCs w:val="24"/>
          <w:lang w:eastAsia="lv-LV"/>
        </w:rPr>
        <w:t> </w:t>
      </w:r>
      <w:r w:rsidR="00A061AB" w:rsidRPr="002A14A7">
        <w:rPr>
          <w:rFonts w:ascii="Times New Roman" w:hAnsi="Times New Roman"/>
          <w:color w:val="000000"/>
          <w:sz w:val="24"/>
          <w:szCs w:val="24"/>
          <w:lang w:eastAsia="lv-LV"/>
        </w:rPr>
        <w:t>oktobrī apstiprinājusi sešas viedās specializācijas pētniecības, attīstības un inovāciju prioritārās jomas:</w:t>
      </w:r>
    </w:p>
    <w:p w14:paraId="5D116240" w14:textId="77777777" w:rsidR="00A061AB" w:rsidRPr="002A14A7" w:rsidRDefault="00A061AB" w:rsidP="00E7642A">
      <w:pPr>
        <w:pStyle w:val="ListParagraph"/>
        <w:numPr>
          <w:ilvl w:val="0"/>
          <w:numId w:val="16"/>
        </w:numPr>
        <w:tabs>
          <w:tab w:val="left" w:pos="567"/>
        </w:tabs>
        <w:rPr>
          <w:rFonts w:cs="Times New Roman"/>
          <w:color w:val="000000"/>
        </w:rPr>
      </w:pPr>
      <w:r>
        <w:rPr>
          <w:rFonts w:cs="Times New Roman"/>
          <w:color w:val="000000"/>
        </w:rPr>
        <w:t>e</w:t>
      </w:r>
      <w:r w:rsidRPr="002A14A7">
        <w:rPr>
          <w:rFonts w:cs="Times New Roman"/>
          <w:color w:val="000000"/>
        </w:rPr>
        <w:t>nerģija un vides ilgtspēja</w:t>
      </w:r>
      <w:r w:rsidR="00721061">
        <w:rPr>
          <w:rFonts w:cs="Times New Roman"/>
          <w:color w:val="000000"/>
        </w:rPr>
        <w:t>;</w:t>
      </w:r>
    </w:p>
    <w:p w14:paraId="7EF31CEB" w14:textId="77777777" w:rsidR="00A061AB" w:rsidRPr="002A14A7" w:rsidRDefault="00A061AB" w:rsidP="00E7642A">
      <w:pPr>
        <w:pStyle w:val="ListParagraph"/>
        <w:numPr>
          <w:ilvl w:val="0"/>
          <w:numId w:val="16"/>
        </w:numPr>
        <w:tabs>
          <w:tab w:val="left" w:pos="567"/>
        </w:tabs>
        <w:rPr>
          <w:rFonts w:cs="Times New Roman"/>
          <w:color w:val="000000"/>
        </w:rPr>
      </w:pPr>
      <w:r>
        <w:rPr>
          <w:rFonts w:cs="Times New Roman"/>
          <w:color w:val="000000"/>
        </w:rPr>
        <w:t>v</w:t>
      </w:r>
      <w:r w:rsidRPr="002A14A7">
        <w:rPr>
          <w:rFonts w:cs="Times New Roman"/>
          <w:color w:val="000000"/>
        </w:rPr>
        <w:t>eselības tehnoloģijas un biotehnoloģijas</w:t>
      </w:r>
      <w:r w:rsidR="00721061">
        <w:rPr>
          <w:rFonts w:cs="Times New Roman"/>
          <w:color w:val="000000"/>
        </w:rPr>
        <w:t>;</w:t>
      </w:r>
    </w:p>
    <w:p w14:paraId="4FA9643F" w14:textId="77777777" w:rsidR="00A061AB" w:rsidRPr="002A14A7" w:rsidRDefault="00A061AB" w:rsidP="00E7642A">
      <w:pPr>
        <w:pStyle w:val="ListParagraph"/>
        <w:numPr>
          <w:ilvl w:val="0"/>
          <w:numId w:val="16"/>
        </w:numPr>
        <w:tabs>
          <w:tab w:val="left" w:pos="567"/>
        </w:tabs>
        <w:rPr>
          <w:rFonts w:cs="Times New Roman"/>
          <w:color w:val="000000"/>
        </w:rPr>
      </w:pPr>
      <w:r>
        <w:rPr>
          <w:rFonts w:cs="Times New Roman"/>
          <w:color w:val="000000"/>
        </w:rPr>
        <w:t>i</w:t>
      </w:r>
      <w:r w:rsidRPr="002A14A7">
        <w:rPr>
          <w:rFonts w:cs="Times New Roman"/>
          <w:color w:val="000000"/>
        </w:rPr>
        <w:t>novācijas lauksaimniecībā un pārtikas tehnoloģijas</w:t>
      </w:r>
      <w:r w:rsidR="00721061">
        <w:rPr>
          <w:rFonts w:cs="Times New Roman"/>
          <w:color w:val="000000"/>
        </w:rPr>
        <w:t>;</w:t>
      </w:r>
    </w:p>
    <w:p w14:paraId="3077AEE9" w14:textId="77777777" w:rsidR="00A061AB" w:rsidRPr="002A14A7" w:rsidRDefault="00A061AB" w:rsidP="00E7642A">
      <w:pPr>
        <w:pStyle w:val="ListParagraph"/>
        <w:numPr>
          <w:ilvl w:val="0"/>
          <w:numId w:val="16"/>
        </w:numPr>
        <w:tabs>
          <w:tab w:val="left" w:pos="567"/>
        </w:tabs>
        <w:rPr>
          <w:rFonts w:cs="Times New Roman"/>
          <w:color w:val="000000"/>
        </w:rPr>
      </w:pPr>
      <w:r>
        <w:rPr>
          <w:rFonts w:cs="Times New Roman"/>
          <w:color w:val="000000"/>
        </w:rPr>
        <w:t>j</w:t>
      </w:r>
      <w:r w:rsidRPr="002A14A7">
        <w:rPr>
          <w:rFonts w:cs="Times New Roman"/>
          <w:color w:val="000000"/>
        </w:rPr>
        <w:t>auni ražošanas procesi, materiāli un tehnoloģijas</w:t>
      </w:r>
      <w:r w:rsidR="00721061">
        <w:rPr>
          <w:rFonts w:cs="Times New Roman"/>
          <w:color w:val="000000"/>
        </w:rPr>
        <w:t>;</w:t>
      </w:r>
    </w:p>
    <w:p w14:paraId="7A7DFB4E" w14:textId="77777777" w:rsidR="00A061AB" w:rsidRPr="002A14A7" w:rsidRDefault="00A061AB" w:rsidP="00E7642A">
      <w:pPr>
        <w:pStyle w:val="ListParagraph"/>
        <w:numPr>
          <w:ilvl w:val="0"/>
          <w:numId w:val="16"/>
        </w:numPr>
        <w:tabs>
          <w:tab w:val="left" w:pos="567"/>
        </w:tabs>
        <w:rPr>
          <w:rFonts w:cs="Times New Roman"/>
          <w:color w:val="000000"/>
        </w:rPr>
      </w:pPr>
      <w:r>
        <w:rPr>
          <w:rFonts w:cs="Times New Roman"/>
          <w:color w:val="000000"/>
        </w:rPr>
        <w:t>t</w:t>
      </w:r>
      <w:r w:rsidRPr="002A14A7">
        <w:rPr>
          <w:rFonts w:cs="Times New Roman"/>
          <w:color w:val="000000"/>
        </w:rPr>
        <w:t>ransports, loģistika un informācijas un komunikāciju tehnoloģijas</w:t>
      </w:r>
      <w:r w:rsidR="00721061">
        <w:rPr>
          <w:rFonts w:cs="Times New Roman"/>
          <w:color w:val="000000"/>
        </w:rPr>
        <w:t>;</w:t>
      </w:r>
    </w:p>
    <w:p w14:paraId="4E1ED74C" w14:textId="77777777" w:rsidR="002A14A7" w:rsidRPr="00A520C8" w:rsidRDefault="00A061AB" w:rsidP="00E7642A">
      <w:pPr>
        <w:pStyle w:val="ListParagraph"/>
        <w:numPr>
          <w:ilvl w:val="0"/>
          <w:numId w:val="16"/>
        </w:numPr>
        <w:tabs>
          <w:tab w:val="left" w:pos="567"/>
        </w:tabs>
        <w:rPr>
          <w:color w:val="000000"/>
          <w:lang w:eastAsia="lv-LV"/>
        </w:rPr>
      </w:pPr>
      <w:r>
        <w:rPr>
          <w:rFonts w:cs="Times New Roman"/>
          <w:color w:val="000000"/>
        </w:rPr>
        <w:t>r</w:t>
      </w:r>
      <w:r w:rsidRPr="002A14A7">
        <w:rPr>
          <w:rFonts w:cs="Times New Roman"/>
          <w:color w:val="000000"/>
        </w:rPr>
        <w:t xml:space="preserve">adoša un iekļaujoša sabiedrība. </w:t>
      </w:r>
    </w:p>
    <w:p w14:paraId="1036511C" w14:textId="75B2D73A" w:rsidR="002A14A7" w:rsidRPr="009C7153" w:rsidRDefault="002A14A7" w:rsidP="00E7642A">
      <w:pPr>
        <w:pStyle w:val="Caption"/>
        <w:spacing w:before="120" w:after="120"/>
        <w:ind w:left="720"/>
        <w:jc w:val="right"/>
        <w:rPr>
          <w:shd w:val="clear" w:color="auto" w:fill="D9D9D9" w:themeFill="background1" w:themeFillShade="D9"/>
        </w:rPr>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004F69AB">
        <w:rPr>
          <w:rFonts w:ascii="Times New Roman" w:hAnsi="Times New Roman"/>
          <w:color w:val="auto"/>
          <w:sz w:val="24"/>
          <w:szCs w:val="24"/>
        </w:rPr>
        <w:t>8</w:t>
      </w:r>
      <w:r>
        <w:rPr>
          <w:rFonts w:ascii="Times New Roman" w:hAnsi="Times New Roman"/>
          <w:color w:val="auto"/>
          <w:sz w:val="24"/>
          <w:szCs w:val="24"/>
        </w:rPr>
        <w:t>.</w:t>
      </w:r>
    </w:p>
    <w:p w14:paraId="0ED25220" w14:textId="77777777" w:rsidR="002A14A7" w:rsidRPr="009C7153" w:rsidRDefault="002A14A7" w:rsidP="00E7642A">
      <w:pPr>
        <w:pStyle w:val="ListParagraph"/>
        <w:tabs>
          <w:tab w:val="left" w:pos="0"/>
          <w:tab w:val="left" w:pos="567"/>
        </w:tabs>
        <w:ind w:firstLine="0"/>
        <w:jc w:val="center"/>
        <w:rPr>
          <w:rFonts w:cs="Times New Roman"/>
          <w:b/>
          <w:lang w:eastAsia="lv-LV"/>
        </w:rPr>
      </w:pPr>
      <w:r w:rsidRPr="009C7153">
        <w:rPr>
          <w:rFonts w:cs="Times New Roman"/>
          <w:b/>
          <w:color w:val="000000"/>
          <w:lang w:eastAsia="lv-LV"/>
        </w:rPr>
        <w:t xml:space="preserve">Integrēto zinātnes, studiju un uzņēmējdarbības sadarbības </w:t>
      </w:r>
      <w:r w:rsidRPr="009C7153">
        <w:rPr>
          <w:rFonts w:cs="Times New Roman"/>
          <w:b/>
          <w:lang w:eastAsia="lv-LV"/>
        </w:rPr>
        <w:t>centru teritoriālais izvietojums</w:t>
      </w:r>
    </w:p>
    <w:p w14:paraId="35A55CE2" w14:textId="77777777" w:rsidR="002A14A7" w:rsidRPr="002D7733" w:rsidRDefault="002A14A7" w:rsidP="00E7642A">
      <w:pPr>
        <w:ind w:left="0"/>
        <w:jc w:val="center"/>
        <w:rPr>
          <w:rFonts w:ascii="Times New Roman" w:hAnsi="Times New Roman"/>
          <w:color w:val="000000"/>
          <w:lang w:eastAsia="lv-LV"/>
        </w:rPr>
      </w:pPr>
      <w:r w:rsidRPr="002D7733">
        <w:rPr>
          <w:rFonts w:ascii="Times New Roman" w:hAnsi="Times New Roman"/>
          <w:noProof/>
          <w:color w:val="000000"/>
          <w:lang w:eastAsia="lv-LV"/>
        </w:rPr>
        <w:drawing>
          <wp:inline distT="0" distB="0" distL="0" distR="0" wp14:anchorId="76445F6F" wp14:editId="6F37B90F">
            <wp:extent cx="4981651" cy="3634036"/>
            <wp:effectExtent l="0" t="0" r="0" b="5080"/>
            <wp:docPr id="21" name="Picture 21" descr="C:\Users\evija.zaca\Desktop\LT_ZIN_CENTRU_IZVIETOJ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ja.zaca\Desktop\LT_ZIN_CENTRU_IZVIETOJUM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591" cy="3669007"/>
                    </a:xfrm>
                    <a:prstGeom prst="rect">
                      <a:avLst/>
                    </a:prstGeom>
                    <a:noFill/>
                    <a:ln>
                      <a:noFill/>
                    </a:ln>
                  </pic:spPr>
                </pic:pic>
              </a:graphicData>
            </a:graphic>
          </wp:inline>
        </w:drawing>
      </w:r>
    </w:p>
    <w:p w14:paraId="23E919FA" w14:textId="77777777" w:rsidR="002A14A7" w:rsidRDefault="002A14A7" w:rsidP="00E7642A">
      <w:pPr>
        <w:pStyle w:val="ListParagraph"/>
        <w:tabs>
          <w:tab w:val="left" w:pos="0"/>
          <w:tab w:val="left" w:pos="567"/>
        </w:tabs>
        <w:ind w:left="0" w:firstLine="0"/>
        <w:jc w:val="left"/>
        <w:rPr>
          <w:lang w:eastAsia="lv-LV"/>
        </w:rPr>
      </w:pPr>
      <w:r w:rsidRPr="009C7153">
        <w:rPr>
          <w:rFonts w:cs="Times New Roman"/>
          <w:i/>
          <w:color w:val="000000"/>
          <w:lang w:eastAsia="lv-LV"/>
        </w:rPr>
        <w:t xml:space="preserve">Datu avots: </w:t>
      </w:r>
      <w:r w:rsidRPr="009C7153">
        <w:rPr>
          <w:rFonts w:cs="Times New Roman"/>
          <w:bCs/>
          <w:i/>
          <w:color w:val="000000"/>
          <w:lang w:val="lt-LT" w:eastAsia="lv-LV"/>
        </w:rPr>
        <w:t>Zinātnes, inovāciju un tehnoloģiju aģentūra</w:t>
      </w:r>
      <w:r w:rsidRPr="009C7153">
        <w:rPr>
          <w:rFonts w:cs="Times New Roman"/>
          <w:i/>
          <w:color w:val="000000"/>
          <w:lang w:val="lt-LT" w:eastAsia="lv-LV"/>
        </w:rPr>
        <w:t xml:space="preserve"> </w:t>
      </w:r>
      <w:r w:rsidRPr="009C7153">
        <w:rPr>
          <w:rFonts w:cs="Times New Roman"/>
          <w:i/>
          <w:color w:val="000000"/>
          <w:lang w:eastAsia="lv-LV"/>
        </w:rPr>
        <w:t>(MITA</w:t>
      </w:r>
      <w:r w:rsidRPr="009C7153">
        <w:rPr>
          <w:rFonts w:cs="Times New Roman"/>
          <w:b/>
          <w:bCs/>
          <w:i/>
          <w:color w:val="000000"/>
          <w:lang w:eastAsia="lv-LV"/>
        </w:rPr>
        <w:t>)</w:t>
      </w:r>
    </w:p>
    <w:p w14:paraId="4096576C" w14:textId="77777777" w:rsidR="002A14A7" w:rsidRDefault="002A14A7" w:rsidP="00E7642A">
      <w:pPr>
        <w:pStyle w:val="ListParagraph"/>
        <w:tabs>
          <w:tab w:val="left" w:pos="567"/>
        </w:tabs>
        <w:ind w:firstLine="0"/>
        <w:rPr>
          <w:lang w:eastAsia="lv-LV"/>
        </w:rPr>
      </w:pPr>
    </w:p>
    <w:p w14:paraId="62A4AEA3" w14:textId="54F3A068" w:rsidR="00E813A1" w:rsidRPr="00EB12EB" w:rsidRDefault="00EF4168" w:rsidP="00E7642A">
      <w:pPr>
        <w:tabs>
          <w:tab w:val="left" w:pos="0"/>
          <w:tab w:val="left" w:pos="567"/>
        </w:tabs>
        <w:ind w:left="0" w:firstLine="567"/>
        <w:rPr>
          <w:rFonts w:ascii="Times New Roman" w:hAnsi="Times New Roman"/>
          <w:color w:val="000000"/>
          <w:sz w:val="24"/>
          <w:szCs w:val="24"/>
          <w:lang w:eastAsia="lv-LV"/>
        </w:rPr>
      </w:pPr>
      <w:r w:rsidRPr="00C07278">
        <w:rPr>
          <w:rFonts w:ascii="Times New Roman" w:hAnsi="Times New Roman"/>
          <w:color w:val="000000"/>
          <w:sz w:val="24"/>
          <w:szCs w:val="24"/>
          <w:lang w:eastAsia="lv-LV"/>
        </w:rPr>
        <w:t>Igaunij</w:t>
      </w:r>
      <w:r w:rsidR="00274DE1">
        <w:rPr>
          <w:rFonts w:ascii="Times New Roman" w:hAnsi="Times New Roman"/>
          <w:color w:val="000000"/>
          <w:sz w:val="24"/>
          <w:szCs w:val="24"/>
          <w:lang w:eastAsia="lv-LV"/>
        </w:rPr>
        <w:t xml:space="preserve">ā </w:t>
      </w:r>
      <w:r w:rsidRPr="00C07278">
        <w:rPr>
          <w:rFonts w:ascii="Times New Roman" w:hAnsi="Times New Roman"/>
          <w:color w:val="000000"/>
          <w:sz w:val="24"/>
          <w:szCs w:val="24"/>
          <w:lang w:eastAsia="lv-LV"/>
        </w:rPr>
        <w:t xml:space="preserve">pētniecība un attīstība lielākoties tiek nodrošināta augstākās izglītības </w:t>
      </w:r>
      <w:r w:rsidR="00A061AB">
        <w:rPr>
          <w:rFonts w:ascii="Times New Roman" w:hAnsi="Times New Roman"/>
          <w:color w:val="000000"/>
          <w:sz w:val="24"/>
          <w:szCs w:val="24"/>
          <w:lang w:eastAsia="lv-LV"/>
        </w:rPr>
        <w:t>institūcijās</w:t>
      </w:r>
      <w:r>
        <w:rPr>
          <w:rFonts w:ascii="Times New Roman" w:hAnsi="Times New Roman"/>
          <w:color w:val="000000"/>
          <w:sz w:val="24"/>
          <w:szCs w:val="24"/>
          <w:lang w:eastAsia="lv-LV"/>
        </w:rPr>
        <w:t xml:space="preserve">. </w:t>
      </w:r>
      <w:r w:rsidR="00274DE1">
        <w:rPr>
          <w:rFonts w:ascii="Times New Roman" w:hAnsi="Times New Roman"/>
          <w:color w:val="000000"/>
          <w:sz w:val="24"/>
          <w:szCs w:val="24"/>
          <w:lang w:eastAsia="lv-LV"/>
        </w:rPr>
        <w:t>N</w:t>
      </w:r>
      <w:r w:rsidRPr="00655A62">
        <w:rPr>
          <w:rFonts w:ascii="Times New Roman" w:hAnsi="Times New Roman"/>
          <w:color w:val="000000"/>
          <w:sz w:val="24"/>
          <w:szCs w:val="24"/>
          <w:lang w:eastAsia="lv-LV"/>
        </w:rPr>
        <w:t xml:space="preserve">o 2008. līdz 2015. gadam </w:t>
      </w:r>
      <w:r w:rsidR="00274DE1">
        <w:rPr>
          <w:rFonts w:ascii="Times New Roman" w:hAnsi="Times New Roman"/>
          <w:color w:val="000000"/>
          <w:sz w:val="24"/>
          <w:szCs w:val="24"/>
          <w:lang w:eastAsia="lv-LV"/>
        </w:rPr>
        <w:t xml:space="preserve">tika </w:t>
      </w:r>
      <w:r w:rsidRPr="00655A62">
        <w:rPr>
          <w:rFonts w:ascii="Times New Roman" w:hAnsi="Times New Roman"/>
          <w:color w:val="000000"/>
          <w:sz w:val="24"/>
          <w:szCs w:val="24"/>
          <w:lang w:eastAsia="lv-LV"/>
        </w:rPr>
        <w:t>izveidoti 12 Ekselences centri</w:t>
      </w:r>
      <w:r w:rsidR="00E813A1">
        <w:rPr>
          <w:rFonts w:ascii="Times New Roman" w:hAnsi="Times New Roman"/>
          <w:color w:val="000000"/>
          <w:sz w:val="24"/>
          <w:szCs w:val="24"/>
          <w:lang w:eastAsia="lv-LV"/>
        </w:rPr>
        <w:t xml:space="preserve">, </w:t>
      </w:r>
      <w:r w:rsidR="00E813A1" w:rsidRPr="00C07278">
        <w:rPr>
          <w:rFonts w:ascii="Times New Roman" w:hAnsi="Times New Roman"/>
          <w:color w:val="000000"/>
          <w:sz w:val="24"/>
          <w:szCs w:val="24"/>
          <w:lang w:eastAsia="lv-LV"/>
        </w:rPr>
        <w:t>kuru ietvaros tiek veikti fundamentālie pētījumi galvenokārt centru veidojošajās universitātēs un zinātniskajās institūcijās, tādējādi veicinot sadarbību starp pētniecības grupām, kas darbojas papildinošās zinātnes jomās un sfērās.</w:t>
      </w:r>
      <w:r w:rsidR="004E392D">
        <w:rPr>
          <w:rFonts w:ascii="Times New Roman" w:hAnsi="Times New Roman"/>
          <w:color w:val="000000"/>
          <w:sz w:val="24"/>
          <w:szCs w:val="24"/>
          <w:lang w:eastAsia="lv-LV"/>
        </w:rPr>
        <w:t xml:space="preserve"> </w:t>
      </w:r>
      <w:r w:rsidR="00E813A1">
        <w:rPr>
          <w:rFonts w:ascii="Times New Roman" w:hAnsi="Times New Roman"/>
          <w:color w:val="000000"/>
          <w:sz w:val="24"/>
          <w:szCs w:val="24"/>
          <w:lang w:eastAsia="lv-LV"/>
        </w:rPr>
        <w:t>Savukārt</w:t>
      </w:r>
      <w:r w:rsidR="00A36CEB">
        <w:rPr>
          <w:rFonts w:ascii="Times New Roman" w:hAnsi="Times New Roman"/>
          <w:color w:val="000000"/>
          <w:sz w:val="24"/>
          <w:szCs w:val="24"/>
          <w:lang w:eastAsia="lv-LV"/>
        </w:rPr>
        <w:t>,</w:t>
      </w:r>
      <w:r w:rsidR="00E813A1">
        <w:rPr>
          <w:rFonts w:ascii="Times New Roman" w:hAnsi="Times New Roman"/>
          <w:color w:val="000000"/>
          <w:sz w:val="24"/>
          <w:szCs w:val="24"/>
          <w:lang w:eastAsia="lv-LV"/>
        </w:rPr>
        <w:t xml:space="preserve"> l</w:t>
      </w:r>
      <w:r w:rsidR="00E813A1" w:rsidRPr="00C07278">
        <w:rPr>
          <w:rFonts w:ascii="Times New Roman" w:hAnsi="Times New Roman"/>
          <w:color w:val="000000"/>
          <w:sz w:val="24"/>
          <w:szCs w:val="24"/>
          <w:lang w:eastAsia="lv-LV"/>
        </w:rPr>
        <w:t>ai stiprinātu sadarbību starp zinātniskajām institūcijām un uzņēmējdarbības sektora pārstāvjiem un veidotu zināšanu bāzi un nepieciešamos cilvēkresursus, stiprinātu rūpnieciskās pētniecības jaudas palielināšanos, kā arī veicinātu starptautisko atpazīstamību un sadarbību, sākot ar 2003.</w:t>
      </w:r>
      <w:r w:rsidR="00A36CEB">
        <w:rPr>
          <w:rFonts w:ascii="Times New Roman" w:hAnsi="Times New Roman"/>
          <w:color w:val="000000"/>
          <w:sz w:val="24"/>
          <w:szCs w:val="24"/>
          <w:lang w:eastAsia="lv-LV"/>
        </w:rPr>
        <w:t> </w:t>
      </w:r>
      <w:r w:rsidR="00E813A1" w:rsidRPr="00C07278">
        <w:rPr>
          <w:rFonts w:ascii="Times New Roman" w:hAnsi="Times New Roman"/>
          <w:color w:val="000000"/>
          <w:sz w:val="24"/>
          <w:szCs w:val="24"/>
          <w:lang w:eastAsia="lv-LV"/>
        </w:rPr>
        <w:t>gadu Igaunijā tika izveidoti 8 kompetences centri, kas orientēti uz praktisku pētījumu īstenošanu</w:t>
      </w:r>
    </w:p>
    <w:p w14:paraId="62CC8C56" w14:textId="24461D9C" w:rsidR="00EF4168" w:rsidRDefault="00EF4168" w:rsidP="00E7642A">
      <w:pPr>
        <w:tabs>
          <w:tab w:val="left" w:pos="0"/>
          <w:tab w:val="left" w:pos="567"/>
        </w:tabs>
        <w:ind w:left="0" w:firstLine="567"/>
        <w:rPr>
          <w:rFonts w:ascii="Times New Roman" w:hAnsi="Times New Roman"/>
          <w:color w:val="000000"/>
          <w:sz w:val="24"/>
          <w:szCs w:val="24"/>
          <w:lang w:eastAsia="lv-LV"/>
        </w:rPr>
      </w:pPr>
      <w:r w:rsidRPr="004E6789">
        <w:rPr>
          <w:rFonts w:ascii="Times New Roman" w:hAnsi="Times New Roman"/>
          <w:color w:val="000000"/>
          <w:sz w:val="24"/>
          <w:szCs w:val="24"/>
          <w:lang w:eastAsia="lv-LV"/>
        </w:rPr>
        <w:t>Saskaņā ar pētniecības, attīstības un inovāci</w:t>
      </w:r>
      <w:r>
        <w:rPr>
          <w:rFonts w:ascii="Times New Roman" w:hAnsi="Times New Roman"/>
          <w:color w:val="000000"/>
          <w:sz w:val="24"/>
          <w:szCs w:val="24"/>
          <w:lang w:eastAsia="lv-LV"/>
        </w:rPr>
        <w:t>ju stratēģij</w:t>
      </w:r>
      <w:r w:rsidR="00A061AB">
        <w:rPr>
          <w:rFonts w:ascii="Times New Roman" w:hAnsi="Times New Roman"/>
          <w:color w:val="000000"/>
          <w:sz w:val="24"/>
          <w:szCs w:val="24"/>
          <w:lang w:eastAsia="lv-LV"/>
        </w:rPr>
        <w:t>u</w:t>
      </w:r>
      <w:r>
        <w:rPr>
          <w:rFonts w:ascii="Times New Roman" w:hAnsi="Times New Roman"/>
          <w:color w:val="000000"/>
          <w:sz w:val="24"/>
          <w:szCs w:val="24"/>
          <w:lang w:eastAsia="lv-LV"/>
        </w:rPr>
        <w:t xml:space="preserve"> “</w:t>
      </w:r>
      <w:r w:rsidRPr="004E6789">
        <w:rPr>
          <w:rFonts w:ascii="Times New Roman" w:hAnsi="Times New Roman"/>
          <w:color w:val="000000"/>
          <w:sz w:val="24"/>
          <w:szCs w:val="24"/>
          <w:lang w:eastAsia="lv-LV"/>
        </w:rPr>
        <w:t xml:space="preserve">Uz zināšanām </w:t>
      </w:r>
      <w:r>
        <w:rPr>
          <w:rFonts w:ascii="Times New Roman" w:hAnsi="Times New Roman"/>
          <w:color w:val="000000"/>
          <w:sz w:val="24"/>
          <w:szCs w:val="24"/>
          <w:lang w:eastAsia="lv-LV"/>
        </w:rPr>
        <w:t>balstīta Igaunija 2014.</w:t>
      </w:r>
      <w:r w:rsidR="004E392D">
        <w:t>–</w:t>
      </w:r>
      <w:r>
        <w:rPr>
          <w:rFonts w:ascii="Times New Roman" w:hAnsi="Times New Roman"/>
          <w:color w:val="000000"/>
          <w:sz w:val="24"/>
          <w:szCs w:val="24"/>
          <w:lang w:eastAsia="lv-LV"/>
        </w:rPr>
        <w:t>2020”</w:t>
      </w:r>
      <w:r w:rsidRPr="004E6789">
        <w:rPr>
          <w:rFonts w:ascii="Times New Roman" w:hAnsi="Times New Roman"/>
          <w:color w:val="000000"/>
          <w:sz w:val="24"/>
          <w:szCs w:val="24"/>
          <w:lang w:eastAsia="lv-LV"/>
        </w:rPr>
        <w:t>, Igaunija 2014.</w:t>
      </w:r>
      <w:r w:rsidR="004E392D">
        <w:t>–</w:t>
      </w:r>
      <w:r w:rsidRPr="004E6789">
        <w:rPr>
          <w:rFonts w:ascii="Times New Roman" w:hAnsi="Times New Roman"/>
          <w:color w:val="000000"/>
          <w:sz w:val="24"/>
          <w:szCs w:val="24"/>
          <w:lang w:eastAsia="lv-LV"/>
        </w:rPr>
        <w:t>2020.</w:t>
      </w:r>
      <w:r>
        <w:rPr>
          <w:rFonts w:ascii="Times New Roman" w:hAnsi="Times New Roman"/>
          <w:color w:val="000000"/>
          <w:sz w:val="24"/>
          <w:szCs w:val="24"/>
          <w:lang w:eastAsia="lv-LV"/>
        </w:rPr>
        <w:t xml:space="preserve"> </w:t>
      </w:r>
      <w:r w:rsidRPr="004E6789">
        <w:rPr>
          <w:rFonts w:ascii="Times New Roman" w:hAnsi="Times New Roman"/>
          <w:color w:val="000000"/>
          <w:sz w:val="24"/>
          <w:szCs w:val="24"/>
          <w:lang w:eastAsia="lv-LV"/>
        </w:rPr>
        <w:t>gada plānošanas periodā plāno nodrošināt sistemātisku pētniecības un attīstības infrastruktūras, t</w:t>
      </w:r>
      <w:r w:rsidR="00810EA0">
        <w:rPr>
          <w:rFonts w:ascii="Times New Roman" w:hAnsi="Times New Roman"/>
          <w:color w:val="000000"/>
          <w:sz w:val="24"/>
          <w:szCs w:val="24"/>
          <w:lang w:eastAsia="lv-LV"/>
        </w:rPr>
        <w:t>ai skaitā</w:t>
      </w:r>
      <w:r w:rsidRPr="004E6789">
        <w:rPr>
          <w:rFonts w:ascii="Times New Roman" w:hAnsi="Times New Roman"/>
          <w:color w:val="000000"/>
          <w:sz w:val="24"/>
          <w:szCs w:val="24"/>
          <w:lang w:eastAsia="lv-LV"/>
        </w:rPr>
        <w:t xml:space="preserve"> digitālās infrastruktūras </w:t>
      </w:r>
      <w:r w:rsidRPr="004E6789">
        <w:rPr>
          <w:rFonts w:ascii="Times New Roman" w:hAnsi="Times New Roman"/>
          <w:color w:val="000000"/>
          <w:sz w:val="24"/>
          <w:szCs w:val="24"/>
          <w:lang w:eastAsia="lv-LV"/>
        </w:rPr>
        <w:lastRenderedPageBreak/>
        <w:t>attīstību, veicināt kopīgu pētniecības un attīstības infrastruktūras izmatošanu starp zinātniskajām institūcijām un uzņēmējdarbības sektor</w:t>
      </w:r>
      <w:r w:rsidR="00274DE1">
        <w:rPr>
          <w:rFonts w:ascii="Times New Roman" w:hAnsi="Times New Roman"/>
          <w:color w:val="000000"/>
          <w:sz w:val="24"/>
          <w:szCs w:val="24"/>
          <w:lang w:eastAsia="lv-LV"/>
        </w:rPr>
        <w:t>u</w:t>
      </w:r>
      <w:r w:rsidRPr="004E6789">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w:t>
      </w:r>
    </w:p>
    <w:p w14:paraId="5C30B960" w14:textId="77777777" w:rsidR="00846439" w:rsidRDefault="00846439" w:rsidP="00E7642A">
      <w:pPr>
        <w:tabs>
          <w:tab w:val="left" w:pos="0"/>
          <w:tab w:val="left" w:pos="567"/>
        </w:tabs>
        <w:ind w:left="0" w:firstLine="567"/>
        <w:rPr>
          <w:rFonts w:ascii="Times New Roman" w:hAnsi="Times New Roman"/>
          <w:color w:val="000000"/>
          <w:sz w:val="24"/>
          <w:szCs w:val="24"/>
          <w:lang w:eastAsia="lv-LV"/>
        </w:rPr>
      </w:pPr>
      <w:r>
        <w:rPr>
          <w:rFonts w:ascii="Times New Roman" w:hAnsi="Times New Roman"/>
          <w:color w:val="000000"/>
          <w:sz w:val="24"/>
          <w:szCs w:val="24"/>
          <w:lang w:eastAsia="lv-LV"/>
        </w:rPr>
        <w:t xml:space="preserve">Detalizētāku informāciju par Lietuvas un Igaunijas pieredzi pētniecības un inovāciju infrastruktūras attīstībā skatīt </w:t>
      </w:r>
      <w:r w:rsidR="00B55BBD">
        <w:rPr>
          <w:rFonts w:ascii="Times New Roman" w:hAnsi="Times New Roman"/>
          <w:color w:val="000000"/>
          <w:sz w:val="24"/>
          <w:szCs w:val="24"/>
          <w:lang w:eastAsia="lv-LV"/>
        </w:rPr>
        <w:t>13.</w:t>
      </w:r>
      <w:r w:rsidR="00A36CEB">
        <w:rPr>
          <w:rFonts w:ascii="Times New Roman" w:hAnsi="Times New Roman"/>
          <w:color w:val="000000"/>
          <w:sz w:val="24"/>
          <w:szCs w:val="24"/>
          <w:lang w:eastAsia="lv-LV"/>
        </w:rPr>
        <w:t> </w:t>
      </w:r>
      <w:r>
        <w:rPr>
          <w:rFonts w:ascii="Times New Roman" w:hAnsi="Times New Roman"/>
          <w:color w:val="000000"/>
          <w:sz w:val="24"/>
          <w:szCs w:val="24"/>
          <w:lang w:eastAsia="lv-LV"/>
        </w:rPr>
        <w:t>pielikumā</w:t>
      </w:r>
      <w:r w:rsidR="00E813A1">
        <w:rPr>
          <w:rFonts w:ascii="Times New Roman" w:hAnsi="Times New Roman"/>
          <w:color w:val="000000"/>
          <w:sz w:val="24"/>
          <w:szCs w:val="24"/>
          <w:lang w:eastAsia="lv-LV"/>
        </w:rPr>
        <w:t>.</w:t>
      </w:r>
    </w:p>
    <w:p w14:paraId="7E9ADBDC" w14:textId="77777777" w:rsidR="00E852C0" w:rsidRDefault="00E852C0" w:rsidP="00E7642A">
      <w:pPr>
        <w:spacing w:before="120" w:after="120"/>
        <w:ind w:left="0"/>
        <w:jc w:val="right"/>
        <w:rPr>
          <w:rFonts w:ascii="Times New Roman" w:hAnsi="Times New Roman"/>
          <w:i/>
          <w:sz w:val="24"/>
          <w:szCs w:val="24"/>
        </w:rPr>
      </w:pPr>
    </w:p>
    <w:p w14:paraId="6138863C" w14:textId="084482B2" w:rsidR="00C95968" w:rsidRPr="00047144" w:rsidRDefault="00C95968" w:rsidP="00E7642A">
      <w:pPr>
        <w:spacing w:before="120" w:after="120"/>
        <w:ind w:left="0"/>
        <w:jc w:val="right"/>
        <w:rPr>
          <w:i/>
          <w:sz w:val="24"/>
          <w:szCs w:val="24"/>
          <w:shd w:val="clear" w:color="auto" w:fill="D9D9D9" w:themeFill="background1" w:themeFillShade="D9"/>
        </w:rPr>
      </w:pPr>
      <w:r w:rsidRPr="00047144">
        <w:rPr>
          <w:rFonts w:ascii="Times New Roman" w:hAnsi="Times New Roman"/>
          <w:i/>
          <w:sz w:val="24"/>
          <w:szCs w:val="24"/>
        </w:rPr>
        <w:t xml:space="preserve">Tabula Nr. </w:t>
      </w:r>
      <w:r w:rsidR="00417751" w:rsidRPr="00047144">
        <w:rPr>
          <w:rFonts w:ascii="Times New Roman" w:hAnsi="Times New Roman"/>
          <w:i/>
          <w:sz w:val="24"/>
          <w:szCs w:val="24"/>
        </w:rPr>
        <w:fldChar w:fldCharType="begin"/>
      </w:r>
      <w:r w:rsidRPr="00047144">
        <w:rPr>
          <w:rFonts w:ascii="Times New Roman" w:hAnsi="Times New Roman"/>
          <w:i/>
          <w:sz w:val="24"/>
          <w:szCs w:val="24"/>
        </w:rPr>
        <w:instrText xml:space="preserve"> SEQ Tabula \* ARABIC </w:instrText>
      </w:r>
      <w:r w:rsidR="00417751" w:rsidRPr="00047144">
        <w:rPr>
          <w:rFonts w:ascii="Times New Roman" w:hAnsi="Times New Roman"/>
          <w:i/>
          <w:sz w:val="24"/>
          <w:szCs w:val="24"/>
        </w:rPr>
        <w:fldChar w:fldCharType="separate"/>
      </w:r>
      <w:r w:rsidR="00E7642A">
        <w:rPr>
          <w:rFonts w:ascii="Times New Roman" w:hAnsi="Times New Roman"/>
          <w:i/>
          <w:noProof/>
          <w:sz w:val="24"/>
          <w:szCs w:val="24"/>
        </w:rPr>
        <w:t>10</w:t>
      </w:r>
      <w:r w:rsidR="00417751" w:rsidRPr="00047144">
        <w:rPr>
          <w:rFonts w:ascii="Times New Roman" w:hAnsi="Times New Roman"/>
          <w:i/>
          <w:sz w:val="24"/>
          <w:szCs w:val="24"/>
        </w:rPr>
        <w:fldChar w:fldCharType="end"/>
      </w:r>
    </w:p>
    <w:p w14:paraId="5082A867" w14:textId="77777777" w:rsidR="001A4F81" w:rsidRPr="00C95968" w:rsidRDefault="001A4F81" w:rsidP="00E7642A">
      <w:pPr>
        <w:spacing w:after="120"/>
        <w:ind w:left="0" w:firstLine="567"/>
        <w:jc w:val="center"/>
        <w:rPr>
          <w:rFonts w:ascii="Times New Roman" w:hAnsi="Times New Roman"/>
          <w:b/>
          <w:color w:val="000000"/>
          <w:sz w:val="24"/>
          <w:szCs w:val="24"/>
          <w:lang w:eastAsia="lv-LV"/>
        </w:rPr>
      </w:pPr>
      <w:r w:rsidRPr="00C95968">
        <w:rPr>
          <w:rFonts w:ascii="Times New Roman" w:hAnsi="Times New Roman"/>
          <w:b/>
          <w:color w:val="000000"/>
          <w:sz w:val="24"/>
          <w:szCs w:val="24"/>
          <w:lang w:eastAsia="lv-LV"/>
        </w:rPr>
        <w:t>Plānotās dalības ESFRI infrastruktūras objektos salīdzinājums</w:t>
      </w:r>
    </w:p>
    <w:tbl>
      <w:tblPr>
        <w:tblStyle w:val="TableGrid"/>
        <w:tblW w:w="5000" w:type="pct"/>
        <w:tblLook w:val="04A0" w:firstRow="1" w:lastRow="0" w:firstColumn="1" w:lastColumn="0" w:noHBand="0" w:noVBand="1"/>
      </w:tblPr>
      <w:tblGrid>
        <w:gridCol w:w="2687"/>
        <w:gridCol w:w="2939"/>
        <w:gridCol w:w="2611"/>
      </w:tblGrid>
      <w:tr w:rsidR="00FB14C5" w:rsidRPr="00C07278" w14:paraId="300E58FD" w14:textId="77777777" w:rsidTr="00047144">
        <w:tc>
          <w:tcPr>
            <w:tcW w:w="1631" w:type="pct"/>
            <w:shd w:val="clear" w:color="auto" w:fill="D9D9D9" w:themeFill="background1" w:themeFillShade="D9"/>
            <w:vAlign w:val="center"/>
          </w:tcPr>
          <w:p w14:paraId="3F8353E1" w14:textId="77777777" w:rsidR="00FB14C5" w:rsidRPr="00C07278" w:rsidRDefault="00FB14C5" w:rsidP="00E7642A">
            <w:pPr>
              <w:spacing w:after="120"/>
              <w:ind w:left="0"/>
              <w:jc w:val="center"/>
              <w:rPr>
                <w:rFonts w:ascii="Times New Roman" w:hAnsi="Times New Roman"/>
                <w:b/>
                <w:color w:val="000000"/>
                <w:sz w:val="24"/>
                <w:szCs w:val="24"/>
                <w:highlight w:val="yellow"/>
              </w:rPr>
            </w:pPr>
            <w:r w:rsidRPr="00C07278">
              <w:rPr>
                <w:rFonts w:ascii="Times New Roman" w:hAnsi="Times New Roman"/>
                <w:b/>
                <w:color w:val="000000"/>
                <w:sz w:val="24"/>
                <w:szCs w:val="24"/>
              </w:rPr>
              <w:t>ESFRI infrastruktūras objekti, kuros piedalās Igaunija</w:t>
            </w:r>
          </w:p>
        </w:tc>
        <w:tc>
          <w:tcPr>
            <w:tcW w:w="1784" w:type="pct"/>
            <w:shd w:val="clear" w:color="auto" w:fill="D9D9D9" w:themeFill="background1" w:themeFillShade="D9"/>
            <w:vAlign w:val="center"/>
          </w:tcPr>
          <w:p w14:paraId="2C35BE20" w14:textId="64B27A50" w:rsidR="00FB14C5" w:rsidRPr="00C07278" w:rsidRDefault="00FB14C5" w:rsidP="00E7642A">
            <w:pPr>
              <w:spacing w:after="120"/>
              <w:ind w:left="0"/>
              <w:jc w:val="center"/>
              <w:rPr>
                <w:rFonts w:ascii="Times New Roman" w:hAnsi="Times New Roman"/>
                <w:b/>
              </w:rPr>
            </w:pPr>
            <w:r w:rsidRPr="00DE3FD6">
              <w:rPr>
                <w:rFonts w:ascii="Times New Roman" w:hAnsi="Times New Roman"/>
                <w:b/>
              </w:rPr>
              <w:t>Iespējamā Latvijas dalība Eiropas pētniecības infrastruktūras objektos</w:t>
            </w:r>
            <w:r w:rsidR="00C8553F" w:rsidRPr="00DE3FD6">
              <w:rPr>
                <w:rFonts w:ascii="Times New Roman" w:hAnsi="Times New Roman"/>
                <w:b/>
              </w:rPr>
              <w:t xml:space="preserve"> un konsorcijos</w:t>
            </w:r>
            <w:r w:rsidR="00752322" w:rsidRPr="00DE3FD6">
              <w:rPr>
                <w:rStyle w:val="FootnoteReference"/>
                <w:rFonts w:ascii="Times New Roman" w:hAnsi="Times New Roman"/>
                <w:b/>
              </w:rPr>
              <w:footnoteReference w:id="39"/>
            </w:r>
          </w:p>
        </w:tc>
        <w:tc>
          <w:tcPr>
            <w:tcW w:w="1585" w:type="pct"/>
            <w:shd w:val="clear" w:color="auto" w:fill="D9D9D9" w:themeFill="background1" w:themeFillShade="D9"/>
            <w:vAlign w:val="center"/>
          </w:tcPr>
          <w:p w14:paraId="24CB8DDF" w14:textId="77777777" w:rsidR="00FB14C5" w:rsidRPr="00C07278" w:rsidRDefault="00FB14C5" w:rsidP="00E7642A">
            <w:pPr>
              <w:spacing w:after="120"/>
              <w:ind w:left="0"/>
              <w:jc w:val="center"/>
              <w:rPr>
                <w:rFonts w:ascii="Times New Roman" w:hAnsi="Times New Roman"/>
                <w:b/>
              </w:rPr>
            </w:pPr>
            <w:r w:rsidRPr="00C07278">
              <w:rPr>
                <w:rFonts w:ascii="Times New Roman" w:hAnsi="Times New Roman"/>
                <w:b/>
              </w:rPr>
              <w:t>Iespējamā Lietuvas dalība Eiropas pētniecības infrastruktūras objektos</w:t>
            </w:r>
          </w:p>
        </w:tc>
      </w:tr>
      <w:tr w:rsidR="00EA2CB8" w:rsidRPr="00C07278" w14:paraId="0BEDDA22" w14:textId="77777777" w:rsidTr="00047144">
        <w:tc>
          <w:tcPr>
            <w:tcW w:w="1631" w:type="pct"/>
            <w:vMerge w:val="restart"/>
            <w:vAlign w:val="center"/>
          </w:tcPr>
          <w:p w14:paraId="3178A57F" w14:textId="77777777" w:rsidR="00EA2CB8" w:rsidRPr="004E3D2C" w:rsidRDefault="00EA2CB8" w:rsidP="00E7642A">
            <w:pPr>
              <w:spacing w:after="120"/>
              <w:ind w:left="0"/>
              <w:jc w:val="center"/>
              <w:rPr>
                <w:rFonts w:ascii="Times New Roman" w:hAnsi="Times New Roman"/>
                <w:color w:val="000000"/>
                <w:highlight w:val="yellow"/>
              </w:rPr>
            </w:pPr>
            <w:r w:rsidRPr="004E3D2C">
              <w:rPr>
                <w:rFonts w:ascii="Times New Roman" w:hAnsi="Times New Roman"/>
                <w:color w:val="000000"/>
              </w:rPr>
              <w:t>ELIXIR</w:t>
            </w:r>
          </w:p>
        </w:tc>
        <w:tc>
          <w:tcPr>
            <w:tcW w:w="1784" w:type="pct"/>
            <w:vMerge w:val="restart"/>
            <w:vAlign w:val="center"/>
          </w:tcPr>
          <w:p w14:paraId="7C71CCD4" w14:textId="35BAD409" w:rsidR="00EA2CB8" w:rsidRPr="004E3D2C" w:rsidRDefault="00EA2CB8" w:rsidP="00E7642A">
            <w:pPr>
              <w:spacing w:after="120"/>
              <w:ind w:left="0" w:hanging="92"/>
              <w:jc w:val="center"/>
              <w:rPr>
                <w:rFonts w:ascii="Times New Roman" w:hAnsi="Times New Roman"/>
                <w:color w:val="000000"/>
                <w:highlight w:val="yellow"/>
              </w:rPr>
            </w:pPr>
            <w:r w:rsidRPr="004E3D2C">
              <w:rPr>
                <w:rFonts w:ascii="Times New Roman" w:hAnsi="Times New Roman"/>
                <w:color w:val="000000"/>
              </w:rPr>
              <w:t>EU-OPENSCREEN</w:t>
            </w:r>
          </w:p>
        </w:tc>
        <w:tc>
          <w:tcPr>
            <w:tcW w:w="1585" w:type="pct"/>
            <w:vAlign w:val="center"/>
          </w:tcPr>
          <w:p w14:paraId="34CBDD19" w14:textId="77777777" w:rsidR="00EA2CB8" w:rsidRPr="004E3D2C" w:rsidRDefault="00EA2CB8" w:rsidP="00E7642A">
            <w:pPr>
              <w:spacing w:after="120"/>
              <w:ind w:left="0"/>
              <w:jc w:val="center"/>
              <w:rPr>
                <w:rFonts w:ascii="Times New Roman" w:hAnsi="Times New Roman"/>
                <w:color w:val="000000"/>
                <w:highlight w:val="yellow"/>
              </w:rPr>
            </w:pPr>
            <w:r w:rsidRPr="004E3D2C">
              <w:rPr>
                <w:rFonts w:ascii="Times New Roman" w:hAnsi="Times New Roman"/>
              </w:rPr>
              <w:t>CESSDA</w:t>
            </w:r>
          </w:p>
        </w:tc>
      </w:tr>
      <w:tr w:rsidR="00EA2CB8" w:rsidRPr="00C07278" w14:paraId="359835FF" w14:textId="77777777" w:rsidTr="00EA2CB8">
        <w:trPr>
          <w:trHeight w:val="311"/>
        </w:trPr>
        <w:tc>
          <w:tcPr>
            <w:tcW w:w="1631" w:type="pct"/>
            <w:vMerge/>
            <w:vAlign w:val="center"/>
          </w:tcPr>
          <w:p w14:paraId="3ED5F9DB" w14:textId="77777777" w:rsidR="00EA2CB8" w:rsidRPr="004E3D2C" w:rsidRDefault="00EA2CB8" w:rsidP="00E7642A">
            <w:pPr>
              <w:spacing w:after="120"/>
              <w:ind w:left="0"/>
              <w:jc w:val="center"/>
              <w:rPr>
                <w:rFonts w:ascii="Times New Roman" w:hAnsi="Times New Roman"/>
                <w:color w:val="000000"/>
                <w:highlight w:val="yellow"/>
              </w:rPr>
            </w:pPr>
          </w:p>
        </w:tc>
        <w:tc>
          <w:tcPr>
            <w:tcW w:w="1784" w:type="pct"/>
            <w:vMerge/>
            <w:vAlign w:val="center"/>
          </w:tcPr>
          <w:p w14:paraId="31DF268B" w14:textId="77777777" w:rsidR="00EA2CB8" w:rsidRPr="004E3D2C" w:rsidRDefault="00EA2CB8" w:rsidP="00E7642A">
            <w:pPr>
              <w:spacing w:after="120"/>
              <w:ind w:left="0" w:hanging="92"/>
              <w:jc w:val="center"/>
              <w:rPr>
                <w:rFonts w:ascii="Times New Roman" w:hAnsi="Times New Roman"/>
              </w:rPr>
            </w:pPr>
          </w:p>
        </w:tc>
        <w:tc>
          <w:tcPr>
            <w:tcW w:w="1585" w:type="pct"/>
            <w:vAlign w:val="center"/>
          </w:tcPr>
          <w:p w14:paraId="58D6701F" w14:textId="77777777" w:rsidR="00EA2CB8" w:rsidRPr="004E3D2C" w:rsidRDefault="00EA2CB8" w:rsidP="00E7642A">
            <w:pPr>
              <w:spacing w:after="120"/>
              <w:ind w:left="0"/>
              <w:jc w:val="center"/>
              <w:rPr>
                <w:rFonts w:ascii="Times New Roman" w:hAnsi="Times New Roman"/>
              </w:rPr>
            </w:pPr>
            <w:r w:rsidRPr="004E3D2C">
              <w:rPr>
                <w:rFonts w:ascii="Times New Roman" w:hAnsi="Times New Roman"/>
              </w:rPr>
              <w:t>ESO</w:t>
            </w:r>
          </w:p>
        </w:tc>
      </w:tr>
      <w:tr w:rsidR="00EA2CB8" w:rsidRPr="00C07278" w14:paraId="5E939EDF" w14:textId="77777777" w:rsidTr="00047144">
        <w:tc>
          <w:tcPr>
            <w:tcW w:w="1631" w:type="pct"/>
            <w:vMerge/>
            <w:vAlign w:val="center"/>
          </w:tcPr>
          <w:p w14:paraId="2B5C3E39" w14:textId="77777777" w:rsidR="00EA2CB8" w:rsidRPr="004E3D2C" w:rsidRDefault="00EA2CB8" w:rsidP="00E7642A">
            <w:pPr>
              <w:spacing w:after="120"/>
              <w:ind w:left="0"/>
              <w:jc w:val="center"/>
              <w:rPr>
                <w:rFonts w:ascii="Times New Roman" w:hAnsi="Times New Roman"/>
                <w:color w:val="000000"/>
                <w:highlight w:val="yellow"/>
              </w:rPr>
            </w:pPr>
          </w:p>
        </w:tc>
        <w:tc>
          <w:tcPr>
            <w:tcW w:w="1784" w:type="pct"/>
            <w:vMerge/>
            <w:vAlign w:val="center"/>
          </w:tcPr>
          <w:p w14:paraId="0CCBC83B" w14:textId="77777777" w:rsidR="00EA2CB8" w:rsidRPr="004E3D2C" w:rsidRDefault="00EA2CB8" w:rsidP="00E7642A">
            <w:pPr>
              <w:spacing w:after="120"/>
              <w:ind w:left="0" w:hanging="92"/>
              <w:jc w:val="center"/>
              <w:rPr>
                <w:rFonts w:ascii="Times New Roman" w:hAnsi="Times New Roman"/>
                <w:color w:val="000000"/>
                <w:highlight w:val="yellow"/>
              </w:rPr>
            </w:pPr>
          </w:p>
        </w:tc>
        <w:tc>
          <w:tcPr>
            <w:tcW w:w="1585" w:type="pct"/>
            <w:vAlign w:val="center"/>
          </w:tcPr>
          <w:p w14:paraId="00CD49C4" w14:textId="77777777" w:rsidR="00EA2CB8" w:rsidRPr="004E3D2C" w:rsidRDefault="00EA2CB8" w:rsidP="00E7642A">
            <w:pPr>
              <w:spacing w:after="120"/>
              <w:ind w:left="0"/>
              <w:jc w:val="center"/>
              <w:rPr>
                <w:rFonts w:ascii="Times New Roman" w:hAnsi="Times New Roman"/>
              </w:rPr>
            </w:pPr>
            <w:r w:rsidRPr="004E3D2C">
              <w:rPr>
                <w:rFonts w:ascii="Times New Roman" w:hAnsi="Times New Roman"/>
              </w:rPr>
              <w:t>ELIXIR</w:t>
            </w:r>
          </w:p>
        </w:tc>
      </w:tr>
      <w:tr w:rsidR="00FB14C5" w:rsidRPr="00C07278" w14:paraId="3A003286" w14:textId="77777777" w:rsidTr="00EA2CB8">
        <w:trPr>
          <w:trHeight w:val="251"/>
        </w:trPr>
        <w:tc>
          <w:tcPr>
            <w:tcW w:w="1631" w:type="pct"/>
            <w:vMerge w:val="restart"/>
            <w:vAlign w:val="center"/>
          </w:tcPr>
          <w:p w14:paraId="6042B378" w14:textId="77777777" w:rsidR="00FB14C5" w:rsidRPr="004E3D2C" w:rsidRDefault="000D779F" w:rsidP="00E7642A">
            <w:pPr>
              <w:spacing w:after="120"/>
              <w:ind w:left="0"/>
              <w:jc w:val="center"/>
              <w:rPr>
                <w:rFonts w:ascii="Times New Roman" w:hAnsi="Times New Roman"/>
                <w:color w:val="000000"/>
                <w:highlight w:val="yellow"/>
              </w:rPr>
            </w:pPr>
            <w:r w:rsidRPr="004E3D2C">
              <w:rPr>
                <w:rFonts w:ascii="Times New Roman" w:hAnsi="Times New Roman"/>
                <w:color w:val="000000"/>
              </w:rPr>
              <w:t>ESS</w:t>
            </w:r>
          </w:p>
        </w:tc>
        <w:tc>
          <w:tcPr>
            <w:tcW w:w="1784" w:type="pct"/>
            <w:vMerge w:val="restart"/>
            <w:vAlign w:val="center"/>
          </w:tcPr>
          <w:p w14:paraId="79EBDB75" w14:textId="77777777" w:rsidR="00FB14C5" w:rsidRPr="004E3D2C" w:rsidRDefault="00FB14C5" w:rsidP="00E7642A">
            <w:pPr>
              <w:spacing w:after="120"/>
              <w:ind w:left="0" w:hanging="92"/>
              <w:jc w:val="center"/>
              <w:rPr>
                <w:rFonts w:ascii="Times New Roman" w:hAnsi="Times New Roman"/>
                <w:color w:val="000000"/>
                <w:highlight w:val="yellow"/>
              </w:rPr>
            </w:pPr>
            <w:r w:rsidRPr="004E3D2C">
              <w:rPr>
                <w:rStyle w:val="hps"/>
                <w:rFonts w:ascii="Times New Roman" w:hAnsi="Times New Roman"/>
              </w:rPr>
              <w:t>ESS</w:t>
            </w:r>
          </w:p>
        </w:tc>
        <w:tc>
          <w:tcPr>
            <w:tcW w:w="1585" w:type="pct"/>
            <w:vAlign w:val="center"/>
          </w:tcPr>
          <w:p w14:paraId="684F01AD" w14:textId="77777777" w:rsidR="00FB14C5" w:rsidRPr="004E3D2C" w:rsidRDefault="00FB14C5" w:rsidP="00E7642A">
            <w:pPr>
              <w:spacing w:after="120"/>
              <w:ind w:left="0"/>
              <w:jc w:val="center"/>
              <w:rPr>
                <w:rFonts w:ascii="Times New Roman" w:hAnsi="Times New Roman"/>
                <w:color w:val="000000"/>
                <w:highlight w:val="yellow"/>
              </w:rPr>
            </w:pPr>
            <w:r w:rsidRPr="004E3D2C">
              <w:rPr>
                <w:rFonts w:ascii="Times New Roman" w:hAnsi="Times New Roman"/>
              </w:rPr>
              <w:t>DARIAH</w:t>
            </w:r>
          </w:p>
        </w:tc>
      </w:tr>
      <w:tr w:rsidR="00FB14C5" w:rsidRPr="00C07278" w14:paraId="7733D472" w14:textId="77777777" w:rsidTr="00EA2CB8">
        <w:trPr>
          <w:trHeight w:val="285"/>
        </w:trPr>
        <w:tc>
          <w:tcPr>
            <w:tcW w:w="1631" w:type="pct"/>
            <w:vMerge/>
            <w:vAlign w:val="center"/>
          </w:tcPr>
          <w:p w14:paraId="349F0F01" w14:textId="77777777" w:rsidR="00FB14C5" w:rsidRPr="004E3D2C" w:rsidRDefault="00FB14C5" w:rsidP="00E7642A">
            <w:pPr>
              <w:spacing w:after="120"/>
              <w:ind w:left="0"/>
              <w:jc w:val="center"/>
              <w:rPr>
                <w:rFonts w:ascii="Times New Roman" w:hAnsi="Times New Roman"/>
                <w:color w:val="000000"/>
                <w:highlight w:val="yellow"/>
              </w:rPr>
            </w:pPr>
          </w:p>
        </w:tc>
        <w:tc>
          <w:tcPr>
            <w:tcW w:w="1784" w:type="pct"/>
            <w:vMerge/>
            <w:vAlign w:val="center"/>
          </w:tcPr>
          <w:p w14:paraId="550F6869" w14:textId="77777777" w:rsidR="00FB14C5" w:rsidRPr="004E3D2C" w:rsidRDefault="00FB14C5" w:rsidP="00E7642A">
            <w:pPr>
              <w:spacing w:after="120"/>
              <w:ind w:left="0" w:hanging="92"/>
              <w:jc w:val="center"/>
              <w:rPr>
                <w:rFonts w:ascii="Times New Roman" w:hAnsi="Times New Roman"/>
                <w:color w:val="000000"/>
                <w:highlight w:val="yellow"/>
              </w:rPr>
            </w:pPr>
          </w:p>
        </w:tc>
        <w:tc>
          <w:tcPr>
            <w:tcW w:w="1585" w:type="pct"/>
            <w:vAlign w:val="center"/>
          </w:tcPr>
          <w:p w14:paraId="4B25762F" w14:textId="77777777" w:rsidR="00FB14C5" w:rsidRPr="004E3D2C" w:rsidRDefault="00905822" w:rsidP="00E7642A">
            <w:pPr>
              <w:spacing w:after="120"/>
              <w:ind w:left="0"/>
              <w:jc w:val="center"/>
              <w:rPr>
                <w:rFonts w:ascii="Times New Roman" w:hAnsi="Times New Roman"/>
                <w:color w:val="000000"/>
                <w:highlight w:val="yellow"/>
              </w:rPr>
            </w:pPr>
            <w:r w:rsidRPr="004E3D2C">
              <w:rPr>
                <w:rStyle w:val="hps"/>
                <w:rFonts w:ascii="Times New Roman" w:hAnsi="Times New Roman"/>
              </w:rPr>
              <w:t>ESS</w:t>
            </w:r>
          </w:p>
        </w:tc>
      </w:tr>
      <w:tr w:rsidR="00EA2CB8" w:rsidRPr="00C07278" w14:paraId="1647723C" w14:textId="77777777" w:rsidTr="00EA2CB8">
        <w:trPr>
          <w:trHeight w:val="243"/>
        </w:trPr>
        <w:tc>
          <w:tcPr>
            <w:tcW w:w="1631" w:type="pct"/>
            <w:vMerge w:val="restart"/>
            <w:vAlign w:val="center"/>
          </w:tcPr>
          <w:p w14:paraId="1A69FE6C" w14:textId="77777777" w:rsidR="00EA2CB8" w:rsidRPr="004E3D2C" w:rsidRDefault="00EA2CB8" w:rsidP="00E7642A">
            <w:pPr>
              <w:spacing w:after="120"/>
              <w:ind w:left="0"/>
              <w:jc w:val="center"/>
              <w:rPr>
                <w:rFonts w:ascii="Times New Roman" w:hAnsi="Times New Roman"/>
                <w:color w:val="000000"/>
                <w:highlight w:val="yellow"/>
              </w:rPr>
            </w:pPr>
            <w:r w:rsidRPr="004E3D2C">
              <w:rPr>
                <w:rFonts w:ascii="Times New Roman" w:hAnsi="Times New Roman"/>
                <w:color w:val="000000"/>
              </w:rPr>
              <w:t>CLARIN</w:t>
            </w:r>
          </w:p>
        </w:tc>
        <w:tc>
          <w:tcPr>
            <w:tcW w:w="1784" w:type="pct"/>
            <w:vMerge w:val="restart"/>
            <w:vAlign w:val="center"/>
          </w:tcPr>
          <w:p w14:paraId="6F522303" w14:textId="77777777" w:rsidR="00EA2CB8" w:rsidRPr="004E3D2C" w:rsidRDefault="00EA2CB8" w:rsidP="00E7642A">
            <w:pPr>
              <w:spacing w:after="120"/>
              <w:ind w:left="0" w:hanging="92"/>
              <w:jc w:val="center"/>
              <w:rPr>
                <w:rFonts w:ascii="Times New Roman" w:hAnsi="Times New Roman"/>
                <w:color w:val="000000"/>
                <w:highlight w:val="yellow"/>
              </w:rPr>
            </w:pPr>
            <w:r w:rsidRPr="004E3D2C">
              <w:rPr>
                <w:rFonts w:ascii="Times New Roman" w:hAnsi="Times New Roman"/>
                <w:color w:val="000000"/>
              </w:rPr>
              <w:t>CLARIN</w:t>
            </w:r>
          </w:p>
        </w:tc>
        <w:tc>
          <w:tcPr>
            <w:tcW w:w="1585" w:type="pct"/>
            <w:vAlign w:val="center"/>
          </w:tcPr>
          <w:p w14:paraId="3D16299E" w14:textId="77777777" w:rsidR="00EA2CB8" w:rsidRPr="004E3D2C" w:rsidRDefault="00EA2CB8" w:rsidP="00E7642A">
            <w:pPr>
              <w:spacing w:after="120"/>
              <w:ind w:left="0"/>
              <w:jc w:val="center"/>
              <w:rPr>
                <w:rStyle w:val="hps"/>
                <w:rFonts w:ascii="Times New Roman" w:hAnsi="Times New Roman"/>
              </w:rPr>
            </w:pPr>
            <w:r w:rsidRPr="004E3D2C">
              <w:rPr>
                <w:rFonts w:ascii="Times New Roman" w:hAnsi="Times New Roman"/>
              </w:rPr>
              <w:t>CLARIN</w:t>
            </w:r>
          </w:p>
        </w:tc>
      </w:tr>
      <w:tr w:rsidR="00EA2CB8" w:rsidRPr="00C07278" w14:paraId="7D938504" w14:textId="77777777" w:rsidTr="00EA2CB8">
        <w:trPr>
          <w:trHeight w:val="243"/>
        </w:trPr>
        <w:tc>
          <w:tcPr>
            <w:tcW w:w="1631" w:type="pct"/>
            <w:vMerge/>
            <w:vAlign w:val="center"/>
          </w:tcPr>
          <w:p w14:paraId="4DF6277C" w14:textId="77777777" w:rsidR="00EA2CB8" w:rsidRPr="004E3D2C" w:rsidRDefault="00EA2CB8" w:rsidP="00E7642A">
            <w:pPr>
              <w:spacing w:after="120"/>
              <w:ind w:left="0"/>
              <w:jc w:val="center"/>
              <w:rPr>
                <w:rFonts w:ascii="Times New Roman" w:hAnsi="Times New Roman"/>
                <w:color w:val="000000"/>
                <w:highlight w:val="yellow"/>
              </w:rPr>
            </w:pPr>
          </w:p>
        </w:tc>
        <w:tc>
          <w:tcPr>
            <w:tcW w:w="1784" w:type="pct"/>
            <w:vMerge/>
            <w:vAlign w:val="center"/>
          </w:tcPr>
          <w:p w14:paraId="7755A905" w14:textId="77777777" w:rsidR="00EA2CB8" w:rsidRPr="004E3D2C" w:rsidRDefault="00EA2CB8" w:rsidP="00E7642A">
            <w:pPr>
              <w:spacing w:after="120"/>
              <w:ind w:left="0" w:hanging="92"/>
              <w:jc w:val="center"/>
              <w:rPr>
                <w:rFonts w:ascii="Times New Roman" w:hAnsi="Times New Roman"/>
                <w:color w:val="000000"/>
                <w:highlight w:val="yellow"/>
              </w:rPr>
            </w:pPr>
          </w:p>
        </w:tc>
        <w:tc>
          <w:tcPr>
            <w:tcW w:w="1585" w:type="pct"/>
            <w:vAlign w:val="center"/>
          </w:tcPr>
          <w:p w14:paraId="2C421104" w14:textId="77777777" w:rsidR="00EA2CB8" w:rsidRPr="004E3D2C" w:rsidRDefault="00EA2CB8" w:rsidP="00E7642A">
            <w:pPr>
              <w:spacing w:after="120"/>
              <w:ind w:left="0"/>
              <w:jc w:val="center"/>
              <w:rPr>
                <w:rStyle w:val="hps"/>
                <w:rFonts w:ascii="Times New Roman" w:hAnsi="Times New Roman"/>
              </w:rPr>
            </w:pPr>
            <w:r w:rsidRPr="004E3D2C">
              <w:rPr>
                <w:rFonts w:ascii="Times New Roman" w:hAnsi="Times New Roman"/>
              </w:rPr>
              <w:t>INFRAFRONTIER</w:t>
            </w:r>
          </w:p>
        </w:tc>
      </w:tr>
      <w:tr w:rsidR="00EA2CB8" w:rsidRPr="00C07278" w14:paraId="3212F265" w14:textId="77777777" w:rsidTr="00EA2CB8">
        <w:trPr>
          <w:trHeight w:val="243"/>
        </w:trPr>
        <w:tc>
          <w:tcPr>
            <w:tcW w:w="1631" w:type="pct"/>
            <w:vMerge/>
            <w:vAlign w:val="center"/>
          </w:tcPr>
          <w:p w14:paraId="1F62DDFF" w14:textId="77777777" w:rsidR="00EA2CB8" w:rsidRPr="004E3D2C" w:rsidRDefault="00EA2CB8" w:rsidP="00E7642A">
            <w:pPr>
              <w:spacing w:after="120"/>
              <w:ind w:left="0"/>
              <w:jc w:val="center"/>
              <w:rPr>
                <w:rFonts w:ascii="Times New Roman" w:hAnsi="Times New Roman"/>
                <w:color w:val="000000"/>
                <w:highlight w:val="yellow"/>
              </w:rPr>
            </w:pPr>
          </w:p>
        </w:tc>
        <w:tc>
          <w:tcPr>
            <w:tcW w:w="1784" w:type="pct"/>
            <w:vMerge/>
            <w:vAlign w:val="center"/>
          </w:tcPr>
          <w:p w14:paraId="2EEB36B6" w14:textId="77777777" w:rsidR="00EA2CB8" w:rsidRPr="004E3D2C" w:rsidRDefault="00EA2CB8" w:rsidP="00E7642A">
            <w:pPr>
              <w:spacing w:after="120"/>
              <w:ind w:left="0" w:hanging="92"/>
              <w:jc w:val="center"/>
              <w:rPr>
                <w:rFonts w:ascii="Times New Roman" w:hAnsi="Times New Roman"/>
                <w:color w:val="000000"/>
                <w:highlight w:val="yellow"/>
              </w:rPr>
            </w:pPr>
          </w:p>
        </w:tc>
        <w:tc>
          <w:tcPr>
            <w:tcW w:w="1585" w:type="pct"/>
            <w:vAlign w:val="center"/>
          </w:tcPr>
          <w:p w14:paraId="109EAB01" w14:textId="77777777" w:rsidR="00EA2CB8" w:rsidRPr="004E3D2C" w:rsidRDefault="00EA2CB8" w:rsidP="00E7642A">
            <w:pPr>
              <w:spacing w:after="120"/>
              <w:ind w:left="0"/>
              <w:jc w:val="center"/>
              <w:rPr>
                <w:rStyle w:val="hps"/>
                <w:rFonts w:ascii="Times New Roman" w:hAnsi="Times New Roman"/>
              </w:rPr>
            </w:pPr>
            <w:r w:rsidRPr="004E3D2C">
              <w:rPr>
                <w:rFonts w:ascii="Times New Roman" w:hAnsi="Times New Roman"/>
              </w:rPr>
              <w:t>EMBRC</w:t>
            </w:r>
          </w:p>
        </w:tc>
      </w:tr>
      <w:tr w:rsidR="00EA2CB8" w:rsidRPr="00C07278" w14:paraId="18479DA5" w14:textId="77777777" w:rsidTr="00EA2CB8">
        <w:trPr>
          <w:trHeight w:val="321"/>
        </w:trPr>
        <w:tc>
          <w:tcPr>
            <w:tcW w:w="1631" w:type="pct"/>
            <w:vMerge w:val="restart"/>
            <w:vAlign w:val="center"/>
          </w:tcPr>
          <w:p w14:paraId="1BE9ECE7" w14:textId="77777777" w:rsidR="00EA2CB8" w:rsidRPr="004E3D2C" w:rsidRDefault="00EA2CB8" w:rsidP="00E7642A">
            <w:pPr>
              <w:spacing w:after="120"/>
              <w:ind w:left="0"/>
              <w:jc w:val="center"/>
              <w:rPr>
                <w:rFonts w:ascii="Times New Roman" w:hAnsi="Times New Roman"/>
                <w:color w:val="000000"/>
              </w:rPr>
            </w:pPr>
            <w:r w:rsidRPr="004E3D2C">
              <w:rPr>
                <w:rFonts w:ascii="Times New Roman" w:hAnsi="Times New Roman"/>
                <w:color w:val="000000"/>
              </w:rPr>
              <w:t>BBMRI</w:t>
            </w:r>
          </w:p>
        </w:tc>
        <w:tc>
          <w:tcPr>
            <w:tcW w:w="1784" w:type="pct"/>
            <w:vMerge w:val="restart"/>
            <w:vAlign w:val="center"/>
          </w:tcPr>
          <w:p w14:paraId="78321615" w14:textId="77777777" w:rsidR="00EA2CB8" w:rsidRPr="004E3D2C" w:rsidRDefault="00EA2CB8" w:rsidP="00E7642A">
            <w:pPr>
              <w:spacing w:after="120"/>
              <w:ind w:left="0" w:hanging="92"/>
              <w:jc w:val="center"/>
              <w:rPr>
                <w:rFonts w:ascii="Times New Roman" w:hAnsi="Times New Roman"/>
                <w:color w:val="000000"/>
              </w:rPr>
            </w:pPr>
            <w:r w:rsidRPr="004E3D2C">
              <w:rPr>
                <w:rFonts w:ascii="Times New Roman" w:hAnsi="Times New Roman"/>
                <w:color w:val="000000"/>
              </w:rPr>
              <w:t>BBMRI</w:t>
            </w:r>
          </w:p>
        </w:tc>
        <w:tc>
          <w:tcPr>
            <w:tcW w:w="1585" w:type="pct"/>
            <w:vAlign w:val="center"/>
          </w:tcPr>
          <w:p w14:paraId="34861E5D" w14:textId="77777777" w:rsidR="00EA2CB8" w:rsidRPr="004E3D2C" w:rsidRDefault="00EA2CB8" w:rsidP="00E7642A">
            <w:pPr>
              <w:spacing w:after="120"/>
              <w:ind w:left="0"/>
              <w:jc w:val="center"/>
              <w:rPr>
                <w:rFonts w:ascii="Times New Roman" w:hAnsi="Times New Roman"/>
              </w:rPr>
            </w:pPr>
            <w:r w:rsidRPr="004E3D2C">
              <w:rPr>
                <w:rFonts w:ascii="Times New Roman" w:hAnsi="Times New Roman"/>
                <w:color w:val="000000"/>
              </w:rPr>
              <w:t>BBMRI</w:t>
            </w:r>
          </w:p>
        </w:tc>
      </w:tr>
      <w:tr w:rsidR="00EA2CB8" w:rsidRPr="00C07278" w14:paraId="57BA27C3" w14:textId="77777777" w:rsidTr="00047144">
        <w:tc>
          <w:tcPr>
            <w:tcW w:w="1631" w:type="pct"/>
            <w:vMerge/>
            <w:vAlign w:val="center"/>
          </w:tcPr>
          <w:p w14:paraId="0E777DD7" w14:textId="77777777" w:rsidR="00EA2CB8" w:rsidRPr="004E3D2C" w:rsidRDefault="00EA2CB8" w:rsidP="00E7642A">
            <w:pPr>
              <w:spacing w:after="120"/>
              <w:ind w:left="0"/>
              <w:jc w:val="center"/>
              <w:rPr>
                <w:rFonts w:ascii="Times New Roman" w:hAnsi="Times New Roman"/>
                <w:color w:val="000000"/>
                <w:highlight w:val="yellow"/>
              </w:rPr>
            </w:pPr>
          </w:p>
        </w:tc>
        <w:tc>
          <w:tcPr>
            <w:tcW w:w="1784" w:type="pct"/>
            <w:vMerge/>
            <w:vAlign w:val="center"/>
          </w:tcPr>
          <w:p w14:paraId="19234BBE" w14:textId="77777777" w:rsidR="00EA2CB8" w:rsidRPr="004E3D2C" w:rsidRDefault="00EA2CB8" w:rsidP="00E7642A">
            <w:pPr>
              <w:spacing w:after="120"/>
              <w:ind w:left="0" w:hanging="92"/>
              <w:jc w:val="center"/>
              <w:rPr>
                <w:rFonts w:ascii="Times New Roman" w:hAnsi="Times New Roman"/>
                <w:color w:val="000000"/>
                <w:highlight w:val="yellow"/>
              </w:rPr>
            </w:pPr>
          </w:p>
        </w:tc>
        <w:tc>
          <w:tcPr>
            <w:tcW w:w="1585" w:type="pct"/>
            <w:vAlign w:val="center"/>
          </w:tcPr>
          <w:p w14:paraId="7A1D790F" w14:textId="77777777" w:rsidR="00EA2CB8" w:rsidRPr="004E3D2C" w:rsidRDefault="00EA2CB8" w:rsidP="00E7642A">
            <w:pPr>
              <w:spacing w:after="120"/>
              <w:ind w:left="0"/>
              <w:jc w:val="center"/>
              <w:rPr>
                <w:rFonts w:ascii="Times New Roman" w:hAnsi="Times New Roman"/>
                <w:color w:val="000000"/>
                <w:highlight w:val="yellow"/>
              </w:rPr>
            </w:pPr>
            <w:r w:rsidRPr="004E3D2C">
              <w:rPr>
                <w:rFonts w:ascii="Times New Roman" w:hAnsi="Times New Roman"/>
              </w:rPr>
              <w:t>EMBL</w:t>
            </w:r>
          </w:p>
        </w:tc>
      </w:tr>
      <w:tr w:rsidR="00EA2CB8" w:rsidRPr="00EA2CB8" w14:paraId="4A2418C6" w14:textId="77777777" w:rsidTr="00EA2CB8">
        <w:tc>
          <w:tcPr>
            <w:tcW w:w="1631" w:type="pct"/>
            <w:vMerge w:val="restart"/>
            <w:shd w:val="clear" w:color="auto" w:fill="auto"/>
            <w:vAlign w:val="center"/>
          </w:tcPr>
          <w:p w14:paraId="1B9452A9" w14:textId="77777777" w:rsidR="00EA2CB8" w:rsidRPr="004E3D2C" w:rsidRDefault="00EA2CB8" w:rsidP="00E7642A">
            <w:pPr>
              <w:spacing w:after="120"/>
              <w:ind w:left="0"/>
              <w:jc w:val="center"/>
              <w:rPr>
                <w:rFonts w:ascii="Times New Roman" w:hAnsi="Times New Roman"/>
              </w:rPr>
            </w:pPr>
            <w:r w:rsidRPr="004E3D2C">
              <w:rPr>
                <w:rFonts w:ascii="Times New Roman" w:hAnsi="Times New Roman"/>
                <w:color w:val="000000"/>
              </w:rPr>
              <w:t>EATRIS ERIC</w:t>
            </w:r>
          </w:p>
        </w:tc>
        <w:tc>
          <w:tcPr>
            <w:tcW w:w="1784" w:type="pct"/>
            <w:shd w:val="clear" w:color="auto" w:fill="auto"/>
            <w:vAlign w:val="center"/>
          </w:tcPr>
          <w:p w14:paraId="2433E9AC" w14:textId="77777777" w:rsidR="00EA2CB8" w:rsidRPr="004E3D2C" w:rsidRDefault="00EA2CB8" w:rsidP="00E7642A">
            <w:pPr>
              <w:spacing w:after="120"/>
              <w:ind w:left="0" w:hanging="92"/>
              <w:jc w:val="center"/>
              <w:rPr>
                <w:rFonts w:ascii="Times New Roman" w:hAnsi="Times New Roman"/>
                <w:color w:val="000000"/>
              </w:rPr>
            </w:pPr>
            <w:r w:rsidRPr="004E3D2C">
              <w:rPr>
                <w:rFonts w:ascii="Times New Roman" w:hAnsi="Times New Roman"/>
              </w:rPr>
              <w:t>EATRIS ERIC</w:t>
            </w:r>
          </w:p>
        </w:tc>
        <w:tc>
          <w:tcPr>
            <w:tcW w:w="1585" w:type="pct"/>
            <w:shd w:val="clear" w:color="auto" w:fill="auto"/>
            <w:vAlign w:val="center"/>
          </w:tcPr>
          <w:p w14:paraId="769841E0" w14:textId="77777777" w:rsidR="00EA2CB8" w:rsidRPr="004E3D2C" w:rsidRDefault="00EA2CB8" w:rsidP="00E7642A">
            <w:pPr>
              <w:spacing w:after="120"/>
              <w:ind w:left="0"/>
              <w:jc w:val="center"/>
              <w:rPr>
                <w:rFonts w:ascii="Times New Roman" w:hAnsi="Times New Roman"/>
                <w:color w:val="000000"/>
              </w:rPr>
            </w:pPr>
            <w:r w:rsidRPr="004E3D2C">
              <w:rPr>
                <w:rFonts w:ascii="Times New Roman" w:hAnsi="Times New Roman"/>
              </w:rPr>
              <w:t>ELI</w:t>
            </w:r>
          </w:p>
        </w:tc>
      </w:tr>
      <w:tr w:rsidR="00EA2CB8" w:rsidRPr="00EA2CB8" w14:paraId="2A471126" w14:textId="77777777" w:rsidTr="00EA2CB8">
        <w:trPr>
          <w:trHeight w:val="281"/>
        </w:trPr>
        <w:tc>
          <w:tcPr>
            <w:tcW w:w="1631" w:type="pct"/>
            <w:vMerge/>
            <w:shd w:val="clear" w:color="auto" w:fill="auto"/>
            <w:vAlign w:val="center"/>
          </w:tcPr>
          <w:p w14:paraId="65D73B12" w14:textId="77777777" w:rsidR="00EA2CB8" w:rsidRPr="004E3D2C" w:rsidRDefault="00EA2CB8" w:rsidP="00E7642A">
            <w:pPr>
              <w:spacing w:after="120"/>
              <w:ind w:left="0"/>
              <w:jc w:val="center"/>
              <w:rPr>
                <w:rFonts w:ascii="Times New Roman" w:hAnsi="Times New Roman"/>
                <w:color w:val="000000"/>
              </w:rPr>
            </w:pPr>
          </w:p>
        </w:tc>
        <w:tc>
          <w:tcPr>
            <w:tcW w:w="1784" w:type="pct"/>
            <w:shd w:val="clear" w:color="auto" w:fill="auto"/>
            <w:vAlign w:val="center"/>
          </w:tcPr>
          <w:p w14:paraId="0D0204E6" w14:textId="77777777" w:rsidR="00EA2CB8" w:rsidRPr="004E3D2C" w:rsidRDefault="00EA2CB8" w:rsidP="00E7642A">
            <w:pPr>
              <w:spacing w:after="120"/>
              <w:ind w:left="0" w:hanging="92"/>
              <w:jc w:val="center"/>
              <w:rPr>
                <w:rFonts w:ascii="Times New Roman" w:hAnsi="Times New Roman"/>
              </w:rPr>
            </w:pPr>
            <w:r w:rsidRPr="004E3D2C">
              <w:rPr>
                <w:rFonts w:ascii="Times New Roman" w:hAnsi="Times New Roman"/>
                <w:color w:val="000000"/>
              </w:rPr>
              <w:t>JIVE</w:t>
            </w:r>
          </w:p>
        </w:tc>
        <w:tc>
          <w:tcPr>
            <w:tcW w:w="1585" w:type="pct"/>
            <w:shd w:val="clear" w:color="auto" w:fill="auto"/>
            <w:vAlign w:val="center"/>
          </w:tcPr>
          <w:p w14:paraId="2182997D" w14:textId="77777777" w:rsidR="00EA2CB8" w:rsidRPr="004E3D2C" w:rsidRDefault="00EA2CB8" w:rsidP="00E7642A">
            <w:pPr>
              <w:spacing w:after="120"/>
              <w:ind w:left="0" w:hanging="92"/>
              <w:jc w:val="center"/>
              <w:rPr>
                <w:rFonts w:ascii="Times New Roman" w:hAnsi="Times New Roman"/>
              </w:rPr>
            </w:pPr>
            <w:r w:rsidRPr="004E3D2C">
              <w:rPr>
                <w:rFonts w:ascii="Times New Roman" w:hAnsi="Times New Roman"/>
                <w:color w:val="000000"/>
              </w:rPr>
              <w:t>EGI</w:t>
            </w:r>
          </w:p>
        </w:tc>
      </w:tr>
      <w:tr w:rsidR="00EA2CB8" w:rsidRPr="00EA2CB8" w14:paraId="01F3B857" w14:textId="77777777" w:rsidTr="00EA2CB8">
        <w:trPr>
          <w:trHeight w:val="159"/>
        </w:trPr>
        <w:tc>
          <w:tcPr>
            <w:tcW w:w="1631" w:type="pct"/>
            <w:vMerge/>
            <w:shd w:val="clear" w:color="auto" w:fill="auto"/>
            <w:vAlign w:val="center"/>
          </w:tcPr>
          <w:p w14:paraId="0369B640" w14:textId="77777777" w:rsidR="00EA2CB8" w:rsidRPr="004E3D2C" w:rsidRDefault="00EA2CB8" w:rsidP="00E7642A">
            <w:pPr>
              <w:spacing w:after="120"/>
              <w:ind w:left="0"/>
              <w:jc w:val="center"/>
              <w:rPr>
                <w:rFonts w:ascii="Times New Roman" w:hAnsi="Times New Roman"/>
                <w:color w:val="000000"/>
              </w:rPr>
            </w:pPr>
          </w:p>
        </w:tc>
        <w:tc>
          <w:tcPr>
            <w:tcW w:w="1784" w:type="pct"/>
            <w:shd w:val="clear" w:color="auto" w:fill="auto"/>
            <w:vAlign w:val="center"/>
          </w:tcPr>
          <w:p w14:paraId="098167C1" w14:textId="77777777" w:rsidR="00EA2CB8" w:rsidRPr="004E3D2C" w:rsidRDefault="00EA2CB8" w:rsidP="00E7642A">
            <w:pPr>
              <w:spacing w:after="120"/>
              <w:ind w:left="0" w:hanging="92"/>
              <w:jc w:val="center"/>
              <w:rPr>
                <w:rFonts w:ascii="Times New Roman" w:hAnsi="Times New Roman"/>
                <w:color w:val="000000"/>
              </w:rPr>
            </w:pPr>
            <w:r w:rsidRPr="004E3D2C">
              <w:rPr>
                <w:rFonts w:ascii="Times New Roman" w:hAnsi="Times New Roman"/>
                <w:color w:val="000000"/>
              </w:rPr>
              <w:t>INSTRUCT</w:t>
            </w:r>
          </w:p>
        </w:tc>
        <w:tc>
          <w:tcPr>
            <w:tcW w:w="1585" w:type="pct"/>
            <w:vMerge w:val="restart"/>
            <w:shd w:val="clear" w:color="auto" w:fill="auto"/>
            <w:vAlign w:val="center"/>
          </w:tcPr>
          <w:p w14:paraId="44761AEC" w14:textId="77777777" w:rsidR="00EA2CB8" w:rsidRPr="004E3D2C" w:rsidRDefault="00EA2CB8" w:rsidP="00E7642A">
            <w:pPr>
              <w:spacing w:after="120"/>
              <w:ind w:left="0"/>
              <w:jc w:val="center"/>
              <w:rPr>
                <w:rFonts w:ascii="Times New Roman" w:hAnsi="Times New Roman"/>
              </w:rPr>
            </w:pPr>
            <w:r w:rsidRPr="004E3D2C">
              <w:rPr>
                <w:rFonts w:ascii="Times New Roman" w:hAnsi="Times New Roman"/>
                <w:color w:val="000000"/>
              </w:rPr>
              <w:t>INSTRUCT</w:t>
            </w:r>
          </w:p>
        </w:tc>
      </w:tr>
      <w:tr w:rsidR="00EA2CB8" w:rsidRPr="00EA2CB8" w14:paraId="2296F893" w14:textId="77777777" w:rsidTr="00EA2CB8">
        <w:trPr>
          <w:trHeight w:val="179"/>
        </w:trPr>
        <w:tc>
          <w:tcPr>
            <w:tcW w:w="1631" w:type="pct"/>
            <w:vMerge/>
            <w:shd w:val="clear" w:color="auto" w:fill="auto"/>
            <w:vAlign w:val="center"/>
          </w:tcPr>
          <w:p w14:paraId="7DF38498" w14:textId="77777777" w:rsidR="00EA2CB8" w:rsidRPr="00EA2CB8" w:rsidRDefault="00EA2CB8" w:rsidP="00E7642A">
            <w:pPr>
              <w:spacing w:after="120"/>
              <w:ind w:left="0"/>
              <w:jc w:val="center"/>
              <w:rPr>
                <w:rFonts w:ascii="Times New Roman" w:hAnsi="Times New Roman"/>
                <w:color w:val="000000"/>
                <w:sz w:val="24"/>
                <w:szCs w:val="24"/>
              </w:rPr>
            </w:pPr>
          </w:p>
        </w:tc>
        <w:tc>
          <w:tcPr>
            <w:tcW w:w="1784" w:type="pct"/>
            <w:shd w:val="clear" w:color="auto" w:fill="auto"/>
            <w:vAlign w:val="center"/>
          </w:tcPr>
          <w:p w14:paraId="0232B4C2" w14:textId="77777777" w:rsidR="00EA2CB8" w:rsidRDefault="00EA2CB8" w:rsidP="00E7642A">
            <w:pPr>
              <w:spacing w:after="120"/>
              <w:ind w:left="0" w:hanging="92"/>
              <w:jc w:val="center"/>
              <w:rPr>
                <w:rFonts w:ascii="Times New Roman" w:hAnsi="Times New Roman"/>
                <w:color w:val="000000"/>
                <w:sz w:val="24"/>
                <w:szCs w:val="24"/>
              </w:rPr>
            </w:pPr>
            <w:r>
              <w:rPr>
                <w:rFonts w:ascii="Times New Roman" w:hAnsi="Times New Roman"/>
                <w:color w:val="000000"/>
                <w:sz w:val="24"/>
                <w:szCs w:val="24"/>
              </w:rPr>
              <w:t>MIRRI</w:t>
            </w:r>
          </w:p>
        </w:tc>
        <w:tc>
          <w:tcPr>
            <w:tcW w:w="1585" w:type="pct"/>
            <w:vMerge/>
            <w:shd w:val="clear" w:color="auto" w:fill="auto"/>
            <w:vAlign w:val="center"/>
          </w:tcPr>
          <w:p w14:paraId="6E4D327E" w14:textId="77777777" w:rsidR="00EA2CB8" w:rsidRDefault="00EA2CB8" w:rsidP="00E7642A">
            <w:pPr>
              <w:spacing w:after="120"/>
              <w:ind w:left="0"/>
              <w:jc w:val="center"/>
              <w:rPr>
                <w:rFonts w:ascii="Times New Roman" w:hAnsi="Times New Roman"/>
                <w:color w:val="000000"/>
                <w:sz w:val="24"/>
                <w:szCs w:val="24"/>
              </w:rPr>
            </w:pPr>
          </w:p>
        </w:tc>
      </w:tr>
    </w:tbl>
    <w:p w14:paraId="14CAE012" w14:textId="77777777" w:rsidR="001A4F81" w:rsidRPr="00C95968" w:rsidRDefault="00FB14C5" w:rsidP="00E7642A">
      <w:pPr>
        <w:spacing w:after="120"/>
        <w:ind w:left="0"/>
        <w:rPr>
          <w:rFonts w:ascii="Times New Roman" w:hAnsi="Times New Roman"/>
          <w:i/>
          <w:color w:val="000000"/>
          <w:sz w:val="24"/>
          <w:szCs w:val="24"/>
          <w:lang w:eastAsia="lv-LV"/>
        </w:rPr>
      </w:pPr>
      <w:r w:rsidRPr="00C95968">
        <w:rPr>
          <w:rFonts w:ascii="Times New Roman" w:hAnsi="Times New Roman"/>
          <w:i/>
          <w:color w:val="000000"/>
          <w:sz w:val="24"/>
          <w:szCs w:val="24"/>
          <w:lang w:eastAsia="lv-LV"/>
        </w:rPr>
        <w:t>Datu avots: IZM apkopotā informācija</w:t>
      </w:r>
    </w:p>
    <w:p w14:paraId="533133AA" w14:textId="77777777" w:rsidR="004E392D" w:rsidRDefault="004E392D" w:rsidP="00E7642A">
      <w:pPr>
        <w:spacing w:after="160" w:line="259" w:lineRule="auto"/>
        <w:ind w:left="0"/>
        <w:jc w:val="left"/>
        <w:rPr>
          <w:rFonts w:ascii="Times New Roman" w:eastAsia="Times New Roman" w:hAnsi="Times New Roman"/>
          <w:b/>
          <w:bCs/>
          <w:sz w:val="24"/>
          <w:szCs w:val="24"/>
          <w:lang w:eastAsia="lv-LV"/>
        </w:rPr>
      </w:pPr>
      <w:bookmarkStart w:id="37" w:name="_Toc443987045"/>
      <w:bookmarkStart w:id="38" w:name="_Toc443993213"/>
      <w:bookmarkStart w:id="39" w:name="_Toc443993466"/>
      <w:bookmarkStart w:id="40" w:name="_Toc443993720"/>
      <w:bookmarkStart w:id="41" w:name="_Toc443993973"/>
      <w:bookmarkStart w:id="42" w:name="_Toc443987046"/>
      <w:bookmarkStart w:id="43" w:name="_Toc443993214"/>
      <w:bookmarkStart w:id="44" w:name="_Toc443993467"/>
      <w:bookmarkStart w:id="45" w:name="_Toc443993721"/>
      <w:bookmarkStart w:id="46" w:name="_Toc443993974"/>
      <w:bookmarkStart w:id="47" w:name="_Toc443987051"/>
      <w:bookmarkStart w:id="48" w:name="_Toc443993219"/>
      <w:bookmarkStart w:id="49" w:name="_Toc443993472"/>
      <w:bookmarkStart w:id="50" w:name="_Toc443993726"/>
      <w:bookmarkStart w:id="51" w:name="_Toc443993979"/>
      <w:bookmarkStart w:id="52" w:name="_Toc443987052"/>
      <w:bookmarkStart w:id="53" w:name="_Toc443993220"/>
      <w:bookmarkStart w:id="54" w:name="_Toc443993473"/>
      <w:bookmarkStart w:id="55" w:name="_Toc443993727"/>
      <w:bookmarkStart w:id="56" w:name="_Toc443993980"/>
      <w:bookmarkStart w:id="57" w:name="_Toc443987053"/>
      <w:bookmarkStart w:id="58" w:name="_Toc443993221"/>
      <w:bookmarkStart w:id="59" w:name="_Toc443993474"/>
      <w:bookmarkStart w:id="60" w:name="_Toc443993728"/>
      <w:bookmarkStart w:id="61" w:name="_Toc443993981"/>
      <w:bookmarkStart w:id="62" w:name="_Toc443987054"/>
      <w:bookmarkStart w:id="63" w:name="_Toc443993222"/>
      <w:bookmarkStart w:id="64" w:name="_Toc443993475"/>
      <w:bookmarkStart w:id="65" w:name="_Toc443993729"/>
      <w:bookmarkStart w:id="66" w:name="_Toc443993982"/>
      <w:bookmarkStart w:id="67" w:name="_Toc443987055"/>
      <w:bookmarkStart w:id="68" w:name="_Toc443993223"/>
      <w:bookmarkStart w:id="69" w:name="_Toc443993476"/>
      <w:bookmarkStart w:id="70" w:name="_Toc443993730"/>
      <w:bookmarkStart w:id="71" w:name="_Toc443993983"/>
      <w:bookmarkStart w:id="72" w:name="_Toc443987056"/>
      <w:bookmarkStart w:id="73" w:name="_Toc443993224"/>
      <w:bookmarkStart w:id="74" w:name="_Toc443993477"/>
      <w:bookmarkStart w:id="75" w:name="_Toc443993731"/>
      <w:bookmarkStart w:id="76" w:name="_Toc443993984"/>
      <w:bookmarkStart w:id="77" w:name="_Toc443987058"/>
      <w:bookmarkStart w:id="78" w:name="_Toc443993226"/>
      <w:bookmarkStart w:id="79" w:name="_Toc443993479"/>
      <w:bookmarkStart w:id="80" w:name="_Toc443993733"/>
      <w:bookmarkStart w:id="81" w:name="_Toc443993986"/>
      <w:bookmarkStart w:id="82" w:name="_Toc443987059"/>
      <w:bookmarkStart w:id="83" w:name="_Toc443993227"/>
      <w:bookmarkStart w:id="84" w:name="_Toc443993480"/>
      <w:bookmarkStart w:id="85" w:name="_Toc443993734"/>
      <w:bookmarkStart w:id="86" w:name="_Toc443993987"/>
      <w:bookmarkStart w:id="87" w:name="_Toc443987060"/>
      <w:bookmarkStart w:id="88" w:name="_Toc443993228"/>
      <w:bookmarkStart w:id="89" w:name="_Toc443993481"/>
      <w:bookmarkStart w:id="90" w:name="_Toc443993735"/>
      <w:bookmarkStart w:id="91" w:name="_Toc443993988"/>
      <w:bookmarkStart w:id="92" w:name="_Toc443987061"/>
      <w:bookmarkStart w:id="93" w:name="_Toc443993229"/>
      <w:bookmarkStart w:id="94" w:name="_Toc443993482"/>
      <w:bookmarkStart w:id="95" w:name="_Toc443993736"/>
      <w:bookmarkStart w:id="96" w:name="_Toc443993989"/>
      <w:bookmarkStart w:id="97" w:name="_Toc443987062"/>
      <w:bookmarkStart w:id="98" w:name="_Toc443993230"/>
      <w:bookmarkStart w:id="99" w:name="_Toc443993483"/>
      <w:bookmarkStart w:id="100" w:name="_Toc443993737"/>
      <w:bookmarkStart w:id="101" w:name="_Toc443993990"/>
      <w:bookmarkStart w:id="102" w:name="_Toc443987063"/>
      <w:bookmarkStart w:id="103" w:name="_Toc443993231"/>
      <w:bookmarkStart w:id="104" w:name="_Toc443993484"/>
      <w:bookmarkStart w:id="105" w:name="_Toc443993738"/>
      <w:bookmarkStart w:id="106" w:name="_Toc443993991"/>
      <w:bookmarkStart w:id="107" w:name="_Toc443987064"/>
      <w:bookmarkStart w:id="108" w:name="_Toc443993232"/>
      <w:bookmarkStart w:id="109" w:name="_Toc443993485"/>
      <w:bookmarkStart w:id="110" w:name="_Toc443993739"/>
      <w:bookmarkStart w:id="111" w:name="_Toc443993992"/>
      <w:bookmarkStart w:id="112" w:name="_Toc443987065"/>
      <w:bookmarkStart w:id="113" w:name="_Toc443993233"/>
      <w:bookmarkStart w:id="114" w:name="_Toc443993486"/>
      <w:bookmarkStart w:id="115" w:name="_Toc443993740"/>
      <w:bookmarkStart w:id="116" w:name="_Toc443993993"/>
      <w:bookmarkStart w:id="117" w:name="_Toc443987066"/>
      <w:bookmarkStart w:id="118" w:name="_Toc443993234"/>
      <w:bookmarkStart w:id="119" w:name="_Toc443993487"/>
      <w:bookmarkStart w:id="120" w:name="_Toc443993741"/>
      <w:bookmarkStart w:id="121" w:name="_Toc443993994"/>
      <w:bookmarkStart w:id="122" w:name="_Toc443987068"/>
      <w:bookmarkStart w:id="123" w:name="_Toc443993236"/>
      <w:bookmarkStart w:id="124" w:name="_Toc443993489"/>
      <w:bookmarkStart w:id="125" w:name="_Toc443993743"/>
      <w:bookmarkStart w:id="126" w:name="_Toc443993996"/>
      <w:bookmarkStart w:id="127" w:name="_Toc443987069"/>
      <w:bookmarkStart w:id="128" w:name="_Toc443993237"/>
      <w:bookmarkStart w:id="129" w:name="_Toc443993490"/>
      <w:bookmarkStart w:id="130" w:name="_Toc443993744"/>
      <w:bookmarkStart w:id="131" w:name="_Toc443993997"/>
      <w:bookmarkStart w:id="132" w:name="_Toc443987070"/>
      <w:bookmarkStart w:id="133" w:name="_Toc443993238"/>
      <w:bookmarkStart w:id="134" w:name="_Toc443993491"/>
      <w:bookmarkStart w:id="135" w:name="_Toc443993745"/>
      <w:bookmarkStart w:id="136" w:name="_Toc443993998"/>
      <w:bookmarkStart w:id="137" w:name="_Toc443987106"/>
      <w:bookmarkStart w:id="138" w:name="_Toc443993274"/>
      <w:bookmarkStart w:id="139" w:name="_Toc443993527"/>
      <w:bookmarkStart w:id="140" w:name="_Toc443993781"/>
      <w:bookmarkStart w:id="141" w:name="_Toc443994034"/>
      <w:bookmarkStart w:id="142" w:name="_Toc443987111"/>
      <w:bookmarkStart w:id="143" w:name="_Toc443993279"/>
      <w:bookmarkStart w:id="144" w:name="_Toc443993532"/>
      <w:bookmarkStart w:id="145" w:name="_Toc443993786"/>
      <w:bookmarkStart w:id="146" w:name="_Toc443994039"/>
      <w:bookmarkStart w:id="147" w:name="_Toc443987126"/>
      <w:bookmarkStart w:id="148" w:name="_Toc443993294"/>
      <w:bookmarkStart w:id="149" w:name="_Toc443993547"/>
      <w:bookmarkStart w:id="150" w:name="_Toc443993801"/>
      <w:bookmarkStart w:id="151" w:name="_Toc443994054"/>
      <w:bookmarkStart w:id="152" w:name="_Toc443987131"/>
      <w:bookmarkStart w:id="153" w:name="_Toc443993299"/>
      <w:bookmarkStart w:id="154" w:name="_Toc443993552"/>
      <w:bookmarkStart w:id="155" w:name="_Toc443993806"/>
      <w:bookmarkStart w:id="156" w:name="_Toc443994059"/>
      <w:bookmarkStart w:id="157" w:name="_Toc443987132"/>
      <w:bookmarkStart w:id="158" w:name="_Toc443993300"/>
      <w:bookmarkStart w:id="159" w:name="_Toc443993553"/>
      <w:bookmarkStart w:id="160" w:name="_Toc443993807"/>
      <w:bookmarkStart w:id="161" w:name="_Toc443994060"/>
      <w:bookmarkStart w:id="162" w:name="_Toc443987133"/>
      <w:bookmarkStart w:id="163" w:name="_Toc443993301"/>
      <w:bookmarkStart w:id="164" w:name="_Toc443993554"/>
      <w:bookmarkStart w:id="165" w:name="_Toc443993808"/>
      <w:bookmarkStart w:id="166" w:name="_Toc443994061"/>
      <w:bookmarkStart w:id="167" w:name="_Toc443987134"/>
      <w:bookmarkStart w:id="168" w:name="_Toc443993302"/>
      <w:bookmarkStart w:id="169" w:name="_Toc443993555"/>
      <w:bookmarkStart w:id="170" w:name="_Toc443993809"/>
      <w:bookmarkStart w:id="171" w:name="_Toc443994062"/>
      <w:bookmarkStart w:id="172" w:name="_Toc443987135"/>
      <w:bookmarkStart w:id="173" w:name="_Toc443993303"/>
      <w:bookmarkStart w:id="174" w:name="_Toc443993556"/>
      <w:bookmarkStart w:id="175" w:name="_Toc443993810"/>
      <w:bookmarkStart w:id="176" w:name="_Toc443994063"/>
      <w:bookmarkStart w:id="177" w:name="_Toc443987137"/>
      <w:bookmarkStart w:id="178" w:name="_Toc443993305"/>
      <w:bookmarkStart w:id="179" w:name="_Toc443993558"/>
      <w:bookmarkStart w:id="180" w:name="_Toc443993812"/>
      <w:bookmarkStart w:id="181" w:name="_Toc443994065"/>
      <w:bookmarkStart w:id="182" w:name="_Toc443987138"/>
      <w:bookmarkStart w:id="183" w:name="_Toc443993306"/>
      <w:bookmarkStart w:id="184" w:name="_Toc443993559"/>
      <w:bookmarkStart w:id="185" w:name="_Toc443993813"/>
      <w:bookmarkStart w:id="186" w:name="_Toc443994066"/>
      <w:bookmarkStart w:id="187" w:name="_Toc443987139"/>
      <w:bookmarkStart w:id="188" w:name="_Toc443993307"/>
      <w:bookmarkStart w:id="189" w:name="_Toc443993560"/>
      <w:bookmarkStart w:id="190" w:name="_Toc443993814"/>
      <w:bookmarkStart w:id="191" w:name="_Toc443994067"/>
      <w:bookmarkStart w:id="192" w:name="_Toc443987141"/>
      <w:bookmarkStart w:id="193" w:name="_Toc443993309"/>
      <w:bookmarkStart w:id="194" w:name="_Toc443993562"/>
      <w:bookmarkStart w:id="195" w:name="_Toc443993816"/>
      <w:bookmarkStart w:id="196" w:name="_Toc443994069"/>
      <w:bookmarkStart w:id="197" w:name="_Toc443987156"/>
      <w:bookmarkStart w:id="198" w:name="_Toc443993324"/>
      <w:bookmarkStart w:id="199" w:name="_Toc443993577"/>
      <w:bookmarkStart w:id="200" w:name="_Toc443993831"/>
      <w:bookmarkStart w:id="201" w:name="_Toc443994084"/>
      <w:bookmarkStart w:id="202" w:name="_Toc443987168"/>
      <w:bookmarkStart w:id="203" w:name="_Toc443993336"/>
      <w:bookmarkStart w:id="204" w:name="_Toc443993589"/>
      <w:bookmarkStart w:id="205" w:name="_Toc443993843"/>
      <w:bookmarkStart w:id="206" w:name="_Toc443994096"/>
      <w:bookmarkStart w:id="207" w:name="_Toc443987187"/>
      <w:bookmarkStart w:id="208" w:name="_Toc443993355"/>
      <w:bookmarkStart w:id="209" w:name="_Toc443993608"/>
      <w:bookmarkStart w:id="210" w:name="_Toc443993862"/>
      <w:bookmarkStart w:id="211" w:name="_Toc443994115"/>
      <w:bookmarkStart w:id="212" w:name="_Toc443987202"/>
      <w:bookmarkStart w:id="213" w:name="_Toc443993370"/>
      <w:bookmarkStart w:id="214" w:name="_Toc443993623"/>
      <w:bookmarkStart w:id="215" w:name="_Toc443993877"/>
      <w:bookmarkStart w:id="216" w:name="_Toc443994130"/>
      <w:bookmarkStart w:id="217" w:name="_Toc443987212"/>
      <w:bookmarkStart w:id="218" w:name="_Toc443993380"/>
      <w:bookmarkStart w:id="219" w:name="_Toc443993633"/>
      <w:bookmarkStart w:id="220" w:name="_Toc443993887"/>
      <w:bookmarkStart w:id="221" w:name="_Toc443994140"/>
      <w:bookmarkStart w:id="222" w:name="_Toc443987218"/>
      <w:bookmarkStart w:id="223" w:name="_Toc443993386"/>
      <w:bookmarkStart w:id="224" w:name="_Toc443993639"/>
      <w:bookmarkStart w:id="225" w:name="_Toc443993893"/>
      <w:bookmarkStart w:id="226" w:name="_Toc443994146"/>
      <w:bookmarkStart w:id="227" w:name="_Toc443987262"/>
      <w:bookmarkStart w:id="228" w:name="_Toc443993430"/>
      <w:bookmarkStart w:id="229" w:name="_Toc443993683"/>
      <w:bookmarkStart w:id="230" w:name="_Toc443993937"/>
      <w:bookmarkStart w:id="231" w:name="_Toc443994190"/>
      <w:bookmarkStart w:id="232" w:name="_Toc443987266"/>
      <w:bookmarkStart w:id="233" w:name="_Toc443993434"/>
      <w:bookmarkStart w:id="234" w:name="_Toc443993687"/>
      <w:bookmarkStart w:id="235" w:name="_Toc443993941"/>
      <w:bookmarkStart w:id="236" w:name="_Toc443994194"/>
      <w:bookmarkStart w:id="237" w:name="_Toc443987267"/>
      <w:bookmarkStart w:id="238" w:name="_Toc443993435"/>
      <w:bookmarkStart w:id="239" w:name="_Toc443993688"/>
      <w:bookmarkStart w:id="240" w:name="_Toc443993942"/>
      <w:bookmarkStart w:id="241" w:name="_Toc443994195"/>
      <w:bookmarkStart w:id="242" w:name="_Toc443987268"/>
      <w:bookmarkStart w:id="243" w:name="_Toc443993436"/>
      <w:bookmarkStart w:id="244" w:name="_Toc443993689"/>
      <w:bookmarkStart w:id="245" w:name="_Toc443993943"/>
      <w:bookmarkStart w:id="246" w:name="_Toc443994196"/>
      <w:bookmarkStart w:id="247" w:name="_Toc443987269"/>
      <w:bookmarkStart w:id="248" w:name="_Toc443993437"/>
      <w:bookmarkStart w:id="249" w:name="_Toc443993690"/>
      <w:bookmarkStart w:id="250" w:name="_Toc443993944"/>
      <w:bookmarkStart w:id="251" w:name="_Toc443994197"/>
      <w:bookmarkStart w:id="252" w:name="_Toc443987270"/>
      <w:bookmarkStart w:id="253" w:name="_Toc443993438"/>
      <w:bookmarkStart w:id="254" w:name="_Toc443993691"/>
      <w:bookmarkStart w:id="255" w:name="_Toc443993945"/>
      <w:bookmarkStart w:id="256" w:name="_Toc443994198"/>
      <w:bookmarkStart w:id="257" w:name="_Toc443987273"/>
      <w:bookmarkStart w:id="258" w:name="_Toc443993441"/>
      <w:bookmarkStart w:id="259" w:name="_Toc443993694"/>
      <w:bookmarkStart w:id="260" w:name="_Toc443993948"/>
      <w:bookmarkStart w:id="261" w:name="_Toc44399420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ascii="Times New Roman" w:hAnsi="Times New Roman"/>
          <w:sz w:val="24"/>
          <w:szCs w:val="24"/>
        </w:rPr>
        <w:br w:type="page"/>
      </w:r>
    </w:p>
    <w:p w14:paraId="4602BCA6" w14:textId="5B652B0B" w:rsidR="007259E4" w:rsidRPr="00EC7AB8" w:rsidRDefault="003E4E02" w:rsidP="00E7642A">
      <w:pPr>
        <w:pStyle w:val="Heading1"/>
        <w:numPr>
          <w:ilvl w:val="0"/>
          <w:numId w:val="1"/>
        </w:numPr>
        <w:spacing w:before="360" w:after="120"/>
        <w:ind w:left="357" w:hanging="357"/>
        <w:jc w:val="center"/>
        <w:rPr>
          <w:rFonts w:ascii="Times New Roman" w:hAnsi="Times New Roman"/>
          <w:color w:val="auto"/>
          <w:sz w:val="24"/>
          <w:szCs w:val="24"/>
        </w:rPr>
      </w:pPr>
      <w:bookmarkStart w:id="262" w:name="_Toc458673280"/>
      <w:r>
        <w:rPr>
          <w:rFonts w:ascii="Times New Roman" w:hAnsi="Times New Roman"/>
          <w:color w:val="auto"/>
          <w:sz w:val="24"/>
          <w:szCs w:val="24"/>
        </w:rPr>
        <w:lastRenderedPageBreak/>
        <w:t>Ieguldījumi p</w:t>
      </w:r>
      <w:r w:rsidR="001661B5" w:rsidRPr="00EC7AB8">
        <w:rPr>
          <w:rFonts w:ascii="Times New Roman" w:hAnsi="Times New Roman"/>
          <w:color w:val="auto"/>
          <w:sz w:val="24"/>
          <w:szCs w:val="24"/>
        </w:rPr>
        <w:t>ētnieciskās infrastruktūras pilnveidei ES struktūrfondu 2014.</w:t>
      </w:r>
      <w:r w:rsidR="00810EA0" w:rsidRPr="00810EA0">
        <w:t xml:space="preserve"> </w:t>
      </w:r>
      <w:r w:rsidR="00810EA0" w:rsidRPr="00AF3E03">
        <w:rPr>
          <w:color w:val="auto"/>
        </w:rPr>
        <w:t>–</w:t>
      </w:r>
      <w:r w:rsidR="00810EA0">
        <w:t xml:space="preserve"> </w:t>
      </w:r>
      <w:r w:rsidR="001661B5" w:rsidRPr="00EC7AB8">
        <w:rPr>
          <w:rFonts w:ascii="Times New Roman" w:hAnsi="Times New Roman"/>
          <w:color w:val="auto"/>
          <w:sz w:val="24"/>
          <w:szCs w:val="24"/>
        </w:rPr>
        <w:t>2020.</w:t>
      </w:r>
      <w:r w:rsidR="00DA3871" w:rsidRPr="00EC7AB8">
        <w:rPr>
          <w:rFonts w:ascii="Times New Roman" w:hAnsi="Times New Roman"/>
          <w:color w:val="auto"/>
          <w:sz w:val="24"/>
          <w:szCs w:val="24"/>
        </w:rPr>
        <w:t xml:space="preserve"> </w:t>
      </w:r>
      <w:r w:rsidR="001661B5" w:rsidRPr="00EC7AB8">
        <w:rPr>
          <w:rFonts w:ascii="Times New Roman" w:hAnsi="Times New Roman"/>
          <w:color w:val="auto"/>
          <w:sz w:val="24"/>
          <w:szCs w:val="24"/>
        </w:rPr>
        <w:t>gada plānošanas periodā</w:t>
      </w:r>
      <w:bookmarkEnd w:id="262"/>
    </w:p>
    <w:p w14:paraId="720C094A" w14:textId="77777777" w:rsidR="00CD6B27" w:rsidRPr="007F1CFE" w:rsidRDefault="00EC7AB8" w:rsidP="00E7642A">
      <w:pPr>
        <w:tabs>
          <w:tab w:val="left" w:pos="0"/>
          <w:tab w:val="left" w:pos="567"/>
        </w:tabs>
        <w:ind w:left="0"/>
        <w:rPr>
          <w:rFonts w:ascii="Times New Roman" w:hAnsi="Times New Roman"/>
          <w:sz w:val="24"/>
          <w:szCs w:val="24"/>
        </w:rPr>
      </w:pPr>
      <w:r>
        <w:rPr>
          <w:rFonts w:ascii="Times New Roman" w:hAnsi="Times New Roman"/>
          <w:sz w:val="24"/>
          <w:szCs w:val="24"/>
        </w:rPr>
        <w:tab/>
      </w:r>
      <w:r w:rsidR="00B21805" w:rsidRPr="00C07278">
        <w:rPr>
          <w:rFonts w:ascii="Times New Roman" w:hAnsi="Times New Roman"/>
          <w:sz w:val="24"/>
          <w:szCs w:val="24"/>
        </w:rPr>
        <w:t>Atbilstoši Partnerības līgum</w:t>
      </w:r>
      <w:r w:rsidR="00B21805">
        <w:rPr>
          <w:rFonts w:ascii="Times New Roman" w:hAnsi="Times New Roman"/>
          <w:sz w:val="24"/>
          <w:szCs w:val="24"/>
        </w:rPr>
        <w:t>am</w:t>
      </w:r>
      <w:r w:rsidR="00B21805" w:rsidRPr="00C07278">
        <w:rPr>
          <w:rFonts w:ascii="Times New Roman" w:hAnsi="Times New Roman"/>
          <w:sz w:val="24"/>
          <w:szCs w:val="24"/>
        </w:rPr>
        <w:t xml:space="preserve"> Eiropas Savienības investīciju fondu 2014.</w:t>
      </w:r>
      <w:r w:rsidR="00810EA0" w:rsidRPr="00810EA0">
        <w:t xml:space="preserve"> </w:t>
      </w:r>
      <w:r w:rsidR="00810EA0">
        <w:t xml:space="preserve">– </w:t>
      </w:r>
      <w:r w:rsidR="00B21805" w:rsidRPr="00C07278">
        <w:rPr>
          <w:rFonts w:ascii="Times New Roman" w:hAnsi="Times New Roman"/>
          <w:sz w:val="24"/>
          <w:szCs w:val="24"/>
        </w:rPr>
        <w:t xml:space="preserve">2020.gada plānošanas periodam, lai palielinātu Latvijas zinātnisko institūciju spēju piesaistīt ārējo </w:t>
      </w:r>
      <w:r w:rsidR="00B21805" w:rsidRPr="0029426F">
        <w:rPr>
          <w:rFonts w:ascii="Times New Roman" w:hAnsi="Times New Roman"/>
          <w:sz w:val="24"/>
          <w:szCs w:val="24"/>
        </w:rPr>
        <w:t xml:space="preserve">finansējumu, ir jāatjauno un jāattīsta zinātnes un tehnoloģiju nozares cilvēkkapitāls, jāveicina </w:t>
      </w:r>
      <w:r w:rsidR="007F1CFE" w:rsidRPr="0029426F">
        <w:rPr>
          <w:rFonts w:ascii="Times New Roman" w:hAnsi="Times New Roman"/>
          <w:sz w:val="24"/>
          <w:szCs w:val="24"/>
        </w:rPr>
        <w:t xml:space="preserve">zināšanu bāzes un </w:t>
      </w:r>
      <w:r w:rsidR="00B21805" w:rsidRPr="0029426F">
        <w:rPr>
          <w:rFonts w:ascii="Times New Roman" w:hAnsi="Times New Roman"/>
          <w:sz w:val="24"/>
          <w:szCs w:val="24"/>
        </w:rPr>
        <w:t>pētniecībā un attīstībā nodarbināto cilvēkresursu</w:t>
      </w:r>
      <w:r w:rsidR="00CD6B27" w:rsidRPr="0029426F">
        <w:rPr>
          <w:rFonts w:ascii="Times New Roman" w:hAnsi="Times New Roman"/>
          <w:sz w:val="24"/>
          <w:szCs w:val="24"/>
        </w:rPr>
        <w:t xml:space="preserve"> kapacitātes</w:t>
      </w:r>
      <w:r w:rsidR="00B21805" w:rsidRPr="0029426F">
        <w:rPr>
          <w:rFonts w:ascii="Times New Roman" w:hAnsi="Times New Roman"/>
          <w:sz w:val="24"/>
          <w:szCs w:val="24"/>
        </w:rPr>
        <w:t xml:space="preserve"> koncentrācija</w:t>
      </w:r>
      <w:r w:rsidR="00D07CFE" w:rsidRPr="0029426F">
        <w:rPr>
          <w:rFonts w:ascii="Times New Roman" w:hAnsi="Times New Roman"/>
          <w:sz w:val="24"/>
          <w:szCs w:val="24"/>
        </w:rPr>
        <w:t>.</w:t>
      </w:r>
      <w:r w:rsidR="007F1CFE" w:rsidRPr="0029426F">
        <w:rPr>
          <w:rFonts w:ascii="Times New Roman" w:hAnsi="Times New Roman"/>
          <w:sz w:val="24"/>
          <w:szCs w:val="24"/>
        </w:rPr>
        <w:t xml:space="preserve"> </w:t>
      </w:r>
      <w:r w:rsidR="00D07CFE" w:rsidRPr="0029426F">
        <w:rPr>
          <w:rFonts w:ascii="Times New Roman" w:hAnsi="Times New Roman"/>
          <w:sz w:val="24"/>
          <w:szCs w:val="24"/>
        </w:rPr>
        <w:t>J</w:t>
      </w:r>
      <w:r w:rsidR="00CD6B27" w:rsidRPr="0029426F">
        <w:rPr>
          <w:rFonts w:ascii="Times New Roman" w:hAnsi="Times New Roman"/>
          <w:sz w:val="24"/>
          <w:szCs w:val="24"/>
        </w:rPr>
        <w:t>āpaaugstina starptautiskā konkurētspēja,</w:t>
      </w:r>
      <w:r w:rsidR="00B21805" w:rsidRPr="0029426F">
        <w:rPr>
          <w:rFonts w:ascii="Times New Roman" w:hAnsi="Times New Roman"/>
          <w:sz w:val="24"/>
          <w:szCs w:val="24"/>
        </w:rPr>
        <w:t xml:space="preserve"> tādējādi stiprinot starptautisko sadarbību un zinātnisko sasniegumu starptautisko publicitāti,</w:t>
      </w:r>
      <w:r w:rsidR="00CD6B27" w:rsidRPr="0029426F">
        <w:rPr>
          <w:rFonts w:ascii="Times New Roman" w:hAnsi="Times New Roman"/>
          <w:sz w:val="24"/>
          <w:szCs w:val="24"/>
        </w:rPr>
        <w:t xml:space="preserve"> kā arī</w:t>
      </w:r>
      <w:r w:rsidR="00B21805" w:rsidRPr="0029426F">
        <w:rPr>
          <w:rFonts w:ascii="Times New Roman" w:hAnsi="Times New Roman"/>
          <w:sz w:val="24"/>
          <w:szCs w:val="24"/>
        </w:rPr>
        <w:t xml:space="preserve"> jāveicina sadarbība ar industriju, tai skaitā būtiski palielinot tehnoloģiju attīstības un </w:t>
      </w:r>
      <w:r w:rsidR="005108FF" w:rsidRPr="0029426F">
        <w:rPr>
          <w:rFonts w:ascii="Times New Roman" w:hAnsi="Times New Roman"/>
          <w:sz w:val="24"/>
          <w:szCs w:val="24"/>
        </w:rPr>
        <w:t xml:space="preserve">zināšanu </w:t>
      </w:r>
      <w:r w:rsidR="00B21805" w:rsidRPr="0029426F">
        <w:rPr>
          <w:rFonts w:ascii="Times New Roman" w:hAnsi="Times New Roman"/>
          <w:sz w:val="24"/>
          <w:szCs w:val="24"/>
        </w:rPr>
        <w:t>pārneses kapacitāti</w:t>
      </w:r>
      <w:r w:rsidR="00CD6B27" w:rsidRPr="0029426F">
        <w:rPr>
          <w:rFonts w:ascii="Times New Roman" w:hAnsi="Times New Roman"/>
          <w:sz w:val="24"/>
          <w:szCs w:val="24"/>
        </w:rPr>
        <w:t>.</w:t>
      </w:r>
      <w:r w:rsidR="00B21805" w:rsidRPr="0029426F">
        <w:rPr>
          <w:rFonts w:ascii="Times New Roman" w:hAnsi="Times New Roman"/>
          <w:sz w:val="24"/>
          <w:szCs w:val="24"/>
        </w:rPr>
        <w:t xml:space="preserve"> </w:t>
      </w:r>
      <w:r w:rsidR="007F1CFE" w:rsidRPr="0029426F">
        <w:rPr>
          <w:rFonts w:ascii="Times New Roman" w:hAnsi="Times New Roman"/>
          <w:sz w:val="24"/>
          <w:szCs w:val="24"/>
        </w:rPr>
        <w:t xml:space="preserve">Partnerības līgumā noteikto pētniecības un attīstības mērķu sasniegšanu veicinās atbilstoša pētniecības infrastruktūra, tai skaitā publiskā pētniecības </w:t>
      </w:r>
      <w:r w:rsidR="00B21805" w:rsidRPr="0029426F">
        <w:rPr>
          <w:rFonts w:ascii="Times New Roman" w:hAnsi="Times New Roman"/>
          <w:sz w:val="24"/>
          <w:szCs w:val="24"/>
        </w:rPr>
        <w:t>infrastruktūr</w:t>
      </w:r>
      <w:r w:rsidR="00810EA0">
        <w:rPr>
          <w:rFonts w:ascii="Times New Roman" w:hAnsi="Times New Roman"/>
          <w:sz w:val="24"/>
          <w:szCs w:val="24"/>
        </w:rPr>
        <w:t>a</w:t>
      </w:r>
      <w:r w:rsidR="007F1CFE" w:rsidRPr="0029426F">
        <w:rPr>
          <w:rFonts w:ascii="Times New Roman" w:hAnsi="Times New Roman"/>
          <w:sz w:val="24"/>
          <w:szCs w:val="24"/>
        </w:rPr>
        <w:t xml:space="preserve">, </w:t>
      </w:r>
      <w:r w:rsidR="00D07CFE" w:rsidRPr="0029426F">
        <w:rPr>
          <w:rFonts w:ascii="Times New Roman" w:hAnsi="Times New Roman"/>
          <w:sz w:val="24"/>
          <w:szCs w:val="24"/>
        </w:rPr>
        <w:t>kas</w:t>
      </w:r>
      <w:r w:rsidR="007F1CFE" w:rsidRPr="0029426F">
        <w:rPr>
          <w:rFonts w:ascii="Times New Roman" w:hAnsi="Times New Roman"/>
          <w:sz w:val="24"/>
          <w:szCs w:val="24"/>
        </w:rPr>
        <w:t xml:space="preserve"> sekmēs</w:t>
      </w:r>
      <w:r w:rsidR="00B21805" w:rsidRPr="0029426F">
        <w:rPr>
          <w:rFonts w:ascii="Times New Roman" w:hAnsi="Times New Roman"/>
          <w:sz w:val="24"/>
          <w:szCs w:val="24"/>
        </w:rPr>
        <w:t xml:space="preserve"> pētniecības, attīstības un inovatīvu projektu īstenošan</w:t>
      </w:r>
      <w:r w:rsidR="007F1CFE" w:rsidRPr="0029426F">
        <w:rPr>
          <w:rFonts w:ascii="Times New Roman" w:hAnsi="Times New Roman"/>
          <w:sz w:val="24"/>
          <w:szCs w:val="24"/>
        </w:rPr>
        <w:t>u</w:t>
      </w:r>
      <w:r w:rsidR="00B21805" w:rsidRPr="0029426F">
        <w:rPr>
          <w:rFonts w:ascii="Times New Roman" w:hAnsi="Times New Roman"/>
          <w:sz w:val="24"/>
          <w:szCs w:val="24"/>
        </w:rPr>
        <w:t>.</w:t>
      </w:r>
    </w:p>
    <w:p w14:paraId="52CD45AE" w14:textId="77777777" w:rsidR="00EC7AB8" w:rsidRDefault="00B21805" w:rsidP="00E7642A">
      <w:pPr>
        <w:tabs>
          <w:tab w:val="left" w:pos="0"/>
          <w:tab w:val="left" w:pos="567"/>
        </w:tabs>
        <w:ind w:left="0"/>
        <w:rPr>
          <w:rFonts w:ascii="Times New Roman" w:hAnsi="Times New Roman"/>
          <w:sz w:val="24"/>
          <w:szCs w:val="24"/>
        </w:rPr>
      </w:pPr>
      <w:r>
        <w:rPr>
          <w:rFonts w:ascii="Times New Roman" w:hAnsi="Times New Roman"/>
          <w:sz w:val="24"/>
          <w:szCs w:val="24"/>
        </w:rPr>
        <w:tab/>
      </w:r>
      <w:r w:rsidR="00EC7AB8" w:rsidRPr="00273042">
        <w:rPr>
          <w:rFonts w:ascii="Times New Roman" w:hAnsi="Times New Roman"/>
          <w:sz w:val="24"/>
          <w:szCs w:val="24"/>
        </w:rPr>
        <w:t xml:space="preserve">Latvijas </w:t>
      </w:r>
      <w:r w:rsidR="00810EA0">
        <w:rPr>
          <w:rFonts w:ascii="Times New Roman" w:hAnsi="Times New Roman"/>
          <w:sz w:val="24"/>
          <w:szCs w:val="24"/>
        </w:rPr>
        <w:t>v</w:t>
      </w:r>
      <w:r w:rsidR="00EC7AB8" w:rsidRPr="00273042">
        <w:rPr>
          <w:rFonts w:ascii="Times New Roman" w:hAnsi="Times New Roman"/>
          <w:sz w:val="24"/>
          <w:szCs w:val="24"/>
        </w:rPr>
        <w:t xml:space="preserve">iedās specializācijas stratēģija paredz pētniecības, tehnoloģiju attīstības un inovācijas kapacitātes paaugstināšanu ar mērķi </w:t>
      </w:r>
      <w:r w:rsidR="00AF3E03">
        <w:rPr>
          <w:rFonts w:ascii="Times New Roman" w:hAnsi="Times New Roman"/>
          <w:sz w:val="24"/>
          <w:szCs w:val="24"/>
        </w:rPr>
        <w:t>veicināt</w:t>
      </w:r>
      <w:r w:rsidR="00AF3E03" w:rsidRPr="00273042">
        <w:rPr>
          <w:rFonts w:ascii="Times New Roman" w:hAnsi="Times New Roman"/>
          <w:sz w:val="24"/>
          <w:szCs w:val="24"/>
        </w:rPr>
        <w:t xml:space="preserve"> </w:t>
      </w:r>
      <w:r w:rsidR="00EC7AB8" w:rsidRPr="00273042">
        <w:rPr>
          <w:rFonts w:ascii="Times New Roman" w:hAnsi="Times New Roman"/>
          <w:sz w:val="24"/>
          <w:szCs w:val="24"/>
        </w:rPr>
        <w:t xml:space="preserve">tautsaimniecības transformāciju, sekmējot izaugsmi gan tradicionālajās tautsaimniecības nozarēs, gan nozarēs ar augstu nākotnes izaugsmes potenciālu un nozarēs ar nozīmīgu horizontālu ietekmi. </w:t>
      </w:r>
      <w:r w:rsidR="00810EA0">
        <w:rPr>
          <w:rFonts w:ascii="Times New Roman" w:hAnsi="Times New Roman"/>
          <w:sz w:val="24"/>
          <w:szCs w:val="24"/>
        </w:rPr>
        <w:t>Latvijas v</w:t>
      </w:r>
      <w:r w:rsidR="00EC7AB8" w:rsidRPr="00273042">
        <w:rPr>
          <w:rFonts w:ascii="Times New Roman" w:hAnsi="Times New Roman"/>
          <w:sz w:val="24"/>
          <w:szCs w:val="24"/>
        </w:rPr>
        <w:t>iedās specializācijas stratēģijas mērķu sasniegšanai</w:t>
      </w:r>
      <w:r>
        <w:rPr>
          <w:rFonts w:ascii="Times New Roman" w:hAnsi="Times New Roman"/>
          <w:sz w:val="24"/>
          <w:szCs w:val="24"/>
        </w:rPr>
        <w:t xml:space="preserve"> resursi </w:t>
      </w:r>
      <w:r w:rsidR="00EC7AB8" w:rsidRPr="00273042">
        <w:rPr>
          <w:rFonts w:ascii="Times New Roman" w:hAnsi="Times New Roman"/>
          <w:sz w:val="24"/>
          <w:szCs w:val="24"/>
        </w:rPr>
        <w:t xml:space="preserve"> </w:t>
      </w:r>
      <w:r>
        <w:rPr>
          <w:rFonts w:ascii="Times New Roman" w:hAnsi="Times New Roman"/>
          <w:sz w:val="24"/>
          <w:szCs w:val="24"/>
        </w:rPr>
        <w:t xml:space="preserve">tiks  </w:t>
      </w:r>
      <w:r w:rsidR="00EC7AB8">
        <w:rPr>
          <w:rFonts w:ascii="Times New Roman" w:hAnsi="Times New Roman"/>
          <w:sz w:val="24"/>
          <w:szCs w:val="24"/>
        </w:rPr>
        <w:t>koncentrēt</w:t>
      </w:r>
      <w:r>
        <w:rPr>
          <w:rFonts w:ascii="Times New Roman" w:hAnsi="Times New Roman"/>
          <w:sz w:val="24"/>
          <w:szCs w:val="24"/>
        </w:rPr>
        <w:t>i</w:t>
      </w:r>
      <w:r w:rsidR="00EC7AB8">
        <w:rPr>
          <w:rFonts w:ascii="Times New Roman" w:hAnsi="Times New Roman"/>
          <w:sz w:val="24"/>
          <w:szCs w:val="24"/>
        </w:rPr>
        <w:t xml:space="preserve"> kvalitatīva cilvēkkapitāla pieauguma nodrošināšanai</w:t>
      </w:r>
      <w:r w:rsidR="00EC7AB8" w:rsidRPr="00273042">
        <w:rPr>
          <w:rFonts w:ascii="Times New Roman" w:hAnsi="Times New Roman"/>
          <w:sz w:val="24"/>
          <w:szCs w:val="24"/>
        </w:rPr>
        <w:t>,</w:t>
      </w:r>
      <w:r w:rsidR="00EC7AB8">
        <w:rPr>
          <w:rFonts w:ascii="Times New Roman" w:hAnsi="Times New Roman"/>
          <w:sz w:val="24"/>
          <w:szCs w:val="24"/>
        </w:rPr>
        <w:t xml:space="preserve"> kā arī</w:t>
      </w:r>
      <w:r w:rsidR="00EC7AB8" w:rsidRPr="00273042">
        <w:rPr>
          <w:rFonts w:ascii="Times New Roman" w:hAnsi="Times New Roman"/>
          <w:sz w:val="24"/>
          <w:szCs w:val="24"/>
        </w:rPr>
        <w:t xml:space="preserve"> atbilstoša</w:t>
      </w:r>
      <w:r w:rsidR="00EC7AB8">
        <w:rPr>
          <w:rFonts w:ascii="Times New Roman" w:hAnsi="Times New Roman"/>
          <w:sz w:val="24"/>
          <w:szCs w:val="24"/>
        </w:rPr>
        <w:t>s</w:t>
      </w:r>
      <w:r w:rsidR="00EC7AB8" w:rsidRPr="00273042">
        <w:rPr>
          <w:rFonts w:ascii="Times New Roman" w:hAnsi="Times New Roman"/>
          <w:sz w:val="24"/>
          <w:szCs w:val="24"/>
        </w:rPr>
        <w:t xml:space="preserve"> </w:t>
      </w:r>
      <w:r w:rsidR="00EC7AB8">
        <w:rPr>
          <w:rFonts w:ascii="Times New Roman" w:hAnsi="Times New Roman"/>
          <w:sz w:val="24"/>
          <w:szCs w:val="24"/>
        </w:rPr>
        <w:t>pētniecības, tai skaitā tehnoloģiju attīstības un inovāciju</w:t>
      </w:r>
      <w:r w:rsidR="00AF3E03">
        <w:rPr>
          <w:rFonts w:ascii="Times New Roman" w:hAnsi="Times New Roman"/>
          <w:sz w:val="24"/>
          <w:szCs w:val="24"/>
        </w:rPr>
        <w:t>,</w:t>
      </w:r>
      <w:r w:rsidR="00EC7AB8">
        <w:rPr>
          <w:rFonts w:ascii="Times New Roman" w:hAnsi="Times New Roman"/>
          <w:sz w:val="24"/>
          <w:szCs w:val="24"/>
        </w:rPr>
        <w:t xml:space="preserve"> </w:t>
      </w:r>
      <w:r w:rsidR="00EC7AB8" w:rsidRPr="00273042">
        <w:rPr>
          <w:rFonts w:ascii="Times New Roman" w:hAnsi="Times New Roman"/>
          <w:sz w:val="24"/>
          <w:szCs w:val="24"/>
        </w:rPr>
        <w:t>infrastruktūra</w:t>
      </w:r>
      <w:r w:rsidR="00EC7AB8">
        <w:rPr>
          <w:rFonts w:ascii="Times New Roman" w:hAnsi="Times New Roman"/>
          <w:sz w:val="24"/>
          <w:szCs w:val="24"/>
        </w:rPr>
        <w:t>s izveidei un modernizācijai jomās, kurās tautsaimniecībai ir vislielākais izaugsmes potenciāls</w:t>
      </w:r>
      <w:r w:rsidR="00EC7AB8" w:rsidRPr="00273042">
        <w:rPr>
          <w:rFonts w:ascii="Times New Roman" w:hAnsi="Times New Roman"/>
          <w:sz w:val="24"/>
          <w:szCs w:val="24"/>
        </w:rPr>
        <w:t xml:space="preserve">. </w:t>
      </w:r>
    </w:p>
    <w:p w14:paraId="27F71056" w14:textId="77777777" w:rsidR="00EC7AB8" w:rsidRPr="00C07278" w:rsidRDefault="00C41DDD" w:rsidP="00E7642A">
      <w:pPr>
        <w:tabs>
          <w:tab w:val="left" w:pos="0"/>
          <w:tab w:val="left" w:pos="567"/>
        </w:tabs>
        <w:ind w:left="0"/>
        <w:rPr>
          <w:rFonts w:ascii="Times New Roman" w:hAnsi="Times New Roman"/>
          <w:sz w:val="24"/>
          <w:szCs w:val="24"/>
        </w:rPr>
      </w:pPr>
      <w:r>
        <w:rPr>
          <w:rFonts w:ascii="Times New Roman" w:hAnsi="Times New Roman"/>
          <w:sz w:val="24"/>
          <w:szCs w:val="24"/>
        </w:rPr>
        <w:tab/>
      </w:r>
      <w:r w:rsidRPr="00C07278">
        <w:rPr>
          <w:rFonts w:ascii="Times New Roman" w:hAnsi="Times New Roman"/>
          <w:sz w:val="24"/>
          <w:szCs w:val="24"/>
        </w:rPr>
        <w:t>Modernizēta un pilnveidota pētniecības infrastruktūra</w:t>
      </w:r>
      <w:r>
        <w:rPr>
          <w:rFonts w:ascii="Times New Roman" w:hAnsi="Times New Roman"/>
          <w:sz w:val="24"/>
          <w:szCs w:val="24"/>
        </w:rPr>
        <w:t xml:space="preserve"> palielinās Latvijas zinātnes izcilību un starptautisko konkurētspēju gan Baltijas valstu un Baltijas Jūras reģiona, gan Eiropas un pasaules līmenī</w:t>
      </w:r>
      <w:r w:rsidR="006B59F4">
        <w:rPr>
          <w:rFonts w:ascii="Times New Roman" w:hAnsi="Times New Roman"/>
          <w:sz w:val="24"/>
          <w:szCs w:val="24"/>
        </w:rPr>
        <w:t>, veicinās Latvijas tautsaimniecības transformācijai nepieciešamās zināšanu bāzes un cilvēkkapitāla veidošanos un attīstību, kā arī sekmēs pētniecības resursu teritoriālu un tematisku konsolidāciju un integrāciju. Vienlaikus pilnveidotā pētniecības</w:t>
      </w:r>
      <w:r w:rsidR="00EC7AB8" w:rsidRPr="00C07278">
        <w:rPr>
          <w:rFonts w:ascii="Times New Roman" w:hAnsi="Times New Roman"/>
          <w:sz w:val="24"/>
          <w:szCs w:val="24"/>
        </w:rPr>
        <w:t xml:space="preserve"> infrastruktūra </w:t>
      </w:r>
      <w:r w:rsidR="006B59F4">
        <w:rPr>
          <w:rFonts w:ascii="Times New Roman" w:hAnsi="Times New Roman"/>
          <w:sz w:val="24"/>
          <w:szCs w:val="24"/>
        </w:rPr>
        <w:t>sniegs ieguldījumu</w:t>
      </w:r>
      <w:r w:rsidR="00EC7AB8" w:rsidRPr="00C07278">
        <w:rPr>
          <w:rFonts w:ascii="Times New Roman" w:hAnsi="Times New Roman"/>
          <w:sz w:val="24"/>
          <w:szCs w:val="24"/>
        </w:rPr>
        <w:t xml:space="preserve"> </w:t>
      </w:r>
      <w:r w:rsidR="006B59F4">
        <w:rPr>
          <w:rFonts w:ascii="Times New Roman" w:hAnsi="Times New Roman"/>
          <w:sz w:val="24"/>
          <w:szCs w:val="24"/>
        </w:rPr>
        <w:t xml:space="preserve">sekojošu </w:t>
      </w:r>
      <w:r w:rsidR="00EC7AB8" w:rsidRPr="00C07278">
        <w:rPr>
          <w:rFonts w:ascii="Times New Roman" w:hAnsi="Times New Roman"/>
          <w:sz w:val="24"/>
          <w:szCs w:val="24"/>
        </w:rPr>
        <w:t xml:space="preserve">zinātnes, tehnoloģijas attīstības un inovācijas </w:t>
      </w:r>
      <w:r w:rsidR="00EC7AB8">
        <w:rPr>
          <w:rFonts w:ascii="Times New Roman" w:hAnsi="Times New Roman"/>
          <w:sz w:val="24"/>
          <w:szCs w:val="24"/>
        </w:rPr>
        <w:t xml:space="preserve">jomā izvirzīto </w:t>
      </w:r>
      <w:r w:rsidR="00EC7AB8" w:rsidRPr="00C07278">
        <w:rPr>
          <w:rFonts w:ascii="Times New Roman" w:hAnsi="Times New Roman"/>
          <w:sz w:val="24"/>
          <w:szCs w:val="24"/>
        </w:rPr>
        <w:t>mērķu sasniegšan</w:t>
      </w:r>
      <w:r w:rsidR="00EC7AB8">
        <w:rPr>
          <w:rFonts w:ascii="Times New Roman" w:hAnsi="Times New Roman"/>
          <w:sz w:val="24"/>
          <w:szCs w:val="24"/>
        </w:rPr>
        <w:t>ā</w:t>
      </w:r>
      <w:r w:rsidR="00EC7AB8" w:rsidRPr="00C07278">
        <w:rPr>
          <w:rFonts w:ascii="Times New Roman" w:hAnsi="Times New Roman"/>
          <w:sz w:val="24"/>
          <w:szCs w:val="24"/>
        </w:rPr>
        <w:t>:</w:t>
      </w:r>
    </w:p>
    <w:p w14:paraId="4C3A6AD7" w14:textId="77777777" w:rsidR="00CD6B27" w:rsidRPr="00C07278" w:rsidRDefault="00EC7AB8" w:rsidP="00E7642A">
      <w:pPr>
        <w:pStyle w:val="ListParagraph"/>
        <w:numPr>
          <w:ilvl w:val="0"/>
          <w:numId w:val="21"/>
        </w:numPr>
        <w:tabs>
          <w:tab w:val="left" w:pos="0"/>
          <w:tab w:val="left" w:pos="567"/>
        </w:tabs>
        <w:rPr>
          <w:rFonts w:cs="Times New Roman"/>
        </w:rPr>
      </w:pPr>
      <w:r w:rsidRPr="00C07278">
        <w:rPr>
          <w:rFonts w:cs="Times New Roman"/>
          <w:bCs/>
        </w:rPr>
        <w:t xml:space="preserve">zinātnisko darbinieku skaits </w:t>
      </w:r>
      <w:r w:rsidR="00810EA0">
        <w:rPr>
          <w:rFonts w:cs="Times New Roman"/>
          <w:bCs/>
        </w:rPr>
        <w:t>pētniecībā un attīstība</w:t>
      </w:r>
      <w:r w:rsidRPr="00C07278">
        <w:rPr>
          <w:rFonts w:cs="Times New Roman"/>
          <w:bCs/>
        </w:rPr>
        <w:t xml:space="preserve"> </w:t>
      </w:r>
      <w:r w:rsidRPr="00C07278">
        <w:rPr>
          <w:rFonts w:cs="Times New Roman"/>
        </w:rPr>
        <w:t xml:space="preserve">– </w:t>
      </w:r>
      <w:r w:rsidRPr="00C07278">
        <w:rPr>
          <w:rFonts w:cs="Times New Roman"/>
          <w:bCs/>
        </w:rPr>
        <w:t xml:space="preserve">7000 (2020) (bāzes vērtība 2013 </w:t>
      </w:r>
      <w:r>
        <w:rPr>
          <w:rFonts w:cs="Times New Roman"/>
          <w:bCs/>
        </w:rPr>
        <w:t>–</w:t>
      </w:r>
      <w:r w:rsidRPr="00C07278">
        <w:rPr>
          <w:rFonts w:cs="Times New Roman"/>
          <w:bCs/>
        </w:rPr>
        <w:t xml:space="preserve"> </w:t>
      </w:r>
      <w:r w:rsidRPr="00C07278">
        <w:rPr>
          <w:rFonts w:cs="Times New Roman"/>
        </w:rPr>
        <w:t>5396);</w:t>
      </w:r>
    </w:p>
    <w:p w14:paraId="78218B66" w14:textId="77777777" w:rsidR="00CD6B27" w:rsidRDefault="00EC7AB8" w:rsidP="00E7642A">
      <w:pPr>
        <w:pStyle w:val="ListParagraph"/>
        <w:numPr>
          <w:ilvl w:val="0"/>
          <w:numId w:val="21"/>
        </w:numPr>
        <w:tabs>
          <w:tab w:val="left" w:pos="0"/>
          <w:tab w:val="left" w:pos="567"/>
        </w:tabs>
        <w:rPr>
          <w:rFonts w:cs="Times New Roman"/>
        </w:rPr>
      </w:pPr>
      <w:r w:rsidRPr="00CD6B27">
        <w:rPr>
          <w:rFonts w:cs="Times New Roman"/>
          <w:bCs/>
        </w:rPr>
        <w:t xml:space="preserve">mazāks skaits spēcīgāku valsts finansētu zinātnisko institūciju </w:t>
      </w:r>
      <w:r w:rsidRPr="00CD6B27">
        <w:rPr>
          <w:rFonts w:cs="Times New Roman"/>
        </w:rPr>
        <w:t xml:space="preserve">– </w:t>
      </w:r>
      <w:r w:rsidRPr="00CD6B27">
        <w:rPr>
          <w:rFonts w:cs="Times New Roman"/>
          <w:bCs/>
        </w:rPr>
        <w:t xml:space="preserve">20 (2020) (bāzes vērtība 2013 – </w:t>
      </w:r>
      <w:r w:rsidRPr="00CD6B27">
        <w:rPr>
          <w:rFonts w:cs="Times New Roman"/>
        </w:rPr>
        <w:t>42)</w:t>
      </w:r>
      <w:r w:rsidR="00CD6B27">
        <w:rPr>
          <w:rFonts w:cs="Times New Roman"/>
        </w:rPr>
        <w:t>;</w:t>
      </w:r>
    </w:p>
    <w:p w14:paraId="39EDCB54" w14:textId="77777777" w:rsidR="00CD6B27" w:rsidRPr="00CD6B27" w:rsidRDefault="00EC7AB8" w:rsidP="00E7642A">
      <w:pPr>
        <w:pStyle w:val="ListParagraph"/>
        <w:numPr>
          <w:ilvl w:val="0"/>
          <w:numId w:val="21"/>
        </w:numPr>
        <w:tabs>
          <w:tab w:val="left" w:pos="0"/>
          <w:tab w:val="left" w:pos="567"/>
        </w:tabs>
        <w:rPr>
          <w:rFonts w:cs="Times New Roman"/>
        </w:rPr>
      </w:pPr>
      <w:r w:rsidRPr="00CD6B27">
        <w:rPr>
          <w:rFonts w:cs="Times New Roman"/>
          <w:bCs/>
        </w:rPr>
        <w:t xml:space="preserve">valsts un augstākās izglītības sektora piesaistītais ārējais finansējums zinātniski pētnieciskajam darbam </w:t>
      </w:r>
      <w:r w:rsidRPr="00CD6B27">
        <w:rPr>
          <w:rFonts w:cs="Times New Roman"/>
        </w:rPr>
        <w:t xml:space="preserve">– </w:t>
      </w:r>
      <w:r w:rsidRPr="00CD6B27">
        <w:rPr>
          <w:rFonts w:cs="Times New Roman"/>
          <w:bCs/>
        </w:rPr>
        <w:t xml:space="preserve">160 milj. </w:t>
      </w:r>
      <w:r w:rsidRPr="00CD6B27">
        <w:rPr>
          <w:rFonts w:cs="Times New Roman"/>
          <w:bCs/>
          <w:i/>
        </w:rPr>
        <w:t>euro</w:t>
      </w:r>
      <w:r w:rsidRPr="00CD6B27">
        <w:rPr>
          <w:rFonts w:cs="Times New Roman"/>
          <w:bCs/>
        </w:rPr>
        <w:t xml:space="preserve"> (2020) (bāzes vērtība 2013 – </w:t>
      </w:r>
      <w:r w:rsidRPr="00CD6B27">
        <w:rPr>
          <w:rFonts w:cs="Times New Roman"/>
        </w:rPr>
        <w:t xml:space="preserve">63.4 milj. </w:t>
      </w:r>
      <w:r w:rsidRPr="00CD6B27">
        <w:rPr>
          <w:rFonts w:cs="Times New Roman"/>
          <w:i/>
        </w:rPr>
        <w:t>euro</w:t>
      </w:r>
      <w:r w:rsidRPr="00CD6B27">
        <w:rPr>
          <w:rFonts w:cs="Times New Roman"/>
        </w:rPr>
        <w:t>);</w:t>
      </w:r>
    </w:p>
    <w:p w14:paraId="729E3858" w14:textId="77777777" w:rsidR="00CD6B27" w:rsidRPr="00CD6B27" w:rsidRDefault="00EC7AB8" w:rsidP="00E7642A">
      <w:pPr>
        <w:pStyle w:val="ListParagraph"/>
        <w:numPr>
          <w:ilvl w:val="0"/>
          <w:numId w:val="21"/>
        </w:numPr>
        <w:tabs>
          <w:tab w:val="left" w:pos="0"/>
          <w:tab w:val="left" w:pos="567"/>
        </w:tabs>
        <w:rPr>
          <w:rFonts w:cs="Times New Roman"/>
        </w:rPr>
      </w:pPr>
      <w:r w:rsidRPr="00CD6B27">
        <w:rPr>
          <w:rFonts w:cs="Times New Roman"/>
          <w:bCs/>
        </w:rPr>
        <w:t xml:space="preserve">augsto un vidēji augsto tehnoloģiju nozaru īpatsvars Latvijas preču eksportā </w:t>
      </w:r>
      <w:r w:rsidRPr="00CD6B27">
        <w:rPr>
          <w:rFonts w:cs="Times New Roman"/>
        </w:rPr>
        <w:t xml:space="preserve">– </w:t>
      </w:r>
      <w:r w:rsidRPr="00CD6B27">
        <w:rPr>
          <w:rFonts w:cs="Times New Roman"/>
          <w:bCs/>
        </w:rPr>
        <w:t xml:space="preserve">31% (2020) </w:t>
      </w:r>
      <w:r w:rsidRPr="00CD6B27">
        <w:rPr>
          <w:rFonts w:cs="Times New Roman"/>
        </w:rPr>
        <w:t>(bāzes vērtība 2012 – 23,8%);</w:t>
      </w:r>
    </w:p>
    <w:p w14:paraId="3AE47836" w14:textId="77777777" w:rsidR="00D50331" w:rsidRPr="001431D9" w:rsidRDefault="00EC7AB8" w:rsidP="00E7642A">
      <w:pPr>
        <w:pStyle w:val="ListParagraph"/>
        <w:numPr>
          <w:ilvl w:val="0"/>
          <w:numId w:val="21"/>
        </w:numPr>
        <w:tabs>
          <w:tab w:val="left" w:pos="0"/>
          <w:tab w:val="left" w:pos="567"/>
        </w:tabs>
      </w:pPr>
      <w:r w:rsidRPr="00CD6B27">
        <w:rPr>
          <w:rFonts w:cs="Times New Roman"/>
          <w:bCs/>
        </w:rPr>
        <w:t>apstrādes rūpniecības produktivitātes pieaugums 2020. gadā pret 2011. gadu – 40%.</w:t>
      </w:r>
    </w:p>
    <w:p w14:paraId="69E48D5A" w14:textId="77777777" w:rsidR="00032C63" w:rsidRPr="00032C63" w:rsidRDefault="00B21805" w:rsidP="00E7642A">
      <w:pPr>
        <w:tabs>
          <w:tab w:val="left" w:pos="0"/>
          <w:tab w:val="left" w:pos="567"/>
        </w:tabs>
        <w:spacing w:before="120"/>
        <w:ind w:left="0"/>
        <w:rPr>
          <w:lang w:eastAsia="lv-LV"/>
        </w:rPr>
      </w:pPr>
      <w:r>
        <w:rPr>
          <w:rFonts w:ascii="Times New Roman" w:hAnsi="Times New Roman"/>
        </w:rPr>
        <w:tab/>
      </w:r>
      <w:r>
        <w:rPr>
          <w:rFonts w:ascii="Times New Roman" w:hAnsi="Times New Roman"/>
          <w:sz w:val="24"/>
          <w:szCs w:val="24"/>
        </w:rPr>
        <w:t>L</w:t>
      </w:r>
      <w:r w:rsidR="005156C8" w:rsidRPr="00C07278">
        <w:rPr>
          <w:rFonts w:ascii="Times New Roman" w:hAnsi="Times New Roman"/>
          <w:sz w:val="24"/>
          <w:szCs w:val="24"/>
        </w:rPr>
        <w:t xml:space="preserve">ai </w:t>
      </w:r>
      <w:r w:rsidR="00A8768B">
        <w:rPr>
          <w:rFonts w:ascii="Times New Roman" w:hAnsi="Times New Roman"/>
          <w:sz w:val="24"/>
          <w:szCs w:val="24"/>
        </w:rPr>
        <w:t xml:space="preserve">zinātniskās institūcijas </w:t>
      </w:r>
      <w:r w:rsidR="005156C8" w:rsidRPr="00C07278">
        <w:rPr>
          <w:rFonts w:ascii="Times New Roman" w:hAnsi="Times New Roman"/>
          <w:sz w:val="24"/>
          <w:szCs w:val="24"/>
        </w:rPr>
        <w:t>varētu</w:t>
      </w:r>
      <w:r w:rsidR="00A8768B">
        <w:rPr>
          <w:rFonts w:ascii="Times New Roman" w:hAnsi="Times New Roman"/>
          <w:sz w:val="24"/>
          <w:szCs w:val="24"/>
        </w:rPr>
        <w:t xml:space="preserve"> nodrošināt tautsaimniecības attīstībai nepieciešamo zināšanu bāzi un vienlaikus</w:t>
      </w:r>
      <w:r w:rsidR="005156C8" w:rsidRPr="00C07278">
        <w:rPr>
          <w:rFonts w:ascii="Times New Roman" w:hAnsi="Times New Roman"/>
          <w:sz w:val="24"/>
          <w:szCs w:val="24"/>
        </w:rPr>
        <w:t xml:space="preserve"> piedāvāt jaunus tehnoloģiskos risinājumus</w:t>
      </w:r>
      <w:r w:rsidR="00810EA0">
        <w:rPr>
          <w:rFonts w:ascii="Times New Roman" w:hAnsi="Times New Roman"/>
          <w:sz w:val="24"/>
          <w:szCs w:val="24"/>
        </w:rPr>
        <w:t>,</w:t>
      </w:r>
      <w:r w:rsidR="00A8768B">
        <w:rPr>
          <w:rFonts w:ascii="Times New Roman" w:hAnsi="Times New Roman"/>
          <w:sz w:val="24"/>
          <w:szCs w:val="24"/>
        </w:rPr>
        <w:t xml:space="preserve"> nepieciešams </w:t>
      </w:r>
      <w:r>
        <w:rPr>
          <w:rFonts w:ascii="Times New Roman" w:hAnsi="Times New Roman"/>
          <w:sz w:val="24"/>
          <w:szCs w:val="24"/>
        </w:rPr>
        <w:t>vienlaikus</w:t>
      </w:r>
      <w:r w:rsidR="00AF3E03">
        <w:rPr>
          <w:rFonts w:ascii="Times New Roman" w:hAnsi="Times New Roman"/>
          <w:sz w:val="24"/>
          <w:szCs w:val="24"/>
        </w:rPr>
        <w:t xml:space="preserve"> </w:t>
      </w:r>
      <w:r w:rsidR="00A8768B">
        <w:rPr>
          <w:rFonts w:ascii="Times New Roman" w:hAnsi="Times New Roman"/>
          <w:sz w:val="24"/>
          <w:szCs w:val="24"/>
        </w:rPr>
        <w:t>ieguldīt spēcīgāko zinātnisko institūciju pētniecības infrastruktūras turpmākā attīstībā</w:t>
      </w:r>
      <w:r>
        <w:rPr>
          <w:rFonts w:ascii="Times New Roman" w:hAnsi="Times New Roman"/>
          <w:sz w:val="24"/>
          <w:szCs w:val="24"/>
        </w:rPr>
        <w:t xml:space="preserve"> un uz šo institūciju bāzes </w:t>
      </w:r>
      <w:r w:rsidR="00A8768B">
        <w:rPr>
          <w:rFonts w:ascii="Times New Roman" w:hAnsi="Times New Roman"/>
          <w:sz w:val="24"/>
          <w:szCs w:val="24"/>
        </w:rPr>
        <w:t>veidot konceptuāli jaunas inovāciju</w:t>
      </w:r>
      <w:r w:rsidR="00780491">
        <w:rPr>
          <w:rStyle w:val="FootnoteReference"/>
          <w:rFonts w:ascii="Times New Roman" w:hAnsi="Times New Roman"/>
          <w:sz w:val="24"/>
          <w:szCs w:val="24"/>
        </w:rPr>
        <w:footnoteReference w:id="40"/>
      </w:r>
      <w:r w:rsidR="00A8768B">
        <w:rPr>
          <w:rFonts w:ascii="Times New Roman" w:hAnsi="Times New Roman"/>
          <w:sz w:val="24"/>
          <w:szCs w:val="24"/>
        </w:rPr>
        <w:t xml:space="preserve"> </w:t>
      </w:r>
      <w:r w:rsidR="00C43EAB">
        <w:rPr>
          <w:rFonts w:ascii="Times New Roman" w:hAnsi="Times New Roman"/>
          <w:sz w:val="24"/>
          <w:szCs w:val="24"/>
        </w:rPr>
        <w:t xml:space="preserve">infrastruktūras, tādas kā </w:t>
      </w:r>
      <w:r w:rsidR="005156C8" w:rsidRPr="00C07278">
        <w:rPr>
          <w:rFonts w:ascii="Times New Roman" w:hAnsi="Times New Roman"/>
          <w:sz w:val="24"/>
          <w:szCs w:val="24"/>
        </w:rPr>
        <w:t>testēšanas laboratorijas, konstruktoru biroj</w:t>
      </w:r>
      <w:r w:rsidR="00A8768B">
        <w:rPr>
          <w:rFonts w:ascii="Times New Roman" w:hAnsi="Times New Roman"/>
          <w:sz w:val="24"/>
          <w:szCs w:val="24"/>
        </w:rPr>
        <w:t>u</w:t>
      </w:r>
      <w:r w:rsidR="005156C8" w:rsidRPr="00C07278">
        <w:rPr>
          <w:rFonts w:ascii="Times New Roman" w:hAnsi="Times New Roman"/>
          <w:sz w:val="24"/>
          <w:szCs w:val="24"/>
        </w:rPr>
        <w:t>, eksperimentālās darbnīcas un pilotražotnes</w:t>
      </w:r>
      <w:r w:rsidR="00EA354A" w:rsidRPr="00C07278">
        <w:rPr>
          <w:rFonts w:ascii="Times New Roman" w:hAnsi="Times New Roman"/>
          <w:sz w:val="24"/>
          <w:szCs w:val="24"/>
        </w:rPr>
        <w:t>.</w:t>
      </w:r>
      <w:r w:rsidR="00F66097">
        <w:rPr>
          <w:rFonts w:ascii="Times New Roman" w:hAnsi="Times New Roman"/>
          <w:sz w:val="24"/>
          <w:szCs w:val="24"/>
        </w:rPr>
        <w:t xml:space="preserve"> </w:t>
      </w:r>
    </w:p>
    <w:p w14:paraId="000F9874" w14:textId="6E388407" w:rsidR="008E451E" w:rsidRDefault="008E451E" w:rsidP="00E7642A">
      <w:pPr>
        <w:pStyle w:val="Heading1"/>
        <w:numPr>
          <w:ilvl w:val="1"/>
          <w:numId w:val="1"/>
        </w:numPr>
        <w:tabs>
          <w:tab w:val="left" w:pos="993"/>
        </w:tabs>
        <w:spacing w:before="360" w:after="120"/>
        <w:ind w:left="567" w:firstLine="0"/>
        <w:jc w:val="center"/>
        <w:rPr>
          <w:rFonts w:ascii="Times New Roman" w:hAnsi="Times New Roman"/>
          <w:color w:val="auto"/>
          <w:sz w:val="24"/>
          <w:szCs w:val="24"/>
        </w:rPr>
      </w:pPr>
      <w:bookmarkStart w:id="263" w:name="_Toc458673281"/>
      <w:r w:rsidRPr="00C07278">
        <w:rPr>
          <w:rFonts w:ascii="Times New Roman" w:hAnsi="Times New Roman"/>
          <w:color w:val="auto"/>
          <w:sz w:val="24"/>
          <w:szCs w:val="24"/>
        </w:rPr>
        <w:lastRenderedPageBreak/>
        <w:t>Stratēģiskie kritēriji</w:t>
      </w:r>
      <w:r w:rsidR="00B01A84" w:rsidRPr="00C07278">
        <w:rPr>
          <w:rFonts w:ascii="Times New Roman" w:hAnsi="Times New Roman"/>
          <w:color w:val="auto"/>
          <w:sz w:val="24"/>
          <w:szCs w:val="24"/>
        </w:rPr>
        <w:t xml:space="preserve"> un indikatīvais 2014.</w:t>
      </w:r>
      <w:r w:rsidR="00F90051" w:rsidRPr="00AF3E03">
        <w:rPr>
          <w:color w:val="auto"/>
        </w:rPr>
        <w:t>–</w:t>
      </w:r>
      <w:r w:rsidR="00B01A84" w:rsidRPr="00C07278">
        <w:rPr>
          <w:rFonts w:ascii="Times New Roman" w:hAnsi="Times New Roman"/>
          <w:color w:val="auto"/>
          <w:sz w:val="24"/>
          <w:szCs w:val="24"/>
        </w:rPr>
        <w:t>2020.</w:t>
      </w:r>
      <w:r w:rsidR="00DA3871">
        <w:rPr>
          <w:rFonts w:ascii="Times New Roman" w:hAnsi="Times New Roman"/>
          <w:color w:val="auto"/>
          <w:sz w:val="24"/>
          <w:szCs w:val="24"/>
        </w:rPr>
        <w:t xml:space="preserve"> </w:t>
      </w:r>
      <w:r w:rsidR="00B01A84" w:rsidRPr="00C07278">
        <w:rPr>
          <w:rFonts w:ascii="Times New Roman" w:hAnsi="Times New Roman"/>
          <w:color w:val="auto"/>
          <w:sz w:val="24"/>
          <w:szCs w:val="24"/>
        </w:rPr>
        <w:t>gada plānošanas perioda investīciju kartējums</w:t>
      </w:r>
      <w:bookmarkEnd w:id="263"/>
    </w:p>
    <w:p w14:paraId="71585D0D" w14:textId="1E07E756" w:rsidR="00C41DDD" w:rsidRPr="00C41DDD" w:rsidRDefault="00F66097" w:rsidP="00E7642A">
      <w:pPr>
        <w:pStyle w:val="Normal1"/>
        <w:ind w:firstLine="567"/>
        <w:jc w:val="both"/>
        <w:rPr>
          <w:rFonts w:ascii="Times New Roman" w:hAnsi="Times New Roman"/>
          <w:szCs w:val="24"/>
        </w:rPr>
      </w:pPr>
      <w:r w:rsidRPr="002D7733">
        <w:rPr>
          <w:rFonts w:ascii="Times New Roman" w:hAnsi="Times New Roman"/>
          <w:szCs w:val="24"/>
        </w:rPr>
        <w:t>1.1.1.4.</w:t>
      </w:r>
      <w:r>
        <w:rPr>
          <w:rFonts w:ascii="Times New Roman" w:hAnsi="Times New Roman"/>
          <w:szCs w:val="24"/>
        </w:rPr>
        <w:t> </w:t>
      </w:r>
      <w:r w:rsidRPr="002D7733">
        <w:rPr>
          <w:rFonts w:ascii="Times New Roman" w:hAnsi="Times New Roman"/>
          <w:szCs w:val="24"/>
        </w:rPr>
        <w:t>pasākuma ietvaros</w:t>
      </w:r>
      <w:r>
        <w:rPr>
          <w:rFonts w:ascii="Times New Roman" w:hAnsi="Times New Roman"/>
          <w:szCs w:val="24"/>
        </w:rPr>
        <w:t xml:space="preserve"> paredzēts </w:t>
      </w:r>
      <w:r w:rsidRPr="00C43EAB">
        <w:rPr>
          <w:rFonts w:ascii="Times New Roman" w:hAnsi="Times New Roman"/>
          <w:szCs w:val="24"/>
        </w:rPr>
        <w:t xml:space="preserve">izstrādāt tādus pētniecības infrastruktūras </w:t>
      </w:r>
      <w:r w:rsidR="00D2239A">
        <w:rPr>
          <w:rFonts w:ascii="Times New Roman" w:hAnsi="Times New Roman"/>
          <w:szCs w:val="24"/>
        </w:rPr>
        <w:t>attīstības</w:t>
      </w:r>
      <w:r w:rsidR="00D2239A" w:rsidRPr="00C43EAB">
        <w:rPr>
          <w:rFonts w:ascii="Times New Roman" w:hAnsi="Times New Roman"/>
          <w:szCs w:val="24"/>
        </w:rPr>
        <w:t xml:space="preserve"> </w:t>
      </w:r>
      <w:r w:rsidRPr="00C43EAB">
        <w:rPr>
          <w:rFonts w:ascii="Times New Roman" w:hAnsi="Times New Roman"/>
          <w:szCs w:val="24"/>
        </w:rPr>
        <w:t>nosacījumus, kas</w:t>
      </w:r>
      <w:r w:rsidR="00D2239A">
        <w:rPr>
          <w:rFonts w:ascii="Times New Roman" w:hAnsi="Times New Roman"/>
          <w:szCs w:val="24"/>
        </w:rPr>
        <w:t xml:space="preserve"> palielinās Latvijas zinātnes izcilību un starptautisko konkurētspēju</w:t>
      </w:r>
      <w:r w:rsidRPr="00C43EAB">
        <w:rPr>
          <w:rFonts w:ascii="Times New Roman" w:hAnsi="Times New Roman"/>
          <w:szCs w:val="24"/>
        </w:rPr>
        <w:t xml:space="preserve">, </w:t>
      </w:r>
      <w:r w:rsidR="00D2239A">
        <w:rPr>
          <w:rFonts w:ascii="Times New Roman" w:hAnsi="Times New Roman"/>
          <w:szCs w:val="24"/>
        </w:rPr>
        <w:t xml:space="preserve">tautsaimniecības </w:t>
      </w:r>
      <w:r w:rsidR="00A87EC2">
        <w:rPr>
          <w:rFonts w:ascii="Times New Roman" w:hAnsi="Times New Roman"/>
          <w:szCs w:val="24"/>
        </w:rPr>
        <w:t xml:space="preserve">transformācijai nepieciešamo </w:t>
      </w:r>
      <w:r>
        <w:rPr>
          <w:rFonts w:ascii="Times New Roman" w:hAnsi="Times New Roman"/>
          <w:szCs w:val="24"/>
        </w:rPr>
        <w:t xml:space="preserve">zināšanu </w:t>
      </w:r>
      <w:r w:rsidR="00A87EC2">
        <w:rPr>
          <w:rFonts w:ascii="Times New Roman" w:hAnsi="Times New Roman"/>
          <w:szCs w:val="24"/>
        </w:rPr>
        <w:t>bāzi</w:t>
      </w:r>
      <w:r>
        <w:rPr>
          <w:rFonts w:ascii="Times New Roman" w:hAnsi="Times New Roman"/>
          <w:szCs w:val="24"/>
        </w:rPr>
        <w:t xml:space="preserve">, </w:t>
      </w:r>
      <w:r w:rsidR="008867B8">
        <w:rPr>
          <w:rFonts w:ascii="Times New Roman" w:hAnsi="Times New Roman"/>
          <w:szCs w:val="24"/>
        </w:rPr>
        <w:t xml:space="preserve">vienlaikus </w:t>
      </w:r>
      <w:r w:rsidR="00A87EC2">
        <w:rPr>
          <w:rFonts w:ascii="Times New Roman" w:hAnsi="Times New Roman"/>
          <w:szCs w:val="24"/>
        </w:rPr>
        <w:t xml:space="preserve">sekmējot zinātnisko institūciju </w:t>
      </w:r>
      <w:r>
        <w:rPr>
          <w:rFonts w:ascii="Times New Roman" w:hAnsi="Times New Roman"/>
          <w:szCs w:val="24"/>
        </w:rPr>
        <w:t>iesaisti starptautiskos sadarbības tīklos</w:t>
      </w:r>
      <w:r w:rsidR="008867B8">
        <w:rPr>
          <w:rFonts w:ascii="Times New Roman" w:hAnsi="Times New Roman"/>
          <w:szCs w:val="24"/>
        </w:rPr>
        <w:t>, kā arī veicinot</w:t>
      </w:r>
      <w:r>
        <w:rPr>
          <w:rFonts w:ascii="Times New Roman" w:hAnsi="Times New Roman"/>
          <w:szCs w:val="24"/>
        </w:rPr>
        <w:t xml:space="preserve"> pētniecības </w:t>
      </w:r>
      <w:r w:rsidRPr="00C43EAB">
        <w:rPr>
          <w:rFonts w:ascii="Times New Roman" w:hAnsi="Times New Roman"/>
          <w:szCs w:val="24"/>
        </w:rPr>
        <w:t xml:space="preserve">infrastruktūras izmantošanu </w:t>
      </w:r>
      <w:r w:rsidRPr="004630AA">
        <w:rPr>
          <w:rFonts w:ascii="Times New Roman" w:hAnsi="Times New Roman"/>
          <w:szCs w:val="24"/>
        </w:rPr>
        <w:t xml:space="preserve">inovatīvu </w:t>
      </w:r>
      <w:r>
        <w:rPr>
          <w:rFonts w:ascii="Times New Roman" w:hAnsi="Times New Roman"/>
          <w:szCs w:val="24"/>
        </w:rPr>
        <w:t>produktu prototipu</w:t>
      </w:r>
      <w:r w:rsidRPr="004630AA">
        <w:rPr>
          <w:rFonts w:ascii="Times New Roman" w:hAnsi="Times New Roman"/>
          <w:szCs w:val="24"/>
        </w:rPr>
        <w:t xml:space="preserve"> izstrādei</w:t>
      </w:r>
      <w:r w:rsidR="008867B8">
        <w:rPr>
          <w:rFonts w:ascii="Times New Roman" w:hAnsi="Times New Roman"/>
          <w:szCs w:val="24"/>
        </w:rPr>
        <w:t>, tādējādi</w:t>
      </w:r>
      <w:r>
        <w:rPr>
          <w:rFonts w:ascii="Times New Roman" w:hAnsi="Times New Roman"/>
          <w:szCs w:val="24"/>
        </w:rPr>
        <w:t xml:space="preserve"> </w:t>
      </w:r>
      <w:r w:rsidR="00A87EC2">
        <w:rPr>
          <w:rFonts w:ascii="Times New Roman" w:hAnsi="Times New Roman"/>
          <w:szCs w:val="24"/>
        </w:rPr>
        <w:t xml:space="preserve">nodrošinot sabiedrības un </w:t>
      </w:r>
      <w:r>
        <w:rPr>
          <w:rFonts w:ascii="Times New Roman" w:hAnsi="Times New Roman"/>
          <w:szCs w:val="24"/>
        </w:rPr>
        <w:t>tautsaimniecības</w:t>
      </w:r>
      <w:r w:rsidRPr="004630AA">
        <w:rPr>
          <w:rFonts w:ascii="Times New Roman" w:hAnsi="Times New Roman"/>
          <w:szCs w:val="24"/>
        </w:rPr>
        <w:t xml:space="preserve"> problēmu </w:t>
      </w:r>
      <w:r w:rsidR="008867B8" w:rsidRPr="004630AA">
        <w:rPr>
          <w:rFonts w:ascii="Times New Roman" w:hAnsi="Times New Roman"/>
          <w:szCs w:val="24"/>
        </w:rPr>
        <w:t>risināšan</w:t>
      </w:r>
      <w:r w:rsidR="008867B8">
        <w:rPr>
          <w:rFonts w:ascii="Times New Roman" w:hAnsi="Times New Roman"/>
          <w:szCs w:val="24"/>
        </w:rPr>
        <w:t>u</w:t>
      </w:r>
      <w:r>
        <w:rPr>
          <w:rFonts w:ascii="Times New Roman" w:hAnsi="Times New Roman"/>
          <w:szCs w:val="24"/>
        </w:rPr>
        <w:t>.</w:t>
      </w:r>
      <w:r w:rsidR="00A645F2">
        <w:rPr>
          <w:rFonts w:ascii="Times New Roman" w:hAnsi="Times New Roman"/>
          <w:szCs w:val="24"/>
        </w:rPr>
        <w:t xml:space="preserve"> </w:t>
      </w:r>
    </w:p>
    <w:p w14:paraId="38C36346" w14:textId="5D82420A" w:rsidR="00D64D6E" w:rsidRDefault="00A645F2" w:rsidP="00E7642A">
      <w:pPr>
        <w:pStyle w:val="Normal1"/>
        <w:ind w:firstLine="567"/>
        <w:jc w:val="both"/>
        <w:rPr>
          <w:rFonts w:ascii="Times New Roman" w:hAnsi="Times New Roman" w:cs="Times New Roman"/>
          <w:color w:val="auto"/>
          <w:szCs w:val="24"/>
        </w:rPr>
      </w:pPr>
      <w:r>
        <w:rPr>
          <w:rFonts w:ascii="Times New Roman" w:hAnsi="Times New Roman" w:cs="Times New Roman"/>
          <w:color w:val="auto"/>
          <w:szCs w:val="24"/>
        </w:rPr>
        <w:t xml:space="preserve">Atbilstoši plānošanas dokumentos noteiktajam priekšnoteikums </w:t>
      </w:r>
      <w:r w:rsidR="006050DF">
        <w:rPr>
          <w:rFonts w:ascii="Times New Roman" w:hAnsi="Times New Roman" w:cs="Times New Roman"/>
          <w:color w:val="auto"/>
          <w:szCs w:val="24"/>
        </w:rPr>
        <w:t>ES struktūrfondu 2014.</w:t>
      </w:r>
      <w:r w:rsidR="00E852C0">
        <w:rPr>
          <w:rFonts w:ascii="Times New Roman" w:hAnsi="Times New Roman" w:cs="Times New Roman"/>
          <w:color w:val="auto"/>
          <w:szCs w:val="24"/>
        </w:rPr>
        <w:t>–</w:t>
      </w:r>
      <w:r w:rsidR="006050DF">
        <w:rPr>
          <w:rFonts w:ascii="Times New Roman" w:hAnsi="Times New Roman" w:cs="Times New Roman"/>
          <w:color w:val="auto"/>
          <w:szCs w:val="24"/>
        </w:rPr>
        <w:t>2020.gada plānošanas perioda</w:t>
      </w:r>
      <w:r>
        <w:rPr>
          <w:rFonts w:ascii="Times New Roman" w:hAnsi="Times New Roman" w:cs="Times New Roman"/>
          <w:color w:val="auto"/>
          <w:szCs w:val="24"/>
        </w:rPr>
        <w:t xml:space="preserve"> ieguldījumiem ir zinātnisko institūciju konsolidācijas īstenošana un konkurētspējīgāko zinātnisko institūciju rīcībspējas uzlabošana atbilstoši </w:t>
      </w:r>
      <w:r w:rsidR="006050DF">
        <w:t>Latvijas zinātnes starptautiskā izvērtējuma</w:t>
      </w:r>
      <w:r w:rsidR="006050DF" w:rsidDel="006050DF">
        <w:rPr>
          <w:rFonts w:ascii="Times New Roman" w:hAnsi="Times New Roman" w:cs="Times New Roman"/>
          <w:color w:val="auto"/>
          <w:szCs w:val="24"/>
        </w:rPr>
        <w:t xml:space="preserve"> </w:t>
      </w:r>
      <w:r>
        <w:rPr>
          <w:rFonts w:ascii="Times New Roman" w:hAnsi="Times New Roman" w:cs="Times New Roman"/>
          <w:color w:val="auto"/>
          <w:szCs w:val="24"/>
        </w:rPr>
        <w:t>rekomendācijām</w:t>
      </w:r>
      <w:r w:rsidR="001B0FF8">
        <w:rPr>
          <w:rFonts w:ascii="Times New Roman" w:hAnsi="Times New Roman" w:cs="Times New Roman"/>
          <w:color w:val="auto"/>
          <w:szCs w:val="24"/>
        </w:rPr>
        <w:t xml:space="preserve"> un zinātnes strukturālo reformu plāniem, un sniedzot ieguldījumu </w:t>
      </w:r>
      <w:r w:rsidR="006050DF">
        <w:rPr>
          <w:rFonts w:ascii="Times New Roman" w:hAnsi="Times New Roman" w:cs="Times New Roman"/>
          <w:color w:val="auto"/>
          <w:szCs w:val="24"/>
        </w:rPr>
        <w:t>Latvijas v</w:t>
      </w:r>
      <w:r w:rsidR="001B0FF8">
        <w:rPr>
          <w:rFonts w:ascii="Times New Roman" w:hAnsi="Times New Roman" w:cs="Times New Roman"/>
          <w:color w:val="auto"/>
          <w:szCs w:val="24"/>
        </w:rPr>
        <w:t xml:space="preserve">iedās </w:t>
      </w:r>
      <w:r w:rsidR="006050DF">
        <w:rPr>
          <w:rFonts w:ascii="Times New Roman" w:hAnsi="Times New Roman" w:cs="Times New Roman"/>
          <w:color w:val="auto"/>
          <w:szCs w:val="24"/>
        </w:rPr>
        <w:t>s</w:t>
      </w:r>
      <w:r w:rsidR="001B0FF8">
        <w:rPr>
          <w:rFonts w:ascii="Times New Roman" w:hAnsi="Times New Roman" w:cs="Times New Roman"/>
          <w:color w:val="auto"/>
          <w:szCs w:val="24"/>
        </w:rPr>
        <w:t>pecializācijas stratēģijas mērķu sasniegšanai un specializācijas jomu attīstībai</w:t>
      </w:r>
      <w:r>
        <w:rPr>
          <w:rFonts w:ascii="Times New Roman" w:hAnsi="Times New Roman" w:cs="Times New Roman"/>
          <w:color w:val="auto"/>
          <w:szCs w:val="24"/>
        </w:rPr>
        <w:t xml:space="preserve">. </w:t>
      </w:r>
    </w:p>
    <w:p w14:paraId="0032715B" w14:textId="67AD168B" w:rsidR="00A645F2" w:rsidRDefault="006050DF" w:rsidP="00E7642A">
      <w:pPr>
        <w:pStyle w:val="Normal1"/>
        <w:ind w:firstLine="567"/>
        <w:jc w:val="both"/>
        <w:rPr>
          <w:rFonts w:ascii="Times New Roman" w:hAnsi="Times New Roman" w:cs="Times New Roman"/>
          <w:color w:val="auto"/>
          <w:szCs w:val="24"/>
        </w:rPr>
      </w:pPr>
      <w:r>
        <w:rPr>
          <w:rFonts w:ascii="Times New Roman" w:hAnsi="Times New Roman" w:cs="Times New Roman"/>
          <w:color w:val="auto"/>
          <w:szCs w:val="24"/>
        </w:rPr>
        <w:t>ES struktūrfondu</w:t>
      </w:r>
      <w:r w:rsidR="00D64D6E">
        <w:rPr>
          <w:rFonts w:ascii="Times New Roman" w:hAnsi="Times New Roman" w:cs="Times New Roman"/>
          <w:color w:val="auto"/>
          <w:szCs w:val="24"/>
        </w:rPr>
        <w:t xml:space="preserve"> 2014.</w:t>
      </w:r>
      <w:r w:rsidR="00E852C0">
        <w:rPr>
          <w:rFonts w:ascii="Times New Roman" w:hAnsi="Times New Roman" w:cs="Times New Roman"/>
          <w:color w:val="auto"/>
          <w:szCs w:val="24"/>
        </w:rPr>
        <w:t>–</w:t>
      </w:r>
      <w:r w:rsidR="00D64D6E">
        <w:rPr>
          <w:rFonts w:ascii="Times New Roman" w:hAnsi="Times New Roman" w:cs="Times New Roman"/>
          <w:color w:val="auto"/>
          <w:szCs w:val="24"/>
        </w:rPr>
        <w:t>2020.</w:t>
      </w:r>
      <w:r w:rsidR="00DE3FD6">
        <w:rPr>
          <w:rFonts w:ascii="Times New Roman" w:hAnsi="Times New Roman" w:cs="Times New Roman"/>
          <w:color w:val="auto"/>
          <w:szCs w:val="24"/>
        </w:rPr>
        <w:t> </w:t>
      </w:r>
      <w:r w:rsidR="00D64D6E">
        <w:rPr>
          <w:rFonts w:ascii="Times New Roman" w:hAnsi="Times New Roman" w:cs="Times New Roman"/>
          <w:color w:val="auto"/>
          <w:szCs w:val="24"/>
        </w:rPr>
        <w:t xml:space="preserve">gada plānošanas perioda investīcijām </w:t>
      </w:r>
      <w:r>
        <w:rPr>
          <w:rFonts w:ascii="Times New Roman" w:hAnsi="Times New Roman" w:cs="Times New Roman"/>
          <w:color w:val="auto"/>
          <w:szCs w:val="24"/>
        </w:rPr>
        <w:t>pētniecības un attīstības</w:t>
      </w:r>
      <w:r w:rsidR="00D64D6E">
        <w:rPr>
          <w:rFonts w:ascii="Times New Roman" w:hAnsi="Times New Roman" w:cs="Times New Roman"/>
          <w:color w:val="auto"/>
          <w:szCs w:val="24"/>
        </w:rPr>
        <w:t xml:space="preserve"> infrastruktūrā jāpalielina:</w:t>
      </w:r>
    </w:p>
    <w:p w14:paraId="14AD0D59" w14:textId="3E386505" w:rsidR="00D64D6E" w:rsidRPr="00D64D6E" w:rsidRDefault="00D64D6E" w:rsidP="00E7642A">
      <w:pPr>
        <w:pStyle w:val="Normal1"/>
        <w:numPr>
          <w:ilvl w:val="0"/>
          <w:numId w:val="28"/>
        </w:numPr>
        <w:ind w:left="851"/>
        <w:jc w:val="both"/>
        <w:rPr>
          <w:rFonts w:ascii="Times New Roman" w:hAnsi="Times New Roman"/>
          <w:szCs w:val="24"/>
        </w:rPr>
      </w:pPr>
      <w:r w:rsidRPr="00D64D6E">
        <w:rPr>
          <w:rFonts w:ascii="Times New Roman" w:hAnsi="Times New Roman"/>
          <w:szCs w:val="24"/>
        </w:rPr>
        <w:t xml:space="preserve">Latvijas </w:t>
      </w:r>
      <w:r>
        <w:rPr>
          <w:rFonts w:ascii="Times New Roman" w:hAnsi="Times New Roman"/>
          <w:b/>
          <w:bCs/>
          <w:szCs w:val="24"/>
        </w:rPr>
        <w:t>zinātnes izcilība un starptautiskā</w:t>
      </w:r>
      <w:r w:rsidRPr="00D64D6E">
        <w:rPr>
          <w:rFonts w:ascii="Times New Roman" w:hAnsi="Times New Roman"/>
          <w:b/>
          <w:bCs/>
          <w:szCs w:val="24"/>
        </w:rPr>
        <w:t xml:space="preserve"> konkurētspēj</w:t>
      </w:r>
      <w:r>
        <w:rPr>
          <w:rFonts w:ascii="Times New Roman" w:hAnsi="Times New Roman"/>
          <w:b/>
          <w:bCs/>
          <w:szCs w:val="24"/>
        </w:rPr>
        <w:t>a</w:t>
      </w:r>
      <w:r>
        <w:rPr>
          <w:rFonts w:ascii="Times New Roman" w:hAnsi="Times New Roman"/>
          <w:szCs w:val="24"/>
        </w:rPr>
        <w:t>, t</w:t>
      </w:r>
      <w:r w:rsidR="006050DF">
        <w:rPr>
          <w:rFonts w:ascii="Times New Roman" w:hAnsi="Times New Roman"/>
          <w:szCs w:val="24"/>
        </w:rPr>
        <w:t>ai skaitā</w:t>
      </w:r>
      <w:r>
        <w:rPr>
          <w:rFonts w:ascii="Times New Roman" w:hAnsi="Times New Roman"/>
          <w:szCs w:val="24"/>
        </w:rPr>
        <w:t xml:space="preserve"> reģionā pieejamā</w:t>
      </w:r>
      <w:r w:rsidRPr="00D64D6E">
        <w:rPr>
          <w:rFonts w:ascii="Times New Roman" w:hAnsi="Times New Roman"/>
          <w:szCs w:val="24"/>
        </w:rPr>
        <w:t xml:space="preserve"> attiecīgās jomas infrastruktūras </w:t>
      </w:r>
      <w:r>
        <w:rPr>
          <w:rFonts w:ascii="Times New Roman" w:hAnsi="Times New Roman"/>
          <w:b/>
          <w:bCs/>
          <w:szCs w:val="24"/>
        </w:rPr>
        <w:t>jauda;</w:t>
      </w:r>
      <w:r w:rsidRPr="00D64D6E">
        <w:rPr>
          <w:rFonts w:ascii="Times New Roman" w:hAnsi="Times New Roman"/>
          <w:b/>
          <w:bCs/>
          <w:szCs w:val="24"/>
        </w:rPr>
        <w:t xml:space="preserve"> </w:t>
      </w:r>
    </w:p>
    <w:p w14:paraId="01EDF6B2" w14:textId="777B9F47" w:rsidR="00D64D6E" w:rsidRPr="00D64D6E" w:rsidRDefault="00D64D6E" w:rsidP="00E7642A">
      <w:pPr>
        <w:pStyle w:val="Normal1"/>
        <w:numPr>
          <w:ilvl w:val="0"/>
          <w:numId w:val="28"/>
        </w:numPr>
        <w:ind w:left="851"/>
        <w:jc w:val="both"/>
        <w:rPr>
          <w:rFonts w:ascii="Times New Roman" w:hAnsi="Times New Roman"/>
          <w:szCs w:val="24"/>
        </w:rPr>
      </w:pPr>
      <w:r w:rsidRPr="00D64D6E">
        <w:rPr>
          <w:rFonts w:ascii="Times New Roman" w:hAnsi="Times New Roman"/>
          <w:szCs w:val="24"/>
        </w:rPr>
        <w:t>Latvijas</w:t>
      </w:r>
      <w:r w:rsidRPr="00D64D6E">
        <w:rPr>
          <w:rFonts w:ascii="Times New Roman" w:hAnsi="Times New Roman"/>
          <w:b/>
          <w:bCs/>
          <w:szCs w:val="24"/>
        </w:rPr>
        <w:t xml:space="preserve"> tautsaimniecības transformācijai</w:t>
      </w:r>
      <w:r w:rsidRPr="00D64D6E">
        <w:rPr>
          <w:rFonts w:ascii="Times New Roman" w:hAnsi="Times New Roman"/>
          <w:szCs w:val="24"/>
        </w:rPr>
        <w:t xml:space="preserve"> nepieci</w:t>
      </w:r>
      <w:r>
        <w:rPr>
          <w:rFonts w:ascii="Times New Roman" w:hAnsi="Times New Roman"/>
          <w:szCs w:val="24"/>
        </w:rPr>
        <w:t>ešamo zināšanu bāze un cilvēkkapitāls;</w:t>
      </w:r>
    </w:p>
    <w:p w14:paraId="0C0EA886" w14:textId="7BC0FD85" w:rsidR="00D64D6E" w:rsidRPr="00D64D6E" w:rsidRDefault="00D64D6E" w:rsidP="00E7642A">
      <w:pPr>
        <w:pStyle w:val="Normal1"/>
        <w:numPr>
          <w:ilvl w:val="0"/>
          <w:numId w:val="28"/>
        </w:numPr>
        <w:spacing w:after="60"/>
        <w:ind w:left="850" w:hanging="357"/>
        <w:jc w:val="both"/>
        <w:rPr>
          <w:rFonts w:ascii="Times New Roman" w:hAnsi="Times New Roman"/>
          <w:szCs w:val="24"/>
        </w:rPr>
      </w:pPr>
      <w:r>
        <w:rPr>
          <w:rFonts w:ascii="Times New Roman" w:hAnsi="Times New Roman"/>
          <w:szCs w:val="24"/>
        </w:rPr>
        <w:t>Jāatbalsta turpmāka</w:t>
      </w:r>
      <w:r w:rsidRPr="00D64D6E">
        <w:rPr>
          <w:rFonts w:ascii="Times New Roman" w:hAnsi="Times New Roman"/>
          <w:szCs w:val="24"/>
        </w:rPr>
        <w:t xml:space="preserve"> </w:t>
      </w:r>
      <w:r>
        <w:rPr>
          <w:rFonts w:ascii="Times New Roman" w:hAnsi="Times New Roman"/>
          <w:b/>
          <w:bCs/>
          <w:szCs w:val="24"/>
        </w:rPr>
        <w:t>zinātnes resursu integrācija</w:t>
      </w:r>
      <w:r w:rsidRPr="00D64D6E">
        <w:rPr>
          <w:rFonts w:ascii="Times New Roman" w:hAnsi="Times New Roman"/>
          <w:b/>
          <w:bCs/>
          <w:szCs w:val="24"/>
        </w:rPr>
        <w:t xml:space="preserve"> un konsolidācij</w:t>
      </w:r>
      <w:r>
        <w:rPr>
          <w:rFonts w:ascii="Times New Roman" w:hAnsi="Times New Roman"/>
          <w:b/>
          <w:bCs/>
          <w:szCs w:val="24"/>
        </w:rPr>
        <w:t>a.</w:t>
      </w:r>
    </w:p>
    <w:p w14:paraId="23B216AF" w14:textId="59380A4D" w:rsidR="00504AF0" w:rsidRDefault="006050DF" w:rsidP="00E7642A">
      <w:pPr>
        <w:pStyle w:val="Normal1"/>
        <w:ind w:firstLine="567"/>
        <w:jc w:val="both"/>
        <w:rPr>
          <w:rFonts w:ascii="Times New Roman" w:hAnsi="Times New Roman" w:cs="Times New Roman"/>
          <w:color w:val="auto"/>
          <w:szCs w:val="24"/>
        </w:rPr>
      </w:pPr>
      <w:r>
        <w:rPr>
          <w:rFonts w:ascii="Times New Roman" w:hAnsi="Times New Roman" w:cs="Times New Roman"/>
          <w:color w:val="auto"/>
          <w:szCs w:val="24"/>
        </w:rPr>
        <w:t xml:space="preserve">ES struktūrfondu </w:t>
      </w:r>
      <w:r w:rsidR="00D64D6E">
        <w:rPr>
          <w:rFonts w:ascii="Times New Roman" w:hAnsi="Times New Roman" w:cs="Times New Roman"/>
          <w:color w:val="auto"/>
          <w:szCs w:val="24"/>
        </w:rPr>
        <w:t>2007.</w:t>
      </w:r>
      <w:r w:rsidR="00E852C0">
        <w:rPr>
          <w:rFonts w:ascii="Times New Roman" w:hAnsi="Times New Roman" w:cs="Times New Roman"/>
          <w:color w:val="auto"/>
          <w:szCs w:val="24"/>
        </w:rPr>
        <w:t>–</w:t>
      </w:r>
      <w:r w:rsidR="00D64D6E">
        <w:rPr>
          <w:rFonts w:ascii="Times New Roman" w:hAnsi="Times New Roman" w:cs="Times New Roman"/>
          <w:color w:val="auto"/>
          <w:szCs w:val="24"/>
        </w:rPr>
        <w:t>2013.</w:t>
      </w:r>
      <w:r>
        <w:rPr>
          <w:rFonts w:ascii="Times New Roman" w:hAnsi="Times New Roman" w:cs="Times New Roman"/>
          <w:color w:val="auto"/>
          <w:szCs w:val="24"/>
        </w:rPr>
        <w:t> </w:t>
      </w:r>
      <w:r w:rsidR="00D64D6E">
        <w:rPr>
          <w:rFonts w:ascii="Times New Roman" w:hAnsi="Times New Roman" w:cs="Times New Roman"/>
          <w:color w:val="auto"/>
          <w:szCs w:val="24"/>
        </w:rPr>
        <w:t xml:space="preserve">gada plānošanas perioda ietvaros </w:t>
      </w:r>
      <w:r>
        <w:rPr>
          <w:rFonts w:ascii="Times New Roman" w:hAnsi="Times New Roman" w:cs="Times New Roman"/>
          <w:color w:val="auto"/>
          <w:szCs w:val="24"/>
        </w:rPr>
        <w:t>struktūrfondu</w:t>
      </w:r>
      <w:r w:rsidR="00D64D6E">
        <w:rPr>
          <w:rFonts w:ascii="Times New Roman" w:hAnsi="Times New Roman" w:cs="Times New Roman"/>
          <w:color w:val="auto"/>
          <w:szCs w:val="24"/>
        </w:rPr>
        <w:t xml:space="preserve"> atbalsts tika piešķirts zinātnisko institūciju </w:t>
      </w:r>
      <w:r w:rsidR="009A3FC3">
        <w:rPr>
          <w:rFonts w:ascii="Times New Roman" w:hAnsi="Times New Roman" w:cs="Times New Roman"/>
          <w:color w:val="auto"/>
          <w:szCs w:val="24"/>
        </w:rPr>
        <w:t xml:space="preserve">izcilības attīstības un </w:t>
      </w:r>
      <w:r w:rsidR="00D64D6E">
        <w:rPr>
          <w:rFonts w:ascii="Times New Roman" w:hAnsi="Times New Roman" w:cs="Times New Roman"/>
          <w:color w:val="auto"/>
          <w:szCs w:val="24"/>
        </w:rPr>
        <w:t>konsolidācijas 1.</w:t>
      </w:r>
      <w:r w:rsidR="00DE3FD6">
        <w:rPr>
          <w:rFonts w:ascii="Times New Roman" w:hAnsi="Times New Roman" w:cs="Times New Roman"/>
          <w:color w:val="auto"/>
          <w:szCs w:val="24"/>
        </w:rPr>
        <w:t> </w:t>
      </w:r>
      <w:r w:rsidR="00D64D6E">
        <w:rPr>
          <w:rFonts w:ascii="Times New Roman" w:hAnsi="Times New Roman" w:cs="Times New Roman"/>
          <w:color w:val="auto"/>
          <w:szCs w:val="24"/>
        </w:rPr>
        <w:t>kārtai (2.1.1.3.3.</w:t>
      </w:r>
      <w:r w:rsidR="00DE3FD6">
        <w:rPr>
          <w:rFonts w:ascii="Times New Roman" w:hAnsi="Times New Roman" w:cs="Times New Roman"/>
          <w:color w:val="auto"/>
          <w:szCs w:val="24"/>
        </w:rPr>
        <w:t> </w:t>
      </w:r>
      <w:r w:rsidR="00D64D6E">
        <w:rPr>
          <w:rFonts w:ascii="Times New Roman" w:hAnsi="Times New Roman" w:cs="Times New Roman"/>
          <w:color w:val="auto"/>
          <w:szCs w:val="24"/>
        </w:rPr>
        <w:t>apakšaktivitāt</w:t>
      </w:r>
      <w:r w:rsidR="00357782">
        <w:rPr>
          <w:rFonts w:ascii="Times New Roman" w:hAnsi="Times New Roman" w:cs="Times New Roman"/>
          <w:color w:val="auto"/>
          <w:szCs w:val="24"/>
        </w:rPr>
        <w:t>e</w:t>
      </w:r>
      <w:r w:rsidR="00E2039E">
        <w:rPr>
          <w:rFonts w:ascii="Times New Roman" w:hAnsi="Times New Roman" w:cs="Times New Roman"/>
          <w:color w:val="auto"/>
          <w:szCs w:val="24"/>
        </w:rPr>
        <w:t xml:space="preserve"> „</w:t>
      </w:r>
      <w:hyperlink r:id="rId21" w:history="1">
        <w:r w:rsidR="00E2039E" w:rsidRPr="00E2039E">
          <w:rPr>
            <w:rFonts w:ascii="Times New Roman" w:hAnsi="Times New Roman" w:cs="Times New Roman"/>
            <w:color w:val="auto"/>
            <w:szCs w:val="24"/>
          </w:rPr>
          <w:t>Zinātnisko institūciju institucionālās kapacitātes attīstība</w:t>
        </w:r>
      </w:hyperlink>
      <w:r w:rsidR="00E2039E">
        <w:rPr>
          <w:rFonts w:ascii="Times New Roman" w:hAnsi="Times New Roman" w:cs="Times New Roman"/>
          <w:color w:val="auto"/>
          <w:szCs w:val="24"/>
        </w:rPr>
        <w:t>”</w:t>
      </w:r>
      <w:r w:rsidR="00A91D81">
        <w:rPr>
          <w:rFonts w:ascii="Times New Roman" w:hAnsi="Times New Roman" w:cs="Times New Roman"/>
          <w:color w:val="auto"/>
          <w:szCs w:val="24"/>
        </w:rPr>
        <w:t>),</w:t>
      </w:r>
      <w:r w:rsidR="00A91D81" w:rsidRPr="00DE3FD6">
        <w:rPr>
          <w:rFonts w:ascii="Times New Roman" w:hAnsi="Times New Roman" w:cs="Times New Roman"/>
          <w:color w:val="auto"/>
          <w:szCs w:val="24"/>
        </w:rPr>
        <w:t xml:space="preserve"> atbalstot zinātnisko institūciju iniciētās strukturālās reformas un stiprinot vadības spēju īstenot iecerētās reformas</w:t>
      </w:r>
      <w:r w:rsidR="00357782">
        <w:rPr>
          <w:rFonts w:ascii="Times New Roman" w:hAnsi="Times New Roman" w:cs="Times New Roman"/>
          <w:color w:val="auto"/>
          <w:szCs w:val="24"/>
        </w:rPr>
        <w:t>.</w:t>
      </w:r>
      <w:r w:rsidR="00D64D6E">
        <w:rPr>
          <w:rFonts w:ascii="Times New Roman" w:hAnsi="Times New Roman" w:cs="Times New Roman"/>
          <w:color w:val="auto"/>
          <w:szCs w:val="24"/>
        </w:rPr>
        <w:t xml:space="preserve"> </w:t>
      </w:r>
      <w:r w:rsidR="00357782">
        <w:rPr>
          <w:rFonts w:ascii="Times New Roman" w:hAnsi="Times New Roman" w:cs="Times New Roman"/>
          <w:color w:val="auto"/>
          <w:szCs w:val="24"/>
        </w:rPr>
        <w:t xml:space="preserve">Atbalsts tika piešķirts zinātniskajām institūcijām, kas </w:t>
      </w:r>
      <w:r w:rsidR="00DE3FD6" w:rsidRPr="00DE3FD6">
        <w:rPr>
          <w:rFonts w:ascii="Times New Roman" w:hAnsi="Times New Roman" w:cs="Times New Roman"/>
          <w:color w:val="auto"/>
          <w:szCs w:val="24"/>
        </w:rPr>
        <w:t>Latvijas zinātnes starptautiskā izvērtējuma</w:t>
      </w:r>
      <w:r w:rsidR="00DE3FD6" w:rsidDel="00DE3FD6">
        <w:rPr>
          <w:rFonts w:ascii="Times New Roman" w:hAnsi="Times New Roman" w:cs="Times New Roman"/>
          <w:color w:val="auto"/>
          <w:szCs w:val="24"/>
        </w:rPr>
        <w:t xml:space="preserve"> </w:t>
      </w:r>
      <w:r w:rsidR="00357782">
        <w:rPr>
          <w:rFonts w:ascii="Times New Roman" w:hAnsi="Times New Roman" w:cs="Times New Roman"/>
          <w:color w:val="auto"/>
          <w:szCs w:val="24"/>
        </w:rPr>
        <w:t xml:space="preserve">novērtētas ar </w:t>
      </w:r>
      <w:r w:rsidR="00DE3FD6">
        <w:rPr>
          <w:rFonts w:ascii="Times New Roman" w:hAnsi="Times New Roman" w:cs="Times New Roman"/>
          <w:color w:val="auto"/>
          <w:szCs w:val="24"/>
        </w:rPr>
        <w:t xml:space="preserve">vērtējumu </w:t>
      </w:r>
      <w:r w:rsidR="00357782">
        <w:rPr>
          <w:rFonts w:ascii="Times New Roman" w:hAnsi="Times New Roman" w:cs="Times New Roman"/>
          <w:color w:val="auto"/>
          <w:szCs w:val="24"/>
        </w:rPr>
        <w:t>“4” un “5” un universitātēm kā zināšanu centriem</w:t>
      </w:r>
      <w:r w:rsidR="00262B03">
        <w:rPr>
          <w:rFonts w:ascii="Times New Roman" w:hAnsi="Times New Roman" w:cs="Times New Roman"/>
          <w:color w:val="auto"/>
          <w:szCs w:val="24"/>
        </w:rPr>
        <w:t>,</w:t>
      </w:r>
      <w:r w:rsidR="00357782">
        <w:rPr>
          <w:rFonts w:ascii="Times New Roman" w:hAnsi="Times New Roman" w:cs="Times New Roman"/>
          <w:color w:val="auto"/>
          <w:szCs w:val="24"/>
        </w:rPr>
        <w:t xml:space="preserve"> </w:t>
      </w:r>
      <w:r w:rsidR="00262B03">
        <w:rPr>
          <w:rFonts w:ascii="Times New Roman" w:hAnsi="Times New Roman" w:cs="Times New Roman"/>
          <w:color w:val="auto"/>
          <w:szCs w:val="24"/>
        </w:rPr>
        <w:t xml:space="preserve">tostarp </w:t>
      </w:r>
      <w:r w:rsidR="00357782">
        <w:rPr>
          <w:rFonts w:ascii="Times New Roman" w:hAnsi="Times New Roman" w:cs="Times New Roman"/>
          <w:color w:val="auto"/>
          <w:szCs w:val="24"/>
        </w:rPr>
        <w:t>nodrošin</w:t>
      </w:r>
      <w:r w:rsidR="00262B03">
        <w:rPr>
          <w:rFonts w:ascii="Times New Roman" w:hAnsi="Times New Roman" w:cs="Times New Roman"/>
          <w:color w:val="auto"/>
          <w:szCs w:val="24"/>
        </w:rPr>
        <w:t>ot</w:t>
      </w:r>
      <w:r w:rsidR="00D64D6E">
        <w:rPr>
          <w:rFonts w:ascii="Times New Roman" w:hAnsi="Times New Roman" w:cs="Times New Roman"/>
          <w:color w:val="auto"/>
          <w:szCs w:val="24"/>
        </w:rPr>
        <w:t xml:space="preserve"> 14 zinātnisko institūciju reģistrā reģistrēto zināt</w:t>
      </w:r>
      <w:r w:rsidR="00262B03">
        <w:rPr>
          <w:rFonts w:ascii="Times New Roman" w:hAnsi="Times New Roman" w:cs="Times New Roman"/>
          <w:color w:val="auto"/>
          <w:szCs w:val="24"/>
        </w:rPr>
        <w:t>nisko institūciju reorganizāciju un</w:t>
      </w:r>
      <w:r w:rsidR="00D64D6E">
        <w:rPr>
          <w:rFonts w:ascii="Times New Roman" w:hAnsi="Times New Roman" w:cs="Times New Roman"/>
          <w:color w:val="auto"/>
          <w:szCs w:val="24"/>
        </w:rPr>
        <w:t xml:space="preserve"> vienlaikus paredzot turpmāku konsolidācijas</w:t>
      </w:r>
      <w:r w:rsidR="00262B03">
        <w:rPr>
          <w:rFonts w:ascii="Times New Roman" w:hAnsi="Times New Roman" w:cs="Times New Roman"/>
          <w:color w:val="auto"/>
          <w:szCs w:val="24"/>
        </w:rPr>
        <w:t xml:space="preserve">, </w:t>
      </w:r>
      <w:r w:rsidR="00D64D6E">
        <w:rPr>
          <w:rFonts w:ascii="Times New Roman" w:hAnsi="Times New Roman" w:cs="Times New Roman"/>
          <w:color w:val="auto"/>
          <w:szCs w:val="24"/>
        </w:rPr>
        <w:t>zinātniskās izcilības attīstības</w:t>
      </w:r>
      <w:r w:rsidR="00262B03">
        <w:rPr>
          <w:rFonts w:ascii="Times New Roman" w:hAnsi="Times New Roman" w:cs="Times New Roman"/>
          <w:color w:val="auto"/>
          <w:szCs w:val="24"/>
        </w:rPr>
        <w:t>, veiktspējas un pārvaldības efektivitātes uzlabošanas atbalstu nākamajā</w:t>
      </w:r>
      <w:r w:rsidR="00D64D6E">
        <w:rPr>
          <w:rFonts w:ascii="Times New Roman" w:hAnsi="Times New Roman" w:cs="Times New Roman"/>
          <w:color w:val="auto"/>
          <w:szCs w:val="24"/>
        </w:rPr>
        <w:t xml:space="preserve"> </w:t>
      </w:r>
      <w:r w:rsidR="00E852C0">
        <w:rPr>
          <w:rFonts w:ascii="Times New Roman" w:hAnsi="Times New Roman" w:cs="Times New Roman"/>
          <w:color w:val="auto"/>
          <w:szCs w:val="24"/>
        </w:rPr>
        <w:t>ES struktūrfondu 2014.–</w:t>
      </w:r>
      <w:r w:rsidR="00E2039E">
        <w:rPr>
          <w:rFonts w:ascii="Times New Roman" w:hAnsi="Times New Roman" w:cs="Times New Roman"/>
          <w:color w:val="auto"/>
          <w:szCs w:val="24"/>
        </w:rPr>
        <w:t xml:space="preserve">2020. gada </w:t>
      </w:r>
      <w:r w:rsidR="00D64D6E">
        <w:rPr>
          <w:rFonts w:ascii="Times New Roman" w:hAnsi="Times New Roman" w:cs="Times New Roman"/>
          <w:color w:val="auto"/>
          <w:szCs w:val="24"/>
        </w:rPr>
        <w:t>plānošanas periodā</w:t>
      </w:r>
      <w:r w:rsidR="00262B03" w:rsidRPr="00262B03">
        <w:rPr>
          <w:rFonts w:ascii="Times New Roman" w:hAnsi="Times New Roman" w:cs="Times New Roman"/>
          <w:color w:val="auto"/>
          <w:szCs w:val="24"/>
        </w:rPr>
        <w:t xml:space="preserve"> </w:t>
      </w:r>
      <w:r w:rsidR="00262B03">
        <w:rPr>
          <w:rFonts w:ascii="Times New Roman" w:hAnsi="Times New Roman" w:cs="Times New Roman"/>
          <w:color w:val="auto"/>
          <w:szCs w:val="24"/>
        </w:rPr>
        <w:t xml:space="preserve">zinātnes ārējā </w:t>
      </w:r>
      <w:r w:rsidR="00262B03" w:rsidRPr="00DE3FD6">
        <w:rPr>
          <w:rFonts w:ascii="Times New Roman" w:hAnsi="Times New Roman" w:cs="Times New Roman"/>
          <w:color w:val="auto"/>
          <w:szCs w:val="24"/>
        </w:rPr>
        <w:t>izvērtējuma rekomendāciju turpmākai ieviešanai un mērķtiecīgiem zinātnes</w:t>
      </w:r>
      <w:r w:rsidR="00262B03" w:rsidRPr="00106E81">
        <w:rPr>
          <w:rFonts w:ascii="Times New Roman" w:eastAsia="Times New Roman" w:hAnsi="Times New Roman" w:cs="Times New Roman"/>
          <w:color w:val="auto"/>
          <w:szCs w:val="24"/>
        </w:rPr>
        <w:t xml:space="preserve"> resursu </w:t>
      </w:r>
      <w:r w:rsidR="00504AF0">
        <w:rPr>
          <w:rFonts w:ascii="Times New Roman" w:eastAsia="Times New Roman" w:hAnsi="Times New Roman" w:cs="Times New Roman"/>
          <w:color w:val="auto"/>
          <w:szCs w:val="24"/>
        </w:rPr>
        <w:t>telpiskās un funkcionālā</w:t>
      </w:r>
      <w:r w:rsidR="00262B03" w:rsidRPr="00106E81">
        <w:rPr>
          <w:rFonts w:ascii="Times New Roman" w:eastAsia="Times New Roman" w:hAnsi="Times New Roman" w:cs="Times New Roman"/>
          <w:color w:val="auto"/>
          <w:szCs w:val="24"/>
        </w:rPr>
        <w:t>s koncentrācijas pasākumiem</w:t>
      </w:r>
      <w:r w:rsidR="000755C2">
        <w:rPr>
          <w:rFonts w:ascii="Times New Roman" w:hAnsi="Times New Roman" w:cs="Times New Roman"/>
          <w:color w:val="auto"/>
          <w:szCs w:val="24"/>
        </w:rPr>
        <w:t xml:space="preserve">. </w:t>
      </w:r>
      <w:r w:rsidR="00E2039E">
        <w:rPr>
          <w:rFonts w:ascii="Times New Roman" w:hAnsi="Times New Roman" w:cs="Times New Roman"/>
          <w:color w:val="auto"/>
          <w:szCs w:val="24"/>
        </w:rPr>
        <w:t>Detalizētāka informācija par 2.1.1.3.3. apakšaktivitāti „</w:t>
      </w:r>
      <w:hyperlink r:id="rId22" w:history="1">
        <w:r w:rsidR="00E2039E" w:rsidRPr="00E2039E">
          <w:rPr>
            <w:rFonts w:ascii="Times New Roman" w:hAnsi="Times New Roman" w:cs="Times New Roman"/>
            <w:color w:val="auto"/>
            <w:szCs w:val="24"/>
          </w:rPr>
          <w:t>Zinātnisko institūciju institucionālās kapacitātes attīstība</w:t>
        </w:r>
      </w:hyperlink>
      <w:r w:rsidR="00E2039E">
        <w:rPr>
          <w:rFonts w:ascii="Times New Roman" w:hAnsi="Times New Roman" w:cs="Times New Roman"/>
          <w:color w:val="auto"/>
          <w:szCs w:val="24"/>
        </w:rPr>
        <w:t>” īstenošanu norādīta informatīvā ziņojuma 4. sadaļā.</w:t>
      </w:r>
    </w:p>
    <w:p w14:paraId="574AF867" w14:textId="44599BF4" w:rsidR="001065A1" w:rsidRDefault="000755C2" w:rsidP="00E7642A">
      <w:pPr>
        <w:pStyle w:val="Normal1"/>
        <w:ind w:firstLine="567"/>
        <w:jc w:val="both"/>
        <w:rPr>
          <w:rFonts w:ascii="Times New Roman" w:hAnsi="Times New Roman" w:cs="Times New Roman"/>
          <w:color w:val="auto"/>
          <w:szCs w:val="24"/>
        </w:rPr>
      </w:pPr>
      <w:r>
        <w:rPr>
          <w:rFonts w:ascii="Times New Roman" w:hAnsi="Times New Roman" w:cs="Times New Roman"/>
          <w:color w:val="auto"/>
          <w:szCs w:val="24"/>
        </w:rPr>
        <w:t>1.1.1.4.</w:t>
      </w:r>
      <w:r w:rsidR="00DE3FD6">
        <w:rPr>
          <w:rFonts w:ascii="Times New Roman" w:hAnsi="Times New Roman" w:cs="Times New Roman"/>
          <w:color w:val="auto"/>
          <w:szCs w:val="24"/>
        </w:rPr>
        <w:t> </w:t>
      </w:r>
      <w:r>
        <w:rPr>
          <w:rFonts w:ascii="Times New Roman" w:hAnsi="Times New Roman" w:cs="Times New Roman"/>
          <w:color w:val="auto"/>
          <w:szCs w:val="24"/>
        </w:rPr>
        <w:t xml:space="preserve">pasākuma ietvaros paredzēta </w:t>
      </w:r>
      <w:r w:rsidR="00357782">
        <w:rPr>
          <w:rFonts w:ascii="Times New Roman" w:hAnsi="Times New Roman" w:cs="Times New Roman"/>
          <w:color w:val="auto"/>
          <w:szCs w:val="24"/>
        </w:rPr>
        <w:t>zinātnisko institūciju konsolidācijas un zinātniskās izcilības attīstības atbalsta 2. un 3.</w:t>
      </w:r>
      <w:r w:rsidR="00DE3FD6">
        <w:rPr>
          <w:rFonts w:ascii="Times New Roman" w:hAnsi="Times New Roman" w:cs="Times New Roman"/>
          <w:color w:val="auto"/>
          <w:szCs w:val="24"/>
        </w:rPr>
        <w:t> </w:t>
      </w:r>
      <w:r w:rsidR="00357782">
        <w:rPr>
          <w:rFonts w:ascii="Times New Roman" w:hAnsi="Times New Roman" w:cs="Times New Roman"/>
          <w:color w:val="auto"/>
          <w:szCs w:val="24"/>
        </w:rPr>
        <w:t xml:space="preserve">kārtas īstenošana, </w:t>
      </w:r>
      <w:r w:rsidR="001065A1">
        <w:rPr>
          <w:rFonts w:ascii="Times New Roman" w:hAnsi="Times New Roman" w:cs="Times New Roman"/>
          <w:color w:val="auto"/>
          <w:szCs w:val="24"/>
        </w:rPr>
        <w:t xml:space="preserve">paredzot atbalsta piešķiršanu </w:t>
      </w:r>
      <w:r w:rsidR="004722DD">
        <w:rPr>
          <w:rFonts w:ascii="Times New Roman" w:hAnsi="Times New Roman" w:cs="Times New Roman"/>
          <w:color w:val="auto"/>
          <w:szCs w:val="24"/>
        </w:rPr>
        <w:t xml:space="preserve">šādām </w:t>
      </w:r>
      <w:r w:rsidR="001065A1">
        <w:rPr>
          <w:rFonts w:ascii="Times New Roman" w:hAnsi="Times New Roman" w:cs="Times New Roman"/>
          <w:color w:val="auto"/>
          <w:szCs w:val="24"/>
        </w:rPr>
        <w:t>zinātniskajām in</w:t>
      </w:r>
      <w:r w:rsidR="004722DD">
        <w:rPr>
          <w:rFonts w:ascii="Times New Roman" w:hAnsi="Times New Roman" w:cs="Times New Roman"/>
          <w:color w:val="auto"/>
          <w:szCs w:val="24"/>
        </w:rPr>
        <w:t>stitūcijām, kas saņem bāzes finansējumu un to darbī</w:t>
      </w:r>
      <w:r w:rsidR="00891B43">
        <w:rPr>
          <w:rFonts w:ascii="Times New Roman" w:hAnsi="Times New Roman" w:cs="Times New Roman"/>
          <w:color w:val="auto"/>
          <w:szCs w:val="24"/>
        </w:rPr>
        <w:t>ba sniedz ieguldījumu Latvijas v</w:t>
      </w:r>
      <w:r w:rsidR="004722DD">
        <w:rPr>
          <w:rFonts w:ascii="Times New Roman" w:hAnsi="Times New Roman" w:cs="Times New Roman"/>
          <w:color w:val="auto"/>
          <w:szCs w:val="24"/>
        </w:rPr>
        <w:t>iedās specializācijas stratēģijas īstenošanā</w:t>
      </w:r>
      <w:r w:rsidR="004722DD" w:rsidRPr="004722DD">
        <w:rPr>
          <w:rFonts w:ascii="Times New Roman" w:hAnsi="Times New Roman" w:cs="Times New Roman"/>
          <w:color w:val="auto"/>
          <w:szCs w:val="24"/>
        </w:rPr>
        <w:t xml:space="preserve"> </w:t>
      </w:r>
      <w:r w:rsidR="004722DD">
        <w:rPr>
          <w:rFonts w:ascii="Times New Roman" w:hAnsi="Times New Roman" w:cs="Times New Roman"/>
          <w:color w:val="auto"/>
          <w:szCs w:val="24"/>
        </w:rPr>
        <w:t>(skat. 8.</w:t>
      </w:r>
      <w:r w:rsidR="00577DD7">
        <w:rPr>
          <w:rFonts w:ascii="Times New Roman" w:hAnsi="Times New Roman" w:cs="Times New Roman"/>
          <w:color w:val="auto"/>
          <w:szCs w:val="24"/>
        </w:rPr>
        <w:t> </w:t>
      </w:r>
      <w:r w:rsidR="004722DD">
        <w:rPr>
          <w:rFonts w:ascii="Times New Roman" w:hAnsi="Times New Roman" w:cs="Times New Roman"/>
          <w:color w:val="auto"/>
          <w:szCs w:val="24"/>
        </w:rPr>
        <w:t>attēlu)</w:t>
      </w:r>
      <w:r w:rsidR="001065A1">
        <w:rPr>
          <w:rFonts w:ascii="Times New Roman" w:hAnsi="Times New Roman" w:cs="Times New Roman"/>
          <w:color w:val="auto"/>
          <w:szCs w:val="24"/>
        </w:rPr>
        <w:t>:</w:t>
      </w:r>
    </w:p>
    <w:p w14:paraId="0BCCC0C8" w14:textId="19F5CAFA" w:rsidR="00E2039E" w:rsidRDefault="00E2039E" w:rsidP="00E7642A">
      <w:pPr>
        <w:pStyle w:val="Normal1"/>
        <w:numPr>
          <w:ilvl w:val="0"/>
          <w:numId w:val="29"/>
        </w:numPr>
        <w:jc w:val="both"/>
        <w:rPr>
          <w:rFonts w:ascii="Times New Roman" w:hAnsi="Times New Roman" w:cs="Times New Roman"/>
          <w:color w:val="auto"/>
          <w:szCs w:val="24"/>
        </w:rPr>
      </w:pPr>
      <w:r>
        <w:rPr>
          <w:rFonts w:ascii="Times New Roman" w:hAnsi="Times New Roman" w:cs="Times New Roman"/>
          <w:color w:val="auto"/>
          <w:szCs w:val="24"/>
        </w:rPr>
        <w:t xml:space="preserve">zinātniskajām institūcijām, kas </w:t>
      </w:r>
      <w:r w:rsidRPr="00DE3FD6">
        <w:rPr>
          <w:rFonts w:ascii="Times New Roman" w:hAnsi="Times New Roman" w:cs="Times New Roman"/>
          <w:color w:val="auto"/>
          <w:szCs w:val="24"/>
        </w:rPr>
        <w:t>Latvijas zinātnes starptautiskā izvērtējuma</w:t>
      </w:r>
      <w:r w:rsidDel="00DE3FD6">
        <w:rPr>
          <w:rFonts w:ascii="Times New Roman" w:hAnsi="Times New Roman" w:cs="Times New Roman"/>
          <w:color w:val="auto"/>
          <w:szCs w:val="24"/>
        </w:rPr>
        <w:t xml:space="preserve"> </w:t>
      </w:r>
      <w:r>
        <w:rPr>
          <w:rFonts w:ascii="Times New Roman" w:hAnsi="Times New Roman" w:cs="Times New Roman"/>
          <w:color w:val="auto"/>
          <w:szCs w:val="24"/>
        </w:rPr>
        <w:t>novērtētas ar vērtējumu “4” un “5” (vai kuru struktūrvienības novērtētas ar vērtējumu “4” vai “5”) un universitātēm kā zināšanu centriem, paredzot pēctecīgu atbalstu izcilības attīstībai;</w:t>
      </w:r>
    </w:p>
    <w:p w14:paraId="45BF2118" w14:textId="3B7BE169" w:rsidR="004722DD" w:rsidRDefault="001065A1" w:rsidP="00E7642A">
      <w:pPr>
        <w:pStyle w:val="Normal1"/>
        <w:numPr>
          <w:ilvl w:val="0"/>
          <w:numId w:val="29"/>
        </w:numPr>
        <w:jc w:val="both"/>
        <w:rPr>
          <w:rFonts w:ascii="Times New Roman" w:hAnsi="Times New Roman" w:cs="Times New Roman"/>
          <w:color w:val="auto"/>
          <w:szCs w:val="24"/>
        </w:rPr>
      </w:pPr>
      <w:r>
        <w:rPr>
          <w:rFonts w:ascii="Times New Roman" w:hAnsi="Times New Roman" w:cs="Times New Roman"/>
          <w:color w:val="auto"/>
          <w:szCs w:val="24"/>
        </w:rPr>
        <w:lastRenderedPageBreak/>
        <w:t>zinātniskajām institūcijām, kas zinātnes ārējā izvērtējumā novērtētas kā spēcīgs vietējais spēlētājs un saņēmušas vērtējumu “3”;</w:t>
      </w:r>
    </w:p>
    <w:p w14:paraId="54880787" w14:textId="55F02355" w:rsidR="00D74D6F" w:rsidRDefault="004722DD" w:rsidP="00E7642A">
      <w:pPr>
        <w:pStyle w:val="Normal1"/>
        <w:numPr>
          <w:ilvl w:val="0"/>
          <w:numId w:val="29"/>
        </w:numPr>
        <w:spacing w:after="60"/>
        <w:jc w:val="both"/>
        <w:rPr>
          <w:rFonts w:ascii="Times New Roman" w:hAnsi="Times New Roman" w:cs="Times New Roman"/>
          <w:color w:val="auto"/>
          <w:szCs w:val="24"/>
        </w:rPr>
      </w:pPr>
      <w:r>
        <w:rPr>
          <w:rFonts w:ascii="Times New Roman" w:hAnsi="Times New Roman" w:cs="Times New Roman"/>
          <w:color w:val="auto"/>
          <w:szCs w:val="24"/>
        </w:rPr>
        <w:t>zinātniskajām institūcijā</w:t>
      </w:r>
      <w:r w:rsidR="00577DD7">
        <w:rPr>
          <w:rFonts w:ascii="Times New Roman" w:hAnsi="Times New Roman" w:cs="Times New Roman"/>
          <w:color w:val="auto"/>
          <w:szCs w:val="24"/>
        </w:rPr>
        <w:t>m, kas paredz</w:t>
      </w:r>
      <w:r w:rsidR="003B7B2A">
        <w:rPr>
          <w:rFonts w:ascii="Times New Roman" w:hAnsi="Times New Roman" w:cs="Times New Roman"/>
          <w:color w:val="auto"/>
          <w:szCs w:val="24"/>
        </w:rPr>
        <w:t xml:space="preserve"> īstenot konsolidācijas pasākumus. </w:t>
      </w:r>
    </w:p>
    <w:p w14:paraId="53C837C7" w14:textId="1BB349FA" w:rsidR="00E2039E" w:rsidRPr="00B254C9" w:rsidRDefault="00E2039E" w:rsidP="00E7642A">
      <w:pPr>
        <w:pStyle w:val="Normal1"/>
        <w:ind w:firstLine="567"/>
        <w:jc w:val="both"/>
        <w:rPr>
          <w:rFonts w:ascii="Times New Roman" w:hAnsi="Times New Roman" w:cs="Times New Roman"/>
          <w:color w:val="auto"/>
          <w:szCs w:val="24"/>
        </w:rPr>
      </w:pPr>
      <w:r w:rsidRPr="00B254C9">
        <w:rPr>
          <w:rFonts w:ascii="Times New Roman" w:hAnsi="Times New Roman" w:cs="Times New Roman"/>
          <w:color w:val="auto"/>
          <w:szCs w:val="24"/>
        </w:rPr>
        <w:t>IZM laika periodā no 2016. gada 21. aprīļa līdz 23. maijam organizēja individuālās sanāksmes ar potenciālajiem 1.1.1.4. pasākuma finansējuma saņēmējiem, labuma guvējiem un attiecīgās nozares ministriju pārstāvjiem, lai pārrunātu IZM izteiktos priekšlikumus par zinātnisko institūciju iespējamajiem konsolidācijas pasākumiem, kas sekmētu pētniecības resursu mērķtiecīgu un pamatotu konsolidāciju un veicinātu pētniecisko virzienu ilgtspēju, starptautisko konkurētspēju un attīstību.</w:t>
      </w:r>
      <w:r w:rsidR="00D74D6F" w:rsidRPr="00B254C9">
        <w:rPr>
          <w:rFonts w:ascii="Times New Roman" w:hAnsi="Times New Roman" w:cs="Times New Roman"/>
          <w:color w:val="auto"/>
          <w:szCs w:val="24"/>
        </w:rPr>
        <w:t xml:space="preserve"> </w:t>
      </w:r>
      <w:r w:rsidRPr="00B254C9">
        <w:rPr>
          <w:rFonts w:ascii="Times New Roman" w:hAnsi="Times New Roman" w:cs="Times New Roman"/>
          <w:color w:val="auto"/>
          <w:szCs w:val="24"/>
        </w:rPr>
        <w:t>Atbilstoši panākatajām vienošanās ar iesaistītajām pusēm – zinātniskajām institūcijām un nozaru ministrijām, izteikti šādi konsolidācijas priekšlikumi:</w:t>
      </w:r>
    </w:p>
    <w:p w14:paraId="16BEB7A0" w14:textId="2C7106CA" w:rsidR="00E2039E" w:rsidRPr="00B254C9" w:rsidRDefault="00903F20" w:rsidP="00E7642A">
      <w:pPr>
        <w:pStyle w:val="Normal1"/>
        <w:numPr>
          <w:ilvl w:val="2"/>
          <w:numId w:val="21"/>
        </w:numPr>
        <w:ind w:left="993" w:hanging="426"/>
        <w:jc w:val="both"/>
        <w:rPr>
          <w:rFonts w:ascii="Times New Roman" w:hAnsi="Times New Roman" w:cs="Times New Roman"/>
          <w:color w:val="auto"/>
          <w:szCs w:val="24"/>
        </w:rPr>
      </w:pPr>
      <w:r w:rsidRPr="00B254C9">
        <w:rPr>
          <w:rFonts w:ascii="Times New Roman" w:hAnsi="Times New Roman" w:cs="Times New Roman"/>
          <w:color w:val="auto"/>
          <w:szCs w:val="24"/>
        </w:rPr>
        <w:t>sabiedrību ar ierobežotu atbildību „Latvijas Augu aizsardzības pētniecības centrs”</w:t>
      </w:r>
      <w:r w:rsidR="009A4794" w:rsidRPr="00B254C9">
        <w:rPr>
          <w:rFonts w:ascii="Times New Roman" w:hAnsi="Times New Roman" w:cs="Times New Roman"/>
          <w:color w:val="auto"/>
          <w:szCs w:val="24"/>
        </w:rPr>
        <w:t xml:space="preserve"> </w:t>
      </w:r>
      <w:r w:rsidR="00556CFF" w:rsidRPr="00B254C9">
        <w:rPr>
          <w:rFonts w:ascii="Times New Roman" w:hAnsi="Times New Roman" w:cs="Times New Roman"/>
          <w:color w:val="auto"/>
          <w:szCs w:val="24"/>
        </w:rPr>
        <w:t>(vērtējums “</w:t>
      </w:r>
      <w:r w:rsidRPr="00B254C9">
        <w:rPr>
          <w:rFonts w:ascii="Times New Roman" w:hAnsi="Times New Roman" w:cs="Times New Roman"/>
          <w:color w:val="auto"/>
          <w:szCs w:val="24"/>
        </w:rPr>
        <w:t>2</w:t>
      </w:r>
      <w:r w:rsidR="00556CFF" w:rsidRPr="00B254C9">
        <w:rPr>
          <w:rFonts w:ascii="Times New Roman" w:hAnsi="Times New Roman" w:cs="Times New Roman"/>
          <w:color w:val="auto"/>
          <w:szCs w:val="24"/>
        </w:rPr>
        <w:t xml:space="preserve">”, nesaņem bāzes finansējumu) </w:t>
      </w:r>
      <w:r w:rsidR="002E73D3" w:rsidRPr="00B254C9">
        <w:rPr>
          <w:rFonts w:ascii="Times New Roman" w:hAnsi="Times New Roman" w:cs="Times New Roman"/>
          <w:color w:val="auto"/>
          <w:szCs w:val="24"/>
        </w:rPr>
        <w:t>pievieno</w:t>
      </w:r>
      <w:r w:rsidR="003B7B2A" w:rsidRPr="00B254C9">
        <w:rPr>
          <w:rFonts w:ascii="Times New Roman" w:hAnsi="Times New Roman" w:cs="Times New Roman"/>
          <w:color w:val="auto"/>
          <w:szCs w:val="24"/>
        </w:rPr>
        <w:t xml:space="preserve">t </w:t>
      </w:r>
      <w:r w:rsidRPr="00B254C9">
        <w:rPr>
          <w:rFonts w:ascii="Times New Roman" w:hAnsi="Times New Roman" w:cs="Times New Roman"/>
          <w:color w:val="auto"/>
          <w:szCs w:val="24"/>
        </w:rPr>
        <w:t>Latvijas Lauksaimniecības universitātei</w:t>
      </w:r>
      <w:r w:rsidR="00575B17" w:rsidRPr="00B254C9">
        <w:rPr>
          <w:rFonts w:ascii="Times New Roman" w:hAnsi="Times New Roman" w:cs="Times New Roman"/>
          <w:color w:val="auto"/>
          <w:szCs w:val="24"/>
        </w:rPr>
        <w:t xml:space="preserve">, </w:t>
      </w:r>
      <w:r w:rsidR="00575B17" w:rsidRPr="00B254C9">
        <w:rPr>
          <w:rFonts w:ascii="Times New Roman" w:hAnsi="Times New Roman" w:cs="Times New Roman"/>
          <w:szCs w:val="24"/>
        </w:rPr>
        <w:t>nodrošinot resursu efektīvāku izmantošanu, kritiskās masas veidošanu un cilvēkkapitāla attīstību</w:t>
      </w:r>
      <w:r w:rsidR="00556CFF" w:rsidRPr="00B254C9">
        <w:rPr>
          <w:rFonts w:ascii="Times New Roman" w:hAnsi="Times New Roman" w:cs="Times New Roman"/>
          <w:color w:val="auto"/>
          <w:szCs w:val="24"/>
        </w:rPr>
        <w:t>;</w:t>
      </w:r>
    </w:p>
    <w:p w14:paraId="5AFCB3DD" w14:textId="77EFCE1C" w:rsidR="00E2039E" w:rsidRPr="00B254C9" w:rsidRDefault="00556CFF" w:rsidP="00E7642A">
      <w:pPr>
        <w:pStyle w:val="Normal1"/>
        <w:numPr>
          <w:ilvl w:val="2"/>
          <w:numId w:val="21"/>
        </w:numPr>
        <w:ind w:left="993" w:hanging="426"/>
        <w:jc w:val="both"/>
        <w:rPr>
          <w:rFonts w:ascii="Times New Roman" w:hAnsi="Times New Roman" w:cs="Times New Roman"/>
          <w:color w:val="auto"/>
          <w:szCs w:val="24"/>
        </w:rPr>
      </w:pPr>
      <w:r w:rsidRPr="00B254C9">
        <w:rPr>
          <w:rFonts w:ascii="Times New Roman" w:hAnsi="Times New Roman" w:cs="Times New Roman"/>
          <w:color w:val="auto"/>
          <w:szCs w:val="24"/>
        </w:rPr>
        <w:t>Latvijas Hidroekoloģijas institūtu</w:t>
      </w:r>
      <w:r w:rsidR="007039AD" w:rsidRPr="00B254C9">
        <w:rPr>
          <w:rFonts w:ascii="Times New Roman" w:hAnsi="Times New Roman" w:cs="Times New Roman"/>
          <w:color w:val="auto"/>
          <w:szCs w:val="24"/>
        </w:rPr>
        <w:t xml:space="preserve"> (LHEI)</w:t>
      </w:r>
      <w:r w:rsidRPr="00B254C9">
        <w:rPr>
          <w:rFonts w:ascii="Times New Roman" w:hAnsi="Times New Roman" w:cs="Times New Roman"/>
          <w:color w:val="auto"/>
          <w:szCs w:val="24"/>
        </w:rPr>
        <w:t xml:space="preserve"> </w:t>
      </w:r>
      <w:r w:rsidR="005646CB" w:rsidRPr="00B254C9">
        <w:rPr>
          <w:rFonts w:ascii="Times New Roman" w:hAnsi="Times New Roman" w:cs="Times New Roman"/>
          <w:color w:val="auto"/>
          <w:szCs w:val="24"/>
        </w:rPr>
        <w:t>(vērtējums “2”</w:t>
      </w:r>
      <w:r w:rsidR="00E11E94" w:rsidRPr="00B254C9">
        <w:rPr>
          <w:rFonts w:ascii="Times New Roman" w:hAnsi="Times New Roman" w:cs="Times New Roman"/>
          <w:color w:val="auto"/>
          <w:szCs w:val="24"/>
        </w:rPr>
        <w:t>;</w:t>
      </w:r>
      <w:r w:rsidR="002E79BA" w:rsidRPr="00B254C9">
        <w:rPr>
          <w:rFonts w:ascii="Times New Roman" w:hAnsi="Times New Roman" w:cs="Times New Roman"/>
          <w:color w:val="auto"/>
          <w:szCs w:val="24"/>
        </w:rPr>
        <w:t xml:space="preserve"> </w:t>
      </w:r>
      <w:r w:rsidR="00B3230E" w:rsidRPr="00B254C9">
        <w:rPr>
          <w:rFonts w:ascii="Times New Roman" w:hAnsi="Times New Roman" w:cs="Times New Roman"/>
          <w:color w:val="auto"/>
          <w:szCs w:val="24"/>
        </w:rPr>
        <w:t xml:space="preserve">vairs </w:t>
      </w:r>
      <w:r w:rsidR="002E79BA" w:rsidRPr="00B254C9">
        <w:rPr>
          <w:rFonts w:ascii="Times New Roman" w:hAnsi="Times New Roman" w:cs="Times New Roman"/>
          <w:color w:val="auto"/>
          <w:szCs w:val="24"/>
        </w:rPr>
        <w:t>nesaņem bāzes finansējumu</w:t>
      </w:r>
      <w:r w:rsidR="005646CB" w:rsidRPr="00B254C9">
        <w:rPr>
          <w:rFonts w:ascii="Times New Roman" w:hAnsi="Times New Roman" w:cs="Times New Roman"/>
          <w:color w:val="auto"/>
          <w:szCs w:val="24"/>
        </w:rPr>
        <w:t xml:space="preserve">) </w:t>
      </w:r>
      <w:r w:rsidR="00EB66AD" w:rsidRPr="00B254C9">
        <w:rPr>
          <w:rFonts w:ascii="Times New Roman" w:hAnsi="Times New Roman" w:cs="Times New Roman"/>
          <w:color w:val="auto"/>
          <w:szCs w:val="24"/>
        </w:rPr>
        <w:t>pievieno</w:t>
      </w:r>
      <w:r w:rsidR="005646CB" w:rsidRPr="00B254C9">
        <w:rPr>
          <w:rFonts w:ascii="Times New Roman" w:hAnsi="Times New Roman" w:cs="Times New Roman"/>
          <w:color w:val="auto"/>
          <w:szCs w:val="24"/>
        </w:rPr>
        <w:t xml:space="preserve">t </w:t>
      </w:r>
      <w:r w:rsidR="00903F20" w:rsidRPr="00B254C9">
        <w:rPr>
          <w:rFonts w:ascii="Times New Roman" w:hAnsi="Times New Roman" w:cs="Times New Roman"/>
          <w:szCs w:val="24"/>
        </w:rPr>
        <w:t>Daugavpils Universitātei (DU)</w:t>
      </w:r>
      <w:r w:rsidR="002E79BA" w:rsidRPr="00B254C9">
        <w:rPr>
          <w:rFonts w:ascii="Times New Roman" w:hAnsi="Times New Roman" w:cs="Times New Roman"/>
          <w:szCs w:val="24"/>
        </w:rPr>
        <w:t>, nodrošinot vides pētniecības resursu koncentrāciju</w:t>
      </w:r>
      <w:r w:rsidR="00903F20" w:rsidRPr="00B254C9">
        <w:rPr>
          <w:rFonts w:ascii="Times New Roman" w:hAnsi="Times New Roman" w:cs="Times New Roman"/>
          <w:szCs w:val="24"/>
        </w:rPr>
        <w:t>,</w:t>
      </w:r>
      <w:r w:rsidR="002E79BA" w:rsidRPr="00B254C9">
        <w:rPr>
          <w:rFonts w:ascii="Times New Roman" w:hAnsi="Times New Roman" w:cs="Times New Roman"/>
          <w:szCs w:val="24"/>
        </w:rPr>
        <w:t xml:space="preserve"> kritiskās masas veidošanu</w:t>
      </w:r>
      <w:r w:rsidR="00903F20" w:rsidRPr="00B254C9">
        <w:rPr>
          <w:rFonts w:ascii="Times New Roman" w:hAnsi="Times New Roman" w:cs="Times New Roman"/>
          <w:szCs w:val="24"/>
        </w:rPr>
        <w:t xml:space="preserve"> </w:t>
      </w:r>
      <w:r w:rsidR="002E79BA" w:rsidRPr="00B254C9">
        <w:rPr>
          <w:rFonts w:ascii="Times New Roman" w:hAnsi="Times New Roman" w:cs="Times New Roman"/>
          <w:szCs w:val="24"/>
        </w:rPr>
        <w:t>un cilvēkkapitāla attīstību</w:t>
      </w:r>
      <w:r w:rsidR="00043A38" w:rsidRPr="00B254C9">
        <w:rPr>
          <w:rFonts w:ascii="Times New Roman" w:hAnsi="Times New Roman" w:cs="Times New Roman"/>
          <w:szCs w:val="24"/>
        </w:rPr>
        <w:t>;</w:t>
      </w:r>
    </w:p>
    <w:p w14:paraId="5F3DFB4F" w14:textId="77777777" w:rsidR="004B28DC" w:rsidRPr="00B254C9" w:rsidRDefault="005646CB" w:rsidP="00E7642A">
      <w:pPr>
        <w:pStyle w:val="Normal1"/>
        <w:numPr>
          <w:ilvl w:val="2"/>
          <w:numId w:val="21"/>
        </w:numPr>
        <w:ind w:left="993" w:hanging="426"/>
        <w:jc w:val="both"/>
        <w:rPr>
          <w:rFonts w:ascii="Times New Roman" w:hAnsi="Times New Roman" w:cs="Times New Roman"/>
          <w:szCs w:val="24"/>
        </w:rPr>
      </w:pPr>
      <w:r w:rsidRPr="00B254C9">
        <w:rPr>
          <w:rFonts w:ascii="Times New Roman" w:hAnsi="Times New Roman" w:cs="Times New Roman"/>
          <w:szCs w:val="24"/>
        </w:rPr>
        <w:t xml:space="preserve">Vidzemes augstskolas aģentūru "Sociotehnisko sistēmu inženierijas institūts" </w:t>
      </w:r>
      <w:r w:rsidR="007039AD" w:rsidRPr="00B254C9">
        <w:rPr>
          <w:rFonts w:ascii="Times New Roman" w:hAnsi="Times New Roman" w:cs="Times New Roman"/>
          <w:szCs w:val="24"/>
        </w:rPr>
        <w:t xml:space="preserve">(ViA SSII) </w:t>
      </w:r>
      <w:r w:rsidR="00E11E94" w:rsidRPr="00B254C9">
        <w:rPr>
          <w:rFonts w:ascii="Times New Roman" w:hAnsi="Times New Roman" w:cs="Times New Roman"/>
          <w:color w:val="auto"/>
          <w:szCs w:val="24"/>
        </w:rPr>
        <w:t xml:space="preserve">(vērtējums “1”, </w:t>
      </w:r>
      <w:r w:rsidR="00E2039E" w:rsidRPr="00B254C9">
        <w:rPr>
          <w:rFonts w:ascii="Times New Roman" w:hAnsi="Times New Roman" w:cs="Times New Roman"/>
          <w:color w:val="auto"/>
          <w:szCs w:val="24"/>
        </w:rPr>
        <w:t xml:space="preserve">vairs </w:t>
      </w:r>
      <w:r w:rsidR="00E11E94" w:rsidRPr="00B254C9">
        <w:rPr>
          <w:rFonts w:ascii="Times New Roman" w:hAnsi="Times New Roman" w:cs="Times New Roman"/>
          <w:color w:val="auto"/>
          <w:szCs w:val="24"/>
        </w:rPr>
        <w:t xml:space="preserve">nesaņem bāzes finansējumu) </w:t>
      </w:r>
      <w:r w:rsidR="00EB66AD" w:rsidRPr="00B254C9">
        <w:rPr>
          <w:rFonts w:ascii="Times New Roman" w:hAnsi="Times New Roman" w:cs="Times New Roman"/>
          <w:szCs w:val="24"/>
        </w:rPr>
        <w:t>apvieno</w:t>
      </w:r>
      <w:r w:rsidRPr="00B254C9">
        <w:rPr>
          <w:rFonts w:ascii="Times New Roman" w:hAnsi="Times New Roman" w:cs="Times New Roman"/>
          <w:szCs w:val="24"/>
        </w:rPr>
        <w:t xml:space="preserve">t ar </w:t>
      </w:r>
      <w:r w:rsidR="00E11E94" w:rsidRPr="00B254C9">
        <w:rPr>
          <w:rFonts w:ascii="Times New Roman" w:hAnsi="Times New Roman" w:cs="Times New Roman"/>
          <w:szCs w:val="24"/>
        </w:rPr>
        <w:t>Vidzemes augstskolu</w:t>
      </w:r>
      <w:r w:rsidR="007039AD" w:rsidRPr="00B254C9">
        <w:rPr>
          <w:rFonts w:ascii="Times New Roman" w:hAnsi="Times New Roman" w:cs="Times New Roman"/>
          <w:szCs w:val="24"/>
        </w:rPr>
        <w:t xml:space="preserve"> (ViA)</w:t>
      </w:r>
      <w:r w:rsidR="00E2039E" w:rsidRPr="00B254C9">
        <w:rPr>
          <w:rFonts w:ascii="Times New Roman" w:hAnsi="Times New Roman" w:cs="Times New Roman"/>
          <w:szCs w:val="24"/>
        </w:rPr>
        <w:t xml:space="preserve">, </w:t>
      </w:r>
      <w:r w:rsidR="00E11E94" w:rsidRPr="00B254C9">
        <w:rPr>
          <w:rFonts w:ascii="Times New Roman" w:hAnsi="Times New Roman" w:cs="Times New Roman"/>
          <w:szCs w:val="24"/>
        </w:rPr>
        <w:t>nodro</w:t>
      </w:r>
      <w:r w:rsidR="00EB66AD" w:rsidRPr="00B254C9">
        <w:rPr>
          <w:rFonts w:ascii="Times New Roman" w:hAnsi="Times New Roman" w:cs="Times New Roman"/>
          <w:szCs w:val="24"/>
        </w:rPr>
        <w:t>šin</w:t>
      </w:r>
      <w:r w:rsidR="00E2039E" w:rsidRPr="00B254C9">
        <w:rPr>
          <w:rFonts w:ascii="Times New Roman" w:hAnsi="Times New Roman" w:cs="Times New Roman"/>
          <w:szCs w:val="24"/>
        </w:rPr>
        <w:t>o</w:t>
      </w:r>
      <w:r w:rsidR="00E11E94" w:rsidRPr="00B254C9">
        <w:rPr>
          <w:rFonts w:ascii="Times New Roman" w:hAnsi="Times New Roman" w:cs="Times New Roman"/>
          <w:szCs w:val="24"/>
        </w:rPr>
        <w:t>t</w:t>
      </w:r>
      <w:r w:rsidR="009D3956" w:rsidRPr="00B254C9">
        <w:rPr>
          <w:rFonts w:ascii="Times New Roman" w:hAnsi="Times New Roman" w:cs="Times New Roman"/>
          <w:szCs w:val="24"/>
        </w:rPr>
        <w:t xml:space="preserve"> Vidzemes augstskolas pētniecības</w:t>
      </w:r>
      <w:r w:rsidR="00E11E94" w:rsidRPr="00B254C9">
        <w:rPr>
          <w:rFonts w:ascii="Times New Roman" w:hAnsi="Times New Roman" w:cs="Times New Roman"/>
          <w:szCs w:val="24"/>
        </w:rPr>
        <w:t xml:space="preserve"> resursu konsolidāciju</w:t>
      </w:r>
      <w:r w:rsidR="00E2039E" w:rsidRPr="00B254C9">
        <w:rPr>
          <w:rFonts w:ascii="Times New Roman" w:hAnsi="Times New Roman" w:cs="Times New Roman"/>
          <w:szCs w:val="24"/>
        </w:rPr>
        <w:t>, pētniecības resursu koncentrāciju</w:t>
      </w:r>
      <w:r w:rsidR="00E11E94" w:rsidRPr="00B254C9">
        <w:rPr>
          <w:rFonts w:ascii="Times New Roman" w:hAnsi="Times New Roman" w:cs="Times New Roman"/>
          <w:szCs w:val="24"/>
        </w:rPr>
        <w:t xml:space="preserve"> </w:t>
      </w:r>
      <w:r w:rsidR="004B28DC" w:rsidRPr="00B254C9">
        <w:rPr>
          <w:rFonts w:ascii="Times New Roman" w:hAnsi="Times New Roman" w:cs="Times New Roman"/>
          <w:szCs w:val="24"/>
        </w:rPr>
        <w:t>un ilgtspēju.</w:t>
      </w:r>
    </w:p>
    <w:p w14:paraId="291FC228" w14:textId="5228D0D4" w:rsidR="00E71EB5" w:rsidRPr="00B254C9" w:rsidRDefault="00E2039E" w:rsidP="00E7642A">
      <w:pPr>
        <w:pStyle w:val="Normal1"/>
        <w:ind w:firstLine="567"/>
        <w:jc w:val="both"/>
        <w:rPr>
          <w:rFonts w:ascii="Times New Roman" w:hAnsi="Times New Roman" w:cs="Times New Roman"/>
          <w:szCs w:val="24"/>
        </w:rPr>
      </w:pPr>
      <w:r w:rsidRPr="00B254C9">
        <w:tab/>
      </w:r>
      <w:r w:rsidR="00DB4E0C" w:rsidRPr="00B254C9">
        <w:rPr>
          <w:rFonts w:ascii="Times New Roman" w:hAnsi="Times New Roman"/>
          <w:szCs w:val="24"/>
        </w:rPr>
        <w:t>1.1.1.4.</w:t>
      </w:r>
      <w:r w:rsidR="006050DF" w:rsidRPr="00B254C9">
        <w:rPr>
          <w:rFonts w:ascii="Times New Roman" w:hAnsi="Times New Roman"/>
          <w:szCs w:val="24"/>
        </w:rPr>
        <w:t> </w:t>
      </w:r>
      <w:r w:rsidR="00DB4E0C" w:rsidRPr="00B254C9">
        <w:rPr>
          <w:rFonts w:ascii="Times New Roman" w:hAnsi="Times New Roman"/>
          <w:szCs w:val="24"/>
        </w:rPr>
        <w:t xml:space="preserve">pasākuma ietvaros </w:t>
      </w:r>
      <w:r w:rsidR="009B3048" w:rsidRPr="00B254C9">
        <w:rPr>
          <w:rFonts w:ascii="Times New Roman" w:hAnsi="Times New Roman"/>
          <w:szCs w:val="24"/>
        </w:rPr>
        <w:t xml:space="preserve">kopā paredzēts sniegt atbalstu </w:t>
      </w:r>
      <w:r w:rsidR="00DA1C1B" w:rsidRPr="00B254C9">
        <w:rPr>
          <w:rFonts w:ascii="Times New Roman" w:hAnsi="Times New Roman"/>
          <w:szCs w:val="24"/>
        </w:rPr>
        <w:t>14</w:t>
      </w:r>
      <w:r w:rsidR="004B1A03" w:rsidRPr="00B254C9">
        <w:rPr>
          <w:rFonts w:ascii="Times New Roman" w:hAnsi="Times New Roman"/>
          <w:szCs w:val="24"/>
        </w:rPr>
        <w:t xml:space="preserve"> </w:t>
      </w:r>
      <w:r w:rsidR="009B3048" w:rsidRPr="00B254C9">
        <w:rPr>
          <w:rFonts w:ascii="Times New Roman" w:hAnsi="Times New Roman"/>
          <w:szCs w:val="24"/>
        </w:rPr>
        <w:t>projektu iesniedzējiem, kas īsteno pētniecību vienā vai vairākās Latvijas viedās specializācijas jomās (zināšanu ietilpīga bioekonomika; biomedicīna, medicīnas tehnoloģijas, biofarmācija un biotehnoloģijas; viedie materiāli, tehnoloģijas un inženiersistēmas; viedā enerģētika; informācijas un komunikācijas tehnoloģijas</w:t>
      </w:r>
      <w:r w:rsidR="00E71EB5" w:rsidRPr="00B254C9">
        <w:rPr>
          <w:rFonts w:ascii="Times New Roman" w:hAnsi="Times New Roman"/>
          <w:szCs w:val="24"/>
        </w:rPr>
        <w:t xml:space="preserve">): 1) </w:t>
      </w:r>
      <w:r w:rsidR="004B28DC" w:rsidRPr="00B254C9">
        <w:rPr>
          <w:rFonts w:ascii="Times New Roman" w:hAnsi="Times New Roman"/>
          <w:szCs w:val="24"/>
        </w:rPr>
        <w:t>BMC; 2) DU, 3) EDI, 4) LLU, 5) LU, 6) LU CFI, 7) KĶI, 8) Silava, 9) OSI, 10) BIOR, 11) RSU, 12) RTU, 13) VeA un 14</w:t>
      </w:r>
      <w:r w:rsidR="00B3230E" w:rsidRPr="00B254C9">
        <w:rPr>
          <w:rFonts w:ascii="Times New Roman" w:hAnsi="Times New Roman"/>
          <w:szCs w:val="24"/>
        </w:rPr>
        <w:t>) ViA.</w:t>
      </w:r>
    </w:p>
    <w:p w14:paraId="293C1AC5" w14:textId="2BB396F5" w:rsidR="00DB4E0C" w:rsidRDefault="0055062E" w:rsidP="00E7642A">
      <w:pPr>
        <w:pStyle w:val="Normal1"/>
        <w:ind w:firstLine="567"/>
        <w:jc w:val="both"/>
        <w:rPr>
          <w:rFonts w:ascii="Times New Roman" w:hAnsi="Times New Roman" w:cs="Times New Roman"/>
          <w:color w:val="auto"/>
          <w:szCs w:val="24"/>
        </w:rPr>
      </w:pPr>
      <w:r>
        <w:rPr>
          <w:rFonts w:ascii="Times New Roman" w:hAnsi="Times New Roman"/>
          <w:szCs w:val="24"/>
        </w:rPr>
        <w:t>Projektu iesniedzējiem jāatbilst pētniecības organizācijas statusam atbilstoši Komisijas regulas Nr.</w:t>
      </w:r>
      <w:r w:rsidR="00F4392C">
        <w:rPr>
          <w:rFonts w:ascii="Times New Roman" w:hAnsi="Times New Roman"/>
          <w:szCs w:val="24"/>
        </w:rPr>
        <w:t>651/2014 2.panta 83.punktā noteiktajai definīcijai.</w:t>
      </w:r>
      <w:r w:rsidR="00A37AB5">
        <w:rPr>
          <w:rFonts w:ascii="Times New Roman" w:hAnsi="Times New Roman"/>
          <w:szCs w:val="24"/>
        </w:rPr>
        <w:t xml:space="preserve"> </w:t>
      </w:r>
    </w:p>
    <w:p w14:paraId="19BD3A2A" w14:textId="77777777" w:rsidR="00566595" w:rsidRPr="00C07278" w:rsidRDefault="00566595" w:rsidP="00E7642A">
      <w:pPr>
        <w:pStyle w:val="Heading1"/>
        <w:numPr>
          <w:ilvl w:val="1"/>
          <w:numId w:val="1"/>
        </w:numPr>
        <w:tabs>
          <w:tab w:val="left" w:pos="993"/>
        </w:tabs>
        <w:spacing w:before="360" w:after="120"/>
        <w:ind w:left="567" w:firstLine="0"/>
        <w:jc w:val="center"/>
        <w:rPr>
          <w:rFonts w:ascii="Times New Roman" w:hAnsi="Times New Roman"/>
          <w:color w:val="auto"/>
          <w:sz w:val="24"/>
          <w:szCs w:val="24"/>
        </w:rPr>
      </w:pPr>
      <w:bookmarkStart w:id="264" w:name="_Toc458673282"/>
      <w:r w:rsidRPr="00C07278">
        <w:rPr>
          <w:rFonts w:ascii="Times New Roman" w:hAnsi="Times New Roman"/>
          <w:color w:val="auto"/>
          <w:sz w:val="24"/>
          <w:szCs w:val="24"/>
        </w:rPr>
        <w:t>Ieviešanas nosacījumi un atbalstāmās darbības</w:t>
      </w:r>
      <w:bookmarkEnd w:id="264"/>
    </w:p>
    <w:p w14:paraId="0B6D1CCD" w14:textId="05D7DDD6" w:rsidR="00AB47A3" w:rsidRPr="00291F8D" w:rsidRDefault="00AB47A3" w:rsidP="00E7642A">
      <w:pPr>
        <w:pStyle w:val="Default"/>
        <w:ind w:firstLine="567"/>
        <w:jc w:val="both"/>
        <w:rPr>
          <w:color w:val="auto"/>
        </w:rPr>
      </w:pPr>
      <w:r w:rsidRPr="00291F8D">
        <w:rPr>
          <w:bCs/>
        </w:rPr>
        <w:t>Ievērojot plānošanas dokumentos noteikto un saskaņā ar</w:t>
      </w:r>
      <w:r w:rsidRPr="00291F8D">
        <w:t xml:space="preserve"> ES struktūrfondu 2014.</w:t>
      </w:r>
      <w:r w:rsidR="00A36CEB">
        <w:t> </w:t>
      </w:r>
      <w:r w:rsidR="00D409DB" w:rsidRPr="00291F8D">
        <w:t>–</w:t>
      </w:r>
      <w:r w:rsidRPr="00291F8D">
        <w:t>2020.</w:t>
      </w:r>
      <w:r w:rsidR="00DA3871">
        <w:t> </w:t>
      </w:r>
      <w:r w:rsidRPr="00291F8D">
        <w:t>gada plānošanas perioda darbības programmas “Izaugsme un nodarbinātība” prioritārā virziena “Pētniecība, tehnoloģiju attīstība un inovācijas” SAM 1.1.1.</w:t>
      </w:r>
      <w:r w:rsidR="00DA3871">
        <w:t xml:space="preserve"> </w:t>
      </w:r>
      <w:r w:rsidRPr="00291F8D">
        <w:t>“</w:t>
      </w:r>
      <w:r w:rsidR="00D409DB">
        <w:rPr>
          <w:i/>
        </w:rPr>
        <w:t>P</w:t>
      </w:r>
      <w:r w:rsidRPr="00291F8D">
        <w:rPr>
          <w:i/>
        </w:rPr>
        <w:t>alielināt Latvijas zinātnisko institūciju pētniecisko un inovatīvo kapacitāti un spēju piesaistīt ārējo finansējumu, ieguldot cilvēkresursos un infrastruktūrā</w:t>
      </w:r>
      <w:r w:rsidRPr="00291F8D">
        <w:t xml:space="preserve">” </w:t>
      </w:r>
      <w:r w:rsidRPr="00291F8D">
        <w:rPr>
          <w:bCs/>
        </w:rPr>
        <w:t>1.1.1.4.</w:t>
      </w:r>
      <w:r w:rsidR="00DA3871">
        <w:rPr>
          <w:bCs/>
        </w:rPr>
        <w:t xml:space="preserve"> </w:t>
      </w:r>
      <w:r w:rsidRPr="00291F8D">
        <w:rPr>
          <w:bCs/>
        </w:rPr>
        <w:t>pasākuma m</w:t>
      </w:r>
      <w:r w:rsidRPr="00291F8D">
        <w:rPr>
          <w:color w:val="auto"/>
        </w:rPr>
        <w:t>ērķis ir sniegt atbalstu:</w:t>
      </w:r>
    </w:p>
    <w:p w14:paraId="73F69925" w14:textId="764DB6BF" w:rsidR="00AB47A3" w:rsidRPr="00291F8D" w:rsidRDefault="00AB47A3" w:rsidP="00E7642A">
      <w:pPr>
        <w:pStyle w:val="Default"/>
        <w:numPr>
          <w:ilvl w:val="0"/>
          <w:numId w:val="13"/>
        </w:numPr>
        <w:ind w:hanging="513"/>
        <w:jc w:val="both"/>
        <w:rPr>
          <w:color w:val="auto"/>
        </w:rPr>
      </w:pPr>
      <w:r w:rsidRPr="00291F8D">
        <w:t xml:space="preserve">pētniecības infrastruktūras </w:t>
      </w:r>
      <w:r w:rsidR="002D71A5">
        <w:t xml:space="preserve">izveidei, </w:t>
      </w:r>
      <w:r w:rsidRPr="00291F8D">
        <w:t xml:space="preserve">pilnveidei </w:t>
      </w:r>
      <w:r w:rsidR="002D71A5">
        <w:t>vai</w:t>
      </w:r>
      <w:r w:rsidR="002D71A5" w:rsidRPr="00291F8D">
        <w:t xml:space="preserve"> </w:t>
      </w:r>
      <w:r w:rsidRPr="00291F8D">
        <w:t xml:space="preserve">attīstībai </w:t>
      </w:r>
      <w:r w:rsidR="00826B0F">
        <w:t>Latvijas v</w:t>
      </w:r>
      <w:r w:rsidRPr="00291F8D">
        <w:t xml:space="preserve">iedās specializācijas stratēģijas jomās, balstoties uz </w:t>
      </w:r>
      <w:r w:rsidR="00446E4B">
        <w:t>izmaksu</w:t>
      </w:r>
      <w:r w:rsidR="00826B0F" w:rsidRPr="00291F8D">
        <w:t>–</w:t>
      </w:r>
      <w:r w:rsidR="00446E4B">
        <w:t>ieguvumu ekonomisko analīzi, kas pamato investīciju sociālekonomisko atdevi, ņemot vērā</w:t>
      </w:r>
      <w:r w:rsidRPr="00291F8D">
        <w:t xml:space="preserve"> </w:t>
      </w:r>
      <w:r w:rsidR="00446E4B">
        <w:t>pētniecības rezultāta un iznākuma rādītājus</w:t>
      </w:r>
      <w:r w:rsidR="002D71A5">
        <w:t xml:space="preserve">, kā arī </w:t>
      </w:r>
      <w:r w:rsidRPr="00291F8D">
        <w:t xml:space="preserve">viedās specializācijas </w:t>
      </w:r>
      <w:r w:rsidR="00826B0F">
        <w:t xml:space="preserve">stratēģijas </w:t>
      </w:r>
      <w:r w:rsidRPr="00291F8D">
        <w:t>monitoringa rezultātus;</w:t>
      </w:r>
    </w:p>
    <w:p w14:paraId="565E14E1" w14:textId="77777777" w:rsidR="00566595" w:rsidRPr="00291F8D" w:rsidRDefault="00AB47A3" w:rsidP="00E7642A">
      <w:pPr>
        <w:pStyle w:val="Default"/>
        <w:numPr>
          <w:ilvl w:val="0"/>
          <w:numId w:val="13"/>
        </w:numPr>
        <w:ind w:hanging="513"/>
        <w:jc w:val="both"/>
        <w:rPr>
          <w:color w:val="auto"/>
        </w:rPr>
      </w:pPr>
      <w:r w:rsidRPr="00291F8D">
        <w:t xml:space="preserve">zinātnisko institūciju institucionālās kapacitātes stiprināšanai, ieviešot zinātnisko institūciju darbības kvalitātes </w:t>
      </w:r>
      <w:r w:rsidR="00826B0F">
        <w:t>starptautiskā novērtējuma</w:t>
      </w:r>
      <w:r w:rsidR="00826B0F" w:rsidRPr="00291F8D">
        <w:t xml:space="preserve"> </w:t>
      </w:r>
      <w:r w:rsidRPr="00291F8D">
        <w:t>rekomendācijas konkurētspējas palielināšanai starptautiskā līmenī un mērķtiecīgiem zinātnisko institūciju apvienošanās pasākumiem</w:t>
      </w:r>
      <w:r w:rsidRPr="00291F8D">
        <w:rPr>
          <w:color w:val="auto"/>
        </w:rPr>
        <w:t>.</w:t>
      </w:r>
    </w:p>
    <w:p w14:paraId="72C218EA" w14:textId="0FB095A6" w:rsidR="00962FB7" w:rsidRPr="00E0256A" w:rsidRDefault="00EC649F" w:rsidP="00E7642A">
      <w:pPr>
        <w:pStyle w:val="Default"/>
        <w:ind w:firstLine="567"/>
        <w:jc w:val="both"/>
        <w:rPr>
          <w:color w:val="auto"/>
        </w:rPr>
      </w:pPr>
      <w:r w:rsidRPr="00E0256A">
        <w:rPr>
          <w:color w:val="auto"/>
        </w:rPr>
        <w:lastRenderedPageBreak/>
        <w:t>Indikatīvais 1.1.1.4.</w:t>
      </w:r>
      <w:r w:rsidR="00DA3871" w:rsidRPr="00E0256A">
        <w:rPr>
          <w:color w:val="auto"/>
        </w:rPr>
        <w:t xml:space="preserve"> </w:t>
      </w:r>
      <w:r w:rsidRPr="00E0256A">
        <w:rPr>
          <w:color w:val="auto"/>
        </w:rPr>
        <w:t xml:space="preserve">pasākuma </w:t>
      </w:r>
      <w:r w:rsidR="00962FB7" w:rsidRPr="00E0256A">
        <w:rPr>
          <w:color w:val="auto"/>
        </w:rPr>
        <w:t>pieejamais</w:t>
      </w:r>
      <w:r w:rsidRPr="00E0256A">
        <w:rPr>
          <w:color w:val="auto"/>
        </w:rPr>
        <w:t xml:space="preserve"> finansējums ir </w:t>
      </w:r>
      <w:r w:rsidR="00962FB7" w:rsidRPr="00E0256A">
        <w:rPr>
          <w:color w:val="auto"/>
        </w:rPr>
        <w:t>120 252 616</w:t>
      </w:r>
      <w:r w:rsidRPr="00E0256A">
        <w:rPr>
          <w:color w:val="auto"/>
        </w:rPr>
        <w:t xml:space="preserve"> </w:t>
      </w:r>
      <w:r w:rsidRPr="00E0256A">
        <w:rPr>
          <w:i/>
          <w:color w:val="auto"/>
        </w:rPr>
        <w:t>euro</w:t>
      </w:r>
      <w:r w:rsidRPr="00E0256A">
        <w:rPr>
          <w:lang w:bidi="lo-LA"/>
        </w:rPr>
        <w:t xml:space="preserve">, </w:t>
      </w:r>
      <w:r w:rsidR="00516D0A" w:rsidRPr="00E0256A">
        <w:rPr>
          <w:lang w:bidi="lo-LA"/>
        </w:rPr>
        <w:t xml:space="preserve">tai skaitā </w:t>
      </w:r>
      <w:r w:rsidRPr="00E0256A">
        <w:rPr>
          <w:lang w:bidi="lo-LA"/>
        </w:rPr>
        <w:t>ERAF</w:t>
      </w:r>
      <w:r w:rsidRPr="00E0256A">
        <w:rPr>
          <w:color w:val="auto"/>
        </w:rPr>
        <w:t xml:space="preserve"> </w:t>
      </w:r>
      <w:r w:rsidR="00826B0F" w:rsidRPr="00E0256A">
        <w:rPr>
          <w:color w:val="auto"/>
        </w:rPr>
        <w:t xml:space="preserve">finansējums </w:t>
      </w:r>
      <w:r w:rsidR="00962FB7" w:rsidRPr="00E0256A">
        <w:rPr>
          <w:color w:val="auto"/>
        </w:rPr>
        <w:t>102 964 724</w:t>
      </w:r>
      <w:r w:rsidRPr="00E0256A">
        <w:rPr>
          <w:color w:val="auto"/>
        </w:rPr>
        <w:t xml:space="preserve"> </w:t>
      </w:r>
      <w:r w:rsidRPr="00E0256A">
        <w:rPr>
          <w:i/>
          <w:color w:val="auto"/>
        </w:rPr>
        <w:t>euro</w:t>
      </w:r>
      <w:r w:rsidRPr="00E0256A">
        <w:rPr>
          <w:color w:val="auto"/>
        </w:rPr>
        <w:t xml:space="preserve"> un valsts budžeta finansējums 17 287 892 </w:t>
      </w:r>
      <w:r w:rsidRPr="00E0256A">
        <w:rPr>
          <w:i/>
          <w:color w:val="auto"/>
        </w:rPr>
        <w:t>euro</w:t>
      </w:r>
      <w:r w:rsidR="00962FB7" w:rsidRPr="00E0256A">
        <w:rPr>
          <w:color w:val="auto"/>
        </w:rPr>
        <w:t>, pie nosacījuma, ka tiek apstiprināts ES pētniecības un inovāciju pamatprogrammas „Apvārsnis 2020” apakšprogrammas „WIDESPREAD 1-2014: Teaming” projekts „Viedo materiālu pētījumu un tehnoloģiju pārneses ekselences centrs – CAMART²” (</w:t>
      </w:r>
      <w:r w:rsidR="00962FB7" w:rsidRPr="00E0256A">
        <w:rPr>
          <w:i/>
          <w:color w:val="auto"/>
        </w:rPr>
        <w:t>The Excellence Centre of Advanced Material Research and Technology Transfer</w:t>
      </w:r>
      <w:r w:rsidR="00962FB7" w:rsidRPr="00E0256A">
        <w:rPr>
          <w:color w:val="auto"/>
        </w:rPr>
        <w:t>) (turpmāk – CAMART2 projekts)</w:t>
      </w:r>
      <w:r w:rsidR="00962FB7" w:rsidRPr="00E0256A">
        <w:rPr>
          <w:rStyle w:val="FootnoteReference"/>
          <w:color w:val="auto"/>
        </w:rPr>
        <w:footnoteReference w:id="41"/>
      </w:r>
      <w:r w:rsidR="00962FB7" w:rsidRPr="00E0256A">
        <w:rPr>
          <w:color w:val="auto"/>
        </w:rPr>
        <w:t>.</w:t>
      </w:r>
    </w:p>
    <w:p w14:paraId="5FCD979E" w14:textId="0F83A3FD" w:rsidR="00962FB7" w:rsidRPr="00E0256A" w:rsidRDefault="00962FB7" w:rsidP="00E7642A">
      <w:pPr>
        <w:pStyle w:val="Default"/>
        <w:ind w:firstLine="567"/>
        <w:jc w:val="both"/>
        <w:rPr>
          <w:color w:val="auto"/>
        </w:rPr>
      </w:pPr>
      <w:bookmarkStart w:id="265" w:name="_Ref458023815"/>
      <w:r w:rsidRPr="00E0256A">
        <w:rPr>
          <w:color w:val="auto"/>
        </w:rPr>
        <w:t>Ja CAMART2 projekts netiek apstiprināts, 1.1.1.4. pasākuma ietvaros pieejams finansējums 115 252 616 </w:t>
      </w:r>
      <w:r w:rsidRPr="00E0256A">
        <w:rPr>
          <w:i/>
          <w:color w:val="auto"/>
        </w:rPr>
        <w:t>euro</w:t>
      </w:r>
      <w:r w:rsidRPr="00E0256A">
        <w:rPr>
          <w:color w:val="auto"/>
        </w:rPr>
        <w:t xml:space="preserve"> apmērā, tai skaitā ERAF finansējums – 97 964 724 </w:t>
      </w:r>
      <w:r w:rsidRPr="00E0256A">
        <w:rPr>
          <w:i/>
          <w:color w:val="auto"/>
        </w:rPr>
        <w:t>euro</w:t>
      </w:r>
      <w:r w:rsidRPr="00E0256A">
        <w:rPr>
          <w:color w:val="auto"/>
        </w:rPr>
        <w:t xml:space="preserve"> un valsts budžeta līdzfinansējums – 17 287 892 </w:t>
      </w:r>
      <w:r w:rsidRPr="00E0256A">
        <w:rPr>
          <w:i/>
          <w:color w:val="auto"/>
        </w:rPr>
        <w:t>euro</w:t>
      </w:r>
      <w:bookmarkEnd w:id="265"/>
      <w:r w:rsidRPr="00E0256A">
        <w:rPr>
          <w:color w:val="auto"/>
        </w:rPr>
        <w:t>.</w:t>
      </w:r>
    </w:p>
    <w:p w14:paraId="16C7CE56" w14:textId="6E648B13" w:rsidR="003317CA" w:rsidRPr="00291F8D" w:rsidRDefault="00A7676E" w:rsidP="00E7642A">
      <w:pPr>
        <w:pStyle w:val="Default"/>
        <w:ind w:firstLine="567"/>
        <w:jc w:val="both"/>
      </w:pPr>
      <w:r w:rsidRPr="00E0256A">
        <w:rPr>
          <w:color w:val="auto"/>
        </w:rPr>
        <w:t xml:space="preserve">Nepieciešamo </w:t>
      </w:r>
      <w:r w:rsidR="00826B0F" w:rsidRPr="00E0256A">
        <w:rPr>
          <w:color w:val="auto"/>
        </w:rPr>
        <w:t xml:space="preserve">līdzfinansējumu </w:t>
      </w:r>
      <w:r w:rsidRPr="00E0256A">
        <w:rPr>
          <w:color w:val="auto"/>
        </w:rPr>
        <w:t xml:space="preserve">ar saimniecisko darbību nesaistīta projekta </w:t>
      </w:r>
      <w:r w:rsidR="00EF3FC3" w:rsidRPr="00E0256A">
        <w:rPr>
          <w:color w:val="auto"/>
        </w:rPr>
        <w:t xml:space="preserve">vai kombinētā atbalsta veida projekta ar saimniecisko darbību nesaistītās projekta daļas </w:t>
      </w:r>
      <w:r w:rsidRPr="00E0256A">
        <w:rPr>
          <w:color w:val="auto"/>
        </w:rPr>
        <w:t>īstenošanai</w:t>
      </w:r>
      <w:r w:rsidR="00826B0F" w:rsidRPr="00E0256A">
        <w:rPr>
          <w:color w:val="auto"/>
        </w:rPr>
        <w:t>,</w:t>
      </w:r>
      <w:r w:rsidRPr="00E0256A">
        <w:rPr>
          <w:color w:val="auto"/>
        </w:rPr>
        <w:t xml:space="preserve"> </w:t>
      </w:r>
      <w:r w:rsidR="00826B0F" w:rsidRPr="00E0256A">
        <w:rPr>
          <w:color w:val="auto"/>
        </w:rPr>
        <w:t xml:space="preserve">potenciālais finansējuma saņēmējs </w:t>
      </w:r>
      <w:r w:rsidR="00E03E19" w:rsidRPr="00E0256A">
        <w:rPr>
          <w:color w:val="auto"/>
        </w:rPr>
        <w:t>10</w:t>
      </w:r>
      <w:r w:rsidR="00A36CEB" w:rsidRPr="00E0256A">
        <w:t> </w:t>
      </w:r>
      <w:r w:rsidR="003317CA" w:rsidRPr="00E0256A">
        <w:rPr>
          <w:color w:val="auto"/>
        </w:rPr>
        <w:t xml:space="preserve">% apmērā </w:t>
      </w:r>
      <w:r w:rsidRPr="00E0256A">
        <w:rPr>
          <w:color w:val="auto"/>
        </w:rPr>
        <w:t xml:space="preserve">nodrošina no </w:t>
      </w:r>
      <w:r w:rsidR="003317CA" w:rsidRPr="00E0256A">
        <w:rPr>
          <w:color w:val="auto"/>
        </w:rPr>
        <w:t>valsts budžeta finansējuma</w:t>
      </w:r>
      <w:r w:rsidR="00826B0F" w:rsidRPr="00E0256A">
        <w:rPr>
          <w:color w:val="auto"/>
        </w:rPr>
        <w:t xml:space="preserve"> un </w:t>
      </w:r>
      <w:r w:rsidR="003317CA" w:rsidRPr="00E0256A">
        <w:rPr>
          <w:color w:val="auto"/>
        </w:rPr>
        <w:t>5</w:t>
      </w:r>
      <w:r w:rsidR="00A36CEB" w:rsidRPr="00E0256A">
        <w:t> </w:t>
      </w:r>
      <w:r w:rsidR="003317CA" w:rsidRPr="00E0256A">
        <w:rPr>
          <w:color w:val="auto"/>
        </w:rPr>
        <w:t>% no citiem potenciālā finansējuma saņēmēja rīcībā esošiem līdzekļiem, tai skaitā no tā saimnieciskās darbības, kredītresursu līdzekļiem</w:t>
      </w:r>
      <w:r w:rsidR="005560EC" w:rsidRPr="00E0256A">
        <w:rPr>
          <w:color w:val="auto"/>
        </w:rPr>
        <w:t xml:space="preserve"> un</w:t>
      </w:r>
      <w:r w:rsidR="003317CA" w:rsidRPr="00E0256A">
        <w:rPr>
          <w:color w:val="auto"/>
        </w:rPr>
        <w:t xml:space="preserve"> citiem finanšu resursiem</w:t>
      </w:r>
      <w:r w:rsidR="00F3117D" w:rsidRPr="00E0256A">
        <w:rPr>
          <w:color w:val="auto"/>
        </w:rPr>
        <w:t xml:space="preserve"> vai finansējuma, ko piešķir saskaņā ar normatīvajiem aktiem par kārtību, kādā paredzami valsts budžeta līdzekļi valsts zinātniskās institūcijas pamatdarbību īstenošanai.</w:t>
      </w:r>
      <w:r w:rsidR="003317CA" w:rsidRPr="00E0256A">
        <w:rPr>
          <w:color w:val="auto"/>
        </w:rPr>
        <w:t xml:space="preserve"> </w:t>
      </w:r>
      <w:r w:rsidR="00032C63" w:rsidRPr="00E0256A">
        <w:rPr>
          <w:color w:val="auto"/>
        </w:rPr>
        <w:t xml:space="preserve">Savukārt </w:t>
      </w:r>
      <w:r w:rsidR="00EF3FC3" w:rsidRPr="00E0256A">
        <w:rPr>
          <w:color w:val="auto"/>
        </w:rPr>
        <w:t xml:space="preserve">kombinētā atbalsta veida projekta </w:t>
      </w:r>
      <w:r w:rsidR="003317CA" w:rsidRPr="00E0256A">
        <w:rPr>
          <w:color w:val="auto"/>
        </w:rPr>
        <w:t>ar saimniecisko darbību saistīta</w:t>
      </w:r>
      <w:r w:rsidR="00EF3FC3" w:rsidRPr="00E0256A">
        <w:rPr>
          <w:color w:val="auto"/>
        </w:rPr>
        <w:t>i</w:t>
      </w:r>
      <w:r w:rsidR="003317CA" w:rsidRPr="00E0256A">
        <w:rPr>
          <w:color w:val="auto"/>
        </w:rPr>
        <w:t xml:space="preserve"> projekta </w:t>
      </w:r>
      <w:r w:rsidR="00EF3FC3" w:rsidRPr="00E0256A">
        <w:rPr>
          <w:color w:val="auto"/>
        </w:rPr>
        <w:t xml:space="preserve">daļas </w:t>
      </w:r>
      <w:r w:rsidR="003317CA" w:rsidRPr="00E0256A">
        <w:rPr>
          <w:color w:val="auto"/>
        </w:rPr>
        <w:t>īstenošanai nepieciešamo līdzfinansējumu nodrošina</w:t>
      </w:r>
      <w:r w:rsidR="003317CA" w:rsidRPr="00291F8D">
        <w:rPr>
          <w:color w:val="auto"/>
        </w:rPr>
        <w:t xml:space="preserve"> no potenciāl</w:t>
      </w:r>
      <w:r w:rsidR="00826B0F">
        <w:rPr>
          <w:color w:val="auto"/>
        </w:rPr>
        <w:t>ā</w:t>
      </w:r>
      <w:r w:rsidR="003317CA" w:rsidRPr="00291F8D">
        <w:rPr>
          <w:color w:val="auto"/>
        </w:rPr>
        <w:t xml:space="preserve"> finansējuma saņēmēja rīcībā esošajiem līdzekļiem vai kredītresursu līdzekļiem un citiem finanšu resursiem, par kuriem nav saņemts nekāds publiskais atbalsts, tai skaitā nav saņemts nekāds valsts vai pašvaldību galvojums vai valsts vai </w:t>
      </w:r>
      <w:r w:rsidR="00826B0F" w:rsidRPr="00291F8D">
        <w:rPr>
          <w:color w:val="auto"/>
        </w:rPr>
        <w:t>pašvaldīb</w:t>
      </w:r>
      <w:r w:rsidR="00826B0F">
        <w:rPr>
          <w:color w:val="auto"/>
        </w:rPr>
        <w:t>u</w:t>
      </w:r>
      <w:r w:rsidR="00826B0F" w:rsidRPr="00291F8D">
        <w:rPr>
          <w:color w:val="auto"/>
        </w:rPr>
        <w:t xml:space="preserve"> </w:t>
      </w:r>
      <w:r w:rsidR="003317CA" w:rsidRPr="00291F8D">
        <w:rPr>
          <w:color w:val="auto"/>
        </w:rPr>
        <w:t>kredīts uz atvieglojuma nosacījumiem.</w:t>
      </w:r>
    </w:p>
    <w:p w14:paraId="70250FA2" w14:textId="135EFA3E" w:rsidR="00B03753" w:rsidRPr="00E852C0" w:rsidRDefault="00566595" w:rsidP="00E7642A">
      <w:pPr>
        <w:pStyle w:val="Default"/>
        <w:tabs>
          <w:tab w:val="left" w:pos="567"/>
        </w:tabs>
        <w:jc w:val="both"/>
        <w:rPr>
          <w:i/>
          <w:color w:val="auto"/>
        </w:rPr>
      </w:pPr>
      <w:r w:rsidRPr="00291F8D">
        <w:rPr>
          <w:bCs/>
        </w:rPr>
        <w:tab/>
      </w:r>
      <w:r w:rsidR="00600C9A" w:rsidRPr="00291F8D">
        <w:rPr>
          <w:bCs/>
        </w:rPr>
        <w:t>A</w:t>
      </w:r>
      <w:r w:rsidRPr="00291F8D">
        <w:rPr>
          <w:bCs/>
        </w:rPr>
        <w:t>tbalst</w:t>
      </w:r>
      <w:r w:rsidR="00600C9A" w:rsidRPr="00291F8D">
        <w:rPr>
          <w:bCs/>
        </w:rPr>
        <w:t>s</w:t>
      </w:r>
      <w:r w:rsidRPr="00291F8D">
        <w:rPr>
          <w:bCs/>
        </w:rPr>
        <w:t xml:space="preserve"> pētniecības infrastruktūras attīstībai un zinātnisko institūciju institucionālās kapacitātes stiprināšanai </w:t>
      </w:r>
      <w:r w:rsidR="00600C9A" w:rsidRPr="00291F8D">
        <w:rPr>
          <w:bCs/>
        </w:rPr>
        <w:t>tiks piešķirts</w:t>
      </w:r>
      <w:r w:rsidRPr="00291F8D">
        <w:rPr>
          <w:bCs/>
        </w:rPr>
        <w:t xml:space="preserve"> ierobežotas projektu iesniegumu atlases veidā zinātniskajām institūcijām, kas atbilst pētniecības organizācijas definīcijai</w:t>
      </w:r>
      <w:r w:rsidRPr="00291F8D">
        <w:rPr>
          <w:bCs/>
          <w:vertAlign w:val="superscript"/>
        </w:rPr>
        <w:footnoteReference w:id="42"/>
      </w:r>
      <w:r w:rsidRPr="00291F8D">
        <w:rPr>
          <w:bCs/>
        </w:rPr>
        <w:t>.</w:t>
      </w:r>
    </w:p>
    <w:p w14:paraId="1A1687E1" w14:textId="029B8B41" w:rsidR="00E738A3" w:rsidRPr="009C7153" w:rsidRDefault="00E738A3" w:rsidP="00E7642A">
      <w:pPr>
        <w:pStyle w:val="Default"/>
        <w:tabs>
          <w:tab w:val="left" w:pos="1560"/>
        </w:tabs>
        <w:spacing w:before="120" w:after="120"/>
        <w:ind w:left="1559"/>
        <w:jc w:val="right"/>
        <w:rPr>
          <w:shd w:val="clear" w:color="auto" w:fill="D9D9D9" w:themeFill="background1" w:themeFillShade="D9"/>
        </w:rPr>
      </w:pPr>
      <w:r w:rsidRPr="00E852C0">
        <w:rPr>
          <w:i/>
        </w:rPr>
        <w:t xml:space="preserve">Attēls Nr. </w:t>
      </w:r>
      <w:r w:rsidR="00627FF0">
        <w:rPr>
          <w:i/>
        </w:rPr>
        <w:t>9</w:t>
      </w:r>
    </w:p>
    <w:p w14:paraId="0AB6D3F8" w14:textId="12912DCD" w:rsidR="00646785" w:rsidRPr="00646785" w:rsidRDefault="00646785" w:rsidP="00E7642A">
      <w:pPr>
        <w:pStyle w:val="NormalWeb"/>
        <w:spacing w:before="0" w:beforeAutospacing="0" w:after="200" w:afterAutospacing="0"/>
        <w:jc w:val="center"/>
        <w:rPr>
          <w:rFonts w:eastAsia="Calibri"/>
          <w:b/>
          <w:lang w:eastAsia="en-US"/>
        </w:rPr>
      </w:pPr>
      <w:r>
        <w:rPr>
          <w:rFonts w:eastAsia="Calibri"/>
          <w:b/>
          <w:lang w:eastAsia="en-US"/>
        </w:rPr>
        <w:t>Potenciāl</w:t>
      </w:r>
      <w:r w:rsidR="001F638D">
        <w:rPr>
          <w:rFonts w:eastAsia="Calibri"/>
          <w:b/>
          <w:lang w:eastAsia="en-US"/>
        </w:rPr>
        <w:t>o</w:t>
      </w:r>
      <w:r>
        <w:rPr>
          <w:rFonts w:eastAsia="Calibri"/>
          <w:b/>
          <w:lang w:eastAsia="en-US"/>
        </w:rPr>
        <w:t xml:space="preserve"> finansējuma saņēmēj</w:t>
      </w:r>
      <w:r w:rsidR="001F638D">
        <w:rPr>
          <w:rFonts w:eastAsia="Calibri"/>
          <w:b/>
          <w:lang w:eastAsia="en-US"/>
        </w:rPr>
        <w:t>u</w:t>
      </w:r>
      <w:r>
        <w:rPr>
          <w:rFonts w:eastAsia="Calibri"/>
          <w:b/>
          <w:lang w:eastAsia="en-US"/>
        </w:rPr>
        <w:t xml:space="preserve"> 1.1.1.4.pasākuma ietvaros</w:t>
      </w:r>
      <w:r w:rsidR="001F638D">
        <w:rPr>
          <w:rFonts w:eastAsia="Calibri"/>
          <w:b/>
          <w:lang w:eastAsia="en-US"/>
        </w:rPr>
        <w:t xml:space="preserve"> teritoriālais izvietojums</w:t>
      </w:r>
    </w:p>
    <w:p w14:paraId="22EE9654" w14:textId="2BBD9B36" w:rsidR="00646785" w:rsidRDefault="00B106A0" w:rsidP="00E7642A">
      <w:pPr>
        <w:pStyle w:val="Default"/>
        <w:tabs>
          <w:tab w:val="left" w:pos="567"/>
        </w:tabs>
        <w:ind w:firstLine="567"/>
        <w:jc w:val="both"/>
        <w:rPr>
          <w:bCs/>
        </w:rPr>
      </w:pPr>
      <w:r w:rsidRPr="00B106A0">
        <w:rPr>
          <w:rFonts w:eastAsia="Times New Roman"/>
          <w:snapToGrid w:val="0"/>
          <w:w w:val="0"/>
          <w:sz w:val="0"/>
          <w:szCs w:val="0"/>
          <w:u w:color="000000"/>
          <w:bdr w:val="none" w:sz="0" w:space="0" w:color="000000"/>
          <w:shd w:val="clear" w:color="000000" w:fill="000000"/>
          <w:lang w:val="x-none" w:eastAsia="x-none" w:bidi="x-none"/>
        </w:rPr>
        <w:lastRenderedPageBreak/>
        <w:t xml:space="preserve"> </w:t>
      </w:r>
      <w:r w:rsidRPr="00E0256A">
        <w:rPr>
          <w:bCs/>
          <w:noProof/>
        </w:rPr>
        <w:drawing>
          <wp:inline distT="0" distB="0" distL="0" distR="0" wp14:anchorId="6C0BA0B1" wp14:editId="115EA948">
            <wp:extent cx="5151120" cy="3545840"/>
            <wp:effectExtent l="0" t="0" r="5080" b="10160"/>
            <wp:docPr id="1" name="Picture 1" descr="C:\Users\azilinska\AppData\Local\Microsoft\Windows\INetCache\Content.Outlook\9VUP9VRG\090820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linska\AppData\Local\Microsoft\Windows\INetCache\Content.Outlook\9VUP9VRG\09082016A.PNG"/>
                    <pic:cNvPicPr>
                      <a:picLocks noChangeAspect="1" noChangeArrowheads="1"/>
                    </pic:cNvPicPr>
                  </pic:nvPicPr>
                  <pic:blipFill rotWithShape="1">
                    <a:blip r:embed="rId23">
                      <a:extLst>
                        <a:ext uri="{28A0092B-C50C-407E-A947-70E740481C1C}">
                          <a14:useLocalDpi xmlns:a14="http://schemas.microsoft.com/office/drawing/2010/main" val="0"/>
                        </a:ext>
                      </a:extLst>
                    </a:blip>
                    <a:srcRect r="1130" b="3741"/>
                    <a:stretch/>
                  </pic:blipFill>
                  <pic:spPr bwMode="auto">
                    <a:xfrm>
                      <a:off x="0" y="0"/>
                      <a:ext cx="5161738" cy="35531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566595" w:rsidRPr="00291F8D">
        <w:rPr>
          <w:bCs/>
        </w:rPr>
        <w:t xml:space="preserve"> </w:t>
      </w:r>
    </w:p>
    <w:p w14:paraId="3609E810" w14:textId="5CA5A093" w:rsidR="001651FF" w:rsidRDefault="00646785" w:rsidP="00E7642A">
      <w:pPr>
        <w:pStyle w:val="Default"/>
        <w:tabs>
          <w:tab w:val="left" w:pos="567"/>
        </w:tabs>
        <w:jc w:val="both"/>
        <w:rPr>
          <w:bCs/>
        </w:rPr>
      </w:pPr>
      <w:r>
        <w:rPr>
          <w:bCs/>
        </w:rPr>
        <w:tab/>
      </w:r>
      <w:r w:rsidR="001651FF" w:rsidRPr="00291F8D">
        <w:rPr>
          <w:bCs/>
        </w:rPr>
        <w:t>Potenciālie finansējuma saņēmēji</w:t>
      </w:r>
      <w:r w:rsidR="00D72ABF">
        <w:rPr>
          <w:bCs/>
        </w:rPr>
        <w:t xml:space="preserve"> -</w:t>
      </w:r>
      <w:r>
        <w:rPr>
          <w:bCs/>
        </w:rPr>
        <w:t xml:space="preserve"> </w:t>
      </w:r>
      <w:r w:rsidR="00D72ABF" w:rsidRPr="00D72ABF">
        <w:rPr>
          <w:bCs/>
        </w:rPr>
        <w:t xml:space="preserve">Latvijas Organiskās sintēzes institūtā, Latvijas Biomedicīnas pētījumu un studiju centrā, Latvijas valsts Mežzinātnes institūtā "Silava", Latvijas Valsts koksnes ķīmijas institūtā, Elektronikas un datorzinātņu institūtā, Pārtikas drošības, dzīvnieku veselības un vides zinātniskajā institūtā "BIOR", Rīgas Tehniskajā universitātē, Rīgas Stradiņa universitātē, Latvijas Lauksaimniecības universitātē un tās institūtos - Agroresursu un ekonomikas institūts un Dārzkopības institūts, Ventspils augstskolā, Vidzemes augstskolā, Latvijas Universitātē un tās institūtos LU Matemātikas un informātikas institūts un LU Cietvielu fizikas institūts, kā arī Daugavpils Universitātē to </w:t>
      </w:r>
      <w:r w:rsidR="00D72ABF" w:rsidRPr="00A952E6">
        <w:rPr>
          <w:bCs/>
        </w:rPr>
        <w:t xml:space="preserve">integrējot ar Latvijas Hidreoekoloģijas institūtu </w:t>
      </w:r>
      <w:r w:rsidRPr="00A952E6">
        <w:rPr>
          <w:bCs/>
        </w:rPr>
        <w:t xml:space="preserve">(skat. </w:t>
      </w:r>
      <w:r w:rsidR="00E738A3" w:rsidRPr="00A952E6">
        <w:rPr>
          <w:bCs/>
        </w:rPr>
        <w:t>9</w:t>
      </w:r>
      <w:r w:rsidRPr="00A952E6">
        <w:rPr>
          <w:bCs/>
        </w:rPr>
        <w:t>.</w:t>
      </w:r>
      <w:r w:rsidR="00D22BDC" w:rsidRPr="00A952E6">
        <w:rPr>
          <w:bCs/>
        </w:rPr>
        <w:t> </w:t>
      </w:r>
      <w:r w:rsidRPr="00A952E6">
        <w:rPr>
          <w:bCs/>
        </w:rPr>
        <w:t>attēlu)</w:t>
      </w:r>
      <w:r w:rsidR="003D5B55" w:rsidRPr="00A952E6">
        <w:rPr>
          <w:bCs/>
        </w:rPr>
        <w:t xml:space="preserve"> ir koncentrēti Rīgā un</w:t>
      </w:r>
      <w:r w:rsidR="003D5B55">
        <w:rPr>
          <w:bCs/>
        </w:rPr>
        <w:t xml:space="preserve"> Salaspilī, Daugavpilī, Jelgavā, Valmierā un Ventspilī. Rīgā tiek koncentrēta pētniecības infrastruktūra visās Viedās specializācjas jomās. Jelgavā, Salapilī un Daugavpilī tiek koncentrēta bioekonomikas pētniecības infrastrukt</w:t>
      </w:r>
      <w:r w:rsidR="00861A58">
        <w:rPr>
          <w:bCs/>
        </w:rPr>
        <w:t>ūra</w:t>
      </w:r>
      <w:r w:rsidR="003D5B55">
        <w:rPr>
          <w:bCs/>
        </w:rPr>
        <w:t>. Valmierā un</w:t>
      </w:r>
      <w:r w:rsidR="00984546">
        <w:rPr>
          <w:bCs/>
        </w:rPr>
        <w:t xml:space="preserve"> </w:t>
      </w:r>
      <w:r w:rsidR="003D5B55">
        <w:rPr>
          <w:bCs/>
        </w:rPr>
        <w:t>Ventspil</w:t>
      </w:r>
      <w:r w:rsidR="00861A58">
        <w:rPr>
          <w:bCs/>
        </w:rPr>
        <w:t xml:space="preserve">ī tiek veidota IKT infrastruktūra. </w:t>
      </w:r>
      <w:r w:rsidR="003D5B55">
        <w:rPr>
          <w:bCs/>
        </w:rPr>
        <w:t xml:space="preserve"> </w:t>
      </w:r>
      <w:r w:rsidR="00984546">
        <w:rPr>
          <w:bCs/>
        </w:rPr>
        <w:t xml:space="preserve">Daugavpilī tiek veidota arī materiālu zinātnes infrastruktūra. </w:t>
      </w:r>
      <w:r w:rsidR="003D5B55">
        <w:rPr>
          <w:bCs/>
        </w:rPr>
        <w:t xml:space="preserve">Ir paredzēts, ka </w:t>
      </w:r>
      <w:r w:rsidR="001651FF" w:rsidRPr="00291F8D">
        <w:rPr>
          <w:bCs/>
        </w:rPr>
        <w:t>projekt</w:t>
      </w:r>
      <w:r w:rsidR="003D5B55">
        <w:rPr>
          <w:bCs/>
        </w:rPr>
        <w:t>us</w:t>
      </w:r>
      <w:r w:rsidR="001651FF" w:rsidRPr="00291F8D">
        <w:rPr>
          <w:bCs/>
        </w:rPr>
        <w:t xml:space="preserve"> varēs īstenot individuāli vai sadarbībā ar citām zinātniskajām institūcijām</w:t>
      </w:r>
      <w:r w:rsidR="001651FF">
        <w:rPr>
          <w:bCs/>
        </w:rPr>
        <w:t>, īstenojot divu veidu projektus:</w:t>
      </w:r>
    </w:p>
    <w:p w14:paraId="48150524" w14:textId="346963CC" w:rsidR="00BF682F" w:rsidRPr="00E0256A" w:rsidRDefault="00BF682F" w:rsidP="00E7642A">
      <w:pPr>
        <w:pStyle w:val="ListParagraph"/>
        <w:numPr>
          <w:ilvl w:val="0"/>
          <w:numId w:val="34"/>
        </w:numPr>
        <w:ind w:left="993" w:hanging="426"/>
      </w:pPr>
      <w:r w:rsidRPr="00E0256A">
        <w:t>ar saimniecisku darbību nesaistīts projekts, ja finansējuma saņēmējs un sadarbības partneris atbilst pētniecības organizācijas definīcijai un projekta ietvaros plānotos ieguldījumus paredzēts izmantot finansējuma saņēmējs un sadarbības partneris pamatdarbībā, kurai nav saimniecisks raksturs, vai ierobežotas jomas darbībā;</w:t>
      </w:r>
    </w:p>
    <w:p w14:paraId="17CB2679" w14:textId="02185886" w:rsidR="00BF682F" w:rsidRPr="00E0256A" w:rsidRDefault="00BF682F" w:rsidP="00E7642A">
      <w:pPr>
        <w:pStyle w:val="ListParagraph"/>
        <w:numPr>
          <w:ilvl w:val="0"/>
          <w:numId w:val="34"/>
        </w:numPr>
        <w:ind w:left="993" w:hanging="426"/>
      </w:pPr>
      <w:bookmarkStart w:id="266" w:name="_Ref456866410"/>
      <w:r w:rsidRPr="00E0256A">
        <w:t>kombinēta atbalsta veida projekts,  kas ietvers:</w:t>
      </w:r>
    </w:p>
    <w:p w14:paraId="450C0763" w14:textId="77777777" w:rsidR="00BF682F" w:rsidRPr="00E0256A" w:rsidRDefault="00BF682F" w:rsidP="00E7642A">
      <w:pPr>
        <w:pStyle w:val="Default"/>
        <w:numPr>
          <w:ilvl w:val="0"/>
          <w:numId w:val="27"/>
        </w:numPr>
        <w:tabs>
          <w:tab w:val="left" w:pos="567"/>
        </w:tabs>
        <w:ind w:left="1418" w:hanging="425"/>
        <w:jc w:val="both"/>
        <w:rPr>
          <w:bCs/>
        </w:rPr>
      </w:pPr>
      <w:r w:rsidRPr="00E0256A">
        <w:t>ar saimniecisku darbību nesaistītu projekta daļu (</w:t>
      </w:r>
      <w:bookmarkEnd w:id="266"/>
      <w:r w:rsidRPr="00E0256A">
        <w:t xml:space="preserve">projekta ietvaros plānotos ieguldījumus paredzēts izmantot finansējuma saņēmēja vai sadarbības partnera pamatdarbībā, kurai nav saimniecisks raksturs) </w:t>
      </w:r>
    </w:p>
    <w:p w14:paraId="1096B195" w14:textId="1BD99F58" w:rsidR="00BF682F" w:rsidRPr="00BF682F" w:rsidRDefault="00BF682F" w:rsidP="00E7642A">
      <w:pPr>
        <w:pStyle w:val="Default"/>
        <w:numPr>
          <w:ilvl w:val="0"/>
          <w:numId w:val="27"/>
        </w:numPr>
        <w:tabs>
          <w:tab w:val="left" w:pos="567"/>
        </w:tabs>
        <w:ind w:left="1418" w:hanging="425"/>
        <w:jc w:val="both"/>
        <w:rPr>
          <w:bCs/>
        </w:rPr>
      </w:pPr>
      <w:r w:rsidRPr="00E0256A">
        <w:t xml:space="preserve">ar saimniecisko darbību saistītu projekta daļu (projekta ietvaros plānotos ieguldījumus paredzēts izmantot finansējuma saņēmēja vai </w:t>
      </w:r>
      <w:r w:rsidRPr="00E0256A">
        <w:lastRenderedPageBreak/>
        <w:t>sadarbības partnera saimnieciskajā pamatdarbībā),</w:t>
      </w:r>
      <w:r w:rsidRPr="00BF682F">
        <w:rPr>
          <w:bCs/>
        </w:rPr>
        <w:t xml:space="preserve"> kam atbalsts tiks sniegts saskaņā ar </w:t>
      </w:r>
      <w:r w:rsidRPr="00BF682F">
        <w:t>Komisijas regulas Nr. 651/2014 26. pantu</w:t>
      </w:r>
      <w:r w:rsidRPr="00BF682F">
        <w:rPr>
          <w:rStyle w:val="FootnoteReference"/>
        </w:rPr>
        <w:footnoteReference w:id="43"/>
      </w:r>
      <w:r w:rsidRPr="00BF682F">
        <w:t>.</w:t>
      </w:r>
    </w:p>
    <w:p w14:paraId="0AE47F1D" w14:textId="77777777" w:rsidR="003F7236" w:rsidRPr="004C738E" w:rsidRDefault="003F7236" w:rsidP="00E7642A">
      <w:pPr>
        <w:pStyle w:val="Default"/>
        <w:tabs>
          <w:tab w:val="left" w:pos="567"/>
        </w:tabs>
        <w:jc w:val="both"/>
        <w:rPr>
          <w:bCs/>
        </w:rPr>
      </w:pPr>
      <w:r>
        <w:rPr>
          <w:bCs/>
        </w:rPr>
        <w:tab/>
      </w:r>
      <w:r w:rsidRPr="003F7236">
        <w:rPr>
          <w:bCs/>
        </w:rPr>
        <w:t>Ar</w:t>
      </w:r>
      <w:r>
        <w:rPr>
          <w:bCs/>
        </w:rPr>
        <w:t xml:space="preserve"> saimniecisku darbību nesaistītam projektam</w:t>
      </w:r>
      <w:r w:rsidRPr="003F7236">
        <w:rPr>
          <w:bCs/>
        </w:rPr>
        <w:t>, ja projekta ietvaros izveidotās pētnieciskās infrastruktūras ikgadējā saimnieciskai darbībai izmantotā kapacitāte (jauda) nepārsniedz 20 % no šīs infrastruktūras kopējās gada kapacitātes un projektu ies</w:t>
      </w:r>
      <w:r>
        <w:rPr>
          <w:bCs/>
        </w:rPr>
        <w:t xml:space="preserve">niedz pētniecības organizācija, </w:t>
      </w:r>
      <w:r w:rsidRPr="003F7236">
        <w:rPr>
          <w:bCs/>
        </w:rPr>
        <w:t xml:space="preserve">publiskā finansējuma intensitāte </w:t>
      </w:r>
      <w:r>
        <w:rPr>
          <w:bCs/>
        </w:rPr>
        <w:t xml:space="preserve">nepārsniedz </w:t>
      </w:r>
      <w:r w:rsidRPr="003F7236">
        <w:rPr>
          <w:bCs/>
        </w:rPr>
        <w:t>85 </w:t>
      </w:r>
      <w:r>
        <w:rPr>
          <w:bCs/>
        </w:rPr>
        <w:t>procentus</w:t>
      </w:r>
      <w:r w:rsidRPr="003F7236">
        <w:rPr>
          <w:bCs/>
        </w:rPr>
        <w:t>. Vienlaikus pētniecības organizācijas finanšu vadības un grāmatvedības politikas aprakstā sniegta kārtība, kādā nosaka saimnieciskās darbības jaudu, veic kontroli un nepieciešamības gadījumā aprēķina publiskā finansējuma korekcijas apmēru, ja saimnieciskās darbības kapacitāte pārsniedz 20 % slieksni. Savukārt ar saimniecisko darbību saistītam projektam nosakot publiskā finansējuma intensitāti jāievēro regulējums, kas attiecināms uz publiskā finansējuma atbalstu pētniecības infrastruktūras attīstībai, kas iekļauts Komisijas regulā Nr. 651/2014.</w:t>
      </w:r>
    </w:p>
    <w:p w14:paraId="7AED3228" w14:textId="77777777" w:rsidR="00A4475B" w:rsidRPr="00291F8D" w:rsidRDefault="00600C9A" w:rsidP="00E7642A">
      <w:pPr>
        <w:pStyle w:val="Default"/>
        <w:tabs>
          <w:tab w:val="left" w:pos="567"/>
        </w:tabs>
        <w:jc w:val="both"/>
        <w:rPr>
          <w:bCs/>
        </w:rPr>
      </w:pPr>
      <w:r w:rsidRPr="00291F8D">
        <w:rPr>
          <w:bCs/>
        </w:rPr>
        <w:tab/>
      </w:r>
      <w:r w:rsidR="00207381" w:rsidRPr="00291F8D">
        <w:rPr>
          <w:bCs/>
        </w:rPr>
        <w:t>1.1.1.4.</w:t>
      </w:r>
      <w:r w:rsidR="006A2DD2">
        <w:rPr>
          <w:bCs/>
        </w:rPr>
        <w:t xml:space="preserve"> </w:t>
      </w:r>
      <w:r w:rsidR="00207381" w:rsidRPr="00291F8D">
        <w:rPr>
          <w:bCs/>
        </w:rPr>
        <w:t xml:space="preserve">pasākuma ietvaros </w:t>
      </w:r>
      <w:r w:rsidR="002D71A5">
        <w:rPr>
          <w:bCs/>
        </w:rPr>
        <w:t xml:space="preserve">atbalstu </w:t>
      </w:r>
      <w:r w:rsidR="00207381" w:rsidRPr="00291F8D">
        <w:rPr>
          <w:bCs/>
        </w:rPr>
        <w:t>pētniecības infrastruktūra</w:t>
      </w:r>
      <w:r w:rsidR="008867B8">
        <w:rPr>
          <w:bCs/>
        </w:rPr>
        <w:t xml:space="preserve">i </w:t>
      </w:r>
      <w:r w:rsidR="002D71A5">
        <w:rPr>
          <w:bCs/>
        </w:rPr>
        <w:t>plānots sniegt, ja pētniecības infrastruktūra</w:t>
      </w:r>
      <w:r w:rsidR="00A4475B" w:rsidRPr="00291F8D">
        <w:rPr>
          <w:bCs/>
        </w:rPr>
        <w:t>:</w:t>
      </w:r>
    </w:p>
    <w:p w14:paraId="78AA1254" w14:textId="34487254" w:rsidR="00A4475B" w:rsidRPr="00B254C9" w:rsidRDefault="00572685" w:rsidP="00E7642A">
      <w:pPr>
        <w:pStyle w:val="ListParagraph"/>
        <w:numPr>
          <w:ilvl w:val="0"/>
          <w:numId w:val="12"/>
        </w:numPr>
        <w:ind w:left="1134" w:hanging="567"/>
        <w:rPr>
          <w:rFonts w:cs="Times New Roman"/>
        </w:rPr>
      </w:pPr>
      <w:r w:rsidRPr="00291F8D">
        <w:rPr>
          <w:rFonts w:cs="Times New Roman"/>
        </w:rPr>
        <w:t xml:space="preserve">sniedz </w:t>
      </w:r>
      <w:r w:rsidRPr="00B254C9">
        <w:rPr>
          <w:rFonts w:cs="Times New Roman"/>
        </w:rPr>
        <w:t xml:space="preserve">ieguldījumu Latvijas viedās specializācijas stratēģijas mērķu sasniegšanā, izaugsmes prioritāšu īstenošanā </w:t>
      </w:r>
      <w:r w:rsidR="00B84DB0" w:rsidRPr="00B254C9">
        <w:rPr>
          <w:rFonts w:cs="Times New Roman"/>
        </w:rPr>
        <w:t xml:space="preserve">un </w:t>
      </w:r>
      <w:r w:rsidRPr="00B254C9">
        <w:rPr>
          <w:rFonts w:cs="Times New Roman"/>
        </w:rPr>
        <w:t>specializācijas jomu attīstībā</w:t>
      </w:r>
      <w:r w:rsidR="00530EFF" w:rsidRPr="00B254C9">
        <w:rPr>
          <w:rFonts w:cs="Times New Roman"/>
        </w:rPr>
        <w:t xml:space="preserve">, </w:t>
      </w:r>
      <w:r w:rsidR="00914884" w:rsidRPr="00B254C9">
        <w:rPr>
          <w:rFonts w:cs="Times New Roman"/>
        </w:rPr>
        <w:t>kā arī starpdisciplinaritātes īstenošanā;</w:t>
      </w:r>
    </w:p>
    <w:p w14:paraId="2F8E0CA3" w14:textId="79B746E1" w:rsidR="004F2B88" w:rsidRPr="00B254C9" w:rsidRDefault="004F2B88" w:rsidP="00E7642A">
      <w:pPr>
        <w:pStyle w:val="ListParagraph"/>
        <w:numPr>
          <w:ilvl w:val="0"/>
          <w:numId w:val="12"/>
        </w:numPr>
        <w:ind w:left="1134" w:hanging="567"/>
        <w:rPr>
          <w:rFonts w:cs="Times New Roman"/>
        </w:rPr>
      </w:pPr>
      <w:r w:rsidRPr="00B254C9">
        <w:rPr>
          <w:rFonts w:cs="Times New Roman"/>
        </w:rPr>
        <w:t xml:space="preserve">atbilst zinātniskās institūcijas izstrādātajai </w:t>
      </w:r>
      <w:r w:rsidR="00E03E19" w:rsidRPr="00E421F2">
        <w:rPr>
          <w:rFonts w:cs="Times New Roman"/>
        </w:rPr>
        <w:t>un ar Izglītības un zinātnes ministriju un attiecīgās nozares ministriju (ja attiecināms) saskaņotajai</w:t>
      </w:r>
      <w:r w:rsidR="00E03E19" w:rsidRPr="00B254C9">
        <w:rPr>
          <w:rFonts w:cs="Times New Roman"/>
        </w:rPr>
        <w:t xml:space="preserve"> </w:t>
      </w:r>
      <w:r w:rsidR="00EC6F45" w:rsidRPr="00B254C9">
        <w:rPr>
          <w:rFonts w:cs="Times New Roman"/>
        </w:rPr>
        <w:t>A</w:t>
      </w:r>
      <w:r w:rsidRPr="00B254C9">
        <w:rPr>
          <w:rFonts w:cs="Times New Roman"/>
        </w:rPr>
        <w:t xml:space="preserve">ttīstības stratēģijai </w:t>
      </w:r>
      <w:r w:rsidR="00A36CEB" w:rsidRPr="00B254C9">
        <w:rPr>
          <w:rFonts w:cs="Times New Roman"/>
        </w:rPr>
        <w:t> </w:t>
      </w:r>
      <w:r w:rsidRPr="00B254C9">
        <w:rPr>
          <w:rFonts w:cs="Times New Roman"/>
        </w:rPr>
        <w:t>2020.</w:t>
      </w:r>
      <w:r w:rsidR="00A36CEB" w:rsidRPr="00B254C9">
        <w:rPr>
          <w:rFonts w:cs="Times New Roman"/>
        </w:rPr>
        <w:t> </w:t>
      </w:r>
      <w:r w:rsidRPr="00B254C9">
        <w:rPr>
          <w:rFonts w:cs="Times New Roman"/>
        </w:rPr>
        <w:t>gadam un starptautiski novērtētajai pētniecības programmai, kur</w:t>
      </w:r>
      <w:r w:rsidR="00D22BDC" w:rsidRPr="00B254C9">
        <w:rPr>
          <w:rFonts w:cs="Times New Roman"/>
        </w:rPr>
        <w:t>ā</w:t>
      </w:r>
      <w:r w:rsidRPr="00B254C9">
        <w:rPr>
          <w:rFonts w:cs="Times New Roman"/>
        </w:rPr>
        <w:t xml:space="preserve"> tai skaitā, norādīta informācija par zinātniskās institūcijas plānoto cilvēkresursu un pētniecības infrastruktūras attīstību</w:t>
      </w:r>
      <w:r w:rsidR="00BC44D8" w:rsidRPr="00B254C9">
        <w:rPr>
          <w:rFonts w:cs="Times New Roman"/>
        </w:rPr>
        <w:t xml:space="preserve"> (ja attiecināms)</w:t>
      </w:r>
      <w:r w:rsidRPr="00B254C9">
        <w:rPr>
          <w:rFonts w:cs="Times New Roman"/>
        </w:rPr>
        <w:t xml:space="preserve">; </w:t>
      </w:r>
    </w:p>
    <w:p w14:paraId="7787A73F" w14:textId="6947F19F" w:rsidR="002414E5" w:rsidRPr="00B254C9" w:rsidRDefault="00130991" w:rsidP="00E7642A">
      <w:pPr>
        <w:pStyle w:val="ListParagraph"/>
        <w:numPr>
          <w:ilvl w:val="0"/>
          <w:numId w:val="12"/>
        </w:numPr>
        <w:ind w:left="1134" w:hanging="567"/>
        <w:rPr>
          <w:rFonts w:cs="Times New Roman"/>
        </w:rPr>
      </w:pPr>
      <w:r w:rsidRPr="00B254C9">
        <w:rPr>
          <w:rFonts w:cs="Times New Roman"/>
        </w:rPr>
        <w:t>nodrošina sinerģiju un papildinātību ar ES struktūrfondu 2007.</w:t>
      </w:r>
      <w:r w:rsidR="00D22BDC" w:rsidRPr="00B254C9">
        <w:rPr>
          <w:rFonts w:cs="Times New Roman"/>
        </w:rPr>
        <w:t xml:space="preserve"> – </w:t>
      </w:r>
      <w:r w:rsidRPr="00B254C9">
        <w:rPr>
          <w:rFonts w:cs="Times New Roman"/>
        </w:rPr>
        <w:t>2013.</w:t>
      </w:r>
      <w:r w:rsidR="006A2DD2" w:rsidRPr="00B254C9">
        <w:rPr>
          <w:rFonts w:cs="Times New Roman"/>
        </w:rPr>
        <w:t xml:space="preserve"> </w:t>
      </w:r>
      <w:r w:rsidRPr="00B254C9">
        <w:rPr>
          <w:rFonts w:cs="Times New Roman"/>
        </w:rPr>
        <w:t>gada plānošanas perioda ietvaros veiktajiem ieguldījumiem VNPC infrastruktūras modernizācijā</w:t>
      </w:r>
      <w:r w:rsidR="00334797" w:rsidRPr="00B254C9">
        <w:rPr>
          <w:rFonts w:cs="Times New Roman"/>
        </w:rPr>
        <w:t xml:space="preserve"> (sk</w:t>
      </w:r>
      <w:r w:rsidR="00A36CEB" w:rsidRPr="00B254C9">
        <w:rPr>
          <w:rFonts w:cs="Times New Roman"/>
        </w:rPr>
        <w:t>at</w:t>
      </w:r>
      <w:r w:rsidR="00334797" w:rsidRPr="00B254C9">
        <w:rPr>
          <w:rFonts w:cs="Times New Roman"/>
        </w:rPr>
        <w:t xml:space="preserve">. </w:t>
      </w:r>
      <w:r w:rsidR="00646785" w:rsidRPr="00B254C9">
        <w:rPr>
          <w:rFonts w:cs="Times New Roman"/>
        </w:rPr>
        <w:t>1</w:t>
      </w:r>
      <w:r w:rsidR="00E738A3" w:rsidRPr="00B254C9">
        <w:rPr>
          <w:rFonts w:cs="Times New Roman"/>
        </w:rPr>
        <w:t>0</w:t>
      </w:r>
      <w:r w:rsidR="00A36CEB" w:rsidRPr="00B254C9">
        <w:rPr>
          <w:rFonts w:cs="Times New Roman"/>
        </w:rPr>
        <w:t>.</w:t>
      </w:r>
      <w:r w:rsidR="00646785" w:rsidRPr="00B254C9">
        <w:rPr>
          <w:rFonts w:cs="Times New Roman"/>
        </w:rPr>
        <w:t> </w:t>
      </w:r>
      <w:r w:rsidR="00E14414" w:rsidRPr="00B254C9">
        <w:rPr>
          <w:rFonts w:cs="Times New Roman"/>
        </w:rPr>
        <w:t>attēlu)</w:t>
      </w:r>
      <w:r w:rsidR="00DC48C2" w:rsidRPr="00B254C9">
        <w:rPr>
          <w:rFonts w:cs="Times New Roman"/>
        </w:rPr>
        <w:t xml:space="preserve">, kā arī citiem </w:t>
      </w:r>
      <w:r w:rsidR="001A220A" w:rsidRPr="00B254C9">
        <w:rPr>
          <w:rFonts w:cs="Times New Roman"/>
        </w:rPr>
        <w:t>ieguldījumiem pētniecības un attīstības infrastruktūras modernizācijai un pilnveidei</w:t>
      </w:r>
      <w:r w:rsidRPr="00B254C9">
        <w:rPr>
          <w:rFonts w:cs="Times New Roman"/>
        </w:rPr>
        <w:t>;</w:t>
      </w:r>
    </w:p>
    <w:p w14:paraId="2A281A84" w14:textId="77777777" w:rsidR="00273575" w:rsidRPr="00291F8D" w:rsidRDefault="00207381" w:rsidP="00E7642A">
      <w:pPr>
        <w:pStyle w:val="ListParagraph"/>
        <w:numPr>
          <w:ilvl w:val="0"/>
          <w:numId w:val="12"/>
        </w:numPr>
        <w:ind w:left="1134" w:hanging="567"/>
        <w:rPr>
          <w:rFonts w:cs="Times New Roman"/>
        </w:rPr>
      </w:pPr>
      <w:r w:rsidRPr="00B254C9">
        <w:rPr>
          <w:rFonts w:cs="Times New Roman"/>
        </w:rPr>
        <w:t xml:space="preserve">nodrošina </w:t>
      </w:r>
      <w:r w:rsidR="00D22BDC" w:rsidRPr="00B254C9">
        <w:rPr>
          <w:rFonts w:cs="Times New Roman"/>
        </w:rPr>
        <w:t xml:space="preserve">atvērtu </w:t>
      </w:r>
      <w:r w:rsidR="00273575" w:rsidRPr="00B254C9">
        <w:rPr>
          <w:rFonts w:cs="Times New Roman"/>
        </w:rPr>
        <w:t>piekļuve pētniecības un attīstības infrastruktūras resursiem citām zinātniskajām institūcijām, uzņēmējdarbības</w:t>
      </w:r>
      <w:r w:rsidR="00273575" w:rsidRPr="00291F8D">
        <w:rPr>
          <w:rFonts w:cs="Times New Roman"/>
        </w:rPr>
        <w:t xml:space="preserve"> sektora pārstāvjiem un citiem interesentiem, tai skaitā ārvalstu institūcijām, kas veic pētniecisko darbību zinātniskās institūcijas pārstāvētajās vai saistītajās zinātnes nozarēs;</w:t>
      </w:r>
    </w:p>
    <w:p w14:paraId="5F8E12E4" w14:textId="77777777" w:rsidR="005A0525" w:rsidRDefault="00273575" w:rsidP="00E7642A">
      <w:pPr>
        <w:pStyle w:val="ListParagraph"/>
        <w:numPr>
          <w:ilvl w:val="0"/>
          <w:numId w:val="12"/>
        </w:numPr>
        <w:spacing w:after="120"/>
        <w:ind w:left="1134" w:hanging="567"/>
        <w:rPr>
          <w:rFonts w:cs="Times New Roman"/>
        </w:rPr>
      </w:pPr>
      <w:r w:rsidRPr="00291F8D">
        <w:rPr>
          <w:rFonts w:cs="Times New Roman"/>
        </w:rPr>
        <w:t>pētniecības infrastruktūras attīstību pamato izstrādātā sociāli ekonomiskā analīze, kas pamato ekonomisko ietekmi un ieguldījumu tehnoloģiju pārneses atbalstam un jaunu produktu un pakalpojumu izstrādei;</w:t>
      </w:r>
    </w:p>
    <w:p w14:paraId="6877A5F8" w14:textId="77777777" w:rsidR="00B84DB0" w:rsidRPr="00291F8D" w:rsidRDefault="00B84DB0" w:rsidP="00E7642A">
      <w:pPr>
        <w:pStyle w:val="ListParagraph"/>
        <w:numPr>
          <w:ilvl w:val="0"/>
          <w:numId w:val="12"/>
        </w:numPr>
        <w:spacing w:after="120"/>
        <w:ind w:left="1134" w:hanging="567"/>
        <w:rPr>
          <w:rFonts w:cs="Times New Roman"/>
        </w:rPr>
      </w:pPr>
      <w:r>
        <w:t xml:space="preserve">projekta </w:t>
      </w:r>
      <w:r w:rsidRPr="001350B8">
        <w:t xml:space="preserve">aktivitāšu </w:t>
      </w:r>
      <w:r>
        <w:t xml:space="preserve">uzsākšanas </w:t>
      </w:r>
      <w:r w:rsidRPr="001350B8">
        <w:t>gatavība</w:t>
      </w:r>
      <w:r>
        <w:t xml:space="preserve">, priekšroka projektiem ar </w:t>
      </w:r>
      <w:r w:rsidRPr="001350B8">
        <w:t>augst</w:t>
      </w:r>
      <w:r>
        <w:t xml:space="preserve">u uzsākšanas </w:t>
      </w:r>
      <w:r w:rsidRPr="001350B8">
        <w:t>gatavības pakāp</w:t>
      </w:r>
      <w:r>
        <w:t>i</w:t>
      </w:r>
      <w:r w:rsidRPr="001350B8">
        <w:t>, kā minimālo prasību nosakot vismaz vidēju gatavību;</w:t>
      </w:r>
    </w:p>
    <w:p w14:paraId="2962A212" w14:textId="77777777" w:rsidR="00E0256A" w:rsidRDefault="00273575" w:rsidP="00E7642A">
      <w:pPr>
        <w:pStyle w:val="ListParagraph"/>
        <w:numPr>
          <w:ilvl w:val="0"/>
          <w:numId w:val="12"/>
        </w:numPr>
        <w:spacing w:after="120"/>
        <w:ind w:left="1134" w:hanging="567"/>
      </w:pPr>
      <w:r w:rsidRPr="00291F8D">
        <w:rPr>
          <w:rFonts w:cs="Times New Roman"/>
        </w:rPr>
        <w:t xml:space="preserve">projekts ir </w:t>
      </w:r>
      <w:r w:rsidR="005E1FAF">
        <w:rPr>
          <w:rFonts w:cs="Times New Roman"/>
        </w:rPr>
        <w:t xml:space="preserve">Baltijas valstu, </w:t>
      </w:r>
      <w:r w:rsidR="005E1FAF" w:rsidRPr="005E1FAF">
        <w:rPr>
          <w:rFonts w:cs="Times New Roman"/>
        </w:rPr>
        <w:t xml:space="preserve">Baltijas jūras valstu </w:t>
      </w:r>
      <w:r w:rsidR="005E1FAF">
        <w:rPr>
          <w:rFonts w:cs="Times New Roman"/>
        </w:rPr>
        <w:t xml:space="preserve">reģiona </w:t>
      </w:r>
      <w:r w:rsidRPr="00291F8D">
        <w:rPr>
          <w:rFonts w:cs="Times New Roman"/>
        </w:rPr>
        <w:t xml:space="preserve">vai </w:t>
      </w:r>
      <w:r w:rsidR="005E1FAF">
        <w:rPr>
          <w:rFonts w:cs="Times New Roman"/>
        </w:rPr>
        <w:t>Eiropas</w:t>
      </w:r>
      <w:r w:rsidR="005E1FAF" w:rsidRPr="00291F8D">
        <w:rPr>
          <w:rFonts w:cs="Times New Roman"/>
        </w:rPr>
        <w:t xml:space="preserve"> </w:t>
      </w:r>
      <w:r w:rsidRPr="00291F8D">
        <w:rPr>
          <w:rFonts w:cs="Times New Roman"/>
        </w:rPr>
        <w:t>nozīmes</w:t>
      </w:r>
      <w:r w:rsidR="005A0525" w:rsidRPr="00291F8D">
        <w:rPr>
          <w:rFonts w:cs="Times New Roman"/>
        </w:rPr>
        <w:t xml:space="preserve">. </w:t>
      </w:r>
      <w:r w:rsidR="00A86716" w:rsidRPr="00291F8D">
        <w:rPr>
          <w:rFonts w:cs="Times New Roman"/>
        </w:rPr>
        <w:t>Priekšrocība projektiem, kas nodrošina p</w:t>
      </w:r>
      <w:r w:rsidR="000A7D73" w:rsidRPr="00291F8D">
        <w:rPr>
          <w:rFonts w:cs="Times New Roman"/>
        </w:rPr>
        <w:t>apildinātīb</w:t>
      </w:r>
      <w:r w:rsidR="00A86716" w:rsidRPr="00291F8D">
        <w:rPr>
          <w:rFonts w:cs="Times New Roman"/>
        </w:rPr>
        <w:t>u</w:t>
      </w:r>
      <w:r w:rsidR="000A7D73" w:rsidRPr="00291F8D">
        <w:rPr>
          <w:rFonts w:cs="Times New Roman"/>
        </w:rPr>
        <w:t xml:space="preserve"> ar</w:t>
      </w:r>
      <w:r w:rsidR="00D6791D" w:rsidRPr="00291F8D">
        <w:rPr>
          <w:rFonts w:cs="Times New Roman"/>
        </w:rPr>
        <w:t xml:space="preserve"> </w:t>
      </w:r>
      <w:r w:rsidR="006A2DD2">
        <w:rPr>
          <w:rFonts w:cs="Times New Roman"/>
        </w:rPr>
        <w:t>“</w:t>
      </w:r>
      <w:r w:rsidR="000A7D73" w:rsidRPr="00291F8D">
        <w:rPr>
          <w:rFonts w:cs="Times New Roman"/>
        </w:rPr>
        <w:t>Apvārsnis 2020</w:t>
      </w:r>
      <w:r w:rsidR="006A2DD2">
        <w:rPr>
          <w:rFonts w:cs="Times New Roman"/>
        </w:rPr>
        <w:t>”</w:t>
      </w:r>
      <w:r w:rsidR="000A7D73" w:rsidRPr="00291F8D">
        <w:rPr>
          <w:rFonts w:cs="Times New Roman"/>
        </w:rPr>
        <w:t xml:space="preserve"> </w:t>
      </w:r>
      <w:r w:rsidR="00A86716" w:rsidRPr="00291F8D">
        <w:rPr>
          <w:rFonts w:cs="Times New Roman"/>
        </w:rPr>
        <w:t>apstiprinātu projektu</w:t>
      </w:r>
      <w:r w:rsidR="000A7D73" w:rsidRPr="00291F8D">
        <w:rPr>
          <w:rFonts w:cs="Times New Roman"/>
        </w:rPr>
        <w:t xml:space="preserve"> </w:t>
      </w:r>
      <w:r w:rsidR="00A86716" w:rsidRPr="00291F8D">
        <w:rPr>
          <w:rFonts w:cs="Times New Roman"/>
        </w:rPr>
        <w:t xml:space="preserve">vai sniedz ieguldījumu Latvijas </w:t>
      </w:r>
      <w:r w:rsidR="000A7D73" w:rsidRPr="00291F8D">
        <w:rPr>
          <w:rFonts w:cs="Times New Roman"/>
        </w:rPr>
        <w:t xml:space="preserve">ESFRI </w:t>
      </w:r>
      <w:r w:rsidR="00A86716" w:rsidRPr="00291F8D">
        <w:rPr>
          <w:rFonts w:cs="Times New Roman"/>
        </w:rPr>
        <w:t xml:space="preserve">ceļa kartes </w:t>
      </w:r>
      <w:r w:rsidR="000A7D73" w:rsidRPr="00291F8D">
        <w:rPr>
          <w:rFonts w:cs="Times New Roman"/>
        </w:rPr>
        <w:t>infrastruktūras objekt</w:t>
      </w:r>
      <w:r w:rsidR="00A86716" w:rsidRPr="00291F8D">
        <w:rPr>
          <w:rFonts w:cs="Times New Roman"/>
        </w:rPr>
        <w:t>a attīstībai</w:t>
      </w:r>
      <w:r w:rsidR="000A7D73" w:rsidRPr="00291F8D">
        <w:rPr>
          <w:rFonts w:cs="Times New Roman"/>
        </w:rPr>
        <w:t>.</w:t>
      </w:r>
      <w:r w:rsidR="00BC4FD6" w:rsidRPr="00291F8D">
        <w:rPr>
          <w:rFonts w:cs="Times New Roman"/>
        </w:rPr>
        <w:t xml:space="preserve"> </w:t>
      </w:r>
      <w:r w:rsidR="00D6791D" w:rsidRPr="00291F8D">
        <w:rPr>
          <w:rFonts w:cs="Times New Roman"/>
        </w:rPr>
        <w:t xml:space="preserve">Piemēram, CFI izcīnījis trešo vietu starp 169 pieteikumiem ar 14,5 no 15 punktiem un kā vienīgais no Latvijas tiks atbalstīts EK </w:t>
      </w:r>
      <w:r w:rsidR="006A2DD2">
        <w:rPr>
          <w:rFonts w:cs="Times New Roman"/>
        </w:rPr>
        <w:t>“</w:t>
      </w:r>
      <w:r w:rsidR="00D6791D" w:rsidRPr="00291F8D">
        <w:rPr>
          <w:rFonts w:cs="Times New Roman"/>
        </w:rPr>
        <w:t>Apvārsnis 2020</w:t>
      </w:r>
      <w:r w:rsidR="006A2DD2">
        <w:rPr>
          <w:rFonts w:cs="Times New Roman"/>
        </w:rPr>
        <w:t>”</w:t>
      </w:r>
      <w:r w:rsidR="00D6791D" w:rsidRPr="00291F8D">
        <w:rPr>
          <w:rFonts w:cs="Times New Roman"/>
        </w:rPr>
        <w:t xml:space="preserve"> </w:t>
      </w:r>
      <w:r w:rsidR="00D6791D" w:rsidRPr="00291F8D">
        <w:rPr>
          <w:rFonts w:cs="Times New Roman"/>
          <w:i/>
        </w:rPr>
        <w:t>WIDESPREAD1-2014:</w:t>
      </w:r>
      <w:r w:rsidR="006A2DD2">
        <w:rPr>
          <w:rFonts w:cs="Times New Roman"/>
          <w:i/>
        </w:rPr>
        <w:t xml:space="preserve"> </w:t>
      </w:r>
      <w:r w:rsidR="00D6791D" w:rsidRPr="00291F8D">
        <w:rPr>
          <w:rFonts w:cs="Times New Roman"/>
          <w:i/>
        </w:rPr>
        <w:t>Teaming</w:t>
      </w:r>
      <w:r w:rsidR="00D6791D" w:rsidRPr="00291F8D">
        <w:rPr>
          <w:rFonts w:cs="Times New Roman"/>
        </w:rPr>
        <w:t xml:space="preserve"> programmā. Projekta CAMART</w:t>
      </w:r>
      <w:r w:rsidR="00D6791D" w:rsidRPr="00291F8D">
        <w:rPr>
          <w:rFonts w:cs="Times New Roman"/>
          <w:vertAlign w:val="superscript"/>
        </w:rPr>
        <w:t>2</w:t>
      </w:r>
      <w:r w:rsidR="006A2DD2">
        <w:rPr>
          <w:rFonts w:cs="Times New Roman"/>
        </w:rPr>
        <w:t xml:space="preserve"> </w:t>
      </w:r>
      <w:r w:rsidR="00D6791D" w:rsidRPr="00291F8D">
        <w:rPr>
          <w:rFonts w:cs="Times New Roman"/>
        </w:rPr>
        <w:t>(</w:t>
      </w:r>
      <w:r w:rsidR="00D6791D" w:rsidRPr="00291F8D">
        <w:rPr>
          <w:rFonts w:cs="Times New Roman"/>
          <w:i/>
        </w:rPr>
        <w:t>Center of Advanced MAterials Research and Technology Transfer</w:t>
      </w:r>
      <w:r w:rsidR="00D6791D" w:rsidRPr="00291F8D">
        <w:rPr>
          <w:rFonts w:cs="Times New Roman"/>
        </w:rPr>
        <w:t xml:space="preserve">) pirmā etapa laikā </w:t>
      </w:r>
      <w:r w:rsidR="00D6791D" w:rsidRPr="00291F8D">
        <w:rPr>
          <w:rFonts w:cs="Times New Roman"/>
        </w:rPr>
        <w:lastRenderedPageBreak/>
        <w:t>sadarbībā ar Zviedrijas partneriem tiks izstrādāts Ekselences centra biznesa plāns, kura izveidei ir piešķirts EK finansējums</w:t>
      </w:r>
      <w:r w:rsidR="008D15B3" w:rsidRPr="00291F8D">
        <w:rPr>
          <w:rFonts w:cs="Times New Roman"/>
        </w:rPr>
        <w:t> </w:t>
      </w:r>
      <w:r w:rsidR="00D6791D" w:rsidRPr="00291F8D">
        <w:rPr>
          <w:rFonts w:cs="Times New Roman"/>
        </w:rPr>
        <w:t xml:space="preserve">497 500 </w:t>
      </w:r>
      <w:r w:rsidR="00730A68" w:rsidRPr="00846439">
        <w:rPr>
          <w:rFonts w:cs="Times New Roman"/>
          <w:i/>
        </w:rPr>
        <w:t>euro</w:t>
      </w:r>
      <w:r w:rsidR="00730A68" w:rsidRPr="00291F8D">
        <w:rPr>
          <w:rFonts w:cs="Times New Roman"/>
        </w:rPr>
        <w:t xml:space="preserve"> </w:t>
      </w:r>
      <w:r w:rsidR="00D6791D" w:rsidRPr="00291F8D">
        <w:rPr>
          <w:rFonts w:cs="Times New Roman"/>
        </w:rPr>
        <w:t>apjomā. Izvērtējot šo biznesa plānu, EK lems par finansējuma piešķiršanu otrās kārtas izpildei, kuras atbalsta apjoms varēs sasniegt 15</w:t>
      </w:r>
      <w:r w:rsidR="00730A68">
        <w:rPr>
          <w:rFonts w:cs="Times New Roman"/>
        </w:rPr>
        <w:t> </w:t>
      </w:r>
      <w:r w:rsidR="00D6791D" w:rsidRPr="00291F8D">
        <w:rPr>
          <w:rFonts w:cs="Times New Roman"/>
        </w:rPr>
        <w:t>–</w:t>
      </w:r>
      <w:r w:rsidR="00730A68">
        <w:rPr>
          <w:rFonts w:cs="Times New Roman"/>
        </w:rPr>
        <w:t> </w:t>
      </w:r>
      <w:r w:rsidR="00D6791D" w:rsidRPr="00291F8D">
        <w:rPr>
          <w:rFonts w:cs="Times New Roman"/>
        </w:rPr>
        <w:t xml:space="preserve">20 milj. </w:t>
      </w:r>
      <w:r w:rsidR="00D6791D" w:rsidRPr="00291F8D">
        <w:rPr>
          <w:rFonts w:cs="Times New Roman"/>
          <w:i/>
        </w:rPr>
        <w:t>euro</w:t>
      </w:r>
      <w:r w:rsidR="00D6791D" w:rsidRPr="00291F8D">
        <w:rPr>
          <w:rFonts w:cs="Times New Roman"/>
        </w:rPr>
        <w:t>. Paredzēts, ka EK finansējums segs visas ar centra attīstību un uzturēšanu saistītās izmaksas periodam līdz 7 gadiem, kamēr centram nepieciešamās infrastruktūras izveides izmaksas (ēkas, zinātniskais aprīkojums u.c.) saskaņā ar EK norādījumiem paredzēts segt no Latvijai pieejamaj</w:t>
      </w:r>
      <w:r w:rsidR="00507826" w:rsidRPr="00291F8D">
        <w:rPr>
          <w:rFonts w:cs="Times New Roman"/>
        </w:rPr>
        <w:t>iem ES struktūrfondu līdzekļi</w:t>
      </w:r>
      <w:r w:rsidR="00A5205A" w:rsidRPr="00AB0AAD">
        <w:rPr>
          <w:rStyle w:val="FootnoteReference"/>
          <w:rFonts w:cs="Times New Roman"/>
          <w:b/>
        </w:rPr>
        <w:footnoteReference w:id="44"/>
      </w:r>
      <w:r w:rsidR="006114CA" w:rsidRPr="00291F8D">
        <w:rPr>
          <w:rFonts w:cs="Times New Roman"/>
        </w:rPr>
        <w:t>.</w:t>
      </w:r>
    </w:p>
    <w:p w14:paraId="6C7756FB" w14:textId="77777777" w:rsidR="00B2282D" w:rsidRPr="00291F8D" w:rsidRDefault="00B2282D" w:rsidP="00E7642A">
      <w:pPr>
        <w:ind w:left="0"/>
        <w:jc w:val="right"/>
        <w:rPr>
          <w:rFonts w:ascii="Times New Roman" w:hAnsi="Times New Roman"/>
          <w:color w:val="000000"/>
          <w:sz w:val="20"/>
          <w:szCs w:val="20"/>
          <w:lang w:eastAsia="lv-LV"/>
        </w:rPr>
      </w:pPr>
    </w:p>
    <w:p w14:paraId="3950B985" w14:textId="48558F1A" w:rsidR="00AE06F0" w:rsidRPr="00B254C9" w:rsidRDefault="005B1995" w:rsidP="00E7642A">
      <w:pPr>
        <w:tabs>
          <w:tab w:val="left" w:pos="0"/>
          <w:tab w:val="left" w:pos="567"/>
        </w:tabs>
        <w:ind w:left="0"/>
        <w:rPr>
          <w:rFonts w:ascii="Times New Roman" w:eastAsia="Times New Roman" w:hAnsi="Times New Roman"/>
          <w:sz w:val="24"/>
          <w:szCs w:val="24"/>
        </w:rPr>
      </w:pPr>
      <w:r w:rsidRPr="00291F8D">
        <w:rPr>
          <w:rFonts w:ascii="Times New Roman" w:eastAsia="Times New Roman" w:hAnsi="Times New Roman"/>
          <w:sz w:val="24"/>
          <w:szCs w:val="24"/>
        </w:rPr>
        <w:tab/>
      </w:r>
      <w:r w:rsidR="00790778">
        <w:rPr>
          <w:rFonts w:ascii="Times New Roman" w:eastAsia="Times New Roman" w:hAnsi="Times New Roman"/>
          <w:sz w:val="24"/>
          <w:szCs w:val="24"/>
        </w:rPr>
        <w:t>Atbalsts 1.1.1.4.</w:t>
      </w:r>
      <w:r w:rsidR="00730A68">
        <w:rPr>
          <w:rFonts w:ascii="Times New Roman" w:eastAsia="Times New Roman" w:hAnsi="Times New Roman"/>
          <w:sz w:val="24"/>
          <w:szCs w:val="24"/>
        </w:rPr>
        <w:t> </w:t>
      </w:r>
      <w:r w:rsidR="00790778">
        <w:rPr>
          <w:rFonts w:ascii="Times New Roman" w:eastAsia="Times New Roman" w:hAnsi="Times New Roman"/>
          <w:sz w:val="24"/>
          <w:szCs w:val="24"/>
        </w:rPr>
        <w:t>pasākuma ietvaros s</w:t>
      </w:r>
      <w:r w:rsidR="000E187A" w:rsidRPr="00291F8D">
        <w:rPr>
          <w:rFonts w:ascii="Times New Roman" w:eastAsia="Times New Roman" w:hAnsi="Times New Roman"/>
          <w:sz w:val="24"/>
          <w:szCs w:val="24"/>
        </w:rPr>
        <w:t xml:space="preserve">askaņā ar </w:t>
      </w:r>
      <w:r w:rsidR="00D6791D" w:rsidRPr="00291F8D">
        <w:rPr>
          <w:rFonts w:ascii="Times New Roman" w:eastAsia="Times New Roman" w:hAnsi="Times New Roman"/>
          <w:sz w:val="24"/>
          <w:szCs w:val="24"/>
        </w:rPr>
        <w:t>ES struktūrfondu 20</w:t>
      </w:r>
      <w:r w:rsidR="000E187A" w:rsidRPr="00291F8D">
        <w:rPr>
          <w:rFonts w:ascii="Times New Roman" w:eastAsia="Times New Roman" w:hAnsi="Times New Roman"/>
          <w:sz w:val="24"/>
          <w:szCs w:val="24"/>
        </w:rPr>
        <w:t>14.</w:t>
      </w:r>
      <w:r w:rsidR="00730A68">
        <w:t> </w:t>
      </w:r>
      <w:r w:rsidR="00790778" w:rsidRPr="00291F8D">
        <w:t>–</w:t>
      </w:r>
      <w:r w:rsidR="00790778">
        <w:t> </w:t>
      </w:r>
      <w:r w:rsidR="000E187A" w:rsidRPr="00291F8D">
        <w:rPr>
          <w:rFonts w:ascii="Times New Roman" w:eastAsia="Times New Roman" w:hAnsi="Times New Roman"/>
          <w:sz w:val="24"/>
          <w:szCs w:val="24"/>
        </w:rPr>
        <w:t>2020.</w:t>
      </w:r>
      <w:r w:rsidR="006A2DD2">
        <w:rPr>
          <w:rFonts w:ascii="Times New Roman" w:eastAsia="Times New Roman" w:hAnsi="Times New Roman"/>
          <w:sz w:val="24"/>
          <w:szCs w:val="24"/>
        </w:rPr>
        <w:t xml:space="preserve"> </w:t>
      </w:r>
      <w:r w:rsidR="000E187A" w:rsidRPr="00291F8D">
        <w:rPr>
          <w:rFonts w:ascii="Times New Roman" w:eastAsia="Times New Roman" w:hAnsi="Times New Roman"/>
          <w:sz w:val="24"/>
          <w:szCs w:val="24"/>
        </w:rPr>
        <w:t>gada plānoš</w:t>
      </w:r>
      <w:r w:rsidR="000E187A" w:rsidRPr="00B254C9">
        <w:rPr>
          <w:rFonts w:ascii="Times New Roman" w:eastAsia="Times New Roman" w:hAnsi="Times New Roman"/>
          <w:sz w:val="24"/>
          <w:szCs w:val="24"/>
        </w:rPr>
        <w:t>anas perioda DP “Izaugsme un nodarbinātība”</w:t>
      </w:r>
      <w:r w:rsidR="00D6791D" w:rsidRPr="00B254C9">
        <w:rPr>
          <w:rFonts w:ascii="Times New Roman" w:eastAsia="Times New Roman" w:hAnsi="Times New Roman"/>
          <w:sz w:val="24"/>
          <w:szCs w:val="24"/>
        </w:rPr>
        <w:t xml:space="preserve"> </w:t>
      </w:r>
      <w:r w:rsidR="0007013B" w:rsidRPr="00B254C9">
        <w:rPr>
          <w:rFonts w:ascii="Times New Roman" w:eastAsia="Times New Roman" w:hAnsi="Times New Roman"/>
          <w:sz w:val="24"/>
          <w:szCs w:val="24"/>
        </w:rPr>
        <w:t xml:space="preserve">indikatīvi </w:t>
      </w:r>
      <w:r w:rsidR="00386A02" w:rsidRPr="00B254C9">
        <w:rPr>
          <w:rFonts w:ascii="Times New Roman" w:eastAsia="Times New Roman" w:hAnsi="Times New Roman"/>
          <w:sz w:val="24"/>
          <w:szCs w:val="24"/>
        </w:rPr>
        <w:t>tiks sniegts</w:t>
      </w:r>
      <w:r w:rsidR="009176C0" w:rsidRPr="00B254C9">
        <w:rPr>
          <w:rFonts w:ascii="Times New Roman" w:hAnsi="Times New Roman"/>
          <w:sz w:val="24"/>
          <w:szCs w:val="24"/>
        </w:rPr>
        <w:t xml:space="preserve"> sekojošām atbalstāmajām darbībām</w:t>
      </w:r>
      <w:r w:rsidR="00AE06F0" w:rsidRPr="00B254C9">
        <w:rPr>
          <w:rFonts w:ascii="Times New Roman" w:hAnsi="Times New Roman"/>
          <w:sz w:val="24"/>
          <w:szCs w:val="24"/>
        </w:rPr>
        <w:t>:</w:t>
      </w:r>
    </w:p>
    <w:p w14:paraId="68E9F12A" w14:textId="1A9A0DD2" w:rsidR="00461656" w:rsidRPr="00E0256A" w:rsidRDefault="000B2CC0" w:rsidP="00E7642A">
      <w:pPr>
        <w:pStyle w:val="ListParagraph"/>
        <w:numPr>
          <w:ilvl w:val="0"/>
          <w:numId w:val="11"/>
        </w:numPr>
        <w:tabs>
          <w:tab w:val="left" w:pos="0"/>
        </w:tabs>
        <w:ind w:left="993" w:hanging="426"/>
        <w:rPr>
          <w:rFonts w:cs="Times New Roman"/>
        </w:rPr>
      </w:pPr>
      <w:r w:rsidRPr="00B254C9">
        <w:rPr>
          <w:rFonts w:eastAsia="Calibri" w:cs="Times New Roman"/>
        </w:rPr>
        <w:t xml:space="preserve">ēku vai telpu </w:t>
      </w:r>
      <w:r w:rsidR="00D82849" w:rsidRPr="00E0256A">
        <w:rPr>
          <w:rFonts w:eastAsia="Calibri" w:cs="Times New Roman"/>
        </w:rPr>
        <w:t>pārbūvei, būvju atjaunošanai vai restaurācijai</w:t>
      </w:r>
      <w:r w:rsidR="00790778" w:rsidRPr="00E0256A">
        <w:rPr>
          <w:rFonts w:eastAsia="Calibri" w:cs="Times New Roman"/>
        </w:rPr>
        <w:t xml:space="preserve">, </w:t>
      </w:r>
      <w:r w:rsidR="00AE06F0" w:rsidRPr="00E0256A">
        <w:rPr>
          <w:rFonts w:eastAsia="Calibri" w:cs="Times New Roman"/>
        </w:rPr>
        <w:t>nepieciešamo ēku un telpu pielāgošanai pētniecības aprīkojuma un apar</w:t>
      </w:r>
      <w:r w:rsidR="009176C0" w:rsidRPr="00E0256A">
        <w:rPr>
          <w:rFonts w:cs="Times New Roman"/>
        </w:rPr>
        <w:t>atūras uzstādīšanai un darbībai</w:t>
      </w:r>
      <w:r w:rsidR="00790778" w:rsidRPr="00E0256A">
        <w:rPr>
          <w:rFonts w:cs="Times New Roman"/>
        </w:rPr>
        <w:t xml:space="preserve"> un</w:t>
      </w:r>
      <w:r w:rsidR="003A10A7" w:rsidRPr="00E0256A">
        <w:rPr>
          <w:rFonts w:cs="Times New Roman"/>
        </w:rPr>
        <w:t xml:space="preserve"> ja nepiec</w:t>
      </w:r>
      <w:r w:rsidR="004033B1" w:rsidRPr="00E0256A">
        <w:rPr>
          <w:rFonts w:cs="Times New Roman"/>
        </w:rPr>
        <w:t>iešams, jaunas ēkas būvniecībai</w:t>
      </w:r>
      <w:r w:rsidR="009B5507" w:rsidRPr="00E0256A">
        <w:rPr>
          <w:rFonts w:cs="Times New Roman"/>
        </w:rPr>
        <w:t xml:space="preserve"> </w:t>
      </w:r>
      <w:r w:rsidR="00914884" w:rsidRPr="00E0256A">
        <w:rPr>
          <w:rFonts w:cs="Times New Roman"/>
        </w:rPr>
        <w:t xml:space="preserve">(darbības tiks ieviestas ar saimniecisko darbību nesaistītu projektu </w:t>
      </w:r>
      <w:r w:rsidR="001F1E3C" w:rsidRPr="00E0256A">
        <w:rPr>
          <w:rFonts w:cs="Times New Roman"/>
        </w:rPr>
        <w:t xml:space="preserve">un </w:t>
      </w:r>
      <w:r w:rsidR="001F1E3C" w:rsidRPr="00E0256A">
        <w:t>kombinēta atbalsta veida projektu</w:t>
      </w:r>
      <w:r w:rsidR="001F1E3C" w:rsidRPr="00E0256A">
        <w:rPr>
          <w:rFonts w:cs="Times New Roman"/>
        </w:rPr>
        <w:t xml:space="preserve"> </w:t>
      </w:r>
      <w:r w:rsidR="00914884" w:rsidRPr="00E0256A">
        <w:rPr>
          <w:rFonts w:cs="Times New Roman"/>
        </w:rPr>
        <w:t>ietvaros);</w:t>
      </w:r>
      <w:r w:rsidR="00914884" w:rsidRPr="00E0256A" w:rsidDel="00914884">
        <w:rPr>
          <w:rFonts w:cs="Times New Roman"/>
        </w:rPr>
        <w:t xml:space="preserve"> </w:t>
      </w:r>
    </w:p>
    <w:p w14:paraId="71D5CDE4" w14:textId="2310EB10" w:rsidR="00E957DB" w:rsidRPr="00E0256A" w:rsidRDefault="000B2CC0" w:rsidP="00E7642A">
      <w:pPr>
        <w:pStyle w:val="ListParagraph"/>
        <w:numPr>
          <w:ilvl w:val="0"/>
          <w:numId w:val="11"/>
        </w:numPr>
        <w:tabs>
          <w:tab w:val="left" w:pos="0"/>
        </w:tabs>
        <w:ind w:left="993" w:hanging="426"/>
        <w:rPr>
          <w:rFonts w:cs="Times New Roman"/>
        </w:rPr>
      </w:pPr>
      <w:r w:rsidRPr="00E0256A">
        <w:rPr>
          <w:rFonts w:eastAsia="Calibri" w:cs="Times New Roman"/>
        </w:rPr>
        <w:t>zinātniskās aparatūras</w:t>
      </w:r>
      <w:r w:rsidR="00A4120A" w:rsidRPr="00E0256A">
        <w:rPr>
          <w:rFonts w:eastAsia="Calibri" w:cs="Times New Roman"/>
        </w:rPr>
        <w:t xml:space="preserve">, </w:t>
      </w:r>
      <w:r w:rsidRPr="00E0256A">
        <w:rPr>
          <w:rFonts w:eastAsia="Calibri" w:cs="Times New Roman"/>
        </w:rPr>
        <w:t>aprīkojuma,</w:t>
      </w:r>
      <w:r w:rsidR="00A4120A" w:rsidRPr="00E0256A">
        <w:rPr>
          <w:rFonts w:eastAsia="Calibri" w:cs="Times New Roman"/>
        </w:rPr>
        <w:t xml:space="preserve"> instrumentu komplektu</w:t>
      </w:r>
      <w:r w:rsidR="002D71A5" w:rsidRPr="00E0256A">
        <w:rPr>
          <w:rFonts w:eastAsia="Calibri" w:cs="Times New Roman"/>
        </w:rPr>
        <w:t>,</w:t>
      </w:r>
      <w:r w:rsidR="00A4120A" w:rsidRPr="00E0256A">
        <w:rPr>
          <w:rFonts w:eastAsia="Calibri" w:cs="Times New Roman"/>
        </w:rPr>
        <w:t xml:space="preserve"> </w:t>
      </w:r>
      <w:r w:rsidR="002D71A5" w:rsidRPr="00E0256A">
        <w:rPr>
          <w:rFonts w:cs="Times New Roman"/>
        </w:rPr>
        <w:t xml:space="preserve">informācijas un komunikāciju tehnoloģiju infrastruktūrai </w:t>
      </w:r>
      <w:r w:rsidR="00A4120A" w:rsidRPr="00E0256A">
        <w:rPr>
          <w:rFonts w:eastAsia="Calibri" w:cs="Times New Roman"/>
        </w:rPr>
        <w:t xml:space="preserve">un citu </w:t>
      </w:r>
      <w:r w:rsidR="002D71A5" w:rsidRPr="00E0256A">
        <w:rPr>
          <w:rFonts w:eastAsia="Calibri" w:cs="Times New Roman"/>
        </w:rPr>
        <w:t>materiālo akt</w:t>
      </w:r>
      <w:r w:rsidR="00CD6B27" w:rsidRPr="00E0256A">
        <w:rPr>
          <w:rFonts w:eastAsia="Calibri" w:cs="Times New Roman"/>
        </w:rPr>
        <w:t>ī</w:t>
      </w:r>
      <w:r w:rsidR="002D71A5" w:rsidRPr="00E0256A">
        <w:rPr>
          <w:rFonts w:eastAsia="Calibri" w:cs="Times New Roman"/>
        </w:rPr>
        <w:t xml:space="preserve">vu </w:t>
      </w:r>
      <w:r w:rsidR="00A4120A" w:rsidRPr="00E0256A">
        <w:rPr>
          <w:rFonts w:eastAsia="Calibri" w:cs="Times New Roman"/>
        </w:rPr>
        <w:t>iegādei</w:t>
      </w:r>
      <w:r w:rsidR="002D71A5" w:rsidRPr="00E0256A">
        <w:rPr>
          <w:rFonts w:eastAsia="Calibri" w:cs="Times New Roman"/>
        </w:rPr>
        <w:t xml:space="preserve"> vai izveidei</w:t>
      </w:r>
      <w:r w:rsidR="009B5507" w:rsidRPr="00E0256A">
        <w:rPr>
          <w:rFonts w:eastAsia="Calibri" w:cs="Times New Roman"/>
        </w:rPr>
        <w:t xml:space="preserve"> </w:t>
      </w:r>
      <w:r w:rsidR="00914884" w:rsidRPr="00E0256A">
        <w:rPr>
          <w:rFonts w:cs="Times New Roman"/>
        </w:rPr>
        <w:t>(darbības tiks ieviestas ar saimniecisko darbību nesaistītu projektu</w:t>
      </w:r>
      <w:r w:rsidR="00975C53" w:rsidRPr="00E0256A">
        <w:rPr>
          <w:rFonts w:cs="Times New Roman"/>
        </w:rPr>
        <w:t xml:space="preserve"> un </w:t>
      </w:r>
      <w:r w:rsidR="00975C53" w:rsidRPr="00E0256A">
        <w:t>kombinēta atbalsta veida projektu</w:t>
      </w:r>
      <w:r w:rsidR="00914884" w:rsidRPr="00E0256A">
        <w:rPr>
          <w:rFonts w:cs="Times New Roman"/>
        </w:rPr>
        <w:t xml:space="preserve"> ietvaros);</w:t>
      </w:r>
    </w:p>
    <w:p w14:paraId="3248AAC6" w14:textId="08539D95" w:rsidR="00A4120A" w:rsidRPr="00E0256A" w:rsidRDefault="00A4120A" w:rsidP="00E7642A">
      <w:pPr>
        <w:pStyle w:val="ListParagraph"/>
        <w:numPr>
          <w:ilvl w:val="0"/>
          <w:numId w:val="11"/>
        </w:numPr>
        <w:tabs>
          <w:tab w:val="left" w:pos="0"/>
        </w:tabs>
        <w:ind w:left="993" w:hanging="426"/>
        <w:rPr>
          <w:rFonts w:eastAsia="Calibri" w:cs="Times New Roman"/>
        </w:rPr>
      </w:pPr>
      <w:r w:rsidRPr="00E0256A">
        <w:rPr>
          <w:rFonts w:eastAsia="Calibri" w:cs="Times New Roman"/>
        </w:rPr>
        <w:t>materiālo aktīvu piegādei, uzstādīšanai, testēšanai un apkalpojošā personāla instruktāžai</w:t>
      </w:r>
      <w:r w:rsidR="009B5507" w:rsidRPr="00E0256A">
        <w:rPr>
          <w:rFonts w:eastAsia="Calibri" w:cs="Times New Roman"/>
        </w:rPr>
        <w:t xml:space="preserve"> </w:t>
      </w:r>
      <w:r w:rsidR="00914884" w:rsidRPr="00E0256A">
        <w:rPr>
          <w:rFonts w:cs="Times New Roman"/>
        </w:rPr>
        <w:t>(darbības tiks ieviestas ar saimniecisko darbību nesaistītu projektu</w:t>
      </w:r>
      <w:r w:rsidR="00975C53" w:rsidRPr="00E0256A">
        <w:rPr>
          <w:rFonts w:cs="Times New Roman"/>
        </w:rPr>
        <w:t xml:space="preserve"> un </w:t>
      </w:r>
      <w:r w:rsidR="00975C53" w:rsidRPr="00E0256A">
        <w:t>kombinēta atbalsta veida projektu</w:t>
      </w:r>
      <w:r w:rsidR="00914884" w:rsidRPr="00E0256A">
        <w:rPr>
          <w:rFonts w:cs="Times New Roman"/>
        </w:rPr>
        <w:t xml:space="preserve"> ietvaros);</w:t>
      </w:r>
      <w:r w:rsidR="00914884" w:rsidRPr="00E0256A" w:rsidDel="00914884">
        <w:rPr>
          <w:rFonts w:cs="Times New Roman"/>
        </w:rPr>
        <w:t xml:space="preserve"> </w:t>
      </w:r>
    </w:p>
    <w:p w14:paraId="0779D705" w14:textId="406A1A74" w:rsidR="0002333C" w:rsidRPr="00E0256A" w:rsidRDefault="003141D3" w:rsidP="00E7642A">
      <w:pPr>
        <w:pStyle w:val="ListParagraph"/>
        <w:numPr>
          <w:ilvl w:val="0"/>
          <w:numId w:val="11"/>
        </w:numPr>
        <w:tabs>
          <w:tab w:val="left" w:pos="0"/>
        </w:tabs>
        <w:ind w:left="993" w:hanging="426"/>
        <w:rPr>
          <w:rFonts w:eastAsia="Calibri" w:cs="Times New Roman"/>
        </w:rPr>
      </w:pPr>
      <w:r w:rsidRPr="00E0256A">
        <w:rPr>
          <w:rFonts w:cs="Times New Roman"/>
        </w:rPr>
        <w:t xml:space="preserve">zinātnisko institūciju </w:t>
      </w:r>
      <w:r w:rsidR="0002333C" w:rsidRPr="00E0256A">
        <w:rPr>
          <w:rFonts w:cs="Times New Roman"/>
        </w:rPr>
        <w:t>bilancē uzņemto materiālo aktīvu demontā</w:t>
      </w:r>
      <w:r w:rsidRPr="00E0256A">
        <w:rPr>
          <w:rFonts w:cs="Times New Roman"/>
        </w:rPr>
        <w:t xml:space="preserve">žai, pārvietošanai, uzstādīšanai vai pielāgošanai (darbības tiks ieviestas ar saimniecisko darbību nesaistītu projektu un </w:t>
      </w:r>
      <w:r w:rsidRPr="00E0256A">
        <w:t>kombinēta atbalsta veida projektu</w:t>
      </w:r>
      <w:r w:rsidRPr="00E0256A">
        <w:rPr>
          <w:rFonts w:cs="Times New Roman"/>
        </w:rPr>
        <w:t xml:space="preserve"> ietvaros);</w:t>
      </w:r>
    </w:p>
    <w:p w14:paraId="28CC4D04" w14:textId="0AD12477" w:rsidR="00EF57FD" w:rsidRPr="00E0256A" w:rsidRDefault="002D71A5" w:rsidP="00E7642A">
      <w:pPr>
        <w:pStyle w:val="ListParagraph"/>
        <w:numPr>
          <w:ilvl w:val="0"/>
          <w:numId w:val="11"/>
        </w:numPr>
        <w:tabs>
          <w:tab w:val="left" w:pos="0"/>
        </w:tabs>
        <w:ind w:left="993" w:hanging="426"/>
        <w:rPr>
          <w:rFonts w:cs="Times New Roman"/>
        </w:rPr>
      </w:pPr>
      <w:r w:rsidRPr="00E0256A">
        <w:rPr>
          <w:rFonts w:cs="Times New Roman"/>
        </w:rPr>
        <w:t>nemateriālo aktīvu iegādei, t</w:t>
      </w:r>
      <w:r w:rsidR="00CD6B27" w:rsidRPr="00E0256A">
        <w:rPr>
          <w:rFonts w:cs="Times New Roman"/>
        </w:rPr>
        <w:t>ai skaitā</w:t>
      </w:r>
      <w:r w:rsidR="00225A8E" w:rsidRPr="00E0256A">
        <w:rPr>
          <w:rFonts w:cs="Times New Roman"/>
        </w:rPr>
        <w:t xml:space="preserve"> </w:t>
      </w:r>
      <w:r w:rsidR="000B2CC0" w:rsidRPr="00E0256A">
        <w:rPr>
          <w:rFonts w:eastAsia="Calibri" w:cs="Times New Roman"/>
        </w:rPr>
        <w:t>pieejai zinātniskajām datu bāzēm</w:t>
      </w:r>
      <w:r w:rsidR="009B5507" w:rsidRPr="00E0256A">
        <w:rPr>
          <w:rFonts w:eastAsia="Calibri" w:cs="Times New Roman"/>
        </w:rPr>
        <w:t xml:space="preserve"> </w:t>
      </w:r>
      <w:r w:rsidR="00914884" w:rsidRPr="00E0256A">
        <w:rPr>
          <w:rFonts w:cs="Times New Roman"/>
        </w:rPr>
        <w:t>(darbības tiks ieviestas ar saimniecisko darbību nesaistītu projektu</w:t>
      </w:r>
      <w:r w:rsidR="00975C53" w:rsidRPr="00E0256A">
        <w:rPr>
          <w:rFonts w:cs="Times New Roman"/>
        </w:rPr>
        <w:t xml:space="preserve"> un </w:t>
      </w:r>
      <w:r w:rsidR="00975C53" w:rsidRPr="00E0256A">
        <w:t>kombinēta atbalsta veida projektu</w:t>
      </w:r>
      <w:r w:rsidR="00914884" w:rsidRPr="00E0256A">
        <w:rPr>
          <w:rFonts w:cs="Times New Roman"/>
        </w:rPr>
        <w:t xml:space="preserve"> ietvaros);</w:t>
      </w:r>
    </w:p>
    <w:p w14:paraId="3037F45D" w14:textId="01950446" w:rsidR="002A1F92" w:rsidRPr="00E0256A" w:rsidRDefault="00225A8E" w:rsidP="00E7642A">
      <w:pPr>
        <w:pStyle w:val="ListParagraph"/>
        <w:numPr>
          <w:ilvl w:val="0"/>
          <w:numId w:val="11"/>
        </w:numPr>
        <w:tabs>
          <w:tab w:val="left" w:pos="0"/>
        </w:tabs>
        <w:ind w:left="993" w:hanging="426"/>
        <w:rPr>
          <w:rFonts w:eastAsia="Calibri" w:cs="Times New Roman"/>
        </w:rPr>
      </w:pPr>
      <w:r w:rsidRPr="00E0256A">
        <w:rPr>
          <w:rFonts w:eastAsia="Calibri" w:cs="Times New Roman"/>
        </w:rPr>
        <w:t>zinātniskās institūcijas</w:t>
      </w:r>
      <w:r w:rsidR="009B5507" w:rsidRPr="00E0256A">
        <w:rPr>
          <w:rFonts w:eastAsia="Calibri" w:cs="Times New Roman"/>
        </w:rPr>
        <w:t xml:space="preserve"> </w:t>
      </w:r>
      <w:r w:rsidR="00914884" w:rsidRPr="00E0256A">
        <w:rPr>
          <w:rFonts w:eastAsia="Calibri" w:cs="Times New Roman"/>
        </w:rPr>
        <w:t xml:space="preserve">– pētniecības organizācijas </w:t>
      </w:r>
      <w:r w:rsidR="00E852C0" w:rsidRPr="00E0256A">
        <w:rPr>
          <w:rFonts w:eastAsia="Calibri" w:cs="Times New Roman"/>
        </w:rPr>
        <w:t>–</w:t>
      </w:r>
      <w:r w:rsidR="00914884" w:rsidRPr="00E0256A">
        <w:rPr>
          <w:rFonts w:eastAsia="Calibri" w:cs="Times New Roman"/>
        </w:rPr>
        <w:t xml:space="preserve"> </w:t>
      </w:r>
      <w:r w:rsidR="002D71A5" w:rsidRPr="00E0256A">
        <w:rPr>
          <w:rFonts w:eastAsia="Calibri" w:cs="Times New Roman"/>
        </w:rPr>
        <w:t>A</w:t>
      </w:r>
      <w:r w:rsidRPr="00E0256A">
        <w:rPr>
          <w:rFonts w:eastAsia="Calibri" w:cs="Times New Roman"/>
        </w:rPr>
        <w:t xml:space="preserve">ttīstības </w:t>
      </w:r>
      <w:r w:rsidR="002D71A5" w:rsidRPr="00E0256A">
        <w:rPr>
          <w:rFonts w:eastAsia="Calibri" w:cs="Times New Roman"/>
        </w:rPr>
        <w:t>stratēģijā 2020</w:t>
      </w:r>
      <w:r w:rsidR="00790778" w:rsidRPr="00E0256A">
        <w:rPr>
          <w:rFonts w:eastAsia="Calibri" w:cs="Times New Roman"/>
        </w:rPr>
        <w:t>.</w:t>
      </w:r>
      <w:r w:rsidR="00730A68" w:rsidRPr="00E0256A">
        <w:rPr>
          <w:rFonts w:eastAsia="Calibri" w:cs="Times New Roman"/>
        </w:rPr>
        <w:t> </w:t>
      </w:r>
      <w:r w:rsidR="00790778" w:rsidRPr="00E0256A">
        <w:rPr>
          <w:rFonts w:eastAsia="Calibri" w:cs="Times New Roman"/>
        </w:rPr>
        <w:t>gadam</w:t>
      </w:r>
      <w:r w:rsidR="002D71A5" w:rsidRPr="00E0256A">
        <w:rPr>
          <w:rFonts w:eastAsia="Calibri" w:cs="Times New Roman"/>
        </w:rPr>
        <w:t xml:space="preserve"> minēto būvniecības </w:t>
      </w:r>
      <w:r w:rsidRPr="00E0256A">
        <w:rPr>
          <w:rFonts w:eastAsia="Calibri" w:cs="Times New Roman"/>
        </w:rPr>
        <w:t>projektu tehniskās dokumentācijas izstrādei</w:t>
      </w:r>
      <w:r w:rsidR="009B5507" w:rsidRPr="00E0256A">
        <w:rPr>
          <w:rFonts w:eastAsia="Calibri" w:cs="Times New Roman"/>
        </w:rPr>
        <w:t xml:space="preserve"> </w:t>
      </w:r>
      <w:r w:rsidR="00914884" w:rsidRPr="00E0256A">
        <w:rPr>
          <w:rFonts w:eastAsia="Calibri" w:cs="Times New Roman"/>
        </w:rPr>
        <w:t>(</w:t>
      </w:r>
      <w:r w:rsidR="00914884" w:rsidRPr="00E0256A">
        <w:rPr>
          <w:rFonts w:cs="Times New Roman"/>
        </w:rPr>
        <w:t>darbības tiks ieviestas ar saimniecisko darbību nesaistītu projektu ietvaros)</w:t>
      </w:r>
      <w:r w:rsidR="00914884" w:rsidRPr="00E0256A">
        <w:rPr>
          <w:rFonts w:eastAsia="Calibri" w:cs="Times New Roman"/>
        </w:rPr>
        <w:t xml:space="preserve">; </w:t>
      </w:r>
    </w:p>
    <w:p w14:paraId="3B714BE6" w14:textId="3EFBAC5C" w:rsidR="00780491" w:rsidRPr="00E0256A" w:rsidRDefault="00914884" w:rsidP="00E7642A">
      <w:pPr>
        <w:pStyle w:val="ListParagraph"/>
        <w:numPr>
          <w:ilvl w:val="0"/>
          <w:numId w:val="11"/>
        </w:numPr>
        <w:tabs>
          <w:tab w:val="left" w:pos="0"/>
        </w:tabs>
        <w:ind w:left="993" w:hanging="426"/>
        <w:rPr>
          <w:rFonts w:eastAsia="Calibri" w:cs="Times New Roman"/>
        </w:rPr>
      </w:pPr>
      <w:r w:rsidRPr="00E0256A">
        <w:rPr>
          <w:rFonts w:cs="Times New Roman"/>
        </w:rPr>
        <w:t xml:space="preserve">zinātniskās institūcijas – pētniecības organizācijas </w:t>
      </w:r>
      <w:r w:rsidR="00E852C0" w:rsidRPr="00E0256A">
        <w:rPr>
          <w:rFonts w:cs="Times New Roman"/>
        </w:rPr>
        <w:t>–</w:t>
      </w:r>
      <w:r w:rsidRPr="00E0256A">
        <w:rPr>
          <w:rFonts w:cs="Times New Roman"/>
        </w:rPr>
        <w:t xml:space="preserve"> </w:t>
      </w:r>
      <w:r w:rsidR="00EE4836" w:rsidRPr="00E0256A">
        <w:rPr>
          <w:rFonts w:cs="Times New Roman"/>
        </w:rPr>
        <w:t xml:space="preserve">attīstības projektu tehniskai priekšizpētei, tai skaitā </w:t>
      </w:r>
      <w:r w:rsidR="00EF57FD" w:rsidRPr="00E0256A">
        <w:rPr>
          <w:rFonts w:cs="Times New Roman"/>
        </w:rPr>
        <w:t>projekta iesnieguma pamatojošās dokumentācijas sagatavošana</w:t>
      </w:r>
      <w:r w:rsidR="00EE4836" w:rsidRPr="00E0256A">
        <w:rPr>
          <w:rFonts w:cs="Times New Roman"/>
        </w:rPr>
        <w:t>i</w:t>
      </w:r>
      <w:r w:rsidRPr="00E0256A">
        <w:rPr>
          <w:rFonts w:cs="Times New Roman"/>
        </w:rPr>
        <w:t>:</w:t>
      </w:r>
      <w:r w:rsidRPr="00E0256A" w:rsidDel="00914884">
        <w:rPr>
          <w:rFonts w:eastAsia="Calibri" w:cs="Times New Roman"/>
        </w:rPr>
        <w:t xml:space="preserve"> </w:t>
      </w:r>
    </w:p>
    <w:p w14:paraId="047978A5" w14:textId="701480C1" w:rsidR="00780491" w:rsidRPr="00E0256A" w:rsidRDefault="00780491" w:rsidP="00E7642A">
      <w:pPr>
        <w:pStyle w:val="ListParagraph"/>
        <w:numPr>
          <w:ilvl w:val="0"/>
          <w:numId w:val="20"/>
        </w:numPr>
        <w:tabs>
          <w:tab w:val="left" w:pos="0"/>
        </w:tabs>
        <w:ind w:left="1560"/>
        <w:rPr>
          <w:rFonts w:eastAsia="Calibri" w:cs="Times New Roman"/>
        </w:rPr>
      </w:pPr>
      <w:r w:rsidRPr="00E0256A">
        <w:rPr>
          <w:rFonts w:eastAsia="Calibri" w:cs="Times New Roman"/>
        </w:rPr>
        <w:t>projekta izmaksu</w:t>
      </w:r>
      <w:r w:rsidR="00B02B71" w:rsidRPr="00E0256A">
        <w:rPr>
          <w:rFonts w:eastAsia="Calibri" w:cs="Times New Roman"/>
        </w:rPr>
        <w:t> </w:t>
      </w:r>
      <w:r w:rsidR="00790778" w:rsidRPr="00E0256A">
        <w:rPr>
          <w:rFonts w:cs="Times New Roman"/>
        </w:rPr>
        <w:t>–</w:t>
      </w:r>
      <w:r w:rsidR="00790778" w:rsidRPr="00E0256A">
        <w:t> </w:t>
      </w:r>
      <w:r w:rsidRPr="00E0256A">
        <w:rPr>
          <w:rFonts w:eastAsia="Calibri" w:cs="Times New Roman"/>
        </w:rPr>
        <w:t>ieguvumu ekonomiskā</w:t>
      </w:r>
      <w:r w:rsidR="00790778" w:rsidRPr="00E0256A">
        <w:rPr>
          <w:rFonts w:eastAsia="Calibri" w:cs="Times New Roman"/>
        </w:rPr>
        <w:t>s</w:t>
      </w:r>
      <w:r w:rsidRPr="00E0256A">
        <w:rPr>
          <w:rFonts w:eastAsia="Calibri" w:cs="Times New Roman"/>
        </w:rPr>
        <w:t xml:space="preserve"> analīze</w:t>
      </w:r>
      <w:r w:rsidR="00A8299D" w:rsidRPr="00E0256A">
        <w:rPr>
          <w:rFonts w:eastAsia="Calibri" w:cs="Times New Roman"/>
        </w:rPr>
        <w:t>s izstrādei</w:t>
      </w:r>
      <w:r w:rsidR="003141D3" w:rsidRPr="00E0256A">
        <w:rPr>
          <w:rFonts w:eastAsia="Calibri" w:cs="Times New Roman"/>
        </w:rPr>
        <w:t xml:space="preserve"> </w:t>
      </w:r>
      <w:r w:rsidR="003141D3" w:rsidRPr="00E0256A">
        <w:rPr>
          <w:rFonts w:cs="Times New Roman"/>
        </w:rPr>
        <w:t xml:space="preserve">(darbības tiks ieviestas ar saimniecisko darbību nesaistītu projektu un </w:t>
      </w:r>
      <w:r w:rsidR="003141D3" w:rsidRPr="00E0256A">
        <w:t>kombinēta atbalsta veida projektu</w:t>
      </w:r>
      <w:r w:rsidR="003141D3" w:rsidRPr="00E0256A">
        <w:rPr>
          <w:rFonts w:cs="Times New Roman"/>
        </w:rPr>
        <w:t xml:space="preserve"> ietvaros)</w:t>
      </w:r>
      <w:r w:rsidRPr="00E0256A">
        <w:rPr>
          <w:rFonts w:eastAsia="Calibri" w:cs="Times New Roman"/>
        </w:rPr>
        <w:t>;</w:t>
      </w:r>
    </w:p>
    <w:p w14:paraId="44CCC00A" w14:textId="006DE9C4" w:rsidR="002A1F92" w:rsidRPr="00E0256A" w:rsidRDefault="002A1F92" w:rsidP="00E7642A">
      <w:pPr>
        <w:pStyle w:val="ListParagraph"/>
        <w:numPr>
          <w:ilvl w:val="0"/>
          <w:numId w:val="20"/>
        </w:numPr>
        <w:tabs>
          <w:tab w:val="left" w:pos="0"/>
        </w:tabs>
        <w:ind w:left="1560"/>
        <w:rPr>
          <w:rFonts w:eastAsia="Calibri" w:cs="Times New Roman"/>
        </w:rPr>
      </w:pPr>
      <w:r w:rsidRPr="00E0256A">
        <w:rPr>
          <w:rFonts w:eastAsia="Calibri" w:cs="Times New Roman"/>
        </w:rPr>
        <w:lastRenderedPageBreak/>
        <w:t xml:space="preserve">zinātniskās institūcijas Attīstības stratēģijas izstrādei vai pilnveidei atbilstoši zinātnes ārējā novērtējuma rekomendācijām, Viedās specializācijas stratēģijai, tai skaitā zinātniskās institūcijas pētniecības programmu izstrādei, resursu vadības un rezultātu pārvaldības sistēmas izstrādei vai pilnveidei, ja finansējuma saņēmējs un sadarbības partneris nav saņēmis atbalstu ES struktūrfondu 2007.–2013.gadu plānošanas perioda 2.1.1.3.3. aktivitātes "Zinātnisko institūciju institucionālās kapacitātes attīstība" ietvaros vai 1.1.1.4. pasākuma ietvaros zinātnisko institūciju konsolidācijā iesaistīto zinātnisko institūciju attīstības stratēģiju izstrādei </w:t>
      </w:r>
      <w:r w:rsidRPr="00E0256A">
        <w:rPr>
          <w:rFonts w:cs="Times New Roman"/>
        </w:rPr>
        <w:t>(darbības tiks ieviestas ar saimniecisko darbību nesaistītu projektu ietvaros);</w:t>
      </w:r>
    </w:p>
    <w:p w14:paraId="43160D5C" w14:textId="5D1209CF" w:rsidR="00780491" w:rsidRPr="00E0256A" w:rsidRDefault="00780491" w:rsidP="00E7642A">
      <w:pPr>
        <w:pStyle w:val="ListParagraph"/>
        <w:numPr>
          <w:ilvl w:val="0"/>
          <w:numId w:val="20"/>
        </w:numPr>
        <w:tabs>
          <w:tab w:val="left" w:pos="0"/>
        </w:tabs>
        <w:ind w:left="1560"/>
        <w:rPr>
          <w:rFonts w:eastAsia="Calibri" w:cs="Times New Roman"/>
        </w:rPr>
      </w:pPr>
      <w:r w:rsidRPr="00E0256A">
        <w:rPr>
          <w:rFonts w:eastAsia="Calibri" w:cs="Times New Roman"/>
        </w:rPr>
        <w:t>pētniecības infrastruktūras lietotāju stratēģiju izstrādei, kurā</w:t>
      </w:r>
      <w:r w:rsidR="00790778" w:rsidRPr="00E0256A">
        <w:rPr>
          <w:rFonts w:eastAsia="Calibri" w:cs="Times New Roman"/>
        </w:rPr>
        <w:t>,</w:t>
      </w:r>
      <w:r w:rsidRPr="00E0256A">
        <w:rPr>
          <w:rFonts w:eastAsia="Calibri" w:cs="Times New Roman"/>
        </w:rPr>
        <w:t xml:space="preserve"> tai skaitā atspoguļota informācija par jautājumiem, kas saistīti ar intelektuālā īpašuma tiesībām</w:t>
      </w:r>
      <w:r w:rsidR="00790778" w:rsidRPr="00E0256A">
        <w:rPr>
          <w:rFonts w:eastAsia="Calibri" w:cs="Times New Roman"/>
        </w:rPr>
        <w:t>,</w:t>
      </w:r>
      <w:r w:rsidRPr="00E0256A">
        <w:rPr>
          <w:rFonts w:eastAsia="Calibri" w:cs="Times New Roman"/>
        </w:rPr>
        <w:t xml:space="preserve"> savstarpējo norēķinu kārtību, pētniecības infrastruktūras plānoto noslodzi un pieejas tiesībām, </w:t>
      </w:r>
      <w:r w:rsidR="00790778" w:rsidRPr="00E0256A">
        <w:rPr>
          <w:rFonts w:eastAsia="Calibri" w:cs="Times New Roman"/>
        </w:rPr>
        <w:t>tai skaitā</w:t>
      </w:r>
      <w:r w:rsidRPr="00E0256A">
        <w:rPr>
          <w:rFonts w:eastAsia="Calibri" w:cs="Times New Roman"/>
        </w:rPr>
        <w:t xml:space="preserve"> iegūtiem datiem</w:t>
      </w:r>
      <w:r w:rsidR="00790778" w:rsidRPr="00E0256A">
        <w:rPr>
          <w:rFonts w:eastAsia="Calibri" w:cs="Times New Roman"/>
        </w:rPr>
        <w:t>,</w:t>
      </w:r>
      <w:r w:rsidRPr="00E0256A">
        <w:rPr>
          <w:rFonts w:eastAsia="Calibri" w:cs="Times New Roman"/>
        </w:rPr>
        <w:t xml:space="preserve"> nosacījumi)</w:t>
      </w:r>
      <w:r w:rsidR="003141D3" w:rsidRPr="00E0256A">
        <w:rPr>
          <w:rFonts w:eastAsia="Calibri" w:cs="Times New Roman"/>
        </w:rPr>
        <w:t xml:space="preserve"> (</w:t>
      </w:r>
      <w:r w:rsidR="003141D3" w:rsidRPr="00E0256A">
        <w:rPr>
          <w:rFonts w:cs="Times New Roman"/>
        </w:rPr>
        <w:t>darbības tiks ieviestas ar saimniecisko darbību nesaistītu projektu ietvaros)</w:t>
      </w:r>
      <w:r w:rsidRPr="00E0256A">
        <w:rPr>
          <w:rFonts w:eastAsia="Calibri" w:cs="Times New Roman"/>
        </w:rPr>
        <w:t>;</w:t>
      </w:r>
    </w:p>
    <w:p w14:paraId="0F1BA54D" w14:textId="7D9ED02F" w:rsidR="00780491" w:rsidRPr="00E0256A" w:rsidRDefault="00225A8E" w:rsidP="00E7642A">
      <w:pPr>
        <w:pStyle w:val="ListParagraph"/>
        <w:numPr>
          <w:ilvl w:val="0"/>
          <w:numId w:val="20"/>
        </w:numPr>
        <w:tabs>
          <w:tab w:val="left" w:pos="0"/>
        </w:tabs>
        <w:ind w:left="1560"/>
        <w:rPr>
          <w:rFonts w:eastAsia="Calibri" w:cs="Times New Roman"/>
        </w:rPr>
      </w:pPr>
      <w:r w:rsidRPr="00E0256A">
        <w:rPr>
          <w:rFonts w:eastAsia="Calibri" w:cs="Times New Roman"/>
        </w:rPr>
        <w:t xml:space="preserve">zinātniskās institūcijas attīstības projektu </w:t>
      </w:r>
      <w:r w:rsidR="00790778" w:rsidRPr="00E0256A">
        <w:rPr>
          <w:rFonts w:eastAsia="Calibri" w:cs="Times New Roman"/>
        </w:rPr>
        <w:t xml:space="preserve">plānoto </w:t>
      </w:r>
      <w:r w:rsidRPr="00E0256A">
        <w:rPr>
          <w:rFonts w:eastAsia="Calibri" w:cs="Times New Roman"/>
        </w:rPr>
        <w:t xml:space="preserve">būvdarbu tehniskās dokumentācijas izstrādei </w:t>
      </w:r>
      <w:r w:rsidR="00EF57FD" w:rsidRPr="00E0256A">
        <w:rPr>
          <w:rFonts w:cs="Times New Roman"/>
        </w:rPr>
        <w:t>un saskaņošana</w:t>
      </w:r>
      <w:r w:rsidRPr="00E0256A">
        <w:rPr>
          <w:rFonts w:cs="Times New Roman"/>
        </w:rPr>
        <w:t>i</w:t>
      </w:r>
      <w:r w:rsidR="00EF57FD" w:rsidRPr="00E0256A">
        <w:rPr>
          <w:rFonts w:cs="Times New Roman"/>
        </w:rPr>
        <w:t xml:space="preserve"> būvniecību regulējošos normatīvajos aktos paredzētajā kārtībā</w:t>
      </w:r>
      <w:r w:rsidR="003141D3" w:rsidRPr="00E0256A">
        <w:rPr>
          <w:rFonts w:cs="Times New Roman"/>
        </w:rPr>
        <w:t xml:space="preserve"> </w:t>
      </w:r>
      <w:r w:rsidR="003141D3" w:rsidRPr="00E0256A">
        <w:rPr>
          <w:rFonts w:eastAsia="Calibri" w:cs="Times New Roman"/>
        </w:rPr>
        <w:t>(</w:t>
      </w:r>
      <w:r w:rsidR="003141D3" w:rsidRPr="00E0256A">
        <w:rPr>
          <w:rFonts w:cs="Times New Roman"/>
        </w:rPr>
        <w:t>darbības tiks ieviestas ar saimniecisko darbību nesaistītu projektu ietvaros);</w:t>
      </w:r>
    </w:p>
    <w:p w14:paraId="32A1242F" w14:textId="15641001" w:rsidR="00EF57FD" w:rsidRPr="00E0256A" w:rsidRDefault="00A8299D" w:rsidP="00E7642A">
      <w:pPr>
        <w:pStyle w:val="ListParagraph"/>
        <w:numPr>
          <w:ilvl w:val="0"/>
          <w:numId w:val="20"/>
        </w:numPr>
        <w:tabs>
          <w:tab w:val="left" w:pos="0"/>
        </w:tabs>
        <w:ind w:left="1560"/>
        <w:rPr>
          <w:rFonts w:eastAsia="Calibri" w:cs="Times New Roman"/>
        </w:rPr>
      </w:pPr>
      <w:r w:rsidRPr="00E0256A">
        <w:rPr>
          <w:rFonts w:cs="Times New Roman"/>
        </w:rPr>
        <w:t>pētniecības infrastruktūras pilnveides vai modernizācijas iepirkumu dokumentācijas izstrādei</w:t>
      </w:r>
      <w:r w:rsidR="003141D3" w:rsidRPr="00E0256A">
        <w:rPr>
          <w:rFonts w:cs="Times New Roman"/>
        </w:rPr>
        <w:t xml:space="preserve"> </w:t>
      </w:r>
      <w:r w:rsidR="003141D3" w:rsidRPr="00E0256A">
        <w:rPr>
          <w:rFonts w:eastAsia="Calibri" w:cs="Times New Roman"/>
        </w:rPr>
        <w:t>(</w:t>
      </w:r>
      <w:r w:rsidR="003141D3" w:rsidRPr="00E0256A">
        <w:rPr>
          <w:rFonts w:cs="Times New Roman"/>
        </w:rPr>
        <w:t>darbības tiks ieviestas ar saimniecisko darbību nesaistītu projektu ietvaros)</w:t>
      </w:r>
      <w:r w:rsidRPr="00E0256A">
        <w:rPr>
          <w:rFonts w:cs="Times New Roman"/>
        </w:rPr>
        <w:t>;</w:t>
      </w:r>
    </w:p>
    <w:p w14:paraId="6AF5F52A" w14:textId="29A06CA0" w:rsidR="00EF57FD" w:rsidRPr="00E0256A" w:rsidRDefault="00EF57FD" w:rsidP="00E7642A">
      <w:pPr>
        <w:pStyle w:val="ListParagraph"/>
        <w:numPr>
          <w:ilvl w:val="0"/>
          <w:numId w:val="11"/>
        </w:numPr>
        <w:tabs>
          <w:tab w:val="left" w:pos="0"/>
        </w:tabs>
        <w:ind w:left="993" w:hanging="426"/>
        <w:rPr>
          <w:rFonts w:cs="Times New Roman"/>
        </w:rPr>
      </w:pPr>
      <w:r w:rsidRPr="00E0256A">
        <w:rPr>
          <w:rFonts w:cs="Times New Roman"/>
        </w:rPr>
        <w:t>projekta īstenošanas būvuzraudzība</w:t>
      </w:r>
      <w:r w:rsidR="00A8299D" w:rsidRPr="00E0256A">
        <w:rPr>
          <w:rFonts w:cs="Times New Roman"/>
        </w:rPr>
        <w:t>i</w:t>
      </w:r>
      <w:r w:rsidRPr="00E0256A">
        <w:rPr>
          <w:rFonts w:cs="Times New Roman"/>
        </w:rPr>
        <w:t xml:space="preserve"> un autoruzraudzība</w:t>
      </w:r>
      <w:r w:rsidR="00A8299D" w:rsidRPr="00E0256A">
        <w:rPr>
          <w:rFonts w:cs="Times New Roman"/>
        </w:rPr>
        <w:t>i</w:t>
      </w:r>
      <w:r w:rsidR="009B5507" w:rsidRPr="00E0256A">
        <w:rPr>
          <w:rFonts w:cs="Times New Roman"/>
        </w:rPr>
        <w:t xml:space="preserve"> </w:t>
      </w:r>
      <w:r w:rsidR="00914884" w:rsidRPr="00E0256A">
        <w:rPr>
          <w:rFonts w:cs="Times New Roman"/>
        </w:rPr>
        <w:t>(darbības tiks ieviestas ar saimniecisko darbību nesaistītu projektu</w:t>
      </w:r>
      <w:r w:rsidR="00975C53" w:rsidRPr="00E0256A">
        <w:rPr>
          <w:rFonts w:cs="Times New Roman"/>
        </w:rPr>
        <w:t xml:space="preserve"> un </w:t>
      </w:r>
      <w:r w:rsidR="00975C53" w:rsidRPr="00E0256A">
        <w:t>kombinēta atbalsta veida projektu</w:t>
      </w:r>
      <w:r w:rsidR="00914884" w:rsidRPr="00E0256A">
        <w:rPr>
          <w:rFonts w:cs="Times New Roman"/>
        </w:rPr>
        <w:t xml:space="preserve"> ietvaros);</w:t>
      </w:r>
      <w:r w:rsidR="00914884" w:rsidRPr="00E0256A" w:rsidDel="00914884">
        <w:rPr>
          <w:rFonts w:cs="Times New Roman"/>
        </w:rPr>
        <w:t xml:space="preserve"> </w:t>
      </w:r>
    </w:p>
    <w:p w14:paraId="7E09A33E" w14:textId="7EF7D37D" w:rsidR="009B5507" w:rsidRPr="00E0256A" w:rsidRDefault="00A4120A" w:rsidP="00E7642A">
      <w:pPr>
        <w:pStyle w:val="ListParagraph"/>
        <w:numPr>
          <w:ilvl w:val="0"/>
          <w:numId w:val="11"/>
        </w:numPr>
        <w:tabs>
          <w:tab w:val="left" w:pos="0"/>
        </w:tabs>
        <w:ind w:left="993" w:hanging="426"/>
        <w:rPr>
          <w:rFonts w:cs="Times New Roman"/>
        </w:rPr>
      </w:pPr>
      <w:r w:rsidRPr="00E0256A">
        <w:rPr>
          <w:rFonts w:cs="Times New Roman"/>
        </w:rPr>
        <w:t>zinātniskās institūcijas</w:t>
      </w:r>
      <w:r w:rsidR="009B5507" w:rsidRPr="00E0256A">
        <w:rPr>
          <w:rFonts w:cs="Times New Roman"/>
        </w:rPr>
        <w:t xml:space="preserve"> </w:t>
      </w:r>
      <w:r w:rsidR="00914884" w:rsidRPr="00E0256A">
        <w:rPr>
          <w:rFonts w:cs="Times New Roman"/>
        </w:rPr>
        <w:t xml:space="preserve">– pētniecības organizācijas </w:t>
      </w:r>
      <w:r w:rsidR="00E852C0" w:rsidRPr="00E0256A">
        <w:rPr>
          <w:rFonts w:cs="Times New Roman"/>
        </w:rPr>
        <w:t>–</w:t>
      </w:r>
      <w:r w:rsidR="00914884" w:rsidRPr="00E0256A">
        <w:rPr>
          <w:rFonts w:cs="Times New Roman"/>
        </w:rPr>
        <w:t xml:space="preserve"> </w:t>
      </w:r>
      <w:r w:rsidRPr="00E0256A">
        <w:rPr>
          <w:rFonts w:cs="Times New Roman"/>
        </w:rPr>
        <w:t>funkciju un uzdevumu ārējā audita veikšanai un institucionālās pārvaldības modeļa izstrādei</w:t>
      </w:r>
      <w:r w:rsidR="009B5507" w:rsidRPr="00E0256A">
        <w:rPr>
          <w:rFonts w:cs="Times New Roman"/>
        </w:rPr>
        <w:t xml:space="preserve"> </w:t>
      </w:r>
      <w:r w:rsidR="00914884" w:rsidRPr="00E0256A">
        <w:rPr>
          <w:rFonts w:eastAsia="Calibri" w:cs="Times New Roman"/>
        </w:rPr>
        <w:t>(</w:t>
      </w:r>
      <w:r w:rsidR="00914884" w:rsidRPr="00E0256A">
        <w:rPr>
          <w:rFonts w:cs="Times New Roman"/>
        </w:rPr>
        <w:t>darbības tiks ieviestas ar saimniecisko darbību nesaistītu projektu ietvaros);</w:t>
      </w:r>
      <w:r w:rsidR="00914884" w:rsidRPr="00E0256A" w:rsidDel="00914884">
        <w:rPr>
          <w:rFonts w:eastAsia="Calibri" w:cs="Times New Roman"/>
        </w:rPr>
        <w:t xml:space="preserve"> </w:t>
      </w:r>
    </w:p>
    <w:p w14:paraId="288F1012" w14:textId="62F1F047" w:rsidR="00950400" w:rsidRPr="00E0256A" w:rsidRDefault="00914884" w:rsidP="00E7642A">
      <w:pPr>
        <w:pStyle w:val="ListParagraph"/>
        <w:numPr>
          <w:ilvl w:val="0"/>
          <w:numId w:val="11"/>
        </w:numPr>
        <w:tabs>
          <w:tab w:val="left" w:pos="0"/>
        </w:tabs>
        <w:ind w:left="993" w:hanging="426"/>
        <w:rPr>
          <w:rFonts w:cs="Times New Roman"/>
        </w:rPr>
      </w:pPr>
      <w:r w:rsidRPr="00E0256A">
        <w:rPr>
          <w:rFonts w:cs="Times New Roman"/>
        </w:rPr>
        <w:t xml:space="preserve">zinātniskās institūcijas – pētniecības organizācijas </w:t>
      </w:r>
      <w:r w:rsidR="00E852C0" w:rsidRPr="00E0256A">
        <w:rPr>
          <w:rFonts w:cs="Times New Roman"/>
        </w:rPr>
        <w:t>–</w:t>
      </w:r>
      <w:r w:rsidRPr="00E0256A">
        <w:rPr>
          <w:rFonts w:cs="Times New Roman"/>
        </w:rPr>
        <w:t xml:space="preserve"> </w:t>
      </w:r>
      <w:r w:rsidR="00950400" w:rsidRPr="00E0256A">
        <w:rPr>
          <w:rFonts w:cs="Times New Roman"/>
        </w:rPr>
        <w:t>resursu vadības un rezultātu pārvaldības sistēmas izstrādei vai pilnveidei, uz rezultātu orientētas atalgojuma un motivācijas</w:t>
      </w:r>
      <w:r w:rsidR="00790778" w:rsidRPr="00E0256A">
        <w:rPr>
          <w:rFonts w:cs="Times New Roman"/>
        </w:rPr>
        <w:t xml:space="preserve"> sistēmas</w:t>
      </w:r>
      <w:r w:rsidR="00950400" w:rsidRPr="00E0256A">
        <w:rPr>
          <w:rFonts w:cs="Times New Roman"/>
        </w:rPr>
        <w:t xml:space="preserve"> ieviešanai, zinātniskās institūcijas finanšu vadības un grāmatvedības politikas izstrādei vai aktualizācijai</w:t>
      </w:r>
      <w:r w:rsidR="00A8299D" w:rsidRPr="00E0256A">
        <w:rPr>
          <w:rFonts w:cs="Times New Roman"/>
        </w:rPr>
        <w:t>, finanšu vadības un grāmatvedības programmatūras iegādei, izveidei, funkcionalitātes paplašināšanai vai savietošanai</w:t>
      </w:r>
      <w:r w:rsidR="00790778" w:rsidRPr="00E0256A">
        <w:rPr>
          <w:rFonts w:cs="Times New Roman"/>
        </w:rPr>
        <w:t xml:space="preserve"> un</w:t>
      </w:r>
      <w:r w:rsidR="00A8299D" w:rsidRPr="00E0256A">
        <w:rPr>
          <w:rFonts w:cs="Times New Roman"/>
        </w:rPr>
        <w:t xml:space="preserve"> lietošanas instruktāžai</w:t>
      </w:r>
      <w:r w:rsidR="009B5507" w:rsidRPr="00E0256A">
        <w:rPr>
          <w:rFonts w:cs="Times New Roman"/>
        </w:rPr>
        <w:t xml:space="preserve"> </w:t>
      </w:r>
      <w:r w:rsidRPr="00E0256A">
        <w:rPr>
          <w:rFonts w:eastAsia="Calibri" w:cs="Times New Roman"/>
        </w:rPr>
        <w:t>(</w:t>
      </w:r>
      <w:r w:rsidRPr="00E0256A">
        <w:rPr>
          <w:rFonts w:cs="Times New Roman"/>
        </w:rPr>
        <w:t xml:space="preserve">darbības tiks ieviestas ar saimniecisko darbību nesaistītu projektu ietvaros); </w:t>
      </w:r>
    </w:p>
    <w:p w14:paraId="13683E1C" w14:textId="77F28199" w:rsidR="00950400" w:rsidRPr="00E0256A" w:rsidRDefault="00950400" w:rsidP="00E7642A">
      <w:pPr>
        <w:pStyle w:val="ListParagraph"/>
        <w:numPr>
          <w:ilvl w:val="0"/>
          <w:numId w:val="11"/>
        </w:numPr>
        <w:tabs>
          <w:tab w:val="left" w:pos="0"/>
        </w:tabs>
        <w:ind w:left="993" w:hanging="426"/>
        <w:rPr>
          <w:rFonts w:cs="Times New Roman"/>
        </w:rPr>
      </w:pPr>
      <w:r w:rsidRPr="00E0256A">
        <w:rPr>
          <w:rFonts w:cs="Times New Roman"/>
        </w:rPr>
        <w:t>zinātnisko institūciju</w:t>
      </w:r>
      <w:r w:rsidR="009B5507" w:rsidRPr="00E0256A">
        <w:rPr>
          <w:rFonts w:cs="Times New Roman"/>
        </w:rPr>
        <w:t xml:space="preserve"> </w:t>
      </w:r>
      <w:r w:rsidRPr="00E0256A">
        <w:rPr>
          <w:rFonts w:cs="Times New Roman"/>
        </w:rPr>
        <w:t>reorganizācijai vai likvidācijai nepieciešamo juridiska rakstura dokumentu izstrāde</w:t>
      </w:r>
      <w:r w:rsidR="00790778" w:rsidRPr="00E0256A">
        <w:rPr>
          <w:rFonts w:cs="Times New Roman"/>
        </w:rPr>
        <w:t>i</w:t>
      </w:r>
      <w:r w:rsidRPr="00E0256A">
        <w:rPr>
          <w:rFonts w:cs="Times New Roman"/>
        </w:rPr>
        <w:t>, tajā skaitā nekustamo īpašumu inventarizācija</w:t>
      </w:r>
      <w:r w:rsidR="00790778" w:rsidRPr="00E0256A">
        <w:rPr>
          <w:rFonts w:cs="Times New Roman"/>
        </w:rPr>
        <w:t>i</w:t>
      </w:r>
      <w:r w:rsidRPr="00E0256A">
        <w:rPr>
          <w:rFonts w:cs="Times New Roman"/>
        </w:rPr>
        <w:t>, kustamās un nekustamās mantas pārreģistrēšana</w:t>
      </w:r>
      <w:r w:rsidR="00790778" w:rsidRPr="00E0256A">
        <w:rPr>
          <w:rFonts w:cs="Times New Roman"/>
        </w:rPr>
        <w:t>i</w:t>
      </w:r>
      <w:r w:rsidRPr="00E0256A">
        <w:rPr>
          <w:rFonts w:cs="Times New Roman"/>
        </w:rPr>
        <w:t>, zinātniskās institūcijas dokumentācijas arhivēšana</w:t>
      </w:r>
      <w:r w:rsidR="00790778" w:rsidRPr="00E0256A">
        <w:rPr>
          <w:rFonts w:cs="Times New Roman"/>
        </w:rPr>
        <w:t>i</w:t>
      </w:r>
      <w:r w:rsidR="009B5507" w:rsidRPr="00E0256A">
        <w:rPr>
          <w:rFonts w:cs="Times New Roman"/>
        </w:rPr>
        <w:t xml:space="preserve"> </w:t>
      </w:r>
      <w:r w:rsidR="00914884" w:rsidRPr="00E0256A">
        <w:rPr>
          <w:rFonts w:eastAsia="Calibri" w:cs="Times New Roman"/>
        </w:rPr>
        <w:t>(</w:t>
      </w:r>
      <w:r w:rsidR="00914884" w:rsidRPr="00E0256A">
        <w:rPr>
          <w:rFonts w:cs="Times New Roman"/>
        </w:rPr>
        <w:t>darbības tiks ieviestas ar saimniecisko darbību nesaistītu projektu ietvaros);</w:t>
      </w:r>
      <w:r w:rsidR="00914884" w:rsidRPr="00E0256A" w:rsidDel="00914884">
        <w:rPr>
          <w:rFonts w:eastAsia="Calibri" w:cs="Times New Roman"/>
        </w:rPr>
        <w:t xml:space="preserve"> </w:t>
      </w:r>
    </w:p>
    <w:p w14:paraId="21237B29" w14:textId="7149A197" w:rsidR="00950400" w:rsidRPr="00E0256A" w:rsidRDefault="00950400" w:rsidP="00E7642A">
      <w:pPr>
        <w:pStyle w:val="ListParagraph"/>
        <w:numPr>
          <w:ilvl w:val="0"/>
          <w:numId w:val="11"/>
        </w:numPr>
        <w:tabs>
          <w:tab w:val="left" w:pos="0"/>
        </w:tabs>
        <w:ind w:left="993" w:hanging="426"/>
        <w:rPr>
          <w:rFonts w:cs="Times New Roman"/>
        </w:rPr>
      </w:pPr>
      <w:r w:rsidRPr="00E0256A">
        <w:rPr>
          <w:rFonts w:cs="Times New Roman"/>
        </w:rPr>
        <w:t>reorganizējamo vai likvidējamo zinātnisko institūciju materiālo aktīvu demontāža</w:t>
      </w:r>
      <w:r w:rsidR="00A8299D" w:rsidRPr="00E0256A">
        <w:rPr>
          <w:rFonts w:cs="Times New Roman"/>
        </w:rPr>
        <w:t>i</w:t>
      </w:r>
      <w:r w:rsidRPr="00E0256A">
        <w:rPr>
          <w:rFonts w:cs="Times New Roman"/>
        </w:rPr>
        <w:t>, pārvietošana</w:t>
      </w:r>
      <w:r w:rsidR="00A8299D" w:rsidRPr="00E0256A">
        <w:rPr>
          <w:rFonts w:cs="Times New Roman"/>
        </w:rPr>
        <w:t>i</w:t>
      </w:r>
      <w:r w:rsidRPr="00E0256A">
        <w:rPr>
          <w:rFonts w:cs="Times New Roman"/>
        </w:rPr>
        <w:t>, uzstādīšana</w:t>
      </w:r>
      <w:r w:rsidR="00A8299D" w:rsidRPr="00E0256A">
        <w:rPr>
          <w:rFonts w:cs="Times New Roman"/>
        </w:rPr>
        <w:t>i</w:t>
      </w:r>
      <w:r w:rsidRPr="00E0256A">
        <w:rPr>
          <w:rFonts w:cs="Times New Roman"/>
        </w:rPr>
        <w:t xml:space="preserve"> vai pielāgošana</w:t>
      </w:r>
      <w:r w:rsidR="00A8299D" w:rsidRPr="00E0256A">
        <w:rPr>
          <w:rFonts w:cs="Times New Roman"/>
        </w:rPr>
        <w:t>i</w:t>
      </w:r>
      <w:r w:rsidRPr="00E0256A">
        <w:rPr>
          <w:rFonts w:cs="Times New Roman"/>
        </w:rPr>
        <w:t xml:space="preserve"> jaunajās funkcionālajās vienībās</w:t>
      </w:r>
      <w:r w:rsidR="009B5507" w:rsidRPr="00E0256A">
        <w:rPr>
          <w:rFonts w:cs="Times New Roman"/>
        </w:rPr>
        <w:t xml:space="preserve"> </w:t>
      </w:r>
      <w:r w:rsidR="00914884" w:rsidRPr="00E0256A">
        <w:rPr>
          <w:rFonts w:eastAsia="Calibri" w:cs="Times New Roman"/>
        </w:rPr>
        <w:t>(</w:t>
      </w:r>
      <w:r w:rsidR="00914884" w:rsidRPr="00E0256A">
        <w:rPr>
          <w:rFonts w:cs="Times New Roman"/>
        </w:rPr>
        <w:t>darbības tiks ieviestas ar saimniecisko darbību nesaistītu projektu</w:t>
      </w:r>
      <w:r w:rsidR="00D82849" w:rsidRPr="00E0256A">
        <w:rPr>
          <w:rFonts w:cs="Times New Roman"/>
        </w:rPr>
        <w:t xml:space="preserve"> un </w:t>
      </w:r>
      <w:r w:rsidR="00D82849" w:rsidRPr="00E0256A">
        <w:t>kombinēta atbalsta veida projektu</w:t>
      </w:r>
      <w:r w:rsidR="00914884" w:rsidRPr="00E0256A">
        <w:rPr>
          <w:rFonts w:cs="Times New Roman"/>
        </w:rPr>
        <w:t xml:space="preserve"> ietvaros);</w:t>
      </w:r>
    </w:p>
    <w:p w14:paraId="69389634" w14:textId="7974358B" w:rsidR="00950400" w:rsidRPr="00E0256A" w:rsidRDefault="00950400" w:rsidP="00E7642A">
      <w:pPr>
        <w:pStyle w:val="ListParagraph"/>
        <w:numPr>
          <w:ilvl w:val="0"/>
          <w:numId w:val="11"/>
        </w:numPr>
        <w:tabs>
          <w:tab w:val="left" w:pos="0"/>
        </w:tabs>
        <w:ind w:left="993" w:hanging="426"/>
        <w:rPr>
          <w:rFonts w:cs="Times New Roman"/>
        </w:rPr>
      </w:pPr>
      <w:r w:rsidRPr="00E0256A">
        <w:rPr>
          <w:rFonts w:cs="Times New Roman"/>
        </w:rPr>
        <w:t>darba vietu izveide</w:t>
      </w:r>
      <w:r w:rsidR="00A8299D" w:rsidRPr="00E0256A">
        <w:rPr>
          <w:rFonts w:cs="Times New Roman"/>
        </w:rPr>
        <w:t>i</w:t>
      </w:r>
      <w:r w:rsidRPr="00E0256A">
        <w:rPr>
          <w:rFonts w:cs="Times New Roman"/>
        </w:rPr>
        <w:t xml:space="preserve"> zinātniskajam personālam, kuru plānots piesaistīt no reorganizējamām vai likvidējamajām zinātniskajām institūcijām</w:t>
      </w:r>
      <w:r w:rsidR="00A4120A" w:rsidRPr="00E0256A">
        <w:rPr>
          <w:rFonts w:cs="Times New Roman"/>
        </w:rPr>
        <w:t xml:space="preserve"> vai saistībā ar zinātniskās institūcijas darbības spektra paplašināšanos</w:t>
      </w:r>
      <w:r w:rsidR="00914884" w:rsidRPr="00E0256A">
        <w:rPr>
          <w:rFonts w:cs="Times New Roman"/>
        </w:rPr>
        <w:t xml:space="preserve"> </w:t>
      </w:r>
      <w:r w:rsidR="00914884" w:rsidRPr="00E0256A">
        <w:rPr>
          <w:rFonts w:eastAsia="Calibri" w:cs="Times New Roman"/>
        </w:rPr>
        <w:t>(</w:t>
      </w:r>
      <w:r w:rsidR="00914884" w:rsidRPr="00E0256A">
        <w:rPr>
          <w:rFonts w:cs="Times New Roman"/>
        </w:rPr>
        <w:t>darbības tiks ieviestas ar saimniecisko darbību nesaistītu projektu ietvaros);</w:t>
      </w:r>
    </w:p>
    <w:p w14:paraId="37B4DFF0" w14:textId="0A7409E6" w:rsidR="00BB3038" w:rsidRPr="00E0256A" w:rsidRDefault="00790778" w:rsidP="00E7642A">
      <w:pPr>
        <w:pStyle w:val="ListParagraph"/>
        <w:numPr>
          <w:ilvl w:val="0"/>
          <w:numId w:val="11"/>
        </w:numPr>
        <w:tabs>
          <w:tab w:val="left" w:pos="0"/>
        </w:tabs>
        <w:ind w:left="993" w:hanging="426"/>
        <w:rPr>
          <w:rFonts w:cs="Times New Roman"/>
        </w:rPr>
      </w:pPr>
      <w:r w:rsidRPr="00E0256A">
        <w:rPr>
          <w:rFonts w:cs="Times New Roman"/>
        </w:rPr>
        <w:lastRenderedPageBreak/>
        <w:t>projekta vadībai un īstenošanai</w:t>
      </w:r>
      <w:r w:rsidRPr="00E0256A">
        <w:rPr>
          <w:rStyle w:val="FootnoteReference"/>
          <w:rFonts w:cs="Times New Roman"/>
        </w:rPr>
        <w:footnoteReference w:id="45"/>
      </w:r>
      <w:r w:rsidR="009B5507" w:rsidRPr="00E0256A">
        <w:rPr>
          <w:rFonts w:cs="Times New Roman"/>
        </w:rPr>
        <w:t xml:space="preserve"> </w:t>
      </w:r>
      <w:r w:rsidR="00914884" w:rsidRPr="00E0256A">
        <w:rPr>
          <w:rFonts w:cs="Times New Roman"/>
        </w:rPr>
        <w:t>(darbības tiks ieviestas ar saimniecisko darbību nesaistītu projektu</w:t>
      </w:r>
      <w:r w:rsidR="00975C53" w:rsidRPr="00E0256A">
        <w:rPr>
          <w:rFonts w:cs="Times New Roman"/>
        </w:rPr>
        <w:t xml:space="preserve"> un </w:t>
      </w:r>
      <w:r w:rsidR="00975C53" w:rsidRPr="00E0256A">
        <w:t>kombinēta atbalsta veida projektu</w:t>
      </w:r>
      <w:r w:rsidR="00914884" w:rsidRPr="00E0256A">
        <w:rPr>
          <w:rFonts w:cs="Times New Roman"/>
        </w:rPr>
        <w:t xml:space="preserve"> ietvaros);</w:t>
      </w:r>
    </w:p>
    <w:p w14:paraId="16CF1A0F" w14:textId="61D05055" w:rsidR="00BB3038" w:rsidRPr="00E0256A" w:rsidRDefault="00EF57FD" w:rsidP="00E7642A">
      <w:pPr>
        <w:pStyle w:val="ListParagraph"/>
        <w:numPr>
          <w:ilvl w:val="0"/>
          <w:numId w:val="11"/>
        </w:numPr>
        <w:tabs>
          <w:tab w:val="left" w:pos="0"/>
        </w:tabs>
        <w:ind w:left="993" w:hanging="426"/>
        <w:rPr>
          <w:rFonts w:cs="Times New Roman"/>
        </w:rPr>
      </w:pPr>
      <w:r w:rsidRPr="00E0256A">
        <w:rPr>
          <w:rFonts w:cs="Times New Roman"/>
        </w:rPr>
        <w:t>informācijas un publicitātes p</w:t>
      </w:r>
      <w:r w:rsidR="00A10D11" w:rsidRPr="00E0256A">
        <w:rPr>
          <w:rFonts w:cs="Times New Roman"/>
        </w:rPr>
        <w:t>asākum</w:t>
      </w:r>
      <w:r w:rsidR="00A8299D" w:rsidRPr="00E0256A">
        <w:rPr>
          <w:rFonts w:cs="Times New Roman"/>
        </w:rPr>
        <w:t>iem</w:t>
      </w:r>
      <w:r w:rsidR="00A10D11" w:rsidRPr="00E0256A">
        <w:rPr>
          <w:rFonts w:cs="Times New Roman"/>
        </w:rPr>
        <w:t xml:space="preserve"> par projekta īstenošanu</w:t>
      </w:r>
      <w:r w:rsidR="009B5507" w:rsidRPr="00E0256A">
        <w:rPr>
          <w:rFonts w:cs="Times New Roman"/>
        </w:rPr>
        <w:t xml:space="preserve"> </w:t>
      </w:r>
      <w:r w:rsidR="00914884" w:rsidRPr="00E0256A">
        <w:rPr>
          <w:rFonts w:cs="Times New Roman"/>
        </w:rPr>
        <w:t>(darbības tiks ieviestas ar saimniecisko darbību nesaistītu projektu ietvaros).</w:t>
      </w:r>
      <w:r w:rsidR="00914884" w:rsidRPr="00E0256A" w:rsidDel="00914884">
        <w:rPr>
          <w:rFonts w:cs="Times New Roman"/>
        </w:rPr>
        <w:t xml:space="preserve"> </w:t>
      </w:r>
    </w:p>
    <w:p w14:paraId="69B89F51" w14:textId="20AC72E1" w:rsidR="00950400" w:rsidRPr="00B254C9" w:rsidRDefault="00950400" w:rsidP="00E7642A">
      <w:pPr>
        <w:pStyle w:val="ListParagraph"/>
        <w:spacing w:before="240"/>
        <w:ind w:left="0" w:firstLine="567"/>
        <w:rPr>
          <w:rFonts w:cs="Times New Roman"/>
        </w:rPr>
      </w:pPr>
      <w:r w:rsidRPr="00E0256A">
        <w:rPr>
          <w:rFonts w:cs="Times New Roman"/>
        </w:rPr>
        <w:t xml:space="preserve">Uz atbalstu zinātnisko institūciju </w:t>
      </w:r>
      <w:r w:rsidR="000C6651" w:rsidRPr="00E0256A">
        <w:rPr>
          <w:rFonts w:cs="Times New Roman"/>
        </w:rPr>
        <w:t>konsolidācijas pasākumu veikšanai</w:t>
      </w:r>
      <w:r w:rsidR="00790778" w:rsidRPr="00E0256A">
        <w:rPr>
          <w:rFonts w:cs="Times New Roman"/>
        </w:rPr>
        <w:t>,</w:t>
      </w:r>
      <w:r w:rsidRPr="00E0256A">
        <w:rPr>
          <w:rFonts w:cs="Times New Roman"/>
        </w:rPr>
        <w:t xml:space="preserve"> 1.1.1.4.</w:t>
      </w:r>
      <w:r w:rsidR="006A2DD2" w:rsidRPr="00E0256A">
        <w:rPr>
          <w:rFonts w:cs="Times New Roman"/>
        </w:rPr>
        <w:t> </w:t>
      </w:r>
      <w:r w:rsidRPr="00E0256A">
        <w:rPr>
          <w:rFonts w:cs="Times New Roman"/>
        </w:rPr>
        <w:t>pasākuma ietvaros varēs pretendēt tās zinātniskās institūcijas, kuras projekta pieteikuma ietvaros plānos integrēt vismaz vienu reorganizējamu zinātnisko institūciju</w:t>
      </w:r>
      <w:r w:rsidRPr="00B254C9">
        <w:rPr>
          <w:rFonts w:cs="Times New Roman"/>
        </w:rPr>
        <w:t>.</w:t>
      </w:r>
    </w:p>
    <w:p w14:paraId="50B688B0" w14:textId="3E654137" w:rsidR="004B28DC" w:rsidRPr="00B254C9" w:rsidRDefault="004B28DC" w:rsidP="00E7642A">
      <w:pPr>
        <w:pStyle w:val="ListParagraph"/>
        <w:spacing w:before="240"/>
        <w:ind w:left="0" w:firstLine="567"/>
        <w:rPr>
          <w:rFonts w:cs="Times New Roman"/>
        </w:rPr>
      </w:pPr>
      <w:r w:rsidRPr="00B254C9">
        <w:rPr>
          <w:rFonts w:cs="Times New Roman"/>
        </w:rPr>
        <w:t>Zinātniskās institūcijas, kas 1.1.1.4. pasākuma ietvaros plāno veikt jaunu ēku būvniecību, to pamato balstoties uz zinātniskās institūcijas attīstības stratēģijās iekļautajiem infrastruktūras attīstības plāniem, kurus skaņo ar komersantu koleģiālajām institūcijām.</w:t>
      </w:r>
    </w:p>
    <w:p w14:paraId="7637E245" w14:textId="23D34ED8" w:rsidR="00BB3038" w:rsidRPr="00B254C9" w:rsidRDefault="00BB3038" w:rsidP="00E7642A">
      <w:pPr>
        <w:pStyle w:val="ListParagraph"/>
        <w:ind w:left="0" w:firstLine="567"/>
        <w:rPr>
          <w:rFonts w:cs="Times New Roman"/>
        </w:rPr>
      </w:pPr>
      <w:r w:rsidRPr="00B254C9">
        <w:rPr>
          <w:rFonts w:cs="Times New Roman"/>
        </w:rPr>
        <w:t>Detalizētāki 1.1.1.4. pasākuma ieviešanas nosacījumi, atbalstāmo darbību uzskaitījums un attiecināmo izmaksu nosacījumi tiks atrunāti MK  noteikumos par 1.1.1.4. pasākuma īstenošanu.</w:t>
      </w:r>
    </w:p>
    <w:p w14:paraId="6AC4CB6D" w14:textId="77777777" w:rsidR="00EC649F" w:rsidRPr="00BB3038" w:rsidRDefault="008A55DE" w:rsidP="00E7642A">
      <w:pPr>
        <w:pStyle w:val="Heading1"/>
        <w:numPr>
          <w:ilvl w:val="1"/>
          <w:numId w:val="1"/>
        </w:numPr>
        <w:tabs>
          <w:tab w:val="left" w:pos="993"/>
        </w:tabs>
        <w:spacing w:before="360" w:after="120"/>
        <w:ind w:left="567" w:firstLine="0"/>
        <w:jc w:val="center"/>
        <w:rPr>
          <w:rFonts w:ascii="Times New Roman" w:hAnsi="Times New Roman"/>
          <w:color w:val="auto"/>
          <w:sz w:val="24"/>
          <w:szCs w:val="24"/>
        </w:rPr>
      </w:pPr>
      <w:bookmarkStart w:id="267" w:name="_Toc458673283"/>
      <w:r w:rsidRPr="00BB3038">
        <w:rPr>
          <w:rFonts w:ascii="Times New Roman" w:hAnsi="Times New Roman"/>
          <w:color w:val="auto"/>
          <w:sz w:val="24"/>
          <w:szCs w:val="24"/>
        </w:rPr>
        <w:t>S</w:t>
      </w:r>
      <w:r w:rsidR="00EC649F" w:rsidRPr="00BB3038">
        <w:rPr>
          <w:rFonts w:ascii="Times New Roman" w:hAnsi="Times New Roman"/>
          <w:color w:val="auto"/>
          <w:sz w:val="24"/>
          <w:szCs w:val="24"/>
        </w:rPr>
        <w:t>inerģija un demarkācija ar citiem specifiskajiem atbalsta mērķiem</w:t>
      </w:r>
      <w:bookmarkEnd w:id="267"/>
    </w:p>
    <w:p w14:paraId="1ABD0F1C" w14:textId="24E40A77" w:rsidR="001C2E05" w:rsidRPr="00007B21" w:rsidRDefault="00291F8D" w:rsidP="00E7642A">
      <w:pPr>
        <w:tabs>
          <w:tab w:val="left" w:pos="567"/>
        </w:tabs>
        <w:ind w:left="0"/>
        <w:rPr>
          <w:rFonts w:ascii="Times New Roman" w:hAnsi="Times New Roman"/>
          <w:sz w:val="24"/>
          <w:szCs w:val="24"/>
        </w:rPr>
      </w:pPr>
      <w:r w:rsidRPr="00007B21">
        <w:rPr>
          <w:rFonts w:ascii="Times New Roman" w:hAnsi="Times New Roman"/>
          <w:sz w:val="24"/>
          <w:szCs w:val="24"/>
        </w:rPr>
        <w:tab/>
      </w:r>
      <w:r w:rsidR="00EC649F" w:rsidRPr="00007B21">
        <w:rPr>
          <w:rFonts w:ascii="Times New Roman" w:hAnsi="Times New Roman"/>
          <w:sz w:val="24"/>
          <w:szCs w:val="24"/>
        </w:rPr>
        <w:t>1.1.1.4.</w:t>
      </w:r>
      <w:r w:rsidR="00A36CEB" w:rsidRPr="00007B21">
        <w:rPr>
          <w:rFonts w:ascii="Times New Roman" w:hAnsi="Times New Roman"/>
          <w:sz w:val="24"/>
          <w:szCs w:val="24"/>
        </w:rPr>
        <w:t> </w:t>
      </w:r>
      <w:r w:rsidR="00EC649F" w:rsidRPr="00007B21">
        <w:rPr>
          <w:rFonts w:ascii="Times New Roman" w:hAnsi="Times New Roman"/>
          <w:sz w:val="24"/>
          <w:szCs w:val="24"/>
        </w:rPr>
        <w:t>pasākuma ietvaros plānotās darbības papildinās līdz šim veiktos ieguldījumus 2007.–2013.</w:t>
      </w:r>
      <w:r w:rsidR="00A36CEB" w:rsidRPr="00007B21">
        <w:rPr>
          <w:rFonts w:ascii="Times New Roman" w:hAnsi="Times New Roman"/>
          <w:sz w:val="24"/>
          <w:szCs w:val="24"/>
        </w:rPr>
        <w:t> </w:t>
      </w:r>
      <w:r w:rsidR="00EC649F" w:rsidRPr="00007B21">
        <w:rPr>
          <w:rFonts w:ascii="Times New Roman" w:hAnsi="Times New Roman"/>
          <w:sz w:val="24"/>
          <w:szCs w:val="24"/>
        </w:rPr>
        <w:t>gada plānošanas perioda 2.1.1.3.1.</w:t>
      </w:r>
      <w:r w:rsidR="00A36CEB" w:rsidRPr="00007B21">
        <w:rPr>
          <w:rFonts w:ascii="Times New Roman" w:hAnsi="Times New Roman"/>
          <w:sz w:val="24"/>
          <w:szCs w:val="24"/>
        </w:rPr>
        <w:t> </w:t>
      </w:r>
      <w:r w:rsidR="00EC649F" w:rsidRPr="00007B21">
        <w:rPr>
          <w:rFonts w:ascii="Times New Roman" w:hAnsi="Times New Roman"/>
          <w:sz w:val="24"/>
          <w:szCs w:val="24"/>
        </w:rPr>
        <w:t>apakšaktivitātes „Zinātnes infrastruktūras attīstība” un 2.1.1.3.3.</w:t>
      </w:r>
      <w:r w:rsidR="00A36CEB" w:rsidRPr="00007B21">
        <w:rPr>
          <w:rFonts w:ascii="Times New Roman" w:hAnsi="Times New Roman"/>
          <w:sz w:val="24"/>
          <w:szCs w:val="24"/>
        </w:rPr>
        <w:t> </w:t>
      </w:r>
      <w:r w:rsidR="00EC649F" w:rsidRPr="00007B21">
        <w:rPr>
          <w:rFonts w:ascii="Times New Roman" w:hAnsi="Times New Roman"/>
          <w:sz w:val="24"/>
          <w:szCs w:val="24"/>
        </w:rPr>
        <w:t xml:space="preserve">apakšaktivitātes „Zinātnisko institūciju </w:t>
      </w:r>
      <w:hyperlink r:id="rId24" w:history="1">
        <w:r w:rsidR="00EC649F" w:rsidRPr="00007B21">
          <w:rPr>
            <w:rFonts w:ascii="Times New Roman" w:hAnsi="Times New Roman"/>
            <w:sz w:val="24"/>
            <w:szCs w:val="24"/>
          </w:rPr>
          <w:t>institucionālās kapacitātes attīstība</w:t>
        </w:r>
      </w:hyperlink>
      <w:r w:rsidR="00EC649F" w:rsidRPr="00007B21">
        <w:rPr>
          <w:rFonts w:ascii="Times New Roman" w:hAnsi="Times New Roman"/>
          <w:sz w:val="24"/>
          <w:szCs w:val="24"/>
        </w:rPr>
        <w:t xml:space="preserve">” </w:t>
      </w:r>
      <w:r w:rsidR="001C2E05" w:rsidRPr="00007B21">
        <w:rPr>
          <w:rFonts w:ascii="Times New Roman" w:hAnsi="Times New Roman"/>
          <w:sz w:val="24"/>
          <w:szCs w:val="24"/>
        </w:rPr>
        <w:t xml:space="preserve">projektu ietvaros. </w:t>
      </w:r>
    </w:p>
    <w:p w14:paraId="61F9580C" w14:textId="77777777" w:rsidR="001C2E05" w:rsidRPr="00007B21" w:rsidRDefault="001C2E05" w:rsidP="00E7642A">
      <w:pPr>
        <w:tabs>
          <w:tab w:val="left" w:pos="567"/>
        </w:tabs>
        <w:ind w:left="0"/>
        <w:rPr>
          <w:rFonts w:ascii="Times New Roman" w:hAnsi="Times New Roman"/>
          <w:sz w:val="24"/>
          <w:szCs w:val="24"/>
        </w:rPr>
      </w:pPr>
      <w:r w:rsidRPr="00007B21">
        <w:rPr>
          <w:rFonts w:ascii="Times New Roman" w:hAnsi="Times New Roman"/>
          <w:sz w:val="24"/>
          <w:szCs w:val="24"/>
        </w:rPr>
        <w:tab/>
        <w:t>Sinerģija un demarkācija tiks nodrošināta ar 8.1.1.</w:t>
      </w:r>
      <w:r w:rsidR="00A36CEB" w:rsidRPr="00007B21">
        <w:rPr>
          <w:rFonts w:ascii="Times New Roman" w:hAnsi="Times New Roman"/>
          <w:sz w:val="24"/>
          <w:szCs w:val="24"/>
        </w:rPr>
        <w:t> </w:t>
      </w:r>
      <w:r w:rsidRPr="00007B21">
        <w:rPr>
          <w:rFonts w:ascii="Times New Roman" w:hAnsi="Times New Roman"/>
          <w:sz w:val="24"/>
          <w:szCs w:val="24"/>
        </w:rPr>
        <w:t>SAM “Palielināt modernizēto STEM, tajā skaitā medicīnas un radošās industrijas, studiju programmu skaitu”, kura ietvaros plānots modernizēt materiāltehnisko bāzi augstākās izglītības iestādēs, kas nepieciešama studiju programmu īstenošanai un zinātnisko darbību veikšanai doktora zinātniskā grāda ieguvei. Augstākās izglītības institūciju studiju procesa nodrošināšanai pilnveidotās infrastruktūras pamata lietotāji būs</w:t>
      </w:r>
      <w:r w:rsidR="003F7236" w:rsidRPr="00007B21">
        <w:rPr>
          <w:rFonts w:ascii="Times New Roman" w:hAnsi="Times New Roman"/>
          <w:sz w:val="24"/>
          <w:szCs w:val="24"/>
        </w:rPr>
        <w:t xml:space="preserve"> augstāko izglītības institūciju</w:t>
      </w:r>
      <w:r w:rsidRPr="00007B21">
        <w:rPr>
          <w:rFonts w:ascii="Times New Roman" w:hAnsi="Times New Roman"/>
          <w:sz w:val="24"/>
          <w:szCs w:val="24"/>
        </w:rPr>
        <w:t xml:space="preserve"> studējošie un akadēmiskais personāls. Savukārt 1.1.1.4.</w:t>
      </w:r>
      <w:r w:rsidR="00A36CEB" w:rsidRPr="00007B21">
        <w:rPr>
          <w:rFonts w:ascii="Times New Roman" w:hAnsi="Times New Roman"/>
          <w:sz w:val="24"/>
          <w:szCs w:val="24"/>
        </w:rPr>
        <w:t> </w:t>
      </w:r>
      <w:r w:rsidRPr="00007B21">
        <w:rPr>
          <w:rFonts w:ascii="Times New Roman" w:hAnsi="Times New Roman"/>
          <w:sz w:val="24"/>
          <w:szCs w:val="24"/>
        </w:rPr>
        <w:t xml:space="preserve">pasākuma ietvaros pilnveidotās infrastruktūras pamata lietotāji būs zinātniskie darbinieki. </w:t>
      </w:r>
    </w:p>
    <w:p w14:paraId="35B3AB03" w14:textId="77777777" w:rsidR="001C2E05" w:rsidRPr="00007B21" w:rsidRDefault="001C2E05" w:rsidP="00E7642A">
      <w:pPr>
        <w:tabs>
          <w:tab w:val="left" w:pos="567"/>
        </w:tabs>
        <w:ind w:left="0"/>
        <w:rPr>
          <w:rFonts w:ascii="Times New Roman" w:hAnsi="Times New Roman"/>
          <w:sz w:val="24"/>
          <w:szCs w:val="24"/>
        </w:rPr>
      </w:pPr>
      <w:r w:rsidRPr="00007B21">
        <w:rPr>
          <w:rFonts w:ascii="Times New Roman" w:hAnsi="Times New Roman"/>
          <w:sz w:val="24"/>
          <w:szCs w:val="24"/>
        </w:rPr>
        <w:tab/>
        <w:t>Vienlaikus sinerģija un demarkācija, ievērojot to, ka daļa no augstākās izglītības institūcijām ir arī zinātniskās institūcijas, tiks nodrošināta ar 8.2.3.</w:t>
      </w:r>
      <w:r w:rsidR="00A36CEB" w:rsidRPr="00007B21">
        <w:rPr>
          <w:rFonts w:ascii="Times New Roman" w:hAnsi="Times New Roman"/>
          <w:sz w:val="24"/>
          <w:szCs w:val="24"/>
        </w:rPr>
        <w:t> </w:t>
      </w:r>
      <w:r w:rsidRPr="00007B21">
        <w:rPr>
          <w:rFonts w:ascii="Times New Roman" w:hAnsi="Times New Roman"/>
          <w:sz w:val="24"/>
          <w:szCs w:val="24"/>
        </w:rPr>
        <w:t xml:space="preserve">SAM “Nodrošināt labāku pārvaldību augstākās izglītības institūcijās”, kura ietvaros </w:t>
      </w:r>
      <w:r w:rsidR="003F7236" w:rsidRPr="00007B21">
        <w:rPr>
          <w:rFonts w:ascii="Times New Roman" w:hAnsi="Times New Roman"/>
          <w:sz w:val="24"/>
          <w:szCs w:val="24"/>
        </w:rPr>
        <w:t>atbalstu plānots sniegt</w:t>
      </w:r>
      <w:r w:rsidRPr="00007B21">
        <w:rPr>
          <w:rFonts w:ascii="Times New Roman" w:hAnsi="Times New Roman"/>
          <w:sz w:val="24"/>
          <w:szCs w:val="24"/>
        </w:rPr>
        <w:t xml:space="preserve"> </w:t>
      </w:r>
      <w:r w:rsidR="003F7236" w:rsidRPr="00007B21">
        <w:rPr>
          <w:rFonts w:ascii="Times New Roman" w:hAnsi="Times New Roman"/>
          <w:sz w:val="24"/>
          <w:szCs w:val="24"/>
        </w:rPr>
        <w:t xml:space="preserve">augstāko </w:t>
      </w:r>
      <w:r w:rsidRPr="00007B21">
        <w:rPr>
          <w:rFonts w:ascii="Times New Roman" w:hAnsi="Times New Roman"/>
          <w:sz w:val="24"/>
          <w:szCs w:val="24"/>
        </w:rPr>
        <w:t xml:space="preserve">izglītības </w:t>
      </w:r>
      <w:r w:rsidR="003F7236" w:rsidRPr="00007B21">
        <w:rPr>
          <w:rFonts w:ascii="Times New Roman" w:hAnsi="Times New Roman"/>
          <w:sz w:val="24"/>
          <w:szCs w:val="24"/>
        </w:rPr>
        <w:t>institūciju</w:t>
      </w:r>
      <w:r w:rsidRPr="00007B21">
        <w:rPr>
          <w:rFonts w:ascii="Times New Roman" w:hAnsi="Times New Roman"/>
          <w:sz w:val="24"/>
          <w:szCs w:val="24"/>
        </w:rPr>
        <w:t xml:space="preserve">, tajā skaitā </w:t>
      </w:r>
      <w:r w:rsidR="003F7236" w:rsidRPr="00007B21">
        <w:rPr>
          <w:rFonts w:ascii="Times New Roman" w:hAnsi="Times New Roman"/>
          <w:sz w:val="24"/>
          <w:szCs w:val="24"/>
        </w:rPr>
        <w:t xml:space="preserve">koledžu, pārvaldības pilnveidošanai, </w:t>
      </w:r>
      <w:r w:rsidRPr="00007B21">
        <w:rPr>
          <w:rFonts w:ascii="Times New Roman" w:hAnsi="Times New Roman"/>
          <w:sz w:val="24"/>
          <w:szCs w:val="24"/>
        </w:rPr>
        <w:t xml:space="preserve">ar mērķi konsolidēt un efektīvi izmantot pieejamos </w:t>
      </w:r>
      <w:r w:rsidR="00A83A0E" w:rsidRPr="00007B21">
        <w:rPr>
          <w:rFonts w:ascii="Times New Roman" w:hAnsi="Times New Roman"/>
          <w:sz w:val="24"/>
          <w:szCs w:val="24"/>
        </w:rPr>
        <w:t xml:space="preserve">augstāko izglītības iestāžu </w:t>
      </w:r>
      <w:r w:rsidRPr="00007B21">
        <w:rPr>
          <w:rFonts w:ascii="Times New Roman" w:hAnsi="Times New Roman"/>
          <w:sz w:val="24"/>
          <w:szCs w:val="24"/>
        </w:rPr>
        <w:t xml:space="preserve">resursus, </w:t>
      </w:r>
      <w:r w:rsidR="00A83A0E" w:rsidRPr="00007B21">
        <w:rPr>
          <w:rFonts w:ascii="Times New Roman" w:hAnsi="Times New Roman"/>
          <w:sz w:val="24"/>
          <w:szCs w:val="24"/>
        </w:rPr>
        <w:t xml:space="preserve">veicināt </w:t>
      </w:r>
      <w:r w:rsidRPr="00007B21">
        <w:rPr>
          <w:rFonts w:ascii="Times New Roman" w:hAnsi="Times New Roman"/>
          <w:sz w:val="24"/>
          <w:szCs w:val="24"/>
        </w:rPr>
        <w:t xml:space="preserve">studiju </w:t>
      </w:r>
      <w:r w:rsidR="00A83A0E" w:rsidRPr="00007B21">
        <w:rPr>
          <w:rFonts w:ascii="Times New Roman" w:hAnsi="Times New Roman"/>
          <w:sz w:val="24"/>
          <w:szCs w:val="24"/>
        </w:rPr>
        <w:t>programmu izcilību un konkurētspēju</w:t>
      </w:r>
      <w:r w:rsidRPr="00007B21">
        <w:rPr>
          <w:rFonts w:ascii="Times New Roman" w:hAnsi="Times New Roman"/>
          <w:sz w:val="24"/>
          <w:szCs w:val="24"/>
        </w:rPr>
        <w:t>, kā arī stiprināt akadēmiskā personāla kapacitāti.</w:t>
      </w:r>
    </w:p>
    <w:p w14:paraId="48B46616" w14:textId="77777777" w:rsidR="00E14414" w:rsidRPr="00007B21" w:rsidRDefault="00EC649F" w:rsidP="00E7642A">
      <w:pPr>
        <w:tabs>
          <w:tab w:val="left" w:pos="567"/>
        </w:tabs>
        <w:ind w:left="0"/>
        <w:rPr>
          <w:rFonts w:ascii="Times New Roman" w:hAnsi="Times New Roman"/>
          <w:sz w:val="24"/>
          <w:szCs w:val="24"/>
        </w:rPr>
      </w:pPr>
      <w:r w:rsidRPr="00007B21">
        <w:rPr>
          <w:rFonts w:ascii="Times New Roman" w:hAnsi="Times New Roman"/>
          <w:sz w:val="24"/>
          <w:szCs w:val="24"/>
        </w:rPr>
        <w:tab/>
      </w:r>
      <w:r w:rsidR="00352E01" w:rsidRPr="00007B21">
        <w:rPr>
          <w:rFonts w:ascii="Times New Roman" w:hAnsi="Times New Roman"/>
          <w:sz w:val="24"/>
          <w:szCs w:val="24"/>
        </w:rPr>
        <w:t>2014.</w:t>
      </w:r>
      <w:r w:rsidR="00A83A0E" w:rsidRPr="00007B21">
        <w:rPr>
          <w:rFonts w:ascii="Times New Roman" w:hAnsi="Times New Roman"/>
          <w:sz w:val="24"/>
          <w:szCs w:val="24"/>
        </w:rPr>
        <w:t xml:space="preserve"> – </w:t>
      </w:r>
      <w:r w:rsidR="00352E01" w:rsidRPr="00007B21">
        <w:rPr>
          <w:rFonts w:ascii="Times New Roman" w:hAnsi="Times New Roman"/>
          <w:sz w:val="24"/>
          <w:szCs w:val="24"/>
        </w:rPr>
        <w:t>2020.</w:t>
      </w:r>
      <w:r w:rsidR="00A36CEB" w:rsidRPr="00007B21">
        <w:rPr>
          <w:rFonts w:ascii="Times New Roman" w:hAnsi="Times New Roman"/>
          <w:sz w:val="24"/>
          <w:szCs w:val="24"/>
        </w:rPr>
        <w:t> </w:t>
      </w:r>
      <w:r w:rsidR="00352E01" w:rsidRPr="00007B21">
        <w:rPr>
          <w:rFonts w:ascii="Times New Roman" w:hAnsi="Times New Roman"/>
          <w:sz w:val="24"/>
          <w:szCs w:val="24"/>
        </w:rPr>
        <w:t>gada plānošanas periodā t</w:t>
      </w:r>
      <w:r w:rsidR="005B1995" w:rsidRPr="00007B21">
        <w:rPr>
          <w:rFonts w:ascii="Times New Roman" w:hAnsi="Times New Roman"/>
          <w:sz w:val="24"/>
          <w:szCs w:val="24"/>
        </w:rPr>
        <w:t xml:space="preserve">iks nodrošināta pētniecības infrastruktūras attīstības pasākuma sinerģija ar </w:t>
      </w:r>
      <w:r w:rsidR="00AF3E32" w:rsidRPr="00007B21">
        <w:rPr>
          <w:rFonts w:ascii="Times New Roman" w:hAnsi="Times New Roman"/>
          <w:sz w:val="24"/>
          <w:szCs w:val="24"/>
        </w:rPr>
        <w:t xml:space="preserve">EM pārziņā </w:t>
      </w:r>
      <w:r w:rsidR="001A08DA" w:rsidRPr="00007B21">
        <w:rPr>
          <w:rFonts w:ascii="Times New Roman" w:hAnsi="Times New Roman"/>
          <w:sz w:val="24"/>
          <w:szCs w:val="24"/>
        </w:rPr>
        <w:t>esošo 1.2.1.1.</w:t>
      </w:r>
      <w:r w:rsidR="00A36CEB" w:rsidRPr="00007B21">
        <w:rPr>
          <w:rFonts w:ascii="Times New Roman" w:hAnsi="Times New Roman"/>
          <w:sz w:val="24"/>
          <w:szCs w:val="24"/>
        </w:rPr>
        <w:t> </w:t>
      </w:r>
      <w:r w:rsidR="001A08DA" w:rsidRPr="00007B21">
        <w:rPr>
          <w:rFonts w:ascii="Times New Roman" w:hAnsi="Times New Roman"/>
          <w:sz w:val="24"/>
          <w:szCs w:val="24"/>
        </w:rPr>
        <w:t xml:space="preserve">pasākumu “Atbalsts jaunu produktu un tehnoloģiju izstrādei kompetences centru ietvaros” un </w:t>
      </w:r>
      <w:r w:rsidR="001A08DA" w:rsidRPr="00007B21">
        <w:rPr>
          <w:rFonts w:ascii="Times New Roman" w:hAnsi="Times New Roman"/>
          <w:sz w:val="24"/>
          <w:szCs w:val="24"/>
        </w:rPr>
        <w:lastRenderedPageBreak/>
        <w:t>1.2.1.4.</w:t>
      </w:r>
      <w:r w:rsidR="00A36CEB" w:rsidRPr="00007B21">
        <w:rPr>
          <w:rFonts w:ascii="Times New Roman" w:hAnsi="Times New Roman"/>
          <w:sz w:val="24"/>
          <w:szCs w:val="24"/>
        </w:rPr>
        <w:t> </w:t>
      </w:r>
      <w:r w:rsidR="001A08DA" w:rsidRPr="00007B21">
        <w:rPr>
          <w:rFonts w:ascii="Times New Roman" w:hAnsi="Times New Roman"/>
          <w:sz w:val="24"/>
          <w:szCs w:val="24"/>
        </w:rPr>
        <w:t>pasākumu „Atbalsts jaunu produktu ieviešanai ražošanā”</w:t>
      </w:r>
      <w:r w:rsidR="00AF3E32" w:rsidRPr="00007B21">
        <w:rPr>
          <w:rFonts w:ascii="Times New Roman" w:hAnsi="Times New Roman"/>
          <w:sz w:val="24"/>
          <w:szCs w:val="24"/>
        </w:rPr>
        <w:t xml:space="preserve">, kā arī sinerģija </w:t>
      </w:r>
      <w:r w:rsidR="00A83A0E" w:rsidRPr="00007B21">
        <w:rPr>
          <w:rFonts w:ascii="Times New Roman" w:hAnsi="Times New Roman"/>
          <w:sz w:val="24"/>
          <w:szCs w:val="24"/>
        </w:rPr>
        <w:t xml:space="preserve">tiks </w:t>
      </w:r>
      <w:r w:rsidR="00AF3E32" w:rsidRPr="00007B21">
        <w:rPr>
          <w:rFonts w:ascii="Times New Roman" w:hAnsi="Times New Roman"/>
          <w:sz w:val="24"/>
          <w:szCs w:val="24"/>
        </w:rPr>
        <w:t xml:space="preserve">nodrošināma ar VARAM pārziņā esošo </w:t>
      </w:r>
      <w:r w:rsidR="001A08DA" w:rsidRPr="00007B21">
        <w:rPr>
          <w:rFonts w:ascii="Times New Roman" w:hAnsi="Times New Roman"/>
          <w:sz w:val="24"/>
          <w:szCs w:val="24"/>
        </w:rPr>
        <w:t>3.3.1.</w:t>
      </w:r>
      <w:r w:rsidR="00A36CEB" w:rsidRPr="00007B21">
        <w:rPr>
          <w:rFonts w:ascii="Times New Roman" w:hAnsi="Times New Roman"/>
          <w:sz w:val="24"/>
          <w:szCs w:val="24"/>
        </w:rPr>
        <w:t> </w:t>
      </w:r>
      <w:r w:rsidR="001A08DA" w:rsidRPr="00007B21">
        <w:rPr>
          <w:rFonts w:ascii="Times New Roman" w:hAnsi="Times New Roman"/>
          <w:sz w:val="24"/>
          <w:szCs w:val="24"/>
        </w:rPr>
        <w:t>SAM “Palielināt privāto investīciju apjomu reģionos, veicot ieguldījumus uzņēmējdarbības attīstībai atbilstoši pašvaldību attīstības programmās noteiktajai teritoriju ekonomiskajai specializācijai un balstoties uz vietējo uzņēmēju vajadzībām”</w:t>
      </w:r>
      <w:r w:rsidR="00A83A0E" w:rsidRPr="00007B21">
        <w:rPr>
          <w:rFonts w:ascii="Times New Roman" w:hAnsi="Times New Roman"/>
          <w:sz w:val="24"/>
          <w:szCs w:val="24"/>
        </w:rPr>
        <w:t>, kura</w:t>
      </w:r>
      <w:r w:rsidR="001A08DA" w:rsidRPr="00007B21">
        <w:rPr>
          <w:rFonts w:ascii="Times New Roman" w:hAnsi="Times New Roman"/>
          <w:sz w:val="24"/>
          <w:szCs w:val="24"/>
        </w:rPr>
        <w:t xml:space="preserve"> ietvaros </w:t>
      </w:r>
      <w:r w:rsidR="00A83A0E" w:rsidRPr="00007B21">
        <w:rPr>
          <w:rFonts w:ascii="Times New Roman" w:hAnsi="Times New Roman"/>
          <w:sz w:val="24"/>
          <w:szCs w:val="24"/>
        </w:rPr>
        <w:t xml:space="preserve">atbalstu plānots sniegt </w:t>
      </w:r>
      <w:r w:rsidR="001A08DA" w:rsidRPr="00007B21">
        <w:rPr>
          <w:rFonts w:ascii="Times New Roman" w:hAnsi="Times New Roman"/>
          <w:sz w:val="24"/>
          <w:szCs w:val="24"/>
        </w:rPr>
        <w:t>uzņēmējdarbību veicinoš</w:t>
      </w:r>
      <w:r w:rsidR="00A83A0E" w:rsidRPr="00007B21">
        <w:rPr>
          <w:rFonts w:ascii="Times New Roman" w:hAnsi="Times New Roman"/>
          <w:sz w:val="24"/>
          <w:szCs w:val="24"/>
        </w:rPr>
        <w:t>ai</w:t>
      </w:r>
      <w:r w:rsidR="001A08DA" w:rsidRPr="00007B21">
        <w:rPr>
          <w:rFonts w:ascii="Times New Roman" w:hAnsi="Times New Roman"/>
          <w:sz w:val="24"/>
          <w:szCs w:val="24"/>
        </w:rPr>
        <w:t xml:space="preserve"> publisk</w:t>
      </w:r>
      <w:r w:rsidR="00A83A0E" w:rsidRPr="00007B21">
        <w:rPr>
          <w:rFonts w:ascii="Times New Roman" w:hAnsi="Times New Roman"/>
          <w:sz w:val="24"/>
          <w:szCs w:val="24"/>
        </w:rPr>
        <w:t>ai</w:t>
      </w:r>
      <w:r w:rsidR="001A08DA" w:rsidRPr="00007B21">
        <w:rPr>
          <w:rFonts w:ascii="Times New Roman" w:hAnsi="Times New Roman"/>
          <w:sz w:val="24"/>
          <w:szCs w:val="24"/>
        </w:rPr>
        <w:t xml:space="preserve"> infrastruktūr</w:t>
      </w:r>
      <w:r w:rsidR="00A83A0E" w:rsidRPr="00007B21">
        <w:rPr>
          <w:rFonts w:ascii="Times New Roman" w:hAnsi="Times New Roman"/>
          <w:sz w:val="24"/>
          <w:szCs w:val="24"/>
        </w:rPr>
        <w:t xml:space="preserve">ai Latvijas plānošanas </w:t>
      </w:r>
      <w:r w:rsidR="001A08DA" w:rsidRPr="00007B21">
        <w:rPr>
          <w:rFonts w:ascii="Times New Roman" w:hAnsi="Times New Roman"/>
          <w:sz w:val="24"/>
          <w:szCs w:val="24"/>
        </w:rPr>
        <w:t>reģionos.</w:t>
      </w:r>
    </w:p>
    <w:p w14:paraId="47EB3BC2" w14:textId="77777777" w:rsidR="00E852C0" w:rsidRDefault="00E852C0" w:rsidP="00E7642A">
      <w:pPr>
        <w:spacing w:after="160" w:line="259" w:lineRule="auto"/>
        <w:ind w:left="0"/>
        <w:jc w:val="left"/>
        <w:rPr>
          <w:rFonts w:ascii="Times New Roman" w:eastAsia="Times New Roman" w:hAnsi="Times New Roman"/>
          <w:b/>
          <w:bCs/>
          <w:sz w:val="24"/>
          <w:szCs w:val="24"/>
          <w:lang w:eastAsia="lv-LV"/>
        </w:rPr>
      </w:pPr>
      <w:r>
        <w:rPr>
          <w:rFonts w:ascii="Times New Roman" w:hAnsi="Times New Roman"/>
          <w:sz w:val="24"/>
          <w:szCs w:val="24"/>
        </w:rPr>
        <w:br w:type="page"/>
      </w:r>
    </w:p>
    <w:p w14:paraId="4BBD2538" w14:textId="5B72386B" w:rsidR="00791B8F" w:rsidRPr="00BB3038" w:rsidRDefault="00D63BA6" w:rsidP="00E7642A">
      <w:pPr>
        <w:pStyle w:val="Heading1"/>
        <w:numPr>
          <w:ilvl w:val="0"/>
          <w:numId w:val="26"/>
        </w:numPr>
        <w:spacing w:before="360" w:after="360"/>
        <w:ind w:left="357" w:hanging="357"/>
        <w:jc w:val="center"/>
        <w:rPr>
          <w:rFonts w:ascii="Times New Roman" w:hAnsi="Times New Roman"/>
          <w:color w:val="auto"/>
          <w:sz w:val="24"/>
          <w:szCs w:val="24"/>
        </w:rPr>
      </w:pPr>
      <w:bookmarkStart w:id="268" w:name="_Toc458673284"/>
      <w:r w:rsidRPr="00BB3038">
        <w:rPr>
          <w:rFonts w:ascii="Times New Roman" w:hAnsi="Times New Roman"/>
          <w:color w:val="auto"/>
          <w:sz w:val="24"/>
          <w:szCs w:val="24"/>
        </w:rPr>
        <w:lastRenderedPageBreak/>
        <w:t>Plānotais</w:t>
      </w:r>
      <w:r w:rsidR="0007013B" w:rsidRPr="00BB3038">
        <w:rPr>
          <w:rFonts w:ascii="Times New Roman" w:hAnsi="Times New Roman"/>
          <w:color w:val="auto"/>
          <w:sz w:val="24"/>
          <w:szCs w:val="24"/>
        </w:rPr>
        <w:t xml:space="preserve"> 1.1.1.4. pasākuma </w:t>
      </w:r>
      <w:r w:rsidR="000B2549" w:rsidRPr="00BB3038">
        <w:rPr>
          <w:rFonts w:ascii="Times New Roman" w:hAnsi="Times New Roman"/>
          <w:color w:val="auto"/>
          <w:sz w:val="24"/>
          <w:szCs w:val="24"/>
        </w:rPr>
        <w:t xml:space="preserve">ieviešanas nosacījumu izstrādes </w:t>
      </w:r>
      <w:r w:rsidRPr="00BB3038">
        <w:rPr>
          <w:rFonts w:ascii="Times New Roman" w:hAnsi="Times New Roman"/>
          <w:color w:val="auto"/>
          <w:sz w:val="24"/>
          <w:szCs w:val="24"/>
        </w:rPr>
        <w:t>laika grafiks</w:t>
      </w:r>
      <w:bookmarkEnd w:id="268"/>
    </w:p>
    <w:p w14:paraId="30875B6E" w14:textId="7C7B70CC" w:rsidR="00D63BA6" w:rsidRPr="00B254C9" w:rsidRDefault="00E14414" w:rsidP="00E7642A">
      <w:pPr>
        <w:ind w:left="0"/>
        <w:rPr>
          <w:rFonts w:ascii="Times New Roman" w:hAnsi="Times New Roman"/>
          <w:sz w:val="24"/>
          <w:szCs w:val="24"/>
        </w:rPr>
      </w:pPr>
      <w:r w:rsidRPr="00B254C9">
        <w:rPr>
          <w:rFonts w:ascii="Times New Roman" w:hAnsi="Times New Roman"/>
          <w:sz w:val="24"/>
          <w:szCs w:val="24"/>
        </w:rPr>
        <w:tab/>
      </w:r>
      <w:r w:rsidR="00665C2A" w:rsidRPr="00B254C9">
        <w:rPr>
          <w:rFonts w:ascii="Times New Roman" w:hAnsi="Times New Roman"/>
          <w:sz w:val="24"/>
          <w:szCs w:val="24"/>
        </w:rPr>
        <w:t>1.1.1.4. pasākuma ieviešanas nosacījumu izstrādei un saskaņošanai ar sociālajiem partneriem plānotas šādas darbības un to laika grafiks, lai nodrošinātu MK noteikumu projekta apstiprināšanu MK š.g.augustā:</w:t>
      </w:r>
    </w:p>
    <w:p w14:paraId="17766671" w14:textId="77777777" w:rsidR="000066CC" w:rsidRPr="00BB3038" w:rsidRDefault="000066CC" w:rsidP="00E7642A">
      <w:pPr>
        <w:ind w:left="0"/>
        <w:rPr>
          <w:b/>
        </w:rPr>
      </w:pPr>
    </w:p>
    <w:p w14:paraId="2B6662A4" w14:textId="77777777" w:rsidR="00665C2A" w:rsidRPr="00BB3038" w:rsidRDefault="00665C2A" w:rsidP="00E7642A">
      <w:pPr>
        <w:spacing w:after="120"/>
        <w:ind w:left="0"/>
        <w:jc w:val="center"/>
        <w:rPr>
          <w:rFonts w:ascii="Times New Roman" w:hAnsi="Times New Roman"/>
          <w:b/>
          <w:i/>
          <w:sz w:val="24"/>
          <w:szCs w:val="24"/>
          <w:lang w:eastAsia="lv-LV"/>
        </w:rPr>
      </w:pPr>
      <w:r w:rsidRPr="00BB3038">
        <w:rPr>
          <w:rFonts w:ascii="Times New Roman" w:hAnsi="Times New Roman"/>
          <w:b/>
          <w:i/>
          <w:sz w:val="24"/>
          <w:szCs w:val="24"/>
          <w:lang w:eastAsia="lv-LV"/>
        </w:rPr>
        <w:t>1.1.1.4.pasākuma laika grafiks</w:t>
      </w:r>
    </w:p>
    <w:tbl>
      <w:tblPr>
        <w:tblStyle w:val="TableGrid"/>
        <w:tblW w:w="9334" w:type="dxa"/>
        <w:tblInd w:w="-34" w:type="dxa"/>
        <w:tblLook w:val="04A0" w:firstRow="1" w:lastRow="0" w:firstColumn="1" w:lastColumn="0" w:noHBand="0" w:noVBand="1"/>
      </w:tblPr>
      <w:tblGrid>
        <w:gridCol w:w="3828"/>
        <w:gridCol w:w="816"/>
        <w:gridCol w:w="816"/>
        <w:gridCol w:w="633"/>
        <w:gridCol w:w="674"/>
        <w:gridCol w:w="709"/>
        <w:gridCol w:w="617"/>
        <w:gridCol w:w="638"/>
        <w:gridCol w:w="603"/>
      </w:tblGrid>
      <w:tr w:rsidR="00665C2A" w:rsidRPr="00B254C9" w14:paraId="565BA934" w14:textId="77777777" w:rsidTr="00566937">
        <w:tc>
          <w:tcPr>
            <w:tcW w:w="3828" w:type="dxa"/>
            <w:shd w:val="clear" w:color="auto" w:fill="FBE4D5" w:themeFill="accent2" w:themeFillTint="33"/>
            <w:vAlign w:val="center"/>
          </w:tcPr>
          <w:p w14:paraId="11E305C6" w14:textId="77777777" w:rsidR="00665C2A" w:rsidRPr="00B254C9" w:rsidRDefault="00665C2A" w:rsidP="00E7642A">
            <w:pPr>
              <w:pStyle w:val="naiskr"/>
              <w:suppressAutoHyphens w:val="0"/>
              <w:autoSpaceDN/>
              <w:spacing w:before="0" w:after="0"/>
              <w:jc w:val="center"/>
            </w:pPr>
          </w:p>
        </w:tc>
        <w:tc>
          <w:tcPr>
            <w:tcW w:w="816" w:type="dxa"/>
            <w:shd w:val="clear" w:color="auto" w:fill="FBE4D5" w:themeFill="accent2" w:themeFillTint="33"/>
            <w:vAlign w:val="center"/>
          </w:tcPr>
          <w:p w14:paraId="4D612863" w14:textId="77777777" w:rsidR="00665C2A" w:rsidRPr="00B254C9" w:rsidRDefault="00665C2A" w:rsidP="00E7642A">
            <w:pPr>
              <w:pStyle w:val="naiskr"/>
              <w:suppressAutoHyphens w:val="0"/>
              <w:autoSpaceDN/>
              <w:spacing w:before="0" w:after="0"/>
              <w:jc w:val="center"/>
            </w:pPr>
            <w:r w:rsidRPr="00B254C9">
              <w:t>Maijs</w:t>
            </w:r>
          </w:p>
        </w:tc>
        <w:tc>
          <w:tcPr>
            <w:tcW w:w="816" w:type="dxa"/>
            <w:shd w:val="clear" w:color="auto" w:fill="FBE4D5" w:themeFill="accent2" w:themeFillTint="33"/>
            <w:vAlign w:val="center"/>
          </w:tcPr>
          <w:p w14:paraId="2357454B" w14:textId="77777777" w:rsidR="00665C2A" w:rsidRPr="00B254C9" w:rsidRDefault="00665C2A" w:rsidP="00E7642A">
            <w:pPr>
              <w:pStyle w:val="naiskr"/>
              <w:suppressAutoHyphens w:val="0"/>
              <w:autoSpaceDN/>
              <w:spacing w:before="0" w:after="0"/>
              <w:jc w:val="center"/>
            </w:pPr>
            <w:r w:rsidRPr="00B254C9">
              <w:t>Jūn</w:t>
            </w:r>
          </w:p>
        </w:tc>
        <w:tc>
          <w:tcPr>
            <w:tcW w:w="633" w:type="dxa"/>
            <w:shd w:val="clear" w:color="auto" w:fill="FBE4D5" w:themeFill="accent2" w:themeFillTint="33"/>
            <w:vAlign w:val="center"/>
          </w:tcPr>
          <w:p w14:paraId="660A143A" w14:textId="77777777" w:rsidR="00665C2A" w:rsidRPr="00B254C9" w:rsidRDefault="00665C2A" w:rsidP="00E7642A">
            <w:pPr>
              <w:pStyle w:val="naiskr"/>
              <w:suppressAutoHyphens w:val="0"/>
              <w:autoSpaceDN/>
              <w:spacing w:before="0" w:after="0"/>
              <w:jc w:val="center"/>
            </w:pPr>
            <w:r w:rsidRPr="00B254C9">
              <w:t>Jūl</w:t>
            </w:r>
          </w:p>
        </w:tc>
        <w:tc>
          <w:tcPr>
            <w:tcW w:w="674" w:type="dxa"/>
            <w:shd w:val="clear" w:color="auto" w:fill="FBE4D5" w:themeFill="accent2" w:themeFillTint="33"/>
            <w:vAlign w:val="center"/>
          </w:tcPr>
          <w:p w14:paraId="2BB6E7F0" w14:textId="77777777" w:rsidR="00665C2A" w:rsidRPr="00B254C9" w:rsidRDefault="00665C2A" w:rsidP="00E7642A">
            <w:pPr>
              <w:pStyle w:val="naiskr"/>
              <w:suppressAutoHyphens w:val="0"/>
              <w:autoSpaceDN/>
              <w:spacing w:before="0" w:after="0"/>
              <w:jc w:val="center"/>
            </w:pPr>
            <w:r w:rsidRPr="00B254C9">
              <w:t>Aug</w:t>
            </w:r>
          </w:p>
        </w:tc>
        <w:tc>
          <w:tcPr>
            <w:tcW w:w="709" w:type="dxa"/>
            <w:shd w:val="clear" w:color="auto" w:fill="FBE4D5" w:themeFill="accent2" w:themeFillTint="33"/>
            <w:vAlign w:val="center"/>
          </w:tcPr>
          <w:p w14:paraId="22ECA720" w14:textId="77777777" w:rsidR="00665C2A" w:rsidRPr="00B254C9" w:rsidRDefault="00665C2A" w:rsidP="00E7642A">
            <w:pPr>
              <w:pStyle w:val="naiskr"/>
              <w:suppressAutoHyphens w:val="0"/>
              <w:autoSpaceDN/>
              <w:spacing w:before="0" w:after="0"/>
              <w:jc w:val="center"/>
            </w:pPr>
            <w:r w:rsidRPr="00B254C9">
              <w:t>Sept</w:t>
            </w:r>
          </w:p>
        </w:tc>
        <w:tc>
          <w:tcPr>
            <w:tcW w:w="617" w:type="dxa"/>
            <w:shd w:val="clear" w:color="auto" w:fill="FBE4D5" w:themeFill="accent2" w:themeFillTint="33"/>
            <w:vAlign w:val="center"/>
          </w:tcPr>
          <w:p w14:paraId="6BD42E4B" w14:textId="77777777" w:rsidR="00665C2A" w:rsidRPr="00B254C9" w:rsidRDefault="00665C2A" w:rsidP="00E7642A">
            <w:pPr>
              <w:pStyle w:val="naiskr"/>
              <w:suppressAutoHyphens w:val="0"/>
              <w:autoSpaceDN/>
              <w:spacing w:before="0" w:after="0"/>
              <w:jc w:val="center"/>
            </w:pPr>
            <w:r w:rsidRPr="00B254C9">
              <w:t>Okt</w:t>
            </w:r>
          </w:p>
        </w:tc>
        <w:tc>
          <w:tcPr>
            <w:tcW w:w="638" w:type="dxa"/>
            <w:shd w:val="clear" w:color="auto" w:fill="FBE4D5" w:themeFill="accent2" w:themeFillTint="33"/>
            <w:vAlign w:val="center"/>
          </w:tcPr>
          <w:p w14:paraId="4600F1E0" w14:textId="77777777" w:rsidR="00665C2A" w:rsidRPr="00B254C9" w:rsidRDefault="00665C2A" w:rsidP="00E7642A">
            <w:pPr>
              <w:pStyle w:val="naiskr"/>
              <w:suppressAutoHyphens w:val="0"/>
              <w:autoSpaceDN/>
              <w:spacing w:before="0" w:after="0"/>
              <w:jc w:val="center"/>
            </w:pPr>
            <w:r w:rsidRPr="00B254C9">
              <w:t>Nov</w:t>
            </w:r>
          </w:p>
        </w:tc>
        <w:tc>
          <w:tcPr>
            <w:tcW w:w="603" w:type="dxa"/>
            <w:shd w:val="clear" w:color="auto" w:fill="FBE4D5" w:themeFill="accent2" w:themeFillTint="33"/>
            <w:vAlign w:val="center"/>
          </w:tcPr>
          <w:p w14:paraId="2D4BF751" w14:textId="77777777" w:rsidR="00665C2A" w:rsidRPr="00B254C9" w:rsidRDefault="00665C2A" w:rsidP="00E7642A">
            <w:pPr>
              <w:pStyle w:val="naiskr"/>
              <w:suppressAutoHyphens w:val="0"/>
              <w:autoSpaceDN/>
              <w:spacing w:before="0" w:after="0"/>
              <w:jc w:val="center"/>
            </w:pPr>
            <w:r w:rsidRPr="00B254C9">
              <w:t>Dec</w:t>
            </w:r>
          </w:p>
        </w:tc>
      </w:tr>
      <w:tr w:rsidR="00665C2A" w:rsidRPr="00B254C9" w14:paraId="1539887F" w14:textId="77777777" w:rsidTr="00566937">
        <w:tc>
          <w:tcPr>
            <w:tcW w:w="3828" w:type="dxa"/>
            <w:vAlign w:val="center"/>
          </w:tcPr>
          <w:p w14:paraId="1577145F" w14:textId="77777777" w:rsidR="00665C2A" w:rsidRPr="00B254C9" w:rsidRDefault="00665C2A" w:rsidP="00E7642A">
            <w:pPr>
              <w:pStyle w:val="naiskr"/>
              <w:spacing w:before="40" w:after="40"/>
              <w:jc w:val="right"/>
            </w:pPr>
            <w:r w:rsidRPr="00B254C9">
              <w:t>IZM sarunas ar ZI par attīstības plāniem</w:t>
            </w:r>
          </w:p>
        </w:tc>
        <w:tc>
          <w:tcPr>
            <w:tcW w:w="816" w:type="dxa"/>
            <w:vAlign w:val="center"/>
          </w:tcPr>
          <w:p w14:paraId="14554A3F" w14:textId="77777777" w:rsidR="00665C2A" w:rsidRPr="00B254C9" w:rsidRDefault="00665C2A" w:rsidP="00E7642A">
            <w:pPr>
              <w:pStyle w:val="naiskr"/>
              <w:suppressAutoHyphens w:val="0"/>
              <w:autoSpaceDN/>
              <w:spacing w:before="0" w:after="0"/>
              <w:jc w:val="center"/>
            </w:pPr>
            <w:r w:rsidRPr="00B254C9">
              <w:t>X</w:t>
            </w:r>
          </w:p>
        </w:tc>
        <w:tc>
          <w:tcPr>
            <w:tcW w:w="816" w:type="dxa"/>
            <w:vAlign w:val="center"/>
          </w:tcPr>
          <w:p w14:paraId="270DFC2D" w14:textId="77777777" w:rsidR="00665C2A" w:rsidRPr="00B254C9" w:rsidRDefault="00665C2A" w:rsidP="00E7642A">
            <w:pPr>
              <w:pStyle w:val="naiskr"/>
              <w:suppressAutoHyphens w:val="0"/>
              <w:autoSpaceDN/>
              <w:spacing w:before="0" w:after="0"/>
              <w:jc w:val="center"/>
            </w:pPr>
          </w:p>
        </w:tc>
        <w:tc>
          <w:tcPr>
            <w:tcW w:w="633" w:type="dxa"/>
            <w:vAlign w:val="center"/>
          </w:tcPr>
          <w:p w14:paraId="5E90010B" w14:textId="77777777" w:rsidR="00665C2A" w:rsidRPr="00B254C9" w:rsidRDefault="00665C2A" w:rsidP="00E7642A">
            <w:pPr>
              <w:pStyle w:val="naiskr"/>
              <w:suppressAutoHyphens w:val="0"/>
              <w:autoSpaceDN/>
              <w:spacing w:before="0" w:after="0"/>
              <w:jc w:val="center"/>
            </w:pPr>
          </w:p>
        </w:tc>
        <w:tc>
          <w:tcPr>
            <w:tcW w:w="674" w:type="dxa"/>
            <w:vAlign w:val="center"/>
          </w:tcPr>
          <w:p w14:paraId="5584F3C3" w14:textId="77777777" w:rsidR="00665C2A" w:rsidRPr="00B254C9" w:rsidRDefault="00665C2A" w:rsidP="00E7642A">
            <w:pPr>
              <w:pStyle w:val="naiskr"/>
              <w:suppressAutoHyphens w:val="0"/>
              <w:autoSpaceDN/>
              <w:spacing w:before="0" w:after="0"/>
              <w:jc w:val="center"/>
            </w:pPr>
          </w:p>
        </w:tc>
        <w:tc>
          <w:tcPr>
            <w:tcW w:w="709" w:type="dxa"/>
            <w:vAlign w:val="center"/>
          </w:tcPr>
          <w:p w14:paraId="688867D7" w14:textId="77777777" w:rsidR="00665C2A" w:rsidRPr="00B254C9" w:rsidRDefault="00665C2A" w:rsidP="00E7642A">
            <w:pPr>
              <w:pStyle w:val="naiskr"/>
              <w:suppressAutoHyphens w:val="0"/>
              <w:autoSpaceDN/>
              <w:spacing w:before="0" w:after="0"/>
              <w:jc w:val="center"/>
            </w:pPr>
          </w:p>
        </w:tc>
        <w:tc>
          <w:tcPr>
            <w:tcW w:w="617" w:type="dxa"/>
            <w:vAlign w:val="center"/>
          </w:tcPr>
          <w:p w14:paraId="54048170" w14:textId="77777777" w:rsidR="00665C2A" w:rsidRPr="00B254C9" w:rsidRDefault="00665C2A" w:rsidP="00E7642A">
            <w:pPr>
              <w:pStyle w:val="naiskr"/>
              <w:suppressAutoHyphens w:val="0"/>
              <w:autoSpaceDN/>
              <w:spacing w:before="0" w:after="0"/>
              <w:jc w:val="center"/>
            </w:pPr>
          </w:p>
        </w:tc>
        <w:tc>
          <w:tcPr>
            <w:tcW w:w="638" w:type="dxa"/>
            <w:vAlign w:val="center"/>
          </w:tcPr>
          <w:p w14:paraId="4BE699D3" w14:textId="77777777" w:rsidR="00665C2A" w:rsidRPr="00B254C9" w:rsidRDefault="00665C2A" w:rsidP="00E7642A">
            <w:pPr>
              <w:pStyle w:val="naiskr"/>
              <w:suppressAutoHyphens w:val="0"/>
              <w:autoSpaceDN/>
              <w:spacing w:before="0" w:after="0"/>
              <w:jc w:val="center"/>
            </w:pPr>
          </w:p>
        </w:tc>
        <w:tc>
          <w:tcPr>
            <w:tcW w:w="603" w:type="dxa"/>
            <w:vAlign w:val="center"/>
          </w:tcPr>
          <w:p w14:paraId="68A82252" w14:textId="77777777" w:rsidR="00665C2A" w:rsidRPr="00B254C9" w:rsidRDefault="00665C2A" w:rsidP="00E7642A">
            <w:pPr>
              <w:pStyle w:val="naiskr"/>
              <w:suppressAutoHyphens w:val="0"/>
              <w:autoSpaceDN/>
              <w:spacing w:before="0" w:after="0"/>
              <w:jc w:val="center"/>
            </w:pPr>
          </w:p>
        </w:tc>
      </w:tr>
      <w:tr w:rsidR="00665C2A" w:rsidRPr="00B254C9" w14:paraId="4B36E291" w14:textId="77777777" w:rsidTr="00566937">
        <w:tc>
          <w:tcPr>
            <w:tcW w:w="3828" w:type="dxa"/>
            <w:vAlign w:val="center"/>
          </w:tcPr>
          <w:p w14:paraId="5B362868" w14:textId="77777777" w:rsidR="00665C2A" w:rsidRPr="00B254C9" w:rsidRDefault="00665C2A" w:rsidP="00E7642A">
            <w:pPr>
              <w:pStyle w:val="naiskr"/>
              <w:spacing w:before="40" w:after="40"/>
              <w:jc w:val="right"/>
            </w:pPr>
            <w:r w:rsidRPr="00B254C9">
              <w:t>ZI nodomu protokolu iesniegšana IZM par konsolidācijas pasākumu īstenošanu</w:t>
            </w:r>
          </w:p>
        </w:tc>
        <w:tc>
          <w:tcPr>
            <w:tcW w:w="816" w:type="dxa"/>
            <w:vAlign w:val="center"/>
          </w:tcPr>
          <w:p w14:paraId="47B9076E" w14:textId="77777777" w:rsidR="00665C2A" w:rsidRPr="00B254C9" w:rsidRDefault="00665C2A" w:rsidP="00E7642A">
            <w:pPr>
              <w:pStyle w:val="naiskr"/>
              <w:suppressAutoHyphens w:val="0"/>
              <w:autoSpaceDN/>
              <w:spacing w:before="0" w:after="0"/>
              <w:jc w:val="center"/>
            </w:pPr>
            <w:r w:rsidRPr="00B254C9">
              <w:t>X</w:t>
            </w:r>
          </w:p>
        </w:tc>
        <w:tc>
          <w:tcPr>
            <w:tcW w:w="816" w:type="dxa"/>
            <w:vAlign w:val="center"/>
          </w:tcPr>
          <w:p w14:paraId="205EE526" w14:textId="77777777" w:rsidR="00665C2A" w:rsidRPr="00B254C9" w:rsidRDefault="00665C2A" w:rsidP="00E7642A">
            <w:pPr>
              <w:pStyle w:val="naiskr"/>
              <w:suppressAutoHyphens w:val="0"/>
              <w:autoSpaceDN/>
              <w:spacing w:before="0" w:after="0"/>
              <w:jc w:val="center"/>
            </w:pPr>
          </w:p>
        </w:tc>
        <w:tc>
          <w:tcPr>
            <w:tcW w:w="633" w:type="dxa"/>
            <w:vAlign w:val="center"/>
          </w:tcPr>
          <w:p w14:paraId="7389A2A4" w14:textId="77777777" w:rsidR="00665C2A" w:rsidRPr="00B254C9" w:rsidRDefault="00665C2A" w:rsidP="00E7642A">
            <w:pPr>
              <w:pStyle w:val="naiskr"/>
              <w:suppressAutoHyphens w:val="0"/>
              <w:autoSpaceDN/>
              <w:spacing w:before="0" w:after="0"/>
              <w:jc w:val="center"/>
            </w:pPr>
          </w:p>
        </w:tc>
        <w:tc>
          <w:tcPr>
            <w:tcW w:w="674" w:type="dxa"/>
            <w:vAlign w:val="center"/>
          </w:tcPr>
          <w:p w14:paraId="0231647E" w14:textId="77777777" w:rsidR="00665C2A" w:rsidRPr="00B254C9" w:rsidRDefault="00665C2A" w:rsidP="00E7642A">
            <w:pPr>
              <w:pStyle w:val="naiskr"/>
              <w:suppressAutoHyphens w:val="0"/>
              <w:autoSpaceDN/>
              <w:spacing w:before="0" w:after="0"/>
              <w:jc w:val="center"/>
            </w:pPr>
          </w:p>
        </w:tc>
        <w:tc>
          <w:tcPr>
            <w:tcW w:w="709" w:type="dxa"/>
            <w:vAlign w:val="center"/>
          </w:tcPr>
          <w:p w14:paraId="3BE8F371" w14:textId="77777777" w:rsidR="00665C2A" w:rsidRPr="00B254C9" w:rsidRDefault="00665C2A" w:rsidP="00E7642A">
            <w:pPr>
              <w:pStyle w:val="naiskr"/>
              <w:suppressAutoHyphens w:val="0"/>
              <w:autoSpaceDN/>
              <w:spacing w:before="0" w:after="0"/>
              <w:jc w:val="center"/>
            </w:pPr>
          </w:p>
        </w:tc>
        <w:tc>
          <w:tcPr>
            <w:tcW w:w="617" w:type="dxa"/>
            <w:vAlign w:val="center"/>
          </w:tcPr>
          <w:p w14:paraId="72CFFC55" w14:textId="77777777" w:rsidR="00665C2A" w:rsidRPr="00B254C9" w:rsidRDefault="00665C2A" w:rsidP="00E7642A">
            <w:pPr>
              <w:pStyle w:val="naiskr"/>
              <w:suppressAutoHyphens w:val="0"/>
              <w:autoSpaceDN/>
              <w:spacing w:before="0" w:after="0"/>
              <w:jc w:val="center"/>
            </w:pPr>
          </w:p>
        </w:tc>
        <w:tc>
          <w:tcPr>
            <w:tcW w:w="638" w:type="dxa"/>
            <w:vAlign w:val="center"/>
          </w:tcPr>
          <w:p w14:paraId="30104842" w14:textId="77777777" w:rsidR="00665C2A" w:rsidRPr="00B254C9" w:rsidRDefault="00665C2A" w:rsidP="00E7642A">
            <w:pPr>
              <w:pStyle w:val="naiskr"/>
              <w:suppressAutoHyphens w:val="0"/>
              <w:autoSpaceDN/>
              <w:spacing w:before="0" w:after="0"/>
              <w:jc w:val="center"/>
            </w:pPr>
          </w:p>
        </w:tc>
        <w:tc>
          <w:tcPr>
            <w:tcW w:w="603" w:type="dxa"/>
            <w:vAlign w:val="center"/>
          </w:tcPr>
          <w:p w14:paraId="7BB0DDB8" w14:textId="77777777" w:rsidR="00665C2A" w:rsidRPr="00B254C9" w:rsidRDefault="00665C2A" w:rsidP="00E7642A">
            <w:pPr>
              <w:pStyle w:val="naiskr"/>
              <w:suppressAutoHyphens w:val="0"/>
              <w:autoSpaceDN/>
              <w:spacing w:before="0" w:after="0"/>
              <w:jc w:val="center"/>
            </w:pPr>
          </w:p>
        </w:tc>
      </w:tr>
      <w:tr w:rsidR="00665C2A" w:rsidRPr="00B254C9" w14:paraId="1E4DC83F" w14:textId="77777777" w:rsidTr="00566937">
        <w:tc>
          <w:tcPr>
            <w:tcW w:w="3828" w:type="dxa"/>
            <w:vAlign w:val="center"/>
          </w:tcPr>
          <w:p w14:paraId="139E9EEF" w14:textId="77777777" w:rsidR="00665C2A" w:rsidRPr="00B254C9" w:rsidRDefault="00665C2A" w:rsidP="00E7642A">
            <w:pPr>
              <w:pStyle w:val="naiskr"/>
              <w:suppressAutoHyphens w:val="0"/>
              <w:autoSpaceDN/>
              <w:spacing w:before="40" w:after="40"/>
              <w:jc w:val="right"/>
            </w:pPr>
            <w:r w:rsidRPr="00B254C9">
              <w:t>Projektu iesniegumu vērtēšanas kritēriju izskatīšana AK</w:t>
            </w:r>
          </w:p>
        </w:tc>
        <w:tc>
          <w:tcPr>
            <w:tcW w:w="816" w:type="dxa"/>
            <w:vAlign w:val="center"/>
          </w:tcPr>
          <w:p w14:paraId="4743EA86" w14:textId="77777777" w:rsidR="00665C2A" w:rsidRPr="00B254C9" w:rsidRDefault="00665C2A" w:rsidP="00E7642A">
            <w:pPr>
              <w:pStyle w:val="naiskr"/>
              <w:suppressAutoHyphens w:val="0"/>
              <w:autoSpaceDN/>
              <w:spacing w:before="0" w:after="0"/>
              <w:ind w:left="-109" w:firstLine="109"/>
              <w:jc w:val="center"/>
            </w:pPr>
            <w:r w:rsidRPr="00B254C9">
              <w:t>X</w:t>
            </w:r>
          </w:p>
        </w:tc>
        <w:tc>
          <w:tcPr>
            <w:tcW w:w="816" w:type="dxa"/>
            <w:vAlign w:val="center"/>
          </w:tcPr>
          <w:p w14:paraId="1388FD42" w14:textId="77777777" w:rsidR="00665C2A" w:rsidRPr="00B254C9" w:rsidRDefault="00665C2A" w:rsidP="00E7642A">
            <w:pPr>
              <w:pStyle w:val="naiskr"/>
              <w:suppressAutoHyphens w:val="0"/>
              <w:autoSpaceDN/>
              <w:spacing w:before="0" w:after="0"/>
              <w:jc w:val="center"/>
            </w:pPr>
          </w:p>
        </w:tc>
        <w:tc>
          <w:tcPr>
            <w:tcW w:w="633" w:type="dxa"/>
            <w:vAlign w:val="center"/>
          </w:tcPr>
          <w:p w14:paraId="09689A02" w14:textId="77777777" w:rsidR="00665C2A" w:rsidRPr="00B254C9" w:rsidRDefault="00665C2A" w:rsidP="00E7642A">
            <w:pPr>
              <w:pStyle w:val="naiskr"/>
              <w:suppressAutoHyphens w:val="0"/>
              <w:autoSpaceDN/>
              <w:spacing w:before="0" w:after="0"/>
              <w:jc w:val="center"/>
            </w:pPr>
          </w:p>
        </w:tc>
        <w:tc>
          <w:tcPr>
            <w:tcW w:w="674" w:type="dxa"/>
            <w:vAlign w:val="center"/>
          </w:tcPr>
          <w:p w14:paraId="0CE8E7B7" w14:textId="77777777" w:rsidR="00665C2A" w:rsidRPr="00B254C9" w:rsidRDefault="00665C2A" w:rsidP="00E7642A">
            <w:pPr>
              <w:pStyle w:val="naiskr"/>
              <w:suppressAutoHyphens w:val="0"/>
              <w:autoSpaceDN/>
              <w:spacing w:before="0" w:after="0"/>
              <w:jc w:val="center"/>
            </w:pPr>
          </w:p>
        </w:tc>
        <w:tc>
          <w:tcPr>
            <w:tcW w:w="709" w:type="dxa"/>
            <w:vAlign w:val="center"/>
          </w:tcPr>
          <w:p w14:paraId="5E0E18AB" w14:textId="77777777" w:rsidR="00665C2A" w:rsidRPr="00B254C9" w:rsidRDefault="00665C2A" w:rsidP="00E7642A">
            <w:pPr>
              <w:pStyle w:val="naiskr"/>
              <w:suppressAutoHyphens w:val="0"/>
              <w:autoSpaceDN/>
              <w:spacing w:before="0" w:after="0"/>
              <w:jc w:val="center"/>
            </w:pPr>
          </w:p>
        </w:tc>
        <w:tc>
          <w:tcPr>
            <w:tcW w:w="617" w:type="dxa"/>
            <w:vAlign w:val="center"/>
          </w:tcPr>
          <w:p w14:paraId="5DD53302" w14:textId="77777777" w:rsidR="00665C2A" w:rsidRPr="00B254C9" w:rsidRDefault="00665C2A" w:rsidP="00E7642A">
            <w:pPr>
              <w:pStyle w:val="naiskr"/>
              <w:suppressAutoHyphens w:val="0"/>
              <w:autoSpaceDN/>
              <w:spacing w:before="0" w:after="0"/>
              <w:jc w:val="center"/>
            </w:pPr>
          </w:p>
        </w:tc>
        <w:tc>
          <w:tcPr>
            <w:tcW w:w="638" w:type="dxa"/>
            <w:vAlign w:val="center"/>
          </w:tcPr>
          <w:p w14:paraId="5712BA3A" w14:textId="77777777" w:rsidR="00665C2A" w:rsidRPr="00B254C9" w:rsidRDefault="00665C2A" w:rsidP="00E7642A">
            <w:pPr>
              <w:pStyle w:val="naiskr"/>
              <w:suppressAutoHyphens w:val="0"/>
              <w:autoSpaceDN/>
              <w:spacing w:before="0" w:after="0"/>
              <w:jc w:val="center"/>
            </w:pPr>
          </w:p>
        </w:tc>
        <w:tc>
          <w:tcPr>
            <w:tcW w:w="603" w:type="dxa"/>
            <w:vAlign w:val="center"/>
          </w:tcPr>
          <w:p w14:paraId="047F2F7F" w14:textId="77777777" w:rsidR="00665C2A" w:rsidRPr="00B254C9" w:rsidRDefault="00665C2A" w:rsidP="00E7642A">
            <w:pPr>
              <w:pStyle w:val="naiskr"/>
              <w:suppressAutoHyphens w:val="0"/>
              <w:autoSpaceDN/>
              <w:spacing w:before="0" w:after="0"/>
              <w:jc w:val="center"/>
            </w:pPr>
          </w:p>
        </w:tc>
      </w:tr>
      <w:tr w:rsidR="00665C2A" w:rsidRPr="00B254C9" w14:paraId="781DEC99" w14:textId="77777777" w:rsidTr="00566937">
        <w:tc>
          <w:tcPr>
            <w:tcW w:w="3828" w:type="dxa"/>
            <w:vAlign w:val="center"/>
          </w:tcPr>
          <w:p w14:paraId="2907D9B4" w14:textId="77777777" w:rsidR="00665C2A" w:rsidRPr="00B254C9" w:rsidRDefault="00665C2A" w:rsidP="00E7642A">
            <w:pPr>
              <w:pStyle w:val="naiskr"/>
              <w:suppressAutoHyphens w:val="0"/>
              <w:autoSpaceDN/>
              <w:spacing w:before="40" w:after="40"/>
              <w:jc w:val="right"/>
            </w:pPr>
            <w:r w:rsidRPr="00B254C9">
              <w:t>MK noteikumu projekta izsudināšana valsts sekretāru sanāksmē</w:t>
            </w:r>
          </w:p>
        </w:tc>
        <w:tc>
          <w:tcPr>
            <w:tcW w:w="816" w:type="dxa"/>
            <w:vAlign w:val="center"/>
          </w:tcPr>
          <w:p w14:paraId="2D378670" w14:textId="77777777" w:rsidR="00665C2A" w:rsidRPr="00B254C9" w:rsidRDefault="00665C2A" w:rsidP="00E7642A">
            <w:pPr>
              <w:pStyle w:val="naiskr"/>
              <w:suppressAutoHyphens w:val="0"/>
              <w:autoSpaceDN/>
              <w:spacing w:before="0" w:after="0"/>
              <w:ind w:left="-109" w:firstLine="109"/>
              <w:jc w:val="center"/>
            </w:pPr>
          </w:p>
        </w:tc>
        <w:tc>
          <w:tcPr>
            <w:tcW w:w="816" w:type="dxa"/>
            <w:vAlign w:val="center"/>
          </w:tcPr>
          <w:p w14:paraId="462D4B6E" w14:textId="77777777" w:rsidR="00665C2A" w:rsidRPr="00B254C9" w:rsidRDefault="00665C2A" w:rsidP="00E7642A">
            <w:pPr>
              <w:pStyle w:val="naiskr"/>
              <w:suppressAutoHyphens w:val="0"/>
              <w:autoSpaceDN/>
              <w:spacing w:before="0" w:after="0"/>
              <w:jc w:val="center"/>
            </w:pPr>
            <w:r w:rsidRPr="00B254C9">
              <w:t>X</w:t>
            </w:r>
          </w:p>
        </w:tc>
        <w:tc>
          <w:tcPr>
            <w:tcW w:w="633" w:type="dxa"/>
            <w:vAlign w:val="center"/>
          </w:tcPr>
          <w:p w14:paraId="52B3A582" w14:textId="77777777" w:rsidR="00665C2A" w:rsidRPr="00B254C9" w:rsidRDefault="00665C2A" w:rsidP="00E7642A">
            <w:pPr>
              <w:pStyle w:val="naiskr"/>
              <w:suppressAutoHyphens w:val="0"/>
              <w:autoSpaceDN/>
              <w:spacing w:before="0" w:after="0"/>
              <w:jc w:val="center"/>
            </w:pPr>
          </w:p>
        </w:tc>
        <w:tc>
          <w:tcPr>
            <w:tcW w:w="674" w:type="dxa"/>
            <w:vAlign w:val="center"/>
          </w:tcPr>
          <w:p w14:paraId="50E1514E" w14:textId="77777777" w:rsidR="00665C2A" w:rsidRPr="00B254C9" w:rsidRDefault="00665C2A" w:rsidP="00E7642A">
            <w:pPr>
              <w:pStyle w:val="naiskr"/>
              <w:suppressAutoHyphens w:val="0"/>
              <w:autoSpaceDN/>
              <w:spacing w:before="0" w:after="0"/>
              <w:jc w:val="center"/>
            </w:pPr>
          </w:p>
        </w:tc>
        <w:tc>
          <w:tcPr>
            <w:tcW w:w="709" w:type="dxa"/>
            <w:vAlign w:val="center"/>
          </w:tcPr>
          <w:p w14:paraId="6EF8F872" w14:textId="77777777" w:rsidR="00665C2A" w:rsidRPr="00B254C9" w:rsidRDefault="00665C2A" w:rsidP="00E7642A">
            <w:pPr>
              <w:pStyle w:val="naiskr"/>
              <w:suppressAutoHyphens w:val="0"/>
              <w:autoSpaceDN/>
              <w:spacing w:before="0" w:after="0"/>
              <w:jc w:val="center"/>
            </w:pPr>
          </w:p>
        </w:tc>
        <w:tc>
          <w:tcPr>
            <w:tcW w:w="617" w:type="dxa"/>
            <w:vAlign w:val="center"/>
          </w:tcPr>
          <w:p w14:paraId="606028D2" w14:textId="77777777" w:rsidR="00665C2A" w:rsidRPr="00B254C9" w:rsidRDefault="00665C2A" w:rsidP="00E7642A">
            <w:pPr>
              <w:pStyle w:val="naiskr"/>
              <w:suppressAutoHyphens w:val="0"/>
              <w:autoSpaceDN/>
              <w:spacing w:before="0" w:after="0"/>
              <w:jc w:val="center"/>
            </w:pPr>
          </w:p>
        </w:tc>
        <w:tc>
          <w:tcPr>
            <w:tcW w:w="638" w:type="dxa"/>
            <w:vAlign w:val="center"/>
          </w:tcPr>
          <w:p w14:paraId="640AE06C" w14:textId="77777777" w:rsidR="00665C2A" w:rsidRPr="00B254C9" w:rsidRDefault="00665C2A" w:rsidP="00E7642A">
            <w:pPr>
              <w:pStyle w:val="naiskr"/>
              <w:suppressAutoHyphens w:val="0"/>
              <w:autoSpaceDN/>
              <w:spacing w:before="0" w:after="0"/>
              <w:jc w:val="center"/>
            </w:pPr>
          </w:p>
        </w:tc>
        <w:tc>
          <w:tcPr>
            <w:tcW w:w="603" w:type="dxa"/>
            <w:vAlign w:val="center"/>
          </w:tcPr>
          <w:p w14:paraId="10506ACD" w14:textId="77777777" w:rsidR="00665C2A" w:rsidRPr="00B254C9" w:rsidRDefault="00665C2A" w:rsidP="00E7642A">
            <w:pPr>
              <w:pStyle w:val="naiskr"/>
              <w:suppressAutoHyphens w:val="0"/>
              <w:autoSpaceDN/>
              <w:spacing w:before="0" w:after="0"/>
              <w:jc w:val="center"/>
            </w:pPr>
          </w:p>
        </w:tc>
      </w:tr>
      <w:tr w:rsidR="00665C2A" w:rsidRPr="00B254C9" w14:paraId="45734A65" w14:textId="77777777" w:rsidTr="00566937">
        <w:tc>
          <w:tcPr>
            <w:tcW w:w="3828" w:type="dxa"/>
            <w:shd w:val="clear" w:color="auto" w:fill="auto"/>
            <w:vAlign w:val="center"/>
          </w:tcPr>
          <w:p w14:paraId="2F0A9747" w14:textId="77777777" w:rsidR="00665C2A" w:rsidRPr="00B254C9" w:rsidRDefault="00665C2A" w:rsidP="00E7642A">
            <w:pPr>
              <w:pStyle w:val="naiskr"/>
              <w:suppressAutoHyphens w:val="0"/>
              <w:autoSpaceDN/>
              <w:spacing w:before="40" w:after="40"/>
              <w:jc w:val="right"/>
            </w:pPr>
            <w:r w:rsidRPr="00B254C9">
              <w:t xml:space="preserve">Senāta/ Zinātniskās padomes lēmumi par reorganizāciju + LZP atzinums, ja nepieciešams </w:t>
            </w:r>
            <w:r w:rsidRPr="00B254C9">
              <w:rPr>
                <w:i/>
              </w:rPr>
              <w:t>(reorganizācijas pabeigšana jānodrošina līdz projekta noslēgumam)</w:t>
            </w:r>
          </w:p>
        </w:tc>
        <w:tc>
          <w:tcPr>
            <w:tcW w:w="816" w:type="dxa"/>
            <w:shd w:val="clear" w:color="auto" w:fill="auto"/>
            <w:vAlign w:val="center"/>
          </w:tcPr>
          <w:p w14:paraId="445A55A3" w14:textId="77777777" w:rsidR="00665C2A" w:rsidRPr="00B254C9" w:rsidRDefault="00665C2A" w:rsidP="00E7642A">
            <w:pPr>
              <w:pStyle w:val="naiskr"/>
              <w:suppressAutoHyphens w:val="0"/>
              <w:autoSpaceDN/>
              <w:spacing w:before="0" w:after="0"/>
              <w:jc w:val="center"/>
            </w:pPr>
          </w:p>
        </w:tc>
        <w:tc>
          <w:tcPr>
            <w:tcW w:w="816" w:type="dxa"/>
            <w:shd w:val="clear" w:color="auto" w:fill="auto"/>
            <w:vAlign w:val="center"/>
          </w:tcPr>
          <w:p w14:paraId="589415B2" w14:textId="77777777" w:rsidR="00665C2A" w:rsidRPr="00B254C9" w:rsidRDefault="00665C2A" w:rsidP="00E7642A">
            <w:pPr>
              <w:pStyle w:val="naiskr"/>
              <w:suppressAutoHyphens w:val="0"/>
              <w:autoSpaceDN/>
              <w:spacing w:before="0" w:after="0"/>
              <w:jc w:val="center"/>
            </w:pPr>
            <w:r w:rsidRPr="00B254C9">
              <w:t>X</w:t>
            </w:r>
          </w:p>
        </w:tc>
        <w:tc>
          <w:tcPr>
            <w:tcW w:w="633" w:type="dxa"/>
            <w:vAlign w:val="center"/>
          </w:tcPr>
          <w:p w14:paraId="44113271" w14:textId="77777777" w:rsidR="00665C2A" w:rsidRPr="00B254C9" w:rsidRDefault="00665C2A" w:rsidP="00E7642A">
            <w:pPr>
              <w:pStyle w:val="naiskr"/>
              <w:suppressAutoHyphens w:val="0"/>
              <w:autoSpaceDN/>
              <w:spacing w:before="0" w:after="0"/>
              <w:jc w:val="center"/>
            </w:pPr>
          </w:p>
        </w:tc>
        <w:tc>
          <w:tcPr>
            <w:tcW w:w="674" w:type="dxa"/>
            <w:vAlign w:val="center"/>
          </w:tcPr>
          <w:p w14:paraId="62C8FEA7" w14:textId="77777777" w:rsidR="00665C2A" w:rsidRPr="00B254C9" w:rsidRDefault="00665C2A" w:rsidP="00E7642A">
            <w:pPr>
              <w:pStyle w:val="naiskr"/>
              <w:suppressAutoHyphens w:val="0"/>
              <w:autoSpaceDN/>
              <w:spacing w:before="0" w:after="0"/>
              <w:jc w:val="center"/>
            </w:pPr>
          </w:p>
        </w:tc>
        <w:tc>
          <w:tcPr>
            <w:tcW w:w="709" w:type="dxa"/>
            <w:vAlign w:val="center"/>
          </w:tcPr>
          <w:p w14:paraId="53DE3232" w14:textId="77777777" w:rsidR="00665C2A" w:rsidRPr="00B254C9" w:rsidRDefault="00665C2A" w:rsidP="00E7642A">
            <w:pPr>
              <w:pStyle w:val="naiskr"/>
              <w:suppressAutoHyphens w:val="0"/>
              <w:autoSpaceDN/>
              <w:spacing w:before="0" w:after="0"/>
              <w:jc w:val="center"/>
            </w:pPr>
          </w:p>
        </w:tc>
        <w:tc>
          <w:tcPr>
            <w:tcW w:w="617" w:type="dxa"/>
            <w:vAlign w:val="center"/>
          </w:tcPr>
          <w:p w14:paraId="0E3886BA" w14:textId="77777777" w:rsidR="00665C2A" w:rsidRPr="00B254C9" w:rsidRDefault="00665C2A" w:rsidP="00E7642A">
            <w:pPr>
              <w:pStyle w:val="naiskr"/>
              <w:suppressAutoHyphens w:val="0"/>
              <w:autoSpaceDN/>
              <w:spacing w:before="0" w:after="0"/>
              <w:jc w:val="center"/>
            </w:pPr>
          </w:p>
        </w:tc>
        <w:tc>
          <w:tcPr>
            <w:tcW w:w="638" w:type="dxa"/>
            <w:vAlign w:val="center"/>
          </w:tcPr>
          <w:p w14:paraId="299549E4" w14:textId="77777777" w:rsidR="00665C2A" w:rsidRPr="00B254C9" w:rsidRDefault="00665C2A" w:rsidP="00E7642A">
            <w:pPr>
              <w:pStyle w:val="naiskr"/>
              <w:suppressAutoHyphens w:val="0"/>
              <w:autoSpaceDN/>
              <w:spacing w:before="0" w:after="0"/>
              <w:jc w:val="center"/>
            </w:pPr>
          </w:p>
        </w:tc>
        <w:tc>
          <w:tcPr>
            <w:tcW w:w="603" w:type="dxa"/>
            <w:vAlign w:val="center"/>
          </w:tcPr>
          <w:p w14:paraId="5F406BC5" w14:textId="77777777" w:rsidR="00665C2A" w:rsidRPr="00B254C9" w:rsidRDefault="00665C2A" w:rsidP="00E7642A">
            <w:pPr>
              <w:pStyle w:val="naiskr"/>
              <w:suppressAutoHyphens w:val="0"/>
              <w:autoSpaceDN/>
              <w:spacing w:before="0" w:after="0"/>
              <w:jc w:val="center"/>
            </w:pPr>
          </w:p>
        </w:tc>
      </w:tr>
      <w:tr w:rsidR="00665C2A" w:rsidRPr="00B254C9" w14:paraId="6923896C" w14:textId="77777777" w:rsidTr="00566937">
        <w:tc>
          <w:tcPr>
            <w:tcW w:w="3828" w:type="dxa"/>
            <w:vAlign w:val="center"/>
          </w:tcPr>
          <w:p w14:paraId="72F9D8C2" w14:textId="77777777" w:rsidR="00665C2A" w:rsidRPr="00B254C9" w:rsidRDefault="00665C2A" w:rsidP="00E7642A">
            <w:pPr>
              <w:pStyle w:val="naiskr"/>
              <w:suppressAutoHyphens w:val="0"/>
              <w:autoSpaceDN/>
              <w:spacing w:before="40" w:after="40"/>
              <w:jc w:val="right"/>
            </w:pPr>
            <w:r w:rsidRPr="00B254C9">
              <w:t xml:space="preserve">MK noteikumu projekta precizēšana, tostarp ietverot gala finansējuma sadalījumu, un atkārtota saskaņošana </w:t>
            </w:r>
          </w:p>
        </w:tc>
        <w:tc>
          <w:tcPr>
            <w:tcW w:w="816" w:type="dxa"/>
            <w:vAlign w:val="center"/>
          </w:tcPr>
          <w:p w14:paraId="75FD8309" w14:textId="77777777" w:rsidR="00665C2A" w:rsidRPr="00B254C9" w:rsidRDefault="00665C2A" w:rsidP="00E7642A">
            <w:pPr>
              <w:pStyle w:val="naiskr"/>
              <w:suppressAutoHyphens w:val="0"/>
              <w:autoSpaceDN/>
              <w:spacing w:before="0" w:after="0"/>
              <w:jc w:val="center"/>
            </w:pPr>
          </w:p>
        </w:tc>
        <w:tc>
          <w:tcPr>
            <w:tcW w:w="816" w:type="dxa"/>
            <w:vAlign w:val="center"/>
          </w:tcPr>
          <w:p w14:paraId="1998D427" w14:textId="77777777" w:rsidR="00665C2A" w:rsidRPr="00B254C9" w:rsidRDefault="00665C2A" w:rsidP="00E7642A">
            <w:pPr>
              <w:pStyle w:val="naiskr"/>
              <w:suppressAutoHyphens w:val="0"/>
              <w:autoSpaceDN/>
              <w:spacing w:before="0" w:after="0"/>
              <w:jc w:val="center"/>
            </w:pPr>
          </w:p>
        </w:tc>
        <w:tc>
          <w:tcPr>
            <w:tcW w:w="633" w:type="dxa"/>
            <w:vAlign w:val="center"/>
          </w:tcPr>
          <w:p w14:paraId="170F9498" w14:textId="77777777" w:rsidR="00665C2A" w:rsidRPr="00B254C9" w:rsidRDefault="00665C2A" w:rsidP="00E7642A">
            <w:pPr>
              <w:pStyle w:val="naiskr"/>
              <w:suppressAutoHyphens w:val="0"/>
              <w:autoSpaceDN/>
              <w:spacing w:before="0" w:after="0"/>
              <w:jc w:val="center"/>
            </w:pPr>
            <w:r w:rsidRPr="00B254C9">
              <w:t>X</w:t>
            </w:r>
          </w:p>
        </w:tc>
        <w:tc>
          <w:tcPr>
            <w:tcW w:w="674" w:type="dxa"/>
            <w:vAlign w:val="center"/>
          </w:tcPr>
          <w:p w14:paraId="4BC43614" w14:textId="77777777" w:rsidR="00665C2A" w:rsidRPr="00B254C9" w:rsidRDefault="00665C2A" w:rsidP="00E7642A">
            <w:pPr>
              <w:pStyle w:val="naiskr"/>
              <w:suppressAutoHyphens w:val="0"/>
              <w:autoSpaceDN/>
              <w:spacing w:before="0" w:after="0"/>
              <w:jc w:val="center"/>
            </w:pPr>
          </w:p>
        </w:tc>
        <w:tc>
          <w:tcPr>
            <w:tcW w:w="709" w:type="dxa"/>
            <w:vAlign w:val="center"/>
          </w:tcPr>
          <w:p w14:paraId="415B7335" w14:textId="77777777" w:rsidR="00665C2A" w:rsidRPr="00B254C9" w:rsidRDefault="00665C2A" w:rsidP="00E7642A">
            <w:pPr>
              <w:pStyle w:val="naiskr"/>
              <w:suppressAutoHyphens w:val="0"/>
              <w:autoSpaceDN/>
              <w:spacing w:before="0" w:after="0"/>
              <w:jc w:val="center"/>
            </w:pPr>
          </w:p>
        </w:tc>
        <w:tc>
          <w:tcPr>
            <w:tcW w:w="617" w:type="dxa"/>
            <w:vAlign w:val="center"/>
          </w:tcPr>
          <w:p w14:paraId="6C5F9F34" w14:textId="77777777" w:rsidR="00665C2A" w:rsidRPr="00B254C9" w:rsidRDefault="00665C2A" w:rsidP="00E7642A">
            <w:pPr>
              <w:pStyle w:val="naiskr"/>
              <w:suppressAutoHyphens w:val="0"/>
              <w:autoSpaceDN/>
              <w:spacing w:before="0" w:after="0"/>
              <w:jc w:val="center"/>
            </w:pPr>
          </w:p>
        </w:tc>
        <w:tc>
          <w:tcPr>
            <w:tcW w:w="638" w:type="dxa"/>
            <w:vAlign w:val="center"/>
          </w:tcPr>
          <w:p w14:paraId="2B6B7DC3" w14:textId="77777777" w:rsidR="00665C2A" w:rsidRPr="00B254C9" w:rsidRDefault="00665C2A" w:rsidP="00E7642A">
            <w:pPr>
              <w:pStyle w:val="naiskr"/>
              <w:suppressAutoHyphens w:val="0"/>
              <w:autoSpaceDN/>
              <w:spacing w:before="0" w:after="0"/>
              <w:jc w:val="center"/>
            </w:pPr>
          </w:p>
        </w:tc>
        <w:tc>
          <w:tcPr>
            <w:tcW w:w="603" w:type="dxa"/>
            <w:vAlign w:val="center"/>
          </w:tcPr>
          <w:p w14:paraId="55C45CA8" w14:textId="77777777" w:rsidR="00665C2A" w:rsidRPr="00B254C9" w:rsidRDefault="00665C2A" w:rsidP="00E7642A">
            <w:pPr>
              <w:pStyle w:val="naiskr"/>
              <w:suppressAutoHyphens w:val="0"/>
              <w:autoSpaceDN/>
              <w:spacing w:before="0" w:after="0"/>
              <w:jc w:val="center"/>
            </w:pPr>
          </w:p>
        </w:tc>
      </w:tr>
      <w:tr w:rsidR="00665C2A" w:rsidRPr="00B254C9" w14:paraId="56FEBC26" w14:textId="77777777" w:rsidTr="00566937">
        <w:tc>
          <w:tcPr>
            <w:tcW w:w="3828" w:type="dxa"/>
            <w:vAlign w:val="center"/>
          </w:tcPr>
          <w:p w14:paraId="135BDFC2" w14:textId="77777777" w:rsidR="00665C2A" w:rsidRPr="00B254C9" w:rsidRDefault="00665C2A" w:rsidP="00E7642A">
            <w:pPr>
              <w:pStyle w:val="naiskr"/>
              <w:suppressAutoHyphens w:val="0"/>
              <w:autoSpaceDN/>
              <w:spacing w:before="40" w:after="40"/>
              <w:jc w:val="right"/>
            </w:pPr>
            <w:r w:rsidRPr="00B254C9">
              <w:t>MK noteikumu projekta apstiprināšana MK</w:t>
            </w:r>
          </w:p>
        </w:tc>
        <w:tc>
          <w:tcPr>
            <w:tcW w:w="816" w:type="dxa"/>
            <w:vAlign w:val="center"/>
          </w:tcPr>
          <w:p w14:paraId="46A3E20E" w14:textId="77777777" w:rsidR="00665C2A" w:rsidRPr="00B254C9" w:rsidRDefault="00665C2A" w:rsidP="00E7642A">
            <w:pPr>
              <w:pStyle w:val="naiskr"/>
              <w:suppressAutoHyphens w:val="0"/>
              <w:autoSpaceDN/>
              <w:spacing w:before="0" w:after="0"/>
              <w:jc w:val="center"/>
            </w:pPr>
          </w:p>
        </w:tc>
        <w:tc>
          <w:tcPr>
            <w:tcW w:w="816" w:type="dxa"/>
            <w:vAlign w:val="center"/>
          </w:tcPr>
          <w:p w14:paraId="1823FEFE" w14:textId="77777777" w:rsidR="00665C2A" w:rsidRPr="00B254C9" w:rsidRDefault="00665C2A" w:rsidP="00E7642A">
            <w:pPr>
              <w:pStyle w:val="naiskr"/>
              <w:suppressAutoHyphens w:val="0"/>
              <w:autoSpaceDN/>
              <w:spacing w:before="0" w:after="0"/>
              <w:jc w:val="center"/>
            </w:pPr>
          </w:p>
        </w:tc>
        <w:tc>
          <w:tcPr>
            <w:tcW w:w="633" w:type="dxa"/>
            <w:vAlign w:val="center"/>
          </w:tcPr>
          <w:p w14:paraId="37FA09D3" w14:textId="77777777" w:rsidR="00665C2A" w:rsidRPr="00B254C9" w:rsidRDefault="00665C2A" w:rsidP="00E7642A">
            <w:pPr>
              <w:pStyle w:val="naiskr"/>
              <w:suppressAutoHyphens w:val="0"/>
              <w:autoSpaceDN/>
              <w:spacing w:before="0" w:after="0"/>
              <w:jc w:val="center"/>
            </w:pPr>
          </w:p>
        </w:tc>
        <w:tc>
          <w:tcPr>
            <w:tcW w:w="674" w:type="dxa"/>
            <w:vAlign w:val="center"/>
          </w:tcPr>
          <w:p w14:paraId="0E57BC4C" w14:textId="77777777" w:rsidR="00665C2A" w:rsidRPr="00B254C9" w:rsidRDefault="00665C2A" w:rsidP="00E7642A">
            <w:pPr>
              <w:pStyle w:val="naiskr"/>
              <w:suppressAutoHyphens w:val="0"/>
              <w:autoSpaceDN/>
              <w:spacing w:before="0" w:after="0"/>
              <w:jc w:val="center"/>
            </w:pPr>
            <w:r w:rsidRPr="00B254C9">
              <w:t>X</w:t>
            </w:r>
          </w:p>
        </w:tc>
        <w:tc>
          <w:tcPr>
            <w:tcW w:w="709" w:type="dxa"/>
            <w:vAlign w:val="center"/>
          </w:tcPr>
          <w:p w14:paraId="56DF5E83" w14:textId="77777777" w:rsidR="00665C2A" w:rsidRPr="00B254C9" w:rsidRDefault="00665C2A" w:rsidP="00E7642A">
            <w:pPr>
              <w:pStyle w:val="naiskr"/>
              <w:suppressAutoHyphens w:val="0"/>
              <w:autoSpaceDN/>
              <w:spacing w:before="0" w:after="0"/>
              <w:jc w:val="center"/>
            </w:pPr>
          </w:p>
        </w:tc>
        <w:tc>
          <w:tcPr>
            <w:tcW w:w="617" w:type="dxa"/>
            <w:vAlign w:val="center"/>
          </w:tcPr>
          <w:p w14:paraId="5239BC8D" w14:textId="77777777" w:rsidR="00665C2A" w:rsidRPr="00B254C9" w:rsidRDefault="00665C2A" w:rsidP="00E7642A">
            <w:pPr>
              <w:pStyle w:val="naiskr"/>
              <w:suppressAutoHyphens w:val="0"/>
              <w:autoSpaceDN/>
              <w:spacing w:before="0" w:after="0"/>
              <w:jc w:val="center"/>
            </w:pPr>
          </w:p>
        </w:tc>
        <w:tc>
          <w:tcPr>
            <w:tcW w:w="638" w:type="dxa"/>
            <w:vAlign w:val="center"/>
          </w:tcPr>
          <w:p w14:paraId="0C035BD2" w14:textId="77777777" w:rsidR="00665C2A" w:rsidRPr="00B254C9" w:rsidRDefault="00665C2A" w:rsidP="00E7642A">
            <w:pPr>
              <w:pStyle w:val="naiskr"/>
              <w:suppressAutoHyphens w:val="0"/>
              <w:autoSpaceDN/>
              <w:spacing w:before="0" w:after="0"/>
              <w:jc w:val="center"/>
            </w:pPr>
          </w:p>
        </w:tc>
        <w:tc>
          <w:tcPr>
            <w:tcW w:w="603" w:type="dxa"/>
            <w:vAlign w:val="center"/>
          </w:tcPr>
          <w:p w14:paraId="77E63EA8" w14:textId="77777777" w:rsidR="00665C2A" w:rsidRPr="00B254C9" w:rsidRDefault="00665C2A" w:rsidP="00E7642A">
            <w:pPr>
              <w:pStyle w:val="naiskr"/>
              <w:suppressAutoHyphens w:val="0"/>
              <w:autoSpaceDN/>
              <w:spacing w:before="0" w:after="0"/>
              <w:jc w:val="center"/>
            </w:pPr>
          </w:p>
        </w:tc>
      </w:tr>
      <w:tr w:rsidR="00B6346B" w:rsidRPr="00B254C9" w14:paraId="1F72BB21" w14:textId="77777777" w:rsidTr="00566937">
        <w:tc>
          <w:tcPr>
            <w:tcW w:w="3828" w:type="dxa"/>
            <w:vAlign w:val="center"/>
          </w:tcPr>
          <w:p w14:paraId="0584E73C" w14:textId="77777777" w:rsidR="00B6346B" w:rsidRPr="00B254C9" w:rsidRDefault="00B6346B" w:rsidP="00E7642A">
            <w:pPr>
              <w:pStyle w:val="naiskr"/>
              <w:suppressAutoHyphens w:val="0"/>
              <w:autoSpaceDN/>
              <w:spacing w:before="40" w:after="40"/>
              <w:jc w:val="right"/>
            </w:pPr>
            <w:r w:rsidRPr="00B254C9">
              <w:t xml:space="preserve">ZI stratēģiju un investīciju plāna saskaņošana ar IZM un nozares ministriju </w:t>
            </w:r>
            <w:r w:rsidRPr="00B254C9">
              <w:rPr>
                <w:i/>
              </w:rPr>
              <w:t>(priekšnoteikums projekta iesniegšanai)</w:t>
            </w:r>
          </w:p>
        </w:tc>
        <w:tc>
          <w:tcPr>
            <w:tcW w:w="816" w:type="dxa"/>
            <w:vAlign w:val="center"/>
          </w:tcPr>
          <w:p w14:paraId="56A78BB6" w14:textId="77777777" w:rsidR="00B6346B" w:rsidRPr="00B254C9" w:rsidRDefault="00B6346B" w:rsidP="00E7642A">
            <w:pPr>
              <w:pStyle w:val="naiskr"/>
              <w:suppressAutoHyphens w:val="0"/>
              <w:autoSpaceDN/>
              <w:spacing w:before="0" w:after="0"/>
              <w:jc w:val="center"/>
            </w:pPr>
          </w:p>
        </w:tc>
        <w:tc>
          <w:tcPr>
            <w:tcW w:w="816" w:type="dxa"/>
            <w:vAlign w:val="center"/>
          </w:tcPr>
          <w:p w14:paraId="74A7B7AE" w14:textId="77777777" w:rsidR="00B6346B" w:rsidRPr="00B254C9" w:rsidRDefault="00B6346B" w:rsidP="00E7642A">
            <w:pPr>
              <w:pStyle w:val="naiskr"/>
              <w:suppressAutoHyphens w:val="0"/>
              <w:autoSpaceDN/>
              <w:spacing w:before="0" w:after="0"/>
              <w:jc w:val="center"/>
            </w:pPr>
          </w:p>
        </w:tc>
        <w:tc>
          <w:tcPr>
            <w:tcW w:w="633" w:type="dxa"/>
            <w:vAlign w:val="center"/>
          </w:tcPr>
          <w:p w14:paraId="613E83FF" w14:textId="77777777" w:rsidR="00B6346B" w:rsidRPr="00B254C9" w:rsidRDefault="00B6346B" w:rsidP="00E7642A">
            <w:pPr>
              <w:pStyle w:val="naiskr"/>
              <w:suppressAutoHyphens w:val="0"/>
              <w:autoSpaceDN/>
              <w:spacing w:before="0" w:after="0"/>
              <w:jc w:val="center"/>
            </w:pPr>
            <w:r w:rsidRPr="00B254C9">
              <w:t>X</w:t>
            </w:r>
          </w:p>
        </w:tc>
        <w:tc>
          <w:tcPr>
            <w:tcW w:w="674" w:type="dxa"/>
            <w:vAlign w:val="center"/>
          </w:tcPr>
          <w:p w14:paraId="365ABC28" w14:textId="77777777" w:rsidR="00B6346B" w:rsidRPr="00B254C9" w:rsidRDefault="00B6346B" w:rsidP="00E7642A">
            <w:pPr>
              <w:pStyle w:val="naiskr"/>
              <w:suppressAutoHyphens w:val="0"/>
              <w:autoSpaceDN/>
              <w:spacing w:before="0" w:after="0"/>
              <w:jc w:val="center"/>
            </w:pPr>
            <w:r w:rsidRPr="00B254C9">
              <w:t>X</w:t>
            </w:r>
          </w:p>
        </w:tc>
        <w:tc>
          <w:tcPr>
            <w:tcW w:w="709" w:type="dxa"/>
            <w:vAlign w:val="center"/>
          </w:tcPr>
          <w:p w14:paraId="51F1214C" w14:textId="77777777" w:rsidR="00B6346B" w:rsidRPr="00B254C9" w:rsidRDefault="00B6346B" w:rsidP="00E7642A">
            <w:pPr>
              <w:pStyle w:val="naiskr"/>
              <w:suppressAutoHyphens w:val="0"/>
              <w:autoSpaceDN/>
              <w:spacing w:before="0" w:after="0"/>
              <w:jc w:val="center"/>
            </w:pPr>
            <w:r w:rsidRPr="00B254C9">
              <w:t>X</w:t>
            </w:r>
          </w:p>
        </w:tc>
        <w:tc>
          <w:tcPr>
            <w:tcW w:w="617" w:type="dxa"/>
            <w:vAlign w:val="center"/>
          </w:tcPr>
          <w:p w14:paraId="2A97477D" w14:textId="4A759294" w:rsidR="00B6346B" w:rsidRPr="00B254C9" w:rsidRDefault="00B6346B" w:rsidP="00E7642A">
            <w:pPr>
              <w:pStyle w:val="naiskr"/>
              <w:suppressAutoHyphens w:val="0"/>
              <w:autoSpaceDN/>
              <w:spacing w:before="0" w:after="0"/>
              <w:jc w:val="center"/>
            </w:pPr>
            <w:r w:rsidRPr="00B254C9">
              <w:t>X</w:t>
            </w:r>
          </w:p>
        </w:tc>
        <w:tc>
          <w:tcPr>
            <w:tcW w:w="638" w:type="dxa"/>
            <w:vAlign w:val="center"/>
          </w:tcPr>
          <w:p w14:paraId="089E48F3" w14:textId="1B8503D2" w:rsidR="00B6346B" w:rsidRPr="00B254C9" w:rsidRDefault="00B6346B" w:rsidP="00E7642A">
            <w:pPr>
              <w:pStyle w:val="naiskr"/>
              <w:suppressAutoHyphens w:val="0"/>
              <w:autoSpaceDN/>
              <w:spacing w:before="0" w:after="0"/>
              <w:jc w:val="center"/>
            </w:pPr>
            <w:r w:rsidRPr="00B254C9">
              <w:t>X</w:t>
            </w:r>
          </w:p>
        </w:tc>
        <w:tc>
          <w:tcPr>
            <w:tcW w:w="603" w:type="dxa"/>
            <w:vAlign w:val="center"/>
          </w:tcPr>
          <w:p w14:paraId="3B615125" w14:textId="58F050C6" w:rsidR="00B6346B" w:rsidRPr="00B254C9" w:rsidRDefault="00B6346B" w:rsidP="00E7642A">
            <w:pPr>
              <w:pStyle w:val="naiskr"/>
              <w:suppressAutoHyphens w:val="0"/>
              <w:autoSpaceDN/>
              <w:spacing w:before="0" w:after="0"/>
              <w:jc w:val="center"/>
            </w:pPr>
            <w:r w:rsidRPr="00B254C9">
              <w:t>X</w:t>
            </w:r>
          </w:p>
        </w:tc>
      </w:tr>
      <w:tr w:rsidR="00B6346B" w:rsidRPr="00B254C9" w14:paraId="3D33137F" w14:textId="77777777" w:rsidTr="00566937">
        <w:tc>
          <w:tcPr>
            <w:tcW w:w="3828" w:type="dxa"/>
            <w:vAlign w:val="center"/>
          </w:tcPr>
          <w:p w14:paraId="0F81ADCB" w14:textId="77777777" w:rsidR="00B6346B" w:rsidRPr="00B254C9" w:rsidRDefault="00B6346B" w:rsidP="00E7642A">
            <w:pPr>
              <w:pStyle w:val="naiskr"/>
              <w:suppressAutoHyphens w:val="0"/>
              <w:autoSpaceDN/>
              <w:spacing w:before="40" w:after="40"/>
              <w:jc w:val="right"/>
            </w:pPr>
            <w:r w:rsidRPr="00B254C9">
              <w:t>Atlases uzsākšana</w:t>
            </w:r>
          </w:p>
        </w:tc>
        <w:tc>
          <w:tcPr>
            <w:tcW w:w="816" w:type="dxa"/>
            <w:vAlign w:val="center"/>
          </w:tcPr>
          <w:p w14:paraId="7CF4FF30" w14:textId="77777777" w:rsidR="00B6346B" w:rsidRPr="00B254C9" w:rsidRDefault="00B6346B" w:rsidP="00E7642A">
            <w:pPr>
              <w:pStyle w:val="naiskr"/>
              <w:suppressAutoHyphens w:val="0"/>
              <w:autoSpaceDN/>
              <w:spacing w:before="0" w:after="0"/>
              <w:jc w:val="center"/>
            </w:pPr>
          </w:p>
        </w:tc>
        <w:tc>
          <w:tcPr>
            <w:tcW w:w="816" w:type="dxa"/>
            <w:vAlign w:val="center"/>
          </w:tcPr>
          <w:p w14:paraId="5DEEC85A" w14:textId="77777777" w:rsidR="00B6346B" w:rsidRPr="00B254C9" w:rsidRDefault="00B6346B" w:rsidP="00E7642A">
            <w:pPr>
              <w:pStyle w:val="naiskr"/>
              <w:suppressAutoHyphens w:val="0"/>
              <w:autoSpaceDN/>
              <w:spacing w:before="0" w:after="0"/>
              <w:jc w:val="center"/>
            </w:pPr>
          </w:p>
        </w:tc>
        <w:tc>
          <w:tcPr>
            <w:tcW w:w="633" w:type="dxa"/>
            <w:vAlign w:val="center"/>
          </w:tcPr>
          <w:p w14:paraId="2C88FE89" w14:textId="77777777" w:rsidR="00B6346B" w:rsidRPr="00B254C9" w:rsidRDefault="00B6346B" w:rsidP="00E7642A">
            <w:pPr>
              <w:pStyle w:val="naiskr"/>
              <w:suppressAutoHyphens w:val="0"/>
              <w:autoSpaceDN/>
              <w:spacing w:before="0" w:after="0"/>
              <w:jc w:val="center"/>
            </w:pPr>
          </w:p>
        </w:tc>
        <w:tc>
          <w:tcPr>
            <w:tcW w:w="674" w:type="dxa"/>
            <w:vAlign w:val="center"/>
          </w:tcPr>
          <w:p w14:paraId="1E999F72" w14:textId="77777777" w:rsidR="00B6346B" w:rsidRPr="00B254C9" w:rsidRDefault="00B6346B" w:rsidP="00E7642A">
            <w:pPr>
              <w:pStyle w:val="naiskr"/>
              <w:suppressAutoHyphens w:val="0"/>
              <w:autoSpaceDN/>
              <w:spacing w:before="0" w:after="0"/>
              <w:jc w:val="center"/>
            </w:pPr>
          </w:p>
        </w:tc>
        <w:tc>
          <w:tcPr>
            <w:tcW w:w="709" w:type="dxa"/>
            <w:vAlign w:val="center"/>
          </w:tcPr>
          <w:p w14:paraId="06868B72" w14:textId="77777777" w:rsidR="00B6346B" w:rsidRPr="00B254C9" w:rsidRDefault="00B6346B" w:rsidP="00E7642A">
            <w:pPr>
              <w:pStyle w:val="naiskr"/>
              <w:suppressAutoHyphens w:val="0"/>
              <w:autoSpaceDN/>
              <w:spacing w:before="0" w:after="0"/>
              <w:jc w:val="center"/>
            </w:pPr>
          </w:p>
        </w:tc>
        <w:tc>
          <w:tcPr>
            <w:tcW w:w="617" w:type="dxa"/>
            <w:vAlign w:val="center"/>
          </w:tcPr>
          <w:p w14:paraId="72A03C46" w14:textId="77777777" w:rsidR="00B6346B" w:rsidRPr="00B254C9" w:rsidRDefault="00B6346B" w:rsidP="00E7642A">
            <w:pPr>
              <w:pStyle w:val="naiskr"/>
              <w:suppressAutoHyphens w:val="0"/>
              <w:autoSpaceDN/>
              <w:spacing w:before="0" w:after="0"/>
              <w:jc w:val="center"/>
            </w:pPr>
            <w:r w:rsidRPr="00B254C9">
              <w:t>X</w:t>
            </w:r>
          </w:p>
        </w:tc>
        <w:tc>
          <w:tcPr>
            <w:tcW w:w="638" w:type="dxa"/>
            <w:vAlign w:val="center"/>
          </w:tcPr>
          <w:p w14:paraId="08353B8D" w14:textId="77777777" w:rsidR="00B6346B" w:rsidRPr="00B254C9" w:rsidRDefault="00B6346B" w:rsidP="00E7642A">
            <w:pPr>
              <w:pStyle w:val="naiskr"/>
              <w:suppressAutoHyphens w:val="0"/>
              <w:autoSpaceDN/>
              <w:spacing w:before="0" w:after="0"/>
              <w:jc w:val="center"/>
            </w:pPr>
          </w:p>
        </w:tc>
        <w:tc>
          <w:tcPr>
            <w:tcW w:w="603" w:type="dxa"/>
            <w:vAlign w:val="center"/>
          </w:tcPr>
          <w:p w14:paraId="7D3A35E8" w14:textId="77777777" w:rsidR="00B6346B" w:rsidRPr="00B254C9" w:rsidRDefault="00B6346B" w:rsidP="00E7642A">
            <w:pPr>
              <w:pStyle w:val="naiskr"/>
              <w:suppressAutoHyphens w:val="0"/>
              <w:autoSpaceDN/>
              <w:spacing w:before="0" w:after="0"/>
              <w:jc w:val="center"/>
            </w:pPr>
          </w:p>
        </w:tc>
      </w:tr>
      <w:tr w:rsidR="00B6346B" w:rsidRPr="00B254C9" w14:paraId="105A2677" w14:textId="77777777" w:rsidTr="00566937">
        <w:tc>
          <w:tcPr>
            <w:tcW w:w="3828" w:type="dxa"/>
            <w:vAlign w:val="center"/>
          </w:tcPr>
          <w:p w14:paraId="6B7FBFAF" w14:textId="77777777" w:rsidR="00B6346B" w:rsidRPr="00B254C9" w:rsidRDefault="00B6346B" w:rsidP="00E7642A">
            <w:pPr>
              <w:pStyle w:val="naiskr"/>
              <w:suppressAutoHyphens w:val="0"/>
              <w:autoSpaceDN/>
              <w:spacing w:before="40" w:after="40"/>
              <w:jc w:val="right"/>
            </w:pPr>
            <w:r w:rsidRPr="00B254C9">
              <w:t>Projektu iesniegšana atbilstoši gatavībai; vērtēšanas atbalsts no JASPERS</w:t>
            </w:r>
          </w:p>
        </w:tc>
        <w:tc>
          <w:tcPr>
            <w:tcW w:w="816" w:type="dxa"/>
            <w:vAlign w:val="center"/>
          </w:tcPr>
          <w:p w14:paraId="1EE98088" w14:textId="77777777" w:rsidR="00B6346B" w:rsidRPr="00B254C9" w:rsidRDefault="00B6346B" w:rsidP="00E7642A">
            <w:pPr>
              <w:pStyle w:val="naiskr"/>
              <w:suppressAutoHyphens w:val="0"/>
              <w:autoSpaceDN/>
              <w:spacing w:before="0" w:after="0"/>
              <w:jc w:val="center"/>
            </w:pPr>
          </w:p>
        </w:tc>
        <w:tc>
          <w:tcPr>
            <w:tcW w:w="816" w:type="dxa"/>
            <w:vAlign w:val="center"/>
          </w:tcPr>
          <w:p w14:paraId="7EF4A0DE" w14:textId="77777777" w:rsidR="00B6346B" w:rsidRPr="00B254C9" w:rsidRDefault="00B6346B" w:rsidP="00E7642A">
            <w:pPr>
              <w:pStyle w:val="naiskr"/>
              <w:suppressAutoHyphens w:val="0"/>
              <w:autoSpaceDN/>
              <w:spacing w:before="0" w:after="0"/>
              <w:jc w:val="center"/>
            </w:pPr>
          </w:p>
        </w:tc>
        <w:tc>
          <w:tcPr>
            <w:tcW w:w="633" w:type="dxa"/>
            <w:vAlign w:val="center"/>
          </w:tcPr>
          <w:p w14:paraId="09CC5F16" w14:textId="77777777" w:rsidR="00B6346B" w:rsidRPr="00B254C9" w:rsidRDefault="00B6346B" w:rsidP="00E7642A">
            <w:pPr>
              <w:pStyle w:val="naiskr"/>
              <w:suppressAutoHyphens w:val="0"/>
              <w:autoSpaceDN/>
              <w:spacing w:before="0" w:after="0"/>
              <w:jc w:val="center"/>
            </w:pPr>
          </w:p>
        </w:tc>
        <w:tc>
          <w:tcPr>
            <w:tcW w:w="674" w:type="dxa"/>
            <w:vAlign w:val="center"/>
          </w:tcPr>
          <w:p w14:paraId="00687AFB" w14:textId="77777777" w:rsidR="00B6346B" w:rsidRPr="00B254C9" w:rsidRDefault="00B6346B" w:rsidP="00E7642A">
            <w:pPr>
              <w:pStyle w:val="naiskr"/>
              <w:suppressAutoHyphens w:val="0"/>
              <w:autoSpaceDN/>
              <w:spacing w:before="0" w:after="0"/>
              <w:jc w:val="center"/>
            </w:pPr>
          </w:p>
        </w:tc>
        <w:tc>
          <w:tcPr>
            <w:tcW w:w="709" w:type="dxa"/>
            <w:vAlign w:val="center"/>
          </w:tcPr>
          <w:p w14:paraId="43429433" w14:textId="77777777" w:rsidR="00B6346B" w:rsidRPr="00B254C9" w:rsidRDefault="00B6346B" w:rsidP="00E7642A">
            <w:pPr>
              <w:pStyle w:val="naiskr"/>
              <w:suppressAutoHyphens w:val="0"/>
              <w:autoSpaceDN/>
              <w:spacing w:before="0" w:after="0"/>
              <w:jc w:val="center"/>
            </w:pPr>
          </w:p>
        </w:tc>
        <w:tc>
          <w:tcPr>
            <w:tcW w:w="617" w:type="dxa"/>
            <w:vAlign w:val="center"/>
          </w:tcPr>
          <w:p w14:paraId="6C3C3806" w14:textId="77777777" w:rsidR="00B6346B" w:rsidRPr="00B254C9" w:rsidRDefault="00B6346B" w:rsidP="00E7642A">
            <w:pPr>
              <w:pStyle w:val="naiskr"/>
              <w:suppressAutoHyphens w:val="0"/>
              <w:autoSpaceDN/>
              <w:spacing w:before="0" w:after="0"/>
              <w:jc w:val="center"/>
            </w:pPr>
            <w:r w:rsidRPr="00B254C9">
              <w:t>X</w:t>
            </w:r>
          </w:p>
        </w:tc>
        <w:tc>
          <w:tcPr>
            <w:tcW w:w="638" w:type="dxa"/>
            <w:vAlign w:val="center"/>
          </w:tcPr>
          <w:p w14:paraId="5D3E420D" w14:textId="77777777" w:rsidR="00B6346B" w:rsidRPr="00B254C9" w:rsidRDefault="00B6346B" w:rsidP="00E7642A">
            <w:pPr>
              <w:pStyle w:val="naiskr"/>
              <w:suppressAutoHyphens w:val="0"/>
              <w:autoSpaceDN/>
              <w:spacing w:before="0" w:after="0"/>
              <w:jc w:val="center"/>
            </w:pPr>
            <w:r w:rsidRPr="00B254C9">
              <w:t>X</w:t>
            </w:r>
          </w:p>
        </w:tc>
        <w:tc>
          <w:tcPr>
            <w:tcW w:w="603" w:type="dxa"/>
            <w:vAlign w:val="center"/>
          </w:tcPr>
          <w:p w14:paraId="3878E0F0" w14:textId="77777777" w:rsidR="00B6346B" w:rsidRPr="00B254C9" w:rsidRDefault="00B6346B" w:rsidP="00E7642A">
            <w:pPr>
              <w:pStyle w:val="naiskr"/>
              <w:suppressAutoHyphens w:val="0"/>
              <w:autoSpaceDN/>
              <w:spacing w:before="0" w:after="0"/>
              <w:jc w:val="center"/>
            </w:pPr>
            <w:r w:rsidRPr="00B254C9">
              <w:t>X</w:t>
            </w:r>
          </w:p>
        </w:tc>
      </w:tr>
    </w:tbl>
    <w:p w14:paraId="6D825D73" w14:textId="77777777" w:rsidR="00665C2A" w:rsidRDefault="00665C2A" w:rsidP="00E7642A">
      <w:pPr>
        <w:ind w:left="0"/>
        <w:rPr>
          <w:rFonts w:ascii="Times New Roman" w:hAnsi="Times New Roman"/>
          <w:lang w:eastAsia="lv-LV"/>
        </w:rPr>
      </w:pPr>
    </w:p>
    <w:p w14:paraId="3D47E3C9" w14:textId="77777777" w:rsidR="00665C2A" w:rsidRPr="00511CD3" w:rsidRDefault="00665C2A" w:rsidP="00E7642A">
      <w:pPr>
        <w:ind w:left="0"/>
        <w:rPr>
          <w:rFonts w:ascii="Times New Roman" w:hAnsi="Times New Roman"/>
          <w:lang w:eastAsia="lv-LV"/>
        </w:rPr>
      </w:pPr>
    </w:p>
    <w:p w14:paraId="4E0370DF" w14:textId="77777777" w:rsidR="00791B8F" w:rsidRPr="00C07278" w:rsidRDefault="00791B8F" w:rsidP="00E7642A">
      <w:pPr>
        <w:tabs>
          <w:tab w:val="left" w:pos="567"/>
        </w:tabs>
        <w:ind w:left="0"/>
        <w:rPr>
          <w:rFonts w:ascii="Times New Roman" w:hAnsi="Times New Roman"/>
          <w:sz w:val="24"/>
          <w:szCs w:val="24"/>
        </w:rPr>
      </w:pPr>
      <w:r w:rsidRPr="00C07278">
        <w:rPr>
          <w:rFonts w:ascii="Times New Roman" w:hAnsi="Times New Roman"/>
          <w:sz w:val="24"/>
          <w:szCs w:val="24"/>
        </w:rPr>
        <w:tab/>
        <w:t>Pielikumā:</w:t>
      </w:r>
    </w:p>
    <w:p w14:paraId="750E0ACD" w14:textId="77777777" w:rsidR="00CC6AB4" w:rsidRPr="00CC6AB4" w:rsidRDefault="00CC6AB4" w:rsidP="00E7642A">
      <w:pPr>
        <w:pStyle w:val="ListParagraph"/>
        <w:numPr>
          <w:ilvl w:val="0"/>
          <w:numId w:val="17"/>
        </w:numPr>
        <w:ind w:left="851" w:hanging="491"/>
      </w:pPr>
      <w:r w:rsidRPr="00CC6AB4">
        <w:t>Zinātnisko institūciju novērtējums uz 4 lpp.;</w:t>
      </w:r>
    </w:p>
    <w:p w14:paraId="36C15AFA" w14:textId="77777777" w:rsidR="00CC6AB4" w:rsidRPr="00CC6AB4" w:rsidRDefault="007E6D10" w:rsidP="00E7642A">
      <w:pPr>
        <w:pStyle w:val="ListParagraph"/>
        <w:numPr>
          <w:ilvl w:val="0"/>
          <w:numId w:val="17"/>
        </w:numPr>
        <w:ind w:left="851" w:hanging="491"/>
      </w:pPr>
      <w:r w:rsidRPr="00CC6AB4">
        <w:t xml:space="preserve">Zinātnisko institūtu reģistrā reģistrēto zinātnisko institūciju raksturojums </w:t>
      </w:r>
      <w:r w:rsidR="00791B8F" w:rsidRPr="00CC6AB4">
        <w:t xml:space="preserve">uz </w:t>
      </w:r>
      <w:r w:rsidRPr="00CC6AB4">
        <w:t xml:space="preserve">8 </w:t>
      </w:r>
      <w:r w:rsidR="00791B8F" w:rsidRPr="00CC6AB4">
        <w:t>lpp.;</w:t>
      </w:r>
    </w:p>
    <w:p w14:paraId="32CBF014" w14:textId="1A8A3E74" w:rsidR="00CC6AB4" w:rsidRPr="00CC6AB4" w:rsidRDefault="00CC6AB4" w:rsidP="00E7642A">
      <w:pPr>
        <w:pStyle w:val="ListParagraph"/>
        <w:numPr>
          <w:ilvl w:val="0"/>
          <w:numId w:val="17"/>
        </w:numPr>
        <w:ind w:left="851" w:hanging="491"/>
      </w:pPr>
      <w:r w:rsidRPr="00CC6AB4">
        <w:t>Informācija par ES fondu 2004.</w:t>
      </w:r>
      <w:r w:rsidR="00A422AD" w:rsidRPr="00291F8D">
        <w:t>–</w:t>
      </w:r>
      <w:r w:rsidRPr="00CC6AB4">
        <w:t>2006. gada un 2007.</w:t>
      </w:r>
      <w:r w:rsidR="00A422AD" w:rsidRPr="00291F8D">
        <w:t>–</w:t>
      </w:r>
      <w:r w:rsidRPr="00CC6AB4">
        <w:t>2013. gada plānošanas periodā piesaistīto finansējumu infrastruktūras modernizēšanai uz 2 lpp.;</w:t>
      </w:r>
    </w:p>
    <w:p w14:paraId="54C5FF23" w14:textId="1530262F" w:rsidR="00CC6AB4" w:rsidRPr="00CC6AB4" w:rsidRDefault="00791B8F" w:rsidP="00E7642A">
      <w:pPr>
        <w:pStyle w:val="ListParagraph"/>
        <w:numPr>
          <w:ilvl w:val="0"/>
          <w:numId w:val="17"/>
        </w:numPr>
        <w:ind w:left="851" w:hanging="491"/>
      </w:pPr>
      <w:r w:rsidRPr="00CC6AB4">
        <w:t>ES fondu atbalsts zinātniskās infrastruktūras modernizēšanai 2004.</w:t>
      </w:r>
      <w:r w:rsidR="00A422AD" w:rsidRPr="00291F8D">
        <w:t>–</w:t>
      </w:r>
      <w:r w:rsidRPr="00CC6AB4">
        <w:t>2006.</w:t>
      </w:r>
      <w:r w:rsidR="009B1BC5" w:rsidRPr="00CC6AB4">
        <w:t xml:space="preserve"> </w:t>
      </w:r>
      <w:r w:rsidRPr="00CC6AB4">
        <w:t>gada plānošanas periodā uz 2 lpp.;</w:t>
      </w:r>
    </w:p>
    <w:p w14:paraId="4AD9D3AE" w14:textId="77777777" w:rsidR="00CC6AB4" w:rsidRPr="00CC6AB4" w:rsidRDefault="00791B8F" w:rsidP="00E7642A">
      <w:pPr>
        <w:pStyle w:val="ListParagraph"/>
        <w:numPr>
          <w:ilvl w:val="0"/>
          <w:numId w:val="17"/>
        </w:numPr>
        <w:ind w:left="851" w:hanging="491"/>
      </w:pPr>
      <w:r w:rsidRPr="00CC6AB4">
        <w:t>Informācija par VNPC finansējuma pa labuma guvējiem uz 1 lpp.;</w:t>
      </w:r>
    </w:p>
    <w:p w14:paraId="219A9E9E" w14:textId="77777777" w:rsidR="00CC6AB4" w:rsidRPr="00CC6AB4" w:rsidRDefault="00791B8F" w:rsidP="00E7642A">
      <w:pPr>
        <w:pStyle w:val="ListParagraph"/>
        <w:numPr>
          <w:ilvl w:val="0"/>
          <w:numId w:val="17"/>
        </w:numPr>
        <w:ind w:left="851" w:hanging="491"/>
      </w:pPr>
      <w:r w:rsidRPr="00CC6AB4">
        <w:lastRenderedPageBreak/>
        <w:t>ERAF 2.1.1.3.1.</w:t>
      </w:r>
      <w:r w:rsidR="009B1BC5" w:rsidRPr="00CC6AB4">
        <w:t xml:space="preserve"> </w:t>
      </w:r>
      <w:r w:rsidRPr="00CC6AB4">
        <w:t>apakšaktivitātes otrās projektu iesniegumu atlases kārtas ietvaros īstenojamie projekti uz 1 lpp.</w:t>
      </w:r>
      <w:r w:rsidR="00CC6AB4" w:rsidRPr="00CC6AB4">
        <w:t>;</w:t>
      </w:r>
    </w:p>
    <w:p w14:paraId="43C3D629" w14:textId="77777777" w:rsidR="00CC6AB4" w:rsidRPr="00CC6AB4" w:rsidRDefault="00791B8F" w:rsidP="00E7642A">
      <w:pPr>
        <w:pStyle w:val="ListParagraph"/>
        <w:numPr>
          <w:ilvl w:val="0"/>
          <w:numId w:val="17"/>
        </w:numPr>
        <w:ind w:left="851" w:hanging="491"/>
      </w:pPr>
      <w:r w:rsidRPr="00CC6AB4">
        <w:t>Pētniecības un attīstības atbalsta instrumentu sasaiste uz 1 lpp</w:t>
      </w:r>
      <w:r w:rsidR="00CC6AB4" w:rsidRPr="00CC6AB4">
        <w:t>.;</w:t>
      </w:r>
    </w:p>
    <w:p w14:paraId="4AFBB6AA" w14:textId="73920D11" w:rsidR="00CC6AB4" w:rsidRPr="00CC6AB4" w:rsidRDefault="00CC6AB4" w:rsidP="00E7642A">
      <w:pPr>
        <w:pStyle w:val="ListParagraph"/>
        <w:numPr>
          <w:ilvl w:val="0"/>
          <w:numId w:val="17"/>
        </w:numPr>
        <w:ind w:left="851" w:hanging="491"/>
      </w:pPr>
      <w:r w:rsidRPr="00CC6AB4">
        <w:t xml:space="preserve">Viedās specializācijas jomas </w:t>
      </w:r>
      <w:r w:rsidR="00A422AD">
        <w:t>„</w:t>
      </w:r>
      <w:r w:rsidRPr="00CC6AB4">
        <w:t>Zināšanu ietilpīga bioekonomika” ekosistēmas analītisks apraksts uz 25 lpp.;</w:t>
      </w:r>
    </w:p>
    <w:p w14:paraId="359B7472" w14:textId="450C3771" w:rsidR="00CC6AB4" w:rsidRPr="00CC6AB4" w:rsidRDefault="00CC6AB4" w:rsidP="00E7642A">
      <w:pPr>
        <w:pStyle w:val="ListParagraph"/>
        <w:numPr>
          <w:ilvl w:val="0"/>
          <w:numId w:val="17"/>
        </w:numPr>
        <w:ind w:left="851" w:hanging="491"/>
      </w:pPr>
      <w:r w:rsidRPr="00CC6AB4">
        <w:t xml:space="preserve">Viedās specializācijas jomas </w:t>
      </w:r>
      <w:r w:rsidR="00A422AD">
        <w:t>„</w:t>
      </w:r>
      <w:r w:rsidRPr="00CC6AB4">
        <w:t>Biomedicīna, medicīnas tehnoloģijas, biofarmācija un biotehnoloģija” ekosistēmas analītisks apraksts uz 24 lpp.;</w:t>
      </w:r>
    </w:p>
    <w:p w14:paraId="27CF0757" w14:textId="4B469BCB" w:rsidR="00CC6AB4" w:rsidRPr="00CC6AB4" w:rsidRDefault="00CC6AB4" w:rsidP="00E7642A">
      <w:pPr>
        <w:pStyle w:val="ListParagraph"/>
        <w:numPr>
          <w:ilvl w:val="0"/>
          <w:numId w:val="17"/>
        </w:numPr>
        <w:ind w:left="851" w:hanging="491"/>
        <w:rPr>
          <w:rFonts w:eastAsiaTheme="minorHAnsi"/>
          <w:color w:val="000000"/>
        </w:rPr>
      </w:pPr>
      <w:r w:rsidRPr="00CC6AB4">
        <w:t xml:space="preserve">Viedās specializācijas jomas </w:t>
      </w:r>
      <w:r w:rsidR="00A422AD">
        <w:t>„</w:t>
      </w:r>
      <w:r w:rsidRPr="00CC6AB4">
        <w:t>Informācijas un komunikācijas tehnoloģijas” ekosistēmas analītisks apraksts uz 26 lpp.;</w:t>
      </w:r>
    </w:p>
    <w:p w14:paraId="4C596AD9" w14:textId="6ED387CF" w:rsidR="00CC6AB4" w:rsidRPr="00CC6AB4" w:rsidRDefault="00CC6AB4" w:rsidP="00E7642A">
      <w:pPr>
        <w:pStyle w:val="ListParagraph"/>
        <w:numPr>
          <w:ilvl w:val="0"/>
          <w:numId w:val="17"/>
        </w:numPr>
        <w:ind w:left="851" w:hanging="491"/>
      </w:pPr>
      <w:r w:rsidRPr="00CC6AB4">
        <w:t xml:space="preserve">Viedās specializācijas jomas </w:t>
      </w:r>
      <w:r w:rsidR="00A422AD">
        <w:t>„</w:t>
      </w:r>
      <w:r w:rsidRPr="00CC6AB4">
        <w:t>Viedā enerģētika” ekosistēmas analītisks apraksts uz 24 lpp.;</w:t>
      </w:r>
    </w:p>
    <w:p w14:paraId="1D64E34C" w14:textId="440DF640" w:rsidR="00CC6AB4" w:rsidRPr="00CC6AB4" w:rsidRDefault="00CC6AB4" w:rsidP="00E7642A">
      <w:pPr>
        <w:pStyle w:val="ListParagraph"/>
        <w:numPr>
          <w:ilvl w:val="0"/>
          <w:numId w:val="17"/>
        </w:numPr>
        <w:ind w:left="851" w:hanging="491"/>
      </w:pPr>
      <w:r w:rsidRPr="00CC6AB4">
        <w:t xml:space="preserve">Viedās specializācijas jomas </w:t>
      </w:r>
      <w:r w:rsidR="00A422AD">
        <w:t>„</w:t>
      </w:r>
      <w:r w:rsidRPr="00CC6AB4">
        <w:t>Viedie materiāli, tehnoloģijas un inženiersistēmas” ekosistēmas analītisks apraksts uz 24 lpp.;</w:t>
      </w:r>
    </w:p>
    <w:p w14:paraId="69DEF60E" w14:textId="3BE5F045" w:rsidR="00CC6AB4" w:rsidRDefault="00CC6AB4" w:rsidP="00E7642A">
      <w:pPr>
        <w:pStyle w:val="ListParagraph"/>
        <w:numPr>
          <w:ilvl w:val="0"/>
          <w:numId w:val="17"/>
        </w:numPr>
        <w:ind w:left="851" w:hanging="491"/>
      </w:pPr>
      <w:r w:rsidRPr="00CC6AB4">
        <w:t>Pētniecības, tehnoloģijas attīstības un inovāciju infrastruktūra Lietuvā un Igaunijā uz 8 lpp.</w:t>
      </w:r>
    </w:p>
    <w:p w14:paraId="2992611C" w14:textId="77777777" w:rsidR="00791B8F" w:rsidRDefault="00791B8F" w:rsidP="00E7642A">
      <w:pPr>
        <w:ind w:left="0"/>
        <w:rPr>
          <w:rFonts w:ascii="Times New Roman" w:hAnsi="Times New Roman"/>
        </w:rPr>
      </w:pPr>
    </w:p>
    <w:p w14:paraId="7F7B577D" w14:textId="77777777" w:rsidR="008F6F82" w:rsidRPr="00511CD3" w:rsidRDefault="008F6F82" w:rsidP="00E7642A">
      <w:pPr>
        <w:ind w:left="0"/>
        <w:rPr>
          <w:rFonts w:ascii="Times New Roman" w:hAnsi="Times New Roman"/>
        </w:rPr>
      </w:pPr>
    </w:p>
    <w:p w14:paraId="6FA449D5" w14:textId="77777777" w:rsidR="0096571D" w:rsidRPr="00C07278" w:rsidRDefault="0096571D" w:rsidP="00E7642A">
      <w:pPr>
        <w:tabs>
          <w:tab w:val="left" w:pos="6804"/>
        </w:tabs>
        <w:ind w:left="567"/>
        <w:rPr>
          <w:rFonts w:ascii="Times New Roman" w:hAnsi="Times New Roman"/>
          <w:sz w:val="24"/>
          <w:szCs w:val="24"/>
        </w:rPr>
      </w:pPr>
      <w:r w:rsidRPr="00C07278">
        <w:rPr>
          <w:rFonts w:ascii="Times New Roman" w:hAnsi="Times New Roman"/>
          <w:sz w:val="24"/>
          <w:szCs w:val="24"/>
        </w:rPr>
        <w:t>Iesniedzējs:</w:t>
      </w:r>
    </w:p>
    <w:p w14:paraId="0CB16858" w14:textId="7E72B300" w:rsidR="0096571D" w:rsidRPr="00C07278" w:rsidRDefault="0096571D" w:rsidP="00E7642A">
      <w:pPr>
        <w:tabs>
          <w:tab w:val="left" w:pos="7655"/>
        </w:tabs>
        <w:ind w:left="567"/>
        <w:rPr>
          <w:rFonts w:ascii="Times New Roman" w:hAnsi="Times New Roman"/>
          <w:sz w:val="24"/>
          <w:szCs w:val="24"/>
        </w:rPr>
      </w:pPr>
      <w:r w:rsidRPr="00C07278">
        <w:rPr>
          <w:rFonts w:ascii="Times New Roman" w:hAnsi="Times New Roman"/>
          <w:sz w:val="24"/>
          <w:szCs w:val="24"/>
        </w:rPr>
        <w:t>Izglītības un zinātnes ministr</w:t>
      </w:r>
      <w:r w:rsidR="0070673E" w:rsidRPr="00C07278">
        <w:rPr>
          <w:rFonts w:ascii="Times New Roman" w:hAnsi="Times New Roman"/>
          <w:sz w:val="24"/>
          <w:szCs w:val="24"/>
        </w:rPr>
        <w:t>s</w:t>
      </w:r>
      <w:r w:rsidR="00E852C0">
        <w:rPr>
          <w:rFonts w:ascii="Times New Roman" w:hAnsi="Times New Roman"/>
          <w:sz w:val="24"/>
          <w:szCs w:val="24"/>
        </w:rPr>
        <w:tab/>
      </w:r>
      <w:r w:rsidR="0070673E" w:rsidRPr="00C07278">
        <w:rPr>
          <w:rFonts w:ascii="Times New Roman" w:hAnsi="Times New Roman"/>
          <w:sz w:val="24"/>
          <w:szCs w:val="24"/>
        </w:rPr>
        <w:t>K.</w:t>
      </w:r>
      <w:r w:rsidR="00E852C0">
        <w:rPr>
          <w:rFonts w:ascii="Times New Roman" w:hAnsi="Times New Roman"/>
          <w:sz w:val="24"/>
          <w:szCs w:val="24"/>
        </w:rPr>
        <w:t xml:space="preserve"> </w:t>
      </w:r>
      <w:r w:rsidR="0070673E" w:rsidRPr="00C07278">
        <w:rPr>
          <w:rFonts w:ascii="Times New Roman" w:hAnsi="Times New Roman"/>
          <w:sz w:val="24"/>
          <w:szCs w:val="24"/>
        </w:rPr>
        <w:t>Šadurskis</w:t>
      </w:r>
    </w:p>
    <w:p w14:paraId="0CFCA41B" w14:textId="77777777" w:rsidR="0096571D" w:rsidRPr="00C07278" w:rsidRDefault="0096571D" w:rsidP="00E7642A">
      <w:pPr>
        <w:tabs>
          <w:tab w:val="left" w:pos="6804"/>
        </w:tabs>
        <w:ind w:left="567"/>
        <w:jc w:val="center"/>
        <w:rPr>
          <w:rFonts w:ascii="Times New Roman" w:hAnsi="Times New Roman"/>
          <w:sz w:val="24"/>
          <w:szCs w:val="24"/>
        </w:rPr>
      </w:pPr>
    </w:p>
    <w:p w14:paraId="533052C2" w14:textId="77777777" w:rsidR="006F11F5" w:rsidRPr="00C07278" w:rsidRDefault="006F11F5" w:rsidP="00E7642A">
      <w:pPr>
        <w:tabs>
          <w:tab w:val="left" w:pos="6804"/>
        </w:tabs>
        <w:ind w:left="567"/>
        <w:jc w:val="center"/>
        <w:rPr>
          <w:rFonts w:ascii="Times New Roman" w:hAnsi="Times New Roman"/>
          <w:sz w:val="24"/>
          <w:szCs w:val="24"/>
        </w:rPr>
      </w:pPr>
    </w:p>
    <w:p w14:paraId="7FE3CA18" w14:textId="77777777" w:rsidR="006F11F5" w:rsidRPr="00C07278" w:rsidRDefault="006F11F5" w:rsidP="00E7642A">
      <w:pPr>
        <w:tabs>
          <w:tab w:val="left" w:pos="6804"/>
        </w:tabs>
        <w:ind w:left="567"/>
        <w:jc w:val="center"/>
        <w:rPr>
          <w:rFonts w:ascii="Times New Roman" w:hAnsi="Times New Roman"/>
          <w:sz w:val="24"/>
          <w:szCs w:val="24"/>
        </w:rPr>
      </w:pPr>
    </w:p>
    <w:p w14:paraId="60CCF0F4" w14:textId="77777777" w:rsidR="0096571D" w:rsidRPr="00C07278" w:rsidRDefault="0096571D" w:rsidP="00E7642A">
      <w:pPr>
        <w:tabs>
          <w:tab w:val="left" w:pos="6804"/>
        </w:tabs>
        <w:ind w:left="567"/>
        <w:rPr>
          <w:rFonts w:ascii="Times New Roman" w:hAnsi="Times New Roman"/>
          <w:sz w:val="24"/>
          <w:szCs w:val="24"/>
        </w:rPr>
      </w:pPr>
      <w:r w:rsidRPr="00C07278">
        <w:rPr>
          <w:rFonts w:ascii="Times New Roman" w:hAnsi="Times New Roman"/>
          <w:sz w:val="24"/>
          <w:szCs w:val="24"/>
        </w:rPr>
        <w:t>Vizē:</w:t>
      </w:r>
    </w:p>
    <w:p w14:paraId="44FA34E3" w14:textId="77777777" w:rsidR="00A34CCB" w:rsidRPr="00A34CCB" w:rsidRDefault="00A34CCB" w:rsidP="00E7642A">
      <w:pPr>
        <w:tabs>
          <w:tab w:val="left" w:pos="7655"/>
        </w:tabs>
        <w:ind w:left="567"/>
        <w:rPr>
          <w:rFonts w:ascii="Times New Roman" w:hAnsi="Times New Roman"/>
          <w:sz w:val="24"/>
          <w:szCs w:val="24"/>
        </w:rPr>
      </w:pPr>
      <w:r w:rsidRPr="00A34CCB">
        <w:rPr>
          <w:rFonts w:ascii="Times New Roman" w:hAnsi="Times New Roman"/>
          <w:sz w:val="24"/>
          <w:szCs w:val="24"/>
        </w:rPr>
        <w:t xml:space="preserve">Valsts sekretāra vietnieks – </w:t>
      </w:r>
    </w:p>
    <w:p w14:paraId="4DCBBBEF" w14:textId="2FD9A05A" w:rsidR="00A34CCB" w:rsidRPr="00A34CCB" w:rsidRDefault="00A34CCB" w:rsidP="00E7642A">
      <w:pPr>
        <w:tabs>
          <w:tab w:val="left" w:pos="7655"/>
        </w:tabs>
        <w:ind w:left="567"/>
        <w:rPr>
          <w:rFonts w:ascii="Times New Roman" w:hAnsi="Times New Roman"/>
          <w:sz w:val="24"/>
          <w:szCs w:val="24"/>
        </w:rPr>
      </w:pPr>
      <w:r w:rsidRPr="00A34CCB">
        <w:rPr>
          <w:rFonts w:ascii="Times New Roman" w:hAnsi="Times New Roman"/>
          <w:sz w:val="24"/>
          <w:szCs w:val="24"/>
        </w:rPr>
        <w:t>Nodrošinājuma un finanšu departamenta direktors,</w:t>
      </w:r>
    </w:p>
    <w:p w14:paraId="338A8874" w14:textId="050F9B79" w:rsidR="008E5459" w:rsidRPr="00C07278" w:rsidRDefault="00A34CCB" w:rsidP="00E7642A">
      <w:pPr>
        <w:tabs>
          <w:tab w:val="left" w:pos="7655"/>
        </w:tabs>
        <w:ind w:left="567"/>
        <w:rPr>
          <w:rFonts w:ascii="Times New Roman" w:hAnsi="Times New Roman"/>
          <w:szCs w:val="24"/>
        </w:rPr>
      </w:pPr>
      <w:r w:rsidRPr="00A34CCB">
        <w:rPr>
          <w:rFonts w:ascii="Times New Roman" w:hAnsi="Times New Roman"/>
          <w:sz w:val="24"/>
          <w:szCs w:val="24"/>
        </w:rPr>
        <w:t>valsts sekretāra pienākumu izpildītājs</w:t>
      </w:r>
      <w:r w:rsidRPr="004B04EF">
        <w:rPr>
          <w:rFonts w:ascii="Times New Roman" w:hAnsi="Times New Roman"/>
          <w:sz w:val="26"/>
          <w:szCs w:val="26"/>
        </w:rPr>
        <w:t xml:space="preserve"> </w:t>
      </w:r>
      <w:r>
        <w:rPr>
          <w:rFonts w:ascii="Times New Roman" w:hAnsi="Times New Roman"/>
          <w:sz w:val="26"/>
          <w:szCs w:val="26"/>
        </w:rPr>
        <w:tab/>
      </w:r>
      <w:r w:rsidRPr="00A34CCB">
        <w:rPr>
          <w:rFonts w:ascii="Times New Roman" w:hAnsi="Times New Roman"/>
          <w:sz w:val="24"/>
          <w:szCs w:val="24"/>
        </w:rPr>
        <w:t>E.Martinsons</w:t>
      </w:r>
      <w:r w:rsidRPr="004B04EF">
        <w:rPr>
          <w:rFonts w:ascii="Times New Roman" w:hAnsi="Times New Roman"/>
          <w:sz w:val="26"/>
          <w:szCs w:val="26"/>
        </w:rPr>
        <w:tab/>
      </w:r>
      <w:r>
        <w:rPr>
          <w:rFonts w:ascii="Times New Roman" w:hAnsi="Times New Roman"/>
          <w:sz w:val="24"/>
          <w:szCs w:val="24"/>
        </w:rPr>
        <w:tab/>
      </w:r>
      <w:r>
        <w:rPr>
          <w:rFonts w:ascii="Times New Roman" w:hAnsi="Times New Roman"/>
          <w:sz w:val="24"/>
          <w:szCs w:val="24"/>
        </w:rPr>
        <w:tab/>
      </w:r>
    </w:p>
    <w:p w14:paraId="64A1AB05" w14:textId="77777777" w:rsidR="007F3533" w:rsidRPr="00C07278" w:rsidRDefault="00CD01F4" w:rsidP="00E7642A">
      <w:pPr>
        <w:pStyle w:val="naisf"/>
        <w:spacing w:before="0" w:after="0"/>
        <w:ind w:firstLine="720"/>
      </w:pPr>
      <w:r w:rsidRPr="00C07278">
        <w:t xml:space="preserve">                      </w:t>
      </w:r>
    </w:p>
    <w:p w14:paraId="292AD9B3" w14:textId="77777777" w:rsidR="0051117D" w:rsidRPr="000B2E35" w:rsidRDefault="0051117D" w:rsidP="00E7642A">
      <w:pPr>
        <w:ind w:left="0"/>
        <w:rPr>
          <w:rFonts w:ascii="Times New Roman" w:hAnsi="Times New Roman"/>
        </w:rPr>
      </w:pPr>
    </w:p>
    <w:p w14:paraId="6BEE7DAB" w14:textId="1633C3D0" w:rsidR="0082748E" w:rsidRPr="000B2E35" w:rsidRDefault="00417751" w:rsidP="00E7642A">
      <w:pPr>
        <w:pStyle w:val="Header"/>
        <w:tabs>
          <w:tab w:val="left" w:pos="2340"/>
        </w:tabs>
        <w:spacing w:after="0"/>
        <w:ind w:hanging="142"/>
        <w:rPr>
          <w:rFonts w:ascii="Times New Roman" w:hAnsi="Times New Roman"/>
          <w:sz w:val="20"/>
          <w:szCs w:val="20"/>
        </w:rPr>
      </w:pPr>
      <w:r w:rsidRPr="000B2E35">
        <w:rPr>
          <w:rFonts w:ascii="Times New Roman" w:hAnsi="Times New Roman"/>
          <w:sz w:val="20"/>
          <w:szCs w:val="20"/>
        </w:rPr>
        <w:fldChar w:fldCharType="begin"/>
      </w:r>
      <w:r w:rsidR="0082748E" w:rsidRPr="000B2E35">
        <w:rPr>
          <w:rFonts w:ascii="Times New Roman" w:hAnsi="Times New Roman"/>
          <w:sz w:val="20"/>
          <w:szCs w:val="20"/>
        </w:rPr>
        <w:instrText xml:space="preserve"> DATE  \@ "dd.MM.yyyy H:mm"  \* MERGEFORMAT </w:instrText>
      </w:r>
      <w:r w:rsidRPr="000B2E35">
        <w:rPr>
          <w:rFonts w:ascii="Times New Roman" w:hAnsi="Times New Roman"/>
          <w:sz w:val="20"/>
          <w:szCs w:val="20"/>
        </w:rPr>
        <w:fldChar w:fldCharType="separate"/>
      </w:r>
      <w:r w:rsidR="00E7642A">
        <w:rPr>
          <w:rFonts w:ascii="Times New Roman" w:hAnsi="Times New Roman"/>
          <w:noProof/>
          <w:sz w:val="20"/>
          <w:szCs w:val="20"/>
        </w:rPr>
        <w:t>12.08.2016 11:50</w:t>
      </w:r>
      <w:r w:rsidRPr="000B2E35">
        <w:rPr>
          <w:rFonts w:ascii="Times New Roman" w:hAnsi="Times New Roman"/>
          <w:sz w:val="20"/>
          <w:szCs w:val="20"/>
        </w:rPr>
        <w:fldChar w:fldCharType="end"/>
      </w:r>
    </w:p>
    <w:p w14:paraId="3757FA90" w14:textId="1B8E24A8" w:rsidR="0082748E" w:rsidRPr="00C07278" w:rsidRDefault="000B2E35" w:rsidP="00E7642A">
      <w:pPr>
        <w:pStyle w:val="Header"/>
        <w:tabs>
          <w:tab w:val="left" w:pos="2340"/>
        </w:tabs>
        <w:spacing w:after="0"/>
        <w:ind w:hanging="142"/>
        <w:rPr>
          <w:rFonts w:ascii="Times New Roman" w:hAnsi="Times New Roman"/>
          <w:sz w:val="20"/>
          <w:szCs w:val="20"/>
        </w:rPr>
      </w:pPr>
      <w:r w:rsidRPr="000B2E35">
        <w:rPr>
          <w:rFonts w:ascii="Times New Roman" w:hAnsi="Times New Roman"/>
          <w:sz w:val="20"/>
        </w:rPr>
        <w:fldChar w:fldCharType="begin"/>
      </w:r>
      <w:r w:rsidRPr="000B2E35">
        <w:rPr>
          <w:rFonts w:ascii="Times New Roman" w:hAnsi="Times New Roman"/>
          <w:sz w:val="20"/>
          <w:lang w:val="lv-LV"/>
        </w:rPr>
        <w:instrText xml:space="preserve"> NUMWORDS   \* MERGEFORMAT </w:instrText>
      </w:r>
      <w:r w:rsidRPr="000B2E35">
        <w:rPr>
          <w:rFonts w:ascii="Times New Roman" w:hAnsi="Times New Roman"/>
          <w:sz w:val="20"/>
        </w:rPr>
        <w:fldChar w:fldCharType="separate"/>
      </w:r>
      <w:r w:rsidR="00883BB3">
        <w:rPr>
          <w:rFonts w:ascii="Times New Roman" w:hAnsi="Times New Roman"/>
          <w:noProof/>
          <w:sz w:val="20"/>
          <w:lang w:val="lv-LV"/>
        </w:rPr>
        <w:t>14331</w:t>
      </w:r>
      <w:r w:rsidRPr="000B2E35">
        <w:rPr>
          <w:rFonts w:ascii="Times New Roman" w:hAnsi="Times New Roman"/>
          <w:noProof/>
          <w:sz w:val="20"/>
        </w:rPr>
        <w:fldChar w:fldCharType="end"/>
      </w:r>
      <w:r w:rsidR="0082748E" w:rsidRPr="00C07278">
        <w:rPr>
          <w:rFonts w:ascii="Times New Roman" w:hAnsi="Times New Roman"/>
          <w:sz w:val="20"/>
          <w:szCs w:val="20"/>
        </w:rPr>
        <w:tab/>
      </w:r>
    </w:p>
    <w:p w14:paraId="45344074" w14:textId="73359D42" w:rsidR="0051117D" w:rsidRPr="00C07278" w:rsidRDefault="006F11F5" w:rsidP="00E7642A">
      <w:pPr>
        <w:pStyle w:val="Header"/>
        <w:tabs>
          <w:tab w:val="left" w:pos="2340"/>
        </w:tabs>
        <w:spacing w:after="0"/>
        <w:ind w:hanging="142"/>
        <w:rPr>
          <w:rFonts w:ascii="Times New Roman" w:hAnsi="Times New Roman"/>
          <w:sz w:val="20"/>
          <w:szCs w:val="20"/>
        </w:rPr>
      </w:pPr>
      <w:r w:rsidRPr="00C07278">
        <w:rPr>
          <w:rFonts w:ascii="Times New Roman" w:hAnsi="Times New Roman"/>
          <w:sz w:val="20"/>
          <w:szCs w:val="20"/>
        </w:rPr>
        <w:t xml:space="preserve">A.Žilinska, </w:t>
      </w:r>
      <w:r w:rsidR="0051117D" w:rsidRPr="00C07278">
        <w:rPr>
          <w:rFonts w:ascii="Times New Roman" w:hAnsi="Times New Roman"/>
          <w:sz w:val="20"/>
          <w:szCs w:val="20"/>
        </w:rPr>
        <w:t>67047897</w:t>
      </w:r>
    </w:p>
    <w:p w14:paraId="00996954" w14:textId="77777777" w:rsidR="0051117D" w:rsidRDefault="007E42EE" w:rsidP="00E7642A">
      <w:pPr>
        <w:ind w:left="0" w:hanging="142"/>
        <w:rPr>
          <w:rFonts w:ascii="Times New Roman" w:hAnsi="Times New Roman"/>
          <w:sz w:val="20"/>
          <w:szCs w:val="20"/>
        </w:rPr>
      </w:pPr>
      <w:hyperlink r:id="rId25" w:history="1">
        <w:r w:rsidR="00340763" w:rsidRPr="000A3CFC">
          <w:rPr>
            <w:rStyle w:val="Hyperlink"/>
            <w:rFonts w:ascii="Times New Roman" w:hAnsi="Times New Roman"/>
            <w:sz w:val="20"/>
            <w:szCs w:val="20"/>
          </w:rPr>
          <w:t>antra.zilinska@izm.gov.lv</w:t>
        </w:r>
      </w:hyperlink>
      <w:r w:rsidR="00340763">
        <w:rPr>
          <w:rFonts w:ascii="Times New Roman" w:hAnsi="Times New Roman"/>
          <w:sz w:val="20"/>
          <w:szCs w:val="20"/>
        </w:rPr>
        <w:t xml:space="preserve"> </w:t>
      </w:r>
    </w:p>
    <w:p w14:paraId="186A5E0F" w14:textId="77777777" w:rsidR="000066CC" w:rsidRPr="00C07278" w:rsidRDefault="000066CC" w:rsidP="00E7642A">
      <w:pPr>
        <w:ind w:left="0"/>
        <w:rPr>
          <w:rFonts w:ascii="Times New Roman" w:hAnsi="Times New Roman"/>
          <w:sz w:val="20"/>
          <w:szCs w:val="20"/>
        </w:rPr>
      </w:pPr>
    </w:p>
    <w:sectPr w:rsidR="000066CC" w:rsidRPr="00C07278" w:rsidSect="00E7642A">
      <w:headerReference w:type="default" r:id="rId26"/>
      <w:footerReference w:type="default" r:id="rId27"/>
      <w:pgSz w:w="11907" w:h="16839" w:code="9"/>
      <w:pgMar w:top="1418" w:right="195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EDA0" w14:textId="77777777" w:rsidR="007E42EE" w:rsidRDefault="007E42EE" w:rsidP="003523F8">
      <w:r>
        <w:separator/>
      </w:r>
    </w:p>
  </w:endnote>
  <w:endnote w:type="continuationSeparator" w:id="0">
    <w:p w14:paraId="47C49BC2" w14:textId="77777777" w:rsidR="007E42EE" w:rsidRDefault="007E42EE" w:rsidP="0035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YInterstate Light">
    <w:altName w:val="Arial Narrow"/>
    <w:charset w:val="BA"/>
    <w:family w:val="auto"/>
    <w:pitch w:val="variable"/>
    <w:sig w:usb0="00000001" w:usb1="5000206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033" w14:textId="41B15599" w:rsidR="000811B0" w:rsidRPr="00E852C0" w:rsidRDefault="000811B0" w:rsidP="00B85E91">
    <w:pPr>
      <w:pStyle w:val="Header"/>
      <w:spacing w:after="0" w:line="240" w:lineRule="auto"/>
      <w:jc w:val="both"/>
      <w:rPr>
        <w:rFonts w:ascii="Times New Roman" w:hAnsi="Times New Roman"/>
        <w:b/>
        <w:szCs w:val="24"/>
        <w:lang w:val="lv-LV"/>
      </w:rPr>
    </w:pPr>
    <w:r w:rsidRPr="00E852C0">
      <w:rPr>
        <w:rFonts w:ascii="Times New Roman" w:hAnsi="Times New Roman"/>
        <w:sz w:val="20"/>
      </w:rPr>
      <w:fldChar w:fldCharType="begin"/>
    </w:r>
    <w:r w:rsidRPr="00E852C0">
      <w:rPr>
        <w:rFonts w:ascii="Times New Roman" w:hAnsi="Times New Roman"/>
        <w:sz w:val="20"/>
      </w:rPr>
      <w:instrText xml:space="preserve"> FILENAME   \* MERGEFORMAT </w:instrText>
    </w:r>
    <w:r w:rsidRPr="00E852C0">
      <w:rPr>
        <w:rFonts w:ascii="Times New Roman" w:hAnsi="Times New Roman"/>
        <w:sz w:val="20"/>
      </w:rPr>
      <w:fldChar w:fldCharType="separate"/>
    </w:r>
    <w:r w:rsidR="00E7642A" w:rsidRPr="00E7642A">
      <w:rPr>
        <w:rFonts w:ascii="Times New Roman" w:hAnsi="Times New Roman"/>
        <w:noProof/>
        <w:sz w:val="20"/>
        <w:lang w:val="lv-LV"/>
      </w:rPr>
      <w:t>IZMzino_120816_ZIkartejums</w:t>
    </w:r>
    <w:r w:rsidRPr="00E852C0">
      <w:rPr>
        <w:rFonts w:ascii="Times New Roman" w:hAnsi="Times New Roman"/>
        <w:noProof/>
        <w:sz w:val="20"/>
        <w:lang w:val="lv-LV"/>
      </w:rPr>
      <w:fldChar w:fldCharType="end"/>
    </w:r>
    <w:r w:rsidRPr="00E852C0">
      <w:rPr>
        <w:rFonts w:ascii="Times New Roman" w:hAnsi="Times New Roman"/>
        <w:sz w:val="20"/>
        <w:lang w:val="lv-LV"/>
      </w:rPr>
      <w:t>; Informatīvais ziņojums “Par pētniecības infrastruktūras un pētnieciskās darbības koncentrācijas teritoriālo kartējumu” (VSS – 335)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3F521" w14:textId="77777777" w:rsidR="007E42EE" w:rsidRDefault="007E42EE" w:rsidP="003523F8">
      <w:r>
        <w:separator/>
      </w:r>
    </w:p>
  </w:footnote>
  <w:footnote w:type="continuationSeparator" w:id="0">
    <w:p w14:paraId="2EF4D2E0" w14:textId="77777777" w:rsidR="007E42EE" w:rsidRDefault="007E42EE" w:rsidP="003523F8">
      <w:r>
        <w:continuationSeparator/>
      </w:r>
    </w:p>
  </w:footnote>
  <w:footnote w:id="1">
    <w:p w14:paraId="2FCA4690" w14:textId="77777777" w:rsidR="000811B0" w:rsidRDefault="000811B0" w:rsidP="00511CD3">
      <w:pPr>
        <w:pStyle w:val="FootnoteText"/>
        <w:ind w:left="0"/>
        <w:jc w:val="left"/>
        <w:rPr>
          <w:rFonts w:ascii="Times New Roman" w:hAnsi="Times New Roman"/>
        </w:rPr>
      </w:pPr>
      <w:r w:rsidRPr="00C84F67">
        <w:rPr>
          <w:rStyle w:val="FootnoteReference"/>
          <w:rFonts w:ascii="Times New Roman" w:hAnsi="Times New Roman"/>
        </w:rPr>
        <w:footnoteRef/>
      </w:r>
      <w:r>
        <w:rPr>
          <w:rFonts w:ascii="Times New Roman" w:hAnsi="Times New Roman"/>
        </w:rPr>
        <w:t xml:space="preserve"> </w:t>
      </w:r>
      <w:r w:rsidRPr="00C84F67">
        <w:rPr>
          <w:rFonts w:ascii="Times New Roman" w:hAnsi="Times New Roman"/>
        </w:rPr>
        <w:t>Nacionālais attīstības plāns 2014.-2020.gadam</w:t>
      </w:r>
    </w:p>
    <w:p w14:paraId="7E01C8BE" w14:textId="77777777" w:rsidR="000811B0" w:rsidRPr="00C84F67" w:rsidRDefault="007E42EE" w:rsidP="00511CD3">
      <w:pPr>
        <w:pStyle w:val="FootnoteText"/>
        <w:ind w:left="0"/>
        <w:jc w:val="left"/>
        <w:rPr>
          <w:rFonts w:ascii="Times New Roman" w:hAnsi="Times New Roman"/>
        </w:rPr>
      </w:pPr>
      <w:hyperlink r:id="rId1" w:history="1">
        <w:r w:rsidR="000811B0" w:rsidRPr="00E604E1">
          <w:rPr>
            <w:rStyle w:val="Hyperlink"/>
            <w:rFonts w:ascii="Times New Roman" w:hAnsi="Times New Roman"/>
          </w:rPr>
          <w:t>http://www.pkc.gov.lv/images/NAP2020%20dokumenti/20121220_NAP2020_apstiprinats_Saeima.pdf</w:t>
        </w:r>
      </w:hyperlink>
    </w:p>
  </w:footnote>
  <w:footnote w:id="2">
    <w:p w14:paraId="257F1756" w14:textId="77777777" w:rsidR="000811B0" w:rsidRDefault="000811B0" w:rsidP="00846439">
      <w:pPr>
        <w:pStyle w:val="FootnoteText"/>
        <w:ind w:left="0"/>
        <w:rPr>
          <w:rFonts w:ascii="Times New Roman" w:hAnsi="Times New Roman"/>
        </w:rPr>
      </w:pPr>
      <w:r w:rsidRPr="00496B5C">
        <w:rPr>
          <w:rStyle w:val="FootnoteReference"/>
          <w:rFonts w:ascii="Times New Roman" w:hAnsi="Times New Roman"/>
        </w:rPr>
        <w:footnoteRef/>
      </w:r>
      <w:r w:rsidRPr="00496B5C">
        <w:rPr>
          <w:rFonts w:ascii="Times New Roman" w:hAnsi="Times New Roman"/>
        </w:rPr>
        <w:t xml:space="preserve"> MK 21.10.2014. Informatīvais ziņojums </w:t>
      </w:r>
      <w:r>
        <w:rPr>
          <w:rFonts w:ascii="Times New Roman" w:hAnsi="Times New Roman"/>
        </w:rPr>
        <w:t>“</w:t>
      </w:r>
      <w:r w:rsidRPr="00496B5C">
        <w:rPr>
          <w:rFonts w:ascii="Times New Roman" w:hAnsi="Times New Roman"/>
        </w:rPr>
        <w:t>Par Zinātnes, tehnoloģiju attīstības un inovācijas pamatnostādņu 2014.-2020.</w:t>
      </w:r>
      <w:r>
        <w:rPr>
          <w:rFonts w:ascii="Times New Roman" w:hAnsi="Times New Roman"/>
        </w:rPr>
        <w:t xml:space="preserve"> </w:t>
      </w:r>
      <w:r w:rsidRPr="00496B5C">
        <w:rPr>
          <w:rFonts w:ascii="Times New Roman" w:hAnsi="Times New Roman"/>
        </w:rPr>
        <w:t>gadam ieviešanas rīcības plāna, kas ietver Viedās specializācijas stratēģijas pasākumu plānu un rezultātu rādītāju sistēmas aprakstu, izstrādes progresu”</w:t>
      </w:r>
      <w:r>
        <w:rPr>
          <w:rFonts w:ascii="Times New Roman" w:hAnsi="Times New Roman"/>
        </w:rPr>
        <w:t xml:space="preserve">, </w:t>
      </w:r>
    </w:p>
    <w:p w14:paraId="17AF10E4" w14:textId="77777777" w:rsidR="000811B0" w:rsidRPr="00496B5C" w:rsidRDefault="007E42EE" w:rsidP="00846439">
      <w:pPr>
        <w:pStyle w:val="FootnoteText"/>
        <w:ind w:left="0"/>
        <w:rPr>
          <w:rFonts w:ascii="Times New Roman" w:hAnsi="Times New Roman"/>
        </w:rPr>
      </w:pPr>
      <w:hyperlink r:id="rId2" w:history="1">
        <w:r w:rsidR="000811B0" w:rsidRPr="00E10052">
          <w:rPr>
            <w:rStyle w:val="Hyperlink"/>
            <w:rFonts w:ascii="Times New Roman" w:hAnsi="Times New Roman"/>
          </w:rPr>
          <w:t>http://tap.mk.gov.lv/lv/mk/tap/?pid=40334802&amp;mode=mk&amp;date=2014-10-21</w:t>
        </w:r>
      </w:hyperlink>
    </w:p>
  </w:footnote>
  <w:footnote w:id="3">
    <w:p w14:paraId="3227BBB8" w14:textId="77777777" w:rsidR="000811B0" w:rsidRPr="004022B1" w:rsidRDefault="000811B0" w:rsidP="00511CD3">
      <w:pPr>
        <w:pStyle w:val="FootnoteText"/>
        <w:ind w:left="0"/>
        <w:jc w:val="left"/>
        <w:rPr>
          <w:rFonts w:ascii="Times New Roman" w:hAnsi="Times New Roman"/>
        </w:rPr>
      </w:pPr>
      <w:r w:rsidRPr="004022B1">
        <w:rPr>
          <w:rFonts w:ascii="Times New Roman" w:hAnsi="Times New Roman"/>
          <w:vertAlign w:val="superscript"/>
        </w:rPr>
        <w:footnoteRef/>
      </w:r>
      <w:r>
        <w:rPr>
          <w:rFonts w:ascii="Times New Roman" w:hAnsi="Times New Roman"/>
        </w:rPr>
        <w:t xml:space="preserve"> </w:t>
      </w:r>
      <w:r w:rsidRPr="004022B1">
        <w:rPr>
          <w:rFonts w:ascii="Times New Roman" w:hAnsi="Times New Roman"/>
        </w:rPr>
        <w:t>2014.gada 4.februāra MK s</w:t>
      </w:r>
      <w:r>
        <w:rPr>
          <w:rFonts w:ascii="Times New Roman" w:hAnsi="Times New Roman"/>
        </w:rPr>
        <w:t xml:space="preserve">ēdes protokols Nr. 7 </w:t>
      </w:r>
      <w:hyperlink r:id="rId3" w:history="1">
        <w:r w:rsidRPr="00561F17">
          <w:rPr>
            <w:rStyle w:val="Hyperlink"/>
            <w:rFonts w:ascii="Times New Roman" w:hAnsi="Times New Roman"/>
          </w:rPr>
          <w:t>http://tap.mk.gov.lv/mk/mksedes/saraksts/protokols/?protokols=2014-02-04</w:t>
        </w:r>
      </w:hyperlink>
    </w:p>
  </w:footnote>
  <w:footnote w:id="4">
    <w:p w14:paraId="395940DC" w14:textId="77777777" w:rsidR="000811B0" w:rsidRPr="002678BB" w:rsidRDefault="000811B0" w:rsidP="004022B1">
      <w:pPr>
        <w:pStyle w:val="FootnoteText"/>
        <w:ind w:left="0"/>
        <w:rPr>
          <w:rFonts w:ascii="Times New Roman" w:hAnsi="Times New Roman"/>
        </w:rPr>
      </w:pPr>
      <w:r>
        <w:rPr>
          <w:rStyle w:val="FootnoteReference"/>
        </w:rPr>
        <w:footnoteRef/>
      </w:r>
      <w:r>
        <w:t xml:space="preserve"> </w:t>
      </w:r>
      <w:r w:rsidRPr="004022B1">
        <w:rPr>
          <w:rFonts w:ascii="Times New Roman" w:hAnsi="Times New Roman"/>
        </w:rPr>
        <w:t xml:space="preserve">ES </w:t>
      </w:r>
      <w:r w:rsidRPr="002678BB">
        <w:rPr>
          <w:rFonts w:ascii="Times New Roman" w:hAnsi="Times New Roman"/>
        </w:rPr>
        <w:t xml:space="preserve">fondu 2014.-2020.gada plānošanas perioda darbības programma “Izaugsme un nodarbinātība” </w:t>
      </w:r>
      <w:hyperlink r:id="rId4" w:history="1">
        <w:r w:rsidRPr="002678BB">
          <w:rPr>
            <w:rStyle w:val="Hyperlink"/>
            <w:rFonts w:ascii="Times New Roman" w:hAnsi="Times New Roman"/>
          </w:rPr>
          <w:t>http://www.esfondi.lv/upload/Planosana/FMProg_270115_DP_2.pdf</w:t>
        </w:r>
      </w:hyperlink>
    </w:p>
  </w:footnote>
  <w:footnote w:id="5">
    <w:p w14:paraId="301A088C" w14:textId="77777777" w:rsidR="000811B0" w:rsidRPr="002678BB" w:rsidRDefault="000811B0" w:rsidP="002678BB">
      <w:pPr>
        <w:pStyle w:val="FootnoteText"/>
        <w:ind w:left="0"/>
        <w:rPr>
          <w:rFonts w:ascii="Times New Roman" w:hAnsi="Times New Roman"/>
        </w:rPr>
      </w:pPr>
      <w:r w:rsidRPr="002678BB">
        <w:rPr>
          <w:rStyle w:val="FootnoteReference"/>
          <w:rFonts w:ascii="Times New Roman" w:hAnsi="Times New Roman"/>
        </w:rPr>
        <w:footnoteRef/>
      </w:r>
      <w:r w:rsidRPr="002678BB">
        <w:rPr>
          <w:rFonts w:ascii="Times New Roman" w:hAnsi="Times New Roman"/>
        </w:rPr>
        <w:t xml:space="preserve"> Zinātnisko institūciju reģistrs - </w:t>
      </w:r>
      <w:hyperlink r:id="rId5" w:history="1">
        <w:r w:rsidRPr="00704A3B">
          <w:rPr>
            <w:rStyle w:val="Hyperlink"/>
            <w:rFonts w:ascii="Times New Roman" w:hAnsi="Times New Roman"/>
          </w:rPr>
          <w:t>http://www.ikvd.gov.lv/zinatnisko-instituciju-registrs.html</w:t>
        </w:r>
      </w:hyperlink>
    </w:p>
  </w:footnote>
  <w:footnote w:id="6">
    <w:p w14:paraId="71C6A76B" w14:textId="50ECFEE5" w:rsidR="000811B0" w:rsidRDefault="000811B0" w:rsidP="007F5E78">
      <w:pPr>
        <w:pStyle w:val="FootnoteText"/>
        <w:tabs>
          <w:tab w:val="left" w:pos="142"/>
        </w:tabs>
        <w:ind w:left="0"/>
      </w:pPr>
      <w:r w:rsidRPr="002678BB">
        <w:rPr>
          <w:rStyle w:val="FootnoteReference"/>
          <w:rFonts w:ascii="Times New Roman" w:hAnsi="Times New Roman"/>
        </w:rPr>
        <w:footnoteRef/>
      </w:r>
      <w:r>
        <w:rPr>
          <w:rFonts w:ascii="Times New Roman" w:hAnsi="Times New Roman"/>
        </w:rPr>
        <w:t xml:space="preserve"> </w:t>
      </w:r>
      <w:r w:rsidRPr="002678BB">
        <w:rPr>
          <w:rFonts w:ascii="Times New Roman" w:hAnsi="Times New Roman"/>
        </w:rPr>
        <w:t>Zinātnisko institūciju starptautiskā izvērtējuma rezultāti</w:t>
      </w:r>
      <w:r w:rsidRPr="00ED2A74">
        <w:rPr>
          <w:rFonts w:ascii="Times New Roman" w:hAnsi="Times New Roman"/>
        </w:rPr>
        <w:t xml:space="preserve"> http://www.izm.gov.lv/lv/zinatnisko-instituciju-starptautiskais-izvertejums</w:t>
      </w:r>
    </w:p>
  </w:footnote>
  <w:footnote w:id="7">
    <w:p w14:paraId="70D6353C" w14:textId="77777777" w:rsidR="000811B0" w:rsidRDefault="000811B0" w:rsidP="00ED2A74">
      <w:pPr>
        <w:pStyle w:val="Normal1"/>
        <w:jc w:val="both"/>
        <w:rPr>
          <w:rFonts w:ascii="Times New Roman" w:eastAsia="Times New Roman" w:hAnsi="Times New Roman" w:cs="Times New Roman"/>
          <w:color w:val="auto"/>
          <w:sz w:val="20"/>
        </w:rPr>
      </w:pPr>
      <w:r>
        <w:rPr>
          <w:rFonts w:ascii="Times New Roman" w:hAnsi="Times New Roman" w:cs="Times New Roman"/>
          <w:color w:val="auto"/>
          <w:sz w:val="20"/>
          <w:vertAlign w:val="superscript"/>
        </w:rPr>
        <w:footnoteRef/>
      </w:r>
      <w:r>
        <w:rPr>
          <w:rFonts w:ascii="Times New Roman" w:hAnsi="Times New Roman" w:cs="Times New Roman"/>
          <w:color w:val="auto"/>
          <w:sz w:val="20"/>
        </w:rPr>
        <w:t xml:space="preserve"> </w:t>
      </w:r>
      <w:r>
        <w:rPr>
          <w:rFonts w:ascii="Times New Roman" w:eastAsia="Times New Roman" w:hAnsi="Times New Roman" w:cs="Times New Roman"/>
          <w:color w:val="auto"/>
          <w:sz w:val="20"/>
        </w:rPr>
        <w:t xml:space="preserve">Līdz 10.04.2013. Zinātnisko institūciju reģistrā bija reģistrētas 150 zinātniskās institūcijas, no tām tika vērtētas 140.  10 zinātniskās institūcijas netika vērtētas, </w:t>
      </w:r>
      <w:r w:rsidRPr="00ED2A74">
        <w:rPr>
          <w:rFonts w:ascii="Times New Roman" w:eastAsia="Times New Roman" w:hAnsi="Times New Roman" w:cs="Times New Roman"/>
          <w:color w:val="auto"/>
          <w:sz w:val="20"/>
        </w:rPr>
        <w:t>jo tika secināts, ka tās neveic pētniecisko darbību</w:t>
      </w:r>
      <w:r>
        <w:rPr>
          <w:rFonts w:ascii="Times New Roman" w:eastAsia="Times New Roman" w:hAnsi="Times New Roman" w:cs="Times New Roman"/>
          <w:color w:val="auto"/>
          <w:sz w:val="20"/>
        </w:rPr>
        <w:t xml:space="preserve">. </w:t>
      </w:r>
    </w:p>
    <w:p w14:paraId="6D11956D" w14:textId="2BE37ADB" w:rsidR="000811B0" w:rsidRPr="00BF7455" w:rsidRDefault="000811B0" w:rsidP="000508F6">
      <w:pPr>
        <w:pStyle w:val="Normal1"/>
        <w:jc w:val="both"/>
        <w:rPr>
          <w:rFonts w:ascii="Times New Roman" w:eastAsia="Times New Roman" w:hAnsi="Times New Roman" w:cs="Times New Roman"/>
          <w:color w:val="auto"/>
          <w:sz w:val="20"/>
        </w:rPr>
      </w:pPr>
      <w:r w:rsidRPr="00BF7455">
        <w:rPr>
          <w:rFonts w:ascii="Times New Roman" w:eastAsia="Times New Roman" w:hAnsi="Times New Roman" w:cs="Times New Roman"/>
          <w:color w:val="auto"/>
          <w:sz w:val="20"/>
        </w:rPr>
        <w:t>No vērtētajām 140 zinātniskajām institūcijām 126 ir publisko personu dibinātas. No 10.04.2013 stājās spēkā grozījumi Zinātniskās darbības likumā,  kuru rezultātā Zinātnisko institūciju reģistrā iekļauto reģistrēto zinātnisko institūciju skaits samazinājās līdz 90, no tām 46 ir publisko personu dibinātas.</w:t>
      </w:r>
      <w:r w:rsidRPr="00BF7455">
        <w:rPr>
          <w:rFonts w:ascii="Times New Roman" w:hAnsi="Times New Roman"/>
          <w:sz w:val="20"/>
        </w:rPr>
        <w:t xml:space="preserve"> Minēto grozījumu rezultātā Zinātnisko institūciju reģistrā iekļauto augstskolu struktūrvienību skaits samazinājās par 65% no 65 struktūrvienībām 2012.gada beigās uz 23 struktūrvienībām 2014.</w:t>
      </w:r>
      <w:r>
        <w:rPr>
          <w:rFonts w:ascii="Times New Roman" w:hAnsi="Times New Roman"/>
          <w:sz w:val="20"/>
        </w:rPr>
        <w:t xml:space="preserve"> </w:t>
      </w:r>
      <w:r w:rsidRPr="00BF7455">
        <w:rPr>
          <w:rFonts w:ascii="Times New Roman" w:hAnsi="Times New Roman"/>
          <w:sz w:val="20"/>
        </w:rPr>
        <w:t>gada beigās.</w:t>
      </w:r>
    </w:p>
  </w:footnote>
  <w:footnote w:id="8">
    <w:p w14:paraId="569E639E" w14:textId="77777777" w:rsidR="000811B0" w:rsidRPr="002B593B" w:rsidRDefault="000811B0" w:rsidP="000508F6">
      <w:pPr>
        <w:pStyle w:val="FootnoteText"/>
        <w:ind w:left="0"/>
        <w:rPr>
          <w:rFonts w:ascii="Times New Roman" w:hAnsi="Times New Roman"/>
        </w:rPr>
      </w:pPr>
      <w:r w:rsidRPr="002B593B">
        <w:rPr>
          <w:rStyle w:val="FootnoteReference"/>
          <w:rFonts w:ascii="Times New Roman" w:hAnsi="Times New Roman"/>
        </w:rPr>
        <w:footnoteRef/>
      </w:r>
      <w:r w:rsidRPr="002B593B">
        <w:rPr>
          <w:rFonts w:ascii="Times New Roman" w:hAnsi="Times New Roman"/>
        </w:rPr>
        <w:t xml:space="preserve"> </w:t>
      </w:r>
      <w:r w:rsidRPr="002B593B">
        <w:rPr>
          <w:rFonts w:ascii="Times New Roman" w:eastAsia="Times New Roman" w:hAnsi="Times New Roman"/>
        </w:rPr>
        <w:t>Informatīvais ziņojums “Par Latvijas zinātnes strukturālo reformu īstenošanu līdz 2015.gada 1.jūlijam”</w:t>
      </w:r>
      <w:r>
        <w:rPr>
          <w:rFonts w:ascii="Times New Roman" w:eastAsia="Times New Roman" w:hAnsi="Times New Roman"/>
        </w:rPr>
        <w:t xml:space="preserve"> </w:t>
      </w:r>
      <w:hyperlink r:id="rId6" w:history="1">
        <w:r w:rsidRPr="0036564D">
          <w:rPr>
            <w:rStyle w:val="Hyperlink"/>
            <w:rFonts w:ascii="Times New Roman" w:hAnsi="Times New Roman"/>
          </w:rPr>
          <w:t>http://tap.mk.gov.lv/lv/mk/tap/?pid=40324956&amp;mode=mk&amp;date=2014-08-19</w:t>
        </w:r>
      </w:hyperlink>
    </w:p>
  </w:footnote>
  <w:footnote w:id="9">
    <w:p w14:paraId="15608954" w14:textId="77777777" w:rsidR="000811B0" w:rsidRPr="00555066" w:rsidRDefault="000811B0" w:rsidP="009F4AAD">
      <w:pPr>
        <w:pStyle w:val="FootnoteText"/>
        <w:ind w:left="0"/>
        <w:rPr>
          <w:rFonts w:ascii="Times New Roman" w:hAnsi="Times New Roman"/>
        </w:rPr>
      </w:pPr>
      <w:r w:rsidRPr="00555066">
        <w:rPr>
          <w:rStyle w:val="FootnoteReference"/>
          <w:rFonts w:ascii="Times New Roman" w:hAnsi="Times New Roman"/>
        </w:rPr>
        <w:footnoteRef/>
      </w:r>
      <w:r w:rsidRPr="00555066">
        <w:rPr>
          <w:rFonts w:ascii="Times New Roman" w:hAnsi="Times New Roman"/>
        </w:rPr>
        <w:t xml:space="preserve"> Zinātnisko institūciju starptautiskā izvērtējuma rezultāti </w:t>
      </w:r>
      <w:hyperlink r:id="rId7" w:history="1">
        <w:r w:rsidRPr="00555066">
          <w:rPr>
            <w:rStyle w:val="Hyperlink"/>
            <w:rFonts w:ascii="Times New Roman" w:hAnsi="Times New Roman"/>
          </w:rPr>
          <w:t>http://izm.izm.gov.lv/nozares-politika/zinatne/11019.html</w:t>
        </w:r>
      </w:hyperlink>
    </w:p>
  </w:footnote>
  <w:footnote w:id="10">
    <w:p w14:paraId="338128B1" w14:textId="77777777" w:rsidR="000811B0" w:rsidRPr="00973F16" w:rsidRDefault="000811B0" w:rsidP="00AA51B3">
      <w:pPr>
        <w:pStyle w:val="FootnoteText"/>
        <w:ind w:left="0"/>
        <w:rPr>
          <w:rFonts w:ascii="Times New Roman" w:hAnsi="Times New Roman"/>
        </w:rPr>
      </w:pPr>
      <w:r w:rsidRPr="00973F16">
        <w:rPr>
          <w:rStyle w:val="FootnoteReference"/>
          <w:rFonts w:ascii="Times New Roman" w:hAnsi="Times New Roman"/>
        </w:rPr>
        <w:footnoteRef/>
      </w:r>
      <w:r w:rsidRPr="00973F16">
        <w:rPr>
          <w:rFonts w:ascii="Times New Roman" w:hAnsi="Times New Roman"/>
        </w:rPr>
        <w:t xml:space="preserve"> 12.11.2013. MK noteikumi Nr.</w:t>
      </w:r>
      <w:r>
        <w:rPr>
          <w:rFonts w:ascii="Times New Roman" w:hAnsi="Times New Roman"/>
        </w:rPr>
        <w:t xml:space="preserve"> </w:t>
      </w:r>
      <w:r w:rsidRPr="00973F16">
        <w:rPr>
          <w:rFonts w:ascii="Times New Roman" w:hAnsi="Times New Roman"/>
        </w:rPr>
        <w:t>1316 „Kārtība, kādā aprēķina un piešķir bāzes finansējumu zinātniskajām institūcijām”</w:t>
      </w:r>
      <w:r>
        <w:rPr>
          <w:rFonts w:ascii="Times New Roman" w:hAnsi="Times New Roman"/>
        </w:rPr>
        <w:t xml:space="preserve"> </w:t>
      </w:r>
      <w:hyperlink r:id="rId8" w:history="1">
        <w:r w:rsidRPr="00C40C5A">
          <w:rPr>
            <w:rStyle w:val="Hyperlink"/>
            <w:rFonts w:ascii="Times New Roman" w:hAnsi="Times New Roman"/>
          </w:rPr>
          <w:t>http://likumi.lv/ta/id/262508-kartiba-kada-aprekina-un-pieskir-bazes-finansejumu-zinatniskajam-institucijam</w:t>
        </w:r>
      </w:hyperlink>
    </w:p>
  </w:footnote>
  <w:footnote w:id="11">
    <w:p w14:paraId="7D02EB95" w14:textId="77777777" w:rsidR="000811B0" w:rsidRPr="00572C4B" w:rsidRDefault="000811B0" w:rsidP="00AA51B3">
      <w:pPr>
        <w:pStyle w:val="FootnoteText"/>
        <w:ind w:left="0"/>
        <w:rPr>
          <w:rFonts w:ascii="Times New Roman" w:hAnsi="Times New Roman"/>
        </w:rPr>
      </w:pPr>
      <w:r w:rsidRPr="00572C4B">
        <w:rPr>
          <w:rStyle w:val="FootnoteReference"/>
          <w:rFonts w:ascii="Times New Roman" w:hAnsi="Times New Roman"/>
        </w:rPr>
        <w:footnoteRef/>
      </w:r>
      <w:r w:rsidRPr="00572C4B">
        <w:rPr>
          <w:rFonts w:ascii="Times New Roman" w:hAnsi="Times New Roman"/>
        </w:rPr>
        <w:t xml:space="preserve"> </w:t>
      </w:r>
      <w:r>
        <w:rPr>
          <w:rFonts w:ascii="Times New Roman" w:hAnsi="Times New Roman"/>
        </w:rPr>
        <w:t>2016. gada aprēķinātais bāzes finansējums</w:t>
      </w:r>
      <w:r w:rsidRPr="00572C4B">
        <w:rPr>
          <w:rFonts w:ascii="Times New Roman" w:hAnsi="Times New Roman"/>
        </w:rPr>
        <w:t xml:space="preserve"> </w:t>
      </w:r>
      <w:hyperlink r:id="rId9" w:history="1">
        <w:r w:rsidRPr="00C40C5A">
          <w:rPr>
            <w:rStyle w:val="Hyperlink"/>
            <w:rFonts w:ascii="Times New Roman" w:hAnsi="Times New Roman"/>
          </w:rPr>
          <w:t>http://www.izm.gov.lv/lv/zinatne/zinatniskas-darbibas-bazes-finansejums/2016-gada-zinatnes-bazes-finansejums</w:t>
        </w:r>
      </w:hyperlink>
    </w:p>
  </w:footnote>
  <w:footnote w:id="12">
    <w:p w14:paraId="7414B8CC" w14:textId="77777777" w:rsidR="000811B0" w:rsidRPr="00763D95" w:rsidRDefault="000811B0" w:rsidP="00763D95">
      <w:pPr>
        <w:pStyle w:val="FootnoteText"/>
        <w:ind w:left="0"/>
        <w:rPr>
          <w:rFonts w:ascii="Times New Roman" w:hAnsi="Times New Roman"/>
          <w:bCs/>
          <w:color w:val="414142"/>
          <w:shd w:val="clear" w:color="auto" w:fill="FFFFFF"/>
        </w:rPr>
      </w:pPr>
      <w:r w:rsidRPr="00763D95">
        <w:rPr>
          <w:rFonts w:ascii="Times New Roman" w:hAnsi="Times New Roman"/>
          <w:bCs/>
          <w:color w:val="414142"/>
          <w:shd w:val="clear" w:color="auto" w:fill="FFFFFF"/>
          <w:vertAlign w:val="superscript"/>
        </w:rPr>
        <w:footnoteRef/>
      </w:r>
      <w:r w:rsidRPr="00763D95">
        <w:rPr>
          <w:rFonts w:ascii="Times New Roman" w:hAnsi="Times New Roman"/>
          <w:bCs/>
          <w:color w:val="414142"/>
          <w:shd w:val="clear" w:color="auto" w:fill="FFFFFF"/>
          <w:vertAlign w:val="superscript"/>
        </w:rPr>
        <w:t xml:space="preserve"> </w:t>
      </w:r>
      <w:r w:rsidRPr="00763D95">
        <w:rPr>
          <w:rFonts w:ascii="Times New Roman" w:hAnsi="Times New Roman"/>
          <w:bCs/>
          <w:color w:val="414142"/>
          <w:shd w:val="clear" w:color="auto" w:fill="FFFFFF"/>
        </w:rPr>
        <w:t>2016.gada zinātnes bāzes finansējums</w:t>
      </w:r>
      <w:r>
        <w:rPr>
          <w:rFonts w:ascii="Times New Roman" w:hAnsi="Times New Roman"/>
          <w:bCs/>
          <w:color w:val="414142"/>
          <w:shd w:val="clear" w:color="auto" w:fill="FFFFFF"/>
        </w:rPr>
        <w:t xml:space="preserve"> </w:t>
      </w:r>
      <w:r w:rsidRPr="00763D95">
        <w:rPr>
          <w:rStyle w:val="Hyperlink"/>
          <w:rFonts w:ascii="Times New Roman" w:hAnsi="Times New Roman"/>
        </w:rPr>
        <w:t>http://www.izm.gov.lv/lv/zinatne/zinatniskas-darbibas-bazes-finansejums/2016-gada-zinatnes-bazes-finansejums</w:t>
      </w:r>
    </w:p>
  </w:footnote>
  <w:footnote w:id="13">
    <w:p w14:paraId="5A026C1C" w14:textId="77777777" w:rsidR="000811B0" w:rsidRPr="00CF5081" w:rsidRDefault="000811B0" w:rsidP="003523F8">
      <w:pPr>
        <w:pStyle w:val="Heading3"/>
        <w:shd w:val="clear" w:color="auto" w:fill="FFFFFF"/>
        <w:spacing w:before="0" w:after="0"/>
        <w:ind w:left="0"/>
        <w:rPr>
          <w:rFonts w:ascii="Times New Roman" w:hAnsi="Times New Roman"/>
          <w:b w:val="0"/>
          <w:sz w:val="20"/>
          <w:szCs w:val="20"/>
        </w:rPr>
      </w:pPr>
      <w:r w:rsidRPr="003A0FFE">
        <w:rPr>
          <w:rStyle w:val="FootnoteReference"/>
          <w:rFonts w:ascii="Times New Roman" w:eastAsia="Calibri" w:hAnsi="Times New Roman"/>
          <w:b w:val="0"/>
          <w:sz w:val="20"/>
          <w:szCs w:val="20"/>
        </w:rPr>
        <w:footnoteRef/>
      </w:r>
      <w:r>
        <w:rPr>
          <w:rFonts w:ascii="Times New Roman" w:hAnsi="Times New Roman"/>
          <w:b w:val="0"/>
          <w:sz w:val="20"/>
          <w:szCs w:val="20"/>
        </w:rPr>
        <w:t xml:space="preserve"> </w:t>
      </w:r>
      <w:r w:rsidRPr="003A0FFE">
        <w:rPr>
          <w:rStyle w:val="Strong"/>
          <w:rFonts w:ascii="Times New Roman" w:hAnsi="Times New Roman"/>
          <w:bCs/>
          <w:sz w:val="20"/>
          <w:szCs w:val="20"/>
        </w:rPr>
        <w:t>Par prioritārajiem zinātnes virzieniem fundamentālo un lietišķo pētījumu finansēšanai 2010.-2013.</w:t>
      </w:r>
      <w:r>
        <w:rPr>
          <w:rStyle w:val="Strong"/>
          <w:rFonts w:ascii="Times New Roman" w:hAnsi="Times New Roman"/>
          <w:bCs/>
          <w:sz w:val="20"/>
          <w:szCs w:val="20"/>
        </w:rPr>
        <w:t xml:space="preserve"> </w:t>
      </w:r>
      <w:r w:rsidRPr="003A0FFE">
        <w:rPr>
          <w:rStyle w:val="Strong"/>
          <w:rFonts w:ascii="Times New Roman" w:hAnsi="Times New Roman"/>
          <w:bCs/>
          <w:sz w:val="20"/>
          <w:szCs w:val="20"/>
        </w:rPr>
        <w:t>gadā,</w:t>
      </w:r>
      <w:r>
        <w:rPr>
          <w:rStyle w:val="Strong"/>
          <w:rFonts w:ascii="Times New Roman" w:hAnsi="Times New Roman"/>
          <w:bCs/>
          <w:color w:val="414142"/>
          <w:sz w:val="20"/>
          <w:szCs w:val="20"/>
        </w:rPr>
        <w:t xml:space="preserve"> </w:t>
      </w:r>
      <w:hyperlink r:id="rId10" w:history="1">
        <w:r w:rsidRPr="00D406F8">
          <w:rPr>
            <w:rStyle w:val="Hyperlink"/>
            <w:rFonts w:ascii="Times New Roman" w:hAnsi="Times New Roman"/>
            <w:b w:val="0"/>
            <w:sz w:val="20"/>
            <w:szCs w:val="20"/>
          </w:rPr>
          <w:t>http://likumi.lv/doc.php?id=196878</w:t>
        </w:r>
      </w:hyperlink>
    </w:p>
  </w:footnote>
  <w:footnote w:id="14">
    <w:p w14:paraId="29FA4DB5" w14:textId="77777777" w:rsidR="000811B0" w:rsidRPr="00CF5081" w:rsidRDefault="000811B0" w:rsidP="0061202D">
      <w:pPr>
        <w:pStyle w:val="Heading3"/>
        <w:shd w:val="clear" w:color="auto" w:fill="FFFFFF"/>
        <w:spacing w:before="0" w:after="0"/>
        <w:ind w:left="0"/>
        <w:rPr>
          <w:rFonts w:ascii="Times New Roman" w:hAnsi="Times New Roman"/>
          <w:b w:val="0"/>
          <w:color w:val="414142"/>
          <w:sz w:val="20"/>
          <w:szCs w:val="20"/>
        </w:rPr>
      </w:pPr>
      <w:r w:rsidRPr="007C4DC9">
        <w:rPr>
          <w:rStyle w:val="Strong"/>
          <w:rFonts w:ascii="Times New Roman" w:hAnsi="Times New Roman"/>
          <w:sz w:val="20"/>
          <w:szCs w:val="20"/>
          <w:vertAlign w:val="superscript"/>
        </w:rPr>
        <w:footnoteRef/>
      </w:r>
      <w:r w:rsidRPr="003A0FFE">
        <w:rPr>
          <w:rStyle w:val="Strong"/>
          <w:rFonts w:ascii="Times New Roman" w:hAnsi="Times New Roman"/>
          <w:sz w:val="20"/>
          <w:szCs w:val="20"/>
        </w:rPr>
        <w:t xml:space="preserve"> </w:t>
      </w:r>
      <w:r w:rsidRPr="003A0FFE">
        <w:rPr>
          <w:rStyle w:val="Strong"/>
          <w:rFonts w:ascii="Times New Roman" w:hAnsi="Times New Roman"/>
          <w:bCs/>
          <w:sz w:val="20"/>
          <w:szCs w:val="20"/>
        </w:rPr>
        <w:t xml:space="preserve">Informatīvais ziņojums par ekonomikas atveseļošanas politikas virzieniem vidēja termiņa periodā, </w:t>
      </w:r>
      <w:hyperlink r:id="rId11" w:history="1">
        <w:r w:rsidRPr="00CF5081">
          <w:rPr>
            <w:rStyle w:val="Hyperlink"/>
            <w:rFonts w:ascii="Times New Roman" w:hAnsi="Times New Roman"/>
            <w:b w:val="0"/>
            <w:sz w:val="20"/>
            <w:szCs w:val="20"/>
          </w:rPr>
          <w:t>http://polsis.mk.gov.lv/view.do?id=3229</w:t>
        </w:r>
      </w:hyperlink>
    </w:p>
  </w:footnote>
  <w:footnote w:id="15">
    <w:p w14:paraId="0283E2F0" w14:textId="77777777" w:rsidR="000811B0" w:rsidRPr="007C4DC9" w:rsidRDefault="000811B0" w:rsidP="007C4DC9">
      <w:pPr>
        <w:pStyle w:val="FootnoteText"/>
        <w:ind w:left="0"/>
        <w:rPr>
          <w:rFonts w:ascii="Times New Roman" w:hAnsi="Times New Roman"/>
        </w:rPr>
      </w:pPr>
      <w:r w:rsidRPr="007C4DC9">
        <w:rPr>
          <w:rStyle w:val="FootnoteReference"/>
          <w:rFonts w:ascii="Times New Roman" w:hAnsi="Times New Roman"/>
        </w:rPr>
        <w:footnoteRef/>
      </w:r>
      <w:r w:rsidRPr="007C4DC9">
        <w:rPr>
          <w:rFonts w:ascii="Times New Roman" w:hAnsi="Times New Roman"/>
        </w:rPr>
        <w:t xml:space="preserve"> </w:t>
      </w:r>
      <w:r w:rsidRPr="007C4DC9">
        <w:rPr>
          <w:rStyle w:val="Strong"/>
          <w:rFonts w:ascii="Times New Roman" w:eastAsia="Times New Roman" w:hAnsi="Times New Roman"/>
          <w:b w:val="0"/>
        </w:rPr>
        <w:t>Ministru kabineta 2010.gada 19.oktobra noteikumi Nr.</w:t>
      </w:r>
      <w:r>
        <w:rPr>
          <w:rStyle w:val="Strong"/>
          <w:rFonts w:ascii="Times New Roman" w:eastAsia="Times New Roman" w:hAnsi="Times New Roman"/>
          <w:b w:val="0"/>
        </w:rPr>
        <w:t xml:space="preserve"> </w:t>
      </w:r>
      <w:r w:rsidRPr="007C4DC9">
        <w:rPr>
          <w:rStyle w:val="Strong"/>
          <w:rFonts w:ascii="Times New Roman" w:eastAsia="Times New Roman" w:hAnsi="Times New Roman"/>
          <w:b w:val="0"/>
        </w:rPr>
        <w:t>987 „</w:t>
      </w:r>
      <w:r w:rsidRPr="007C4DC9">
        <w:rPr>
          <w:rStyle w:val="Strong"/>
          <w:rFonts w:ascii="Times New Roman" w:eastAsia="Times New Roman" w:hAnsi="Times New Roman"/>
          <w:b w:val="0"/>
          <w:bCs w:val="0"/>
        </w:rPr>
        <w:t>Noteikumi par darbības programmas "Uzņēmējdarbība un inovācijas" papildinājuma 2.1.1.3.1.</w:t>
      </w:r>
      <w:r>
        <w:rPr>
          <w:rStyle w:val="Strong"/>
          <w:rFonts w:ascii="Times New Roman" w:eastAsia="Times New Roman" w:hAnsi="Times New Roman"/>
          <w:b w:val="0"/>
          <w:bCs w:val="0"/>
        </w:rPr>
        <w:t xml:space="preserve"> </w:t>
      </w:r>
      <w:r w:rsidRPr="007C4DC9">
        <w:rPr>
          <w:rStyle w:val="Strong"/>
          <w:rFonts w:ascii="Times New Roman" w:eastAsia="Times New Roman" w:hAnsi="Times New Roman"/>
          <w:b w:val="0"/>
          <w:bCs w:val="0"/>
        </w:rPr>
        <w:t>apakšaktivitātes "Zinātnes infrastruktūras attīstība" pirmo projektu iesniegumu atlases kārtu</w:t>
      </w:r>
      <w:r w:rsidRPr="007C4DC9">
        <w:rPr>
          <w:rStyle w:val="Strong"/>
          <w:rFonts w:ascii="Times New Roman" w:eastAsia="Times New Roman" w:hAnsi="Times New Roman"/>
          <w:b w:val="0"/>
        </w:rPr>
        <w:t>”</w:t>
      </w:r>
      <w:r w:rsidRPr="007C4DC9">
        <w:rPr>
          <w:rFonts w:ascii="Times New Roman" w:hAnsi="Times New Roman"/>
        </w:rPr>
        <w:t xml:space="preserve"> </w:t>
      </w:r>
      <w:hyperlink r:id="rId12" w:history="1">
        <w:r w:rsidRPr="007C4DC9">
          <w:rPr>
            <w:rStyle w:val="Hyperlink"/>
            <w:rFonts w:ascii="Times New Roman" w:eastAsia="Times New Roman" w:hAnsi="Times New Roman"/>
            <w:bCs/>
          </w:rPr>
          <w:t>http://likumi.lv/doc.php?id=220558</w:t>
        </w:r>
      </w:hyperlink>
    </w:p>
  </w:footnote>
  <w:footnote w:id="16">
    <w:p w14:paraId="18A5BDEC" w14:textId="77777777" w:rsidR="000811B0" w:rsidRDefault="000811B0" w:rsidP="0073669E">
      <w:pPr>
        <w:pStyle w:val="FootnoteText"/>
        <w:ind w:left="0"/>
      </w:pPr>
      <w:r>
        <w:rPr>
          <w:rStyle w:val="FootnoteReference"/>
        </w:rPr>
        <w:footnoteRef/>
      </w:r>
      <w:r>
        <w:t xml:space="preserve"> </w:t>
      </w:r>
      <w:r w:rsidRPr="00683859">
        <w:rPr>
          <w:rFonts w:ascii="Times New Roman" w:eastAsia="Times New Roman" w:hAnsi="Times New Roman"/>
          <w:lang w:eastAsia="lv-LV"/>
        </w:rPr>
        <w:t>MK 2011.gada 5.aprīļa noteikumi Nr.266 “Noteikumi par darbības programmas "Uzņēmējdarbība un inovācijas" papildinājuma 2.1.1.3.1.apakšaktivitātes "Zinātnes infrastruktūras attīstība" otro projektu iesniegumu atlases kārtu”</w:t>
      </w:r>
      <w:r>
        <w:rPr>
          <w:rFonts w:ascii="Times New Roman" w:eastAsia="Times New Roman" w:hAnsi="Times New Roman"/>
          <w:lang w:eastAsia="lv-LV"/>
        </w:rPr>
        <w:t xml:space="preserve"> </w:t>
      </w:r>
      <w:hyperlink r:id="rId13" w:history="1">
        <w:r w:rsidRPr="00AE7852">
          <w:rPr>
            <w:rStyle w:val="Hyperlink"/>
            <w:rFonts w:ascii="Times New Roman" w:hAnsi="Times New Roman"/>
            <w:lang w:eastAsia="lv-LV"/>
          </w:rPr>
          <w:t>http</w:t>
        </w:r>
        <w:r w:rsidRPr="00AE7852">
          <w:rPr>
            <w:rStyle w:val="Hyperlink"/>
            <w:rFonts w:ascii="Times New Roman" w:hAnsi="Times New Roman"/>
          </w:rPr>
          <w:t>://likumi.lv/doc.php?id=228665</w:t>
        </w:r>
      </w:hyperlink>
    </w:p>
  </w:footnote>
  <w:footnote w:id="17">
    <w:p w14:paraId="2973CB13" w14:textId="77777777" w:rsidR="000811B0" w:rsidRPr="005F0287" w:rsidRDefault="000811B0" w:rsidP="005F0287">
      <w:pPr>
        <w:pStyle w:val="FootnoteText"/>
        <w:ind w:left="0"/>
        <w:rPr>
          <w:rFonts w:ascii="Times New Roman" w:hAnsi="Times New Roman"/>
        </w:rPr>
      </w:pPr>
      <w:r>
        <w:rPr>
          <w:rStyle w:val="FootnoteReference"/>
        </w:rPr>
        <w:footnoteRef/>
      </w:r>
      <w:r>
        <w:t xml:space="preserve"> </w:t>
      </w:r>
      <w:r w:rsidRPr="005F0287">
        <w:rPr>
          <w:rFonts w:ascii="Times New Roman" w:hAnsi="Times New Roman"/>
        </w:rPr>
        <w:t xml:space="preserve">2010.gada 2.februāra MK noteikumi Nr.109 </w:t>
      </w:r>
      <w:r>
        <w:rPr>
          <w:rFonts w:ascii="Times New Roman" w:hAnsi="Times New Roman"/>
        </w:rPr>
        <w:t>“</w:t>
      </w:r>
      <w:r w:rsidRPr="005F0287">
        <w:rPr>
          <w:rFonts w:ascii="Times New Roman" w:hAnsi="Times New Roman"/>
          <w:bCs/>
          <w:color w:val="414142"/>
          <w:shd w:val="clear" w:color="auto" w:fill="FFFFFF"/>
        </w:rPr>
        <w:t>Not</w:t>
      </w:r>
      <w:r>
        <w:rPr>
          <w:rFonts w:ascii="Times New Roman" w:hAnsi="Times New Roman"/>
          <w:bCs/>
          <w:color w:val="414142"/>
          <w:shd w:val="clear" w:color="auto" w:fill="FFFFFF"/>
        </w:rPr>
        <w:t>eikumi par darbības programmas “Uzņēmējdarbība un inovācijas”</w:t>
      </w:r>
      <w:r w:rsidRPr="005F0287">
        <w:rPr>
          <w:rFonts w:ascii="Times New Roman" w:hAnsi="Times New Roman"/>
          <w:bCs/>
          <w:color w:val="414142"/>
          <w:shd w:val="clear" w:color="auto" w:fill="FFFFFF"/>
        </w:rPr>
        <w:t xml:space="preserve"> papildinā</w:t>
      </w:r>
      <w:r>
        <w:rPr>
          <w:rFonts w:ascii="Times New Roman" w:hAnsi="Times New Roman"/>
          <w:bCs/>
          <w:color w:val="414142"/>
          <w:shd w:val="clear" w:color="auto" w:fill="FFFFFF"/>
        </w:rPr>
        <w:t>juma 2.1.1.3.2.apakšaktivitāti “</w:t>
      </w:r>
      <w:r w:rsidRPr="005F0287">
        <w:rPr>
          <w:rFonts w:ascii="Times New Roman" w:hAnsi="Times New Roman"/>
          <w:bCs/>
          <w:color w:val="414142"/>
          <w:shd w:val="clear" w:color="auto" w:fill="FFFFFF"/>
        </w:rPr>
        <w:t>Informācijas tehnoloģiju infrastruktūras un informācijas sistēmu uzlabošana zinātniskajai darbībai</w:t>
      </w:r>
      <w:r>
        <w:rPr>
          <w:rFonts w:ascii="Times New Roman" w:hAnsi="Times New Roman"/>
          <w:bCs/>
          <w:color w:val="414142"/>
          <w:shd w:val="clear" w:color="auto" w:fill="FFFFFF"/>
        </w:rPr>
        <w:t>”</w:t>
      </w:r>
      <w:r w:rsidRPr="005F0287">
        <w:rPr>
          <w:rFonts w:ascii="Times New Roman" w:hAnsi="Times New Roman"/>
        </w:rPr>
        <w:t>”</w:t>
      </w:r>
      <w:r>
        <w:rPr>
          <w:rFonts w:ascii="Times New Roman" w:hAnsi="Times New Roman"/>
        </w:rPr>
        <w:t xml:space="preserve"> </w:t>
      </w:r>
      <w:hyperlink r:id="rId14" w:history="1">
        <w:r w:rsidRPr="004D6733">
          <w:rPr>
            <w:rStyle w:val="Hyperlink"/>
            <w:rFonts w:ascii="Times New Roman" w:hAnsi="Times New Roman"/>
          </w:rPr>
          <w:t>http://likumi.lv/doc.php?id=205737</w:t>
        </w:r>
      </w:hyperlink>
    </w:p>
  </w:footnote>
  <w:footnote w:id="18">
    <w:p w14:paraId="2A9B4319" w14:textId="42199029" w:rsidR="000811B0" w:rsidRPr="009F3DAE" w:rsidRDefault="000811B0" w:rsidP="00B22524">
      <w:pPr>
        <w:pStyle w:val="FootnoteText"/>
        <w:ind w:left="0"/>
      </w:pPr>
      <w:r w:rsidRPr="009F3DAE">
        <w:rPr>
          <w:rFonts w:ascii="Times New Roman" w:hAnsi="Times New Roman"/>
          <w:vertAlign w:val="superscript"/>
        </w:rPr>
        <w:footnoteRef/>
      </w:r>
      <w:r w:rsidRPr="009F3DAE">
        <w:rPr>
          <w:rFonts w:ascii="Times New Roman" w:hAnsi="Times New Roman"/>
        </w:rPr>
        <w:t xml:space="preserve"> Nacionālā zinātniskās darbības informācijas sistēma - sciencelatvia.lv</w:t>
      </w:r>
    </w:p>
  </w:footnote>
  <w:footnote w:id="19">
    <w:p w14:paraId="5A425531" w14:textId="19048DD2" w:rsidR="000811B0" w:rsidRPr="009A19BB" w:rsidRDefault="000811B0" w:rsidP="009A19BB">
      <w:pPr>
        <w:ind w:left="0"/>
        <w:rPr>
          <w:rFonts w:ascii="Times New Roman" w:eastAsiaTheme="minorHAnsi" w:hAnsi="Times New Roman"/>
          <w:sz w:val="20"/>
          <w:szCs w:val="20"/>
        </w:rPr>
      </w:pPr>
      <w:r w:rsidRPr="009A19BB">
        <w:rPr>
          <w:rStyle w:val="FootnoteReference"/>
          <w:rFonts w:ascii="Times New Roman" w:hAnsi="Times New Roman"/>
          <w:sz w:val="20"/>
          <w:szCs w:val="20"/>
        </w:rPr>
        <w:footnoteRef/>
      </w:r>
      <w:r w:rsidRPr="009A19BB">
        <w:rPr>
          <w:rFonts w:ascii="Times New Roman" w:hAnsi="Times New Roman"/>
          <w:sz w:val="20"/>
          <w:szCs w:val="20"/>
        </w:rPr>
        <w:t xml:space="preserve"> Papildinot jau esošajos reģistros pieejamos datus un </w:t>
      </w:r>
      <w:r>
        <w:rPr>
          <w:rFonts w:ascii="Times New Roman" w:hAnsi="Times New Roman"/>
          <w:sz w:val="20"/>
          <w:szCs w:val="20"/>
        </w:rPr>
        <w:t>a</w:t>
      </w:r>
      <w:r w:rsidRPr="009A19BB">
        <w:rPr>
          <w:rFonts w:ascii="Times New Roman" w:hAnsi="Times New Roman"/>
          <w:sz w:val="20"/>
          <w:szCs w:val="20"/>
        </w:rPr>
        <w:t xml:space="preserve">pkopojot datus no zinātnisko institūciju reģistra un vairākām informācijas sistēmām – no Latvijas Zinātnes padomes informācijas sistēmas (IS), VIAA IS, augstskolu un zinātnisko institūciju IS. </w:t>
      </w:r>
    </w:p>
  </w:footnote>
  <w:footnote w:id="20">
    <w:p w14:paraId="3DCB28F8" w14:textId="0B06235C" w:rsidR="000811B0" w:rsidRPr="008B2A76" w:rsidRDefault="000811B0" w:rsidP="008B2A76">
      <w:pPr>
        <w:pStyle w:val="FootnoteText"/>
        <w:ind w:left="0"/>
        <w:jc w:val="left"/>
        <w:rPr>
          <w:rFonts w:ascii="Times New Roman" w:hAnsi="Times New Roman"/>
        </w:rPr>
      </w:pPr>
      <w:r w:rsidRPr="008B2A76">
        <w:rPr>
          <w:rStyle w:val="FootnoteReference"/>
          <w:rFonts w:ascii="Times New Roman" w:hAnsi="Times New Roman"/>
        </w:rPr>
        <w:footnoteRef/>
      </w:r>
      <w:r w:rsidRPr="008B2A76">
        <w:rPr>
          <w:rFonts w:ascii="Times New Roman" w:hAnsi="Times New Roman"/>
        </w:rPr>
        <w:t xml:space="preserve"> V</w:t>
      </w:r>
      <w:r>
        <w:rPr>
          <w:rFonts w:ascii="Times New Roman" w:hAnsi="Times New Roman"/>
        </w:rPr>
        <w:t xml:space="preserve">IAA interneta tīmekļa vietne: </w:t>
      </w:r>
      <w:hyperlink r:id="rId15" w:history="1">
        <w:r w:rsidRPr="00617138">
          <w:rPr>
            <w:rStyle w:val="Hyperlink"/>
            <w:rFonts w:ascii="Times New Roman" w:hAnsi="Times New Roman"/>
          </w:rPr>
          <w:t>http://viaa.gov.lv/lat/zinatnes_inovacijas_progr/viedas_specializacijas_iev/diskusiju_materiali/?year=2014</w:t>
        </w:r>
      </w:hyperlink>
    </w:p>
  </w:footnote>
  <w:footnote w:id="21">
    <w:p w14:paraId="35EF88B6" w14:textId="146A1AB3" w:rsidR="000811B0" w:rsidRPr="008B2A76" w:rsidRDefault="000811B0" w:rsidP="008B2A76">
      <w:pPr>
        <w:pStyle w:val="FootnoteText"/>
        <w:ind w:left="0"/>
        <w:jc w:val="left"/>
        <w:rPr>
          <w:rFonts w:ascii="Times New Roman" w:hAnsi="Times New Roman"/>
        </w:rPr>
      </w:pPr>
      <w:r w:rsidRPr="008B2A76">
        <w:rPr>
          <w:rStyle w:val="FootnoteReference"/>
          <w:rFonts w:ascii="Times New Roman" w:hAnsi="Times New Roman"/>
        </w:rPr>
        <w:footnoteRef/>
      </w:r>
      <w:r w:rsidRPr="008B2A76">
        <w:rPr>
          <w:rFonts w:ascii="Times New Roman" w:hAnsi="Times New Roman"/>
        </w:rPr>
        <w:t xml:space="preserve"> </w:t>
      </w:r>
      <w:r>
        <w:rPr>
          <w:rFonts w:ascii="Times New Roman" w:hAnsi="Times New Roman"/>
        </w:rPr>
        <w:t xml:space="preserve">VIAA interneta tīmekļa vietne: </w:t>
      </w:r>
      <w:hyperlink r:id="rId16" w:history="1">
        <w:r w:rsidRPr="008B2A76">
          <w:rPr>
            <w:rStyle w:val="Hyperlink"/>
            <w:rFonts w:ascii="Times New Roman" w:hAnsi="Times New Roman"/>
          </w:rPr>
          <w:t>http://viaa.gov.lv/lat/zinatnes_inovacijas_progr/viedas_specializacijas_iev/diskusiju_materiali/</w:t>
        </w:r>
      </w:hyperlink>
    </w:p>
  </w:footnote>
  <w:footnote w:id="22">
    <w:p w14:paraId="415C870F" w14:textId="77777777" w:rsidR="000811B0" w:rsidRDefault="000811B0" w:rsidP="00900B26">
      <w:pPr>
        <w:pStyle w:val="FootnoteText"/>
        <w:ind w:left="0"/>
        <w:rPr>
          <w:rFonts w:ascii="Times New Roman" w:hAnsi="Times New Roman"/>
        </w:rPr>
      </w:pPr>
      <w:r w:rsidRPr="00C80520">
        <w:rPr>
          <w:rStyle w:val="FootnoteReference"/>
          <w:rFonts w:ascii="Times New Roman" w:hAnsi="Times New Roman"/>
        </w:rPr>
        <w:footnoteRef/>
      </w:r>
      <w:r w:rsidRPr="00C80520">
        <w:rPr>
          <w:rFonts w:ascii="Times New Roman" w:hAnsi="Times New Roman"/>
        </w:rPr>
        <w:t xml:space="preserve"> Vadlīniju attiecināmo un neattiecināmo izmaksu noteikšanai 2014.-2020.gada plānošanas periodā 4.5.apakšpunkts </w:t>
      </w:r>
    </w:p>
    <w:p w14:paraId="15B6153B" w14:textId="77777777" w:rsidR="000811B0" w:rsidRPr="00C80520" w:rsidRDefault="007E42EE" w:rsidP="00900B26">
      <w:pPr>
        <w:pStyle w:val="FootnoteText"/>
        <w:ind w:left="0"/>
        <w:rPr>
          <w:rFonts w:ascii="Times New Roman" w:hAnsi="Times New Roman"/>
        </w:rPr>
      </w:pPr>
      <w:hyperlink r:id="rId17" w:history="1">
        <w:r w:rsidR="000811B0" w:rsidRPr="00C80520">
          <w:rPr>
            <w:rStyle w:val="Hyperlink"/>
            <w:rFonts w:ascii="Times New Roman" w:hAnsi="Times New Roman"/>
          </w:rPr>
          <w:t>http://www.esfondi.lv/upload/00-vadlinijas/vadlinijas_2015/2.1_Vadl_Attiecinamo_un_neattiecinamo_izmaksu_noteiksanai_2014.-2020._planosanas_perioda.pdf</w:t>
        </w:r>
      </w:hyperlink>
      <w:r w:rsidR="000811B0" w:rsidRPr="00C80520">
        <w:rPr>
          <w:rFonts w:ascii="Times New Roman" w:hAnsi="Times New Roman"/>
        </w:rPr>
        <w:t xml:space="preserve"> </w:t>
      </w:r>
    </w:p>
  </w:footnote>
  <w:footnote w:id="23">
    <w:p w14:paraId="0559368E" w14:textId="77777777" w:rsidR="000811B0" w:rsidRPr="00366718" w:rsidRDefault="000811B0" w:rsidP="00366718">
      <w:pPr>
        <w:pStyle w:val="FootnoteText"/>
        <w:ind w:left="0"/>
        <w:rPr>
          <w:rFonts w:ascii="Times New Roman" w:hAnsi="Times New Roman"/>
        </w:rPr>
      </w:pPr>
      <w:r w:rsidRPr="00366718">
        <w:rPr>
          <w:rStyle w:val="FootnoteReference"/>
          <w:rFonts w:ascii="Times New Roman" w:hAnsi="Times New Roman"/>
        </w:rPr>
        <w:footnoteRef/>
      </w:r>
      <w:r w:rsidRPr="00366718">
        <w:rPr>
          <w:rFonts w:ascii="Times New Roman" w:hAnsi="Times New Roman"/>
        </w:rPr>
        <w:t xml:space="preserve"> 2015.gada 15.septembrī MK izskatītais informatīvais ziņojums „Viedās specializācijas stratēģijas monitoringa sistēma” </w:t>
      </w:r>
      <w:hyperlink r:id="rId18" w:history="1">
        <w:r w:rsidRPr="00366718">
          <w:rPr>
            <w:rStyle w:val="Hyperlink"/>
            <w:rFonts w:ascii="Times New Roman" w:hAnsi="Times New Roman"/>
          </w:rPr>
          <w:t>http://tap.mk.gov.lv/lv/mk/tap/?pid=40358154&amp;mode=mk&amp;date=2015-09-15</w:t>
        </w:r>
      </w:hyperlink>
    </w:p>
  </w:footnote>
  <w:footnote w:id="24">
    <w:p w14:paraId="4A8E88F4" w14:textId="77777777" w:rsidR="000811B0" w:rsidRPr="00657E4E" w:rsidRDefault="000811B0" w:rsidP="008B2A76">
      <w:pPr>
        <w:pStyle w:val="Heading3"/>
        <w:shd w:val="clear" w:color="auto" w:fill="FFFFFF"/>
        <w:spacing w:before="0" w:after="0"/>
        <w:ind w:left="0"/>
        <w:rPr>
          <w:rFonts w:ascii="Times New Roman" w:hAnsi="Times New Roman"/>
          <w:b w:val="0"/>
          <w:sz w:val="20"/>
          <w:szCs w:val="20"/>
        </w:rPr>
      </w:pPr>
      <w:r w:rsidRPr="008B2A76">
        <w:rPr>
          <w:rStyle w:val="FootnoteReference"/>
          <w:rFonts w:ascii="Times New Roman" w:hAnsi="Times New Roman"/>
          <w:b w:val="0"/>
          <w:sz w:val="20"/>
          <w:szCs w:val="20"/>
        </w:rPr>
        <w:footnoteRef/>
      </w:r>
      <w:r w:rsidRPr="008B2A76">
        <w:rPr>
          <w:rFonts w:ascii="Times New Roman" w:hAnsi="Times New Roman"/>
          <w:b w:val="0"/>
          <w:sz w:val="20"/>
          <w:szCs w:val="20"/>
        </w:rPr>
        <w:t xml:space="preserve"> 2013.gada 20.novembra MK noteikumi Nr.551 “</w:t>
      </w:r>
      <w:r w:rsidRPr="008B2A76">
        <w:rPr>
          <w:rFonts w:ascii="Times New Roman" w:hAnsi="Times New Roman"/>
          <w:b w:val="0"/>
          <w:color w:val="414142"/>
          <w:sz w:val="20"/>
          <w:szCs w:val="20"/>
        </w:rPr>
        <w:t>Par prioritārajiem virzieniem zinātnē 2014.-2017.gadā</w:t>
      </w:r>
      <w:r w:rsidRPr="008B2A76">
        <w:rPr>
          <w:rFonts w:ascii="Times New Roman" w:hAnsi="Times New Roman"/>
          <w:b w:val="0"/>
          <w:sz w:val="20"/>
          <w:szCs w:val="20"/>
        </w:rPr>
        <w:t xml:space="preserve">” </w:t>
      </w:r>
      <w:hyperlink r:id="rId19" w:history="1">
        <w:r w:rsidRPr="008B2A76">
          <w:rPr>
            <w:rStyle w:val="Hyperlink"/>
            <w:rFonts w:ascii="Times New Roman" w:hAnsi="Times New Roman"/>
            <w:b w:val="0"/>
            <w:sz w:val="20"/>
            <w:szCs w:val="20"/>
          </w:rPr>
          <w:t>http://likumi.lv/doc.php?id=262091</w:t>
        </w:r>
      </w:hyperlink>
    </w:p>
  </w:footnote>
  <w:footnote w:id="25">
    <w:p w14:paraId="5928C84A" w14:textId="77777777" w:rsidR="000811B0" w:rsidRPr="00657E4E" w:rsidRDefault="000811B0" w:rsidP="00657E4E">
      <w:pPr>
        <w:pStyle w:val="FootnoteText"/>
        <w:ind w:left="0"/>
        <w:rPr>
          <w:rFonts w:ascii="Times New Roman" w:hAnsi="Times New Roman"/>
        </w:rPr>
      </w:pPr>
      <w:r w:rsidRPr="00657E4E">
        <w:rPr>
          <w:rStyle w:val="FootnoteReference"/>
        </w:rPr>
        <w:footnoteRef/>
      </w:r>
      <w:r>
        <w:t xml:space="preserve"> </w:t>
      </w:r>
      <w:r w:rsidRPr="00657E4E">
        <w:rPr>
          <w:rFonts w:ascii="Times New Roman" w:hAnsi="Times New Roman"/>
        </w:rPr>
        <w:t xml:space="preserve">2011.gada 29.marta </w:t>
      </w:r>
      <w:r>
        <w:rPr>
          <w:rFonts w:ascii="Times New Roman" w:hAnsi="Times New Roman"/>
        </w:rPr>
        <w:t>MK noteikumi</w:t>
      </w:r>
      <w:r w:rsidRPr="00657E4E">
        <w:rPr>
          <w:rFonts w:ascii="Times New Roman" w:hAnsi="Times New Roman"/>
        </w:rPr>
        <w:t xml:space="preserve"> Nr.227 „Fundamentālo un lietišķo pētījumu projektu izvērtēšanas, finansēšanas un administrēšanas kārtība”</w:t>
      </w:r>
      <w:r>
        <w:rPr>
          <w:rFonts w:ascii="Times New Roman" w:hAnsi="Times New Roman"/>
        </w:rPr>
        <w:t xml:space="preserve"> </w:t>
      </w:r>
      <w:hyperlink r:id="rId20" w:history="1">
        <w:r w:rsidRPr="00561F17">
          <w:rPr>
            <w:rStyle w:val="Hyperlink"/>
            <w:rFonts w:ascii="Times New Roman" w:hAnsi="Times New Roman"/>
          </w:rPr>
          <w:t>http://likumi.lv/doc.php?id=227966</w:t>
        </w:r>
      </w:hyperlink>
    </w:p>
  </w:footnote>
  <w:footnote w:id="26">
    <w:p w14:paraId="0C989BF2" w14:textId="0D0F05AC" w:rsidR="000811B0" w:rsidRPr="00DA3D5A" w:rsidRDefault="000811B0" w:rsidP="00AD7DFE">
      <w:pPr>
        <w:pStyle w:val="FootnoteText"/>
        <w:ind w:left="0"/>
        <w:rPr>
          <w:rFonts w:ascii="Times New Roman" w:hAnsi="Times New Roman"/>
        </w:rPr>
      </w:pPr>
      <w:r w:rsidRPr="00DA3D5A">
        <w:rPr>
          <w:rStyle w:val="FootnoteReference"/>
          <w:rFonts w:ascii="Times New Roman" w:hAnsi="Times New Roman"/>
        </w:rPr>
        <w:footnoteRef/>
      </w:r>
      <w:r w:rsidRPr="00DA3D5A">
        <w:rPr>
          <w:rFonts w:ascii="Times New Roman" w:hAnsi="Times New Roman"/>
        </w:rPr>
        <w:t xml:space="preserve">  </w:t>
      </w:r>
      <w:r>
        <w:rPr>
          <w:rFonts w:ascii="Times New Roman" w:hAnsi="Times New Roman"/>
        </w:rPr>
        <w:t xml:space="preserve">07.10.2014. MK rīkojums Nr. 558 „Par valsts pētījumu programmām” </w:t>
      </w:r>
      <w:hyperlink r:id="rId21" w:history="1">
        <w:r w:rsidRPr="00813892">
          <w:rPr>
            <w:rStyle w:val="Hyperlink"/>
            <w:rFonts w:ascii="Times New Roman" w:hAnsi="Times New Roman"/>
          </w:rPr>
          <w:t>http://likumi.lv/doc.php?id=269406</w:t>
        </w:r>
      </w:hyperlink>
      <w:r>
        <w:rPr>
          <w:rFonts w:ascii="Times New Roman" w:hAnsi="Times New Roman"/>
        </w:rPr>
        <w:t xml:space="preserve"> un 07.10.2014. MK rīkojums Nr. 559 „Par papildu valsts pētījumu programmām” </w:t>
      </w:r>
      <w:hyperlink r:id="rId22" w:history="1">
        <w:r w:rsidRPr="00AA0489">
          <w:rPr>
            <w:rStyle w:val="Hyperlink"/>
            <w:rFonts w:ascii="Times New Roman" w:hAnsi="Times New Roman"/>
          </w:rPr>
          <w:t>http://likumi.lv/doc.php?id=269407</w:t>
        </w:r>
      </w:hyperlink>
      <w:r>
        <w:rPr>
          <w:rFonts w:ascii="Times New Roman" w:hAnsi="Times New Roman"/>
        </w:rPr>
        <w:t xml:space="preserve"> </w:t>
      </w:r>
    </w:p>
  </w:footnote>
  <w:footnote w:id="27">
    <w:p w14:paraId="7731B11D" w14:textId="2761EE9A" w:rsidR="000811B0" w:rsidRPr="00C55FC8" w:rsidRDefault="000811B0" w:rsidP="00C55FC8">
      <w:pPr>
        <w:pStyle w:val="FootnoteText"/>
        <w:ind w:left="0"/>
      </w:pPr>
      <w:r w:rsidRPr="00C55FC8">
        <w:rPr>
          <w:rFonts w:ascii="Times New Roman" w:hAnsi="Times New Roman"/>
          <w:vertAlign w:val="superscript"/>
        </w:rPr>
        <w:footnoteRef/>
      </w:r>
      <w:r>
        <w:rPr>
          <w:rFonts w:ascii="Times New Roman" w:hAnsi="Times New Roman"/>
          <w:vertAlign w:val="superscript"/>
        </w:rPr>
        <w:t xml:space="preserve">  </w:t>
      </w:r>
      <w:r w:rsidRPr="00692190">
        <w:rPr>
          <w:rFonts w:ascii="Times New Roman" w:hAnsi="Times New Roman"/>
        </w:rPr>
        <w:t>Ar likumu</w:t>
      </w:r>
      <w:r>
        <w:rPr>
          <w:rFonts w:ascii="Times New Roman" w:hAnsi="Times New Roman"/>
          <w:vertAlign w:val="superscript"/>
        </w:rPr>
        <w:t xml:space="preserve"> </w:t>
      </w:r>
      <w:r>
        <w:rPr>
          <w:rFonts w:ascii="Times New Roman" w:hAnsi="Times New Roman"/>
        </w:rPr>
        <w:t xml:space="preserve">Valsts pētījumu programmu īstenošanas nodrošināšanai 2014.gadā piešķirts finansējums 6 187 150 </w:t>
      </w:r>
      <w:r w:rsidRPr="00692190">
        <w:rPr>
          <w:rFonts w:ascii="Times New Roman" w:hAnsi="Times New Roman"/>
          <w:i/>
        </w:rPr>
        <w:t>euro</w:t>
      </w:r>
      <w:r>
        <w:rPr>
          <w:rFonts w:ascii="Times New Roman" w:hAnsi="Times New Roman"/>
          <w:i/>
        </w:rPr>
        <w:t xml:space="preserve"> </w:t>
      </w:r>
      <w:r w:rsidRPr="00692190">
        <w:rPr>
          <w:rFonts w:ascii="Times New Roman" w:hAnsi="Times New Roman"/>
        </w:rPr>
        <w:t>apmērā</w:t>
      </w:r>
      <w:r>
        <w:rPr>
          <w:rFonts w:ascii="Times New Roman" w:hAnsi="Times New Roman"/>
        </w:rPr>
        <w:t xml:space="preserve">, 2015.gadā – 6 182 660 </w:t>
      </w:r>
      <w:r w:rsidRPr="00692190">
        <w:rPr>
          <w:rFonts w:ascii="Times New Roman" w:hAnsi="Times New Roman"/>
          <w:i/>
        </w:rPr>
        <w:t>euro</w:t>
      </w:r>
      <w:r>
        <w:rPr>
          <w:rFonts w:ascii="Times New Roman" w:hAnsi="Times New Roman"/>
          <w:i/>
        </w:rPr>
        <w:t xml:space="preserve"> </w:t>
      </w:r>
      <w:r w:rsidRPr="00692190">
        <w:rPr>
          <w:rFonts w:ascii="Times New Roman" w:hAnsi="Times New Roman"/>
        </w:rPr>
        <w:t>apmērā.</w:t>
      </w:r>
      <w:r>
        <w:rPr>
          <w:rFonts w:ascii="Times New Roman" w:hAnsi="Times New Roman"/>
        </w:rPr>
        <w:t xml:space="preserve"> Atbilstoši likumam „Par valsts budžetu 2016.gadā” finansējums valsts pētījumu programmu īstenošanai 2016.gadā plānots 5 691 487</w:t>
      </w:r>
      <w:r w:rsidRPr="00692190">
        <w:rPr>
          <w:rFonts w:ascii="Times New Roman" w:hAnsi="Times New Roman"/>
          <w:i/>
        </w:rPr>
        <w:t xml:space="preserve"> euro</w:t>
      </w:r>
      <w:r>
        <w:rPr>
          <w:rFonts w:ascii="Times New Roman" w:hAnsi="Times New Roman"/>
        </w:rPr>
        <w:t xml:space="preserve"> apmērā, savukārt saskaņā ar IZM bāzes izdevumiem, finansējums Valsts pētījumu programmu īstenošanai 2017.gadā plānots 8 891 487 </w:t>
      </w:r>
      <w:r w:rsidRPr="00692190">
        <w:rPr>
          <w:rFonts w:ascii="Times New Roman" w:hAnsi="Times New Roman"/>
          <w:i/>
        </w:rPr>
        <w:t>euro</w:t>
      </w:r>
      <w:r>
        <w:rPr>
          <w:rFonts w:ascii="Times New Roman" w:hAnsi="Times New Roman"/>
        </w:rPr>
        <w:t xml:space="preserve"> apmērā.</w:t>
      </w:r>
    </w:p>
  </w:footnote>
  <w:footnote w:id="28">
    <w:p w14:paraId="55A35D51" w14:textId="77777777" w:rsidR="000811B0" w:rsidRPr="00A520C8" w:rsidRDefault="000811B0" w:rsidP="00A520C8">
      <w:pPr>
        <w:pStyle w:val="FootnoteText"/>
        <w:ind w:left="0"/>
        <w:rPr>
          <w:rFonts w:ascii="Times New Roman" w:hAnsi="Times New Roman"/>
        </w:rPr>
      </w:pPr>
      <w:r w:rsidRPr="00A520C8">
        <w:rPr>
          <w:rFonts w:ascii="Times New Roman" w:hAnsi="Times New Roman"/>
          <w:vertAlign w:val="superscript"/>
        </w:rPr>
        <w:footnoteRef/>
      </w:r>
      <w:r w:rsidRPr="00A520C8">
        <w:rPr>
          <w:rFonts w:ascii="Times New Roman" w:hAnsi="Times New Roman"/>
        </w:rPr>
        <w:t xml:space="preserve"> Enerģētikas attīstības pamatnostādnes 2016.–2020.gadam - </w:t>
      </w:r>
      <w:hyperlink r:id="rId23" w:history="1">
        <w:r w:rsidRPr="00704A3B">
          <w:rPr>
            <w:rStyle w:val="Hyperlink"/>
            <w:rFonts w:ascii="Times New Roman" w:hAnsi="Times New Roman"/>
          </w:rPr>
          <w:t>http://polsis.mk.gov.lv/documents/5499</w:t>
        </w:r>
      </w:hyperlink>
    </w:p>
  </w:footnote>
  <w:footnote w:id="29">
    <w:p w14:paraId="773FD46C" w14:textId="77777777" w:rsidR="000811B0" w:rsidRPr="00BB6BEC" w:rsidRDefault="000811B0" w:rsidP="00C96417">
      <w:pPr>
        <w:pStyle w:val="FootnoteText"/>
        <w:ind w:left="0"/>
        <w:rPr>
          <w:rFonts w:ascii="Times New Roman" w:hAnsi="Times New Roman"/>
        </w:rPr>
      </w:pPr>
      <w:r w:rsidRPr="00BB6BEC">
        <w:rPr>
          <w:rStyle w:val="FootnoteReference"/>
          <w:rFonts w:ascii="Times New Roman" w:hAnsi="Times New Roman"/>
        </w:rPr>
        <w:footnoteRef/>
      </w:r>
      <w:r w:rsidRPr="00BB6BEC">
        <w:rPr>
          <w:rFonts w:ascii="Times New Roman" w:hAnsi="Times New Roman"/>
        </w:rPr>
        <w:t xml:space="preserve"> </w:t>
      </w:r>
      <w:r w:rsidRPr="00BB6BEC">
        <w:rPr>
          <w:rFonts w:ascii="Times New Roman" w:hAnsi="Times New Roman"/>
          <w:bCs/>
          <w:shd w:val="clear" w:color="auto" w:fill="FFFFFF"/>
        </w:rPr>
        <w:t xml:space="preserve">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hyperlink r:id="rId24" w:history="1">
        <w:r w:rsidRPr="00BB6BEC">
          <w:rPr>
            <w:rStyle w:val="Hyperlink"/>
            <w:rFonts w:ascii="Times New Roman" w:hAnsi="Times New Roman"/>
          </w:rPr>
          <w:t>http://likumi.lv/doc.php?id=190349&amp;from=off</w:t>
        </w:r>
      </w:hyperlink>
    </w:p>
  </w:footnote>
  <w:footnote w:id="30">
    <w:p w14:paraId="66C537EE" w14:textId="77777777" w:rsidR="000811B0" w:rsidRDefault="000811B0" w:rsidP="00713616">
      <w:pPr>
        <w:pStyle w:val="FootnoteText"/>
        <w:ind w:left="0"/>
        <w:rPr>
          <w:rFonts w:ascii="Times New Roman" w:hAnsi="Times New Roman"/>
        </w:rPr>
      </w:pPr>
      <w:r w:rsidRPr="001C3A23">
        <w:rPr>
          <w:rStyle w:val="FootnoteReference"/>
          <w:rFonts w:ascii="Times New Roman" w:hAnsi="Times New Roman"/>
        </w:rPr>
        <w:footnoteRef/>
      </w:r>
      <w:r>
        <w:rPr>
          <w:rFonts w:ascii="Times New Roman" w:hAnsi="Times New Roman"/>
        </w:rPr>
        <w:t xml:space="preserve"> ES </w:t>
      </w:r>
      <w:r w:rsidRPr="001C3A23">
        <w:rPr>
          <w:rFonts w:ascii="Times New Roman" w:hAnsi="Times New Roman"/>
        </w:rPr>
        <w:t>Padomes ieteikums  par Latvijas 2014. gada valsts reformu programmu un ar ko sniedz Padomes atzinumu par Latvijas 2014. gada stabilitātes programmu</w:t>
      </w:r>
    </w:p>
    <w:p w14:paraId="36FF99AD" w14:textId="77777777" w:rsidR="000811B0" w:rsidRPr="001C3A23" w:rsidRDefault="007E42EE" w:rsidP="00713616">
      <w:pPr>
        <w:pStyle w:val="FootnoteText"/>
        <w:ind w:left="0"/>
        <w:rPr>
          <w:rFonts w:ascii="Times New Roman" w:hAnsi="Times New Roman"/>
        </w:rPr>
      </w:pPr>
      <w:hyperlink r:id="rId25" w:history="1">
        <w:r w:rsidR="000811B0" w:rsidRPr="003E0EBC">
          <w:rPr>
            <w:rStyle w:val="Hyperlink"/>
            <w:rFonts w:ascii="Times New Roman" w:hAnsi="Times New Roman"/>
          </w:rPr>
          <w:t>http://register.consilium.europa.eu/doc/srv?l=LV&amp;f=ST%2010793%202014%20INIT</w:t>
        </w:r>
      </w:hyperlink>
    </w:p>
  </w:footnote>
  <w:footnote w:id="31">
    <w:p w14:paraId="06B75120" w14:textId="77777777" w:rsidR="000811B0" w:rsidRPr="003E0EBC" w:rsidRDefault="000811B0" w:rsidP="00713616">
      <w:pPr>
        <w:pStyle w:val="FootnoteText"/>
        <w:ind w:left="0"/>
        <w:rPr>
          <w:rFonts w:ascii="Times New Roman" w:hAnsi="Times New Roman"/>
        </w:rPr>
      </w:pPr>
      <w:r w:rsidRPr="00382679">
        <w:rPr>
          <w:rFonts w:ascii="Times New Roman" w:hAnsi="Times New Roman"/>
          <w:vertAlign w:val="superscript"/>
        </w:rPr>
        <w:footnoteRef/>
      </w:r>
      <w:r w:rsidRPr="00382679">
        <w:rPr>
          <w:rFonts w:ascii="Times New Roman" w:hAnsi="Times New Roman"/>
          <w:vertAlign w:val="superscript"/>
        </w:rPr>
        <w:t xml:space="preserve"> </w:t>
      </w:r>
      <w:r w:rsidRPr="00382679">
        <w:rPr>
          <w:rFonts w:ascii="Times New Roman" w:hAnsi="Times New Roman"/>
        </w:rPr>
        <w:t xml:space="preserve">DP “Izaugsme un nodarbinātība” </w:t>
      </w:r>
      <w:hyperlink r:id="rId26" w:history="1">
        <w:r w:rsidRPr="007B6A02">
          <w:rPr>
            <w:rStyle w:val="Hyperlink"/>
            <w:rFonts w:ascii="Times New Roman" w:hAnsi="Times New Roman"/>
          </w:rPr>
          <w:t>http://www.esfondi.lv/upload/Planosana/FMProg_270115_DP.pdf</w:t>
        </w:r>
      </w:hyperlink>
    </w:p>
  </w:footnote>
  <w:footnote w:id="32">
    <w:p w14:paraId="41AFF2D8" w14:textId="77777777" w:rsidR="000811B0" w:rsidRPr="00F90570" w:rsidRDefault="000811B0" w:rsidP="00F90570">
      <w:pPr>
        <w:pStyle w:val="FootnoteText"/>
        <w:ind w:left="0"/>
        <w:rPr>
          <w:rFonts w:ascii="Times New Roman" w:hAnsi="Times New Roman"/>
        </w:rPr>
      </w:pPr>
      <w:r w:rsidRPr="00F90570">
        <w:rPr>
          <w:rStyle w:val="FootnoteReference"/>
          <w:rFonts w:ascii="Times New Roman" w:hAnsi="Times New Roman"/>
        </w:rPr>
        <w:footnoteRef/>
      </w:r>
      <w:r w:rsidRPr="00F90570">
        <w:rPr>
          <w:rFonts w:ascii="Times New Roman" w:hAnsi="Times New Roman"/>
        </w:rPr>
        <w:t xml:space="preserve"> 2014.gada 25.novembra MK noteikumi Nr. 729 “Noteikumi par darbības programmas “Uzņēmējdarbība un inovācijas” papildinājuma 2.1.1.3.3.apakšaktivitāti “Zinātnisko institūciju institucionālās kapacitātes attīstība””</w:t>
      </w:r>
      <w:r>
        <w:rPr>
          <w:rFonts w:ascii="Times New Roman" w:hAnsi="Times New Roman"/>
        </w:rPr>
        <w:t xml:space="preserve"> </w:t>
      </w:r>
      <w:hyperlink r:id="rId27" w:history="1">
        <w:r w:rsidRPr="00561F17">
          <w:rPr>
            <w:rStyle w:val="Hyperlink"/>
            <w:rFonts w:ascii="Times New Roman" w:hAnsi="Times New Roman"/>
          </w:rPr>
          <w:t>http://likumi.lv/ta/id/270790</w:t>
        </w:r>
      </w:hyperlink>
    </w:p>
  </w:footnote>
  <w:footnote w:id="33">
    <w:p w14:paraId="1604277B" w14:textId="7F6194A9" w:rsidR="000811B0" w:rsidRPr="00DB74DF" w:rsidRDefault="000811B0" w:rsidP="00AC1DC2">
      <w:pPr>
        <w:pStyle w:val="FootnoteText"/>
        <w:ind w:left="0"/>
        <w:rPr>
          <w:rFonts w:ascii="Times New Roman" w:hAnsi="Times New Roman"/>
        </w:rPr>
      </w:pPr>
      <w:r>
        <w:rPr>
          <w:rStyle w:val="FootnoteReference"/>
        </w:rPr>
        <w:footnoteRef/>
      </w:r>
      <w:r>
        <w:t xml:space="preserve"> </w:t>
      </w:r>
      <w:r w:rsidRPr="00697F15">
        <w:rPr>
          <w:rFonts w:ascii="Times New Roman" w:hAnsi="Times New Roman"/>
        </w:rPr>
        <w:t xml:space="preserve">Saskaņā ar Zinātnes, tehnoloģijas attīstības un inovācijas pamatnostādnēm 2014.-2020. gadam (apstiprinātas ar </w:t>
      </w:r>
      <w:r>
        <w:rPr>
          <w:rFonts w:ascii="Times New Roman" w:hAnsi="Times New Roman"/>
        </w:rPr>
        <w:t>MK</w:t>
      </w:r>
      <w:r w:rsidRPr="00697F15">
        <w:rPr>
          <w:rFonts w:ascii="Times New Roman" w:hAnsi="Times New Roman"/>
        </w:rPr>
        <w:t xml:space="preserve"> 2013.gada 28.decembra rīkojumu Nr.685)</w:t>
      </w:r>
      <w:r>
        <w:rPr>
          <w:rFonts w:ascii="Times New Roman" w:hAnsi="Times New Roman"/>
        </w:rPr>
        <w:t xml:space="preserve"> – </w:t>
      </w:r>
      <w:hyperlink r:id="rId28" w:history="1">
        <w:r w:rsidRPr="00AA0489">
          <w:rPr>
            <w:rStyle w:val="Hyperlink"/>
            <w:rFonts w:ascii="Times New Roman" w:hAnsi="Times New Roman"/>
          </w:rPr>
          <w:t>http://polsis.mk.gov.lv/view.do?id=4608</w:t>
        </w:r>
      </w:hyperlink>
    </w:p>
  </w:footnote>
  <w:footnote w:id="34">
    <w:p w14:paraId="31290780" w14:textId="77777777" w:rsidR="000811B0" w:rsidRDefault="000811B0"/>
    <w:p w14:paraId="386B5973" w14:textId="77777777" w:rsidR="000811B0" w:rsidRPr="00A520C8" w:rsidRDefault="000811B0" w:rsidP="00A520C8">
      <w:pPr>
        <w:pStyle w:val="FootnoteText"/>
        <w:ind w:left="0"/>
        <w:rPr>
          <w:rFonts w:ascii="Times New Roman" w:hAnsi="Times New Roman"/>
        </w:rPr>
      </w:pPr>
    </w:p>
  </w:footnote>
  <w:footnote w:id="35">
    <w:p w14:paraId="09535A5C" w14:textId="77777777" w:rsidR="000811B0" w:rsidRPr="002A4DD6" w:rsidRDefault="000811B0" w:rsidP="00B6324B">
      <w:pPr>
        <w:pStyle w:val="FootnoteText"/>
        <w:ind w:left="0"/>
        <w:rPr>
          <w:rFonts w:ascii="Times New Roman" w:hAnsi="Times New Roman"/>
        </w:rPr>
      </w:pPr>
      <w:r w:rsidRPr="00A520C8">
        <w:rPr>
          <w:rStyle w:val="FootnoteReference"/>
          <w:rFonts w:ascii="Times New Roman" w:hAnsi="Times New Roman"/>
        </w:rPr>
        <w:t>3</w:t>
      </w:r>
      <w:r w:rsidRPr="00A520C8">
        <w:rPr>
          <w:rFonts w:ascii="Times New Roman" w:hAnsi="Times New Roman"/>
          <w:vertAlign w:val="superscript"/>
        </w:rPr>
        <w:t>0</w:t>
      </w:r>
      <w:r w:rsidRPr="00A520C8">
        <w:rPr>
          <w:rStyle w:val="FootnoteReference"/>
          <w:rFonts w:ascii="Times New Roman" w:hAnsi="Times New Roman"/>
        </w:rPr>
        <w:t xml:space="preserve">, </w:t>
      </w:r>
      <w:r w:rsidRPr="00A520C8">
        <w:rPr>
          <w:rStyle w:val="FootnoteReference"/>
          <w:rFonts w:ascii="Times New Roman" w:hAnsi="Times New Roman"/>
        </w:rPr>
        <w:footnoteRef/>
      </w:r>
      <w:r w:rsidRPr="00A520C8">
        <w:rPr>
          <w:rFonts w:ascii="Times New Roman" w:hAnsi="Times New Roman"/>
        </w:rPr>
        <w:t xml:space="preserve"> RSU 2015. gada 28. maija vēstulē Nr.9-18/96/P29 norādīja, ka nevar slēgt vienošanos ar Valsts izglītības attīstības aģentūru par RSU projekta 2.1.1.3.3.apakšaktivitātes ietvaros īstenošanu, jo Veselības ministrija neatbalsta PSKUS izstāšanos no ZIR. Attiecīgi RSU nevar sasniegt 2.1.1.3.3. apakšaktivitātes projektu iesniegumā norādīto projekta rezultatīvo rādītāju.</w:t>
      </w:r>
    </w:p>
  </w:footnote>
  <w:footnote w:id="36">
    <w:p w14:paraId="5DBE3D22" w14:textId="77777777" w:rsidR="000811B0" w:rsidRPr="000569FD" w:rsidRDefault="000811B0" w:rsidP="00A061AB">
      <w:pPr>
        <w:pStyle w:val="FootnoteText"/>
        <w:ind w:left="0"/>
        <w:rPr>
          <w:rFonts w:ascii="Times New Roman" w:hAnsi="Times New Roman"/>
        </w:rPr>
      </w:pPr>
      <w:r w:rsidRPr="000569FD">
        <w:rPr>
          <w:rStyle w:val="FootnoteReference"/>
          <w:rFonts w:ascii="Times New Roman" w:hAnsi="Times New Roman"/>
        </w:rPr>
        <w:footnoteRef/>
      </w:r>
      <w:r w:rsidRPr="000569FD">
        <w:rPr>
          <w:rFonts w:ascii="Times New Roman" w:hAnsi="Times New Roman"/>
        </w:rPr>
        <w:t xml:space="preserve"> </w:t>
      </w:r>
      <w:r w:rsidRPr="000569FD">
        <w:rPr>
          <w:rFonts w:ascii="Times New Roman" w:hAnsi="Times New Roman"/>
          <w:color w:val="000000"/>
          <w:lang w:eastAsia="lv-LV"/>
        </w:rPr>
        <w:t xml:space="preserve">Latvijas Republikas Izglītības un zinātnes ministrijas, Lietuvas Republikas Izglītības un zinātnes ministrijas un Igaunijas Republikas Izglītības un pētniecības ministrijas saprašanās memorands par ciešāku sadarbību augstākās izglītības, pētniecības un inovāciju jomā </w:t>
      </w:r>
      <w:hyperlink r:id="rId29" w:history="1">
        <w:r w:rsidRPr="000569FD">
          <w:rPr>
            <w:rStyle w:val="Hyperlink"/>
            <w:rFonts w:ascii="Times New Roman" w:hAnsi="Times New Roman"/>
            <w:lang w:eastAsia="lv-LV"/>
          </w:rPr>
          <w:t>http://www.izm.gov.lv/images/starpresoru_ligumi/04.pdf</w:t>
        </w:r>
      </w:hyperlink>
    </w:p>
  </w:footnote>
  <w:footnote w:id="37">
    <w:p w14:paraId="3136B420" w14:textId="3C1929EC" w:rsidR="000811B0" w:rsidRDefault="000811B0" w:rsidP="0096148A">
      <w:pPr>
        <w:pStyle w:val="FootnoteText"/>
        <w:ind w:left="0"/>
      </w:pPr>
      <w:r w:rsidRPr="000569FD">
        <w:rPr>
          <w:rStyle w:val="FootnoteReference"/>
          <w:rFonts w:ascii="Times New Roman" w:hAnsi="Times New Roman"/>
        </w:rPr>
        <w:footnoteRef/>
      </w:r>
      <w:r w:rsidRPr="000569FD">
        <w:rPr>
          <w:rFonts w:ascii="Times New Roman" w:hAnsi="Times New Roman"/>
        </w:rPr>
        <w:t xml:space="preserve"> Saskaņā ar 2016. gada 5. aprīlī MK sēdē izskatīto informatīvo ziņojumu </w:t>
      </w:r>
      <w:r w:rsidRPr="000569FD">
        <w:rPr>
          <w:rFonts w:ascii="Times New Roman" w:hAnsi="Times New Roman"/>
          <w:bCs/>
          <w:color w:val="2A2A2A"/>
          <w:shd w:val="clear" w:color="auto" w:fill="FFFFFF"/>
        </w:rPr>
        <w:t>„Par Latvijas dalību Eiropas pētniecības infrastruktūru stratēģiskā foruma (ESFRI) Eiropas pētniecības infrastruktūru Ceļa kartes konsorcijos</w:t>
      </w:r>
      <w:r w:rsidRPr="000569FD">
        <w:rPr>
          <w:rFonts w:ascii="Times New Roman" w:hAnsi="Times New Roman"/>
        </w:rPr>
        <w:t xml:space="preserve">” </w:t>
      </w:r>
      <w:hyperlink r:id="rId30" w:history="1">
        <w:r w:rsidRPr="000569FD">
          <w:rPr>
            <w:rStyle w:val="Hyperlink"/>
            <w:rFonts w:ascii="Times New Roman" w:hAnsi="Times New Roman"/>
          </w:rPr>
          <w:t>http://tap.mk.gov.lv/lv/mk/tap/?pid=40385056&amp;mode=mk&amp;date=2016-04-05</w:t>
        </w:r>
      </w:hyperlink>
    </w:p>
  </w:footnote>
  <w:footnote w:id="38">
    <w:p w14:paraId="663C26A7" w14:textId="77777777" w:rsidR="000811B0" w:rsidRPr="00E36DAB" w:rsidRDefault="000811B0" w:rsidP="00EF4168">
      <w:pPr>
        <w:tabs>
          <w:tab w:val="left" w:pos="-720"/>
          <w:tab w:val="left" w:pos="0"/>
          <w:tab w:val="left" w:pos="720"/>
          <w:tab w:val="left" w:pos="1440"/>
          <w:tab w:val="left" w:pos="2160"/>
          <w:tab w:val="left" w:pos="2880"/>
          <w:tab w:val="left" w:pos="3600"/>
          <w:tab w:val="left" w:pos="4320"/>
        </w:tabs>
        <w:autoSpaceDE w:val="0"/>
        <w:autoSpaceDN w:val="0"/>
        <w:adjustRightInd w:val="0"/>
        <w:ind w:left="0"/>
        <w:jc w:val="left"/>
        <w:rPr>
          <w:rFonts w:ascii="Times New Roman" w:eastAsiaTheme="minorHAnsi" w:hAnsi="Times New Roman"/>
          <w:color w:val="000000"/>
          <w:sz w:val="18"/>
          <w:szCs w:val="18"/>
        </w:rPr>
      </w:pPr>
      <w:r w:rsidRPr="00E36DAB">
        <w:rPr>
          <w:rStyle w:val="FootnoteReference"/>
          <w:rFonts w:ascii="Times New Roman" w:hAnsi="Times New Roman"/>
          <w:sz w:val="18"/>
          <w:szCs w:val="18"/>
        </w:rPr>
        <w:footnoteRef/>
      </w:r>
      <w:r>
        <w:rPr>
          <w:rFonts w:ascii="Times New Roman" w:hAnsi="Times New Roman"/>
          <w:sz w:val="18"/>
          <w:szCs w:val="18"/>
        </w:rPr>
        <w:t xml:space="preserve"> </w:t>
      </w:r>
      <w:r w:rsidRPr="00146FDD">
        <w:rPr>
          <w:rFonts w:ascii="Times New Roman" w:hAnsi="Times New Roman"/>
          <w:sz w:val="18"/>
          <w:szCs w:val="18"/>
          <w:lang w:val="en-GB"/>
        </w:rPr>
        <w:t>Roadmap for research infrastructures of Lithuania</w:t>
      </w:r>
      <w:r>
        <w:rPr>
          <w:rFonts w:ascii="Times New Roman" w:hAnsi="Times New Roman"/>
          <w:sz w:val="18"/>
          <w:szCs w:val="18"/>
        </w:rPr>
        <w:t xml:space="preserve"> </w:t>
      </w:r>
      <w:hyperlink r:id="rId31" w:history="1">
        <w:r w:rsidRPr="00821F9D">
          <w:rPr>
            <w:rStyle w:val="Hyperlink"/>
            <w:rFonts w:ascii="Times New Roman" w:eastAsiaTheme="minorHAnsi" w:hAnsi="Times New Roman"/>
            <w:sz w:val="18"/>
            <w:szCs w:val="18"/>
          </w:rPr>
          <w:t>http://www.google.lv/url?sa=t&amp;rct=j&amp;q=&amp;esrc=s&amp;frm=1&amp;source=web&amp;cd=3&amp;ved=0CC8QFjAC&amp;url=http%3A%2F%2Fwww.lmt.lt%2Fdownload%2F1367%2F2011_kelrodis_lmtik-b5-en-spreads.pdf&amp;ei=e0HsVMWaOofjywOcgoKIDA&amp;usg=AFQjCNEsqk7FsC_owUJJ56Gb77NtNREpEg&amp;sig2=B9GJ_v1xfuxb9YFjfoVMgQ</w:t>
        </w:r>
      </w:hyperlink>
    </w:p>
  </w:footnote>
  <w:footnote w:id="39">
    <w:p w14:paraId="52337D55" w14:textId="5E7B4A1B" w:rsidR="000811B0" w:rsidRPr="000569FD" w:rsidRDefault="000811B0" w:rsidP="00752322">
      <w:pPr>
        <w:pStyle w:val="FootnoteText"/>
        <w:ind w:left="0"/>
        <w:rPr>
          <w:rFonts w:ascii="Times New Roman" w:hAnsi="Times New Roman"/>
        </w:rPr>
      </w:pPr>
      <w:r w:rsidRPr="000569FD">
        <w:rPr>
          <w:rStyle w:val="FootnoteReference"/>
          <w:rFonts w:ascii="Times New Roman" w:hAnsi="Times New Roman"/>
        </w:rPr>
        <w:footnoteRef/>
      </w:r>
      <w:r w:rsidRPr="000569FD">
        <w:rPr>
          <w:rFonts w:ascii="Times New Roman" w:hAnsi="Times New Roman"/>
        </w:rPr>
        <w:t xml:space="preserve"> Saskaņā ar 2016. gada 5. aprīlī MK sēdē izskatīto informatīvo ziņojumu </w:t>
      </w:r>
      <w:r w:rsidRPr="000569FD">
        <w:rPr>
          <w:rFonts w:ascii="Times New Roman" w:hAnsi="Times New Roman"/>
          <w:bCs/>
          <w:color w:val="2A2A2A"/>
          <w:shd w:val="clear" w:color="auto" w:fill="FFFFFF"/>
        </w:rPr>
        <w:t>„Par Latvijas dalību Eiropas pētniecības infrastruktūru stratēģiskā foruma (ESFRI) Eiropas pētniecības infrastruktūru Ceļa kartes konsorcijos</w:t>
      </w:r>
      <w:r w:rsidRPr="000569FD">
        <w:rPr>
          <w:rFonts w:ascii="Times New Roman" w:hAnsi="Times New Roman"/>
        </w:rPr>
        <w:t xml:space="preserve">” </w:t>
      </w:r>
      <w:hyperlink r:id="rId32" w:history="1">
        <w:r w:rsidRPr="000569FD">
          <w:rPr>
            <w:rStyle w:val="Hyperlink"/>
            <w:rFonts w:ascii="Times New Roman" w:hAnsi="Times New Roman"/>
          </w:rPr>
          <w:t>http://tap.mk.gov.lv/lv/mk/tap/?pid=40385056&amp;mode=mk&amp;date=2016-04-05</w:t>
        </w:r>
      </w:hyperlink>
    </w:p>
  </w:footnote>
  <w:footnote w:id="40">
    <w:p w14:paraId="2CA3C4B0" w14:textId="77777777" w:rsidR="000811B0" w:rsidRPr="00780491" w:rsidRDefault="000811B0" w:rsidP="00780491">
      <w:pPr>
        <w:ind w:left="0"/>
        <w:rPr>
          <w:rFonts w:ascii="Times New Roman" w:eastAsiaTheme="minorHAnsi" w:hAnsi="Times New Roman"/>
          <w:color w:val="1F497D"/>
          <w:sz w:val="20"/>
          <w:szCs w:val="20"/>
        </w:rPr>
      </w:pPr>
      <w:r w:rsidRPr="00780491">
        <w:rPr>
          <w:rStyle w:val="FootnoteReference"/>
          <w:rFonts w:ascii="Times New Roman" w:hAnsi="Times New Roman"/>
          <w:sz w:val="20"/>
          <w:szCs w:val="20"/>
        </w:rPr>
        <w:footnoteRef/>
      </w:r>
      <w:r w:rsidRPr="00780491">
        <w:rPr>
          <w:rFonts w:ascii="Times New Roman" w:hAnsi="Times New Roman"/>
          <w:sz w:val="20"/>
          <w:szCs w:val="20"/>
        </w:rPr>
        <w:t xml:space="preserve"> </w:t>
      </w:r>
      <w:r>
        <w:rPr>
          <w:rFonts w:ascii="Times New Roman" w:hAnsi="Times New Roman"/>
          <w:sz w:val="20"/>
          <w:szCs w:val="20"/>
        </w:rPr>
        <w:t>„</w:t>
      </w:r>
      <w:r>
        <w:rPr>
          <w:rFonts w:ascii="Times New Roman" w:hAnsi="Times New Roman"/>
          <w:bCs/>
          <w:sz w:val="20"/>
          <w:szCs w:val="20"/>
        </w:rPr>
        <w:t>I</w:t>
      </w:r>
      <w:r w:rsidRPr="00780491">
        <w:rPr>
          <w:rFonts w:ascii="Times New Roman" w:hAnsi="Times New Roman"/>
          <w:bCs/>
          <w:sz w:val="20"/>
          <w:szCs w:val="20"/>
        </w:rPr>
        <w:t>novācijas infrastruktūra</w:t>
      </w:r>
      <w:r>
        <w:rPr>
          <w:rFonts w:ascii="Times New Roman" w:hAnsi="Times New Roman"/>
          <w:bCs/>
          <w:sz w:val="20"/>
          <w:szCs w:val="20"/>
        </w:rPr>
        <w:t>”</w:t>
      </w:r>
      <w:r w:rsidRPr="00780491">
        <w:rPr>
          <w:rFonts w:ascii="Times New Roman" w:hAnsi="Times New Roman"/>
          <w:sz w:val="20"/>
          <w:szCs w:val="20"/>
        </w:rPr>
        <w:t xml:space="preserve"> ir pētniecības infrastruktūra (materiālie un nemateriālie aktīvi), kas būtiska jaunām informācijas un komunikācijas tehnoloģijām un svarīgām pamattehnoloģijām. </w:t>
      </w:r>
      <w:r>
        <w:rPr>
          <w:rFonts w:ascii="Times New Roman" w:hAnsi="Times New Roman"/>
          <w:sz w:val="20"/>
          <w:szCs w:val="20"/>
        </w:rPr>
        <w:t>P</w:t>
      </w:r>
      <w:r w:rsidRPr="00780491">
        <w:rPr>
          <w:rFonts w:ascii="Times New Roman" w:hAnsi="Times New Roman"/>
          <w:sz w:val="20"/>
          <w:szCs w:val="20"/>
        </w:rPr>
        <w:t xml:space="preserve">ētniecības infrastruktūras </w:t>
      </w:r>
      <w:r>
        <w:rPr>
          <w:rFonts w:ascii="Times New Roman" w:hAnsi="Times New Roman"/>
          <w:sz w:val="20"/>
          <w:szCs w:val="20"/>
        </w:rPr>
        <w:t xml:space="preserve">izmantošanai tiek </w:t>
      </w:r>
      <w:r w:rsidRPr="00780491">
        <w:rPr>
          <w:rFonts w:ascii="Times New Roman" w:hAnsi="Times New Roman"/>
          <w:sz w:val="20"/>
          <w:szCs w:val="20"/>
        </w:rPr>
        <w:t>veid</w:t>
      </w:r>
      <w:r>
        <w:rPr>
          <w:rFonts w:ascii="Times New Roman" w:hAnsi="Times New Roman"/>
          <w:sz w:val="20"/>
          <w:szCs w:val="20"/>
        </w:rPr>
        <w:t>otas</w:t>
      </w:r>
      <w:r w:rsidRPr="00780491">
        <w:rPr>
          <w:rFonts w:ascii="Times New Roman" w:hAnsi="Times New Roman"/>
          <w:sz w:val="20"/>
          <w:szCs w:val="20"/>
        </w:rPr>
        <w:t xml:space="preserve"> partnerattiecības </w:t>
      </w:r>
      <w:r>
        <w:rPr>
          <w:rFonts w:ascii="Times New Roman" w:hAnsi="Times New Roman"/>
          <w:sz w:val="20"/>
          <w:szCs w:val="20"/>
        </w:rPr>
        <w:t>starp</w:t>
      </w:r>
      <w:r w:rsidRPr="00780491">
        <w:rPr>
          <w:rFonts w:ascii="Times New Roman" w:hAnsi="Times New Roman"/>
          <w:sz w:val="20"/>
          <w:szCs w:val="20"/>
        </w:rPr>
        <w:t xml:space="preserve"> pētniecības organizācijām un rūpniecības nozare</w:t>
      </w:r>
      <w:r>
        <w:rPr>
          <w:rFonts w:ascii="Times New Roman" w:hAnsi="Times New Roman"/>
          <w:sz w:val="20"/>
          <w:szCs w:val="20"/>
        </w:rPr>
        <w:t>s organizācijām</w:t>
      </w:r>
      <w:r w:rsidRPr="00780491">
        <w:rPr>
          <w:rFonts w:ascii="Times New Roman" w:hAnsi="Times New Roman"/>
          <w:sz w:val="20"/>
          <w:szCs w:val="20"/>
        </w:rPr>
        <w:t>. Piekļuve valsts finansētai pētniecības infrastruktūrai t</w:t>
      </w:r>
      <w:r>
        <w:rPr>
          <w:rFonts w:ascii="Times New Roman" w:hAnsi="Times New Roman"/>
          <w:sz w:val="20"/>
          <w:szCs w:val="20"/>
        </w:rPr>
        <w:t>iek</w:t>
      </w:r>
      <w:r w:rsidRPr="00780491">
        <w:rPr>
          <w:rFonts w:ascii="Times New Roman" w:hAnsi="Times New Roman"/>
          <w:sz w:val="20"/>
          <w:szCs w:val="20"/>
        </w:rPr>
        <w:t xml:space="preserve"> nodrošina pārredzamā un nediskriminējošā veidā un atbilstoši tirgus nosacījumiem. Konkrētas pētniecības infrastruktūras īpašumtiesības, pārvaldības un izmantošanas tiesības var būt vairākām personām, un valsts struktūras un uzņēmumi var attiecīgo infrastruktūru izmantot kopīgi.</w:t>
      </w:r>
    </w:p>
  </w:footnote>
  <w:footnote w:id="41">
    <w:p w14:paraId="396F79D3" w14:textId="2E056973" w:rsidR="000811B0" w:rsidRPr="002A1F92" w:rsidRDefault="000811B0" w:rsidP="00962FB7">
      <w:pPr>
        <w:pStyle w:val="FootnoteText"/>
        <w:ind w:left="0"/>
        <w:rPr>
          <w:rFonts w:ascii="Times New Roman" w:hAnsi="Times New Roman"/>
        </w:rPr>
      </w:pPr>
      <w:r w:rsidRPr="00962FB7">
        <w:rPr>
          <w:rStyle w:val="FootnoteReference"/>
          <w:rFonts w:ascii="Times New Roman" w:hAnsi="Times New Roman"/>
        </w:rPr>
        <w:footnoteRef/>
      </w:r>
      <w:r w:rsidRPr="00962FB7">
        <w:rPr>
          <w:rFonts w:ascii="Times New Roman" w:hAnsi="Times New Roman"/>
        </w:rPr>
        <w:t xml:space="preserve"> Saskaņā ar 2016. gada 24. maija MK sēdes protokola Nr. 25 26. § nolemto, </w:t>
      </w:r>
      <w:r>
        <w:rPr>
          <w:rFonts w:ascii="Times New Roman" w:hAnsi="Times New Roman"/>
        </w:rPr>
        <w:t>LU</w:t>
      </w:r>
      <w:r w:rsidRPr="00962FB7">
        <w:rPr>
          <w:rFonts w:ascii="Times New Roman" w:hAnsi="Times New Roman"/>
        </w:rPr>
        <w:t xml:space="preserve"> Cietvielu fizik</w:t>
      </w:r>
      <w:r>
        <w:rPr>
          <w:rFonts w:ascii="Times New Roman" w:hAnsi="Times New Roman"/>
        </w:rPr>
        <w:t xml:space="preserve">as institūtam </w:t>
      </w:r>
      <w:r w:rsidRPr="00962FB7">
        <w:rPr>
          <w:rFonts w:ascii="Times New Roman" w:hAnsi="Times New Roman"/>
        </w:rPr>
        <w:t xml:space="preserve">ES </w:t>
      </w:r>
      <w:r w:rsidRPr="00B254C9">
        <w:rPr>
          <w:rFonts w:ascii="Times New Roman" w:hAnsi="Times New Roman"/>
        </w:rPr>
        <w:t>pētniecības un inovāciju pamatprogrammas „Apvārsnis 2020” apakšprogrammas „WIDESPREAD 1-2014: Teaming” projekta „Viedo materiālu pētījumu un tehnoloģiju pārneses ekselences centrs – CAMART²” (The Excellence Centre of Advanced Material Research and Technology Transfer) projekta otrās fāzes apstiprināšanas gadījumā, tiks pārdalīts 1.2.1. specifiskā atbalsta mērķa „Palielināt privātā sektora investīcijas P&amp;A” 1</w:t>
      </w:r>
      <w:r w:rsidRPr="00FB4DF5">
        <w:rPr>
          <w:rFonts w:ascii="Times New Roman" w:hAnsi="Times New Roman"/>
        </w:rPr>
        <w:t>.2.1.1. pasākuma “Atbalst</w:t>
      </w:r>
      <w:r w:rsidRPr="00C46579">
        <w:rPr>
          <w:rFonts w:ascii="Times New Roman" w:hAnsi="Times New Roman"/>
        </w:rPr>
        <w:t xml:space="preserve">s jaunu produktu un tehnoloģiju izstrādei kompetences centru ietvaros”  trešās atlases kārtas publiskais finansējums </w:t>
      </w:r>
      <w:r w:rsidRPr="00FB4DF5">
        <w:rPr>
          <w:rFonts w:ascii="Times New Roman" w:hAnsi="Times New Roman"/>
        </w:rPr>
        <w:t xml:space="preserve">5 milj. </w:t>
      </w:r>
      <w:r w:rsidRPr="00FB4DF5">
        <w:rPr>
          <w:rFonts w:ascii="Times New Roman" w:hAnsi="Times New Roman"/>
          <w:i/>
        </w:rPr>
        <w:t xml:space="preserve">euro </w:t>
      </w:r>
      <w:r w:rsidRPr="00FB4DF5">
        <w:rPr>
          <w:rFonts w:ascii="Times New Roman" w:hAnsi="Times New Roman"/>
        </w:rPr>
        <w:t>apmērā (ERAF</w:t>
      </w:r>
      <w:r w:rsidRPr="00C46579">
        <w:rPr>
          <w:rFonts w:ascii="Times New Roman" w:hAnsi="Times New Roman"/>
        </w:rPr>
        <w:t xml:space="preserve"> finansējums) uz 1.1.1.4. pasākumu "P&amp;A infrastruktūras attīstīšana Viedās specializācijas jomās un zinātnisko ins</w:t>
      </w:r>
      <w:r w:rsidRPr="00690A3C">
        <w:rPr>
          <w:rFonts w:ascii="Times New Roman" w:hAnsi="Times New Roman"/>
        </w:rPr>
        <w:t>titūciju institucionālās kapacitātes stiprināšana" LU Cietvielu fizikas instit</w:t>
      </w:r>
      <w:r w:rsidRPr="005A2041">
        <w:rPr>
          <w:rFonts w:ascii="Times New Roman" w:hAnsi="Times New Roman"/>
        </w:rPr>
        <w:t>ūta CAMART2 projekta īstenošanas nodrošināšanai</w:t>
      </w:r>
      <w:r w:rsidRPr="000008EB">
        <w:rPr>
          <w:rFonts w:ascii="Times New Roman" w:hAnsi="Times New Roman"/>
        </w:rPr>
        <w:t xml:space="preserve"> (</w:t>
      </w:r>
      <w:hyperlink r:id="rId33" w:history="1">
        <w:r w:rsidRPr="00AB0AAD">
          <w:rPr>
            <w:rStyle w:val="Hyperlink"/>
            <w:rFonts w:ascii="Times New Roman" w:hAnsi="Times New Roman"/>
          </w:rPr>
          <w:t>http://tap.mk.gov.lv/mk/mksedes/saraksts/</w:t>
        </w:r>
        <w:r w:rsidRPr="002A1F92">
          <w:rPr>
            <w:rStyle w:val="Hyperlink"/>
            <w:rFonts w:ascii="Times New Roman" w:hAnsi="Times New Roman"/>
          </w:rPr>
          <w:t>protokols/?protokols=2016-05-24</w:t>
        </w:r>
      </w:hyperlink>
      <w:r w:rsidRPr="00AB0AAD">
        <w:rPr>
          <w:rFonts w:ascii="Times New Roman" w:hAnsi="Times New Roman"/>
        </w:rPr>
        <w:t>).</w:t>
      </w:r>
    </w:p>
  </w:footnote>
  <w:footnote w:id="42">
    <w:p w14:paraId="58651A0D" w14:textId="77777777" w:rsidR="000811B0" w:rsidRPr="004D101F" w:rsidRDefault="000811B0" w:rsidP="00566595">
      <w:pPr>
        <w:pStyle w:val="FootnoteText"/>
        <w:ind w:left="0"/>
        <w:rPr>
          <w:rFonts w:ascii="Times New Roman" w:hAnsi="Times New Roman"/>
          <w:color w:val="414142"/>
          <w:shd w:val="clear" w:color="auto" w:fill="F1F1F1"/>
        </w:rPr>
      </w:pPr>
      <w:r w:rsidRPr="002A1F92">
        <w:rPr>
          <w:rStyle w:val="FootnoteReference"/>
          <w:rFonts w:ascii="Times New Roman" w:hAnsi="Times New Roman"/>
        </w:rPr>
        <w:footnoteRef/>
      </w:r>
      <w:r w:rsidRPr="002A1F92">
        <w:rPr>
          <w:rFonts w:ascii="Times New Roman" w:hAnsi="Times New Roman"/>
        </w:rPr>
        <w:t xml:space="preserve"> </w:t>
      </w:r>
      <w:r w:rsidRPr="00B106A0">
        <w:rPr>
          <w:rFonts w:ascii="Times New Roman" w:hAnsi="Times New Roman"/>
          <w:color w:val="414142"/>
        </w:rPr>
        <w:t>Pētniecības organizācija – subjekts, kas atbilst Eiropas Komisijas 2014. gada 17. jūnija</w:t>
      </w:r>
      <w:r w:rsidRPr="004D101F">
        <w:rPr>
          <w:rFonts w:ascii="Times New Roman" w:hAnsi="Times New Roman"/>
          <w:color w:val="414142"/>
        </w:rPr>
        <w:t xml:space="preserve"> Regulas Nr.</w:t>
      </w:r>
      <w:r w:rsidRPr="004D101F">
        <w:rPr>
          <w:rStyle w:val="apple-converted-space"/>
          <w:rFonts w:ascii="Times New Roman" w:hAnsi="Times New Roman"/>
          <w:color w:val="414142"/>
        </w:rPr>
        <w:t> </w:t>
      </w:r>
      <w:hyperlink r:id="rId34" w:tgtFrame="_blank" w:history="1">
        <w:r w:rsidRPr="004D101F">
          <w:rPr>
            <w:rStyle w:val="Hyperlink"/>
            <w:rFonts w:ascii="Times New Roman" w:hAnsi="Times New Roman"/>
            <w:color w:val="16497B"/>
          </w:rPr>
          <w:t>651/2014</w:t>
        </w:r>
      </w:hyperlink>
      <w:r w:rsidRPr="004D101F">
        <w:rPr>
          <w:rFonts w:ascii="Times New Roman" w:hAnsi="Times New Roman"/>
          <w:color w:val="414142"/>
        </w:rPr>
        <w:t>, ar ko noteiktas atbalsta kategorijas atzīst par saderīgām ar iekšējo tirgu, piemērojot Līguma 107. un 108. pantu (turpmāk – Komisijas regula Nr.</w:t>
      </w:r>
      <w:r w:rsidRPr="004D101F">
        <w:rPr>
          <w:rStyle w:val="apple-converted-space"/>
          <w:rFonts w:ascii="Times New Roman" w:hAnsi="Times New Roman"/>
          <w:color w:val="414142"/>
        </w:rPr>
        <w:t> </w:t>
      </w:r>
      <w:hyperlink r:id="rId35" w:tgtFrame="_blank" w:history="1">
        <w:r w:rsidRPr="004D101F">
          <w:rPr>
            <w:rStyle w:val="Hyperlink"/>
            <w:rFonts w:ascii="Times New Roman" w:hAnsi="Times New Roman"/>
            <w:color w:val="16497B"/>
          </w:rPr>
          <w:t>651/2014</w:t>
        </w:r>
      </w:hyperlink>
      <w:r w:rsidRPr="004D101F">
        <w:rPr>
          <w:rFonts w:ascii="Times New Roman" w:hAnsi="Times New Roman"/>
          <w:color w:val="414142"/>
        </w:rPr>
        <w:t>)</w:t>
      </w:r>
      <w:r w:rsidRPr="004D101F">
        <w:rPr>
          <w:rStyle w:val="apple-converted-space"/>
          <w:rFonts w:ascii="Times New Roman" w:hAnsi="Times New Roman"/>
          <w:color w:val="414142"/>
        </w:rPr>
        <w:t> </w:t>
      </w:r>
      <w:r w:rsidRPr="004D101F">
        <w:rPr>
          <w:rFonts w:ascii="Times New Roman" w:hAnsi="Times New Roman"/>
          <w:color w:val="414142"/>
        </w:rPr>
        <w:t xml:space="preserve">2. panta 83. punktā noteiktajai definīcijai </w:t>
      </w:r>
      <w:hyperlink r:id="rId36" w:history="1">
        <w:r w:rsidRPr="004D101F">
          <w:rPr>
            <w:rStyle w:val="Hyperlink"/>
            <w:rFonts w:ascii="Times New Roman" w:hAnsi="Times New Roman"/>
          </w:rPr>
          <w:t>http://eur-lex.europa.eu/legal-content/LV/TXT/PDF/?uri=CELEX:32014R0651&amp;from=LV</w:t>
        </w:r>
      </w:hyperlink>
    </w:p>
  </w:footnote>
  <w:footnote w:id="43">
    <w:p w14:paraId="6AEB6560" w14:textId="55ACFDE9" w:rsidR="000811B0" w:rsidRPr="001651FF" w:rsidRDefault="000811B0" w:rsidP="00BF682F">
      <w:pPr>
        <w:pStyle w:val="FootnoteText"/>
        <w:ind w:left="0"/>
        <w:rPr>
          <w:rFonts w:ascii="Times New Roman" w:hAnsi="Times New Roman"/>
          <w:color w:val="414142"/>
        </w:rPr>
      </w:pPr>
      <w:r w:rsidRPr="001651FF">
        <w:rPr>
          <w:rStyle w:val="FootnoteReference"/>
          <w:rFonts w:ascii="Times New Roman" w:hAnsi="Times New Roman"/>
        </w:rPr>
        <w:footnoteRef/>
      </w:r>
      <w:r w:rsidRPr="001651FF">
        <w:rPr>
          <w:rFonts w:ascii="Times New Roman" w:hAnsi="Times New Roman"/>
          <w:color w:val="414142"/>
        </w:rPr>
        <w:t>Eiropas Komisijas 2014. gada 17. jūnija Regulas Nr.</w:t>
      </w:r>
      <w:r w:rsidRPr="001651FF">
        <w:rPr>
          <w:rStyle w:val="apple-converted-space"/>
          <w:rFonts w:ascii="Times New Roman" w:hAnsi="Times New Roman"/>
          <w:color w:val="414142"/>
        </w:rPr>
        <w:t> </w:t>
      </w:r>
      <w:hyperlink r:id="rId37" w:tgtFrame="_blank" w:history="1">
        <w:r w:rsidRPr="001651FF">
          <w:rPr>
            <w:rStyle w:val="Hyperlink"/>
            <w:rFonts w:ascii="Times New Roman" w:hAnsi="Times New Roman"/>
            <w:color w:val="16497B"/>
          </w:rPr>
          <w:t>651/2014</w:t>
        </w:r>
      </w:hyperlink>
      <w:r w:rsidRPr="001651FF">
        <w:rPr>
          <w:rFonts w:ascii="Times New Roman" w:hAnsi="Times New Roman"/>
          <w:color w:val="414142"/>
        </w:rPr>
        <w:t>, ar ko noteiktas atbalsta kategorijas atzīst par saderīgām ar iekšējo tirgu, piemērojot Līguma 107. un 108. pantu (turpmāk – Komisijas regula Nr.</w:t>
      </w:r>
      <w:r w:rsidRPr="001651FF">
        <w:rPr>
          <w:rStyle w:val="apple-converted-space"/>
          <w:rFonts w:ascii="Times New Roman" w:hAnsi="Times New Roman"/>
          <w:color w:val="414142"/>
        </w:rPr>
        <w:t> </w:t>
      </w:r>
      <w:hyperlink r:id="rId38" w:tgtFrame="_blank" w:history="1">
        <w:r w:rsidRPr="001651FF">
          <w:rPr>
            <w:rStyle w:val="Hyperlink"/>
            <w:rFonts w:ascii="Times New Roman" w:hAnsi="Times New Roman"/>
            <w:color w:val="16497B"/>
          </w:rPr>
          <w:t>651/2014</w:t>
        </w:r>
      </w:hyperlink>
      <w:r w:rsidRPr="001651FF">
        <w:rPr>
          <w:rFonts w:ascii="Times New Roman" w:hAnsi="Times New Roman"/>
          <w:color w:val="414142"/>
        </w:rPr>
        <w:t>) 26.pants „</w:t>
      </w:r>
      <w:r w:rsidRPr="001651FF">
        <w:rPr>
          <w:rFonts w:ascii="Times New Roman" w:hAnsi="Times New Roman"/>
        </w:rPr>
        <w:t>Ieguldījumu atbalsts pētniecības infrastruktūrai</w:t>
      </w:r>
      <w:r w:rsidRPr="001651FF">
        <w:rPr>
          <w:rFonts w:ascii="Times New Roman" w:hAnsi="Times New Roman"/>
          <w:color w:val="414142"/>
        </w:rPr>
        <w:t>”</w:t>
      </w:r>
      <w:r>
        <w:rPr>
          <w:rFonts w:ascii="Times New Roman" w:hAnsi="Times New Roman"/>
          <w:color w:val="414142"/>
        </w:rPr>
        <w:t>.</w:t>
      </w:r>
    </w:p>
  </w:footnote>
  <w:footnote w:id="44">
    <w:p w14:paraId="33904A28" w14:textId="652551AC" w:rsidR="000811B0" w:rsidRPr="00E0256A" w:rsidRDefault="000811B0" w:rsidP="00A5205A">
      <w:pPr>
        <w:pStyle w:val="Default"/>
        <w:jc w:val="both"/>
        <w:rPr>
          <w:sz w:val="20"/>
          <w:szCs w:val="20"/>
        </w:rPr>
      </w:pPr>
      <w:r w:rsidRPr="00E0256A">
        <w:rPr>
          <w:rStyle w:val="FootnoteReference"/>
          <w:sz w:val="20"/>
          <w:szCs w:val="20"/>
        </w:rPr>
        <w:footnoteRef/>
      </w:r>
      <w:r w:rsidRPr="00E0256A">
        <w:rPr>
          <w:sz w:val="20"/>
          <w:szCs w:val="20"/>
        </w:rPr>
        <w:t xml:space="preserve"> Saskaņā ar 2016. gada 24. maija MK sēdes protokola Nr. 25 26. § nolemto, Latvijas Universitātes Cietvielu fizikas institūtam (turpmāk – LU CFI) CAMART2 projekta otrās fāzes apstiprināšanas gadījumā pieejamais kopējais attiecināmais publiskais finansējums nepārsniedz 13 320 196 </w:t>
      </w:r>
      <w:r w:rsidRPr="00E0256A">
        <w:rPr>
          <w:i/>
          <w:sz w:val="20"/>
          <w:szCs w:val="20"/>
        </w:rPr>
        <w:t>euro</w:t>
      </w:r>
      <w:r w:rsidRPr="00E0256A">
        <w:rPr>
          <w:sz w:val="20"/>
          <w:szCs w:val="20"/>
        </w:rPr>
        <w:t xml:space="preserve">, ko veido 1.1.1.4. pasākuma ietvaros pieejams publiskais (ERAF un valsts budžeta) finansējums 8 320 196  </w:t>
      </w:r>
      <w:r w:rsidRPr="00E0256A">
        <w:rPr>
          <w:i/>
          <w:sz w:val="20"/>
          <w:szCs w:val="20"/>
        </w:rPr>
        <w:t>euro</w:t>
      </w:r>
      <w:r w:rsidRPr="00E0256A">
        <w:rPr>
          <w:sz w:val="20"/>
          <w:szCs w:val="20"/>
        </w:rPr>
        <w:t xml:space="preserve"> apmērā un no 1.2.1. specifiskā atbalsta mērķa „Palielināt privātā sektora investīcijas P&amp;A”  1.2.1.1. pasākuma “Atbalsts jaunu produktu un tehnoloģiju izstrādei kompetences centru ietvaros” (turpmāk – 1.2.1.1. pasākums)  trešās atlases kārtas pārdalītais publiskais (ERAF) finansējums 5 000 000 </w:t>
      </w:r>
      <w:r w:rsidRPr="00E0256A">
        <w:rPr>
          <w:i/>
          <w:sz w:val="20"/>
          <w:szCs w:val="20"/>
        </w:rPr>
        <w:t>euro</w:t>
      </w:r>
      <w:r w:rsidRPr="00E0256A">
        <w:rPr>
          <w:sz w:val="20"/>
          <w:szCs w:val="20"/>
        </w:rPr>
        <w:t xml:space="preserve"> apmērā. </w:t>
      </w:r>
    </w:p>
  </w:footnote>
  <w:footnote w:id="45">
    <w:p w14:paraId="1720E0AA" w14:textId="77777777" w:rsidR="000811B0" w:rsidRDefault="000811B0" w:rsidP="00790778">
      <w:pPr>
        <w:tabs>
          <w:tab w:val="left" w:pos="567"/>
        </w:tabs>
        <w:ind w:left="0"/>
        <w:rPr>
          <w:rFonts w:ascii="Times New Roman" w:hAnsi="Times New Roman"/>
          <w:sz w:val="20"/>
          <w:szCs w:val="20"/>
        </w:rPr>
      </w:pPr>
      <w:r w:rsidRPr="00EF57FD">
        <w:rPr>
          <w:rStyle w:val="FootnoteReference"/>
          <w:rFonts w:ascii="Times New Roman" w:hAnsi="Times New Roman"/>
          <w:sz w:val="20"/>
          <w:szCs w:val="20"/>
        </w:rPr>
        <w:footnoteRef/>
      </w:r>
      <w:r w:rsidRPr="00EF57FD">
        <w:rPr>
          <w:rFonts w:ascii="Times New Roman" w:hAnsi="Times New Roman"/>
          <w:sz w:val="20"/>
          <w:szCs w:val="20"/>
        </w:rPr>
        <w:t xml:space="preserve"> Atšķirībā no ES fondu 2007.-2013.</w:t>
      </w:r>
      <w:r>
        <w:rPr>
          <w:rFonts w:ascii="Times New Roman" w:hAnsi="Times New Roman"/>
          <w:sz w:val="20"/>
          <w:szCs w:val="20"/>
        </w:rPr>
        <w:t xml:space="preserve"> </w:t>
      </w:r>
      <w:r w:rsidRPr="00EF57FD">
        <w:rPr>
          <w:rFonts w:ascii="Times New Roman" w:hAnsi="Times New Roman"/>
          <w:sz w:val="20"/>
          <w:szCs w:val="20"/>
        </w:rPr>
        <w:t>gada plānošanas perioda, kad ERAF līdzfinansētiem infrastruktūras projektiem nebija attiecināmas administratīvās izmaksas, ES fondu 2014.-2020.</w:t>
      </w:r>
      <w:r>
        <w:rPr>
          <w:rFonts w:ascii="Times New Roman" w:hAnsi="Times New Roman"/>
          <w:sz w:val="20"/>
          <w:szCs w:val="20"/>
        </w:rPr>
        <w:t xml:space="preserve"> </w:t>
      </w:r>
      <w:r w:rsidRPr="00EF57FD">
        <w:rPr>
          <w:rFonts w:ascii="Times New Roman" w:hAnsi="Times New Roman"/>
          <w:sz w:val="20"/>
          <w:szCs w:val="20"/>
        </w:rPr>
        <w:t xml:space="preserve">gada plānošanas perioda ietvaros īstenotajiem infrastruktūras projektiem attiecināmas projekta vadības personāla (projekta vadītājs, finanšu speciālists, iepirkumu speciālists) izmaksas. Infrastruktūras projektiem maksimālais projekta vadības personāla izmaksu ierobežojums ir 56 580 </w:t>
      </w:r>
      <w:r w:rsidRPr="00846439">
        <w:rPr>
          <w:rFonts w:ascii="Times New Roman" w:hAnsi="Times New Roman"/>
          <w:i/>
          <w:sz w:val="20"/>
          <w:szCs w:val="20"/>
        </w:rPr>
        <w:t>euro</w:t>
      </w:r>
      <w:r w:rsidRPr="00EF57FD">
        <w:rPr>
          <w:rFonts w:ascii="Times New Roman" w:hAnsi="Times New Roman"/>
          <w:sz w:val="20"/>
          <w:szCs w:val="20"/>
        </w:rPr>
        <w:t xml:space="preserve"> gadā (projektiem, kuru tiešās attiecināmās izmaksas ir virs 5 milj. euro), savukārt projektiem, kuru tiešās attiecināmās izmaksas ir zem 5 milj. </w:t>
      </w:r>
      <w:r w:rsidRPr="00EF57FD">
        <w:rPr>
          <w:rFonts w:ascii="Times New Roman" w:hAnsi="Times New Roman"/>
          <w:i/>
          <w:sz w:val="20"/>
          <w:szCs w:val="20"/>
        </w:rPr>
        <w:t>euro</w:t>
      </w:r>
      <w:r w:rsidRPr="00EF57FD">
        <w:rPr>
          <w:rFonts w:ascii="Times New Roman" w:hAnsi="Times New Roman"/>
          <w:sz w:val="20"/>
          <w:szCs w:val="20"/>
        </w:rPr>
        <w:t xml:space="preserve">, minimālais ierobežojums 24 429 </w:t>
      </w:r>
      <w:r w:rsidRPr="00EF57FD">
        <w:rPr>
          <w:rFonts w:ascii="Times New Roman" w:hAnsi="Times New Roman"/>
          <w:i/>
          <w:sz w:val="20"/>
          <w:szCs w:val="20"/>
        </w:rPr>
        <w:t>euro</w:t>
      </w:r>
      <w:r w:rsidRPr="00EF57FD">
        <w:rPr>
          <w:rFonts w:ascii="Times New Roman" w:hAnsi="Times New Roman"/>
          <w:sz w:val="20"/>
          <w:szCs w:val="20"/>
        </w:rPr>
        <w:t xml:space="preserve"> gadā.</w:t>
      </w:r>
      <w:r>
        <w:rPr>
          <w:rFonts w:ascii="Times New Roman" w:hAnsi="Times New Roman"/>
          <w:sz w:val="24"/>
          <w:szCs w:val="24"/>
        </w:rPr>
        <w:t xml:space="preserve"> </w:t>
      </w:r>
      <w:r>
        <w:rPr>
          <w:rFonts w:ascii="Times New Roman" w:hAnsi="Times New Roman"/>
          <w:sz w:val="20"/>
          <w:szCs w:val="20"/>
        </w:rPr>
        <w:t>Vadlīniju attiecināmo un neattiecināmo izmaksu noteikšanai 2014.-2020. gada plānošanas periodā 4.5. apakšpunkts</w:t>
      </w:r>
    </w:p>
    <w:p w14:paraId="63578D4F" w14:textId="77777777" w:rsidR="000811B0" w:rsidRDefault="007E42EE" w:rsidP="00790778">
      <w:pPr>
        <w:pStyle w:val="FootnoteText"/>
        <w:ind w:left="0"/>
      </w:pPr>
      <w:hyperlink r:id="rId39" w:history="1">
        <w:r w:rsidR="000811B0" w:rsidRPr="00995808">
          <w:rPr>
            <w:rStyle w:val="Hyperlink"/>
            <w:rFonts w:ascii="Times New Roman" w:hAnsi="Times New Roman"/>
          </w:rPr>
          <w:t>http://www.esfondi.lv/upload/00-vadlinijas/vadlinijas_2015/2.1_Vadl_Attiecinamo_un_neattiecinamo_izmaksu_noteiksanai_2014.-2020._planosanas_perioda.pdf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182261"/>
      <w:docPartObj>
        <w:docPartGallery w:val="Page Numbers (Top of Page)"/>
        <w:docPartUnique/>
      </w:docPartObj>
    </w:sdtPr>
    <w:sdtEndPr>
      <w:rPr>
        <w:rFonts w:ascii="Times New Roman" w:hAnsi="Times New Roman"/>
        <w:noProof/>
      </w:rPr>
    </w:sdtEndPr>
    <w:sdtContent>
      <w:p w14:paraId="26A559CD" w14:textId="77777777" w:rsidR="000811B0" w:rsidRPr="0063176C" w:rsidRDefault="000811B0" w:rsidP="0063176C">
        <w:pPr>
          <w:pStyle w:val="Header"/>
          <w:jc w:val="center"/>
          <w:rPr>
            <w:rFonts w:ascii="Times New Roman" w:hAnsi="Times New Roman"/>
          </w:rPr>
        </w:pPr>
        <w:r w:rsidRPr="0063176C">
          <w:rPr>
            <w:rFonts w:ascii="Times New Roman" w:hAnsi="Times New Roman"/>
          </w:rPr>
          <w:fldChar w:fldCharType="begin"/>
        </w:r>
        <w:r w:rsidRPr="0063176C">
          <w:rPr>
            <w:rFonts w:ascii="Times New Roman" w:hAnsi="Times New Roman"/>
          </w:rPr>
          <w:instrText xml:space="preserve"> PAGE   \* MERGEFORMAT </w:instrText>
        </w:r>
        <w:r w:rsidRPr="0063176C">
          <w:rPr>
            <w:rFonts w:ascii="Times New Roman" w:hAnsi="Times New Roman"/>
          </w:rPr>
          <w:fldChar w:fldCharType="separate"/>
        </w:r>
        <w:r w:rsidR="00E7642A">
          <w:rPr>
            <w:rFonts w:ascii="Times New Roman" w:hAnsi="Times New Roman"/>
            <w:noProof/>
          </w:rPr>
          <w:t>6</w:t>
        </w:r>
        <w:r w:rsidRPr="0063176C">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012A"/>
    <w:multiLevelType w:val="hybridMultilevel"/>
    <w:tmpl w:val="ABDA7000"/>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302119"/>
    <w:multiLevelType w:val="hybridMultilevel"/>
    <w:tmpl w:val="7E2E0838"/>
    <w:lvl w:ilvl="0" w:tplc="EABE31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1EE0EC4"/>
    <w:multiLevelType w:val="hybridMultilevel"/>
    <w:tmpl w:val="64546A7E"/>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197359"/>
    <w:multiLevelType w:val="multilevel"/>
    <w:tmpl w:val="22463F0A"/>
    <w:lvl w:ilvl="0">
      <w:start w:val="1"/>
      <w:numFmt w:val="decimal"/>
      <w:lvlText w:val="%1."/>
      <w:lvlJc w:val="left"/>
      <w:pPr>
        <w:ind w:left="360" w:hanging="360"/>
      </w:pPr>
      <w:rPr>
        <w:rFonts w:hint="default"/>
      </w:rPr>
    </w:lvl>
    <w:lvl w:ilvl="1">
      <w:start w:val="1"/>
      <w:numFmt w:val="decimal"/>
      <w:isLgl/>
      <w:lvlText w:val="%1.%2."/>
      <w:lvlJc w:val="left"/>
      <w:pPr>
        <w:ind w:left="2138" w:hanging="720"/>
      </w:pPr>
      <w:rPr>
        <w:rFonts w:ascii="Times New Roman" w:hAnsi="Times New Roman" w:cs="Times New Roman" w:hint="default"/>
        <w:b/>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5627B4D"/>
    <w:multiLevelType w:val="multilevel"/>
    <w:tmpl w:val="9F2A97FC"/>
    <w:lvl w:ilvl="0">
      <w:start w:val="1"/>
      <w:numFmt w:val="decimal"/>
      <w:pStyle w:val="Heading2"/>
      <w:lvlText w:val="%1."/>
      <w:lvlJc w:val="left"/>
      <w:pPr>
        <w:ind w:left="720" w:hanging="360"/>
      </w:pPr>
    </w:lvl>
    <w:lvl w:ilvl="1">
      <w:start w:val="1"/>
      <w:numFmt w:val="decimal"/>
      <w:lvlText w:val="%1.%2."/>
      <w:lvlJc w:val="left"/>
      <w:pPr>
        <w:ind w:left="1425" w:hanging="432"/>
      </w:pPr>
      <w:rPr>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B8B4D57"/>
    <w:multiLevelType w:val="hybridMultilevel"/>
    <w:tmpl w:val="B2F6F352"/>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A05102"/>
    <w:multiLevelType w:val="multilevel"/>
    <w:tmpl w:val="F0B05968"/>
    <w:lvl w:ilvl="0">
      <w:start w:val="1"/>
      <w:numFmt w:val="lowerLetter"/>
      <w:lvlText w:val="%1)"/>
      <w:lvlJc w:val="left"/>
      <w:pPr>
        <w:ind w:left="380" w:firstLine="38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210A237B"/>
    <w:multiLevelType w:val="hybridMultilevel"/>
    <w:tmpl w:val="9D40480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5D4CA7"/>
    <w:multiLevelType w:val="hybridMultilevel"/>
    <w:tmpl w:val="9FA281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8C7DB0"/>
    <w:multiLevelType w:val="hybridMultilevel"/>
    <w:tmpl w:val="176C0220"/>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C87C05"/>
    <w:multiLevelType w:val="hybridMultilevel"/>
    <w:tmpl w:val="50AC286C"/>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9F97BD0"/>
    <w:multiLevelType w:val="hybridMultilevel"/>
    <w:tmpl w:val="992CA354"/>
    <w:lvl w:ilvl="0" w:tplc="9C68C502">
      <w:numFmt w:val="bullet"/>
      <w:lvlText w:val="-"/>
      <w:lvlJc w:val="left"/>
      <w:pPr>
        <w:ind w:left="1494" w:hanging="360"/>
      </w:pPr>
      <w:rPr>
        <w:rFonts w:ascii="Times New Roman" w:eastAsia="Calibri"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2">
    <w:nsid w:val="2CF869AB"/>
    <w:multiLevelType w:val="hybridMultilevel"/>
    <w:tmpl w:val="47A86540"/>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98619AF"/>
    <w:multiLevelType w:val="hybridMultilevel"/>
    <w:tmpl w:val="A3A68CB8"/>
    <w:lvl w:ilvl="0" w:tplc="DB6083C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C542B58"/>
    <w:multiLevelType w:val="hybridMultilevel"/>
    <w:tmpl w:val="9DA65346"/>
    <w:lvl w:ilvl="0" w:tplc="62F02A6A">
      <w:start w:val="1"/>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5">
    <w:nsid w:val="3CAD7C82"/>
    <w:multiLevelType w:val="multilevel"/>
    <w:tmpl w:val="362CC47E"/>
    <w:lvl w:ilvl="0">
      <w:start w:val="1"/>
      <w:numFmt w:val="bullet"/>
      <w:pStyle w:val="EYBulletedList1"/>
      <w:lvlText w:val="►"/>
      <w:lvlJc w:val="left"/>
      <w:pPr>
        <w:tabs>
          <w:tab w:val="num" w:pos="288"/>
        </w:tabs>
        <w:ind w:left="288" w:hanging="288"/>
      </w:pPr>
      <w:rPr>
        <w:rFonts w:ascii="Arial" w:hAnsi="Arial" w:hint="default"/>
        <w:b w:val="0"/>
        <w:i w:val="0"/>
        <w:color w:val="FFD200"/>
        <w:sz w:val="20"/>
        <w:szCs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6">
    <w:nsid w:val="44E70746"/>
    <w:multiLevelType w:val="hybridMultilevel"/>
    <w:tmpl w:val="847C02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6975F6E"/>
    <w:multiLevelType w:val="hybridMultilevel"/>
    <w:tmpl w:val="E3E20142"/>
    <w:lvl w:ilvl="0" w:tplc="79564B7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7AD0A6D"/>
    <w:multiLevelType w:val="hybridMultilevel"/>
    <w:tmpl w:val="70560DAE"/>
    <w:lvl w:ilvl="0" w:tplc="0409000F">
      <w:start w:val="1"/>
      <w:numFmt w:val="decimal"/>
      <w:lvlText w:val="%1."/>
      <w:lvlJc w:val="left"/>
      <w:pPr>
        <w:ind w:left="1647" w:hanging="360"/>
      </w:pPr>
      <w:rPr>
        <w:rFonts w:hint="default"/>
      </w:rPr>
    </w:lvl>
    <w:lvl w:ilvl="1" w:tplc="04260003">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19">
    <w:nsid w:val="4A253C27"/>
    <w:multiLevelType w:val="hybridMultilevel"/>
    <w:tmpl w:val="86667422"/>
    <w:lvl w:ilvl="0" w:tplc="6BD062CC">
      <w:start w:val="1"/>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0">
    <w:nsid w:val="4ACC4697"/>
    <w:multiLevelType w:val="multilevel"/>
    <w:tmpl w:val="D7BCECF2"/>
    <w:lvl w:ilvl="0">
      <w:start w:val="1"/>
      <w:numFmt w:val="decimal"/>
      <w:lvlText w:val="%1."/>
      <w:lvlJc w:val="left"/>
      <w:pPr>
        <w:ind w:left="5179" w:hanging="360"/>
      </w:pPr>
      <w:rPr>
        <w:rFonts w:hint="default"/>
        <w:b w:val="0"/>
        <w:strike w:val="0"/>
      </w:rPr>
    </w:lvl>
    <w:lvl w:ilvl="1">
      <w:start w:val="1"/>
      <w:numFmt w:val="decimal"/>
      <w:isLgl/>
      <w:lvlText w:val="%1.%2."/>
      <w:lvlJc w:val="left"/>
      <w:pPr>
        <w:ind w:left="1996" w:hanging="720"/>
      </w:pPr>
      <w:rPr>
        <w:rFonts w:ascii="Times New Roman" w:hAnsi="Times New Roman" w:cs="Times New Roman" w:hint="default"/>
        <w:b w:val="0"/>
        <w:i w:val="0"/>
        <w:sz w:val="28"/>
        <w:szCs w:val="28"/>
      </w:rPr>
    </w:lvl>
    <w:lvl w:ilvl="2">
      <w:start w:val="1"/>
      <w:numFmt w:val="decimal"/>
      <w:isLgl/>
      <w:lvlText w:val="%1.%2.%3."/>
      <w:lvlJc w:val="left"/>
      <w:pPr>
        <w:ind w:left="256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1">
    <w:nsid w:val="4B472459"/>
    <w:multiLevelType w:val="hybridMultilevel"/>
    <w:tmpl w:val="5A8ADC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B7349BE"/>
    <w:multiLevelType w:val="hybridMultilevel"/>
    <w:tmpl w:val="3D5EACD0"/>
    <w:lvl w:ilvl="0" w:tplc="B16AA0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4F9D7798"/>
    <w:multiLevelType w:val="hybridMultilevel"/>
    <w:tmpl w:val="FE1E49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FB17FD2"/>
    <w:multiLevelType w:val="hybridMultilevel"/>
    <w:tmpl w:val="6A78D7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2857848"/>
    <w:multiLevelType w:val="hybridMultilevel"/>
    <w:tmpl w:val="7526C584"/>
    <w:lvl w:ilvl="0" w:tplc="8FE842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5B284C4F"/>
    <w:multiLevelType w:val="hybridMultilevel"/>
    <w:tmpl w:val="69A433DE"/>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C9F1582"/>
    <w:multiLevelType w:val="hybridMultilevel"/>
    <w:tmpl w:val="C7AE10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F27138"/>
    <w:multiLevelType w:val="hybridMultilevel"/>
    <w:tmpl w:val="849E20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07C361E"/>
    <w:multiLevelType w:val="hybridMultilevel"/>
    <w:tmpl w:val="DA801186"/>
    <w:lvl w:ilvl="0" w:tplc="04090015">
      <w:start w:val="1"/>
      <w:numFmt w:val="upperLetter"/>
      <w:lvlText w:val="%1."/>
      <w:lvlJc w:val="left"/>
      <w:pPr>
        <w:ind w:left="720" w:hanging="360"/>
      </w:pPr>
    </w:lvl>
    <w:lvl w:ilvl="1" w:tplc="725CB0FC">
      <w:start w:val="9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ind w:left="2160" w:hanging="360"/>
      </w:pPr>
      <w:rPr>
        <w:rFonts w:hint="default"/>
      </w:rPr>
    </w:lvl>
    <w:lvl w:ilvl="3" w:tplc="90A6AD8E" w:tentative="1">
      <w:start w:val="1"/>
      <w:numFmt w:val="decimal"/>
      <w:lvlText w:val="%4)"/>
      <w:lvlJc w:val="left"/>
      <w:pPr>
        <w:tabs>
          <w:tab w:val="num" w:pos="2880"/>
        </w:tabs>
        <w:ind w:left="2880" w:hanging="360"/>
      </w:pPr>
    </w:lvl>
    <w:lvl w:ilvl="4" w:tplc="9140EFCC" w:tentative="1">
      <w:start w:val="1"/>
      <w:numFmt w:val="decimal"/>
      <w:lvlText w:val="%5)"/>
      <w:lvlJc w:val="left"/>
      <w:pPr>
        <w:tabs>
          <w:tab w:val="num" w:pos="3600"/>
        </w:tabs>
        <w:ind w:left="3600" w:hanging="360"/>
      </w:pPr>
    </w:lvl>
    <w:lvl w:ilvl="5" w:tplc="2DBABF8C" w:tentative="1">
      <w:start w:val="1"/>
      <w:numFmt w:val="decimal"/>
      <w:lvlText w:val="%6)"/>
      <w:lvlJc w:val="left"/>
      <w:pPr>
        <w:tabs>
          <w:tab w:val="num" w:pos="4320"/>
        </w:tabs>
        <w:ind w:left="4320" w:hanging="360"/>
      </w:pPr>
    </w:lvl>
    <w:lvl w:ilvl="6" w:tplc="F22297A4" w:tentative="1">
      <w:start w:val="1"/>
      <w:numFmt w:val="decimal"/>
      <w:lvlText w:val="%7)"/>
      <w:lvlJc w:val="left"/>
      <w:pPr>
        <w:tabs>
          <w:tab w:val="num" w:pos="5040"/>
        </w:tabs>
        <w:ind w:left="5040" w:hanging="360"/>
      </w:pPr>
    </w:lvl>
    <w:lvl w:ilvl="7" w:tplc="00AAB128" w:tentative="1">
      <w:start w:val="1"/>
      <w:numFmt w:val="decimal"/>
      <w:lvlText w:val="%8)"/>
      <w:lvlJc w:val="left"/>
      <w:pPr>
        <w:tabs>
          <w:tab w:val="num" w:pos="5760"/>
        </w:tabs>
        <w:ind w:left="5760" w:hanging="360"/>
      </w:pPr>
    </w:lvl>
    <w:lvl w:ilvl="8" w:tplc="DED2AACA" w:tentative="1">
      <w:start w:val="1"/>
      <w:numFmt w:val="decimal"/>
      <w:lvlText w:val="%9)"/>
      <w:lvlJc w:val="left"/>
      <w:pPr>
        <w:tabs>
          <w:tab w:val="num" w:pos="6480"/>
        </w:tabs>
        <w:ind w:left="6480" w:hanging="360"/>
      </w:pPr>
    </w:lvl>
  </w:abstractNum>
  <w:abstractNum w:abstractNumId="30">
    <w:nsid w:val="644327F6"/>
    <w:multiLevelType w:val="hybridMultilevel"/>
    <w:tmpl w:val="582645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FF71FCD"/>
    <w:multiLevelType w:val="hybridMultilevel"/>
    <w:tmpl w:val="7372354C"/>
    <w:lvl w:ilvl="0" w:tplc="04260005">
      <w:start w:val="1"/>
      <w:numFmt w:val="bullet"/>
      <w:lvlText w:val=""/>
      <w:lvlJc w:val="left"/>
      <w:pPr>
        <w:ind w:left="2421" w:hanging="360"/>
      </w:pPr>
      <w:rPr>
        <w:rFonts w:ascii="Wingdings" w:hAnsi="Wingdings"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32">
    <w:nsid w:val="70070340"/>
    <w:multiLevelType w:val="hybridMultilevel"/>
    <w:tmpl w:val="E0A24722"/>
    <w:lvl w:ilvl="0" w:tplc="0426000F">
      <w:start w:val="1"/>
      <w:numFmt w:val="decimal"/>
      <w:lvlText w:val="%1."/>
      <w:lvlJc w:val="left"/>
      <w:pPr>
        <w:ind w:left="1647" w:hanging="360"/>
      </w:pPr>
      <w:rPr>
        <w:rFonts w:hint="default"/>
      </w:rPr>
    </w:lvl>
    <w:lvl w:ilvl="1" w:tplc="04260003">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nsid w:val="71367FE3"/>
    <w:multiLevelType w:val="hybridMultilevel"/>
    <w:tmpl w:val="E1F88950"/>
    <w:lvl w:ilvl="0" w:tplc="725CB0FC">
      <w:start w:val="91"/>
      <w:numFmt w:val="bullet"/>
      <w:lvlText w:val="–"/>
      <w:lvlJc w:val="left"/>
      <w:pPr>
        <w:ind w:left="2007" w:hanging="360"/>
      </w:pPr>
      <w:rPr>
        <w:rFonts w:ascii="Arial" w:hAnsi="Arial"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34">
    <w:nsid w:val="74900BC1"/>
    <w:multiLevelType w:val="hybridMultilevel"/>
    <w:tmpl w:val="80D4E922"/>
    <w:lvl w:ilvl="0" w:tplc="9CC84282">
      <w:start w:val="1"/>
      <w:numFmt w:val="decimal"/>
      <w:lvlText w:val="%1."/>
      <w:lvlJc w:val="left"/>
      <w:pPr>
        <w:ind w:left="1353" w:hanging="360"/>
      </w:pPr>
      <w:rPr>
        <w:rFonts w:hint="default"/>
      </w:rPr>
    </w:lvl>
    <w:lvl w:ilvl="1" w:tplc="04260019">
      <w:start w:val="1"/>
      <w:numFmt w:val="lowerLetter"/>
      <w:lvlText w:val="%2."/>
      <w:lvlJc w:val="left"/>
      <w:pPr>
        <w:ind w:left="2073" w:hanging="360"/>
      </w:pPr>
    </w:lvl>
    <w:lvl w:ilvl="2" w:tplc="04260011">
      <w:start w:val="1"/>
      <w:numFmt w:val="decimal"/>
      <w:lvlText w:val="%3)"/>
      <w:lvlJc w:val="left"/>
      <w:pPr>
        <w:ind w:left="3473" w:hanging="860"/>
      </w:pPr>
      <w:rPr>
        <w:rFonts w:hint="default"/>
      </w:r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3"/>
  </w:num>
  <w:num w:numId="2">
    <w:abstractNumId w:val="4"/>
  </w:num>
  <w:num w:numId="3">
    <w:abstractNumId w:val="1"/>
  </w:num>
  <w:num w:numId="4">
    <w:abstractNumId w:val="28"/>
  </w:num>
  <w:num w:numId="5">
    <w:abstractNumId w:val="8"/>
  </w:num>
  <w:num w:numId="6">
    <w:abstractNumId w:val="18"/>
  </w:num>
  <w:num w:numId="7">
    <w:abstractNumId w:val="33"/>
  </w:num>
  <w:num w:numId="8">
    <w:abstractNumId w:val="9"/>
  </w:num>
  <w:num w:numId="9">
    <w:abstractNumId w:val="10"/>
  </w:num>
  <w:num w:numId="10">
    <w:abstractNumId w:val="12"/>
  </w:num>
  <w:num w:numId="11">
    <w:abstractNumId w:val="2"/>
  </w:num>
  <w:num w:numId="12">
    <w:abstractNumId w:val="29"/>
  </w:num>
  <w:num w:numId="13">
    <w:abstractNumId w:val="13"/>
  </w:num>
  <w:num w:numId="14">
    <w:abstractNumId w:val="15"/>
  </w:num>
  <w:num w:numId="15">
    <w:abstractNumId w:val="17"/>
  </w:num>
  <w:num w:numId="16">
    <w:abstractNumId w:val="0"/>
  </w:num>
  <w:num w:numId="17">
    <w:abstractNumId w:val="16"/>
  </w:num>
  <w:num w:numId="18">
    <w:abstractNumId w:val="22"/>
  </w:num>
  <w:num w:numId="19">
    <w:abstractNumId w:val="25"/>
  </w:num>
  <w:num w:numId="20">
    <w:abstractNumId w:val="31"/>
  </w:num>
  <w:num w:numId="21">
    <w:abstractNumId w:val="34"/>
  </w:num>
  <w:num w:numId="22">
    <w:abstractNumId w:val="30"/>
  </w:num>
  <w:num w:numId="23">
    <w:abstractNumId w:val="23"/>
  </w:num>
  <w:num w:numId="24">
    <w:abstractNumId w:val="27"/>
  </w:num>
  <w:num w:numId="25">
    <w:abstractNumId w:val="21"/>
  </w:num>
  <w:num w:numId="26">
    <w:abstractNumId w:val="24"/>
  </w:num>
  <w:num w:numId="27">
    <w:abstractNumId w:val="11"/>
  </w:num>
  <w:num w:numId="28">
    <w:abstractNumId w:val="7"/>
  </w:num>
  <w:num w:numId="29">
    <w:abstractNumId w:val="5"/>
  </w:num>
  <w:num w:numId="30">
    <w:abstractNumId w:val="32"/>
  </w:num>
  <w:num w:numId="31">
    <w:abstractNumId w:val="26"/>
  </w:num>
  <w:num w:numId="32">
    <w:abstractNumId w:val="20"/>
  </w:num>
  <w:num w:numId="33">
    <w:abstractNumId w:val="14"/>
  </w:num>
  <w:num w:numId="34">
    <w:abstractNumId w:val="19"/>
  </w:num>
  <w:num w:numId="3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A9"/>
    <w:rsid w:val="00000892"/>
    <w:rsid w:val="000008EB"/>
    <w:rsid w:val="00001785"/>
    <w:rsid w:val="00001ACB"/>
    <w:rsid w:val="00002224"/>
    <w:rsid w:val="00003260"/>
    <w:rsid w:val="00003495"/>
    <w:rsid w:val="000038E1"/>
    <w:rsid w:val="000041FA"/>
    <w:rsid w:val="00004AE6"/>
    <w:rsid w:val="000050DF"/>
    <w:rsid w:val="00005306"/>
    <w:rsid w:val="00006321"/>
    <w:rsid w:val="000066CC"/>
    <w:rsid w:val="00007B21"/>
    <w:rsid w:val="00007F55"/>
    <w:rsid w:val="00011B27"/>
    <w:rsid w:val="000125E9"/>
    <w:rsid w:val="0001274E"/>
    <w:rsid w:val="000135ED"/>
    <w:rsid w:val="0001397D"/>
    <w:rsid w:val="00013C68"/>
    <w:rsid w:val="00016015"/>
    <w:rsid w:val="00017F4F"/>
    <w:rsid w:val="0002026F"/>
    <w:rsid w:val="00021E96"/>
    <w:rsid w:val="0002333C"/>
    <w:rsid w:val="0002427F"/>
    <w:rsid w:val="0002490A"/>
    <w:rsid w:val="0002565E"/>
    <w:rsid w:val="000267A5"/>
    <w:rsid w:val="00027042"/>
    <w:rsid w:val="00027B13"/>
    <w:rsid w:val="00030424"/>
    <w:rsid w:val="00030BA9"/>
    <w:rsid w:val="0003106D"/>
    <w:rsid w:val="00032C63"/>
    <w:rsid w:val="0003343F"/>
    <w:rsid w:val="00034672"/>
    <w:rsid w:val="00034FC8"/>
    <w:rsid w:val="000358C1"/>
    <w:rsid w:val="00035CB4"/>
    <w:rsid w:val="000367B8"/>
    <w:rsid w:val="0003714C"/>
    <w:rsid w:val="00037580"/>
    <w:rsid w:val="000375E5"/>
    <w:rsid w:val="000417EE"/>
    <w:rsid w:val="000421D0"/>
    <w:rsid w:val="00042240"/>
    <w:rsid w:val="000428CA"/>
    <w:rsid w:val="000439A2"/>
    <w:rsid w:val="00043A38"/>
    <w:rsid w:val="00043C8A"/>
    <w:rsid w:val="00045C71"/>
    <w:rsid w:val="00045D4F"/>
    <w:rsid w:val="00046CE5"/>
    <w:rsid w:val="00047144"/>
    <w:rsid w:val="0004738B"/>
    <w:rsid w:val="00047F76"/>
    <w:rsid w:val="000508F6"/>
    <w:rsid w:val="00051B7A"/>
    <w:rsid w:val="000521B1"/>
    <w:rsid w:val="000523BB"/>
    <w:rsid w:val="000526D8"/>
    <w:rsid w:val="000535C3"/>
    <w:rsid w:val="0005403C"/>
    <w:rsid w:val="000545D4"/>
    <w:rsid w:val="00055BD8"/>
    <w:rsid w:val="00055DF7"/>
    <w:rsid w:val="00056052"/>
    <w:rsid w:val="000562B4"/>
    <w:rsid w:val="000569FD"/>
    <w:rsid w:val="00056AA0"/>
    <w:rsid w:val="00057559"/>
    <w:rsid w:val="00060A93"/>
    <w:rsid w:val="00060E63"/>
    <w:rsid w:val="000610C4"/>
    <w:rsid w:val="0006365A"/>
    <w:rsid w:val="00064160"/>
    <w:rsid w:val="0006529A"/>
    <w:rsid w:val="000669DD"/>
    <w:rsid w:val="00066C83"/>
    <w:rsid w:val="00066FC2"/>
    <w:rsid w:val="0007013B"/>
    <w:rsid w:val="000703F2"/>
    <w:rsid w:val="00070C63"/>
    <w:rsid w:val="00072047"/>
    <w:rsid w:val="000728BA"/>
    <w:rsid w:val="00073121"/>
    <w:rsid w:val="00073599"/>
    <w:rsid w:val="00074B73"/>
    <w:rsid w:val="000755C2"/>
    <w:rsid w:val="000756FA"/>
    <w:rsid w:val="00075838"/>
    <w:rsid w:val="00076211"/>
    <w:rsid w:val="0007680C"/>
    <w:rsid w:val="00076D32"/>
    <w:rsid w:val="00077E2D"/>
    <w:rsid w:val="0008005B"/>
    <w:rsid w:val="0008099F"/>
    <w:rsid w:val="000811B0"/>
    <w:rsid w:val="00082ACF"/>
    <w:rsid w:val="0008387E"/>
    <w:rsid w:val="00084222"/>
    <w:rsid w:val="000868E1"/>
    <w:rsid w:val="00086DDB"/>
    <w:rsid w:val="000873D3"/>
    <w:rsid w:val="0008789F"/>
    <w:rsid w:val="000918E3"/>
    <w:rsid w:val="000921C7"/>
    <w:rsid w:val="0009425C"/>
    <w:rsid w:val="00094F5C"/>
    <w:rsid w:val="00096663"/>
    <w:rsid w:val="00096B65"/>
    <w:rsid w:val="00097151"/>
    <w:rsid w:val="00097273"/>
    <w:rsid w:val="000A1441"/>
    <w:rsid w:val="000A321B"/>
    <w:rsid w:val="000A4072"/>
    <w:rsid w:val="000A540C"/>
    <w:rsid w:val="000A715A"/>
    <w:rsid w:val="000A7B6C"/>
    <w:rsid w:val="000A7D73"/>
    <w:rsid w:val="000B0E31"/>
    <w:rsid w:val="000B0F0B"/>
    <w:rsid w:val="000B1715"/>
    <w:rsid w:val="000B2549"/>
    <w:rsid w:val="000B27A1"/>
    <w:rsid w:val="000B2833"/>
    <w:rsid w:val="000B2AD1"/>
    <w:rsid w:val="000B2CC0"/>
    <w:rsid w:val="000B2D05"/>
    <w:rsid w:val="000B2E35"/>
    <w:rsid w:val="000B2FE2"/>
    <w:rsid w:val="000B39FF"/>
    <w:rsid w:val="000B40FE"/>
    <w:rsid w:val="000B4B9B"/>
    <w:rsid w:val="000B4DE7"/>
    <w:rsid w:val="000B5669"/>
    <w:rsid w:val="000B5D24"/>
    <w:rsid w:val="000B6617"/>
    <w:rsid w:val="000B6B1C"/>
    <w:rsid w:val="000C0502"/>
    <w:rsid w:val="000C14BF"/>
    <w:rsid w:val="000C166C"/>
    <w:rsid w:val="000C18CE"/>
    <w:rsid w:val="000C2180"/>
    <w:rsid w:val="000C2562"/>
    <w:rsid w:val="000C3808"/>
    <w:rsid w:val="000C5727"/>
    <w:rsid w:val="000C6651"/>
    <w:rsid w:val="000C73D3"/>
    <w:rsid w:val="000C7900"/>
    <w:rsid w:val="000D1372"/>
    <w:rsid w:val="000D1A08"/>
    <w:rsid w:val="000D1B70"/>
    <w:rsid w:val="000D2647"/>
    <w:rsid w:val="000D2BA2"/>
    <w:rsid w:val="000D356B"/>
    <w:rsid w:val="000D3F4C"/>
    <w:rsid w:val="000D408E"/>
    <w:rsid w:val="000D461F"/>
    <w:rsid w:val="000D49C4"/>
    <w:rsid w:val="000D49E0"/>
    <w:rsid w:val="000D4B95"/>
    <w:rsid w:val="000D6F1E"/>
    <w:rsid w:val="000D75A2"/>
    <w:rsid w:val="000D779F"/>
    <w:rsid w:val="000E187A"/>
    <w:rsid w:val="000E214B"/>
    <w:rsid w:val="000E2A04"/>
    <w:rsid w:val="000E4A54"/>
    <w:rsid w:val="000E4B32"/>
    <w:rsid w:val="000E57B7"/>
    <w:rsid w:val="000E57F2"/>
    <w:rsid w:val="000E61C4"/>
    <w:rsid w:val="000E6815"/>
    <w:rsid w:val="000E7EF8"/>
    <w:rsid w:val="000F0684"/>
    <w:rsid w:val="000F080D"/>
    <w:rsid w:val="000F0AF0"/>
    <w:rsid w:val="000F0EB7"/>
    <w:rsid w:val="000F1968"/>
    <w:rsid w:val="000F198A"/>
    <w:rsid w:val="000F2632"/>
    <w:rsid w:val="000F29B0"/>
    <w:rsid w:val="000F2C8E"/>
    <w:rsid w:val="000F6528"/>
    <w:rsid w:val="000F65E2"/>
    <w:rsid w:val="000F77DE"/>
    <w:rsid w:val="00101201"/>
    <w:rsid w:val="00102DCA"/>
    <w:rsid w:val="00103E6D"/>
    <w:rsid w:val="001042B6"/>
    <w:rsid w:val="00104B76"/>
    <w:rsid w:val="0010503D"/>
    <w:rsid w:val="00105854"/>
    <w:rsid w:val="00105ED6"/>
    <w:rsid w:val="001065A1"/>
    <w:rsid w:val="00106F39"/>
    <w:rsid w:val="00111976"/>
    <w:rsid w:val="00112430"/>
    <w:rsid w:val="00113677"/>
    <w:rsid w:val="00115341"/>
    <w:rsid w:val="00115E70"/>
    <w:rsid w:val="00116857"/>
    <w:rsid w:val="0012084F"/>
    <w:rsid w:val="00122965"/>
    <w:rsid w:val="001243C9"/>
    <w:rsid w:val="001243F2"/>
    <w:rsid w:val="0012561A"/>
    <w:rsid w:val="00125BB6"/>
    <w:rsid w:val="0012631E"/>
    <w:rsid w:val="00126587"/>
    <w:rsid w:val="00130991"/>
    <w:rsid w:val="00130BC9"/>
    <w:rsid w:val="0013114C"/>
    <w:rsid w:val="00131B64"/>
    <w:rsid w:val="00131DBF"/>
    <w:rsid w:val="00133868"/>
    <w:rsid w:val="0013540C"/>
    <w:rsid w:val="00135B80"/>
    <w:rsid w:val="00136A8A"/>
    <w:rsid w:val="001379A1"/>
    <w:rsid w:val="00137C3D"/>
    <w:rsid w:val="00137C4B"/>
    <w:rsid w:val="00137D42"/>
    <w:rsid w:val="001404CC"/>
    <w:rsid w:val="0014154A"/>
    <w:rsid w:val="001426DF"/>
    <w:rsid w:val="00142820"/>
    <w:rsid w:val="00143104"/>
    <w:rsid w:val="001431D9"/>
    <w:rsid w:val="00144811"/>
    <w:rsid w:val="00146FDD"/>
    <w:rsid w:val="0014737F"/>
    <w:rsid w:val="00147DA1"/>
    <w:rsid w:val="00153409"/>
    <w:rsid w:val="0015408E"/>
    <w:rsid w:val="0015457D"/>
    <w:rsid w:val="001564C7"/>
    <w:rsid w:val="00160211"/>
    <w:rsid w:val="00160432"/>
    <w:rsid w:val="00161C0B"/>
    <w:rsid w:val="001630F6"/>
    <w:rsid w:val="00164B15"/>
    <w:rsid w:val="001651FF"/>
    <w:rsid w:val="00165B8C"/>
    <w:rsid w:val="00166048"/>
    <w:rsid w:val="001661B5"/>
    <w:rsid w:val="00166D79"/>
    <w:rsid w:val="001700C8"/>
    <w:rsid w:val="00170A72"/>
    <w:rsid w:val="00170B58"/>
    <w:rsid w:val="00170DBA"/>
    <w:rsid w:val="00170DD9"/>
    <w:rsid w:val="00170FE3"/>
    <w:rsid w:val="0017182D"/>
    <w:rsid w:val="00171887"/>
    <w:rsid w:val="00172189"/>
    <w:rsid w:val="00174648"/>
    <w:rsid w:val="00174E97"/>
    <w:rsid w:val="001760A8"/>
    <w:rsid w:val="00177223"/>
    <w:rsid w:val="00180461"/>
    <w:rsid w:val="00181AEE"/>
    <w:rsid w:val="0018503C"/>
    <w:rsid w:val="00190218"/>
    <w:rsid w:val="0019101B"/>
    <w:rsid w:val="00191734"/>
    <w:rsid w:val="00192531"/>
    <w:rsid w:val="001947D0"/>
    <w:rsid w:val="00194EA8"/>
    <w:rsid w:val="00196A51"/>
    <w:rsid w:val="0019700D"/>
    <w:rsid w:val="001975CE"/>
    <w:rsid w:val="001A08DA"/>
    <w:rsid w:val="001A0B49"/>
    <w:rsid w:val="001A0FA4"/>
    <w:rsid w:val="001A220A"/>
    <w:rsid w:val="001A2535"/>
    <w:rsid w:val="001A2697"/>
    <w:rsid w:val="001A28AE"/>
    <w:rsid w:val="001A2948"/>
    <w:rsid w:val="001A325A"/>
    <w:rsid w:val="001A3ED4"/>
    <w:rsid w:val="001A4F81"/>
    <w:rsid w:val="001A7AAA"/>
    <w:rsid w:val="001B07D3"/>
    <w:rsid w:val="001B0FF8"/>
    <w:rsid w:val="001B261C"/>
    <w:rsid w:val="001B3EB4"/>
    <w:rsid w:val="001B3EBF"/>
    <w:rsid w:val="001B4D13"/>
    <w:rsid w:val="001B665F"/>
    <w:rsid w:val="001B7296"/>
    <w:rsid w:val="001B76F1"/>
    <w:rsid w:val="001C14A8"/>
    <w:rsid w:val="001C1A56"/>
    <w:rsid w:val="001C1D9C"/>
    <w:rsid w:val="001C2C0B"/>
    <w:rsid w:val="001C2E05"/>
    <w:rsid w:val="001C373B"/>
    <w:rsid w:val="001C39F3"/>
    <w:rsid w:val="001C3A23"/>
    <w:rsid w:val="001C422A"/>
    <w:rsid w:val="001C5CD8"/>
    <w:rsid w:val="001C5E0B"/>
    <w:rsid w:val="001C6966"/>
    <w:rsid w:val="001C6CAA"/>
    <w:rsid w:val="001C717F"/>
    <w:rsid w:val="001C7F69"/>
    <w:rsid w:val="001D051F"/>
    <w:rsid w:val="001D115C"/>
    <w:rsid w:val="001D119F"/>
    <w:rsid w:val="001D2D5E"/>
    <w:rsid w:val="001D2FED"/>
    <w:rsid w:val="001D3EE9"/>
    <w:rsid w:val="001D3EFC"/>
    <w:rsid w:val="001D3F32"/>
    <w:rsid w:val="001D4C6A"/>
    <w:rsid w:val="001D5571"/>
    <w:rsid w:val="001D622C"/>
    <w:rsid w:val="001D633B"/>
    <w:rsid w:val="001E0295"/>
    <w:rsid w:val="001E02E7"/>
    <w:rsid w:val="001E0706"/>
    <w:rsid w:val="001E0F6E"/>
    <w:rsid w:val="001E2232"/>
    <w:rsid w:val="001E265B"/>
    <w:rsid w:val="001E27EC"/>
    <w:rsid w:val="001E336B"/>
    <w:rsid w:val="001E4BFC"/>
    <w:rsid w:val="001E4FE1"/>
    <w:rsid w:val="001E5113"/>
    <w:rsid w:val="001E574C"/>
    <w:rsid w:val="001E5CDD"/>
    <w:rsid w:val="001E79C9"/>
    <w:rsid w:val="001E7E79"/>
    <w:rsid w:val="001F0BF5"/>
    <w:rsid w:val="001F106C"/>
    <w:rsid w:val="001F1AF9"/>
    <w:rsid w:val="001F1E3C"/>
    <w:rsid w:val="001F20F4"/>
    <w:rsid w:val="001F33EF"/>
    <w:rsid w:val="001F3A8B"/>
    <w:rsid w:val="001F415E"/>
    <w:rsid w:val="001F4523"/>
    <w:rsid w:val="001F53DE"/>
    <w:rsid w:val="001F5F65"/>
    <w:rsid w:val="001F638D"/>
    <w:rsid w:val="00200C77"/>
    <w:rsid w:val="0020373F"/>
    <w:rsid w:val="00204920"/>
    <w:rsid w:val="002053B5"/>
    <w:rsid w:val="002055D2"/>
    <w:rsid w:val="00205BB2"/>
    <w:rsid w:val="002071F7"/>
    <w:rsid w:val="00207381"/>
    <w:rsid w:val="00207939"/>
    <w:rsid w:val="00210110"/>
    <w:rsid w:val="0021297B"/>
    <w:rsid w:val="002134DF"/>
    <w:rsid w:val="00213A8B"/>
    <w:rsid w:val="0021504F"/>
    <w:rsid w:val="0021567C"/>
    <w:rsid w:val="00220269"/>
    <w:rsid w:val="00221AF8"/>
    <w:rsid w:val="002236FC"/>
    <w:rsid w:val="002252B0"/>
    <w:rsid w:val="00225A8E"/>
    <w:rsid w:val="00225DAF"/>
    <w:rsid w:val="0022616E"/>
    <w:rsid w:val="00227DC7"/>
    <w:rsid w:val="0023064F"/>
    <w:rsid w:val="002316CD"/>
    <w:rsid w:val="00232007"/>
    <w:rsid w:val="002326A7"/>
    <w:rsid w:val="002326F0"/>
    <w:rsid w:val="00233CAF"/>
    <w:rsid w:val="002354A1"/>
    <w:rsid w:val="00236141"/>
    <w:rsid w:val="00237D12"/>
    <w:rsid w:val="00237EAA"/>
    <w:rsid w:val="00241352"/>
    <w:rsid w:val="002414E5"/>
    <w:rsid w:val="00241ACC"/>
    <w:rsid w:val="00243B3F"/>
    <w:rsid w:val="00243CEF"/>
    <w:rsid w:val="00243EE9"/>
    <w:rsid w:val="00244176"/>
    <w:rsid w:val="00244CE8"/>
    <w:rsid w:val="00245493"/>
    <w:rsid w:val="002462A2"/>
    <w:rsid w:val="00247184"/>
    <w:rsid w:val="00247A41"/>
    <w:rsid w:val="00250970"/>
    <w:rsid w:val="00250E7A"/>
    <w:rsid w:val="0025163C"/>
    <w:rsid w:val="00251711"/>
    <w:rsid w:val="00251F08"/>
    <w:rsid w:val="00252199"/>
    <w:rsid w:val="00252452"/>
    <w:rsid w:val="002526D9"/>
    <w:rsid w:val="0025277C"/>
    <w:rsid w:val="0025299E"/>
    <w:rsid w:val="002532B4"/>
    <w:rsid w:val="0025352E"/>
    <w:rsid w:val="00253E9A"/>
    <w:rsid w:val="002548B4"/>
    <w:rsid w:val="00255290"/>
    <w:rsid w:val="0025651D"/>
    <w:rsid w:val="00256A22"/>
    <w:rsid w:val="0025766B"/>
    <w:rsid w:val="0026017F"/>
    <w:rsid w:val="00261579"/>
    <w:rsid w:val="00262B03"/>
    <w:rsid w:val="002631D5"/>
    <w:rsid w:val="002633BC"/>
    <w:rsid w:val="002639B9"/>
    <w:rsid w:val="002642B6"/>
    <w:rsid w:val="00265AB8"/>
    <w:rsid w:val="00266485"/>
    <w:rsid w:val="00267235"/>
    <w:rsid w:val="00267714"/>
    <w:rsid w:val="002678BB"/>
    <w:rsid w:val="00267B67"/>
    <w:rsid w:val="00267FEB"/>
    <w:rsid w:val="00270020"/>
    <w:rsid w:val="002701E2"/>
    <w:rsid w:val="0027145F"/>
    <w:rsid w:val="002716B1"/>
    <w:rsid w:val="00271854"/>
    <w:rsid w:val="0027313F"/>
    <w:rsid w:val="0027347E"/>
    <w:rsid w:val="002734C8"/>
    <w:rsid w:val="00273575"/>
    <w:rsid w:val="00274340"/>
    <w:rsid w:val="00274489"/>
    <w:rsid w:val="00274AD1"/>
    <w:rsid w:val="00274CCF"/>
    <w:rsid w:val="00274DE1"/>
    <w:rsid w:val="00276396"/>
    <w:rsid w:val="002769BB"/>
    <w:rsid w:val="00276A25"/>
    <w:rsid w:val="0027738E"/>
    <w:rsid w:val="00277C0E"/>
    <w:rsid w:val="0028046B"/>
    <w:rsid w:val="00280737"/>
    <w:rsid w:val="00280E03"/>
    <w:rsid w:val="00281F55"/>
    <w:rsid w:val="00282C91"/>
    <w:rsid w:val="0028314D"/>
    <w:rsid w:val="002833BC"/>
    <w:rsid w:val="00284676"/>
    <w:rsid w:val="00286BE3"/>
    <w:rsid w:val="00290E3C"/>
    <w:rsid w:val="00291244"/>
    <w:rsid w:val="002914D4"/>
    <w:rsid w:val="002919B2"/>
    <w:rsid w:val="00291B32"/>
    <w:rsid w:val="00291F8D"/>
    <w:rsid w:val="002935B9"/>
    <w:rsid w:val="00293A7A"/>
    <w:rsid w:val="00294265"/>
    <w:rsid w:val="0029426F"/>
    <w:rsid w:val="002942B8"/>
    <w:rsid w:val="0029542A"/>
    <w:rsid w:val="002A14A7"/>
    <w:rsid w:val="002A16AA"/>
    <w:rsid w:val="002A1B2D"/>
    <w:rsid w:val="002A1F92"/>
    <w:rsid w:val="002A1FDA"/>
    <w:rsid w:val="002A4CF7"/>
    <w:rsid w:val="002A4DD6"/>
    <w:rsid w:val="002A6375"/>
    <w:rsid w:val="002A63B9"/>
    <w:rsid w:val="002A7DD1"/>
    <w:rsid w:val="002B1839"/>
    <w:rsid w:val="002B22DC"/>
    <w:rsid w:val="002B27D7"/>
    <w:rsid w:val="002B293D"/>
    <w:rsid w:val="002B367F"/>
    <w:rsid w:val="002B386F"/>
    <w:rsid w:val="002B396F"/>
    <w:rsid w:val="002B593B"/>
    <w:rsid w:val="002B631D"/>
    <w:rsid w:val="002B64A8"/>
    <w:rsid w:val="002B67B5"/>
    <w:rsid w:val="002B6B63"/>
    <w:rsid w:val="002B6C95"/>
    <w:rsid w:val="002B71B9"/>
    <w:rsid w:val="002B7880"/>
    <w:rsid w:val="002B790E"/>
    <w:rsid w:val="002B7979"/>
    <w:rsid w:val="002C00E2"/>
    <w:rsid w:val="002C0CA7"/>
    <w:rsid w:val="002C0ECE"/>
    <w:rsid w:val="002C1EF6"/>
    <w:rsid w:val="002C3067"/>
    <w:rsid w:val="002C3587"/>
    <w:rsid w:val="002C415A"/>
    <w:rsid w:val="002C466A"/>
    <w:rsid w:val="002C766C"/>
    <w:rsid w:val="002C7ADF"/>
    <w:rsid w:val="002D1521"/>
    <w:rsid w:val="002D15DC"/>
    <w:rsid w:val="002D2B5D"/>
    <w:rsid w:val="002D396B"/>
    <w:rsid w:val="002D4014"/>
    <w:rsid w:val="002D422A"/>
    <w:rsid w:val="002D59ED"/>
    <w:rsid w:val="002D60C4"/>
    <w:rsid w:val="002D71A5"/>
    <w:rsid w:val="002D7733"/>
    <w:rsid w:val="002E0079"/>
    <w:rsid w:val="002E0880"/>
    <w:rsid w:val="002E0E23"/>
    <w:rsid w:val="002E14BC"/>
    <w:rsid w:val="002E2222"/>
    <w:rsid w:val="002E28C2"/>
    <w:rsid w:val="002E334D"/>
    <w:rsid w:val="002E423C"/>
    <w:rsid w:val="002E4FF0"/>
    <w:rsid w:val="002E6A1F"/>
    <w:rsid w:val="002E73D3"/>
    <w:rsid w:val="002E74A4"/>
    <w:rsid w:val="002E79BA"/>
    <w:rsid w:val="002F0329"/>
    <w:rsid w:val="002F1045"/>
    <w:rsid w:val="002F1690"/>
    <w:rsid w:val="002F3C14"/>
    <w:rsid w:val="002F3F05"/>
    <w:rsid w:val="002F59A7"/>
    <w:rsid w:val="002F5C64"/>
    <w:rsid w:val="002F5EAE"/>
    <w:rsid w:val="002F671E"/>
    <w:rsid w:val="00301E3F"/>
    <w:rsid w:val="0030202A"/>
    <w:rsid w:val="003039CE"/>
    <w:rsid w:val="00304292"/>
    <w:rsid w:val="003047F2"/>
    <w:rsid w:val="003055AB"/>
    <w:rsid w:val="00305D19"/>
    <w:rsid w:val="00307830"/>
    <w:rsid w:val="00310F5B"/>
    <w:rsid w:val="003112D0"/>
    <w:rsid w:val="003128F1"/>
    <w:rsid w:val="00313BB4"/>
    <w:rsid w:val="003141D3"/>
    <w:rsid w:val="003143B0"/>
    <w:rsid w:val="003143DA"/>
    <w:rsid w:val="00315291"/>
    <w:rsid w:val="003154A1"/>
    <w:rsid w:val="00315796"/>
    <w:rsid w:val="00316E2E"/>
    <w:rsid w:val="00316F77"/>
    <w:rsid w:val="00317471"/>
    <w:rsid w:val="00317666"/>
    <w:rsid w:val="003214F4"/>
    <w:rsid w:val="0032162A"/>
    <w:rsid w:val="00322821"/>
    <w:rsid w:val="00323415"/>
    <w:rsid w:val="003241EB"/>
    <w:rsid w:val="003245FE"/>
    <w:rsid w:val="00330B7A"/>
    <w:rsid w:val="00330D55"/>
    <w:rsid w:val="00331152"/>
    <w:rsid w:val="003317CA"/>
    <w:rsid w:val="00333369"/>
    <w:rsid w:val="00333FB3"/>
    <w:rsid w:val="00334797"/>
    <w:rsid w:val="00335F6E"/>
    <w:rsid w:val="003375F6"/>
    <w:rsid w:val="00337A98"/>
    <w:rsid w:val="0034058E"/>
    <w:rsid w:val="00340763"/>
    <w:rsid w:val="00340B25"/>
    <w:rsid w:val="00341638"/>
    <w:rsid w:val="00341BB7"/>
    <w:rsid w:val="00341D6F"/>
    <w:rsid w:val="00343815"/>
    <w:rsid w:val="003466B0"/>
    <w:rsid w:val="00346AC0"/>
    <w:rsid w:val="003470A6"/>
    <w:rsid w:val="003501D0"/>
    <w:rsid w:val="003523F8"/>
    <w:rsid w:val="00352982"/>
    <w:rsid w:val="00352C8E"/>
    <w:rsid w:val="00352E01"/>
    <w:rsid w:val="003536A4"/>
    <w:rsid w:val="00355E9F"/>
    <w:rsid w:val="0035683D"/>
    <w:rsid w:val="00357090"/>
    <w:rsid w:val="00357782"/>
    <w:rsid w:val="0036099D"/>
    <w:rsid w:val="00361C6E"/>
    <w:rsid w:val="00364F62"/>
    <w:rsid w:val="00366718"/>
    <w:rsid w:val="00367C09"/>
    <w:rsid w:val="00367C56"/>
    <w:rsid w:val="00370786"/>
    <w:rsid w:val="00371F44"/>
    <w:rsid w:val="0037327B"/>
    <w:rsid w:val="0037441E"/>
    <w:rsid w:val="00374C25"/>
    <w:rsid w:val="003753F6"/>
    <w:rsid w:val="00377BA9"/>
    <w:rsid w:val="00380291"/>
    <w:rsid w:val="003814ED"/>
    <w:rsid w:val="00382679"/>
    <w:rsid w:val="00382E20"/>
    <w:rsid w:val="00382FA0"/>
    <w:rsid w:val="00382FAE"/>
    <w:rsid w:val="0038404D"/>
    <w:rsid w:val="003845A0"/>
    <w:rsid w:val="00384C7C"/>
    <w:rsid w:val="00385390"/>
    <w:rsid w:val="0038663D"/>
    <w:rsid w:val="0038675C"/>
    <w:rsid w:val="00386A02"/>
    <w:rsid w:val="00386B59"/>
    <w:rsid w:val="00386D1F"/>
    <w:rsid w:val="00387B11"/>
    <w:rsid w:val="003905F9"/>
    <w:rsid w:val="0039231F"/>
    <w:rsid w:val="0039273A"/>
    <w:rsid w:val="00394958"/>
    <w:rsid w:val="00394DD4"/>
    <w:rsid w:val="0039616D"/>
    <w:rsid w:val="003965EC"/>
    <w:rsid w:val="003A059E"/>
    <w:rsid w:val="003A0B9E"/>
    <w:rsid w:val="003A10A7"/>
    <w:rsid w:val="003A225F"/>
    <w:rsid w:val="003A2704"/>
    <w:rsid w:val="003A3630"/>
    <w:rsid w:val="003A3761"/>
    <w:rsid w:val="003A389F"/>
    <w:rsid w:val="003A3E9D"/>
    <w:rsid w:val="003A40CA"/>
    <w:rsid w:val="003A4692"/>
    <w:rsid w:val="003A4FE2"/>
    <w:rsid w:val="003A53E7"/>
    <w:rsid w:val="003A61D2"/>
    <w:rsid w:val="003A66AF"/>
    <w:rsid w:val="003A6D22"/>
    <w:rsid w:val="003B0182"/>
    <w:rsid w:val="003B0B52"/>
    <w:rsid w:val="003B254A"/>
    <w:rsid w:val="003B28F4"/>
    <w:rsid w:val="003B35DA"/>
    <w:rsid w:val="003B384F"/>
    <w:rsid w:val="003B40DA"/>
    <w:rsid w:val="003B418E"/>
    <w:rsid w:val="003B43D4"/>
    <w:rsid w:val="003B4EDA"/>
    <w:rsid w:val="003B61AB"/>
    <w:rsid w:val="003B69B5"/>
    <w:rsid w:val="003B7B2A"/>
    <w:rsid w:val="003C04F1"/>
    <w:rsid w:val="003C050E"/>
    <w:rsid w:val="003C08C2"/>
    <w:rsid w:val="003C0D0D"/>
    <w:rsid w:val="003C0D78"/>
    <w:rsid w:val="003C1A3A"/>
    <w:rsid w:val="003C23C1"/>
    <w:rsid w:val="003C23EB"/>
    <w:rsid w:val="003C303B"/>
    <w:rsid w:val="003C42E5"/>
    <w:rsid w:val="003C582A"/>
    <w:rsid w:val="003C5957"/>
    <w:rsid w:val="003C63A4"/>
    <w:rsid w:val="003C6682"/>
    <w:rsid w:val="003C786A"/>
    <w:rsid w:val="003D0003"/>
    <w:rsid w:val="003D02F4"/>
    <w:rsid w:val="003D0A15"/>
    <w:rsid w:val="003D2C15"/>
    <w:rsid w:val="003D3805"/>
    <w:rsid w:val="003D40AF"/>
    <w:rsid w:val="003D4306"/>
    <w:rsid w:val="003D49D4"/>
    <w:rsid w:val="003D4F6F"/>
    <w:rsid w:val="003D523C"/>
    <w:rsid w:val="003D5A36"/>
    <w:rsid w:val="003D5B55"/>
    <w:rsid w:val="003D754B"/>
    <w:rsid w:val="003E0EBC"/>
    <w:rsid w:val="003E1385"/>
    <w:rsid w:val="003E176E"/>
    <w:rsid w:val="003E2D3F"/>
    <w:rsid w:val="003E318C"/>
    <w:rsid w:val="003E4E02"/>
    <w:rsid w:val="003F0662"/>
    <w:rsid w:val="003F1092"/>
    <w:rsid w:val="003F2651"/>
    <w:rsid w:val="003F3C46"/>
    <w:rsid w:val="003F4E45"/>
    <w:rsid w:val="003F67D6"/>
    <w:rsid w:val="003F6B41"/>
    <w:rsid w:val="003F7236"/>
    <w:rsid w:val="004018DA"/>
    <w:rsid w:val="00401BC2"/>
    <w:rsid w:val="004022B1"/>
    <w:rsid w:val="004024A6"/>
    <w:rsid w:val="0040303E"/>
    <w:rsid w:val="004033B1"/>
    <w:rsid w:val="00403CC1"/>
    <w:rsid w:val="00404428"/>
    <w:rsid w:val="004046FD"/>
    <w:rsid w:val="00404B9E"/>
    <w:rsid w:val="00405046"/>
    <w:rsid w:val="004057D8"/>
    <w:rsid w:val="00405972"/>
    <w:rsid w:val="00406091"/>
    <w:rsid w:val="00406094"/>
    <w:rsid w:val="0040651B"/>
    <w:rsid w:val="00406619"/>
    <w:rsid w:val="00406767"/>
    <w:rsid w:val="00406E70"/>
    <w:rsid w:val="00410F31"/>
    <w:rsid w:val="00412CAC"/>
    <w:rsid w:val="00413ACC"/>
    <w:rsid w:val="00414601"/>
    <w:rsid w:val="00414D9E"/>
    <w:rsid w:val="0041717E"/>
    <w:rsid w:val="00417751"/>
    <w:rsid w:val="00417AEF"/>
    <w:rsid w:val="004205E0"/>
    <w:rsid w:val="00420737"/>
    <w:rsid w:val="00421D52"/>
    <w:rsid w:val="004225A0"/>
    <w:rsid w:val="004229E0"/>
    <w:rsid w:val="00422B16"/>
    <w:rsid w:val="00423C9F"/>
    <w:rsid w:val="00424C74"/>
    <w:rsid w:val="00426460"/>
    <w:rsid w:val="00426A7C"/>
    <w:rsid w:val="00431DDC"/>
    <w:rsid w:val="0043297F"/>
    <w:rsid w:val="0043380C"/>
    <w:rsid w:val="00433D82"/>
    <w:rsid w:val="0043535E"/>
    <w:rsid w:val="004355E8"/>
    <w:rsid w:val="00435664"/>
    <w:rsid w:val="004424AB"/>
    <w:rsid w:val="00442C92"/>
    <w:rsid w:val="00442E6E"/>
    <w:rsid w:val="004443FC"/>
    <w:rsid w:val="0044442A"/>
    <w:rsid w:val="00445C83"/>
    <w:rsid w:val="00445FB6"/>
    <w:rsid w:val="00446E4B"/>
    <w:rsid w:val="004476AD"/>
    <w:rsid w:val="004502F0"/>
    <w:rsid w:val="0045053C"/>
    <w:rsid w:val="00450A82"/>
    <w:rsid w:val="0045116F"/>
    <w:rsid w:val="004513C8"/>
    <w:rsid w:val="0045175A"/>
    <w:rsid w:val="00452614"/>
    <w:rsid w:val="004527CD"/>
    <w:rsid w:val="00452C16"/>
    <w:rsid w:val="004545A8"/>
    <w:rsid w:val="00456A80"/>
    <w:rsid w:val="00456CAC"/>
    <w:rsid w:val="00456F35"/>
    <w:rsid w:val="00457033"/>
    <w:rsid w:val="004577C5"/>
    <w:rsid w:val="00461656"/>
    <w:rsid w:val="004620A4"/>
    <w:rsid w:val="00462578"/>
    <w:rsid w:val="00462773"/>
    <w:rsid w:val="004632E0"/>
    <w:rsid w:val="00466194"/>
    <w:rsid w:val="0046675A"/>
    <w:rsid w:val="004670A9"/>
    <w:rsid w:val="004670F4"/>
    <w:rsid w:val="004676BE"/>
    <w:rsid w:val="0046772A"/>
    <w:rsid w:val="00467BFB"/>
    <w:rsid w:val="00470448"/>
    <w:rsid w:val="00470807"/>
    <w:rsid w:val="00470EC6"/>
    <w:rsid w:val="004722DD"/>
    <w:rsid w:val="0047377E"/>
    <w:rsid w:val="0048097E"/>
    <w:rsid w:val="00481120"/>
    <w:rsid w:val="00482013"/>
    <w:rsid w:val="00482381"/>
    <w:rsid w:val="00482CED"/>
    <w:rsid w:val="004850C3"/>
    <w:rsid w:val="00485B39"/>
    <w:rsid w:val="00487FCF"/>
    <w:rsid w:val="00491659"/>
    <w:rsid w:val="00491EF3"/>
    <w:rsid w:val="00494117"/>
    <w:rsid w:val="00494A72"/>
    <w:rsid w:val="004953C4"/>
    <w:rsid w:val="00495C3D"/>
    <w:rsid w:val="00496B5C"/>
    <w:rsid w:val="00497B72"/>
    <w:rsid w:val="00497E00"/>
    <w:rsid w:val="004A10E7"/>
    <w:rsid w:val="004A1DF1"/>
    <w:rsid w:val="004A2214"/>
    <w:rsid w:val="004A3E6C"/>
    <w:rsid w:val="004A5BA7"/>
    <w:rsid w:val="004A736E"/>
    <w:rsid w:val="004A76DA"/>
    <w:rsid w:val="004B0BAD"/>
    <w:rsid w:val="004B1A03"/>
    <w:rsid w:val="004B28DC"/>
    <w:rsid w:val="004B3375"/>
    <w:rsid w:val="004B47E7"/>
    <w:rsid w:val="004B7645"/>
    <w:rsid w:val="004C00A2"/>
    <w:rsid w:val="004C0D40"/>
    <w:rsid w:val="004C1B87"/>
    <w:rsid w:val="004C2758"/>
    <w:rsid w:val="004C738E"/>
    <w:rsid w:val="004D0007"/>
    <w:rsid w:val="004D092A"/>
    <w:rsid w:val="004D0F56"/>
    <w:rsid w:val="004D101F"/>
    <w:rsid w:val="004D1296"/>
    <w:rsid w:val="004D1797"/>
    <w:rsid w:val="004D38C8"/>
    <w:rsid w:val="004D3CC7"/>
    <w:rsid w:val="004D4E59"/>
    <w:rsid w:val="004D67FD"/>
    <w:rsid w:val="004D799A"/>
    <w:rsid w:val="004E188A"/>
    <w:rsid w:val="004E26E0"/>
    <w:rsid w:val="004E2764"/>
    <w:rsid w:val="004E3811"/>
    <w:rsid w:val="004E392D"/>
    <w:rsid w:val="004E3D2C"/>
    <w:rsid w:val="004E3D6B"/>
    <w:rsid w:val="004E544A"/>
    <w:rsid w:val="004E56E8"/>
    <w:rsid w:val="004E7414"/>
    <w:rsid w:val="004F08BC"/>
    <w:rsid w:val="004F10C2"/>
    <w:rsid w:val="004F1214"/>
    <w:rsid w:val="004F2B2D"/>
    <w:rsid w:val="004F2B88"/>
    <w:rsid w:val="004F2C67"/>
    <w:rsid w:val="004F302C"/>
    <w:rsid w:val="004F39BA"/>
    <w:rsid w:val="004F3F34"/>
    <w:rsid w:val="004F408F"/>
    <w:rsid w:val="004F4C6E"/>
    <w:rsid w:val="004F4CB4"/>
    <w:rsid w:val="004F6105"/>
    <w:rsid w:val="004F69AB"/>
    <w:rsid w:val="004F7B16"/>
    <w:rsid w:val="004F7E8B"/>
    <w:rsid w:val="004F7FD2"/>
    <w:rsid w:val="00500445"/>
    <w:rsid w:val="0050087B"/>
    <w:rsid w:val="00501108"/>
    <w:rsid w:val="0050249B"/>
    <w:rsid w:val="0050407A"/>
    <w:rsid w:val="00504AF0"/>
    <w:rsid w:val="00504FA4"/>
    <w:rsid w:val="005063CF"/>
    <w:rsid w:val="00507826"/>
    <w:rsid w:val="005108FF"/>
    <w:rsid w:val="0051117D"/>
    <w:rsid w:val="00511CD3"/>
    <w:rsid w:val="0051298A"/>
    <w:rsid w:val="00512BD5"/>
    <w:rsid w:val="00512E49"/>
    <w:rsid w:val="005147AB"/>
    <w:rsid w:val="005156C8"/>
    <w:rsid w:val="005157EF"/>
    <w:rsid w:val="005163E5"/>
    <w:rsid w:val="00516D0A"/>
    <w:rsid w:val="00521831"/>
    <w:rsid w:val="0052248F"/>
    <w:rsid w:val="005234A4"/>
    <w:rsid w:val="0052449E"/>
    <w:rsid w:val="0052456F"/>
    <w:rsid w:val="00525A9D"/>
    <w:rsid w:val="00525CAB"/>
    <w:rsid w:val="00526145"/>
    <w:rsid w:val="005265AE"/>
    <w:rsid w:val="00526682"/>
    <w:rsid w:val="005267EC"/>
    <w:rsid w:val="00527638"/>
    <w:rsid w:val="0053040D"/>
    <w:rsid w:val="0053082A"/>
    <w:rsid w:val="00530B5B"/>
    <w:rsid w:val="00530E25"/>
    <w:rsid w:val="00530EFF"/>
    <w:rsid w:val="0053176D"/>
    <w:rsid w:val="005322F2"/>
    <w:rsid w:val="005362BA"/>
    <w:rsid w:val="0053651E"/>
    <w:rsid w:val="00536D33"/>
    <w:rsid w:val="005407BE"/>
    <w:rsid w:val="00541FE4"/>
    <w:rsid w:val="00542410"/>
    <w:rsid w:val="005429E0"/>
    <w:rsid w:val="00543F09"/>
    <w:rsid w:val="00544E93"/>
    <w:rsid w:val="00545869"/>
    <w:rsid w:val="0054615A"/>
    <w:rsid w:val="005467AA"/>
    <w:rsid w:val="005477D7"/>
    <w:rsid w:val="00547B80"/>
    <w:rsid w:val="0055062E"/>
    <w:rsid w:val="00550B46"/>
    <w:rsid w:val="0055171F"/>
    <w:rsid w:val="00551A28"/>
    <w:rsid w:val="00553E40"/>
    <w:rsid w:val="005540C5"/>
    <w:rsid w:val="00555066"/>
    <w:rsid w:val="005560EC"/>
    <w:rsid w:val="005564A6"/>
    <w:rsid w:val="00556CFF"/>
    <w:rsid w:val="00557494"/>
    <w:rsid w:val="00557D15"/>
    <w:rsid w:val="00563236"/>
    <w:rsid w:val="00563CCD"/>
    <w:rsid w:val="00564220"/>
    <w:rsid w:val="0056466F"/>
    <w:rsid w:val="005646CB"/>
    <w:rsid w:val="00564A7E"/>
    <w:rsid w:val="005651F8"/>
    <w:rsid w:val="00566595"/>
    <w:rsid w:val="00566937"/>
    <w:rsid w:val="00566E87"/>
    <w:rsid w:val="005725D9"/>
    <w:rsid w:val="00572685"/>
    <w:rsid w:val="00572C4B"/>
    <w:rsid w:val="005743DE"/>
    <w:rsid w:val="00574C52"/>
    <w:rsid w:val="00575B17"/>
    <w:rsid w:val="00575CFD"/>
    <w:rsid w:val="005765BA"/>
    <w:rsid w:val="00577753"/>
    <w:rsid w:val="00577DD7"/>
    <w:rsid w:val="00580EE1"/>
    <w:rsid w:val="00582A66"/>
    <w:rsid w:val="00582CC6"/>
    <w:rsid w:val="0058360D"/>
    <w:rsid w:val="00583D05"/>
    <w:rsid w:val="00583D5A"/>
    <w:rsid w:val="00584427"/>
    <w:rsid w:val="0058447F"/>
    <w:rsid w:val="0058472E"/>
    <w:rsid w:val="00585CE7"/>
    <w:rsid w:val="0058600E"/>
    <w:rsid w:val="00586180"/>
    <w:rsid w:val="00586634"/>
    <w:rsid w:val="0058675F"/>
    <w:rsid w:val="00587744"/>
    <w:rsid w:val="0058775F"/>
    <w:rsid w:val="00587907"/>
    <w:rsid w:val="0059016B"/>
    <w:rsid w:val="005909DD"/>
    <w:rsid w:val="00590B73"/>
    <w:rsid w:val="00591664"/>
    <w:rsid w:val="00591B5F"/>
    <w:rsid w:val="00592B58"/>
    <w:rsid w:val="00594577"/>
    <w:rsid w:val="00595953"/>
    <w:rsid w:val="00596396"/>
    <w:rsid w:val="0059696F"/>
    <w:rsid w:val="005A0525"/>
    <w:rsid w:val="005A0BC4"/>
    <w:rsid w:val="005A2041"/>
    <w:rsid w:val="005A2EEC"/>
    <w:rsid w:val="005A3821"/>
    <w:rsid w:val="005A4244"/>
    <w:rsid w:val="005A4523"/>
    <w:rsid w:val="005A6529"/>
    <w:rsid w:val="005A6B1D"/>
    <w:rsid w:val="005B02ED"/>
    <w:rsid w:val="005B0DCB"/>
    <w:rsid w:val="005B15B5"/>
    <w:rsid w:val="005B1995"/>
    <w:rsid w:val="005B25F9"/>
    <w:rsid w:val="005B2801"/>
    <w:rsid w:val="005B2AD4"/>
    <w:rsid w:val="005B2BD6"/>
    <w:rsid w:val="005B3025"/>
    <w:rsid w:val="005B3D41"/>
    <w:rsid w:val="005B538F"/>
    <w:rsid w:val="005B54DA"/>
    <w:rsid w:val="005B6564"/>
    <w:rsid w:val="005B7408"/>
    <w:rsid w:val="005C0429"/>
    <w:rsid w:val="005C095F"/>
    <w:rsid w:val="005C13BE"/>
    <w:rsid w:val="005C1B3B"/>
    <w:rsid w:val="005C261E"/>
    <w:rsid w:val="005C33B0"/>
    <w:rsid w:val="005C5629"/>
    <w:rsid w:val="005C586A"/>
    <w:rsid w:val="005C6653"/>
    <w:rsid w:val="005C6758"/>
    <w:rsid w:val="005C6817"/>
    <w:rsid w:val="005C69CD"/>
    <w:rsid w:val="005C6E26"/>
    <w:rsid w:val="005C6F3A"/>
    <w:rsid w:val="005D0658"/>
    <w:rsid w:val="005D0C16"/>
    <w:rsid w:val="005D2577"/>
    <w:rsid w:val="005D322D"/>
    <w:rsid w:val="005D3A4C"/>
    <w:rsid w:val="005D505F"/>
    <w:rsid w:val="005D5917"/>
    <w:rsid w:val="005D65EA"/>
    <w:rsid w:val="005D6CE4"/>
    <w:rsid w:val="005D7308"/>
    <w:rsid w:val="005E0F4E"/>
    <w:rsid w:val="005E121B"/>
    <w:rsid w:val="005E17F9"/>
    <w:rsid w:val="005E1FAF"/>
    <w:rsid w:val="005E200E"/>
    <w:rsid w:val="005E3339"/>
    <w:rsid w:val="005E33EF"/>
    <w:rsid w:val="005E3472"/>
    <w:rsid w:val="005E5BF7"/>
    <w:rsid w:val="005E5D35"/>
    <w:rsid w:val="005E757F"/>
    <w:rsid w:val="005F0287"/>
    <w:rsid w:val="005F1766"/>
    <w:rsid w:val="005F3332"/>
    <w:rsid w:val="005F4648"/>
    <w:rsid w:val="005F6BC0"/>
    <w:rsid w:val="005F6C25"/>
    <w:rsid w:val="005F6C7F"/>
    <w:rsid w:val="005F767B"/>
    <w:rsid w:val="00600978"/>
    <w:rsid w:val="00600C9A"/>
    <w:rsid w:val="00601F3C"/>
    <w:rsid w:val="00602D79"/>
    <w:rsid w:val="00603A26"/>
    <w:rsid w:val="00603BD8"/>
    <w:rsid w:val="00603D0D"/>
    <w:rsid w:val="006045FC"/>
    <w:rsid w:val="00604CAE"/>
    <w:rsid w:val="006050DF"/>
    <w:rsid w:val="006055FA"/>
    <w:rsid w:val="00606128"/>
    <w:rsid w:val="006069D6"/>
    <w:rsid w:val="00607E3E"/>
    <w:rsid w:val="00610EF7"/>
    <w:rsid w:val="006114CA"/>
    <w:rsid w:val="006114FF"/>
    <w:rsid w:val="0061202D"/>
    <w:rsid w:val="00612B85"/>
    <w:rsid w:val="006137BE"/>
    <w:rsid w:val="00614803"/>
    <w:rsid w:val="00614C33"/>
    <w:rsid w:val="00614C4B"/>
    <w:rsid w:val="00614C6F"/>
    <w:rsid w:val="0061562A"/>
    <w:rsid w:val="0061719A"/>
    <w:rsid w:val="00617596"/>
    <w:rsid w:val="00617B20"/>
    <w:rsid w:val="00620092"/>
    <w:rsid w:val="006203C3"/>
    <w:rsid w:val="006205AB"/>
    <w:rsid w:val="006209F7"/>
    <w:rsid w:val="00620DF7"/>
    <w:rsid w:val="00621D7D"/>
    <w:rsid w:val="00622301"/>
    <w:rsid w:val="00622DBF"/>
    <w:rsid w:val="00624018"/>
    <w:rsid w:val="00624029"/>
    <w:rsid w:val="006268D5"/>
    <w:rsid w:val="006271AE"/>
    <w:rsid w:val="006277D9"/>
    <w:rsid w:val="00627FF0"/>
    <w:rsid w:val="006300F5"/>
    <w:rsid w:val="00630952"/>
    <w:rsid w:val="0063129C"/>
    <w:rsid w:val="0063176C"/>
    <w:rsid w:val="006339B6"/>
    <w:rsid w:val="006347D5"/>
    <w:rsid w:val="00634ECF"/>
    <w:rsid w:val="006355ED"/>
    <w:rsid w:val="00636119"/>
    <w:rsid w:val="00636134"/>
    <w:rsid w:val="00636926"/>
    <w:rsid w:val="006402D2"/>
    <w:rsid w:val="0064164F"/>
    <w:rsid w:val="006418B9"/>
    <w:rsid w:val="00644320"/>
    <w:rsid w:val="006443F5"/>
    <w:rsid w:val="00644F83"/>
    <w:rsid w:val="006452D3"/>
    <w:rsid w:val="00646785"/>
    <w:rsid w:val="00650603"/>
    <w:rsid w:val="00650970"/>
    <w:rsid w:val="00650B3D"/>
    <w:rsid w:val="00651034"/>
    <w:rsid w:val="0065159B"/>
    <w:rsid w:val="0065236E"/>
    <w:rsid w:val="00652C84"/>
    <w:rsid w:val="00652D6F"/>
    <w:rsid w:val="006549B6"/>
    <w:rsid w:val="00657D8B"/>
    <w:rsid w:val="00657E4E"/>
    <w:rsid w:val="0066025E"/>
    <w:rsid w:val="0066153D"/>
    <w:rsid w:val="00661C3D"/>
    <w:rsid w:val="00662E57"/>
    <w:rsid w:val="006638C6"/>
    <w:rsid w:val="00665258"/>
    <w:rsid w:val="00665BB2"/>
    <w:rsid w:val="00665C2A"/>
    <w:rsid w:val="00667A42"/>
    <w:rsid w:val="006700EA"/>
    <w:rsid w:val="006704EC"/>
    <w:rsid w:val="00670615"/>
    <w:rsid w:val="00670E68"/>
    <w:rsid w:val="00670F7B"/>
    <w:rsid w:val="0067129D"/>
    <w:rsid w:val="006733E5"/>
    <w:rsid w:val="006742BD"/>
    <w:rsid w:val="006743BD"/>
    <w:rsid w:val="006758B8"/>
    <w:rsid w:val="00680A68"/>
    <w:rsid w:val="00681D0A"/>
    <w:rsid w:val="00682A99"/>
    <w:rsid w:val="006831DC"/>
    <w:rsid w:val="00683D0C"/>
    <w:rsid w:val="00683F5C"/>
    <w:rsid w:val="006845F5"/>
    <w:rsid w:val="00684E01"/>
    <w:rsid w:val="00687784"/>
    <w:rsid w:val="00690A3C"/>
    <w:rsid w:val="0069117C"/>
    <w:rsid w:val="006913F5"/>
    <w:rsid w:val="00691CA8"/>
    <w:rsid w:val="00692190"/>
    <w:rsid w:val="00693FFE"/>
    <w:rsid w:val="00695235"/>
    <w:rsid w:val="00695797"/>
    <w:rsid w:val="0069595E"/>
    <w:rsid w:val="00697ED7"/>
    <w:rsid w:val="00697F15"/>
    <w:rsid w:val="00697F58"/>
    <w:rsid w:val="006A22AF"/>
    <w:rsid w:val="006A2997"/>
    <w:rsid w:val="006A2DD2"/>
    <w:rsid w:val="006A354B"/>
    <w:rsid w:val="006A467A"/>
    <w:rsid w:val="006A4833"/>
    <w:rsid w:val="006A5DE5"/>
    <w:rsid w:val="006A76E4"/>
    <w:rsid w:val="006B08A1"/>
    <w:rsid w:val="006B0981"/>
    <w:rsid w:val="006B0C19"/>
    <w:rsid w:val="006B0E60"/>
    <w:rsid w:val="006B1C60"/>
    <w:rsid w:val="006B1D19"/>
    <w:rsid w:val="006B1EF2"/>
    <w:rsid w:val="006B263A"/>
    <w:rsid w:val="006B278A"/>
    <w:rsid w:val="006B283E"/>
    <w:rsid w:val="006B29AD"/>
    <w:rsid w:val="006B2B32"/>
    <w:rsid w:val="006B328F"/>
    <w:rsid w:val="006B343F"/>
    <w:rsid w:val="006B4DB2"/>
    <w:rsid w:val="006B516D"/>
    <w:rsid w:val="006B59F4"/>
    <w:rsid w:val="006B7379"/>
    <w:rsid w:val="006C053C"/>
    <w:rsid w:val="006C1060"/>
    <w:rsid w:val="006C1AFD"/>
    <w:rsid w:val="006C251C"/>
    <w:rsid w:val="006C31B0"/>
    <w:rsid w:val="006C4181"/>
    <w:rsid w:val="006C54E2"/>
    <w:rsid w:val="006C57E7"/>
    <w:rsid w:val="006D054A"/>
    <w:rsid w:val="006D4D3A"/>
    <w:rsid w:val="006D4E92"/>
    <w:rsid w:val="006D5A7D"/>
    <w:rsid w:val="006D6090"/>
    <w:rsid w:val="006D66B8"/>
    <w:rsid w:val="006D6E7F"/>
    <w:rsid w:val="006D72E2"/>
    <w:rsid w:val="006D73F8"/>
    <w:rsid w:val="006D7E1C"/>
    <w:rsid w:val="006E0100"/>
    <w:rsid w:val="006E1AF3"/>
    <w:rsid w:val="006E1E24"/>
    <w:rsid w:val="006E2867"/>
    <w:rsid w:val="006E2F36"/>
    <w:rsid w:val="006E3013"/>
    <w:rsid w:val="006E39EE"/>
    <w:rsid w:val="006E51AE"/>
    <w:rsid w:val="006E51BD"/>
    <w:rsid w:val="006E7AB3"/>
    <w:rsid w:val="006E7F75"/>
    <w:rsid w:val="006F0509"/>
    <w:rsid w:val="006F0606"/>
    <w:rsid w:val="006F11F5"/>
    <w:rsid w:val="006F19A3"/>
    <w:rsid w:val="006F3BF9"/>
    <w:rsid w:val="006F3F08"/>
    <w:rsid w:val="006F4111"/>
    <w:rsid w:val="006F48F8"/>
    <w:rsid w:val="006F4E1A"/>
    <w:rsid w:val="006F5A66"/>
    <w:rsid w:val="006F5BF1"/>
    <w:rsid w:val="006F5D1B"/>
    <w:rsid w:val="006F634C"/>
    <w:rsid w:val="006F6DF2"/>
    <w:rsid w:val="006F7122"/>
    <w:rsid w:val="00700783"/>
    <w:rsid w:val="00700DEE"/>
    <w:rsid w:val="00702F47"/>
    <w:rsid w:val="00703245"/>
    <w:rsid w:val="0070335B"/>
    <w:rsid w:val="007039AD"/>
    <w:rsid w:val="00704CFD"/>
    <w:rsid w:val="0070673E"/>
    <w:rsid w:val="00706984"/>
    <w:rsid w:val="007071E8"/>
    <w:rsid w:val="007077DA"/>
    <w:rsid w:val="0071004E"/>
    <w:rsid w:val="0071066A"/>
    <w:rsid w:val="00712C9A"/>
    <w:rsid w:val="00712EBB"/>
    <w:rsid w:val="00713090"/>
    <w:rsid w:val="00713616"/>
    <w:rsid w:val="00713726"/>
    <w:rsid w:val="007139A5"/>
    <w:rsid w:val="00716DC4"/>
    <w:rsid w:val="00717858"/>
    <w:rsid w:val="00717A61"/>
    <w:rsid w:val="007208E2"/>
    <w:rsid w:val="00720B93"/>
    <w:rsid w:val="00721061"/>
    <w:rsid w:val="00725067"/>
    <w:rsid w:val="007251CA"/>
    <w:rsid w:val="00725614"/>
    <w:rsid w:val="007259E4"/>
    <w:rsid w:val="007276C6"/>
    <w:rsid w:val="00730575"/>
    <w:rsid w:val="00730A68"/>
    <w:rsid w:val="007355A7"/>
    <w:rsid w:val="00735A43"/>
    <w:rsid w:val="00735E38"/>
    <w:rsid w:val="00736147"/>
    <w:rsid w:val="00736285"/>
    <w:rsid w:val="0073669E"/>
    <w:rsid w:val="00740C74"/>
    <w:rsid w:val="00743823"/>
    <w:rsid w:val="00745918"/>
    <w:rsid w:val="007465D1"/>
    <w:rsid w:val="007465EE"/>
    <w:rsid w:val="0074723A"/>
    <w:rsid w:val="00747686"/>
    <w:rsid w:val="007513D8"/>
    <w:rsid w:val="007515A8"/>
    <w:rsid w:val="00752322"/>
    <w:rsid w:val="007526AA"/>
    <w:rsid w:val="00752B7E"/>
    <w:rsid w:val="007534D9"/>
    <w:rsid w:val="00753845"/>
    <w:rsid w:val="007545DE"/>
    <w:rsid w:val="00754616"/>
    <w:rsid w:val="00754FCC"/>
    <w:rsid w:val="00757F1D"/>
    <w:rsid w:val="007614E0"/>
    <w:rsid w:val="00761869"/>
    <w:rsid w:val="00762008"/>
    <w:rsid w:val="007622EB"/>
    <w:rsid w:val="007628A8"/>
    <w:rsid w:val="00763D95"/>
    <w:rsid w:val="00764D82"/>
    <w:rsid w:val="00765ADF"/>
    <w:rsid w:val="007664F9"/>
    <w:rsid w:val="00766A24"/>
    <w:rsid w:val="00766DDE"/>
    <w:rsid w:val="00767348"/>
    <w:rsid w:val="007678E4"/>
    <w:rsid w:val="00770D42"/>
    <w:rsid w:val="0077102F"/>
    <w:rsid w:val="007731EA"/>
    <w:rsid w:val="007734E9"/>
    <w:rsid w:val="00775700"/>
    <w:rsid w:val="00775A65"/>
    <w:rsid w:val="007767AC"/>
    <w:rsid w:val="0077686C"/>
    <w:rsid w:val="00780491"/>
    <w:rsid w:val="00782807"/>
    <w:rsid w:val="00782F9E"/>
    <w:rsid w:val="007831A1"/>
    <w:rsid w:val="00783B17"/>
    <w:rsid w:val="007843DA"/>
    <w:rsid w:val="00785470"/>
    <w:rsid w:val="00787861"/>
    <w:rsid w:val="00790645"/>
    <w:rsid w:val="00790778"/>
    <w:rsid w:val="00790B34"/>
    <w:rsid w:val="007913EE"/>
    <w:rsid w:val="00791470"/>
    <w:rsid w:val="00791B8F"/>
    <w:rsid w:val="00792B14"/>
    <w:rsid w:val="00793635"/>
    <w:rsid w:val="00793BD0"/>
    <w:rsid w:val="007946CC"/>
    <w:rsid w:val="007A039E"/>
    <w:rsid w:val="007A0AD8"/>
    <w:rsid w:val="007A0D56"/>
    <w:rsid w:val="007A4161"/>
    <w:rsid w:val="007A470A"/>
    <w:rsid w:val="007A559F"/>
    <w:rsid w:val="007A6042"/>
    <w:rsid w:val="007A62AF"/>
    <w:rsid w:val="007A64CC"/>
    <w:rsid w:val="007A7F42"/>
    <w:rsid w:val="007A7FC6"/>
    <w:rsid w:val="007B0CBC"/>
    <w:rsid w:val="007B11FF"/>
    <w:rsid w:val="007B1566"/>
    <w:rsid w:val="007B2B97"/>
    <w:rsid w:val="007B3046"/>
    <w:rsid w:val="007B4854"/>
    <w:rsid w:val="007B510E"/>
    <w:rsid w:val="007B612C"/>
    <w:rsid w:val="007B6BE6"/>
    <w:rsid w:val="007B75E6"/>
    <w:rsid w:val="007C0E47"/>
    <w:rsid w:val="007C19A6"/>
    <w:rsid w:val="007C1B71"/>
    <w:rsid w:val="007C1B8D"/>
    <w:rsid w:val="007C43C2"/>
    <w:rsid w:val="007C4D9F"/>
    <w:rsid w:val="007C4DC9"/>
    <w:rsid w:val="007C5A61"/>
    <w:rsid w:val="007C5E03"/>
    <w:rsid w:val="007C6E87"/>
    <w:rsid w:val="007C7BF5"/>
    <w:rsid w:val="007C7CEE"/>
    <w:rsid w:val="007D1096"/>
    <w:rsid w:val="007D1CBF"/>
    <w:rsid w:val="007D1E8F"/>
    <w:rsid w:val="007D20E3"/>
    <w:rsid w:val="007D49EE"/>
    <w:rsid w:val="007D5054"/>
    <w:rsid w:val="007D66AB"/>
    <w:rsid w:val="007D7DD1"/>
    <w:rsid w:val="007E0768"/>
    <w:rsid w:val="007E0B8C"/>
    <w:rsid w:val="007E3E9E"/>
    <w:rsid w:val="007E40A6"/>
    <w:rsid w:val="007E42EE"/>
    <w:rsid w:val="007E5873"/>
    <w:rsid w:val="007E6D10"/>
    <w:rsid w:val="007E7111"/>
    <w:rsid w:val="007E7EA8"/>
    <w:rsid w:val="007F015A"/>
    <w:rsid w:val="007F0F60"/>
    <w:rsid w:val="007F152D"/>
    <w:rsid w:val="007F1CFE"/>
    <w:rsid w:val="007F2054"/>
    <w:rsid w:val="007F3533"/>
    <w:rsid w:val="007F41E4"/>
    <w:rsid w:val="007F52F6"/>
    <w:rsid w:val="007F56AC"/>
    <w:rsid w:val="007F5E78"/>
    <w:rsid w:val="007F6635"/>
    <w:rsid w:val="007F7E34"/>
    <w:rsid w:val="00802655"/>
    <w:rsid w:val="00802B79"/>
    <w:rsid w:val="00803368"/>
    <w:rsid w:val="008049E3"/>
    <w:rsid w:val="00804FEA"/>
    <w:rsid w:val="008050C5"/>
    <w:rsid w:val="00805C41"/>
    <w:rsid w:val="0080619C"/>
    <w:rsid w:val="008063A8"/>
    <w:rsid w:val="00807AF7"/>
    <w:rsid w:val="00810CE2"/>
    <w:rsid w:val="00810E93"/>
    <w:rsid w:val="00810EA0"/>
    <w:rsid w:val="008117C1"/>
    <w:rsid w:val="00812864"/>
    <w:rsid w:val="008137C5"/>
    <w:rsid w:val="00813A66"/>
    <w:rsid w:val="00816416"/>
    <w:rsid w:val="00816649"/>
    <w:rsid w:val="00816A47"/>
    <w:rsid w:val="008170F3"/>
    <w:rsid w:val="00817521"/>
    <w:rsid w:val="00817F40"/>
    <w:rsid w:val="0082063C"/>
    <w:rsid w:val="00820906"/>
    <w:rsid w:val="00821C1D"/>
    <w:rsid w:val="00824377"/>
    <w:rsid w:val="0082452F"/>
    <w:rsid w:val="008246AB"/>
    <w:rsid w:val="00825093"/>
    <w:rsid w:val="00825877"/>
    <w:rsid w:val="0082636E"/>
    <w:rsid w:val="0082683E"/>
    <w:rsid w:val="00826B0F"/>
    <w:rsid w:val="0082748E"/>
    <w:rsid w:val="008274DD"/>
    <w:rsid w:val="00831189"/>
    <w:rsid w:val="00831DA6"/>
    <w:rsid w:val="00831E1B"/>
    <w:rsid w:val="00833FF1"/>
    <w:rsid w:val="00834968"/>
    <w:rsid w:val="008407F3"/>
    <w:rsid w:val="00840A82"/>
    <w:rsid w:val="0084297F"/>
    <w:rsid w:val="00842E29"/>
    <w:rsid w:val="008433B3"/>
    <w:rsid w:val="00843963"/>
    <w:rsid w:val="008448BF"/>
    <w:rsid w:val="00844C7F"/>
    <w:rsid w:val="00845A38"/>
    <w:rsid w:val="00845E1B"/>
    <w:rsid w:val="00846439"/>
    <w:rsid w:val="00846EDC"/>
    <w:rsid w:val="008471C6"/>
    <w:rsid w:val="008475D4"/>
    <w:rsid w:val="00847724"/>
    <w:rsid w:val="008478A8"/>
    <w:rsid w:val="008531AA"/>
    <w:rsid w:val="008535F0"/>
    <w:rsid w:val="00853FFE"/>
    <w:rsid w:val="0085518A"/>
    <w:rsid w:val="008554E5"/>
    <w:rsid w:val="00855722"/>
    <w:rsid w:val="00855E2F"/>
    <w:rsid w:val="00857DF8"/>
    <w:rsid w:val="008601FF"/>
    <w:rsid w:val="0086022C"/>
    <w:rsid w:val="0086187E"/>
    <w:rsid w:val="00861A58"/>
    <w:rsid w:val="00864883"/>
    <w:rsid w:val="00865243"/>
    <w:rsid w:val="00865538"/>
    <w:rsid w:val="00865C35"/>
    <w:rsid w:val="00866BDA"/>
    <w:rsid w:val="00867AC1"/>
    <w:rsid w:val="00867FEB"/>
    <w:rsid w:val="0087035F"/>
    <w:rsid w:val="0087263C"/>
    <w:rsid w:val="00872990"/>
    <w:rsid w:val="00873736"/>
    <w:rsid w:val="00874CCE"/>
    <w:rsid w:val="008758B8"/>
    <w:rsid w:val="00875E6A"/>
    <w:rsid w:val="00876B2D"/>
    <w:rsid w:val="00876E85"/>
    <w:rsid w:val="00881F4F"/>
    <w:rsid w:val="00882C1E"/>
    <w:rsid w:val="00882C7C"/>
    <w:rsid w:val="00883236"/>
    <w:rsid w:val="00883BB3"/>
    <w:rsid w:val="00884597"/>
    <w:rsid w:val="00884C0C"/>
    <w:rsid w:val="00885A07"/>
    <w:rsid w:val="008867B8"/>
    <w:rsid w:val="00890904"/>
    <w:rsid w:val="00890A30"/>
    <w:rsid w:val="00891447"/>
    <w:rsid w:val="00891B43"/>
    <w:rsid w:val="00891E5E"/>
    <w:rsid w:val="0089440F"/>
    <w:rsid w:val="00895083"/>
    <w:rsid w:val="008956C4"/>
    <w:rsid w:val="00895FEF"/>
    <w:rsid w:val="008961CC"/>
    <w:rsid w:val="008A04B1"/>
    <w:rsid w:val="008A05FC"/>
    <w:rsid w:val="008A0F79"/>
    <w:rsid w:val="008A28CD"/>
    <w:rsid w:val="008A2C58"/>
    <w:rsid w:val="008A4E15"/>
    <w:rsid w:val="008A5137"/>
    <w:rsid w:val="008A55DE"/>
    <w:rsid w:val="008A57A1"/>
    <w:rsid w:val="008A5CAD"/>
    <w:rsid w:val="008A6724"/>
    <w:rsid w:val="008B050E"/>
    <w:rsid w:val="008B07A4"/>
    <w:rsid w:val="008B10C5"/>
    <w:rsid w:val="008B11B2"/>
    <w:rsid w:val="008B1832"/>
    <w:rsid w:val="008B2A76"/>
    <w:rsid w:val="008B58AB"/>
    <w:rsid w:val="008B58F3"/>
    <w:rsid w:val="008B5FEE"/>
    <w:rsid w:val="008B60A1"/>
    <w:rsid w:val="008C006E"/>
    <w:rsid w:val="008C1649"/>
    <w:rsid w:val="008C2B8A"/>
    <w:rsid w:val="008C5D1E"/>
    <w:rsid w:val="008C6902"/>
    <w:rsid w:val="008C6CB9"/>
    <w:rsid w:val="008C6F86"/>
    <w:rsid w:val="008C73BB"/>
    <w:rsid w:val="008C7C2C"/>
    <w:rsid w:val="008C7F15"/>
    <w:rsid w:val="008D15B3"/>
    <w:rsid w:val="008D19F1"/>
    <w:rsid w:val="008D1B27"/>
    <w:rsid w:val="008D1DE5"/>
    <w:rsid w:val="008D269D"/>
    <w:rsid w:val="008D2C9A"/>
    <w:rsid w:val="008D318D"/>
    <w:rsid w:val="008D3BE0"/>
    <w:rsid w:val="008D490E"/>
    <w:rsid w:val="008D4C62"/>
    <w:rsid w:val="008E133E"/>
    <w:rsid w:val="008E220F"/>
    <w:rsid w:val="008E2D4A"/>
    <w:rsid w:val="008E34ED"/>
    <w:rsid w:val="008E3526"/>
    <w:rsid w:val="008E3E4C"/>
    <w:rsid w:val="008E451E"/>
    <w:rsid w:val="008E45AD"/>
    <w:rsid w:val="008E5306"/>
    <w:rsid w:val="008E5459"/>
    <w:rsid w:val="008E54DD"/>
    <w:rsid w:val="008E628C"/>
    <w:rsid w:val="008E6B76"/>
    <w:rsid w:val="008E7AB3"/>
    <w:rsid w:val="008F0288"/>
    <w:rsid w:val="008F03D9"/>
    <w:rsid w:val="008F0AA8"/>
    <w:rsid w:val="008F1F3B"/>
    <w:rsid w:val="008F3780"/>
    <w:rsid w:val="008F3EFF"/>
    <w:rsid w:val="008F4DA5"/>
    <w:rsid w:val="008F4F99"/>
    <w:rsid w:val="008F51AD"/>
    <w:rsid w:val="008F5617"/>
    <w:rsid w:val="008F6F82"/>
    <w:rsid w:val="008F768F"/>
    <w:rsid w:val="008F7EE8"/>
    <w:rsid w:val="008F7F52"/>
    <w:rsid w:val="009000A2"/>
    <w:rsid w:val="00900B26"/>
    <w:rsid w:val="00901A9D"/>
    <w:rsid w:val="00903C76"/>
    <w:rsid w:val="00903F20"/>
    <w:rsid w:val="00904AEA"/>
    <w:rsid w:val="00905822"/>
    <w:rsid w:val="0090654B"/>
    <w:rsid w:val="00907FEA"/>
    <w:rsid w:val="0091027B"/>
    <w:rsid w:val="009106CC"/>
    <w:rsid w:val="009110B4"/>
    <w:rsid w:val="009116BD"/>
    <w:rsid w:val="009117F7"/>
    <w:rsid w:val="0091239D"/>
    <w:rsid w:val="00914559"/>
    <w:rsid w:val="00914624"/>
    <w:rsid w:val="00914884"/>
    <w:rsid w:val="0091534C"/>
    <w:rsid w:val="00915645"/>
    <w:rsid w:val="009176C0"/>
    <w:rsid w:val="00920170"/>
    <w:rsid w:val="00920501"/>
    <w:rsid w:val="00920848"/>
    <w:rsid w:val="00920925"/>
    <w:rsid w:val="00921810"/>
    <w:rsid w:val="00923D79"/>
    <w:rsid w:val="00923F71"/>
    <w:rsid w:val="00924F5D"/>
    <w:rsid w:val="00924F90"/>
    <w:rsid w:val="00925EE7"/>
    <w:rsid w:val="00926205"/>
    <w:rsid w:val="00926A6A"/>
    <w:rsid w:val="00927826"/>
    <w:rsid w:val="00927940"/>
    <w:rsid w:val="009319C0"/>
    <w:rsid w:val="009329CC"/>
    <w:rsid w:val="00932A2D"/>
    <w:rsid w:val="00932F5E"/>
    <w:rsid w:val="0093316D"/>
    <w:rsid w:val="00933739"/>
    <w:rsid w:val="009339E7"/>
    <w:rsid w:val="00934FD9"/>
    <w:rsid w:val="009351CF"/>
    <w:rsid w:val="0093522A"/>
    <w:rsid w:val="009357DC"/>
    <w:rsid w:val="00940209"/>
    <w:rsid w:val="00940C3C"/>
    <w:rsid w:val="00940D46"/>
    <w:rsid w:val="00941DA3"/>
    <w:rsid w:val="00941E84"/>
    <w:rsid w:val="00944ABE"/>
    <w:rsid w:val="00944ACF"/>
    <w:rsid w:val="0094550A"/>
    <w:rsid w:val="00945F99"/>
    <w:rsid w:val="009469E9"/>
    <w:rsid w:val="0095037B"/>
    <w:rsid w:val="00950400"/>
    <w:rsid w:val="00950F0F"/>
    <w:rsid w:val="0095153F"/>
    <w:rsid w:val="00951752"/>
    <w:rsid w:val="00953F88"/>
    <w:rsid w:val="009544A6"/>
    <w:rsid w:val="009545C4"/>
    <w:rsid w:val="00954AD0"/>
    <w:rsid w:val="0095617B"/>
    <w:rsid w:val="009612F0"/>
    <w:rsid w:val="0096148A"/>
    <w:rsid w:val="00961C2B"/>
    <w:rsid w:val="00961F66"/>
    <w:rsid w:val="00962FB7"/>
    <w:rsid w:val="0096514E"/>
    <w:rsid w:val="0096571D"/>
    <w:rsid w:val="009662E3"/>
    <w:rsid w:val="009666F4"/>
    <w:rsid w:val="0096715F"/>
    <w:rsid w:val="0096754E"/>
    <w:rsid w:val="00967E97"/>
    <w:rsid w:val="00971604"/>
    <w:rsid w:val="00971895"/>
    <w:rsid w:val="0097283B"/>
    <w:rsid w:val="009729CF"/>
    <w:rsid w:val="00973D13"/>
    <w:rsid w:val="00973F16"/>
    <w:rsid w:val="009747C1"/>
    <w:rsid w:val="00975C53"/>
    <w:rsid w:val="00977721"/>
    <w:rsid w:val="009806A6"/>
    <w:rsid w:val="0098084B"/>
    <w:rsid w:val="00982ADC"/>
    <w:rsid w:val="009837B3"/>
    <w:rsid w:val="009843EB"/>
    <w:rsid w:val="00984546"/>
    <w:rsid w:val="00985919"/>
    <w:rsid w:val="00985AD6"/>
    <w:rsid w:val="00986BDA"/>
    <w:rsid w:val="00987FA5"/>
    <w:rsid w:val="0099039F"/>
    <w:rsid w:val="009927EC"/>
    <w:rsid w:val="0099530A"/>
    <w:rsid w:val="00995E9E"/>
    <w:rsid w:val="009A0139"/>
    <w:rsid w:val="009A0CC5"/>
    <w:rsid w:val="009A168C"/>
    <w:rsid w:val="009A19BB"/>
    <w:rsid w:val="009A1DBF"/>
    <w:rsid w:val="009A3FC3"/>
    <w:rsid w:val="009A4175"/>
    <w:rsid w:val="009A4794"/>
    <w:rsid w:val="009A4BC2"/>
    <w:rsid w:val="009A52F5"/>
    <w:rsid w:val="009A6285"/>
    <w:rsid w:val="009A6B73"/>
    <w:rsid w:val="009A7379"/>
    <w:rsid w:val="009A78DA"/>
    <w:rsid w:val="009A7916"/>
    <w:rsid w:val="009A792B"/>
    <w:rsid w:val="009B19DD"/>
    <w:rsid w:val="009B1BC5"/>
    <w:rsid w:val="009B2773"/>
    <w:rsid w:val="009B3048"/>
    <w:rsid w:val="009B3CF1"/>
    <w:rsid w:val="009B4253"/>
    <w:rsid w:val="009B43A1"/>
    <w:rsid w:val="009B53EB"/>
    <w:rsid w:val="009B5507"/>
    <w:rsid w:val="009B6533"/>
    <w:rsid w:val="009B7716"/>
    <w:rsid w:val="009B7A0E"/>
    <w:rsid w:val="009C0A08"/>
    <w:rsid w:val="009C0A47"/>
    <w:rsid w:val="009C26CC"/>
    <w:rsid w:val="009C4A29"/>
    <w:rsid w:val="009C5F97"/>
    <w:rsid w:val="009C6B43"/>
    <w:rsid w:val="009C7153"/>
    <w:rsid w:val="009C73F2"/>
    <w:rsid w:val="009D2B9D"/>
    <w:rsid w:val="009D3956"/>
    <w:rsid w:val="009D4A65"/>
    <w:rsid w:val="009D55A3"/>
    <w:rsid w:val="009D5766"/>
    <w:rsid w:val="009D5E06"/>
    <w:rsid w:val="009D66A1"/>
    <w:rsid w:val="009D772A"/>
    <w:rsid w:val="009D795B"/>
    <w:rsid w:val="009E1666"/>
    <w:rsid w:val="009E23E6"/>
    <w:rsid w:val="009E4B15"/>
    <w:rsid w:val="009E517B"/>
    <w:rsid w:val="009E560F"/>
    <w:rsid w:val="009E5731"/>
    <w:rsid w:val="009E6987"/>
    <w:rsid w:val="009F0CBE"/>
    <w:rsid w:val="009F14CD"/>
    <w:rsid w:val="009F253A"/>
    <w:rsid w:val="009F3D8C"/>
    <w:rsid w:val="009F3DAE"/>
    <w:rsid w:val="009F4AAD"/>
    <w:rsid w:val="009F5128"/>
    <w:rsid w:val="009F5747"/>
    <w:rsid w:val="009F62A3"/>
    <w:rsid w:val="009F6B41"/>
    <w:rsid w:val="009F7B7D"/>
    <w:rsid w:val="00A02689"/>
    <w:rsid w:val="00A026E8"/>
    <w:rsid w:val="00A04402"/>
    <w:rsid w:val="00A04C4B"/>
    <w:rsid w:val="00A06020"/>
    <w:rsid w:val="00A061AB"/>
    <w:rsid w:val="00A06444"/>
    <w:rsid w:val="00A06F28"/>
    <w:rsid w:val="00A10D11"/>
    <w:rsid w:val="00A121FC"/>
    <w:rsid w:val="00A12728"/>
    <w:rsid w:val="00A141E9"/>
    <w:rsid w:val="00A1422A"/>
    <w:rsid w:val="00A14437"/>
    <w:rsid w:val="00A146A9"/>
    <w:rsid w:val="00A1584A"/>
    <w:rsid w:val="00A166F6"/>
    <w:rsid w:val="00A16790"/>
    <w:rsid w:val="00A17755"/>
    <w:rsid w:val="00A17937"/>
    <w:rsid w:val="00A17CFF"/>
    <w:rsid w:val="00A20D4E"/>
    <w:rsid w:val="00A20EFE"/>
    <w:rsid w:val="00A2186B"/>
    <w:rsid w:val="00A223A2"/>
    <w:rsid w:val="00A23C31"/>
    <w:rsid w:val="00A23C8B"/>
    <w:rsid w:val="00A23CD7"/>
    <w:rsid w:val="00A26E04"/>
    <w:rsid w:val="00A270F0"/>
    <w:rsid w:val="00A27E30"/>
    <w:rsid w:val="00A309DD"/>
    <w:rsid w:val="00A33A38"/>
    <w:rsid w:val="00A33A7A"/>
    <w:rsid w:val="00A3401B"/>
    <w:rsid w:val="00A34B2A"/>
    <w:rsid w:val="00A34CCB"/>
    <w:rsid w:val="00A3640B"/>
    <w:rsid w:val="00A36CEB"/>
    <w:rsid w:val="00A37AB5"/>
    <w:rsid w:val="00A37B42"/>
    <w:rsid w:val="00A37EFC"/>
    <w:rsid w:val="00A40730"/>
    <w:rsid w:val="00A40F85"/>
    <w:rsid w:val="00A4120A"/>
    <w:rsid w:val="00A4178F"/>
    <w:rsid w:val="00A42043"/>
    <w:rsid w:val="00A422AD"/>
    <w:rsid w:val="00A42FBD"/>
    <w:rsid w:val="00A4475B"/>
    <w:rsid w:val="00A458AE"/>
    <w:rsid w:val="00A4606B"/>
    <w:rsid w:val="00A4617A"/>
    <w:rsid w:val="00A4665B"/>
    <w:rsid w:val="00A46D20"/>
    <w:rsid w:val="00A46DC6"/>
    <w:rsid w:val="00A46FC4"/>
    <w:rsid w:val="00A47EEA"/>
    <w:rsid w:val="00A500FC"/>
    <w:rsid w:val="00A5205A"/>
    <w:rsid w:val="00A520C8"/>
    <w:rsid w:val="00A5257E"/>
    <w:rsid w:val="00A5529C"/>
    <w:rsid w:val="00A55A84"/>
    <w:rsid w:val="00A57784"/>
    <w:rsid w:val="00A62976"/>
    <w:rsid w:val="00A645F2"/>
    <w:rsid w:val="00A64FD7"/>
    <w:rsid w:val="00A65D48"/>
    <w:rsid w:val="00A660BF"/>
    <w:rsid w:val="00A67128"/>
    <w:rsid w:val="00A674A1"/>
    <w:rsid w:val="00A70CA3"/>
    <w:rsid w:val="00A7233F"/>
    <w:rsid w:val="00A72E4E"/>
    <w:rsid w:val="00A73972"/>
    <w:rsid w:val="00A73D72"/>
    <w:rsid w:val="00A7473C"/>
    <w:rsid w:val="00A75FA7"/>
    <w:rsid w:val="00A7676E"/>
    <w:rsid w:val="00A76A54"/>
    <w:rsid w:val="00A8011D"/>
    <w:rsid w:val="00A80D89"/>
    <w:rsid w:val="00A81239"/>
    <w:rsid w:val="00A8299D"/>
    <w:rsid w:val="00A83A0E"/>
    <w:rsid w:val="00A84F19"/>
    <w:rsid w:val="00A85078"/>
    <w:rsid w:val="00A853E2"/>
    <w:rsid w:val="00A85E20"/>
    <w:rsid w:val="00A86716"/>
    <w:rsid w:val="00A86E03"/>
    <w:rsid w:val="00A86EA0"/>
    <w:rsid w:val="00A87454"/>
    <w:rsid w:val="00A8768B"/>
    <w:rsid w:val="00A876F8"/>
    <w:rsid w:val="00A879B1"/>
    <w:rsid w:val="00A87DB1"/>
    <w:rsid w:val="00A87EC2"/>
    <w:rsid w:val="00A909E9"/>
    <w:rsid w:val="00A915A4"/>
    <w:rsid w:val="00A91D81"/>
    <w:rsid w:val="00A92627"/>
    <w:rsid w:val="00A931CA"/>
    <w:rsid w:val="00A952E6"/>
    <w:rsid w:val="00A9717B"/>
    <w:rsid w:val="00AA05C2"/>
    <w:rsid w:val="00AA0FB3"/>
    <w:rsid w:val="00AA0FC1"/>
    <w:rsid w:val="00AA1E5D"/>
    <w:rsid w:val="00AA28B8"/>
    <w:rsid w:val="00AA4028"/>
    <w:rsid w:val="00AA48F4"/>
    <w:rsid w:val="00AA4B8A"/>
    <w:rsid w:val="00AA51B3"/>
    <w:rsid w:val="00AA5398"/>
    <w:rsid w:val="00AA6395"/>
    <w:rsid w:val="00AA64D6"/>
    <w:rsid w:val="00AA6CFA"/>
    <w:rsid w:val="00AB0AAD"/>
    <w:rsid w:val="00AB1497"/>
    <w:rsid w:val="00AB1D36"/>
    <w:rsid w:val="00AB4319"/>
    <w:rsid w:val="00AB47A3"/>
    <w:rsid w:val="00AB4E8E"/>
    <w:rsid w:val="00AB5BF9"/>
    <w:rsid w:val="00AB5F2E"/>
    <w:rsid w:val="00AB636E"/>
    <w:rsid w:val="00AB70F0"/>
    <w:rsid w:val="00AB7AE9"/>
    <w:rsid w:val="00AC0AF9"/>
    <w:rsid w:val="00AC114E"/>
    <w:rsid w:val="00AC148E"/>
    <w:rsid w:val="00AC17F5"/>
    <w:rsid w:val="00AC18A9"/>
    <w:rsid w:val="00AC1DC2"/>
    <w:rsid w:val="00AC2124"/>
    <w:rsid w:val="00AC431A"/>
    <w:rsid w:val="00AC4392"/>
    <w:rsid w:val="00AC57AE"/>
    <w:rsid w:val="00AC6ACC"/>
    <w:rsid w:val="00AD04BB"/>
    <w:rsid w:val="00AD1183"/>
    <w:rsid w:val="00AD2CA2"/>
    <w:rsid w:val="00AD393B"/>
    <w:rsid w:val="00AD413C"/>
    <w:rsid w:val="00AD44B3"/>
    <w:rsid w:val="00AD47B2"/>
    <w:rsid w:val="00AD5271"/>
    <w:rsid w:val="00AD57E0"/>
    <w:rsid w:val="00AD5B74"/>
    <w:rsid w:val="00AD5C6C"/>
    <w:rsid w:val="00AD6F27"/>
    <w:rsid w:val="00AD7DFE"/>
    <w:rsid w:val="00AD7F4D"/>
    <w:rsid w:val="00AE0084"/>
    <w:rsid w:val="00AE06F0"/>
    <w:rsid w:val="00AE077C"/>
    <w:rsid w:val="00AE1A38"/>
    <w:rsid w:val="00AE2401"/>
    <w:rsid w:val="00AE50F9"/>
    <w:rsid w:val="00AE6612"/>
    <w:rsid w:val="00AF0761"/>
    <w:rsid w:val="00AF0A87"/>
    <w:rsid w:val="00AF1813"/>
    <w:rsid w:val="00AF3E03"/>
    <w:rsid w:val="00AF3E32"/>
    <w:rsid w:val="00AF3F47"/>
    <w:rsid w:val="00B00AA3"/>
    <w:rsid w:val="00B00B80"/>
    <w:rsid w:val="00B01A84"/>
    <w:rsid w:val="00B01F29"/>
    <w:rsid w:val="00B02B71"/>
    <w:rsid w:val="00B02C67"/>
    <w:rsid w:val="00B03753"/>
    <w:rsid w:val="00B03BBE"/>
    <w:rsid w:val="00B04C49"/>
    <w:rsid w:val="00B0537B"/>
    <w:rsid w:val="00B053FE"/>
    <w:rsid w:val="00B05828"/>
    <w:rsid w:val="00B05D95"/>
    <w:rsid w:val="00B06119"/>
    <w:rsid w:val="00B06B08"/>
    <w:rsid w:val="00B0720C"/>
    <w:rsid w:val="00B0763C"/>
    <w:rsid w:val="00B078B6"/>
    <w:rsid w:val="00B07BB9"/>
    <w:rsid w:val="00B07C9C"/>
    <w:rsid w:val="00B106A0"/>
    <w:rsid w:val="00B10F86"/>
    <w:rsid w:val="00B12874"/>
    <w:rsid w:val="00B139C6"/>
    <w:rsid w:val="00B13B0E"/>
    <w:rsid w:val="00B13B12"/>
    <w:rsid w:val="00B153DC"/>
    <w:rsid w:val="00B1570A"/>
    <w:rsid w:val="00B17216"/>
    <w:rsid w:val="00B179DF"/>
    <w:rsid w:val="00B21106"/>
    <w:rsid w:val="00B21805"/>
    <w:rsid w:val="00B21A7F"/>
    <w:rsid w:val="00B21B84"/>
    <w:rsid w:val="00B21C8E"/>
    <w:rsid w:val="00B22524"/>
    <w:rsid w:val="00B226E8"/>
    <w:rsid w:val="00B2282D"/>
    <w:rsid w:val="00B23CA3"/>
    <w:rsid w:val="00B244F0"/>
    <w:rsid w:val="00B254C9"/>
    <w:rsid w:val="00B2556A"/>
    <w:rsid w:val="00B26808"/>
    <w:rsid w:val="00B3130B"/>
    <w:rsid w:val="00B31ADF"/>
    <w:rsid w:val="00B3230E"/>
    <w:rsid w:val="00B32965"/>
    <w:rsid w:val="00B32D63"/>
    <w:rsid w:val="00B35A54"/>
    <w:rsid w:val="00B36AF0"/>
    <w:rsid w:val="00B36D74"/>
    <w:rsid w:val="00B3758E"/>
    <w:rsid w:val="00B408CF"/>
    <w:rsid w:val="00B41197"/>
    <w:rsid w:val="00B414E5"/>
    <w:rsid w:val="00B42426"/>
    <w:rsid w:val="00B42CE7"/>
    <w:rsid w:val="00B42DED"/>
    <w:rsid w:val="00B4441F"/>
    <w:rsid w:val="00B445A1"/>
    <w:rsid w:val="00B44C88"/>
    <w:rsid w:val="00B44D02"/>
    <w:rsid w:val="00B45979"/>
    <w:rsid w:val="00B459FB"/>
    <w:rsid w:val="00B45AA8"/>
    <w:rsid w:val="00B471A0"/>
    <w:rsid w:val="00B47995"/>
    <w:rsid w:val="00B51EB9"/>
    <w:rsid w:val="00B51FFE"/>
    <w:rsid w:val="00B53B85"/>
    <w:rsid w:val="00B53D75"/>
    <w:rsid w:val="00B54412"/>
    <w:rsid w:val="00B5516D"/>
    <w:rsid w:val="00B556C3"/>
    <w:rsid w:val="00B5592C"/>
    <w:rsid w:val="00B55BBD"/>
    <w:rsid w:val="00B55F42"/>
    <w:rsid w:val="00B6166C"/>
    <w:rsid w:val="00B61BE7"/>
    <w:rsid w:val="00B62BA2"/>
    <w:rsid w:val="00B62EC3"/>
    <w:rsid w:val="00B6324B"/>
    <w:rsid w:val="00B6346B"/>
    <w:rsid w:val="00B63D08"/>
    <w:rsid w:val="00B65219"/>
    <w:rsid w:val="00B6597B"/>
    <w:rsid w:val="00B65A2C"/>
    <w:rsid w:val="00B67826"/>
    <w:rsid w:val="00B70862"/>
    <w:rsid w:val="00B70A87"/>
    <w:rsid w:val="00B70B38"/>
    <w:rsid w:val="00B715A6"/>
    <w:rsid w:val="00B719BC"/>
    <w:rsid w:val="00B71ABF"/>
    <w:rsid w:val="00B71E6E"/>
    <w:rsid w:val="00B72229"/>
    <w:rsid w:val="00B73398"/>
    <w:rsid w:val="00B7375B"/>
    <w:rsid w:val="00B73CA7"/>
    <w:rsid w:val="00B74602"/>
    <w:rsid w:val="00B7509A"/>
    <w:rsid w:val="00B75156"/>
    <w:rsid w:val="00B77BAB"/>
    <w:rsid w:val="00B80438"/>
    <w:rsid w:val="00B80532"/>
    <w:rsid w:val="00B807B1"/>
    <w:rsid w:val="00B80A91"/>
    <w:rsid w:val="00B832A3"/>
    <w:rsid w:val="00B837C4"/>
    <w:rsid w:val="00B84251"/>
    <w:rsid w:val="00B849ED"/>
    <w:rsid w:val="00B84DB0"/>
    <w:rsid w:val="00B85CA6"/>
    <w:rsid w:val="00B85E91"/>
    <w:rsid w:val="00B85F40"/>
    <w:rsid w:val="00B878FA"/>
    <w:rsid w:val="00B87C2B"/>
    <w:rsid w:val="00B90328"/>
    <w:rsid w:val="00B91C95"/>
    <w:rsid w:val="00B92893"/>
    <w:rsid w:val="00B92972"/>
    <w:rsid w:val="00B92CB9"/>
    <w:rsid w:val="00B930BD"/>
    <w:rsid w:val="00B96177"/>
    <w:rsid w:val="00B96EE9"/>
    <w:rsid w:val="00B975AB"/>
    <w:rsid w:val="00BA01FE"/>
    <w:rsid w:val="00BA02E6"/>
    <w:rsid w:val="00BA16D7"/>
    <w:rsid w:val="00BA1C9A"/>
    <w:rsid w:val="00BA32CB"/>
    <w:rsid w:val="00BA3706"/>
    <w:rsid w:val="00BA55EB"/>
    <w:rsid w:val="00BA5661"/>
    <w:rsid w:val="00BA5ED7"/>
    <w:rsid w:val="00BA65EF"/>
    <w:rsid w:val="00BA6CFE"/>
    <w:rsid w:val="00BA786C"/>
    <w:rsid w:val="00BA7F06"/>
    <w:rsid w:val="00BB02EB"/>
    <w:rsid w:val="00BB0D96"/>
    <w:rsid w:val="00BB1CF8"/>
    <w:rsid w:val="00BB23FC"/>
    <w:rsid w:val="00BB29BF"/>
    <w:rsid w:val="00BB3038"/>
    <w:rsid w:val="00BB3059"/>
    <w:rsid w:val="00BB3C93"/>
    <w:rsid w:val="00BB5CEE"/>
    <w:rsid w:val="00BB66E2"/>
    <w:rsid w:val="00BB6BEC"/>
    <w:rsid w:val="00BB7DF6"/>
    <w:rsid w:val="00BC06FA"/>
    <w:rsid w:val="00BC08CA"/>
    <w:rsid w:val="00BC0AE3"/>
    <w:rsid w:val="00BC21FD"/>
    <w:rsid w:val="00BC2AA2"/>
    <w:rsid w:val="00BC3839"/>
    <w:rsid w:val="00BC3A68"/>
    <w:rsid w:val="00BC44D8"/>
    <w:rsid w:val="00BC4FD6"/>
    <w:rsid w:val="00BC64E4"/>
    <w:rsid w:val="00BC7F60"/>
    <w:rsid w:val="00BD1169"/>
    <w:rsid w:val="00BD2AAA"/>
    <w:rsid w:val="00BD37AF"/>
    <w:rsid w:val="00BD46FB"/>
    <w:rsid w:val="00BD4CB4"/>
    <w:rsid w:val="00BD5D83"/>
    <w:rsid w:val="00BD627B"/>
    <w:rsid w:val="00BD6C1E"/>
    <w:rsid w:val="00BE0217"/>
    <w:rsid w:val="00BE2625"/>
    <w:rsid w:val="00BE2D30"/>
    <w:rsid w:val="00BE2E34"/>
    <w:rsid w:val="00BE353C"/>
    <w:rsid w:val="00BE50EF"/>
    <w:rsid w:val="00BE6808"/>
    <w:rsid w:val="00BE744C"/>
    <w:rsid w:val="00BF0C09"/>
    <w:rsid w:val="00BF12EA"/>
    <w:rsid w:val="00BF3076"/>
    <w:rsid w:val="00BF3D5C"/>
    <w:rsid w:val="00BF4293"/>
    <w:rsid w:val="00BF49FD"/>
    <w:rsid w:val="00BF53E8"/>
    <w:rsid w:val="00BF548B"/>
    <w:rsid w:val="00BF5FD3"/>
    <w:rsid w:val="00BF682F"/>
    <w:rsid w:val="00BF6DB4"/>
    <w:rsid w:val="00BF7455"/>
    <w:rsid w:val="00BF772D"/>
    <w:rsid w:val="00BF7CA5"/>
    <w:rsid w:val="00C00977"/>
    <w:rsid w:val="00C02DDA"/>
    <w:rsid w:val="00C0352B"/>
    <w:rsid w:val="00C03792"/>
    <w:rsid w:val="00C03B21"/>
    <w:rsid w:val="00C042D9"/>
    <w:rsid w:val="00C04D23"/>
    <w:rsid w:val="00C06BB4"/>
    <w:rsid w:val="00C07278"/>
    <w:rsid w:val="00C078A2"/>
    <w:rsid w:val="00C11EBA"/>
    <w:rsid w:val="00C12E37"/>
    <w:rsid w:val="00C13A43"/>
    <w:rsid w:val="00C14C90"/>
    <w:rsid w:val="00C160B0"/>
    <w:rsid w:val="00C1731C"/>
    <w:rsid w:val="00C17C15"/>
    <w:rsid w:val="00C21ED7"/>
    <w:rsid w:val="00C238D9"/>
    <w:rsid w:val="00C23E98"/>
    <w:rsid w:val="00C26EBB"/>
    <w:rsid w:val="00C317F9"/>
    <w:rsid w:val="00C32920"/>
    <w:rsid w:val="00C3346C"/>
    <w:rsid w:val="00C34891"/>
    <w:rsid w:val="00C35A03"/>
    <w:rsid w:val="00C36215"/>
    <w:rsid w:val="00C37573"/>
    <w:rsid w:val="00C41084"/>
    <w:rsid w:val="00C41DDD"/>
    <w:rsid w:val="00C422CA"/>
    <w:rsid w:val="00C434AF"/>
    <w:rsid w:val="00C4367E"/>
    <w:rsid w:val="00C43EAB"/>
    <w:rsid w:val="00C43FF5"/>
    <w:rsid w:val="00C4467B"/>
    <w:rsid w:val="00C45173"/>
    <w:rsid w:val="00C46283"/>
    <w:rsid w:val="00C46579"/>
    <w:rsid w:val="00C46A77"/>
    <w:rsid w:val="00C47B76"/>
    <w:rsid w:val="00C50BCA"/>
    <w:rsid w:val="00C50EE4"/>
    <w:rsid w:val="00C520E2"/>
    <w:rsid w:val="00C52CC5"/>
    <w:rsid w:val="00C52F99"/>
    <w:rsid w:val="00C53666"/>
    <w:rsid w:val="00C5459A"/>
    <w:rsid w:val="00C546A5"/>
    <w:rsid w:val="00C54E8B"/>
    <w:rsid w:val="00C54FC6"/>
    <w:rsid w:val="00C552F1"/>
    <w:rsid w:val="00C55FC8"/>
    <w:rsid w:val="00C567B2"/>
    <w:rsid w:val="00C573A7"/>
    <w:rsid w:val="00C57C0A"/>
    <w:rsid w:val="00C60778"/>
    <w:rsid w:val="00C60E29"/>
    <w:rsid w:val="00C61081"/>
    <w:rsid w:val="00C62DD6"/>
    <w:rsid w:val="00C63076"/>
    <w:rsid w:val="00C63085"/>
    <w:rsid w:val="00C631A0"/>
    <w:rsid w:val="00C641B6"/>
    <w:rsid w:val="00C64EB1"/>
    <w:rsid w:val="00C6532C"/>
    <w:rsid w:val="00C66D89"/>
    <w:rsid w:val="00C66E4D"/>
    <w:rsid w:val="00C672D6"/>
    <w:rsid w:val="00C6733A"/>
    <w:rsid w:val="00C675CD"/>
    <w:rsid w:val="00C708D6"/>
    <w:rsid w:val="00C70F2D"/>
    <w:rsid w:val="00C71EE1"/>
    <w:rsid w:val="00C738DD"/>
    <w:rsid w:val="00C74196"/>
    <w:rsid w:val="00C756F9"/>
    <w:rsid w:val="00C75873"/>
    <w:rsid w:val="00C76065"/>
    <w:rsid w:val="00C76098"/>
    <w:rsid w:val="00C76105"/>
    <w:rsid w:val="00C765ED"/>
    <w:rsid w:val="00C80520"/>
    <w:rsid w:val="00C81178"/>
    <w:rsid w:val="00C8188C"/>
    <w:rsid w:val="00C822FE"/>
    <w:rsid w:val="00C82B10"/>
    <w:rsid w:val="00C82BF3"/>
    <w:rsid w:val="00C8387D"/>
    <w:rsid w:val="00C84F67"/>
    <w:rsid w:val="00C85083"/>
    <w:rsid w:val="00C850C0"/>
    <w:rsid w:val="00C852D6"/>
    <w:rsid w:val="00C8553F"/>
    <w:rsid w:val="00C85C32"/>
    <w:rsid w:val="00C86267"/>
    <w:rsid w:val="00C9199D"/>
    <w:rsid w:val="00C91AFA"/>
    <w:rsid w:val="00C92001"/>
    <w:rsid w:val="00C92542"/>
    <w:rsid w:val="00C92B10"/>
    <w:rsid w:val="00C92D23"/>
    <w:rsid w:val="00C92FDB"/>
    <w:rsid w:val="00C94961"/>
    <w:rsid w:val="00C95968"/>
    <w:rsid w:val="00C96207"/>
    <w:rsid w:val="00C96417"/>
    <w:rsid w:val="00C966D5"/>
    <w:rsid w:val="00C96C90"/>
    <w:rsid w:val="00C97774"/>
    <w:rsid w:val="00C97800"/>
    <w:rsid w:val="00CA0079"/>
    <w:rsid w:val="00CA0568"/>
    <w:rsid w:val="00CA090C"/>
    <w:rsid w:val="00CA0C6D"/>
    <w:rsid w:val="00CA1AB7"/>
    <w:rsid w:val="00CA1B2D"/>
    <w:rsid w:val="00CA2639"/>
    <w:rsid w:val="00CA6DAD"/>
    <w:rsid w:val="00CA72B3"/>
    <w:rsid w:val="00CB0096"/>
    <w:rsid w:val="00CB0580"/>
    <w:rsid w:val="00CB05B7"/>
    <w:rsid w:val="00CB1065"/>
    <w:rsid w:val="00CB1CAB"/>
    <w:rsid w:val="00CB3949"/>
    <w:rsid w:val="00CB41AE"/>
    <w:rsid w:val="00CB452F"/>
    <w:rsid w:val="00CB4854"/>
    <w:rsid w:val="00CB4D1D"/>
    <w:rsid w:val="00CB4EA8"/>
    <w:rsid w:val="00CB4F31"/>
    <w:rsid w:val="00CB607C"/>
    <w:rsid w:val="00CB7526"/>
    <w:rsid w:val="00CB7DC2"/>
    <w:rsid w:val="00CC0446"/>
    <w:rsid w:val="00CC0617"/>
    <w:rsid w:val="00CC07E4"/>
    <w:rsid w:val="00CC2C8F"/>
    <w:rsid w:val="00CC38DC"/>
    <w:rsid w:val="00CC3DFD"/>
    <w:rsid w:val="00CC673F"/>
    <w:rsid w:val="00CC6AB4"/>
    <w:rsid w:val="00CC6D58"/>
    <w:rsid w:val="00CC6F33"/>
    <w:rsid w:val="00CC724B"/>
    <w:rsid w:val="00CC7563"/>
    <w:rsid w:val="00CC7968"/>
    <w:rsid w:val="00CD01F4"/>
    <w:rsid w:val="00CD0502"/>
    <w:rsid w:val="00CD050B"/>
    <w:rsid w:val="00CD1A70"/>
    <w:rsid w:val="00CD2B5A"/>
    <w:rsid w:val="00CD3BBC"/>
    <w:rsid w:val="00CD432E"/>
    <w:rsid w:val="00CD453A"/>
    <w:rsid w:val="00CD590D"/>
    <w:rsid w:val="00CD6B27"/>
    <w:rsid w:val="00CD753F"/>
    <w:rsid w:val="00CE00A5"/>
    <w:rsid w:val="00CE056B"/>
    <w:rsid w:val="00CE0AB7"/>
    <w:rsid w:val="00CE2795"/>
    <w:rsid w:val="00CE3A4F"/>
    <w:rsid w:val="00CE3B19"/>
    <w:rsid w:val="00CE3D13"/>
    <w:rsid w:val="00CE3D17"/>
    <w:rsid w:val="00CE635E"/>
    <w:rsid w:val="00CE7338"/>
    <w:rsid w:val="00CE78E9"/>
    <w:rsid w:val="00CF11A9"/>
    <w:rsid w:val="00CF16EC"/>
    <w:rsid w:val="00CF2344"/>
    <w:rsid w:val="00CF2AE8"/>
    <w:rsid w:val="00CF2F00"/>
    <w:rsid w:val="00CF466C"/>
    <w:rsid w:val="00CF4C40"/>
    <w:rsid w:val="00CF5417"/>
    <w:rsid w:val="00CF6476"/>
    <w:rsid w:val="00CF6679"/>
    <w:rsid w:val="00CF6E65"/>
    <w:rsid w:val="00CF73C2"/>
    <w:rsid w:val="00D0013D"/>
    <w:rsid w:val="00D00E6D"/>
    <w:rsid w:val="00D04B99"/>
    <w:rsid w:val="00D04C96"/>
    <w:rsid w:val="00D050E1"/>
    <w:rsid w:val="00D07235"/>
    <w:rsid w:val="00D07CFE"/>
    <w:rsid w:val="00D1234E"/>
    <w:rsid w:val="00D1349A"/>
    <w:rsid w:val="00D137AE"/>
    <w:rsid w:val="00D14AD6"/>
    <w:rsid w:val="00D14AE9"/>
    <w:rsid w:val="00D15447"/>
    <w:rsid w:val="00D15E44"/>
    <w:rsid w:val="00D17857"/>
    <w:rsid w:val="00D178A8"/>
    <w:rsid w:val="00D2043D"/>
    <w:rsid w:val="00D21F1D"/>
    <w:rsid w:val="00D21F8D"/>
    <w:rsid w:val="00D2239A"/>
    <w:rsid w:val="00D22BDC"/>
    <w:rsid w:val="00D23723"/>
    <w:rsid w:val="00D30BA5"/>
    <w:rsid w:val="00D312A2"/>
    <w:rsid w:val="00D31395"/>
    <w:rsid w:val="00D346EC"/>
    <w:rsid w:val="00D34B35"/>
    <w:rsid w:val="00D403B5"/>
    <w:rsid w:val="00D4083C"/>
    <w:rsid w:val="00D408AB"/>
    <w:rsid w:val="00D409DB"/>
    <w:rsid w:val="00D40C23"/>
    <w:rsid w:val="00D412B8"/>
    <w:rsid w:val="00D42C7D"/>
    <w:rsid w:val="00D42DF3"/>
    <w:rsid w:val="00D4329B"/>
    <w:rsid w:val="00D44339"/>
    <w:rsid w:val="00D443CF"/>
    <w:rsid w:val="00D443DB"/>
    <w:rsid w:val="00D443EA"/>
    <w:rsid w:val="00D44500"/>
    <w:rsid w:val="00D449A4"/>
    <w:rsid w:val="00D45BC4"/>
    <w:rsid w:val="00D46A2A"/>
    <w:rsid w:val="00D47FB9"/>
    <w:rsid w:val="00D50331"/>
    <w:rsid w:val="00D51181"/>
    <w:rsid w:val="00D51574"/>
    <w:rsid w:val="00D53A0E"/>
    <w:rsid w:val="00D54EC4"/>
    <w:rsid w:val="00D555E1"/>
    <w:rsid w:val="00D55B6B"/>
    <w:rsid w:val="00D55BA3"/>
    <w:rsid w:val="00D55F2F"/>
    <w:rsid w:val="00D56662"/>
    <w:rsid w:val="00D56ECE"/>
    <w:rsid w:val="00D579EB"/>
    <w:rsid w:val="00D57AFF"/>
    <w:rsid w:val="00D60767"/>
    <w:rsid w:val="00D608F0"/>
    <w:rsid w:val="00D61336"/>
    <w:rsid w:val="00D61F69"/>
    <w:rsid w:val="00D631BF"/>
    <w:rsid w:val="00D63BA6"/>
    <w:rsid w:val="00D64490"/>
    <w:rsid w:val="00D64D6E"/>
    <w:rsid w:val="00D65977"/>
    <w:rsid w:val="00D65C30"/>
    <w:rsid w:val="00D6711A"/>
    <w:rsid w:val="00D672D0"/>
    <w:rsid w:val="00D6791D"/>
    <w:rsid w:val="00D707BA"/>
    <w:rsid w:val="00D70A60"/>
    <w:rsid w:val="00D70A67"/>
    <w:rsid w:val="00D71F9E"/>
    <w:rsid w:val="00D72755"/>
    <w:rsid w:val="00D72ABF"/>
    <w:rsid w:val="00D72E45"/>
    <w:rsid w:val="00D7327D"/>
    <w:rsid w:val="00D74D6F"/>
    <w:rsid w:val="00D75782"/>
    <w:rsid w:val="00D76571"/>
    <w:rsid w:val="00D76D3B"/>
    <w:rsid w:val="00D81246"/>
    <w:rsid w:val="00D82849"/>
    <w:rsid w:val="00D82898"/>
    <w:rsid w:val="00D83B62"/>
    <w:rsid w:val="00D84D5C"/>
    <w:rsid w:val="00D85168"/>
    <w:rsid w:val="00D854B5"/>
    <w:rsid w:val="00D86368"/>
    <w:rsid w:val="00D86389"/>
    <w:rsid w:val="00D8697A"/>
    <w:rsid w:val="00D87714"/>
    <w:rsid w:val="00D90792"/>
    <w:rsid w:val="00D911D3"/>
    <w:rsid w:val="00D920CF"/>
    <w:rsid w:val="00D92140"/>
    <w:rsid w:val="00D92185"/>
    <w:rsid w:val="00D932C3"/>
    <w:rsid w:val="00D940AC"/>
    <w:rsid w:val="00D960C7"/>
    <w:rsid w:val="00D96DCA"/>
    <w:rsid w:val="00D970BB"/>
    <w:rsid w:val="00DA1C1B"/>
    <w:rsid w:val="00DA23B3"/>
    <w:rsid w:val="00DA2841"/>
    <w:rsid w:val="00DA291D"/>
    <w:rsid w:val="00DA3441"/>
    <w:rsid w:val="00DA37DA"/>
    <w:rsid w:val="00DA3871"/>
    <w:rsid w:val="00DA3D5A"/>
    <w:rsid w:val="00DA40F3"/>
    <w:rsid w:val="00DA4569"/>
    <w:rsid w:val="00DA61A4"/>
    <w:rsid w:val="00DA7F8E"/>
    <w:rsid w:val="00DB09BF"/>
    <w:rsid w:val="00DB0E2B"/>
    <w:rsid w:val="00DB108B"/>
    <w:rsid w:val="00DB1C57"/>
    <w:rsid w:val="00DB27C0"/>
    <w:rsid w:val="00DB341D"/>
    <w:rsid w:val="00DB4E0C"/>
    <w:rsid w:val="00DB54E0"/>
    <w:rsid w:val="00DB659F"/>
    <w:rsid w:val="00DB6A1A"/>
    <w:rsid w:val="00DB74DF"/>
    <w:rsid w:val="00DC0CCD"/>
    <w:rsid w:val="00DC0DB0"/>
    <w:rsid w:val="00DC1471"/>
    <w:rsid w:val="00DC1490"/>
    <w:rsid w:val="00DC3254"/>
    <w:rsid w:val="00DC42AB"/>
    <w:rsid w:val="00DC48C2"/>
    <w:rsid w:val="00DC4AF2"/>
    <w:rsid w:val="00DC5FEE"/>
    <w:rsid w:val="00DC74BA"/>
    <w:rsid w:val="00DD2D85"/>
    <w:rsid w:val="00DD39C3"/>
    <w:rsid w:val="00DD3CC1"/>
    <w:rsid w:val="00DD45A3"/>
    <w:rsid w:val="00DD49D7"/>
    <w:rsid w:val="00DD5358"/>
    <w:rsid w:val="00DD7975"/>
    <w:rsid w:val="00DD7BB9"/>
    <w:rsid w:val="00DE015F"/>
    <w:rsid w:val="00DE03EB"/>
    <w:rsid w:val="00DE168B"/>
    <w:rsid w:val="00DE20F4"/>
    <w:rsid w:val="00DE2147"/>
    <w:rsid w:val="00DE2738"/>
    <w:rsid w:val="00DE2769"/>
    <w:rsid w:val="00DE3562"/>
    <w:rsid w:val="00DE3E53"/>
    <w:rsid w:val="00DE3FD6"/>
    <w:rsid w:val="00DE44D0"/>
    <w:rsid w:val="00DE54C8"/>
    <w:rsid w:val="00DE572F"/>
    <w:rsid w:val="00DE79D4"/>
    <w:rsid w:val="00DE7BC1"/>
    <w:rsid w:val="00DF0025"/>
    <w:rsid w:val="00DF01FF"/>
    <w:rsid w:val="00DF3628"/>
    <w:rsid w:val="00DF3E1D"/>
    <w:rsid w:val="00DF441D"/>
    <w:rsid w:val="00DF46AF"/>
    <w:rsid w:val="00DF4B57"/>
    <w:rsid w:val="00DF5302"/>
    <w:rsid w:val="00DF7051"/>
    <w:rsid w:val="00DF7251"/>
    <w:rsid w:val="00DF7520"/>
    <w:rsid w:val="00DF7B9D"/>
    <w:rsid w:val="00E009A1"/>
    <w:rsid w:val="00E00AAA"/>
    <w:rsid w:val="00E01282"/>
    <w:rsid w:val="00E0256A"/>
    <w:rsid w:val="00E02F65"/>
    <w:rsid w:val="00E03E19"/>
    <w:rsid w:val="00E04BF1"/>
    <w:rsid w:val="00E0500D"/>
    <w:rsid w:val="00E066DB"/>
    <w:rsid w:val="00E06F88"/>
    <w:rsid w:val="00E06FFC"/>
    <w:rsid w:val="00E07C53"/>
    <w:rsid w:val="00E10BCB"/>
    <w:rsid w:val="00E11116"/>
    <w:rsid w:val="00E11E94"/>
    <w:rsid w:val="00E12315"/>
    <w:rsid w:val="00E1264B"/>
    <w:rsid w:val="00E12DB5"/>
    <w:rsid w:val="00E13DC7"/>
    <w:rsid w:val="00E143C4"/>
    <w:rsid w:val="00E14414"/>
    <w:rsid w:val="00E16A77"/>
    <w:rsid w:val="00E17A8C"/>
    <w:rsid w:val="00E2039E"/>
    <w:rsid w:val="00E20CF1"/>
    <w:rsid w:val="00E212C6"/>
    <w:rsid w:val="00E216EC"/>
    <w:rsid w:val="00E2253E"/>
    <w:rsid w:val="00E22F04"/>
    <w:rsid w:val="00E235C7"/>
    <w:rsid w:val="00E23A00"/>
    <w:rsid w:val="00E2497C"/>
    <w:rsid w:val="00E24CAF"/>
    <w:rsid w:val="00E24FEA"/>
    <w:rsid w:val="00E2601D"/>
    <w:rsid w:val="00E2625E"/>
    <w:rsid w:val="00E2702A"/>
    <w:rsid w:val="00E306E9"/>
    <w:rsid w:val="00E31F15"/>
    <w:rsid w:val="00E33D15"/>
    <w:rsid w:val="00E33F5F"/>
    <w:rsid w:val="00E343BE"/>
    <w:rsid w:val="00E356E7"/>
    <w:rsid w:val="00E35F10"/>
    <w:rsid w:val="00E36DAB"/>
    <w:rsid w:val="00E37C0F"/>
    <w:rsid w:val="00E40592"/>
    <w:rsid w:val="00E41304"/>
    <w:rsid w:val="00E421F2"/>
    <w:rsid w:val="00E42C9C"/>
    <w:rsid w:val="00E43486"/>
    <w:rsid w:val="00E45299"/>
    <w:rsid w:val="00E453D9"/>
    <w:rsid w:val="00E4638F"/>
    <w:rsid w:val="00E47447"/>
    <w:rsid w:val="00E51B0E"/>
    <w:rsid w:val="00E52506"/>
    <w:rsid w:val="00E52702"/>
    <w:rsid w:val="00E5528C"/>
    <w:rsid w:val="00E55C71"/>
    <w:rsid w:val="00E57081"/>
    <w:rsid w:val="00E57245"/>
    <w:rsid w:val="00E579A6"/>
    <w:rsid w:val="00E57B5A"/>
    <w:rsid w:val="00E61EE6"/>
    <w:rsid w:val="00E623DE"/>
    <w:rsid w:val="00E62833"/>
    <w:rsid w:val="00E635F6"/>
    <w:rsid w:val="00E64844"/>
    <w:rsid w:val="00E6548D"/>
    <w:rsid w:val="00E659BF"/>
    <w:rsid w:val="00E65E98"/>
    <w:rsid w:val="00E66241"/>
    <w:rsid w:val="00E66389"/>
    <w:rsid w:val="00E66F27"/>
    <w:rsid w:val="00E70C5B"/>
    <w:rsid w:val="00E70CF4"/>
    <w:rsid w:val="00E71A6E"/>
    <w:rsid w:val="00E71AFC"/>
    <w:rsid w:val="00E71EB5"/>
    <w:rsid w:val="00E733AE"/>
    <w:rsid w:val="00E738A3"/>
    <w:rsid w:val="00E73E01"/>
    <w:rsid w:val="00E75218"/>
    <w:rsid w:val="00E7632B"/>
    <w:rsid w:val="00E7642A"/>
    <w:rsid w:val="00E77374"/>
    <w:rsid w:val="00E80589"/>
    <w:rsid w:val="00E80C31"/>
    <w:rsid w:val="00E80D45"/>
    <w:rsid w:val="00E813A1"/>
    <w:rsid w:val="00E82E7F"/>
    <w:rsid w:val="00E852C0"/>
    <w:rsid w:val="00E855A6"/>
    <w:rsid w:val="00E8762D"/>
    <w:rsid w:val="00E91BD6"/>
    <w:rsid w:val="00E9323C"/>
    <w:rsid w:val="00E93EF5"/>
    <w:rsid w:val="00E957DB"/>
    <w:rsid w:val="00E95AE5"/>
    <w:rsid w:val="00E95C52"/>
    <w:rsid w:val="00E96251"/>
    <w:rsid w:val="00E9661E"/>
    <w:rsid w:val="00E9716E"/>
    <w:rsid w:val="00E97E3A"/>
    <w:rsid w:val="00EA023B"/>
    <w:rsid w:val="00EA2CB8"/>
    <w:rsid w:val="00EA354A"/>
    <w:rsid w:val="00EA3CC0"/>
    <w:rsid w:val="00EA4271"/>
    <w:rsid w:val="00EA4A82"/>
    <w:rsid w:val="00EA4EC7"/>
    <w:rsid w:val="00EA5D93"/>
    <w:rsid w:val="00EA77B0"/>
    <w:rsid w:val="00EB3FAB"/>
    <w:rsid w:val="00EB448C"/>
    <w:rsid w:val="00EB5A43"/>
    <w:rsid w:val="00EB66AD"/>
    <w:rsid w:val="00EB6B67"/>
    <w:rsid w:val="00EB76D0"/>
    <w:rsid w:val="00EC1115"/>
    <w:rsid w:val="00EC11BD"/>
    <w:rsid w:val="00EC152C"/>
    <w:rsid w:val="00EC21D2"/>
    <w:rsid w:val="00EC29EE"/>
    <w:rsid w:val="00EC2D60"/>
    <w:rsid w:val="00EC2F5A"/>
    <w:rsid w:val="00EC4916"/>
    <w:rsid w:val="00EC52CD"/>
    <w:rsid w:val="00EC5331"/>
    <w:rsid w:val="00EC533C"/>
    <w:rsid w:val="00EC649F"/>
    <w:rsid w:val="00EC6F45"/>
    <w:rsid w:val="00EC768D"/>
    <w:rsid w:val="00EC7AB8"/>
    <w:rsid w:val="00ED093E"/>
    <w:rsid w:val="00ED113D"/>
    <w:rsid w:val="00ED120D"/>
    <w:rsid w:val="00ED2A74"/>
    <w:rsid w:val="00ED2C54"/>
    <w:rsid w:val="00ED53C6"/>
    <w:rsid w:val="00ED580F"/>
    <w:rsid w:val="00ED5D83"/>
    <w:rsid w:val="00ED7614"/>
    <w:rsid w:val="00EE004D"/>
    <w:rsid w:val="00EE029A"/>
    <w:rsid w:val="00EE0992"/>
    <w:rsid w:val="00EE0BC7"/>
    <w:rsid w:val="00EE1556"/>
    <w:rsid w:val="00EE1B2F"/>
    <w:rsid w:val="00EE26AE"/>
    <w:rsid w:val="00EE2D75"/>
    <w:rsid w:val="00EE323E"/>
    <w:rsid w:val="00EE34C7"/>
    <w:rsid w:val="00EE4836"/>
    <w:rsid w:val="00EE4A3D"/>
    <w:rsid w:val="00EE4DFE"/>
    <w:rsid w:val="00EE7050"/>
    <w:rsid w:val="00EE75D1"/>
    <w:rsid w:val="00EF0415"/>
    <w:rsid w:val="00EF0F8F"/>
    <w:rsid w:val="00EF231D"/>
    <w:rsid w:val="00EF24FF"/>
    <w:rsid w:val="00EF2CDE"/>
    <w:rsid w:val="00EF395A"/>
    <w:rsid w:val="00EF3FC3"/>
    <w:rsid w:val="00EF4168"/>
    <w:rsid w:val="00EF48C8"/>
    <w:rsid w:val="00EF50FD"/>
    <w:rsid w:val="00EF5664"/>
    <w:rsid w:val="00EF57FD"/>
    <w:rsid w:val="00EF5A90"/>
    <w:rsid w:val="00EF62DC"/>
    <w:rsid w:val="00EF7E1E"/>
    <w:rsid w:val="00F00CFF"/>
    <w:rsid w:val="00F013DC"/>
    <w:rsid w:val="00F01446"/>
    <w:rsid w:val="00F0151E"/>
    <w:rsid w:val="00F0390E"/>
    <w:rsid w:val="00F041D7"/>
    <w:rsid w:val="00F04532"/>
    <w:rsid w:val="00F05BBB"/>
    <w:rsid w:val="00F05CE4"/>
    <w:rsid w:val="00F06718"/>
    <w:rsid w:val="00F0690C"/>
    <w:rsid w:val="00F06ACB"/>
    <w:rsid w:val="00F076AC"/>
    <w:rsid w:val="00F10687"/>
    <w:rsid w:val="00F11B7F"/>
    <w:rsid w:val="00F11D99"/>
    <w:rsid w:val="00F12ADC"/>
    <w:rsid w:val="00F130D4"/>
    <w:rsid w:val="00F15544"/>
    <w:rsid w:val="00F15866"/>
    <w:rsid w:val="00F15EC6"/>
    <w:rsid w:val="00F16429"/>
    <w:rsid w:val="00F16B38"/>
    <w:rsid w:val="00F17BED"/>
    <w:rsid w:val="00F20841"/>
    <w:rsid w:val="00F21D1B"/>
    <w:rsid w:val="00F23E2A"/>
    <w:rsid w:val="00F243B7"/>
    <w:rsid w:val="00F3117D"/>
    <w:rsid w:val="00F321A2"/>
    <w:rsid w:val="00F342AD"/>
    <w:rsid w:val="00F3431B"/>
    <w:rsid w:val="00F35194"/>
    <w:rsid w:val="00F359C5"/>
    <w:rsid w:val="00F35F71"/>
    <w:rsid w:val="00F404E3"/>
    <w:rsid w:val="00F40D6F"/>
    <w:rsid w:val="00F41370"/>
    <w:rsid w:val="00F42251"/>
    <w:rsid w:val="00F43927"/>
    <w:rsid w:val="00F4392C"/>
    <w:rsid w:val="00F4433A"/>
    <w:rsid w:val="00F44CCE"/>
    <w:rsid w:val="00F512D1"/>
    <w:rsid w:val="00F512F7"/>
    <w:rsid w:val="00F52680"/>
    <w:rsid w:val="00F52B3A"/>
    <w:rsid w:val="00F52FA9"/>
    <w:rsid w:val="00F53B3C"/>
    <w:rsid w:val="00F572ED"/>
    <w:rsid w:val="00F60AA1"/>
    <w:rsid w:val="00F61BC8"/>
    <w:rsid w:val="00F62258"/>
    <w:rsid w:val="00F62435"/>
    <w:rsid w:val="00F62B4F"/>
    <w:rsid w:val="00F65304"/>
    <w:rsid w:val="00F658FC"/>
    <w:rsid w:val="00F66097"/>
    <w:rsid w:val="00F66AF6"/>
    <w:rsid w:val="00F66E20"/>
    <w:rsid w:val="00F66EFA"/>
    <w:rsid w:val="00F66F1D"/>
    <w:rsid w:val="00F66FBE"/>
    <w:rsid w:val="00F6740E"/>
    <w:rsid w:val="00F67CB5"/>
    <w:rsid w:val="00F71D53"/>
    <w:rsid w:val="00F7291B"/>
    <w:rsid w:val="00F73F50"/>
    <w:rsid w:val="00F73F86"/>
    <w:rsid w:val="00F74CB1"/>
    <w:rsid w:val="00F74FC5"/>
    <w:rsid w:val="00F7541B"/>
    <w:rsid w:val="00F7553B"/>
    <w:rsid w:val="00F7574C"/>
    <w:rsid w:val="00F75D67"/>
    <w:rsid w:val="00F763E8"/>
    <w:rsid w:val="00F76585"/>
    <w:rsid w:val="00F7697B"/>
    <w:rsid w:val="00F77868"/>
    <w:rsid w:val="00F77962"/>
    <w:rsid w:val="00F77C43"/>
    <w:rsid w:val="00F80A14"/>
    <w:rsid w:val="00F80B52"/>
    <w:rsid w:val="00F81D2E"/>
    <w:rsid w:val="00F82070"/>
    <w:rsid w:val="00F82E46"/>
    <w:rsid w:val="00F84474"/>
    <w:rsid w:val="00F849F2"/>
    <w:rsid w:val="00F84D6B"/>
    <w:rsid w:val="00F862C3"/>
    <w:rsid w:val="00F86339"/>
    <w:rsid w:val="00F8659E"/>
    <w:rsid w:val="00F86910"/>
    <w:rsid w:val="00F87959"/>
    <w:rsid w:val="00F87A87"/>
    <w:rsid w:val="00F87DB9"/>
    <w:rsid w:val="00F90051"/>
    <w:rsid w:val="00F904CF"/>
    <w:rsid w:val="00F90570"/>
    <w:rsid w:val="00F907FF"/>
    <w:rsid w:val="00F915ED"/>
    <w:rsid w:val="00F919A3"/>
    <w:rsid w:val="00F91CBF"/>
    <w:rsid w:val="00F92ABE"/>
    <w:rsid w:val="00F93534"/>
    <w:rsid w:val="00F942BE"/>
    <w:rsid w:val="00F95E73"/>
    <w:rsid w:val="00F96246"/>
    <w:rsid w:val="00F97349"/>
    <w:rsid w:val="00FA0242"/>
    <w:rsid w:val="00FA08F2"/>
    <w:rsid w:val="00FA10E3"/>
    <w:rsid w:val="00FA2896"/>
    <w:rsid w:val="00FA3C40"/>
    <w:rsid w:val="00FA421E"/>
    <w:rsid w:val="00FA47E5"/>
    <w:rsid w:val="00FA5E74"/>
    <w:rsid w:val="00FA7AC1"/>
    <w:rsid w:val="00FB1035"/>
    <w:rsid w:val="00FB1498"/>
    <w:rsid w:val="00FB14C5"/>
    <w:rsid w:val="00FB196C"/>
    <w:rsid w:val="00FB1C3A"/>
    <w:rsid w:val="00FB2001"/>
    <w:rsid w:val="00FB253A"/>
    <w:rsid w:val="00FB254B"/>
    <w:rsid w:val="00FB2EDE"/>
    <w:rsid w:val="00FB4DF5"/>
    <w:rsid w:val="00FB5337"/>
    <w:rsid w:val="00FB536B"/>
    <w:rsid w:val="00FB5627"/>
    <w:rsid w:val="00FB6DF7"/>
    <w:rsid w:val="00FC1166"/>
    <w:rsid w:val="00FC37E4"/>
    <w:rsid w:val="00FC6CBB"/>
    <w:rsid w:val="00FD0C50"/>
    <w:rsid w:val="00FD1EA8"/>
    <w:rsid w:val="00FD27A1"/>
    <w:rsid w:val="00FD3B47"/>
    <w:rsid w:val="00FD3F1A"/>
    <w:rsid w:val="00FD474A"/>
    <w:rsid w:val="00FD4D8F"/>
    <w:rsid w:val="00FD59F3"/>
    <w:rsid w:val="00FD6296"/>
    <w:rsid w:val="00FD67A4"/>
    <w:rsid w:val="00FD6F7F"/>
    <w:rsid w:val="00FD7E04"/>
    <w:rsid w:val="00FE0092"/>
    <w:rsid w:val="00FE16DA"/>
    <w:rsid w:val="00FE26BE"/>
    <w:rsid w:val="00FE2DEF"/>
    <w:rsid w:val="00FE3584"/>
    <w:rsid w:val="00FE45BF"/>
    <w:rsid w:val="00FE74BE"/>
    <w:rsid w:val="00FE7FBA"/>
    <w:rsid w:val="00FF0BCB"/>
    <w:rsid w:val="00FF0E8D"/>
    <w:rsid w:val="00FF27F3"/>
    <w:rsid w:val="00FF39D2"/>
    <w:rsid w:val="00FF43B5"/>
    <w:rsid w:val="00FF47BD"/>
    <w:rsid w:val="00FF4B48"/>
    <w:rsid w:val="00FF65F2"/>
    <w:rsid w:val="00FF65F7"/>
    <w:rsid w:val="00FF6D8A"/>
    <w:rsid w:val="00FF72C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31C29"/>
  <w15:docId w15:val="{D218B395-2234-43BB-A490-23450EA4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F8"/>
    <w:pPr>
      <w:spacing w:after="0" w:line="240" w:lineRule="auto"/>
      <w:ind w:left="425"/>
      <w:jc w:val="both"/>
    </w:pPr>
    <w:rPr>
      <w:rFonts w:ascii="Calibri" w:eastAsia="Calibri" w:hAnsi="Calibri" w:cs="Times New Roman"/>
    </w:rPr>
  </w:style>
  <w:style w:type="paragraph" w:styleId="Heading1">
    <w:name w:val="heading 1"/>
    <w:basedOn w:val="Normal"/>
    <w:next w:val="Normal"/>
    <w:link w:val="Heading1Char"/>
    <w:qFormat/>
    <w:rsid w:val="003523F8"/>
    <w:pPr>
      <w:keepNext/>
      <w:keepLines/>
      <w:spacing w:before="480"/>
      <w:ind w:left="0"/>
      <w:jc w:val="left"/>
      <w:outlineLvl w:val="0"/>
    </w:pPr>
    <w:rPr>
      <w:rFonts w:ascii="Cambria" w:eastAsia="Times New Roman" w:hAnsi="Cambria"/>
      <w:b/>
      <w:bCs/>
      <w:color w:val="365F91"/>
      <w:sz w:val="28"/>
      <w:szCs w:val="28"/>
      <w:lang w:eastAsia="lv-LV"/>
    </w:rPr>
  </w:style>
  <w:style w:type="paragraph" w:styleId="Heading2">
    <w:name w:val="heading 2"/>
    <w:basedOn w:val="Normal"/>
    <w:next w:val="Normal"/>
    <w:link w:val="Heading2Char"/>
    <w:autoRedefine/>
    <w:uiPriority w:val="9"/>
    <w:unhideWhenUsed/>
    <w:qFormat/>
    <w:rsid w:val="003523F8"/>
    <w:pPr>
      <w:keepNext/>
      <w:keepLines/>
      <w:numPr>
        <w:numId w:val="2"/>
      </w:numPr>
      <w:tabs>
        <w:tab w:val="left" w:pos="1985"/>
      </w:tabs>
      <w:spacing w:before="200"/>
      <w:outlineLvl w:val="1"/>
    </w:pPr>
    <w:rPr>
      <w:rFonts w:ascii="Times New Roman" w:eastAsia="Times New Roman" w:hAnsi="Times New Roman"/>
      <w:b/>
      <w:bCs/>
      <w:sz w:val="24"/>
      <w:szCs w:val="24"/>
      <w:lang w:eastAsia="lv-LV"/>
    </w:rPr>
  </w:style>
  <w:style w:type="paragraph" w:styleId="Heading3">
    <w:name w:val="heading 3"/>
    <w:basedOn w:val="Normal"/>
    <w:next w:val="Normal"/>
    <w:link w:val="Heading3Char"/>
    <w:uiPriority w:val="9"/>
    <w:unhideWhenUsed/>
    <w:qFormat/>
    <w:rsid w:val="003523F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3F8"/>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uiPriority w:val="9"/>
    <w:rsid w:val="003523F8"/>
    <w:rPr>
      <w:rFonts w:ascii="Times New Roman" w:eastAsia="Times New Roman" w:hAnsi="Times New Roman" w:cs="Times New Roman"/>
      <w:b/>
      <w:bCs/>
      <w:sz w:val="24"/>
      <w:szCs w:val="24"/>
      <w:lang w:eastAsia="lv-LV"/>
    </w:rPr>
  </w:style>
  <w:style w:type="character" w:customStyle="1" w:styleId="Heading3Char">
    <w:name w:val="Heading 3 Char"/>
    <w:basedOn w:val="DefaultParagraphFont"/>
    <w:link w:val="Heading3"/>
    <w:uiPriority w:val="9"/>
    <w:rsid w:val="003523F8"/>
    <w:rPr>
      <w:rFonts w:ascii="Calibri Light" w:eastAsia="Times New Roman" w:hAnsi="Calibri Light" w:cs="Times New Roman"/>
      <w:b/>
      <w:bCs/>
      <w:sz w:val="26"/>
      <w:szCs w:val="26"/>
    </w:rPr>
  </w:style>
  <w:style w:type="paragraph" w:styleId="BalloonText">
    <w:name w:val="Balloon Text"/>
    <w:basedOn w:val="Normal"/>
    <w:link w:val="BalloonTextChar"/>
    <w:uiPriority w:val="99"/>
    <w:semiHidden/>
    <w:unhideWhenUsed/>
    <w:rsid w:val="003523F8"/>
    <w:rPr>
      <w:rFonts w:ascii="Tahoma" w:hAnsi="Tahoma" w:cs="Tahoma"/>
      <w:sz w:val="16"/>
      <w:szCs w:val="16"/>
    </w:rPr>
  </w:style>
  <w:style w:type="character" w:customStyle="1" w:styleId="BalloonTextChar">
    <w:name w:val="Balloon Text Char"/>
    <w:basedOn w:val="DefaultParagraphFont"/>
    <w:link w:val="BalloonText"/>
    <w:uiPriority w:val="99"/>
    <w:semiHidden/>
    <w:rsid w:val="003523F8"/>
    <w:rPr>
      <w:rFonts w:ascii="Tahoma" w:eastAsia="Calibri" w:hAnsi="Tahoma" w:cs="Tahoma"/>
      <w:sz w:val="16"/>
      <w:szCs w:val="16"/>
    </w:rPr>
  </w:style>
  <w:style w:type="character" w:styleId="Hyperlink">
    <w:name w:val="Hyperlink"/>
    <w:uiPriority w:val="99"/>
    <w:unhideWhenUsed/>
    <w:rsid w:val="003523F8"/>
    <w:rPr>
      <w:color w:val="0000FF"/>
      <w:u w:val="single"/>
    </w:rPr>
  </w:style>
  <w:style w:type="character" w:styleId="FollowedHyperlink">
    <w:name w:val="FollowedHyperlink"/>
    <w:uiPriority w:val="99"/>
    <w:semiHidden/>
    <w:unhideWhenUsed/>
    <w:rsid w:val="003523F8"/>
    <w:rPr>
      <w:color w:val="800080"/>
      <w:u w:val="single"/>
    </w:rPr>
  </w:style>
  <w:style w:type="paragraph" w:styleId="NormalWeb">
    <w:name w:val="Normal (Web)"/>
    <w:basedOn w:val="Normal"/>
    <w:uiPriority w:val="99"/>
    <w:rsid w:val="003523F8"/>
    <w:pPr>
      <w:spacing w:before="100" w:beforeAutospacing="1" w:after="100" w:afterAutospacing="1"/>
      <w:ind w:left="0"/>
      <w:jc w:val="left"/>
    </w:pPr>
    <w:rPr>
      <w:rFonts w:ascii="Times New Roman" w:eastAsia="Times New Roman" w:hAnsi="Times New Roman"/>
      <w:sz w:val="24"/>
      <w:szCs w:val="24"/>
      <w:lang w:eastAsia="lv-LV"/>
    </w:rPr>
  </w:style>
  <w:style w:type="character" w:customStyle="1" w:styleId="spelle">
    <w:name w:val="spelle"/>
    <w:basedOn w:val="DefaultParagraphFont"/>
    <w:rsid w:val="003523F8"/>
  </w:style>
  <w:style w:type="paragraph" w:styleId="Header">
    <w:name w:val="header"/>
    <w:basedOn w:val="Normal"/>
    <w:link w:val="HeaderChar"/>
    <w:unhideWhenUsed/>
    <w:rsid w:val="003523F8"/>
    <w:pPr>
      <w:tabs>
        <w:tab w:val="center" w:pos="4320"/>
        <w:tab w:val="right" w:pos="8640"/>
      </w:tabs>
      <w:spacing w:after="200" w:line="276" w:lineRule="auto"/>
      <w:ind w:left="0"/>
      <w:jc w:val="left"/>
    </w:pPr>
    <w:rPr>
      <w:lang w:val="en-US"/>
    </w:rPr>
  </w:style>
  <w:style w:type="character" w:customStyle="1" w:styleId="HeaderChar">
    <w:name w:val="Header Char"/>
    <w:basedOn w:val="DefaultParagraphFont"/>
    <w:link w:val="Header"/>
    <w:rsid w:val="003523F8"/>
    <w:rPr>
      <w:rFonts w:ascii="Calibri" w:eastAsia="Calibri" w:hAnsi="Calibri" w:cs="Times New Roman"/>
      <w:lang w:val="en-US"/>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rsid w:val="003523F8"/>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3523F8"/>
    <w:rPr>
      <w:rFonts w:ascii="Calibri" w:eastAsia="Calibri" w:hAnsi="Calibri"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3523F8"/>
    <w:rPr>
      <w:vertAlign w:val="superscript"/>
    </w:rPr>
  </w:style>
  <w:style w:type="paragraph" w:customStyle="1" w:styleId="Default">
    <w:name w:val="Default"/>
    <w:rsid w:val="003523F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er">
    <w:name w:val="footer"/>
    <w:basedOn w:val="Normal"/>
    <w:link w:val="FooterChar"/>
    <w:uiPriority w:val="99"/>
    <w:unhideWhenUsed/>
    <w:rsid w:val="003523F8"/>
    <w:pPr>
      <w:tabs>
        <w:tab w:val="center" w:pos="4153"/>
        <w:tab w:val="right" w:pos="8306"/>
      </w:tabs>
    </w:pPr>
  </w:style>
  <w:style w:type="character" w:customStyle="1" w:styleId="FooterChar">
    <w:name w:val="Footer Char"/>
    <w:basedOn w:val="DefaultParagraphFont"/>
    <w:link w:val="Footer"/>
    <w:uiPriority w:val="99"/>
    <w:rsid w:val="003523F8"/>
    <w:rPr>
      <w:rFonts w:ascii="Calibri" w:eastAsia="Calibri" w:hAnsi="Calibri" w:cs="Times New Roman"/>
    </w:rPr>
  </w:style>
  <w:style w:type="character" w:customStyle="1" w:styleId="ListParagraphChar">
    <w:name w:val="List Paragraph Char"/>
    <w:aliases w:val="2 Char,Strip Char,H&amp;P List Paragraph Char,Colorful List - Accent 12 Char,Akapit z listą BS Char"/>
    <w:link w:val="ListParagraph"/>
    <w:uiPriority w:val="34"/>
    <w:qFormat/>
    <w:locked/>
    <w:rsid w:val="003523F8"/>
    <w:rPr>
      <w:rFonts w:ascii="Times New Roman" w:eastAsia="Times New Roman" w:hAnsi="Times New Roman"/>
      <w:sz w:val="24"/>
      <w:szCs w:val="24"/>
    </w:rPr>
  </w:style>
  <w:style w:type="paragraph" w:styleId="ListParagraph">
    <w:name w:val="List Paragraph"/>
    <w:aliases w:val="2,Strip,H&amp;P List Paragraph,Colorful List - Accent 12,Akapit z listą BS"/>
    <w:basedOn w:val="Normal"/>
    <w:link w:val="ListParagraphChar"/>
    <w:uiPriority w:val="34"/>
    <w:qFormat/>
    <w:rsid w:val="003523F8"/>
    <w:pPr>
      <w:spacing w:before="60"/>
      <w:ind w:left="720" w:firstLine="709"/>
      <w:contextualSpacing/>
    </w:pPr>
    <w:rPr>
      <w:rFonts w:ascii="Times New Roman" w:eastAsia="Times New Roman" w:hAnsi="Times New Roman" w:cstheme="minorBidi"/>
      <w:sz w:val="24"/>
      <w:szCs w:val="24"/>
    </w:rPr>
  </w:style>
  <w:style w:type="character" w:customStyle="1" w:styleId="apple-converted-space">
    <w:name w:val="apple-converted-space"/>
    <w:rsid w:val="003523F8"/>
  </w:style>
  <w:style w:type="paragraph" w:customStyle="1" w:styleId="tv213">
    <w:name w:val="tv213"/>
    <w:basedOn w:val="Normal"/>
    <w:rsid w:val="003523F8"/>
    <w:pPr>
      <w:spacing w:before="100" w:beforeAutospacing="1" w:after="100" w:afterAutospacing="1"/>
      <w:ind w:left="0"/>
      <w:jc w:val="left"/>
    </w:pPr>
    <w:rPr>
      <w:rFonts w:ascii="Times New Roman" w:eastAsia="Times New Roman" w:hAnsi="Times New Roman"/>
      <w:sz w:val="24"/>
      <w:szCs w:val="24"/>
      <w:lang w:eastAsia="lv-LV"/>
    </w:rPr>
  </w:style>
  <w:style w:type="table" w:styleId="TableGrid">
    <w:name w:val="Table Grid"/>
    <w:basedOn w:val="TableNormal"/>
    <w:uiPriority w:val="39"/>
    <w:rsid w:val="003523F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23F8"/>
    <w:rPr>
      <w:b/>
      <w:bCs/>
    </w:rPr>
  </w:style>
  <w:style w:type="paragraph" w:customStyle="1" w:styleId="Normal1">
    <w:name w:val="Normal1"/>
    <w:uiPriority w:val="99"/>
    <w:rsid w:val="003523F8"/>
    <w:pPr>
      <w:spacing w:after="0" w:line="240" w:lineRule="auto"/>
    </w:pPr>
    <w:rPr>
      <w:rFonts w:ascii="Cambria" w:eastAsia="Cambria" w:hAnsi="Cambria" w:cs="Cambria"/>
      <w:color w:val="000000"/>
      <w:sz w:val="24"/>
      <w:szCs w:val="20"/>
      <w:lang w:eastAsia="lv-LV"/>
    </w:rPr>
  </w:style>
  <w:style w:type="character" w:styleId="Emphasis">
    <w:name w:val="Emphasis"/>
    <w:uiPriority w:val="20"/>
    <w:qFormat/>
    <w:rsid w:val="003523F8"/>
    <w:rPr>
      <w:i/>
      <w:iCs/>
    </w:rPr>
  </w:style>
  <w:style w:type="paragraph" w:styleId="Title">
    <w:name w:val="Title"/>
    <w:basedOn w:val="Normal"/>
    <w:next w:val="Normal"/>
    <w:link w:val="TitleChar"/>
    <w:uiPriority w:val="10"/>
    <w:qFormat/>
    <w:rsid w:val="003523F8"/>
    <w:pPr>
      <w:spacing w:after="360"/>
      <w:ind w:left="0" w:firstLine="567"/>
      <w:contextualSpacing/>
      <w:jc w:val="center"/>
    </w:pPr>
    <w:rPr>
      <w:rFonts w:ascii="Times New Roman" w:eastAsia="Times New Roman" w:hAnsi="Times New Roman"/>
      <w:b/>
      <w:spacing w:val="-10"/>
      <w:kern w:val="28"/>
      <w:sz w:val="28"/>
      <w:szCs w:val="56"/>
      <w:lang w:eastAsia="zh-CN"/>
    </w:rPr>
  </w:style>
  <w:style w:type="character" w:customStyle="1" w:styleId="TitleChar">
    <w:name w:val="Title Char"/>
    <w:basedOn w:val="DefaultParagraphFont"/>
    <w:link w:val="Title"/>
    <w:uiPriority w:val="10"/>
    <w:rsid w:val="003523F8"/>
    <w:rPr>
      <w:rFonts w:ascii="Times New Roman" w:eastAsia="Times New Roman" w:hAnsi="Times New Roman" w:cs="Times New Roman"/>
      <w:b/>
      <w:spacing w:val="-10"/>
      <w:kern w:val="28"/>
      <w:sz w:val="28"/>
      <w:szCs w:val="56"/>
      <w:lang w:eastAsia="zh-CN"/>
    </w:rPr>
  </w:style>
  <w:style w:type="paragraph" w:styleId="NoSpacing">
    <w:name w:val="No Spacing"/>
    <w:uiPriority w:val="1"/>
    <w:qFormat/>
    <w:rsid w:val="00034FC8"/>
    <w:pPr>
      <w:spacing w:after="0" w:line="240" w:lineRule="auto"/>
    </w:pPr>
    <w:rPr>
      <w:rFonts w:ascii="Calibri" w:eastAsia="Times New Roman" w:hAnsi="Calibri" w:cs="Times New Roman"/>
    </w:rPr>
  </w:style>
  <w:style w:type="character" w:customStyle="1" w:styleId="FontStyle26">
    <w:name w:val="Font Style26"/>
    <w:basedOn w:val="DefaultParagraphFont"/>
    <w:uiPriority w:val="99"/>
    <w:rsid w:val="00D672D0"/>
    <w:rPr>
      <w:rFonts w:ascii="Times New Roman" w:hAnsi="Times New Roman" w:cs="Times New Roman"/>
      <w:sz w:val="26"/>
      <w:szCs w:val="26"/>
    </w:rPr>
  </w:style>
  <w:style w:type="paragraph" w:styleId="TOCHeading">
    <w:name w:val="TOC Heading"/>
    <w:basedOn w:val="Heading1"/>
    <w:next w:val="Normal"/>
    <w:uiPriority w:val="39"/>
    <w:unhideWhenUsed/>
    <w:qFormat/>
    <w:rsid w:val="00B65219"/>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B65219"/>
    <w:pPr>
      <w:spacing w:after="100" w:line="276" w:lineRule="auto"/>
      <w:ind w:left="0"/>
      <w:jc w:val="left"/>
    </w:pPr>
    <w:rPr>
      <w:rFonts w:asciiTheme="minorHAnsi" w:eastAsiaTheme="minorEastAsia" w:hAnsiTheme="minorHAnsi" w:cstheme="minorBidi"/>
      <w:lang w:eastAsia="zh-TW"/>
    </w:rPr>
  </w:style>
  <w:style w:type="paragraph" w:styleId="TOC2">
    <w:name w:val="toc 2"/>
    <w:basedOn w:val="Normal"/>
    <w:next w:val="Normal"/>
    <w:autoRedefine/>
    <w:uiPriority w:val="39"/>
    <w:unhideWhenUsed/>
    <w:rsid w:val="00B65219"/>
    <w:pPr>
      <w:spacing w:after="100" w:line="276" w:lineRule="auto"/>
      <w:ind w:left="220"/>
      <w:jc w:val="left"/>
    </w:pPr>
    <w:rPr>
      <w:rFonts w:asciiTheme="minorHAnsi" w:eastAsiaTheme="minorEastAsia" w:hAnsiTheme="minorHAnsi" w:cstheme="minorBidi"/>
      <w:lang w:eastAsia="zh-TW"/>
    </w:rPr>
  </w:style>
  <w:style w:type="paragraph" w:customStyle="1" w:styleId="naisf">
    <w:name w:val="naisf"/>
    <w:basedOn w:val="Normal"/>
    <w:rsid w:val="0096571D"/>
    <w:pPr>
      <w:spacing w:before="75" w:after="75"/>
      <w:ind w:left="0" w:firstLine="375"/>
    </w:pPr>
    <w:rPr>
      <w:rFonts w:ascii="Times New Roman" w:eastAsia="Times New Roman" w:hAnsi="Times New Roman"/>
      <w:sz w:val="24"/>
      <w:szCs w:val="24"/>
      <w:lang w:eastAsia="lv-LV"/>
    </w:rPr>
  </w:style>
  <w:style w:type="paragraph" w:customStyle="1" w:styleId="tv2068792">
    <w:name w:val="tv206_87_92"/>
    <w:basedOn w:val="Normal"/>
    <w:rsid w:val="005A6B1D"/>
    <w:pPr>
      <w:spacing w:before="100" w:beforeAutospacing="1" w:after="100" w:afterAutospacing="1"/>
      <w:ind w:left="0"/>
      <w:jc w:val="left"/>
    </w:pPr>
    <w:rPr>
      <w:rFonts w:ascii="Times New Roman" w:eastAsia="Times New Roman" w:hAnsi="Times New Roman"/>
      <w:sz w:val="24"/>
      <w:szCs w:val="24"/>
      <w:lang w:eastAsia="lv-LV"/>
    </w:rPr>
  </w:style>
  <w:style w:type="paragraph" w:styleId="BodyText">
    <w:name w:val="Body Text"/>
    <w:basedOn w:val="Normal"/>
    <w:link w:val="BodyTextChar"/>
    <w:rsid w:val="00AC18A9"/>
    <w:pPr>
      <w:spacing w:after="120"/>
      <w:ind w:left="0"/>
      <w:jc w:val="center"/>
    </w:pPr>
    <w:rPr>
      <w:rFonts w:ascii="Times New Roman" w:eastAsia="Times New Roman" w:hAnsi="Times New Roman"/>
      <w:b/>
      <w:bCs/>
      <w:noProof/>
      <w:sz w:val="28"/>
      <w:szCs w:val="28"/>
      <w:lang w:val="en-GB"/>
    </w:rPr>
  </w:style>
  <w:style w:type="character" w:customStyle="1" w:styleId="BodyTextChar">
    <w:name w:val="Body Text Char"/>
    <w:basedOn w:val="DefaultParagraphFont"/>
    <w:link w:val="BodyText"/>
    <w:rsid w:val="00AC18A9"/>
    <w:rPr>
      <w:rFonts w:ascii="Times New Roman" w:eastAsia="Times New Roman" w:hAnsi="Times New Roman" w:cs="Times New Roman"/>
      <w:b/>
      <w:bCs/>
      <w:noProof/>
      <w:sz w:val="28"/>
      <w:szCs w:val="28"/>
      <w:lang w:val="en-GB"/>
    </w:rPr>
  </w:style>
  <w:style w:type="paragraph" w:customStyle="1" w:styleId="CharCharCharChar">
    <w:name w:val="Char Char Char Char"/>
    <w:aliases w:val="Char2"/>
    <w:basedOn w:val="Normal"/>
    <w:next w:val="Normal"/>
    <w:link w:val="FootnoteReference"/>
    <w:uiPriority w:val="99"/>
    <w:rsid w:val="005D65EA"/>
    <w:pPr>
      <w:spacing w:after="160" w:line="240" w:lineRule="exact"/>
      <w:ind w:left="0"/>
    </w:pPr>
    <w:rPr>
      <w:rFonts w:asciiTheme="minorHAnsi" w:eastAsiaTheme="minorHAnsi" w:hAnsiTheme="minorHAnsi" w:cstheme="minorBidi"/>
      <w:vertAlign w:val="superscript"/>
    </w:rPr>
  </w:style>
  <w:style w:type="paragraph" w:customStyle="1" w:styleId="bold">
    <w:name w:val="bold"/>
    <w:basedOn w:val="Normal"/>
    <w:rsid w:val="00B04C49"/>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bodytext0">
    <w:name w:val="bodytext"/>
    <w:basedOn w:val="Normal"/>
    <w:rsid w:val="00B04C49"/>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Allmrkus1">
    <w:name w:val="Allmärkus1"/>
    <w:basedOn w:val="Normal"/>
    <w:rsid w:val="009C73F2"/>
    <w:pPr>
      <w:widowControl w:val="0"/>
      <w:shd w:val="clear" w:color="auto" w:fill="FFFFFF"/>
      <w:spacing w:line="188" w:lineRule="exact"/>
      <w:ind w:left="0"/>
    </w:pPr>
    <w:rPr>
      <w:rFonts w:ascii="Arial Narrow" w:eastAsia="Times New Roman" w:hAnsi="Arial Narrow" w:cs="Arial Narrow"/>
      <w:color w:val="000000"/>
      <w:sz w:val="15"/>
      <w:szCs w:val="15"/>
      <w:lang w:val="et-EE" w:eastAsia="et-EE"/>
    </w:rPr>
  </w:style>
  <w:style w:type="paragraph" w:styleId="EndnoteText">
    <w:name w:val="endnote text"/>
    <w:basedOn w:val="Normal"/>
    <w:link w:val="EndnoteTextChar"/>
    <w:uiPriority w:val="99"/>
    <w:semiHidden/>
    <w:unhideWhenUsed/>
    <w:rsid w:val="007C5A61"/>
    <w:rPr>
      <w:sz w:val="20"/>
      <w:szCs w:val="20"/>
    </w:rPr>
  </w:style>
  <w:style w:type="character" w:customStyle="1" w:styleId="EndnoteTextChar">
    <w:name w:val="Endnote Text Char"/>
    <w:basedOn w:val="DefaultParagraphFont"/>
    <w:link w:val="EndnoteText"/>
    <w:uiPriority w:val="99"/>
    <w:semiHidden/>
    <w:rsid w:val="007C5A6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C5A61"/>
    <w:rPr>
      <w:vertAlign w:val="superscript"/>
    </w:rPr>
  </w:style>
  <w:style w:type="paragraph" w:styleId="PlainText">
    <w:name w:val="Plain Text"/>
    <w:basedOn w:val="Normal"/>
    <w:link w:val="PlainTextChar"/>
    <w:uiPriority w:val="99"/>
    <w:semiHidden/>
    <w:unhideWhenUsed/>
    <w:rsid w:val="00792B14"/>
    <w:pPr>
      <w:ind w:left="0"/>
      <w:jc w:val="left"/>
    </w:pPr>
    <w:rPr>
      <w:szCs w:val="21"/>
    </w:rPr>
  </w:style>
  <w:style w:type="character" w:customStyle="1" w:styleId="PlainTextChar">
    <w:name w:val="Plain Text Char"/>
    <w:basedOn w:val="DefaultParagraphFont"/>
    <w:link w:val="PlainText"/>
    <w:uiPriority w:val="99"/>
    <w:semiHidden/>
    <w:rsid w:val="00792B14"/>
    <w:rPr>
      <w:rFonts w:ascii="Calibri" w:eastAsia="Calibri" w:hAnsi="Calibri" w:cs="Times New Roman"/>
      <w:szCs w:val="21"/>
    </w:rPr>
  </w:style>
  <w:style w:type="table" w:customStyle="1" w:styleId="GridTable2-Accent11">
    <w:name w:val="Grid Table 2 - Accent 11"/>
    <w:basedOn w:val="TableNormal"/>
    <w:uiPriority w:val="47"/>
    <w:rsid w:val="0003343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0334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0334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ps">
    <w:name w:val="hps"/>
    <w:basedOn w:val="DefaultParagraphFont"/>
    <w:rsid w:val="00DE20F4"/>
  </w:style>
  <w:style w:type="character" w:styleId="CommentReference">
    <w:name w:val="annotation reference"/>
    <w:basedOn w:val="DefaultParagraphFont"/>
    <w:uiPriority w:val="99"/>
    <w:semiHidden/>
    <w:unhideWhenUsed/>
    <w:rsid w:val="00EF7E1E"/>
    <w:rPr>
      <w:sz w:val="16"/>
      <w:szCs w:val="16"/>
    </w:rPr>
  </w:style>
  <w:style w:type="paragraph" w:styleId="CommentText">
    <w:name w:val="annotation text"/>
    <w:basedOn w:val="Normal"/>
    <w:link w:val="CommentTextChar"/>
    <w:uiPriority w:val="99"/>
    <w:unhideWhenUsed/>
    <w:rsid w:val="00EF7E1E"/>
    <w:rPr>
      <w:sz w:val="20"/>
      <w:szCs w:val="20"/>
    </w:rPr>
  </w:style>
  <w:style w:type="character" w:customStyle="1" w:styleId="CommentTextChar">
    <w:name w:val="Comment Text Char"/>
    <w:basedOn w:val="DefaultParagraphFont"/>
    <w:link w:val="CommentText"/>
    <w:uiPriority w:val="99"/>
    <w:rsid w:val="00EF7E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E1E"/>
    <w:rPr>
      <w:b/>
      <w:bCs/>
    </w:rPr>
  </w:style>
  <w:style w:type="character" w:customStyle="1" w:styleId="CommentSubjectChar">
    <w:name w:val="Comment Subject Char"/>
    <w:basedOn w:val="CommentTextChar"/>
    <w:link w:val="CommentSubject"/>
    <w:uiPriority w:val="99"/>
    <w:semiHidden/>
    <w:rsid w:val="00EF7E1E"/>
    <w:rPr>
      <w:rFonts w:ascii="Calibri" w:eastAsia="Calibri" w:hAnsi="Calibri" w:cs="Times New Roman"/>
      <w:b/>
      <w:bCs/>
      <w:sz w:val="20"/>
      <w:szCs w:val="20"/>
    </w:rPr>
  </w:style>
  <w:style w:type="character" w:styleId="SubtleReference">
    <w:name w:val="Subtle Reference"/>
    <w:basedOn w:val="DefaultParagraphFont"/>
    <w:uiPriority w:val="31"/>
    <w:qFormat/>
    <w:rsid w:val="00812864"/>
    <w:rPr>
      <w:smallCaps/>
      <w:color w:val="5A5A5A" w:themeColor="text1" w:themeTint="A5"/>
    </w:rPr>
  </w:style>
  <w:style w:type="paragraph" w:styleId="Revision">
    <w:name w:val="Revision"/>
    <w:hidden/>
    <w:uiPriority w:val="99"/>
    <w:semiHidden/>
    <w:rsid w:val="00244176"/>
    <w:pPr>
      <w:spacing w:after="0" w:line="240" w:lineRule="auto"/>
    </w:pPr>
    <w:rPr>
      <w:rFonts w:ascii="Calibri" w:eastAsia="Calibri" w:hAnsi="Calibri" w:cs="Times New Roman"/>
    </w:rPr>
  </w:style>
  <w:style w:type="paragraph" w:customStyle="1" w:styleId="EYBulletedList1">
    <w:name w:val="EY Bulleted List 1"/>
    <w:rsid w:val="008E451E"/>
    <w:pPr>
      <w:numPr>
        <w:numId w:val="14"/>
      </w:numPr>
      <w:spacing w:after="0" w:line="240" w:lineRule="auto"/>
    </w:pPr>
    <w:rPr>
      <w:rFonts w:ascii="EYInterstate Light" w:eastAsia="Times New Roman" w:hAnsi="EYInterstate Light" w:cs="Times New Roman"/>
      <w:kern w:val="12"/>
      <w:sz w:val="20"/>
      <w:szCs w:val="24"/>
    </w:rPr>
  </w:style>
  <w:style w:type="paragraph" w:customStyle="1" w:styleId="EYBulletedList2">
    <w:name w:val="EY Bulleted List 2"/>
    <w:rsid w:val="008E451E"/>
    <w:pPr>
      <w:numPr>
        <w:ilvl w:val="1"/>
        <w:numId w:val="14"/>
      </w:numPr>
      <w:spacing w:after="0" w:line="240" w:lineRule="auto"/>
    </w:pPr>
    <w:rPr>
      <w:rFonts w:ascii="EYInterstate Light" w:eastAsia="Times New Roman" w:hAnsi="EYInterstate Light" w:cs="Times New Roman"/>
      <w:kern w:val="12"/>
      <w:sz w:val="20"/>
      <w:szCs w:val="24"/>
    </w:rPr>
  </w:style>
  <w:style w:type="paragraph" w:customStyle="1" w:styleId="EYBulletedList3">
    <w:name w:val="EY Bulleted List 3"/>
    <w:rsid w:val="008E451E"/>
    <w:pPr>
      <w:numPr>
        <w:ilvl w:val="2"/>
        <w:numId w:val="14"/>
      </w:numPr>
      <w:spacing w:after="0" w:line="240" w:lineRule="auto"/>
    </w:pPr>
    <w:rPr>
      <w:rFonts w:ascii="EYInterstate Light" w:eastAsia="Times New Roman" w:hAnsi="EYInterstate Light" w:cs="Times New Roman"/>
      <w:kern w:val="12"/>
      <w:sz w:val="20"/>
      <w:szCs w:val="24"/>
    </w:rPr>
  </w:style>
  <w:style w:type="paragraph" w:styleId="Caption">
    <w:name w:val="caption"/>
    <w:basedOn w:val="Normal"/>
    <w:next w:val="Normal"/>
    <w:uiPriority w:val="35"/>
    <w:unhideWhenUsed/>
    <w:qFormat/>
    <w:rsid w:val="00941DA3"/>
    <w:pPr>
      <w:spacing w:after="200"/>
    </w:pPr>
    <w:rPr>
      <w:i/>
      <w:iCs/>
      <w:color w:val="44546A" w:themeColor="text2"/>
      <w:sz w:val="18"/>
      <w:szCs w:val="18"/>
    </w:rPr>
  </w:style>
  <w:style w:type="character" w:customStyle="1" w:styleId="italic">
    <w:name w:val="italic"/>
    <w:basedOn w:val="DefaultParagraphFont"/>
    <w:rsid w:val="001A3ED4"/>
    <w:rPr>
      <w:i/>
      <w:iCs/>
    </w:rPr>
  </w:style>
  <w:style w:type="paragraph" w:customStyle="1" w:styleId="tv2132">
    <w:name w:val="tv2132"/>
    <w:basedOn w:val="Normal"/>
    <w:rsid w:val="00C00977"/>
    <w:pPr>
      <w:spacing w:line="360" w:lineRule="auto"/>
      <w:ind w:left="0" w:firstLine="300"/>
      <w:jc w:val="left"/>
    </w:pPr>
    <w:rPr>
      <w:rFonts w:ascii="Times New Roman" w:eastAsia="Times New Roman" w:hAnsi="Times New Roman"/>
      <w:color w:val="414142"/>
      <w:sz w:val="20"/>
      <w:szCs w:val="20"/>
      <w:lang w:val="en-US"/>
    </w:rPr>
  </w:style>
  <w:style w:type="paragraph" w:styleId="DocumentMap">
    <w:name w:val="Document Map"/>
    <w:basedOn w:val="Normal"/>
    <w:link w:val="DocumentMapChar"/>
    <w:uiPriority w:val="99"/>
    <w:semiHidden/>
    <w:unhideWhenUsed/>
    <w:rsid w:val="00494117"/>
    <w:rPr>
      <w:rFonts w:ascii="Tahoma" w:hAnsi="Tahoma" w:cs="Tahoma"/>
      <w:sz w:val="16"/>
      <w:szCs w:val="16"/>
    </w:rPr>
  </w:style>
  <w:style w:type="character" w:customStyle="1" w:styleId="DocumentMapChar">
    <w:name w:val="Document Map Char"/>
    <w:basedOn w:val="DefaultParagraphFont"/>
    <w:link w:val="DocumentMap"/>
    <w:uiPriority w:val="99"/>
    <w:semiHidden/>
    <w:rsid w:val="00494117"/>
    <w:rPr>
      <w:rFonts w:ascii="Tahoma" w:eastAsia="Calibri" w:hAnsi="Tahoma" w:cs="Tahoma"/>
      <w:sz w:val="16"/>
      <w:szCs w:val="16"/>
    </w:rPr>
  </w:style>
  <w:style w:type="paragraph" w:customStyle="1" w:styleId="naiskr">
    <w:name w:val="naiskr"/>
    <w:basedOn w:val="Normal"/>
    <w:rsid w:val="00D63BA6"/>
    <w:pPr>
      <w:suppressAutoHyphens/>
      <w:autoSpaceDN w:val="0"/>
      <w:spacing w:before="75" w:after="75"/>
      <w:ind w:left="0"/>
      <w:jc w:val="left"/>
    </w:pPr>
    <w:rPr>
      <w:rFonts w:ascii="Times New Roman" w:eastAsia="Times New Roman" w:hAnsi="Times New Roman"/>
      <w:kern w:val="3"/>
      <w:sz w:val="24"/>
      <w:szCs w:val="24"/>
      <w:lang w:eastAsia="lv-LV"/>
    </w:rPr>
  </w:style>
  <w:style w:type="paragraph" w:customStyle="1" w:styleId="naisc">
    <w:name w:val="naisc"/>
    <w:basedOn w:val="Normal"/>
    <w:rsid w:val="00962FB7"/>
    <w:pPr>
      <w:spacing w:before="75" w:after="75"/>
      <w:ind w:left="0"/>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653">
      <w:bodyDiv w:val="1"/>
      <w:marLeft w:val="0"/>
      <w:marRight w:val="0"/>
      <w:marTop w:val="0"/>
      <w:marBottom w:val="0"/>
      <w:divBdr>
        <w:top w:val="none" w:sz="0" w:space="0" w:color="auto"/>
        <w:left w:val="none" w:sz="0" w:space="0" w:color="auto"/>
        <w:bottom w:val="none" w:sz="0" w:space="0" w:color="auto"/>
        <w:right w:val="none" w:sz="0" w:space="0" w:color="auto"/>
      </w:divBdr>
    </w:div>
    <w:div w:id="16197252">
      <w:bodyDiv w:val="1"/>
      <w:marLeft w:val="0"/>
      <w:marRight w:val="0"/>
      <w:marTop w:val="0"/>
      <w:marBottom w:val="0"/>
      <w:divBdr>
        <w:top w:val="none" w:sz="0" w:space="0" w:color="auto"/>
        <w:left w:val="none" w:sz="0" w:space="0" w:color="auto"/>
        <w:bottom w:val="none" w:sz="0" w:space="0" w:color="auto"/>
        <w:right w:val="none" w:sz="0" w:space="0" w:color="auto"/>
      </w:divBdr>
    </w:div>
    <w:div w:id="18818714">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120"/>
          <w:marBottom w:val="120"/>
          <w:divBdr>
            <w:top w:val="none" w:sz="0" w:space="0" w:color="auto"/>
            <w:left w:val="none" w:sz="0" w:space="0" w:color="auto"/>
            <w:bottom w:val="none" w:sz="0" w:space="0" w:color="auto"/>
            <w:right w:val="none" w:sz="0" w:space="0" w:color="auto"/>
          </w:divBdr>
        </w:div>
      </w:divsChild>
    </w:div>
    <w:div w:id="73820215">
      <w:bodyDiv w:val="1"/>
      <w:marLeft w:val="0"/>
      <w:marRight w:val="0"/>
      <w:marTop w:val="0"/>
      <w:marBottom w:val="0"/>
      <w:divBdr>
        <w:top w:val="none" w:sz="0" w:space="0" w:color="auto"/>
        <w:left w:val="none" w:sz="0" w:space="0" w:color="auto"/>
        <w:bottom w:val="none" w:sz="0" w:space="0" w:color="auto"/>
        <w:right w:val="none" w:sz="0" w:space="0" w:color="auto"/>
      </w:divBdr>
    </w:div>
    <w:div w:id="85806633">
      <w:bodyDiv w:val="1"/>
      <w:marLeft w:val="0"/>
      <w:marRight w:val="0"/>
      <w:marTop w:val="0"/>
      <w:marBottom w:val="0"/>
      <w:divBdr>
        <w:top w:val="none" w:sz="0" w:space="0" w:color="auto"/>
        <w:left w:val="none" w:sz="0" w:space="0" w:color="auto"/>
        <w:bottom w:val="none" w:sz="0" w:space="0" w:color="auto"/>
        <w:right w:val="none" w:sz="0" w:space="0" w:color="auto"/>
      </w:divBdr>
    </w:div>
    <w:div w:id="137694788">
      <w:bodyDiv w:val="1"/>
      <w:marLeft w:val="0"/>
      <w:marRight w:val="0"/>
      <w:marTop w:val="0"/>
      <w:marBottom w:val="0"/>
      <w:divBdr>
        <w:top w:val="none" w:sz="0" w:space="0" w:color="auto"/>
        <w:left w:val="none" w:sz="0" w:space="0" w:color="auto"/>
        <w:bottom w:val="none" w:sz="0" w:space="0" w:color="auto"/>
        <w:right w:val="none" w:sz="0" w:space="0" w:color="auto"/>
      </w:divBdr>
      <w:divsChild>
        <w:div w:id="53704227">
          <w:marLeft w:val="547"/>
          <w:marRight w:val="0"/>
          <w:marTop w:val="0"/>
          <w:marBottom w:val="0"/>
          <w:divBdr>
            <w:top w:val="none" w:sz="0" w:space="0" w:color="auto"/>
            <w:left w:val="none" w:sz="0" w:space="0" w:color="auto"/>
            <w:bottom w:val="none" w:sz="0" w:space="0" w:color="auto"/>
            <w:right w:val="none" w:sz="0" w:space="0" w:color="auto"/>
          </w:divBdr>
        </w:div>
        <w:div w:id="71591744">
          <w:marLeft w:val="547"/>
          <w:marRight w:val="0"/>
          <w:marTop w:val="0"/>
          <w:marBottom w:val="0"/>
          <w:divBdr>
            <w:top w:val="none" w:sz="0" w:space="0" w:color="auto"/>
            <w:left w:val="none" w:sz="0" w:space="0" w:color="auto"/>
            <w:bottom w:val="none" w:sz="0" w:space="0" w:color="auto"/>
            <w:right w:val="none" w:sz="0" w:space="0" w:color="auto"/>
          </w:divBdr>
        </w:div>
        <w:div w:id="181668784">
          <w:marLeft w:val="547"/>
          <w:marRight w:val="0"/>
          <w:marTop w:val="0"/>
          <w:marBottom w:val="0"/>
          <w:divBdr>
            <w:top w:val="none" w:sz="0" w:space="0" w:color="auto"/>
            <w:left w:val="none" w:sz="0" w:space="0" w:color="auto"/>
            <w:bottom w:val="none" w:sz="0" w:space="0" w:color="auto"/>
            <w:right w:val="none" w:sz="0" w:space="0" w:color="auto"/>
          </w:divBdr>
        </w:div>
        <w:div w:id="281109540">
          <w:marLeft w:val="547"/>
          <w:marRight w:val="0"/>
          <w:marTop w:val="0"/>
          <w:marBottom w:val="0"/>
          <w:divBdr>
            <w:top w:val="none" w:sz="0" w:space="0" w:color="auto"/>
            <w:left w:val="none" w:sz="0" w:space="0" w:color="auto"/>
            <w:bottom w:val="none" w:sz="0" w:space="0" w:color="auto"/>
            <w:right w:val="none" w:sz="0" w:space="0" w:color="auto"/>
          </w:divBdr>
        </w:div>
        <w:div w:id="785924914">
          <w:marLeft w:val="547"/>
          <w:marRight w:val="0"/>
          <w:marTop w:val="0"/>
          <w:marBottom w:val="0"/>
          <w:divBdr>
            <w:top w:val="none" w:sz="0" w:space="0" w:color="auto"/>
            <w:left w:val="none" w:sz="0" w:space="0" w:color="auto"/>
            <w:bottom w:val="none" w:sz="0" w:space="0" w:color="auto"/>
            <w:right w:val="none" w:sz="0" w:space="0" w:color="auto"/>
          </w:divBdr>
        </w:div>
        <w:div w:id="1197156052">
          <w:marLeft w:val="547"/>
          <w:marRight w:val="0"/>
          <w:marTop w:val="0"/>
          <w:marBottom w:val="0"/>
          <w:divBdr>
            <w:top w:val="none" w:sz="0" w:space="0" w:color="auto"/>
            <w:left w:val="none" w:sz="0" w:space="0" w:color="auto"/>
            <w:bottom w:val="none" w:sz="0" w:space="0" w:color="auto"/>
            <w:right w:val="none" w:sz="0" w:space="0" w:color="auto"/>
          </w:divBdr>
        </w:div>
        <w:div w:id="1215774486">
          <w:marLeft w:val="547"/>
          <w:marRight w:val="0"/>
          <w:marTop w:val="0"/>
          <w:marBottom w:val="0"/>
          <w:divBdr>
            <w:top w:val="none" w:sz="0" w:space="0" w:color="auto"/>
            <w:left w:val="none" w:sz="0" w:space="0" w:color="auto"/>
            <w:bottom w:val="none" w:sz="0" w:space="0" w:color="auto"/>
            <w:right w:val="none" w:sz="0" w:space="0" w:color="auto"/>
          </w:divBdr>
        </w:div>
        <w:div w:id="1259026583">
          <w:marLeft w:val="547"/>
          <w:marRight w:val="0"/>
          <w:marTop w:val="0"/>
          <w:marBottom w:val="0"/>
          <w:divBdr>
            <w:top w:val="none" w:sz="0" w:space="0" w:color="auto"/>
            <w:left w:val="none" w:sz="0" w:space="0" w:color="auto"/>
            <w:bottom w:val="none" w:sz="0" w:space="0" w:color="auto"/>
            <w:right w:val="none" w:sz="0" w:space="0" w:color="auto"/>
          </w:divBdr>
        </w:div>
        <w:div w:id="1347947524">
          <w:marLeft w:val="547"/>
          <w:marRight w:val="0"/>
          <w:marTop w:val="0"/>
          <w:marBottom w:val="0"/>
          <w:divBdr>
            <w:top w:val="none" w:sz="0" w:space="0" w:color="auto"/>
            <w:left w:val="none" w:sz="0" w:space="0" w:color="auto"/>
            <w:bottom w:val="none" w:sz="0" w:space="0" w:color="auto"/>
            <w:right w:val="none" w:sz="0" w:space="0" w:color="auto"/>
          </w:divBdr>
        </w:div>
        <w:div w:id="1443955200">
          <w:marLeft w:val="547"/>
          <w:marRight w:val="0"/>
          <w:marTop w:val="0"/>
          <w:marBottom w:val="0"/>
          <w:divBdr>
            <w:top w:val="none" w:sz="0" w:space="0" w:color="auto"/>
            <w:left w:val="none" w:sz="0" w:space="0" w:color="auto"/>
            <w:bottom w:val="none" w:sz="0" w:space="0" w:color="auto"/>
            <w:right w:val="none" w:sz="0" w:space="0" w:color="auto"/>
          </w:divBdr>
        </w:div>
        <w:div w:id="1561746798">
          <w:marLeft w:val="547"/>
          <w:marRight w:val="0"/>
          <w:marTop w:val="0"/>
          <w:marBottom w:val="0"/>
          <w:divBdr>
            <w:top w:val="none" w:sz="0" w:space="0" w:color="auto"/>
            <w:left w:val="none" w:sz="0" w:space="0" w:color="auto"/>
            <w:bottom w:val="none" w:sz="0" w:space="0" w:color="auto"/>
            <w:right w:val="none" w:sz="0" w:space="0" w:color="auto"/>
          </w:divBdr>
        </w:div>
        <w:div w:id="1600141452">
          <w:marLeft w:val="547"/>
          <w:marRight w:val="0"/>
          <w:marTop w:val="0"/>
          <w:marBottom w:val="0"/>
          <w:divBdr>
            <w:top w:val="none" w:sz="0" w:space="0" w:color="auto"/>
            <w:left w:val="none" w:sz="0" w:space="0" w:color="auto"/>
            <w:bottom w:val="none" w:sz="0" w:space="0" w:color="auto"/>
            <w:right w:val="none" w:sz="0" w:space="0" w:color="auto"/>
          </w:divBdr>
        </w:div>
        <w:div w:id="1676149567">
          <w:marLeft w:val="547"/>
          <w:marRight w:val="0"/>
          <w:marTop w:val="0"/>
          <w:marBottom w:val="0"/>
          <w:divBdr>
            <w:top w:val="none" w:sz="0" w:space="0" w:color="auto"/>
            <w:left w:val="none" w:sz="0" w:space="0" w:color="auto"/>
            <w:bottom w:val="none" w:sz="0" w:space="0" w:color="auto"/>
            <w:right w:val="none" w:sz="0" w:space="0" w:color="auto"/>
          </w:divBdr>
        </w:div>
        <w:div w:id="2092775263">
          <w:marLeft w:val="547"/>
          <w:marRight w:val="0"/>
          <w:marTop w:val="0"/>
          <w:marBottom w:val="0"/>
          <w:divBdr>
            <w:top w:val="none" w:sz="0" w:space="0" w:color="auto"/>
            <w:left w:val="none" w:sz="0" w:space="0" w:color="auto"/>
            <w:bottom w:val="none" w:sz="0" w:space="0" w:color="auto"/>
            <w:right w:val="none" w:sz="0" w:space="0" w:color="auto"/>
          </w:divBdr>
        </w:div>
      </w:divsChild>
    </w:div>
    <w:div w:id="144511203">
      <w:bodyDiv w:val="1"/>
      <w:marLeft w:val="0"/>
      <w:marRight w:val="0"/>
      <w:marTop w:val="0"/>
      <w:marBottom w:val="0"/>
      <w:divBdr>
        <w:top w:val="none" w:sz="0" w:space="0" w:color="auto"/>
        <w:left w:val="none" w:sz="0" w:space="0" w:color="auto"/>
        <w:bottom w:val="none" w:sz="0" w:space="0" w:color="auto"/>
        <w:right w:val="none" w:sz="0" w:space="0" w:color="auto"/>
      </w:divBdr>
    </w:div>
    <w:div w:id="199589742">
      <w:bodyDiv w:val="1"/>
      <w:marLeft w:val="0"/>
      <w:marRight w:val="0"/>
      <w:marTop w:val="0"/>
      <w:marBottom w:val="0"/>
      <w:divBdr>
        <w:top w:val="none" w:sz="0" w:space="0" w:color="auto"/>
        <w:left w:val="none" w:sz="0" w:space="0" w:color="auto"/>
        <w:bottom w:val="none" w:sz="0" w:space="0" w:color="auto"/>
        <w:right w:val="none" w:sz="0" w:space="0" w:color="auto"/>
      </w:divBdr>
    </w:div>
    <w:div w:id="201944960">
      <w:bodyDiv w:val="1"/>
      <w:marLeft w:val="0"/>
      <w:marRight w:val="0"/>
      <w:marTop w:val="0"/>
      <w:marBottom w:val="0"/>
      <w:divBdr>
        <w:top w:val="none" w:sz="0" w:space="0" w:color="auto"/>
        <w:left w:val="none" w:sz="0" w:space="0" w:color="auto"/>
        <w:bottom w:val="none" w:sz="0" w:space="0" w:color="auto"/>
        <w:right w:val="none" w:sz="0" w:space="0" w:color="auto"/>
      </w:divBdr>
    </w:div>
    <w:div w:id="203713769">
      <w:bodyDiv w:val="1"/>
      <w:marLeft w:val="0"/>
      <w:marRight w:val="0"/>
      <w:marTop w:val="0"/>
      <w:marBottom w:val="0"/>
      <w:divBdr>
        <w:top w:val="none" w:sz="0" w:space="0" w:color="auto"/>
        <w:left w:val="none" w:sz="0" w:space="0" w:color="auto"/>
        <w:bottom w:val="none" w:sz="0" w:space="0" w:color="auto"/>
        <w:right w:val="none" w:sz="0" w:space="0" w:color="auto"/>
      </w:divBdr>
    </w:div>
    <w:div w:id="218715636">
      <w:bodyDiv w:val="1"/>
      <w:marLeft w:val="0"/>
      <w:marRight w:val="0"/>
      <w:marTop w:val="0"/>
      <w:marBottom w:val="0"/>
      <w:divBdr>
        <w:top w:val="none" w:sz="0" w:space="0" w:color="auto"/>
        <w:left w:val="none" w:sz="0" w:space="0" w:color="auto"/>
        <w:bottom w:val="none" w:sz="0" w:space="0" w:color="auto"/>
        <w:right w:val="none" w:sz="0" w:space="0" w:color="auto"/>
      </w:divBdr>
    </w:div>
    <w:div w:id="239952744">
      <w:bodyDiv w:val="1"/>
      <w:marLeft w:val="0"/>
      <w:marRight w:val="0"/>
      <w:marTop w:val="0"/>
      <w:marBottom w:val="0"/>
      <w:divBdr>
        <w:top w:val="none" w:sz="0" w:space="0" w:color="auto"/>
        <w:left w:val="none" w:sz="0" w:space="0" w:color="auto"/>
        <w:bottom w:val="none" w:sz="0" w:space="0" w:color="auto"/>
        <w:right w:val="none" w:sz="0" w:space="0" w:color="auto"/>
      </w:divBdr>
    </w:div>
    <w:div w:id="280302503">
      <w:bodyDiv w:val="1"/>
      <w:marLeft w:val="0"/>
      <w:marRight w:val="0"/>
      <w:marTop w:val="0"/>
      <w:marBottom w:val="0"/>
      <w:divBdr>
        <w:top w:val="none" w:sz="0" w:space="0" w:color="auto"/>
        <w:left w:val="none" w:sz="0" w:space="0" w:color="auto"/>
        <w:bottom w:val="none" w:sz="0" w:space="0" w:color="auto"/>
        <w:right w:val="none" w:sz="0" w:space="0" w:color="auto"/>
      </w:divBdr>
    </w:div>
    <w:div w:id="282269055">
      <w:bodyDiv w:val="1"/>
      <w:marLeft w:val="0"/>
      <w:marRight w:val="0"/>
      <w:marTop w:val="0"/>
      <w:marBottom w:val="0"/>
      <w:divBdr>
        <w:top w:val="none" w:sz="0" w:space="0" w:color="auto"/>
        <w:left w:val="none" w:sz="0" w:space="0" w:color="auto"/>
        <w:bottom w:val="none" w:sz="0" w:space="0" w:color="auto"/>
        <w:right w:val="none" w:sz="0" w:space="0" w:color="auto"/>
      </w:divBdr>
    </w:div>
    <w:div w:id="294219198">
      <w:bodyDiv w:val="1"/>
      <w:marLeft w:val="0"/>
      <w:marRight w:val="0"/>
      <w:marTop w:val="0"/>
      <w:marBottom w:val="0"/>
      <w:divBdr>
        <w:top w:val="none" w:sz="0" w:space="0" w:color="auto"/>
        <w:left w:val="none" w:sz="0" w:space="0" w:color="auto"/>
        <w:bottom w:val="none" w:sz="0" w:space="0" w:color="auto"/>
        <w:right w:val="none" w:sz="0" w:space="0" w:color="auto"/>
      </w:divBdr>
    </w:div>
    <w:div w:id="301230937">
      <w:bodyDiv w:val="1"/>
      <w:marLeft w:val="0"/>
      <w:marRight w:val="0"/>
      <w:marTop w:val="0"/>
      <w:marBottom w:val="0"/>
      <w:divBdr>
        <w:top w:val="none" w:sz="0" w:space="0" w:color="auto"/>
        <w:left w:val="none" w:sz="0" w:space="0" w:color="auto"/>
        <w:bottom w:val="none" w:sz="0" w:space="0" w:color="auto"/>
        <w:right w:val="none" w:sz="0" w:space="0" w:color="auto"/>
      </w:divBdr>
    </w:div>
    <w:div w:id="340088521">
      <w:bodyDiv w:val="1"/>
      <w:marLeft w:val="0"/>
      <w:marRight w:val="0"/>
      <w:marTop w:val="0"/>
      <w:marBottom w:val="0"/>
      <w:divBdr>
        <w:top w:val="none" w:sz="0" w:space="0" w:color="auto"/>
        <w:left w:val="none" w:sz="0" w:space="0" w:color="auto"/>
        <w:bottom w:val="none" w:sz="0" w:space="0" w:color="auto"/>
        <w:right w:val="none" w:sz="0" w:space="0" w:color="auto"/>
      </w:divBdr>
    </w:div>
    <w:div w:id="349912036">
      <w:bodyDiv w:val="1"/>
      <w:marLeft w:val="0"/>
      <w:marRight w:val="0"/>
      <w:marTop w:val="0"/>
      <w:marBottom w:val="0"/>
      <w:divBdr>
        <w:top w:val="none" w:sz="0" w:space="0" w:color="auto"/>
        <w:left w:val="none" w:sz="0" w:space="0" w:color="auto"/>
        <w:bottom w:val="none" w:sz="0" w:space="0" w:color="auto"/>
        <w:right w:val="none" w:sz="0" w:space="0" w:color="auto"/>
      </w:divBdr>
    </w:div>
    <w:div w:id="382994431">
      <w:bodyDiv w:val="1"/>
      <w:marLeft w:val="0"/>
      <w:marRight w:val="0"/>
      <w:marTop w:val="0"/>
      <w:marBottom w:val="0"/>
      <w:divBdr>
        <w:top w:val="none" w:sz="0" w:space="0" w:color="auto"/>
        <w:left w:val="none" w:sz="0" w:space="0" w:color="auto"/>
        <w:bottom w:val="none" w:sz="0" w:space="0" w:color="auto"/>
        <w:right w:val="none" w:sz="0" w:space="0" w:color="auto"/>
      </w:divBdr>
    </w:div>
    <w:div w:id="415903192">
      <w:bodyDiv w:val="1"/>
      <w:marLeft w:val="0"/>
      <w:marRight w:val="0"/>
      <w:marTop w:val="0"/>
      <w:marBottom w:val="0"/>
      <w:divBdr>
        <w:top w:val="none" w:sz="0" w:space="0" w:color="auto"/>
        <w:left w:val="none" w:sz="0" w:space="0" w:color="auto"/>
        <w:bottom w:val="none" w:sz="0" w:space="0" w:color="auto"/>
        <w:right w:val="none" w:sz="0" w:space="0" w:color="auto"/>
      </w:divBdr>
    </w:div>
    <w:div w:id="425658642">
      <w:bodyDiv w:val="1"/>
      <w:marLeft w:val="0"/>
      <w:marRight w:val="0"/>
      <w:marTop w:val="0"/>
      <w:marBottom w:val="0"/>
      <w:divBdr>
        <w:top w:val="none" w:sz="0" w:space="0" w:color="auto"/>
        <w:left w:val="none" w:sz="0" w:space="0" w:color="auto"/>
        <w:bottom w:val="none" w:sz="0" w:space="0" w:color="auto"/>
        <w:right w:val="none" w:sz="0" w:space="0" w:color="auto"/>
      </w:divBdr>
    </w:div>
    <w:div w:id="429813497">
      <w:bodyDiv w:val="1"/>
      <w:marLeft w:val="0"/>
      <w:marRight w:val="0"/>
      <w:marTop w:val="0"/>
      <w:marBottom w:val="0"/>
      <w:divBdr>
        <w:top w:val="none" w:sz="0" w:space="0" w:color="auto"/>
        <w:left w:val="none" w:sz="0" w:space="0" w:color="auto"/>
        <w:bottom w:val="none" w:sz="0" w:space="0" w:color="auto"/>
        <w:right w:val="none" w:sz="0" w:space="0" w:color="auto"/>
      </w:divBdr>
    </w:div>
    <w:div w:id="439568402">
      <w:bodyDiv w:val="1"/>
      <w:marLeft w:val="0"/>
      <w:marRight w:val="0"/>
      <w:marTop w:val="0"/>
      <w:marBottom w:val="0"/>
      <w:divBdr>
        <w:top w:val="none" w:sz="0" w:space="0" w:color="auto"/>
        <w:left w:val="none" w:sz="0" w:space="0" w:color="auto"/>
        <w:bottom w:val="none" w:sz="0" w:space="0" w:color="auto"/>
        <w:right w:val="none" w:sz="0" w:space="0" w:color="auto"/>
      </w:divBdr>
    </w:div>
    <w:div w:id="444692784">
      <w:bodyDiv w:val="1"/>
      <w:marLeft w:val="0"/>
      <w:marRight w:val="0"/>
      <w:marTop w:val="0"/>
      <w:marBottom w:val="0"/>
      <w:divBdr>
        <w:top w:val="none" w:sz="0" w:space="0" w:color="auto"/>
        <w:left w:val="none" w:sz="0" w:space="0" w:color="auto"/>
        <w:bottom w:val="none" w:sz="0" w:space="0" w:color="auto"/>
        <w:right w:val="none" w:sz="0" w:space="0" w:color="auto"/>
      </w:divBdr>
    </w:div>
    <w:div w:id="448399448">
      <w:bodyDiv w:val="1"/>
      <w:marLeft w:val="0"/>
      <w:marRight w:val="0"/>
      <w:marTop w:val="0"/>
      <w:marBottom w:val="0"/>
      <w:divBdr>
        <w:top w:val="none" w:sz="0" w:space="0" w:color="auto"/>
        <w:left w:val="none" w:sz="0" w:space="0" w:color="auto"/>
        <w:bottom w:val="none" w:sz="0" w:space="0" w:color="auto"/>
        <w:right w:val="none" w:sz="0" w:space="0" w:color="auto"/>
      </w:divBdr>
    </w:div>
    <w:div w:id="456602923">
      <w:bodyDiv w:val="1"/>
      <w:marLeft w:val="0"/>
      <w:marRight w:val="0"/>
      <w:marTop w:val="0"/>
      <w:marBottom w:val="0"/>
      <w:divBdr>
        <w:top w:val="none" w:sz="0" w:space="0" w:color="auto"/>
        <w:left w:val="none" w:sz="0" w:space="0" w:color="auto"/>
        <w:bottom w:val="none" w:sz="0" w:space="0" w:color="auto"/>
        <w:right w:val="none" w:sz="0" w:space="0" w:color="auto"/>
      </w:divBdr>
      <w:divsChild>
        <w:div w:id="636035899">
          <w:marLeft w:val="288"/>
          <w:marRight w:val="0"/>
          <w:marTop w:val="0"/>
          <w:marBottom w:val="0"/>
          <w:divBdr>
            <w:top w:val="none" w:sz="0" w:space="0" w:color="auto"/>
            <w:left w:val="none" w:sz="0" w:space="0" w:color="auto"/>
            <w:bottom w:val="none" w:sz="0" w:space="0" w:color="auto"/>
            <w:right w:val="none" w:sz="0" w:space="0" w:color="auto"/>
          </w:divBdr>
        </w:div>
        <w:div w:id="920722822">
          <w:marLeft w:val="288"/>
          <w:marRight w:val="0"/>
          <w:marTop w:val="0"/>
          <w:marBottom w:val="0"/>
          <w:divBdr>
            <w:top w:val="none" w:sz="0" w:space="0" w:color="auto"/>
            <w:left w:val="none" w:sz="0" w:space="0" w:color="auto"/>
            <w:bottom w:val="none" w:sz="0" w:space="0" w:color="auto"/>
            <w:right w:val="none" w:sz="0" w:space="0" w:color="auto"/>
          </w:divBdr>
        </w:div>
        <w:div w:id="1788505824">
          <w:marLeft w:val="288"/>
          <w:marRight w:val="0"/>
          <w:marTop w:val="0"/>
          <w:marBottom w:val="0"/>
          <w:divBdr>
            <w:top w:val="none" w:sz="0" w:space="0" w:color="auto"/>
            <w:left w:val="none" w:sz="0" w:space="0" w:color="auto"/>
            <w:bottom w:val="none" w:sz="0" w:space="0" w:color="auto"/>
            <w:right w:val="none" w:sz="0" w:space="0" w:color="auto"/>
          </w:divBdr>
        </w:div>
        <w:div w:id="1829635729">
          <w:marLeft w:val="288"/>
          <w:marRight w:val="0"/>
          <w:marTop w:val="0"/>
          <w:marBottom w:val="0"/>
          <w:divBdr>
            <w:top w:val="none" w:sz="0" w:space="0" w:color="auto"/>
            <w:left w:val="none" w:sz="0" w:space="0" w:color="auto"/>
            <w:bottom w:val="none" w:sz="0" w:space="0" w:color="auto"/>
            <w:right w:val="none" w:sz="0" w:space="0" w:color="auto"/>
          </w:divBdr>
        </w:div>
        <w:div w:id="1972859204">
          <w:marLeft w:val="288"/>
          <w:marRight w:val="0"/>
          <w:marTop w:val="0"/>
          <w:marBottom w:val="0"/>
          <w:divBdr>
            <w:top w:val="none" w:sz="0" w:space="0" w:color="auto"/>
            <w:left w:val="none" w:sz="0" w:space="0" w:color="auto"/>
            <w:bottom w:val="none" w:sz="0" w:space="0" w:color="auto"/>
            <w:right w:val="none" w:sz="0" w:space="0" w:color="auto"/>
          </w:divBdr>
        </w:div>
      </w:divsChild>
    </w:div>
    <w:div w:id="538199571">
      <w:bodyDiv w:val="1"/>
      <w:marLeft w:val="0"/>
      <w:marRight w:val="0"/>
      <w:marTop w:val="0"/>
      <w:marBottom w:val="0"/>
      <w:divBdr>
        <w:top w:val="none" w:sz="0" w:space="0" w:color="auto"/>
        <w:left w:val="none" w:sz="0" w:space="0" w:color="auto"/>
        <w:bottom w:val="none" w:sz="0" w:space="0" w:color="auto"/>
        <w:right w:val="none" w:sz="0" w:space="0" w:color="auto"/>
      </w:divBdr>
    </w:div>
    <w:div w:id="542638848">
      <w:bodyDiv w:val="1"/>
      <w:marLeft w:val="0"/>
      <w:marRight w:val="0"/>
      <w:marTop w:val="0"/>
      <w:marBottom w:val="0"/>
      <w:divBdr>
        <w:top w:val="none" w:sz="0" w:space="0" w:color="auto"/>
        <w:left w:val="none" w:sz="0" w:space="0" w:color="auto"/>
        <w:bottom w:val="none" w:sz="0" w:space="0" w:color="auto"/>
        <w:right w:val="none" w:sz="0" w:space="0" w:color="auto"/>
      </w:divBdr>
    </w:div>
    <w:div w:id="550768659">
      <w:bodyDiv w:val="1"/>
      <w:marLeft w:val="0"/>
      <w:marRight w:val="0"/>
      <w:marTop w:val="0"/>
      <w:marBottom w:val="0"/>
      <w:divBdr>
        <w:top w:val="none" w:sz="0" w:space="0" w:color="auto"/>
        <w:left w:val="none" w:sz="0" w:space="0" w:color="auto"/>
        <w:bottom w:val="none" w:sz="0" w:space="0" w:color="auto"/>
        <w:right w:val="none" w:sz="0" w:space="0" w:color="auto"/>
      </w:divBdr>
    </w:div>
    <w:div w:id="570504923">
      <w:bodyDiv w:val="1"/>
      <w:marLeft w:val="0"/>
      <w:marRight w:val="0"/>
      <w:marTop w:val="0"/>
      <w:marBottom w:val="0"/>
      <w:divBdr>
        <w:top w:val="none" w:sz="0" w:space="0" w:color="auto"/>
        <w:left w:val="none" w:sz="0" w:space="0" w:color="auto"/>
        <w:bottom w:val="none" w:sz="0" w:space="0" w:color="auto"/>
        <w:right w:val="none" w:sz="0" w:space="0" w:color="auto"/>
      </w:divBdr>
      <w:divsChild>
        <w:div w:id="720832990">
          <w:marLeft w:val="0"/>
          <w:marRight w:val="0"/>
          <w:marTop w:val="120"/>
          <w:marBottom w:val="120"/>
          <w:divBdr>
            <w:top w:val="none" w:sz="0" w:space="0" w:color="auto"/>
            <w:left w:val="none" w:sz="0" w:space="0" w:color="auto"/>
            <w:bottom w:val="none" w:sz="0" w:space="0" w:color="auto"/>
            <w:right w:val="none" w:sz="0" w:space="0" w:color="auto"/>
          </w:divBdr>
        </w:div>
      </w:divsChild>
    </w:div>
    <w:div w:id="579600445">
      <w:bodyDiv w:val="1"/>
      <w:marLeft w:val="0"/>
      <w:marRight w:val="0"/>
      <w:marTop w:val="0"/>
      <w:marBottom w:val="0"/>
      <w:divBdr>
        <w:top w:val="none" w:sz="0" w:space="0" w:color="auto"/>
        <w:left w:val="none" w:sz="0" w:space="0" w:color="auto"/>
        <w:bottom w:val="none" w:sz="0" w:space="0" w:color="auto"/>
        <w:right w:val="none" w:sz="0" w:space="0" w:color="auto"/>
      </w:divBdr>
    </w:div>
    <w:div w:id="603000659">
      <w:bodyDiv w:val="1"/>
      <w:marLeft w:val="0"/>
      <w:marRight w:val="0"/>
      <w:marTop w:val="0"/>
      <w:marBottom w:val="0"/>
      <w:divBdr>
        <w:top w:val="none" w:sz="0" w:space="0" w:color="auto"/>
        <w:left w:val="none" w:sz="0" w:space="0" w:color="auto"/>
        <w:bottom w:val="none" w:sz="0" w:space="0" w:color="auto"/>
        <w:right w:val="none" w:sz="0" w:space="0" w:color="auto"/>
      </w:divBdr>
    </w:div>
    <w:div w:id="619577739">
      <w:bodyDiv w:val="1"/>
      <w:marLeft w:val="0"/>
      <w:marRight w:val="0"/>
      <w:marTop w:val="0"/>
      <w:marBottom w:val="0"/>
      <w:divBdr>
        <w:top w:val="none" w:sz="0" w:space="0" w:color="auto"/>
        <w:left w:val="none" w:sz="0" w:space="0" w:color="auto"/>
        <w:bottom w:val="none" w:sz="0" w:space="0" w:color="auto"/>
        <w:right w:val="none" w:sz="0" w:space="0" w:color="auto"/>
      </w:divBdr>
    </w:div>
    <w:div w:id="647586485">
      <w:bodyDiv w:val="1"/>
      <w:marLeft w:val="0"/>
      <w:marRight w:val="0"/>
      <w:marTop w:val="0"/>
      <w:marBottom w:val="0"/>
      <w:divBdr>
        <w:top w:val="none" w:sz="0" w:space="0" w:color="auto"/>
        <w:left w:val="none" w:sz="0" w:space="0" w:color="auto"/>
        <w:bottom w:val="none" w:sz="0" w:space="0" w:color="auto"/>
        <w:right w:val="none" w:sz="0" w:space="0" w:color="auto"/>
      </w:divBdr>
      <w:divsChild>
        <w:div w:id="230849855">
          <w:marLeft w:val="547"/>
          <w:marRight w:val="0"/>
          <w:marTop w:val="0"/>
          <w:marBottom w:val="0"/>
          <w:divBdr>
            <w:top w:val="none" w:sz="0" w:space="0" w:color="auto"/>
            <w:left w:val="none" w:sz="0" w:space="0" w:color="auto"/>
            <w:bottom w:val="none" w:sz="0" w:space="0" w:color="auto"/>
            <w:right w:val="none" w:sz="0" w:space="0" w:color="auto"/>
          </w:divBdr>
        </w:div>
        <w:div w:id="283004723">
          <w:marLeft w:val="547"/>
          <w:marRight w:val="0"/>
          <w:marTop w:val="0"/>
          <w:marBottom w:val="0"/>
          <w:divBdr>
            <w:top w:val="none" w:sz="0" w:space="0" w:color="auto"/>
            <w:left w:val="none" w:sz="0" w:space="0" w:color="auto"/>
            <w:bottom w:val="none" w:sz="0" w:space="0" w:color="auto"/>
            <w:right w:val="none" w:sz="0" w:space="0" w:color="auto"/>
          </w:divBdr>
        </w:div>
        <w:div w:id="325940030">
          <w:marLeft w:val="547"/>
          <w:marRight w:val="0"/>
          <w:marTop w:val="0"/>
          <w:marBottom w:val="0"/>
          <w:divBdr>
            <w:top w:val="none" w:sz="0" w:space="0" w:color="auto"/>
            <w:left w:val="none" w:sz="0" w:space="0" w:color="auto"/>
            <w:bottom w:val="none" w:sz="0" w:space="0" w:color="auto"/>
            <w:right w:val="none" w:sz="0" w:space="0" w:color="auto"/>
          </w:divBdr>
        </w:div>
        <w:div w:id="339821655">
          <w:marLeft w:val="547"/>
          <w:marRight w:val="0"/>
          <w:marTop w:val="0"/>
          <w:marBottom w:val="0"/>
          <w:divBdr>
            <w:top w:val="none" w:sz="0" w:space="0" w:color="auto"/>
            <w:left w:val="none" w:sz="0" w:space="0" w:color="auto"/>
            <w:bottom w:val="none" w:sz="0" w:space="0" w:color="auto"/>
            <w:right w:val="none" w:sz="0" w:space="0" w:color="auto"/>
          </w:divBdr>
        </w:div>
        <w:div w:id="362092843">
          <w:marLeft w:val="547"/>
          <w:marRight w:val="0"/>
          <w:marTop w:val="0"/>
          <w:marBottom w:val="0"/>
          <w:divBdr>
            <w:top w:val="none" w:sz="0" w:space="0" w:color="auto"/>
            <w:left w:val="none" w:sz="0" w:space="0" w:color="auto"/>
            <w:bottom w:val="none" w:sz="0" w:space="0" w:color="auto"/>
            <w:right w:val="none" w:sz="0" w:space="0" w:color="auto"/>
          </w:divBdr>
        </w:div>
        <w:div w:id="451750116">
          <w:marLeft w:val="547"/>
          <w:marRight w:val="0"/>
          <w:marTop w:val="0"/>
          <w:marBottom w:val="0"/>
          <w:divBdr>
            <w:top w:val="none" w:sz="0" w:space="0" w:color="auto"/>
            <w:left w:val="none" w:sz="0" w:space="0" w:color="auto"/>
            <w:bottom w:val="none" w:sz="0" w:space="0" w:color="auto"/>
            <w:right w:val="none" w:sz="0" w:space="0" w:color="auto"/>
          </w:divBdr>
        </w:div>
        <w:div w:id="479881134">
          <w:marLeft w:val="547"/>
          <w:marRight w:val="0"/>
          <w:marTop w:val="0"/>
          <w:marBottom w:val="0"/>
          <w:divBdr>
            <w:top w:val="none" w:sz="0" w:space="0" w:color="auto"/>
            <w:left w:val="none" w:sz="0" w:space="0" w:color="auto"/>
            <w:bottom w:val="none" w:sz="0" w:space="0" w:color="auto"/>
            <w:right w:val="none" w:sz="0" w:space="0" w:color="auto"/>
          </w:divBdr>
        </w:div>
        <w:div w:id="480272649">
          <w:marLeft w:val="547"/>
          <w:marRight w:val="0"/>
          <w:marTop w:val="0"/>
          <w:marBottom w:val="0"/>
          <w:divBdr>
            <w:top w:val="none" w:sz="0" w:space="0" w:color="auto"/>
            <w:left w:val="none" w:sz="0" w:space="0" w:color="auto"/>
            <w:bottom w:val="none" w:sz="0" w:space="0" w:color="auto"/>
            <w:right w:val="none" w:sz="0" w:space="0" w:color="auto"/>
          </w:divBdr>
        </w:div>
        <w:div w:id="696128032">
          <w:marLeft w:val="547"/>
          <w:marRight w:val="0"/>
          <w:marTop w:val="0"/>
          <w:marBottom w:val="0"/>
          <w:divBdr>
            <w:top w:val="none" w:sz="0" w:space="0" w:color="auto"/>
            <w:left w:val="none" w:sz="0" w:space="0" w:color="auto"/>
            <w:bottom w:val="none" w:sz="0" w:space="0" w:color="auto"/>
            <w:right w:val="none" w:sz="0" w:space="0" w:color="auto"/>
          </w:divBdr>
        </w:div>
        <w:div w:id="705569909">
          <w:marLeft w:val="547"/>
          <w:marRight w:val="0"/>
          <w:marTop w:val="0"/>
          <w:marBottom w:val="0"/>
          <w:divBdr>
            <w:top w:val="none" w:sz="0" w:space="0" w:color="auto"/>
            <w:left w:val="none" w:sz="0" w:space="0" w:color="auto"/>
            <w:bottom w:val="none" w:sz="0" w:space="0" w:color="auto"/>
            <w:right w:val="none" w:sz="0" w:space="0" w:color="auto"/>
          </w:divBdr>
        </w:div>
        <w:div w:id="855193330">
          <w:marLeft w:val="547"/>
          <w:marRight w:val="0"/>
          <w:marTop w:val="0"/>
          <w:marBottom w:val="0"/>
          <w:divBdr>
            <w:top w:val="none" w:sz="0" w:space="0" w:color="auto"/>
            <w:left w:val="none" w:sz="0" w:space="0" w:color="auto"/>
            <w:bottom w:val="none" w:sz="0" w:space="0" w:color="auto"/>
            <w:right w:val="none" w:sz="0" w:space="0" w:color="auto"/>
          </w:divBdr>
        </w:div>
        <w:div w:id="932124725">
          <w:marLeft w:val="547"/>
          <w:marRight w:val="0"/>
          <w:marTop w:val="0"/>
          <w:marBottom w:val="0"/>
          <w:divBdr>
            <w:top w:val="none" w:sz="0" w:space="0" w:color="auto"/>
            <w:left w:val="none" w:sz="0" w:space="0" w:color="auto"/>
            <w:bottom w:val="none" w:sz="0" w:space="0" w:color="auto"/>
            <w:right w:val="none" w:sz="0" w:space="0" w:color="auto"/>
          </w:divBdr>
        </w:div>
        <w:div w:id="1049957790">
          <w:marLeft w:val="547"/>
          <w:marRight w:val="0"/>
          <w:marTop w:val="0"/>
          <w:marBottom w:val="0"/>
          <w:divBdr>
            <w:top w:val="none" w:sz="0" w:space="0" w:color="auto"/>
            <w:left w:val="none" w:sz="0" w:space="0" w:color="auto"/>
            <w:bottom w:val="none" w:sz="0" w:space="0" w:color="auto"/>
            <w:right w:val="none" w:sz="0" w:space="0" w:color="auto"/>
          </w:divBdr>
        </w:div>
        <w:div w:id="1285112045">
          <w:marLeft w:val="547"/>
          <w:marRight w:val="0"/>
          <w:marTop w:val="0"/>
          <w:marBottom w:val="0"/>
          <w:divBdr>
            <w:top w:val="none" w:sz="0" w:space="0" w:color="auto"/>
            <w:left w:val="none" w:sz="0" w:space="0" w:color="auto"/>
            <w:bottom w:val="none" w:sz="0" w:space="0" w:color="auto"/>
            <w:right w:val="none" w:sz="0" w:space="0" w:color="auto"/>
          </w:divBdr>
        </w:div>
        <w:div w:id="1485270077">
          <w:marLeft w:val="547"/>
          <w:marRight w:val="0"/>
          <w:marTop w:val="0"/>
          <w:marBottom w:val="0"/>
          <w:divBdr>
            <w:top w:val="none" w:sz="0" w:space="0" w:color="auto"/>
            <w:left w:val="none" w:sz="0" w:space="0" w:color="auto"/>
            <w:bottom w:val="none" w:sz="0" w:space="0" w:color="auto"/>
            <w:right w:val="none" w:sz="0" w:space="0" w:color="auto"/>
          </w:divBdr>
        </w:div>
        <w:div w:id="1757744964">
          <w:marLeft w:val="547"/>
          <w:marRight w:val="0"/>
          <w:marTop w:val="0"/>
          <w:marBottom w:val="0"/>
          <w:divBdr>
            <w:top w:val="none" w:sz="0" w:space="0" w:color="auto"/>
            <w:left w:val="none" w:sz="0" w:space="0" w:color="auto"/>
            <w:bottom w:val="none" w:sz="0" w:space="0" w:color="auto"/>
            <w:right w:val="none" w:sz="0" w:space="0" w:color="auto"/>
          </w:divBdr>
        </w:div>
        <w:div w:id="1797799567">
          <w:marLeft w:val="547"/>
          <w:marRight w:val="0"/>
          <w:marTop w:val="0"/>
          <w:marBottom w:val="0"/>
          <w:divBdr>
            <w:top w:val="none" w:sz="0" w:space="0" w:color="auto"/>
            <w:left w:val="none" w:sz="0" w:space="0" w:color="auto"/>
            <w:bottom w:val="none" w:sz="0" w:space="0" w:color="auto"/>
            <w:right w:val="none" w:sz="0" w:space="0" w:color="auto"/>
          </w:divBdr>
        </w:div>
        <w:div w:id="2042048368">
          <w:marLeft w:val="547"/>
          <w:marRight w:val="0"/>
          <w:marTop w:val="0"/>
          <w:marBottom w:val="0"/>
          <w:divBdr>
            <w:top w:val="none" w:sz="0" w:space="0" w:color="auto"/>
            <w:left w:val="none" w:sz="0" w:space="0" w:color="auto"/>
            <w:bottom w:val="none" w:sz="0" w:space="0" w:color="auto"/>
            <w:right w:val="none" w:sz="0" w:space="0" w:color="auto"/>
          </w:divBdr>
        </w:div>
        <w:div w:id="2052487574">
          <w:marLeft w:val="547"/>
          <w:marRight w:val="0"/>
          <w:marTop w:val="0"/>
          <w:marBottom w:val="0"/>
          <w:divBdr>
            <w:top w:val="none" w:sz="0" w:space="0" w:color="auto"/>
            <w:left w:val="none" w:sz="0" w:space="0" w:color="auto"/>
            <w:bottom w:val="none" w:sz="0" w:space="0" w:color="auto"/>
            <w:right w:val="none" w:sz="0" w:space="0" w:color="auto"/>
          </w:divBdr>
        </w:div>
        <w:div w:id="2092120264">
          <w:marLeft w:val="547"/>
          <w:marRight w:val="0"/>
          <w:marTop w:val="0"/>
          <w:marBottom w:val="0"/>
          <w:divBdr>
            <w:top w:val="none" w:sz="0" w:space="0" w:color="auto"/>
            <w:left w:val="none" w:sz="0" w:space="0" w:color="auto"/>
            <w:bottom w:val="none" w:sz="0" w:space="0" w:color="auto"/>
            <w:right w:val="none" w:sz="0" w:space="0" w:color="auto"/>
          </w:divBdr>
        </w:div>
        <w:div w:id="2096045561">
          <w:marLeft w:val="547"/>
          <w:marRight w:val="0"/>
          <w:marTop w:val="0"/>
          <w:marBottom w:val="0"/>
          <w:divBdr>
            <w:top w:val="none" w:sz="0" w:space="0" w:color="auto"/>
            <w:left w:val="none" w:sz="0" w:space="0" w:color="auto"/>
            <w:bottom w:val="none" w:sz="0" w:space="0" w:color="auto"/>
            <w:right w:val="none" w:sz="0" w:space="0" w:color="auto"/>
          </w:divBdr>
        </w:div>
        <w:div w:id="2106685174">
          <w:marLeft w:val="547"/>
          <w:marRight w:val="0"/>
          <w:marTop w:val="0"/>
          <w:marBottom w:val="0"/>
          <w:divBdr>
            <w:top w:val="none" w:sz="0" w:space="0" w:color="auto"/>
            <w:left w:val="none" w:sz="0" w:space="0" w:color="auto"/>
            <w:bottom w:val="none" w:sz="0" w:space="0" w:color="auto"/>
            <w:right w:val="none" w:sz="0" w:space="0" w:color="auto"/>
          </w:divBdr>
        </w:div>
        <w:div w:id="2122067577">
          <w:marLeft w:val="547"/>
          <w:marRight w:val="0"/>
          <w:marTop w:val="0"/>
          <w:marBottom w:val="0"/>
          <w:divBdr>
            <w:top w:val="none" w:sz="0" w:space="0" w:color="auto"/>
            <w:left w:val="none" w:sz="0" w:space="0" w:color="auto"/>
            <w:bottom w:val="none" w:sz="0" w:space="0" w:color="auto"/>
            <w:right w:val="none" w:sz="0" w:space="0" w:color="auto"/>
          </w:divBdr>
        </w:div>
      </w:divsChild>
    </w:div>
    <w:div w:id="677119825">
      <w:bodyDiv w:val="1"/>
      <w:marLeft w:val="0"/>
      <w:marRight w:val="0"/>
      <w:marTop w:val="0"/>
      <w:marBottom w:val="0"/>
      <w:divBdr>
        <w:top w:val="none" w:sz="0" w:space="0" w:color="auto"/>
        <w:left w:val="none" w:sz="0" w:space="0" w:color="auto"/>
        <w:bottom w:val="none" w:sz="0" w:space="0" w:color="auto"/>
        <w:right w:val="none" w:sz="0" w:space="0" w:color="auto"/>
      </w:divBdr>
    </w:div>
    <w:div w:id="688870963">
      <w:bodyDiv w:val="1"/>
      <w:marLeft w:val="0"/>
      <w:marRight w:val="0"/>
      <w:marTop w:val="0"/>
      <w:marBottom w:val="0"/>
      <w:divBdr>
        <w:top w:val="none" w:sz="0" w:space="0" w:color="auto"/>
        <w:left w:val="none" w:sz="0" w:space="0" w:color="auto"/>
        <w:bottom w:val="none" w:sz="0" w:space="0" w:color="auto"/>
        <w:right w:val="none" w:sz="0" w:space="0" w:color="auto"/>
      </w:divBdr>
    </w:div>
    <w:div w:id="691495745">
      <w:bodyDiv w:val="1"/>
      <w:marLeft w:val="0"/>
      <w:marRight w:val="0"/>
      <w:marTop w:val="0"/>
      <w:marBottom w:val="0"/>
      <w:divBdr>
        <w:top w:val="none" w:sz="0" w:space="0" w:color="auto"/>
        <w:left w:val="none" w:sz="0" w:space="0" w:color="auto"/>
        <w:bottom w:val="none" w:sz="0" w:space="0" w:color="auto"/>
        <w:right w:val="none" w:sz="0" w:space="0" w:color="auto"/>
      </w:divBdr>
    </w:div>
    <w:div w:id="693337639">
      <w:bodyDiv w:val="1"/>
      <w:marLeft w:val="0"/>
      <w:marRight w:val="0"/>
      <w:marTop w:val="0"/>
      <w:marBottom w:val="0"/>
      <w:divBdr>
        <w:top w:val="none" w:sz="0" w:space="0" w:color="auto"/>
        <w:left w:val="none" w:sz="0" w:space="0" w:color="auto"/>
        <w:bottom w:val="none" w:sz="0" w:space="0" w:color="auto"/>
        <w:right w:val="none" w:sz="0" w:space="0" w:color="auto"/>
      </w:divBdr>
    </w:div>
    <w:div w:id="704673251">
      <w:bodyDiv w:val="1"/>
      <w:marLeft w:val="0"/>
      <w:marRight w:val="0"/>
      <w:marTop w:val="0"/>
      <w:marBottom w:val="0"/>
      <w:divBdr>
        <w:top w:val="none" w:sz="0" w:space="0" w:color="auto"/>
        <w:left w:val="none" w:sz="0" w:space="0" w:color="auto"/>
        <w:bottom w:val="none" w:sz="0" w:space="0" w:color="auto"/>
        <w:right w:val="none" w:sz="0" w:space="0" w:color="auto"/>
      </w:divBdr>
    </w:div>
    <w:div w:id="736248744">
      <w:bodyDiv w:val="1"/>
      <w:marLeft w:val="0"/>
      <w:marRight w:val="0"/>
      <w:marTop w:val="0"/>
      <w:marBottom w:val="0"/>
      <w:divBdr>
        <w:top w:val="none" w:sz="0" w:space="0" w:color="auto"/>
        <w:left w:val="none" w:sz="0" w:space="0" w:color="auto"/>
        <w:bottom w:val="none" w:sz="0" w:space="0" w:color="auto"/>
        <w:right w:val="none" w:sz="0" w:space="0" w:color="auto"/>
      </w:divBdr>
    </w:div>
    <w:div w:id="746270041">
      <w:bodyDiv w:val="1"/>
      <w:marLeft w:val="0"/>
      <w:marRight w:val="0"/>
      <w:marTop w:val="0"/>
      <w:marBottom w:val="0"/>
      <w:divBdr>
        <w:top w:val="none" w:sz="0" w:space="0" w:color="auto"/>
        <w:left w:val="none" w:sz="0" w:space="0" w:color="auto"/>
        <w:bottom w:val="none" w:sz="0" w:space="0" w:color="auto"/>
        <w:right w:val="none" w:sz="0" w:space="0" w:color="auto"/>
      </w:divBdr>
    </w:div>
    <w:div w:id="816529202">
      <w:bodyDiv w:val="1"/>
      <w:marLeft w:val="0"/>
      <w:marRight w:val="0"/>
      <w:marTop w:val="0"/>
      <w:marBottom w:val="0"/>
      <w:divBdr>
        <w:top w:val="none" w:sz="0" w:space="0" w:color="auto"/>
        <w:left w:val="none" w:sz="0" w:space="0" w:color="auto"/>
        <w:bottom w:val="none" w:sz="0" w:space="0" w:color="auto"/>
        <w:right w:val="none" w:sz="0" w:space="0" w:color="auto"/>
      </w:divBdr>
    </w:div>
    <w:div w:id="826700990">
      <w:bodyDiv w:val="1"/>
      <w:marLeft w:val="0"/>
      <w:marRight w:val="0"/>
      <w:marTop w:val="0"/>
      <w:marBottom w:val="0"/>
      <w:divBdr>
        <w:top w:val="none" w:sz="0" w:space="0" w:color="auto"/>
        <w:left w:val="none" w:sz="0" w:space="0" w:color="auto"/>
        <w:bottom w:val="none" w:sz="0" w:space="0" w:color="auto"/>
        <w:right w:val="none" w:sz="0" w:space="0" w:color="auto"/>
      </w:divBdr>
    </w:div>
    <w:div w:id="869806464">
      <w:bodyDiv w:val="1"/>
      <w:marLeft w:val="0"/>
      <w:marRight w:val="0"/>
      <w:marTop w:val="0"/>
      <w:marBottom w:val="0"/>
      <w:divBdr>
        <w:top w:val="none" w:sz="0" w:space="0" w:color="auto"/>
        <w:left w:val="none" w:sz="0" w:space="0" w:color="auto"/>
        <w:bottom w:val="none" w:sz="0" w:space="0" w:color="auto"/>
        <w:right w:val="none" w:sz="0" w:space="0" w:color="auto"/>
      </w:divBdr>
    </w:div>
    <w:div w:id="880442394">
      <w:bodyDiv w:val="1"/>
      <w:marLeft w:val="0"/>
      <w:marRight w:val="0"/>
      <w:marTop w:val="0"/>
      <w:marBottom w:val="0"/>
      <w:divBdr>
        <w:top w:val="none" w:sz="0" w:space="0" w:color="auto"/>
        <w:left w:val="none" w:sz="0" w:space="0" w:color="auto"/>
        <w:bottom w:val="none" w:sz="0" w:space="0" w:color="auto"/>
        <w:right w:val="none" w:sz="0" w:space="0" w:color="auto"/>
      </w:divBdr>
    </w:div>
    <w:div w:id="889999926">
      <w:bodyDiv w:val="1"/>
      <w:marLeft w:val="0"/>
      <w:marRight w:val="0"/>
      <w:marTop w:val="0"/>
      <w:marBottom w:val="0"/>
      <w:divBdr>
        <w:top w:val="none" w:sz="0" w:space="0" w:color="auto"/>
        <w:left w:val="none" w:sz="0" w:space="0" w:color="auto"/>
        <w:bottom w:val="none" w:sz="0" w:space="0" w:color="auto"/>
        <w:right w:val="none" w:sz="0" w:space="0" w:color="auto"/>
      </w:divBdr>
    </w:div>
    <w:div w:id="907035830">
      <w:bodyDiv w:val="1"/>
      <w:marLeft w:val="0"/>
      <w:marRight w:val="0"/>
      <w:marTop w:val="0"/>
      <w:marBottom w:val="0"/>
      <w:divBdr>
        <w:top w:val="none" w:sz="0" w:space="0" w:color="auto"/>
        <w:left w:val="none" w:sz="0" w:space="0" w:color="auto"/>
        <w:bottom w:val="none" w:sz="0" w:space="0" w:color="auto"/>
        <w:right w:val="none" w:sz="0" w:space="0" w:color="auto"/>
      </w:divBdr>
      <w:divsChild>
        <w:div w:id="1105344651">
          <w:marLeft w:val="0"/>
          <w:marRight w:val="0"/>
          <w:marTop w:val="0"/>
          <w:marBottom w:val="0"/>
          <w:divBdr>
            <w:top w:val="none" w:sz="0" w:space="0" w:color="auto"/>
            <w:left w:val="none" w:sz="0" w:space="0" w:color="auto"/>
            <w:bottom w:val="none" w:sz="0" w:space="0" w:color="auto"/>
            <w:right w:val="none" w:sz="0" w:space="0" w:color="auto"/>
          </w:divBdr>
          <w:divsChild>
            <w:div w:id="257913511">
              <w:marLeft w:val="0"/>
              <w:marRight w:val="0"/>
              <w:marTop w:val="0"/>
              <w:marBottom w:val="375"/>
              <w:divBdr>
                <w:top w:val="none" w:sz="0" w:space="0" w:color="auto"/>
                <w:left w:val="none" w:sz="0" w:space="0" w:color="auto"/>
                <w:bottom w:val="single" w:sz="6" w:space="0" w:color="DEDFE3"/>
                <w:right w:val="none" w:sz="0" w:space="0" w:color="auto"/>
              </w:divBdr>
            </w:div>
            <w:div w:id="973603812">
              <w:marLeft w:val="0"/>
              <w:marRight w:val="0"/>
              <w:marTop w:val="0"/>
              <w:marBottom w:val="0"/>
              <w:divBdr>
                <w:top w:val="none" w:sz="0" w:space="0" w:color="auto"/>
                <w:left w:val="none" w:sz="0" w:space="0" w:color="auto"/>
                <w:bottom w:val="none" w:sz="0" w:space="0" w:color="auto"/>
                <w:right w:val="none" w:sz="0" w:space="0" w:color="auto"/>
              </w:divBdr>
              <w:divsChild>
                <w:div w:id="189340399">
                  <w:marLeft w:val="0"/>
                  <w:marRight w:val="0"/>
                  <w:marTop w:val="0"/>
                  <w:marBottom w:val="0"/>
                  <w:divBdr>
                    <w:top w:val="none" w:sz="0" w:space="0" w:color="auto"/>
                    <w:left w:val="none" w:sz="0" w:space="0" w:color="auto"/>
                    <w:bottom w:val="none" w:sz="0" w:space="0" w:color="auto"/>
                    <w:right w:val="none" w:sz="0" w:space="0" w:color="auto"/>
                  </w:divBdr>
                  <w:divsChild>
                    <w:div w:id="929697430">
                      <w:marLeft w:val="0"/>
                      <w:marRight w:val="0"/>
                      <w:marTop w:val="0"/>
                      <w:marBottom w:val="0"/>
                      <w:divBdr>
                        <w:top w:val="none" w:sz="0" w:space="0" w:color="auto"/>
                        <w:left w:val="none" w:sz="0" w:space="0" w:color="auto"/>
                        <w:bottom w:val="none" w:sz="0" w:space="0" w:color="auto"/>
                        <w:right w:val="none" w:sz="0" w:space="0" w:color="auto"/>
                      </w:divBdr>
                    </w:div>
                  </w:divsChild>
                </w:div>
                <w:div w:id="554900626">
                  <w:marLeft w:val="0"/>
                  <w:marRight w:val="0"/>
                  <w:marTop w:val="0"/>
                  <w:marBottom w:val="0"/>
                  <w:divBdr>
                    <w:top w:val="none" w:sz="0" w:space="0" w:color="auto"/>
                    <w:left w:val="none" w:sz="0" w:space="0" w:color="auto"/>
                    <w:bottom w:val="none" w:sz="0" w:space="0" w:color="auto"/>
                    <w:right w:val="none" w:sz="0" w:space="0" w:color="auto"/>
                  </w:divBdr>
                </w:div>
                <w:div w:id="15884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9375">
      <w:bodyDiv w:val="1"/>
      <w:marLeft w:val="0"/>
      <w:marRight w:val="0"/>
      <w:marTop w:val="0"/>
      <w:marBottom w:val="0"/>
      <w:divBdr>
        <w:top w:val="none" w:sz="0" w:space="0" w:color="auto"/>
        <w:left w:val="none" w:sz="0" w:space="0" w:color="auto"/>
        <w:bottom w:val="none" w:sz="0" w:space="0" w:color="auto"/>
        <w:right w:val="none" w:sz="0" w:space="0" w:color="auto"/>
      </w:divBdr>
    </w:div>
    <w:div w:id="941956073">
      <w:bodyDiv w:val="1"/>
      <w:marLeft w:val="0"/>
      <w:marRight w:val="0"/>
      <w:marTop w:val="0"/>
      <w:marBottom w:val="0"/>
      <w:divBdr>
        <w:top w:val="none" w:sz="0" w:space="0" w:color="auto"/>
        <w:left w:val="none" w:sz="0" w:space="0" w:color="auto"/>
        <w:bottom w:val="none" w:sz="0" w:space="0" w:color="auto"/>
        <w:right w:val="none" w:sz="0" w:space="0" w:color="auto"/>
      </w:divBdr>
    </w:div>
    <w:div w:id="953946574">
      <w:bodyDiv w:val="1"/>
      <w:marLeft w:val="0"/>
      <w:marRight w:val="0"/>
      <w:marTop w:val="0"/>
      <w:marBottom w:val="0"/>
      <w:divBdr>
        <w:top w:val="none" w:sz="0" w:space="0" w:color="auto"/>
        <w:left w:val="none" w:sz="0" w:space="0" w:color="auto"/>
        <w:bottom w:val="none" w:sz="0" w:space="0" w:color="auto"/>
        <w:right w:val="none" w:sz="0" w:space="0" w:color="auto"/>
      </w:divBdr>
    </w:div>
    <w:div w:id="955453282">
      <w:bodyDiv w:val="1"/>
      <w:marLeft w:val="0"/>
      <w:marRight w:val="0"/>
      <w:marTop w:val="0"/>
      <w:marBottom w:val="0"/>
      <w:divBdr>
        <w:top w:val="none" w:sz="0" w:space="0" w:color="auto"/>
        <w:left w:val="none" w:sz="0" w:space="0" w:color="auto"/>
        <w:bottom w:val="none" w:sz="0" w:space="0" w:color="auto"/>
        <w:right w:val="none" w:sz="0" w:space="0" w:color="auto"/>
      </w:divBdr>
    </w:div>
    <w:div w:id="962032807">
      <w:bodyDiv w:val="1"/>
      <w:marLeft w:val="0"/>
      <w:marRight w:val="0"/>
      <w:marTop w:val="0"/>
      <w:marBottom w:val="0"/>
      <w:divBdr>
        <w:top w:val="none" w:sz="0" w:space="0" w:color="auto"/>
        <w:left w:val="none" w:sz="0" w:space="0" w:color="auto"/>
        <w:bottom w:val="none" w:sz="0" w:space="0" w:color="auto"/>
        <w:right w:val="none" w:sz="0" w:space="0" w:color="auto"/>
      </w:divBdr>
      <w:divsChild>
        <w:div w:id="1231581508">
          <w:marLeft w:val="720"/>
          <w:marRight w:val="0"/>
          <w:marTop w:val="115"/>
          <w:marBottom w:val="60"/>
          <w:divBdr>
            <w:top w:val="none" w:sz="0" w:space="0" w:color="auto"/>
            <w:left w:val="none" w:sz="0" w:space="0" w:color="auto"/>
            <w:bottom w:val="none" w:sz="0" w:space="0" w:color="auto"/>
            <w:right w:val="none" w:sz="0" w:space="0" w:color="auto"/>
          </w:divBdr>
        </w:div>
        <w:div w:id="1287926155">
          <w:marLeft w:val="1166"/>
          <w:marRight w:val="0"/>
          <w:marTop w:val="0"/>
          <w:marBottom w:val="0"/>
          <w:divBdr>
            <w:top w:val="none" w:sz="0" w:space="0" w:color="auto"/>
            <w:left w:val="none" w:sz="0" w:space="0" w:color="auto"/>
            <w:bottom w:val="none" w:sz="0" w:space="0" w:color="auto"/>
            <w:right w:val="none" w:sz="0" w:space="0" w:color="auto"/>
          </w:divBdr>
        </w:div>
      </w:divsChild>
    </w:div>
    <w:div w:id="966737206">
      <w:bodyDiv w:val="1"/>
      <w:marLeft w:val="0"/>
      <w:marRight w:val="0"/>
      <w:marTop w:val="0"/>
      <w:marBottom w:val="0"/>
      <w:divBdr>
        <w:top w:val="none" w:sz="0" w:space="0" w:color="auto"/>
        <w:left w:val="none" w:sz="0" w:space="0" w:color="auto"/>
        <w:bottom w:val="none" w:sz="0" w:space="0" w:color="auto"/>
        <w:right w:val="none" w:sz="0" w:space="0" w:color="auto"/>
      </w:divBdr>
    </w:div>
    <w:div w:id="1004086654">
      <w:bodyDiv w:val="1"/>
      <w:marLeft w:val="0"/>
      <w:marRight w:val="0"/>
      <w:marTop w:val="0"/>
      <w:marBottom w:val="0"/>
      <w:divBdr>
        <w:top w:val="none" w:sz="0" w:space="0" w:color="auto"/>
        <w:left w:val="none" w:sz="0" w:space="0" w:color="auto"/>
        <w:bottom w:val="none" w:sz="0" w:space="0" w:color="auto"/>
        <w:right w:val="none" w:sz="0" w:space="0" w:color="auto"/>
      </w:divBdr>
    </w:div>
    <w:div w:id="1026910434">
      <w:bodyDiv w:val="1"/>
      <w:marLeft w:val="0"/>
      <w:marRight w:val="0"/>
      <w:marTop w:val="0"/>
      <w:marBottom w:val="0"/>
      <w:divBdr>
        <w:top w:val="none" w:sz="0" w:space="0" w:color="auto"/>
        <w:left w:val="none" w:sz="0" w:space="0" w:color="auto"/>
        <w:bottom w:val="none" w:sz="0" w:space="0" w:color="auto"/>
        <w:right w:val="none" w:sz="0" w:space="0" w:color="auto"/>
      </w:divBdr>
    </w:div>
    <w:div w:id="1043403853">
      <w:bodyDiv w:val="1"/>
      <w:marLeft w:val="0"/>
      <w:marRight w:val="0"/>
      <w:marTop w:val="0"/>
      <w:marBottom w:val="0"/>
      <w:divBdr>
        <w:top w:val="none" w:sz="0" w:space="0" w:color="auto"/>
        <w:left w:val="none" w:sz="0" w:space="0" w:color="auto"/>
        <w:bottom w:val="none" w:sz="0" w:space="0" w:color="auto"/>
        <w:right w:val="none" w:sz="0" w:space="0" w:color="auto"/>
      </w:divBdr>
    </w:div>
    <w:div w:id="1044519768">
      <w:bodyDiv w:val="1"/>
      <w:marLeft w:val="0"/>
      <w:marRight w:val="0"/>
      <w:marTop w:val="0"/>
      <w:marBottom w:val="0"/>
      <w:divBdr>
        <w:top w:val="none" w:sz="0" w:space="0" w:color="auto"/>
        <w:left w:val="none" w:sz="0" w:space="0" w:color="auto"/>
        <w:bottom w:val="none" w:sz="0" w:space="0" w:color="auto"/>
        <w:right w:val="none" w:sz="0" w:space="0" w:color="auto"/>
      </w:divBdr>
      <w:divsChild>
        <w:div w:id="2117172698">
          <w:marLeft w:val="0"/>
          <w:marRight w:val="0"/>
          <w:marTop w:val="0"/>
          <w:marBottom w:val="0"/>
          <w:divBdr>
            <w:top w:val="none" w:sz="0" w:space="0" w:color="auto"/>
            <w:left w:val="none" w:sz="0" w:space="0" w:color="auto"/>
            <w:bottom w:val="none" w:sz="0" w:space="0" w:color="auto"/>
            <w:right w:val="none" w:sz="0" w:space="0" w:color="auto"/>
          </w:divBdr>
        </w:div>
      </w:divsChild>
    </w:div>
    <w:div w:id="1051539602">
      <w:bodyDiv w:val="1"/>
      <w:marLeft w:val="0"/>
      <w:marRight w:val="0"/>
      <w:marTop w:val="0"/>
      <w:marBottom w:val="0"/>
      <w:divBdr>
        <w:top w:val="none" w:sz="0" w:space="0" w:color="auto"/>
        <w:left w:val="none" w:sz="0" w:space="0" w:color="auto"/>
        <w:bottom w:val="none" w:sz="0" w:space="0" w:color="auto"/>
        <w:right w:val="none" w:sz="0" w:space="0" w:color="auto"/>
      </w:divBdr>
    </w:div>
    <w:div w:id="1105926268">
      <w:bodyDiv w:val="1"/>
      <w:marLeft w:val="0"/>
      <w:marRight w:val="0"/>
      <w:marTop w:val="0"/>
      <w:marBottom w:val="0"/>
      <w:divBdr>
        <w:top w:val="none" w:sz="0" w:space="0" w:color="auto"/>
        <w:left w:val="none" w:sz="0" w:space="0" w:color="auto"/>
        <w:bottom w:val="none" w:sz="0" w:space="0" w:color="auto"/>
        <w:right w:val="none" w:sz="0" w:space="0" w:color="auto"/>
      </w:divBdr>
      <w:divsChild>
        <w:div w:id="878202100">
          <w:marLeft w:val="0"/>
          <w:marRight w:val="0"/>
          <w:marTop w:val="0"/>
          <w:marBottom w:val="0"/>
          <w:divBdr>
            <w:top w:val="none" w:sz="0" w:space="0" w:color="auto"/>
            <w:left w:val="none" w:sz="0" w:space="0" w:color="auto"/>
            <w:bottom w:val="none" w:sz="0" w:space="0" w:color="auto"/>
            <w:right w:val="none" w:sz="0" w:space="0" w:color="auto"/>
          </w:divBdr>
          <w:divsChild>
            <w:div w:id="552667339">
              <w:marLeft w:val="0"/>
              <w:marRight w:val="0"/>
              <w:marTop w:val="0"/>
              <w:marBottom w:val="375"/>
              <w:divBdr>
                <w:top w:val="none" w:sz="0" w:space="0" w:color="auto"/>
                <w:left w:val="none" w:sz="0" w:space="0" w:color="auto"/>
                <w:bottom w:val="single" w:sz="6" w:space="0" w:color="DEDFE3"/>
                <w:right w:val="none" w:sz="0" w:space="0" w:color="auto"/>
              </w:divBdr>
            </w:div>
            <w:div w:id="2106878765">
              <w:marLeft w:val="0"/>
              <w:marRight w:val="0"/>
              <w:marTop w:val="0"/>
              <w:marBottom w:val="0"/>
              <w:divBdr>
                <w:top w:val="none" w:sz="0" w:space="0" w:color="auto"/>
                <w:left w:val="none" w:sz="0" w:space="0" w:color="auto"/>
                <w:bottom w:val="none" w:sz="0" w:space="0" w:color="auto"/>
                <w:right w:val="none" w:sz="0" w:space="0" w:color="auto"/>
              </w:divBdr>
              <w:divsChild>
                <w:div w:id="739137251">
                  <w:marLeft w:val="0"/>
                  <w:marRight w:val="0"/>
                  <w:marTop w:val="0"/>
                  <w:marBottom w:val="0"/>
                  <w:divBdr>
                    <w:top w:val="none" w:sz="0" w:space="0" w:color="auto"/>
                    <w:left w:val="none" w:sz="0" w:space="0" w:color="auto"/>
                    <w:bottom w:val="none" w:sz="0" w:space="0" w:color="auto"/>
                    <w:right w:val="none" w:sz="0" w:space="0" w:color="auto"/>
                  </w:divBdr>
                  <w:divsChild>
                    <w:div w:id="195968406">
                      <w:marLeft w:val="0"/>
                      <w:marRight w:val="0"/>
                      <w:marTop w:val="0"/>
                      <w:marBottom w:val="0"/>
                      <w:divBdr>
                        <w:top w:val="none" w:sz="0" w:space="0" w:color="auto"/>
                        <w:left w:val="none" w:sz="0" w:space="0" w:color="auto"/>
                        <w:bottom w:val="none" w:sz="0" w:space="0" w:color="auto"/>
                        <w:right w:val="none" w:sz="0" w:space="0" w:color="auto"/>
                      </w:divBdr>
                    </w:div>
                  </w:divsChild>
                </w:div>
                <w:div w:id="1320842526">
                  <w:marLeft w:val="0"/>
                  <w:marRight w:val="0"/>
                  <w:marTop w:val="0"/>
                  <w:marBottom w:val="0"/>
                  <w:divBdr>
                    <w:top w:val="none" w:sz="0" w:space="0" w:color="auto"/>
                    <w:left w:val="none" w:sz="0" w:space="0" w:color="auto"/>
                    <w:bottom w:val="none" w:sz="0" w:space="0" w:color="auto"/>
                    <w:right w:val="none" w:sz="0" w:space="0" w:color="auto"/>
                  </w:divBdr>
                </w:div>
                <w:div w:id="16527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6682">
      <w:bodyDiv w:val="1"/>
      <w:marLeft w:val="0"/>
      <w:marRight w:val="0"/>
      <w:marTop w:val="0"/>
      <w:marBottom w:val="0"/>
      <w:divBdr>
        <w:top w:val="none" w:sz="0" w:space="0" w:color="auto"/>
        <w:left w:val="none" w:sz="0" w:space="0" w:color="auto"/>
        <w:bottom w:val="none" w:sz="0" w:space="0" w:color="auto"/>
        <w:right w:val="none" w:sz="0" w:space="0" w:color="auto"/>
      </w:divBdr>
    </w:div>
    <w:div w:id="1118060212">
      <w:bodyDiv w:val="1"/>
      <w:marLeft w:val="0"/>
      <w:marRight w:val="0"/>
      <w:marTop w:val="0"/>
      <w:marBottom w:val="0"/>
      <w:divBdr>
        <w:top w:val="none" w:sz="0" w:space="0" w:color="auto"/>
        <w:left w:val="none" w:sz="0" w:space="0" w:color="auto"/>
        <w:bottom w:val="none" w:sz="0" w:space="0" w:color="auto"/>
        <w:right w:val="none" w:sz="0" w:space="0" w:color="auto"/>
      </w:divBdr>
    </w:div>
    <w:div w:id="1135370709">
      <w:bodyDiv w:val="1"/>
      <w:marLeft w:val="0"/>
      <w:marRight w:val="0"/>
      <w:marTop w:val="0"/>
      <w:marBottom w:val="0"/>
      <w:divBdr>
        <w:top w:val="none" w:sz="0" w:space="0" w:color="auto"/>
        <w:left w:val="none" w:sz="0" w:space="0" w:color="auto"/>
        <w:bottom w:val="none" w:sz="0" w:space="0" w:color="auto"/>
        <w:right w:val="none" w:sz="0" w:space="0" w:color="auto"/>
      </w:divBdr>
    </w:div>
    <w:div w:id="1138036554">
      <w:bodyDiv w:val="1"/>
      <w:marLeft w:val="0"/>
      <w:marRight w:val="0"/>
      <w:marTop w:val="0"/>
      <w:marBottom w:val="0"/>
      <w:divBdr>
        <w:top w:val="none" w:sz="0" w:space="0" w:color="auto"/>
        <w:left w:val="none" w:sz="0" w:space="0" w:color="auto"/>
        <w:bottom w:val="none" w:sz="0" w:space="0" w:color="auto"/>
        <w:right w:val="none" w:sz="0" w:space="0" w:color="auto"/>
      </w:divBdr>
    </w:div>
    <w:div w:id="1221474584">
      <w:bodyDiv w:val="1"/>
      <w:marLeft w:val="0"/>
      <w:marRight w:val="0"/>
      <w:marTop w:val="0"/>
      <w:marBottom w:val="0"/>
      <w:divBdr>
        <w:top w:val="none" w:sz="0" w:space="0" w:color="auto"/>
        <w:left w:val="none" w:sz="0" w:space="0" w:color="auto"/>
        <w:bottom w:val="none" w:sz="0" w:space="0" w:color="auto"/>
        <w:right w:val="none" w:sz="0" w:space="0" w:color="auto"/>
      </w:divBdr>
    </w:div>
    <w:div w:id="1238400212">
      <w:bodyDiv w:val="1"/>
      <w:marLeft w:val="0"/>
      <w:marRight w:val="0"/>
      <w:marTop w:val="0"/>
      <w:marBottom w:val="0"/>
      <w:divBdr>
        <w:top w:val="none" w:sz="0" w:space="0" w:color="auto"/>
        <w:left w:val="none" w:sz="0" w:space="0" w:color="auto"/>
        <w:bottom w:val="none" w:sz="0" w:space="0" w:color="auto"/>
        <w:right w:val="none" w:sz="0" w:space="0" w:color="auto"/>
      </w:divBdr>
    </w:div>
    <w:div w:id="1257405641">
      <w:bodyDiv w:val="1"/>
      <w:marLeft w:val="0"/>
      <w:marRight w:val="0"/>
      <w:marTop w:val="0"/>
      <w:marBottom w:val="0"/>
      <w:divBdr>
        <w:top w:val="none" w:sz="0" w:space="0" w:color="auto"/>
        <w:left w:val="none" w:sz="0" w:space="0" w:color="auto"/>
        <w:bottom w:val="none" w:sz="0" w:space="0" w:color="auto"/>
        <w:right w:val="none" w:sz="0" w:space="0" w:color="auto"/>
      </w:divBdr>
    </w:div>
    <w:div w:id="1258715178">
      <w:bodyDiv w:val="1"/>
      <w:marLeft w:val="0"/>
      <w:marRight w:val="0"/>
      <w:marTop w:val="0"/>
      <w:marBottom w:val="0"/>
      <w:divBdr>
        <w:top w:val="none" w:sz="0" w:space="0" w:color="auto"/>
        <w:left w:val="none" w:sz="0" w:space="0" w:color="auto"/>
        <w:bottom w:val="none" w:sz="0" w:space="0" w:color="auto"/>
        <w:right w:val="none" w:sz="0" w:space="0" w:color="auto"/>
      </w:divBdr>
    </w:div>
    <w:div w:id="1313876335">
      <w:bodyDiv w:val="1"/>
      <w:marLeft w:val="0"/>
      <w:marRight w:val="0"/>
      <w:marTop w:val="0"/>
      <w:marBottom w:val="0"/>
      <w:divBdr>
        <w:top w:val="none" w:sz="0" w:space="0" w:color="auto"/>
        <w:left w:val="none" w:sz="0" w:space="0" w:color="auto"/>
        <w:bottom w:val="none" w:sz="0" w:space="0" w:color="auto"/>
        <w:right w:val="none" w:sz="0" w:space="0" w:color="auto"/>
      </w:divBdr>
    </w:div>
    <w:div w:id="1315992481">
      <w:bodyDiv w:val="1"/>
      <w:marLeft w:val="0"/>
      <w:marRight w:val="0"/>
      <w:marTop w:val="0"/>
      <w:marBottom w:val="0"/>
      <w:divBdr>
        <w:top w:val="none" w:sz="0" w:space="0" w:color="auto"/>
        <w:left w:val="none" w:sz="0" w:space="0" w:color="auto"/>
        <w:bottom w:val="none" w:sz="0" w:space="0" w:color="auto"/>
        <w:right w:val="none" w:sz="0" w:space="0" w:color="auto"/>
      </w:divBdr>
      <w:divsChild>
        <w:div w:id="601566937">
          <w:marLeft w:val="547"/>
          <w:marRight w:val="0"/>
          <w:marTop w:val="86"/>
          <w:marBottom w:val="120"/>
          <w:divBdr>
            <w:top w:val="none" w:sz="0" w:space="0" w:color="auto"/>
            <w:left w:val="none" w:sz="0" w:space="0" w:color="auto"/>
            <w:bottom w:val="none" w:sz="0" w:space="0" w:color="auto"/>
            <w:right w:val="none" w:sz="0" w:space="0" w:color="auto"/>
          </w:divBdr>
        </w:div>
      </w:divsChild>
    </w:div>
    <w:div w:id="1345091312">
      <w:bodyDiv w:val="1"/>
      <w:marLeft w:val="0"/>
      <w:marRight w:val="0"/>
      <w:marTop w:val="0"/>
      <w:marBottom w:val="0"/>
      <w:divBdr>
        <w:top w:val="none" w:sz="0" w:space="0" w:color="auto"/>
        <w:left w:val="none" w:sz="0" w:space="0" w:color="auto"/>
        <w:bottom w:val="none" w:sz="0" w:space="0" w:color="auto"/>
        <w:right w:val="none" w:sz="0" w:space="0" w:color="auto"/>
      </w:divBdr>
    </w:div>
    <w:div w:id="1346439598">
      <w:bodyDiv w:val="1"/>
      <w:marLeft w:val="0"/>
      <w:marRight w:val="0"/>
      <w:marTop w:val="0"/>
      <w:marBottom w:val="0"/>
      <w:divBdr>
        <w:top w:val="none" w:sz="0" w:space="0" w:color="auto"/>
        <w:left w:val="none" w:sz="0" w:space="0" w:color="auto"/>
        <w:bottom w:val="none" w:sz="0" w:space="0" w:color="auto"/>
        <w:right w:val="none" w:sz="0" w:space="0" w:color="auto"/>
      </w:divBdr>
    </w:div>
    <w:div w:id="1364402710">
      <w:bodyDiv w:val="1"/>
      <w:marLeft w:val="0"/>
      <w:marRight w:val="0"/>
      <w:marTop w:val="0"/>
      <w:marBottom w:val="0"/>
      <w:divBdr>
        <w:top w:val="none" w:sz="0" w:space="0" w:color="auto"/>
        <w:left w:val="none" w:sz="0" w:space="0" w:color="auto"/>
        <w:bottom w:val="none" w:sz="0" w:space="0" w:color="auto"/>
        <w:right w:val="none" w:sz="0" w:space="0" w:color="auto"/>
      </w:divBdr>
    </w:div>
    <w:div w:id="1369722273">
      <w:bodyDiv w:val="1"/>
      <w:marLeft w:val="0"/>
      <w:marRight w:val="0"/>
      <w:marTop w:val="0"/>
      <w:marBottom w:val="0"/>
      <w:divBdr>
        <w:top w:val="none" w:sz="0" w:space="0" w:color="auto"/>
        <w:left w:val="none" w:sz="0" w:space="0" w:color="auto"/>
        <w:bottom w:val="none" w:sz="0" w:space="0" w:color="auto"/>
        <w:right w:val="none" w:sz="0" w:space="0" w:color="auto"/>
      </w:divBdr>
    </w:div>
    <w:div w:id="1377201094">
      <w:bodyDiv w:val="1"/>
      <w:marLeft w:val="0"/>
      <w:marRight w:val="0"/>
      <w:marTop w:val="0"/>
      <w:marBottom w:val="0"/>
      <w:divBdr>
        <w:top w:val="none" w:sz="0" w:space="0" w:color="auto"/>
        <w:left w:val="none" w:sz="0" w:space="0" w:color="auto"/>
        <w:bottom w:val="none" w:sz="0" w:space="0" w:color="auto"/>
        <w:right w:val="none" w:sz="0" w:space="0" w:color="auto"/>
      </w:divBdr>
    </w:div>
    <w:div w:id="1412044680">
      <w:bodyDiv w:val="1"/>
      <w:marLeft w:val="0"/>
      <w:marRight w:val="0"/>
      <w:marTop w:val="0"/>
      <w:marBottom w:val="0"/>
      <w:divBdr>
        <w:top w:val="none" w:sz="0" w:space="0" w:color="auto"/>
        <w:left w:val="none" w:sz="0" w:space="0" w:color="auto"/>
        <w:bottom w:val="none" w:sz="0" w:space="0" w:color="auto"/>
        <w:right w:val="none" w:sz="0" w:space="0" w:color="auto"/>
      </w:divBdr>
    </w:div>
    <w:div w:id="1497762224">
      <w:bodyDiv w:val="1"/>
      <w:marLeft w:val="0"/>
      <w:marRight w:val="0"/>
      <w:marTop w:val="0"/>
      <w:marBottom w:val="0"/>
      <w:divBdr>
        <w:top w:val="none" w:sz="0" w:space="0" w:color="auto"/>
        <w:left w:val="none" w:sz="0" w:space="0" w:color="auto"/>
        <w:bottom w:val="none" w:sz="0" w:space="0" w:color="auto"/>
        <w:right w:val="none" w:sz="0" w:space="0" w:color="auto"/>
      </w:divBdr>
    </w:div>
    <w:div w:id="1509365667">
      <w:bodyDiv w:val="1"/>
      <w:marLeft w:val="0"/>
      <w:marRight w:val="0"/>
      <w:marTop w:val="0"/>
      <w:marBottom w:val="0"/>
      <w:divBdr>
        <w:top w:val="none" w:sz="0" w:space="0" w:color="auto"/>
        <w:left w:val="none" w:sz="0" w:space="0" w:color="auto"/>
        <w:bottom w:val="none" w:sz="0" w:space="0" w:color="auto"/>
        <w:right w:val="none" w:sz="0" w:space="0" w:color="auto"/>
      </w:divBdr>
    </w:div>
    <w:div w:id="1510095296">
      <w:bodyDiv w:val="1"/>
      <w:marLeft w:val="0"/>
      <w:marRight w:val="0"/>
      <w:marTop w:val="0"/>
      <w:marBottom w:val="0"/>
      <w:divBdr>
        <w:top w:val="none" w:sz="0" w:space="0" w:color="auto"/>
        <w:left w:val="none" w:sz="0" w:space="0" w:color="auto"/>
        <w:bottom w:val="none" w:sz="0" w:space="0" w:color="auto"/>
        <w:right w:val="none" w:sz="0" w:space="0" w:color="auto"/>
      </w:divBdr>
    </w:div>
    <w:div w:id="1569461601">
      <w:bodyDiv w:val="1"/>
      <w:marLeft w:val="0"/>
      <w:marRight w:val="0"/>
      <w:marTop w:val="0"/>
      <w:marBottom w:val="0"/>
      <w:divBdr>
        <w:top w:val="none" w:sz="0" w:space="0" w:color="auto"/>
        <w:left w:val="none" w:sz="0" w:space="0" w:color="auto"/>
        <w:bottom w:val="none" w:sz="0" w:space="0" w:color="auto"/>
        <w:right w:val="none" w:sz="0" w:space="0" w:color="auto"/>
      </w:divBdr>
    </w:div>
    <w:div w:id="1573076682">
      <w:bodyDiv w:val="1"/>
      <w:marLeft w:val="0"/>
      <w:marRight w:val="0"/>
      <w:marTop w:val="0"/>
      <w:marBottom w:val="0"/>
      <w:divBdr>
        <w:top w:val="none" w:sz="0" w:space="0" w:color="auto"/>
        <w:left w:val="none" w:sz="0" w:space="0" w:color="auto"/>
        <w:bottom w:val="none" w:sz="0" w:space="0" w:color="auto"/>
        <w:right w:val="none" w:sz="0" w:space="0" w:color="auto"/>
      </w:divBdr>
    </w:div>
    <w:div w:id="1612935599">
      <w:bodyDiv w:val="1"/>
      <w:marLeft w:val="0"/>
      <w:marRight w:val="0"/>
      <w:marTop w:val="0"/>
      <w:marBottom w:val="0"/>
      <w:divBdr>
        <w:top w:val="none" w:sz="0" w:space="0" w:color="auto"/>
        <w:left w:val="none" w:sz="0" w:space="0" w:color="auto"/>
        <w:bottom w:val="none" w:sz="0" w:space="0" w:color="auto"/>
        <w:right w:val="none" w:sz="0" w:space="0" w:color="auto"/>
      </w:divBdr>
    </w:div>
    <w:div w:id="1619799531">
      <w:bodyDiv w:val="1"/>
      <w:marLeft w:val="0"/>
      <w:marRight w:val="0"/>
      <w:marTop w:val="0"/>
      <w:marBottom w:val="0"/>
      <w:divBdr>
        <w:top w:val="none" w:sz="0" w:space="0" w:color="auto"/>
        <w:left w:val="none" w:sz="0" w:space="0" w:color="auto"/>
        <w:bottom w:val="none" w:sz="0" w:space="0" w:color="auto"/>
        <w:right w:val="none" w:sz="0" w:space="0" w:color="auto"/>
      </w:divBdr>
    </w:div>
    <w:div w:id="1647933712">
      <w:bodyDiv w:val="1"/>
      <w:marLeft w:val="0"/>
      <w:marRight w:val="0"/>
      <w:marTop w:val="0"/>
      <w:marBottom w:val="0"/>
      <w:divBdr>
        <w:top w:val="none" w:sz="0" w:space="0" w:color="auto"/>
        <w:left w:val="none" w:sz="0" w:space="0" w:color="auto"/>
        <w:bottom w:val="none" w:sz="0" w:space="0" w:color="auto"/>
        <w:right w:val="none" w:sz="0" w:space="0" w:color="auto"/>
      </w:divBdr>
    </w:div>
    <w:div w:id="1660498641">
      <w:bodyDiv w:val="1"/>
      <w:marLeft w:val="0"/>
      <w:marRight w:val="0"/>
      <w:marTop w:val="0"/>
      <w:marBottom w:val="0"/>
      <w:divBdr>
        <w:top w:val="none" w:sz="0" w:space="0" w:color="auto"/>
        <w:left w:val="none" w:sz="0" w:space="0" w:color="auto"/>
        <w:bottom w:val="none" w:sz="0" w:space="0" w:color="auto"/>
        <w:right w:val="none" w:sz="0" w:space="0" w:color="auto"/>
      </w:divBdr>
    </w:div>
    <w:div w:id="1685596382">
      <w:bodyDiv w:val="1"/>
      <w:marLeft w:val="0"/>
      <w:marRight w:val="0"/>
      <w:marTop w:val="0"/>
      <w:marBottom w:val="0"/>
      <w:divBdr>
        <w:top w:val="none" w:sz="0" w:space="0" w:color="auto"/>
        <w:left w:val="none" w:sz="0" w:space="0" w:color="auto"/>
        <w:bottom w:val="none" w:sz="0" w:space="0" w:color="auto"/>
        <w:right w:val="none" w:sz="0" w:space="0" w:color="auto"/>
      </w:divBdr>
    </w:div>
    <w:div w:id="1692606017">
      <w:bodyDiv w:val="1"/>
      <w:marLeft w:val="0"/>
      <w:marRight w:val="0"/>
      <w:marTop w:val="0"/>
      <w:marBottom w:val="0"/>
      <w:divBdr>
        <w:top w:val="none" w:sz="0" w:space="0" w:color="auto"/>
        <w:left w:val="none" w:sz="0" w:space="0" w:color="auto"/>
        <w:bottom w:val="none" w:sz="0" w:space="0" w:color="auto"/>
        <w:right w:val="none" w:sz="0" w:space="0" w:color="auto"/>
      </w:divBdr>
    </w:div>
    <w:div w:id="1714690340">
      <w:bodyDiv w:val="1"/>
      <w:marLeft w:val="0"/>
      <w:marRight w:val="0"/>
      <w:marTop w:val="0"/>
      <w:marBottom w:val="0"/>
      <w:divBdr>
        <w:top w:val="none" w:sz="0" w:space="0" w:color="auto"/>
        <w:left w:val="none" w:sz="0" w:space="0" w:color="auto"/>
        <w:bottom w:val="none" w:sz="0" w:space="0" w:color="auto"/>
        <w:right w:val="none" w:sz="0" w:space="0" w:color="auto"/>
      </w:divBdr>
    </w:div>
    <w:div w:id="1717662003">
      <w:bodyDiv w:val="1"/>
      <w:marLeft w:val="0"/>
      <w:marRight w:val="0"/>
      <w:marTop w:val="0"/>
      <w:marBottom w:val="0"/>
      <w:divBdr>
        <w:top w:val="none" w:sz="0" w:space="0" w:color="auto"/>
        <w:left w:val="none" w:sz="0" w:space="0" w:color="auto"/>
        <w:bottom w:val="none" w:sz="0" w:space="0" w:color="auto"/>
        <w:right w:val="none" w:sz="0" w:space="0" w:color="auto"/>
      </w:divBdr>
    </w:div>
    <w:div w:id="1719360352">
      <w:bodyDiv w:val="1"/>
      <w:marLeft w:val="0"/>
      <w:marRight w:val="0"/>
      <w:marTop w:val="0"/>
      <w:marBottom w:val="0"/>
      <w:divBdr>
        <w:top w:val="none" w:sz="0" w:space="0" w:color="auto"/>
        <w:left w:val="none" w:sz="0" w:space="0" w:color="auto"/>
        <w:bottom w:val="none" w:sz="0" w:space="0" w:color="auto"/>
        <w:right w:val="none" w:sz="0" w:space="0" w:color="auto"/>
      </w:divBdr>
    </w:div>
    <w:div w:id="1760830512">
      <w:bodyDiv w:val="1"/>
      <w:marLeft w:val="0"/>
      <w:marRight w:val="0"/>
      <w:marTop w:val="0"/>
      <w:marBottom w:val="0"/>
      <w:divBdr>
        <w:top w:val="none" w:sz="0" w:space="0" w:color="auto"/>
        <w:left w:val="none" w:sz="0" w:space="0" w:color="auto"/>
        <w:bottom w:val="none" w:sz="0" w:space="0" w:color="auto"/>
        <w:right w:val="none" w:sz="0" w:space="0" w:color="auto"/>
      </w:divBdr>
    </w:div>
    <w:div w:id="1802992469">
      <w:bodyDiv w:val="1"/>
      <w:marLeft w:val="0"/>
      <w:marRight w:val="0"/>
      <w:marTop w:val="0"/>
      <w:marBottom w:val="0"/>
      <w:divBdr>
        <w:top w:val="none" w:sz="0" w:space="0" w:color="auto"/>
        <w:left w:val="none" w:sz="0" w:space="0" w:color="auto"/>
        <w:bottom w:val="none" w:sz="0" w:space="0" w:color="auto"/>
        <w:right w:val="none" w:sz="0" w:space="0" w:color="auto"/>
      </w:divBdr>
      <w:divsChild>
        <w:div w:id="26177565">
          <w:marLeft w:val="547"/>
          <w:marRight w:val="0"/>
          <w:marTop w:val="0"/>
          <w:marBottom w:val="0"/>
          <w:divBdr>
            <w:top w:val="none" w:sz="0" w:space="0" w:color="auto"/>
            <w:left w:val="none" w:sz="0" w:space="0" w:color="auto"/>
            <w:bottom w:val="none" w:sz="0" w:space="0" w:color="auto"/>
            <w:right w:val="none" w:sz="0" w:space="0" w:color="auto"/>
          </w:divBdr>
        </w:div>
        <w:div w:id="188228385">
          <w:marLeft w:val="547"/>
          <w:marRight w:val="0"/>
          <w:marTop w:val="0"/>
          <w:marBottom w:val="0"/>
          <w:divBdr>
            <w:top w:val="none" w:sz="0" w:space="0" w:color="auto"/>
            <w:left w:val="none" w:sz="0" w:space="0" w:color="auto"/>
            <w:bottom w:val="none" w:sz="0" w:space="0" w:color="auto"/>
            <w:right w:val="none" w:sz="0" w:space="0" w:color="auto"/>
          </w:divBdr>
        </w:div>
        <w:div w:id="331683579">
          <w:marLeft w:val="547"/>
          <w:marRight w:val="0"/>
          <w:marTop w:val="0"/>
          <w:marBottom w:val="0"/>
          <w:divBdr>
            <w:top w:val="none" w:sz="0" w:space="0" w:color="auto"/>
            <w:left w:val="none" w:sz="0" w:space="0" w:color="auto"/>
            <w:bottom w:val="none" w:sz="0" w:space="0" w:color="auto"/>
            <w:right w:val="none" w:sz="0" w:space="0" w:color="auto"/>
          </w:divBdr>
        </w:div>
        <w:div w:id="334839846">
          <w:marLeft w:val="547"/>
          <w:marRight w:val="0"/>
          <w:marTop w:val="0"/>
          <w:marBottom w:val="0"/>
          <w:divBdr>
            <w:top w:val="none" w:sz="0" w:space="0" w:color="auto"/>
            <w:left w:val="none" w:sz="0" w:space="0" w:color="auto"/>
            <w:bottom w:val="none" w:sz="0" w:space="0" w:color="auto"/>
            <w:right w:val="none" w:sz="0" w:space="0" w:color="auto"/>
          </w:divBdr>
        </w:div>
        <w:div w:id="521824678">
          <w:marLeft w:val="547"/>
          <w:marRight w:val="0"/>
          <w:marTop w:val="0"/>
          <w:marBottom w:val="0"/>
          <w:divBdr>
            <w:top w:val="none" w:sz="0" w:space="0" w:color="auto"/>
            <w:left w:val="none" w:sz="0" w:space="0" w:color="auto"/>
            <w:bottom w:val="none" w:sz="0" w:space="0" w:color="auto"/>
            <w:right w:val="none" w:sz="0" w:space="0" w:color="auto"/>
          </w:divBdr>
        </w:div>
        <w:div w:id="588466929">
          <w:marLeft w:val="547"/>
          <w:marRight w:val="0"/>
          <w:marTop w:val="0"/>
          <w:marBottom w:val="0"/>
          <w:divBdr>
            <w:top w:val="none" w:sz="0" w:space="0" w:color="auto"/>
            <w:left w:val="none" w:sz="0" w:space="0" w:color="auto"/>
            <w:bottom w:val="none" w:sz="0" w:space="0" w:color="auto"/>
            <w:right w:val="none" w:sz="0" w:space="0" w:color="auto"/>
          </w:divBdr>
        </w:div>
        <w:div w:id="679433594">
          <w:marLeft w:val="547"/>
          <w:marRight w:val="0"/>
          <w:marTop w:val="0"/>
          <w:marBottom w:val="0"/>
          <w:divBdr>
            <w:top w:val="none" w:sz="0" w:space="0" w:color="auto"/>
            <w:left w:val="none" w:sz="0" w:space="0" w:color="auto"/>
            <w:bottom w:val="none" w:sz="0" w:space="0" w:color="auto"/>
            <w:right w:val="none" w:sz="0" w:space="0" w:color="auto"/>
          </w:divBdr>
        </w:div>
        <w:div w:id="994918422">
          <w:marLeft w:val="547"/>
          <w:marRight w:val="0"/>
          <w:marTop w:val="0"/>
          <w:marBottom w:val="0"/>
          <w:divBdr>
            <w:top w:val="none" w:sz="0" w:space="0" w:color="auto"/>
            <w:left w:val="none" w:sz="0" w:space="0" w:color="auto"/>
            <w:bottom w:val="none" w:sz="0" w:space="0" w:color="auto"/>
            <w:right w:val="none" w:sz="0" w:space="0" w:color="auto"/>
          </w:divBdr>
        </w:div>
        <w:div w:id="1334576641">
          <w:marLeft w:val="547"/>
          <w:marRight w:val="0"/>
          <w:marTop w:val="0"/>
          <w:marBottom w:val="0"/>
          <w:divBdr>
            <w:top w:val="none" w:sz="0" w:space="0" w:color="auto"/>
            <w:left w:val="none" w:sz="0" w:space="0" w:color="auto"/>
            <w:bottom w:val="none" w:sz="0" w:space="0" w:color="auto"/>
            <w:right w:val="none" w:sz="0" w:space="0" w:color="auto"/>
          </w:divBdr>
        </w:div>
        <w:div w:id="1429695634">
          <w:marLeft w:val="547"/>
          <w:marRight w:val="0"/>
          <w:marTop w:val="0"/>
          <w:marBottom w:val="0"/>
          <w:divBdr>
            <w:top w:val="none" w:sz="0" w:space="0" w:color="auto"/>
            <w:left w:val="none" w:sz="0" w:space="0" w:color="auto"/>
            <w:bottom w:val="none" w:sz="0" w:space="0" w:color="auto"/>
            <w:right w:val="none" w:sz="0" w:space="0" w:color="auto"/>
          </w:divBdr>
        </w:div>
        <w:div w:id="1525678390">
          <w:marLeft w:val="547"/>
          <w:marRight w:val="0"/>
          <w:marTop w:val="0"/>
          <w:marBottom w:val="0"/>
          <w:divBdr>
            <w:top w:val="none" w:sz="0" w:space="0" w:color="auto"/>
            <w:left w:val="none" w:sz="0" w:space="0" w:color="auto"/>
            <w:bottom w:val="none" w:sz="0" w:space="0" w:color="auto"/>
            <w:right w:val="none" w:sz="0" w:space="0" w:color="auto"/>
          </w:divBdr>
        </w:div>
        <w:div w:id="1557007451">
          <w:marLeft w:val="547"/>
          <w:marRight w:val="0"/>
          <w:marTop w:val="0"/>
          <w:marBottom w:val="0"/>
          <w:divBdr>
            <w:top w:val="none" w:sz="0" w:space="0" w:color="auto"/>
            <w:left w:val="none" w:sz="0" w:space="0" w:color="auto"/>
            <w:bottom w:val="none" w:sz="0" w:space="0" w:color="auto"/>
            <w:right w:val="none" w:sz="0" w:space="0" w:color="auto"/>
          </w:divBdr>
        </w:div>
        <w:div w:id="1582328336">
          <w:marLeft w:val="547"/>
          <w:marRight w:val="0"/>
          <w:marTop w:val="0"/>
          <w:marBottom w:val="0"/>
          <w:divBdr>
            <w:top w:val="none" w:sz="0" w:space="0" w:color="auto"/>
            <w:left w:val="none" w:sz="0" w:space="0" w:color="auto"/>
            <w:bottom w:val="none" w:sz="0" w:space="0" w:color="auto"/>
            <w:right w:val="none" w:sz="0" w:space="0" w:color="auto"/>
          </w:divBdr>
        </w:div>
        <w:div w:id="1601528390">
          <w:marLeft w:val="547"/>
          <w:marRight w:val="0"/>
          <w:marTop w:val="0"/>
          <w:marBottom w:val="0"/>
          <w:divBdr>
            <w:top w:val="none" w:sz="0" w:space="0" w:color="auto"/>
            <w:left w:val="none" w:sz="0" w:space="0" w:color="auto"/>
            <w:bottom w:val="none" w:sz="0" w:space="0" w:color="auto"/>
            <w:right w:val="none" w:sz="0" w:space="0" w:color="auto"/>
          </w:divBdr>
        </w:div>
        <w:div w:id="1621916472">
          <w:marLeft w:val="547"/>
          <w:marRight w:val="0"/>
          <w:marTop w:val="0"/>
          <w:marBottom w:val="0"/>
          <w:divBdr>
            <w:top w:val="none" w:sz="0" w:space="0" w:color="auto"/>
            <w:left w:val="none" w:sz="0" w:space="0" w:color="auto"/>
            <w:bottom w:val="none" w:sz="0" w:space="0" w:color="auto"/>
            <w:right w:val="none" w:sz="0" w:space="0" w:color="auto"/>
          </w:divBdr>
        </w:div>
        <w:div w:id="1781603149">
          <w:marLeft w:val="547"/>
          <w:marRight w:val="0"/>
          <w:marTop w:val="0"/>
          <w:marBottom w:val="0"/>
          <w:divBdr>
            <w:top w:val="none" w:sz="0" w:space="0" w:color="auto"/>
            <w:left w:val="none" w:sz="0" w:space="0" w:color="auto"/>
            <w:bottom w:val="none" w:sz="0" w:space="0" w:color="auto"/>
            <w:right w:val="none" w:sz="0" w:space="0" w:color="auto"/>
          </w:divBdr>
        </w:div>
        <w:div w:id="1783300676">
          <w:marLeft w:val="547"/>
          <w:marRight w:val="0"/>
          <w:marTop w:val="0"/>
          <w:marBottom w:val="0"/>
          <w:divBdr>
            <w:top w:val="none" w:sz="0" w:space="0" w:color="auto"/>
            <w:left w:val="none" w:sz="0" w:space="0" w:color="auto"/>
            <w:bottom w:val="none" w:sz="0" w:space="0" w:color="auto"/>
            <w:right w:val="none" w:sz="0" w:space="0" w:color="auto"/>
          </w:divBdr>
        </w:div>
        <w:div w:id="1800882663">
          <w:marLeft w:val="547"/>
          <w:marRight w:val="0"/>
          <w:marTop w:val="0"/>
          <w:marBottom w:val="0"/>
          <w:divBdr>
            <w:top w:val="none" w:sz="0" w:space="0" w:color="auto"/>
            <w:left w:val="none" w:sz="0" w:space="0" w:color="auto"/>
            <w:bottom w:val="none" w:sz="0" w:space="0" w:color="auto"/>
            <w:right w:val="none" w:sz="0" w:space="0" w:color="auto"/>
          </w:divBdr>
        </w:div>
        <w:div w:id="1843423077">
          <w:marLeft w:val="547"/>
          <w:marRight w:val="0"/>
          <w:marTop w:val="0"/>
          <w:marBottom w:val="0"/>
          <w:divBdr>
            <w:top w:val="none" w:sz="0" w:space="0" w:color="auto"/>
            <w:left w:val="none" w:sz="0" w:space="0" w:color="auto"/>
            <w:bottom w:val="none" w:sz="0" w:space="0" w:color="auto"/>
            <w:right w:val="none" w:sz="0" w:space="0" w:color="auto"/>
          </w:divBdr>
        </w:div>
        <w:div w:id="1883399956">
          <w:marLeft w:val="547"/>
          <w:marRight w:val="0"/>
          <w:marTop w:val="0"/>
          <w:marBottom w:val="0"/>
          <w:divBdr>
            <w:top w:val="none" w:sz="0" w:space="0" w:color="auto"/>
            <w:left w:val="none" w:sz="0" w:space="0" w:color="auto"/>
            <w:bottom w:val="none" w:sz="0" w:space="0" w:color="auto"/>
            <w:right w:val="none" w:sz="0" w:space="0" w:color="auto"/>
          </w:divBdr>
        </w:div>
        <w:div w:id="1908222753">
          <w:marLeft w:val="547"/>
          <w:marRight w:val="0"/>
          <w:marTop w:val="0"/>
          <w:marBottom w:val="0"/>
          <w:divBdr>
            <w:top w:val="none" w:sz="0" w:space="0" w:color="auto"/>
            <w:left w:val="none" w:sz="0" w:space="0" w:color="auto"/>
            <w:bottom w:val="none" w:sz="0" w:space="0" w:color="auto"/>
            <w:right w:val="none" w:sz="0" w:space="0" w:color="auto"/>
          </w:divBdr>
        </w:div>
        <w:div w:id="1927760581">
          <w:marLeft w:val="547"/>
          <w:marRight w:val="0"/>
          <w:marTop w:val="0"/>
          <w:marBottom w:val="0"/>
          <w:divBdr>
            <w:top w:val="none" w:sz="0" w:space="0" w:color="auto"/>
            <w:left w:val="none" w:sz="0" w:space="0" w:color="auto"/>
            <w:bottom w:val="none" w:sz="0" w:space="0" w:color="auto"/>
            <w:right w:val="none" w:sz="0" w:space="0" w:color="auto"/>
          </w:divBdr>
        </w:div>
        <w:div w:id="2070296994">
          <w:marLeft w:val="547"/>
          <w:marRight w:val="0"/>
          <w:marTop w:val="0"/>
          <w:marBottom w:val="0"/>
          <w:divBdr>
            <w:top w:val="none" w:sz="0" w:space="0" w:color="auto"/>
            <w:left w:val="none" w:sz="0" w:space="0" w:color="auto"/>
            <w:bottom w:val="none" w:sz="0" w:space="0" w:color="auto"/>
            <w:right w:val="none" w:sz="0" w:space="0" w:color="auto"/>
          </w:divBdr>
        </w:div>
      </w:divsChild>
    </w:div>
    <w:div w:id="1812096091">
      <w:bodyDiv w:val="1"/>
      <w:marLeft w:val="0"/>
      <w:marRight w:val="0"/>
      <w:marTop w:val="0"/>
      <w:marBottom w:val="0"/>
      <w:divBdr>
        <w:top w:val="none" w:sz="0" w:space="0" w:color="auto"/>
        <w:left w:val="none" w:sz="0" w:space="0" w:color="auto"/>
        <w:bottom w:val="none" w:sz="0" w:space="0" w:color="auto"/>
        <w:right w:val="none" w:sz="0" w:space="0" w:color="auto"/>
      </w:divBdr>
    </w:div>
    <w:div w:id="1828857373">
      <w:bodyDiv w:val="1"/>
      <w:marLeft w:val="0"/>
      <w:marRight w:val="0"/>
      <w:marTop w:val="0"/>
      <w:marBottom w:val="0"/>
      <w:divBdr>
        <w:top w:val="none" w:sz="0" w:space="0" w:color="auto"/>
        <w:left w:val="none" w:sz="0" w:space="0" w:color="auto"/>
        <w:bottom w:val="none" w:sz="0" w:space="0" w:color="auto"/>
        <w:right w:val="none" w:sz="0" w:space="0" w:color="auto"/>
      </w:divBdr>
    </w:div>
    <w:div w:id="1842116711">
      <w:bodyDiv w:val="1"/>
      <w:marLeft w:val="0"/>
      <w:marRight w:val="0"/>
      <w:marTop w:val="0"/>
      <w:marBottom w:val="0"/>
      <w:divBdr>
        <w:top w:val="none" w:sz="0" w:space="0" w:color="auto"/>
        <w:left w:val="none" w:sz="0" w:space="0" w:color="auto"/>
        <w:bottom w:val="none" w:sz="0" w:space="0" w:color="auto"/>
        <w:right w:val="none" w:sz="0" w:space="0" w:color="auto"/>
      </w:divBdr>
    </w:div>
    <w:div w:id="1917133757">
      <w:bodyDiv w:val="1"/>
      <w:marLeft w:val="0"/>
      <w:marRight w:val="0"/>
      <w:marTop w:val="0"/>
      <w:marBottom w:val="0"/>
      <w:divBdr>
        <w:top w:val="none" w:sz="0" w:space="0" w:color="auto"/>
        <w:left w:val="none" w:sz="0" w:space="0" w:color="auto"/>
        <w:bottom w:val="none" w:sz="0" w:space="0" w:color="auto"/>
        <w:right w:val="none" w:sz="0" w:space="0" w:color="auto"/>
      </w:divBdr>
    </w:div>
    <w:div w:id="1922716757">
      <w:bodyDiv w:val="1"/>
      <w:marLeft w:val="0"/>
      <w:marRight w:val="0"/>
      <w:marTop w:val="0"/>
      <w:marBottom w:val="0"/>
      <w:divBdr>
        <w:top w:val="none" w:sz="0" w:space="0" w:color="auto"/>
        <w:left w:val="none" w:sz="0" w:space="0" w:color="auto"/>
        <w:bottom w:val="none" w:sz="0" w:space="0" w:color="auto"/>
        <w:right w:val="none" w:sz="0" w:space="0" w:color="auto"/>
      </w:divBdr>
    </w:div>
    <w:div w:id="1923222373">
      <w:bodyDiv w:val="1"/>
      <w:marLeft w:val="0"/>
      <w:marRight w:val="0"/>
      <w:marTop w:val="0"/>
      <w:marBottom w:val="0"/>
      <w:divBdr>
        <w:top w:val="none" w:sz="0" w:space="0" w:color="auto"/>
        <w:left w:val="none" w:sz="0" w:space="0" w:color="auto"/>
        <w:bottom w:val="none" w:sz="0" w:space="0" w:color="auto"/>
        <w:right w:val="none" w:sz="0" w:space="0" w:color="auto"/>
      </w:divBdr>
      <w:divsChild>
        <w:div w:id="20865381">
          <w:marLeft w:val="547"/>
          <w:marRight w:val="0"/>
          <w:marTop w:val="0"/>
          <w:marBottom w:val="0"/>
          <w:divBdr>
            <w:top w:val="none" w:sz="0" w:space="0" w:color="auto"/>
            <w:left w:val="none" w:sz="0" w:space="0" w:color="auto"/>
            <w:bottom w:val="none" w:sz="0" w:space="0" w:color="auto"/>
            <w:right w:val="none" w:sz="0" w:space="0" w:color="auto"/>
          </w:divBdr>
        </w:div>
        <w:div w:id="24643974">
          <w:marLeft w:val="547"/>
          <w:marRight w:val="0"/>
          <w:marTop w:val="0"/>
          <w:marBottom w:val="0"/>
          <w:divBdr>
            <w:top w:val="none" w:sz="0" w:space="0" w:color="auto"/>
            <w:left w:val="none" w:sz="0" w:space="0" w:color="auto"/>
            <w:bottom w:val="none" w:sz="0" w:space="0" w:color="auto"/>
            <w:right w:val="none" w:sz="0" w:space="0" w:color="auto"/>
          </w:divBdr>
        </w:div>
        <w:div w:id="200896338">
          <w:marLeft w:val="547"/>
          <w:marRight w:val="0"/>
          <w:marTop w:val="0"/>
          <w:marBottom w:val="0"/>
          <w:divBdr>
            <w:top w:val="none" w:sz="0" w:space="0" w:color="auto"/>
            <w:left w:val="none" w:sz="0" w:space="0" w:color="auto"/>
            <w:bottom w:val="none" w:sz="0" w:space="0" w:color="auto"/>
            <w:right w:val="none" w:sz="0" w:space="0" w:color="auto"/>
          </w:divBdr>
        </w:div>
        <w:div w:id="208955060">
          <w:marLeft w:val="547"/>
          <w:marRight w:val="0"/>
          <w:marTop w:val="0"/>
          <w:marBottom w:val="0"/>
          <w:divBdr>
            <w:top w:val="none" w:sz="0" w:space="0" w:color="auto"/>
            <w:left w:val="none" w:sz="0" w:space="0" w:color="auto"/>
            <w:bottom w:val="none" w:sz="0" w:space="0" w:color="auto"/>
            <w:right w:val="none" w:sz="0" w:space="0" w:color="auto"/>
          </w:divBdr>
        </w:div>
        <w:div w:id="209729113">
          <w:marLeft w:val="547"/>
          <w:marRight w:val="0"/>
          <w:marTop w:val="0"/>
          <w:marBottom w:val="0"/>
          <w:divBdr>
            <w:top w:val="none" w:sz="0" w:space="0" w:color="auto"/>
            <w:left w:val="none" w:sz="0" w:space="0" w:color="auto"/>
            <w:bottom w:val="none" w:sz="0" w:space="0" w:color="auto"/>
            <w:right w:val="none" w:sz="0" w:space="0" w:color="auto"/>
          </w:divBdr>
        </w:div>
        <w:div w:id="443504800">
          <w:marLeft w:val="547"/>
          <w:marRight w:val="0"/>
          <w:marTop w:val="0"/>
          <w:marBottom w:val="0"/>
          <w:divBdr>
            <w:top w:val="none" w:sz="0" w:space="0" w:color="auto"/>
            <w:left w:val="none" w:sz="0" w:space="0" w:color="auto"/>
            <w:bottom w:val="none" w:sz="0" w:space="0" w:color="auto"/>
            <w:right w:val="none" w:sz="0" w:space="0" w:color="auto"/>
          </w:divBdr>
        </w:div>
        <w:div w:id="525294143">
          <w:marLeft w:val="547"/>
          <w:marRight w:val="0"/>
          <w:marTop w:val="0"/>
          <w:marBottom w:val="0"/>
          <w:divBdr>
            <w:top w:val="none" w:sz="0" w:space="0" w:color="auto"/>
            <w:left w:val="none" w:sz="0" w:space="0" w:color="auto"/>
            <w:bottom w:val="none" w:sz="0" w:space="0" w:color="auto"/>
            <w:right w:val="none" w:sz="0" w:space="0" w:color="auto"/>
          </w:divBdr>
        </w:div>
        <w:div w:id="588853376">
          <w:marLeft w:val="547"/>
          <w:marRight w:val="0"/>
          <w:marTop w:val="0"/>
          <w:marBottom w:val="0"/>
          <w:divBdr>
            <w:top w:val="none" w:sz="0" w:space="0" w:color="auto"/>
            <w:left w:val="none" w:sz="0" w:space="0" w:color="auto"/>
            <w:bottom w:val="none" w:sz="0" w:space="0" w:color="auto"/>
            <w:right w:val="none" w:sz="0" w:space="0" w:color="auto"/>
          </w:divBdr>
        </w:div>
        <w:div w:id="611788918">
          <w:marLeft w:val="547"/>
          <w:marRight w:val="0"/>
          <w:marTop w:val="0"/>
          <w:marBottom w:val="0"/>
          <w:divBdr>
            <w:top w:val="none" w:sz="0" w:space="0" w:color="auto"/>
            <w:left w:val="none" w:sz="0" w:space="0" w:color="auto"/>
            <w:bottom w:val="none" w:sz="0" w:space="0" w:color="auto"/>
            <w:right w:val="none" w:sz="0" w:space="0" w:color="auto"/>
          </w:divBdr>
        </w:div>
        <w:div w:id="679894124">
          <w:marLeft w:val="547"/>
          <w:marRight w:val="0"/>
          <w:marTop w:val="0"/>
          <w:marBottom w:val="0"/>
          <w:divBdr>
            <w:top w:val="none" w:sz="0" w:space="0" w:color="auto"/>
            <w:left w:val="none" w:sz="0" w:space="0" w:color="auto"/>
            <w:bottom w:val="none" w:sz="0" w:space="0" w:color="auto"/>
            <w:right w:val="none" w:sz="0" w:space="0" w:color="auto"/>
          </w:divBdr>
        </w:div>
        <w:div w:id="694502254">
          <w:marLeft w:val="547"/>
          <w:marRight w:val="0"/>
          <w:marTop w:val="0"/>
          <w:marBottom w:val="0"/>
          <w:divBdr>
            <w:top w:val="none" w:sz="0" w:space="0" w:color="auto"/>
            <w:left w:val="none" w:sz="0" w:space="0" w:color="auto"/>
            <w:bottom w:val="none" w:sz="0" w:space="0" w:color="auto"/>
            <w:right w:val="none" w:sz="0" w:space="0" w:color="auto"/>
          </w:divBdr>
        </w:div>
        <w:div w:id="727530123">
          <w:marLeft w:val="547"/>
          <w:marRight w:val="0"/>
          <w:marTop w:val="0"/>
          <w:marBottom w:val="0"/>
          <w:divBdr>
            <w:top w:val="none" w:sz="0" w:space="0" w:color="auto"/>
            <w:left w:val="none" w:sz="0" w:space="0" w:color="auto"/>
            <w:bottom w:val="none" w:sz="0" w:space="0" w:color="auto"/>
            <w:right w:val="none" w:sz="0" w:space="0" w:color="auto"/>
          </w:divBdr>
        </w:div>
        <w:div w:id="729304592">
          <w:marLeft w:val="547"/>
          <w:marRight w:val="0"/>
          <w:marTop w:val="0"/>
          <w:marBottom w:val="0"/>
          <w:divBdr>
            <w:top w:val="none" w:sz="0" w:space="0" w:color="auto"/>
            <w:left w:val="none" w:sz="0" w:space="0" w:color="auto"/>
            <w:bottom w:val="none" w:sz="0" w:space="0" w:color="auto"/>
            <w:right w:val="none" w:sz="0" w:space="0" w:color="auto"/>
          </w:divBdr>
        </w:div>
        <w:div w:id="739911168">
          <w:marLeft w:val="547"/>
          <w:marRight w:val="0"/>
          <w:marTop w:val="0"/>
          <w:marBottom w:val="0"/>
          <w:divBdr>
            <w:top w:val="none" w:sz="0" w:space="0" w:color="auto"/>
            <w:left w:val="none" w:sz="0" w:space="0" w:color="auto"/>
            <w:bottom w:val="none" w:sz="0" w:space="0" w:color="auto"/>
            <w:right w:val="none" w:sz="0" w:space="0" w:color="auto"/>
          </w:divBdr>
        </w:div>
        <w:div w:id="790517176">
          <w:marLeft w:val="547"/>
          <w:marRight w:val="0"/>
          <w:marTop w:val="0"/>
          <w:marBottom w:val="0"/>
          <w:divBdr>
            <w:top w:val="none" w:sz="0" w:space="0" w:color="auto"/>
            <w:left w:val="none" w:sz="0" w:space="0" w:color="auto"/>
            <w:bottom w:val="none" w:sz="0" w:space="0" w:color="auto"/>
            <w:right w:val="none" w:sz="0" w:space="0" w:color="auto"/>
          </w:divBdr>
        </w:div>
        <w:div w:id="975140507">
          <w:marLeft w:val="547"/>
          <w:marRight w:val="0"/>
          <w:marTop w:val="0"/>
          <w:marBottom w:val="0"/>
          <w:divBdr>
            <w:top w:val="none" w:sz="0" w:space="0" w:color="auto"/>
            <w:left w:val="none" w:sz="0" w:space="0" w:color="auto"/>
            <w:bottom w:val="none" w:sz="0" w:space="0" w:color="auto"/>
            <w:right w:val="none" w:sz="0" w:space="0" w:color="auto"/>
          </w:divBdr>
        </w:div>
        <w:div w:id="1024286279">
          <w:marLeft w:val="547"/>
          <w:marRight w:val="0"/>
          <w:marTop w:val="0"/>
          <w:marBottom w:val="0"/>
          <w:divBdr>
            <w:top w:val="none" w:sz="0" w:space="0" w:color="auto"/>
            <w:left w:val="none" w:sz="0" w:space="0" w:color="auto"/>
            <w:bottom w:val="none" w:sz="0" w:space="0" w:color="auto"/>
            <w:right w:val="none" w:sz="0" w:space="0" w:color="auto"/>
          </w:divBdr>
        </w:div>
        <w:div w:id="1275941081">
          <w:marLeft w:val="547"/>
          <w:marRight w:val="0"/>
          <w:marTop w:val="0"/>
          <w:marBottom w:val="0"/>
          <w:divBdr>
            <w:top w:val="none" w:sz="0" w:space="0" w:color="auto"/>
            <w:left w:val="none" w:sz="0" w:space="0" w:color="auto"/>
            <w:bottom w:val="none" w:sz="0" w:space="0" w:color="auto"/>
            <w:right w:val="none" w:sz="0" w:space="0" w:color="auto"/>
          </w:divBdr>
        </w:div>
        <w:div w:id="1304848953">
          <w:marLeft w:val="547"/>
          <w:marRight w:val="0"/>
          <w:marTop w:val="0"/>
          <w:marBottom w:val="0"/>
          <w:divBdr>
            <w:top w:val="none" w:sz="0" w:space="0" w:color="auto"/>
            <w:left w:val="none" w:sz="0" w:space="0" w:color="auto"/>
            <w:bottom w:val="none" w:sz="0" w:space="0" w:color="auto"/>
            <w:right w:val="none" w:sz="0" w:space="0" w:color="auto"/>
          </w:divBdr>
        </w:div>
        <w:div w:id="1594705732">
          <w:marLeft w:val="547"/>
          <w:marRight w:val="0"/>
          <w:marTop w:val="0"/>
          <w:marBottom w:val="0"/>
          <w:divBdr>
            <w:top w:val="none" w:sz="0" w:space="0" w:color="auto"/>
            <w:left w:val="none" w:sz="0" w:space="0" w:color="auto"/>
            <w:bottom w:val="none" w:sz="0" w:space="0" w:color="auto"/>
            <w:right w:val="none" w:sz="0" w:space="0" w:color="auto"/>
          </w:divBdr>
        </w:div>
        <w:div w:id="1675298898">
          <w:marLeft w:val="547"/>
          <w:marRight w:val="0"/>
          <w:marTop w:val="0"/>
          <w:marBottom w:val="0"/>
          <w:divBdr>
            <w:top w:val="none" w:sz="0" w:space="0" w:color="auto"/>
            <w:left w:val="none" w:sz="0" w:space="0" w:color="auto"/>
            <w:bottom w:val="none" w:sz="0" w:space="0" w:color="auto"/>
            <w:right w:val="none" w:sz="0" w:space="0" w:color="auto"/>
          </w:divBdr>
        </w:div>
        <w:div w:id="1735468589">
          <w:marLeft w:val="547"/>
          <w:marRight w:val="0"/>
          <w:marTop w:val="0"/>
          <w:marBottom w:val="0"/>
          <w:divBdr>
            <w:top w:val="none" w:sz="0" w:space="0" w:color="auto"/>
            <w:left w:val="none" w:sz="0" w:space="0" w:color="auto"/>
            <w:bottom w:val="none" w:sz="0" w:space="0" w:color="auto"/>
            <w:right w:val="none" w:sz="0" w:space="0" w:color="auto"/>
          </w:divBdr>
        </w:div>
        <w:div w:id="1892426909">
          <w:marLeft w:val="547"/>
          <w:marRight w:val="0"/>
          <w:marTop w:val="0"/>
          <w:marBottom w:val="0"/>
          <w:divBdr>
            <w:top w:val="none" w:sz="0" w:space="0" w:color="auto"/>
            <w:left w:val="none" w:sz="0" w:space="0" w:color="auto"/>
            <w:bottom w:val="none" w:sz="0" w:space="0" w:color="auto"/>
            <w:right w:val="none" w:sz="0" w:space="0" w:color="auto"/>
          </w:divBdr>
        </w:div>
      </w:divsChild>
    </w:div>
    <w:div w:id="1981183016">
      <w:bodyDiv w:val="1"/>
      <w:marLeft w:val="0"/>
      <w:marRight w:val="0"/>
      <w:marTop w:val="0"/>
      <w:marBottom w:val="0"/>
      <w:divBdr>
        <w:top w:val="none" w:sz="0" w:space="0" w:color="auto"/>
        <w:left w:val="none" w:sz="0" w:space="0" w:color="auto"/>
        <w:bottom w:val="none" w:sz="0" w:space="0" w:color="auto"/>
        <w:right w:val="none" w:sz="0" w:space="0" w:color="auto"/>
      </w:divBdr>
    </w:div>
    <w:div w:id="1996496037">
      <w:bodyDiv w:val="1"/>
      <w:marLeft w:val="0"/>
      <w:marRight w:val="0"/>
      <w:marTop w:val="0"/>
      <w:marBottom w:val="0"/>
      <w:divBdr>
        <w:top w:val="none" w:sz="0" w:space="0" w:color="auto"/>
        <w:left w:val="none" w:sz="0" w:space="0" w:color="auto"/>
        <w:bottom w:val="none" w:sz="0" w:space="0" w:color="auto"/>
        <w:right w:val="none" w:sz="0" w:space="0" w:color="auto"/>
      </w:divBdr>
    </w:div>
    <w:div w:id="1998722973">
      <w:bodyDiv w:val="1"/>
      <w:marLeft w:val="0"/>
      <w:marRight w:val="0"/>
      <w:marTop w:val="0"/>
      <w:marBottom w:val="0"/>
      <w:divBdr>
        <w:top w:val="none" w:sz="0" w:space="0" w:color="auto"/>
        <w:left w:val="none" w:sz="0" w:space="0" w:color="auto"/>
        <w:bottom w:val="none" w:sz="0" w:space="0" w:color="auto"/>
        <w:right w:val="none" w:sz="0" w:space="0" w:color="auto"/>
      </w:divBdr>
      <w:divsChild>
        <w:div w:id="109008388">
          <w:marLeft w:val="0"/>
          <w:marRight w:val="0"/>
          <w:marTop w:val="0"/>
          <w:marBottom w:val="0"/>
          <w:divBdr>
            <w:top w:val="none" w:sz="0" w:space="0" w:color="auto"/>
            <w:left w:val="none" w:sz="0" w:space="0" w:color="auto"/>
            <w:bottom w:val="none" w:sz="0" w:space="0" w:color="auto"/>
            <w:right w:val="none" w:sz="0" w:space="0" w:color="auto"/>
          </w:divBdr>
          <w:divsChild>
            <w:div w:id="866676680">
              <w:marLeft w:val="0"/>
              <w:marRight w:val="0"/>
              <w:marTop w:val="0"/>
              <w:marBottom w:val="0"/>
              <w:divBdr>
                <w:top w:val="none" w:sz="0" w:space="0" w:color="auto"/>
                <w:left w:val="none" w:sz="0" w:space="0" w:color="auto"/>
                <w:bottom w:val="none" w:sz="0" w:space="0" w:color="auto"/>
                <w:right w:val="none" w:sz="0" w:space="0" w:color="auto"/>
              </w:divBdr>
              <w:divsChild>
                <w:div w:id="782186314">
                  <w:marLeft w:val="0"/>
                  <w:marRight w:val="0"/>
                  <w:marTop w:val="0"/>
                  <w:marBottom w:val="0"/>
                  <w:divBdr>
                    <w:top w:val="none" w:sz="0" w:space="0" w:color="auto"/>
                    <w:left w:val="none" w:sz="0" w:space="0" w:color="auto"/>
                    <w:bottom w:val="none" w:sz="0" w:space="0" w:color="auto"/>
                    <w:right w:val="none" w:sz="0" w:space="0" w:color="auto"/>
                  </w:divBdr>
                  <w:divsChild>
                    <w:div w:id="949779192">
                      <w:marLeft w:val="0"/>
                      <w:marRight w:val="0"/>
                      <w:marTop w:val="0"/>
                      <w:marBottom w:val="0"/>
                      <w:divBdr>
                        <w:top w:val="none" w:sz="0" w:space="0" w:color="auto"/>
                        <w:left w:val="none" w:sz="0" w:space="0" w:color="auto"/>
                        <w:bottom w:val="none" w:sz="0" w:space="0" w:color="auto"/>
                        <w:right w:val="none" w:sz="0" w:space="0" w:color="auto"/>
                      </w:divBdr>
                      <w:divsChild>
                        <w:div w:id="1621373915">
                          <w:marLeft w:val="0"/>
                          <w:marRight w:val="0"/>
                          <w:marTop w:val="0"/>
                          <w:marBottom w:val="0"/>
                          <w:divBdr>
                            <w:top w:val="none" w:sz="0" w:space="0" w:color="auto"/>
                            <w:left w:val="none" w:sz="0" w:space="0" w:color="auto"/>
                            <w:bottom w:val="none" w:sz="0" w:space="0" w:color="auto"/>
                            <w:right w:val="none" w:sz="0" w:space="0" w:color="auto"/>
                          </w:divBdr>
                          <w:divsChild>
                            <w:div w:id="2569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359615">
      <w:bodyDiv w:val="1"/>
      <w:marLeft w:val="0"/>
      <w:marRight w:val="0"/>
      <w:marTop w:val="0"/>
      <w:marBottom w:val="0"/>
      <w:divBdr>
        <w:top w:val="none" w:sz="0" w:space="0" w:color="auto"/>
        <w:left w:val="none" w:sz="0" w:space="0" w:color="auto"/>
        <w:bottom w:val="none" w:sz="0" w:space="0" w:color="auto"/>
        <w:right w:val="none" w:sz="0" w:space="0" w:color="auto"/>
      </w:divBdr>
      <w:divsChild>
        <w:div w:id="970131745">
          <w:marLeft w:val="0"/>
          <w:marRight w:val="0"/>
          <w:marTop w:val="77"/>
          <w:marBottom w:val="0"/>
          <w:divBdr>
            <w:top w:val="none" w:sz="0" w:space="0" w:color="auto"/>
            <w:left w:val="none" w:sz="0" w:space="0" w:color="auto"/>
            <w:bottom w:val="none" w:sz="0" w:space="0" w:color="auto"/>
            <w:right w:val="none" w:sz="0" w:space="0" w:color="auto"/>
          </w:divBdr>
        </w:div>
        <w:div w:id="1437364929">
          <w:marLeft w:val="0"/>
          <w:marRight w:val="0"/>
          <w:marTop w:val="77"/>
          <w:marBottom w:val="0"/>
          <w:divBdr>
            <w:top w:val="none" w:sz="0" w:space="0" w:color="auto"/>
            <w:left w:val="none" w:sz="0" w:space="0" w:color="auto"/>
            <w:bottom w:val="none" w:sz="0" w:space="0" w:color="auto"/>
            <w:right w:val="none" w:sz="0" w:space="0" w:color="auto"/>
          </w:divBdr>
        </w:div>
        <w:div w:id="1479808448">
          <w:marLeft w:val="0"/>
          <w:marRight w:val="0"/>
          <w:marTop w:val="77"/>
          <w:marBottom w:val="0"/>
          <w:divBdr>
            <w:top w:val="none" w:sz="0" w:space="0" w:color="auto"/>
            <w:left w:val="none" w:sz="0" w:space="0" w:color="auto"/>
            <w:bottom w:val="none" w:sz="0" w:space="0" w:color="auto"/>
            <w:right w:val="none" w:sz="0" w:space="0" w:color="auto"/>
          </w:divBdr>
        </w:div>
      </w:divsChild>
    </w:div>
    <w:div w:id="2030713388">
      <w:bodyDiv w:val="1"/>
      <w:marLeft w:val="0"/>
      <w:marRight w:val="0"/>
      <w:marTop w:val="0"/>
      <w:marBottom w:val="0"/>
      <w:divBdr>
        <w:top w:val="none" w:sz="0" w:space="0" w:color="auto"/>
        <w:left w:val="none" w:sz="0" w:space="0" w:color="auto"/>
        <w:bottom w:val="none" w:sz="0" w:space="0" w:color="auto"/>
        <w:right w:val="none" w:sz="0" w:space="0" w:color="auto"/>
      </w:divBdr>
    </w:div>
    <w:div w:id="2058896903">
      <w:bodyDiv w:val="1"/>
      <w:marLeft w:val="0"/>
      <w:marRight w:val="0"/>
      <w:marTop w:val="0"/>
      <w:marBottom w:val="0"/>
      <w:divBdr>
        <w:top w:val="none" w:sz="0" w:space="0" w:color="auto"/>
        <w:left w:val="none" w:sz="0" w:space="0" w:color="auto"/>
        <w:bottom w:val="none" w:sz="0" w:space="0" w:color="auto"/>
        <w:right w:val="none" w:sz="0" w:space="0" w:color="auto"/>
      </w:divBdr>
    </w:div>
    <w:div w:id="2079278465">
      <w:bodyDiv w:val="1"/>
      <w:marLeft w:val="0"/>
      <w:marRight w:val="0"/>
      <w:marTop w:val="0"/>
      <w:marBottom w:val="0"/>
      <w:divBdr>
        <w:top w:val="none" w:sz="0" w:space="0" w:color="auto"/>
        <w:left w:val="none" w:sz="0" w:space="0" w:color="auto"/>
        <w:bottom w:val="none" w:sz="0" w:space="0" w:color="auto"/>
        <w:right w:val="none" w:sz="0" w:space="0" w:color="auto"/>
      </w:divBdr>
    </w:div>
    <w:div w:id="2085955247">
      <w:bodyDiv w:val="1"/>
      <w:marLeft w:val="0"/>
      <w:marRight w:val="0"/>
      <w:marTop w:val="0"/>
      <w:marBottom w:val="0"/>
      <w:divBdr>
        <w:top w:val="none" w:sz="0" w:space="0" w:color="auto"/>
        <w:left w:val="none" w:sz="0" w:space="0" w:color="auto"/>
        <w:bottom w:val="none" w:sz="0" w:space="0" w:color="auto"/>
        <w:right w:val="none" w:sz="0" w:space="0" w:color="auto"/>
      </w:divBdr>
    </w:div>
    <w:div w:id="2137605687">
      <w:bodyDiv w:val="1"/>
      <w:marLeft w:val="0"/>
      <w:marRight w:val="0"/>
      <w:marTop w:val="0"/>
      <w:marBottom w:val="0"/>
      <w:divBdr>
        <w:top w:val="none" w:sz="0" w:space="0" w:color="auto"/>
        <w:left w:val="none" w:sz="0" w:space="0" w:color="auto"/>
        <w:bottom w:val="none" w:sz="0" w:space="0" w:color="auto"/>
        <w:right w:val="none" w:sz="0" w:space="0" w:color="auto"/>
      </w:divBdr>
      <w:divsChild>
        <w:div w:id="567038598">
          <w:marLeft w:val="0"/>
          <w:marRight w:val="0"/>
          <w:marTop w:val="77"/>
          <w:marBottom w:val="0"/>
          <w:divBdr>
            <w:top w:val="none" w:sz="0" w:space="0" w:color="auto"/>
            <w:left w:val="none" w:sz="0" w:space="0" w:color="auto"/>
            <w:bottom w:val="none" w:sz="0" w:space="0" w:color="auto"/>
            <w:right w:val="none" w:sz="0" w:space="0" w:color="auto"/>
          </w:divBdr>
        </w:div>
        <w:div w:id="1478036381">
          <w:marLeft w:val="0"/>
          <w:marRight w:val="0"/>
          <w:marTop w:val="77"/>
          <w:marBottom w:val="0"/>
          <w:divBdr>
            <w:top w:val="none" w:sz="0" w:space="0" w:color="auto"/>
            <w:left w:val="none" w:sz="0" w:space="0" w:color="auto"/>
            <w:bottom w:val="none" w:sz="0" w:space="0" w:color="auto"/>
            <w:right w:val="none" w:sz="0" w:space="0" w:color="auto"/>
          </w:divBdr>
        </w:div>
        <w:div w:id="1532914776">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viaa.gov.lv/lat/zinatne/zinatnes_apakshsad/?tl_id=526&amp;tls_id=527"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usescience.eu" TargetMode="External"/><Relationship Id="rId25" Type="http://schemas.openxmlformats.org/officeDocument/2006/relationships/hyperlink" Target="mailto:antra.zilinska@izm.gov.lv"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24" Type="http://schemas.openxmlformats.org/officeDocument/2006/relationships/hyperlink" Target="http://sf.viaa.gov.lv/lat/zinatne/zinatnes_apakshsad/?tl_id=526&amp;tls_id=527"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eur-lex.europa.eu/eli/reg/2014/651?locale=L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zzi.llu.lv/?ri=1928" TargetMode="External"/><Relationship Id="rId14" Type="http://schemas.openxmlformats.org/officeDocument/2006/relationships/chart" Target="charts/chart3.xml"/><Relationship Id="rId22" Type="http://schemas.openxmlformats.org/officeDocument/2006/relationships/hyperlink" Target="http://sf.viaa.gov.lv/lat/zinatne/zinatnes_apakshsad/?tl_id=526&amp;tls_id=527"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kumi.lv/ta/id/262508-kartiba-kada-aprekina-un-pieskir-bazes-finansejumu-zinatniskajam-institucijam" TargetMode="External"/><Relationship Id="rId13" Type="http://schemas.openxmlformats.org/officeDocument/2006/relationships/hyperlink" Target="http://likumi.lv/doc.php?id=228665" TargetMode="External"/><Relationship Id="rId18" Type="http://schemas.openxmlformats.org/officeDocument/2006/relationships/hyperlink" Target="http://tap.mk.gov.lv/lv/mk/tap/?pid=40358154&amp;mode=mk&amp;date=2015-09-15" TargetMode="External"/><Relationship Id="rId26" Type="http://schemas.openxmlformats.org/officeDocument/2006/relationships/hyperlink" Target="http://www.esfondi.lv/upload/Planosana/FMProg_270115_DP.pdf" TargetMode="External"/><Relationship Id="rId39" Type="http://schemas.openxmlformats.org/officeDocument/2006/relationships/hyperlink" Target="http://www.esfondi.lv/upload/00-vadlinijas/vadlinijas_2015/2.1_Vadl_Attiecinamo_un_neattiecinamo_izmaksu_noteiksanai_2014.-2020._planosanas_perioda.pdf" TargetMode="External"/><Relationship Id="rId3" Type="http://schemas.openxmlformats.org/officeDocument/2006/relationships/hyperlink" Target="http://tap.mk.gov.lv/mk/mksedes/saraksts/protokols/?protokols=2014-02-04" TargetMode="External"/><Relationship Id="rId21" Type="http://schemas.openxmlformats.org/officeDocument/2006/relationships/hyperlink" Target="http://likumi.lv/doc.php?id=269406" TargetMode="External"/><Relationship Id="rId34" Type="http://schemas.openxmlformats.org/officeDocument/2006/relationships/hyperlink" Target="http://eur-lex.europa.eu/eli/reg/2014/651?locale=LV" TargetMode="External"/><Relationship Id="rId7" Type="http://schemas.openxmlformats.org/officeDocument/2006/relationships/hyperlink" Target="http://izm.izm.gov.lv/nozares-politika/zinatne/11019.html" TargetMode="External"/><Relationship Id="rId12" Type="http://schemas.openxmlformats.org/officeDocument/2006/relationships/hyperlink" Target="http://likumi.lv/doc.php?id=220558" TargetMode="External"/><Relationship Id="rId17" Type="http://schemas.openxmlformats.org/officeDocument/2006/relationships/hyperlink" Target="http://www.esfondi.lv/upload/00-vadlinijas/vadlinijas_2015/2.1_Vadl_Attiecinamo_un_neattiecinamo_izmaksu_noteiksanai_2014.-2020._planosanas_perioda.pdf" TargetMode="External"/><Relationship Id="rId25" Type="http://schemas.openxmlformats.org/officeDocument/2006/relationships/hyperlink" Target="http://register.consilium.europa.eu/doc/srv?l=LV&amp;f=ST%2010793%202014%20INIT" TargetMode="External"/><Relationship Id="rId33" Type="http://schemas.openxmlformats.org/officeDocument/2006/relationships/hyperlink" Target="http://tap.mk.gov.lv/mk/mksedes/saraksts/protokols/?protokols=2016-05-24" TargetMode="External"/><Relationship Id="rId38" Type="http://schemas.openxmlformats.org/officeDocument/2006/relationships/hyperlink" Target="http://eur-lex.europa.eu/eli/reg/2014/651?locale=LV" TargetMode="External"/><Relationship Id="rId2" Type="http://schemas.openxmlformats.org/officeDocument/2006/relationships/hyperlink" Target="http://tap.mk.gov.lv/lv/mk/tap/?pid=40334802&amp;mode=mk&amp;date=2014-10-21" TargetMode="External"/><Relationship Id="rId16" Type="http://schemas.openxmlformats.org/officeDocument/2006/relationships/hyperlink" Target="http://viaa.gov.lv/lat/zinatnes_inovacijas_progr/viedas_specializacijas_iev/diskusiju_materiali/" TargetMode="External"/><Relationship Id="rId20" Type="http://schemas.openxmlformats.org/officeDocument/2006/relationships/hyperlink" Target="http://likumi.lv/doc.php?id=227966" TargetMode="External"/><Relationship Id="rId29" Type="http://schemas.openxmlformats.org/officeDocument/2006/relationships/hyperlink" Target="http://www.izm.gov.lv/images/starpresoru_ligumi/04.pdf" TargetMode="External"/><Relationship Id="rId1" Type="http://schemas.openxmlformats.org/officeDocument/2006/relationships/hyperlink" Target="http://www.pkc.gov.lv/images/NAP2020%20dokumenti/20121220_NAP2020_apstiprinats_Saeima.pdf" TargetMode="External"/><Relationship Id="rId6" Type="http://schemas.openxmlformats.org/officeDocument/2006/relationships/hyperlink" Target="http://tap.mk.gov.lv/lv/mk/tap/?pid=40324956&amp;mode=mk&amp;date=2014-08-19" TargetMode="External"/><Relationship Id="rId11" Type="http://schemas.openxmlformats.org/officeDocument/2006/relationships/hyperlink" Target="http://polsis.mk.gov.lv/view.do?id=3229" TargetMode="External"/><Relationship Id="rId24" Type="http://schemas.openxmlformats.org/officeDocument/2006/relationships/hyperlink" Target="http://likumi.lv/doc.php?id=190349&amp;from=off" TargetMode="External"/><Relationship Id="rId32" Type="http://schemas.openxmlformats.org/officeDocument/2006/relationships/hyperlink" Target="http://tap.mk.gov.lv/lv/mk/tap/?pid=40385056&amp;mode=mk&amp;date=2016-04-05" TargetMode="External"/><Relationship Id="rId37" Type="http://schemas.openxmlformats.org/officeDocument/2006/relationships/hyperlink" Target="http://eur-lex.europa.eu/eli/reg/2014/651?locale=LV" TargetMode="External"/><Relationship Id="rId5" Type="http://schemas.openxmlformats.org/officeDocument/2006/relationships/hyperlink" Target="http://www.ikvd.gov.lv/zinatnisko-instituciju-registrs.html" TargetMode="External"/><Relationship Id="rId15" Type="http://schemas.openxmlformats.org/officeDocument/2006/relationships/hyperlink" Target="http://viaa.gov.lv/lat/zinatnes_inovacijas_progr/viedas_specializacijas_iev/diskusiju_materiali/?year=2014" TargetMode="External"/><Relationship Id="rId23" Type="http://schemas.openxmlformats.org/officeDocument/2006/relationships/hyperlink" Target="http://polsis.mk.gov.lv/documents/5499" TargetMode="External"/><Relationship Id="rId28" Type="http://schemas.openxmlformats.org/officeDocument/2006/relationships/hyperlink" Target="http://polsis.mk.gov.lv/view.do?id=4608" TargetMode="External"/><Relationship Id="rId36" Type="http://schemas.openxmlformats.org/officeDocument/2006/relationships/hyperlink" Target="http://eur-lex.europa.eu/legal-content/LV/TXT/PDF/?uri=CELEX:32014R0651&amp;from=LV" TargetMode="External"/><Relationship Id="rId10" Type="http://schemas.openxmlformats.org/officeDocument/2006/relationships/hyperlink" Target="http://likumi.lv/doc.php?id=196878" TargetMode="External"/><Relationship Id="rId19" Type="http://schemas.openxmlformats.org/officeDocument/2006/relationships/hyperlink" Target="http://likumi.lv/doc.php?id=262091" TargetMode="External"/><Relationship Id="rId31" Type="http://schemas.openxmlformats.org/officeDocument/2006/relationships/hyperlink" Target="http://www.google.lv/url?sa=t&amp;rct=j&amp;q=&amp;esrc=s&amp;frm=1&amp;source=web&amp;cd=3&amp;ved=0CC8QFjAC&amp;url=http%3A%2F%2Fwww.lmt.lt%2Fdownload%2F1367%2F2011_kelrodis_lmtik-b5-en-spreads.pdf&amp;ei=e0HsVMWaOofjywOcgoKIDA&amp;usg=AFQjCNEsqk7FsC_owUJJ56Gb77NtNREpEg&amp;sig2=B9GJ_v1xfuxb9YFjfoVMgQ" TargetMode="External"/><Relationship Id="rId4" Type="http://schemas.openxmlformats.org/officeDocument/2006/relationships/hyperlink" Target="http://www.esfondi.lv/upload/Planosana/FMProg_270115_DP_2.pdf" TargetMode="External"/><Relationship Id="rId9" Type="http://schemas.openxmlformats.org/officeDocument/2006/relationships/hyperlink" Target="http://www.izm.gov.lv/lv/zinatne/zinatniskas-darbibas-bazes-finansejums/2016-gada-zinatnes-bazes-finansejums" TargetMode="External"/><Relationship Id="rId14" Type="http://schemas.openxmlformats.org/officeDocument/2006/relationships/hyperlink" Target="http://likumi.lv/doc.php?id=205737" TargetMode="External"/><Relationship Id="rId22" Type="http://schemas.openxmlformats.org/officeDocument/2006/relationships/hyperlink" Target="http://likumi.lv/doc.php?id=269407" TargetMode="External"/><Relationship Id="rId27" Type="http://schemas.openxmlformats.org/officeDocument/2006/relationships/hyperlink" Target="http://likumi.lv/ta/id/270790" TargetMode="External"/><Relationship Id="rId30" Type="http://schemas.openxmlformats.org/officeDocument/2006/relationships/hyperlink" Target="http://tap.mk.gov.lv/lv/mk/tap/?pid=40385056&amp;mode=mk&amp;date=2016-04-05" TargetMode="External"/><Relationship Id="rId35" Type="http://schemas.openxmlformats.org/officeDocument/2006/relationships/hyperlink" Target="http://eur-lex.europa.eu/eli/reg/2014/651?locale=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zilinska\Desktop\Prezentacijam_grafi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zilinska\Desktop\ES_2014-2020_ieviesana\ZI_Kartejums\Statistika\ZIn_nodarb_CSP.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https://fidea.isvorg.com/projects/ris3_industry_assesment/documents/Zinatnes%20novertejums%20DATI/Zin.personals%20uz%2007.2013__A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https://fidea.isvorg.com/projects/ris3_industry_assesment/documents/Zinatnes%20novertejums%20DATI/Zin.personals%20uz%2007.2013__.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zilinska\Desktop\1114\ZI_parraudzib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588044471969103E-2"/>
          <c:y val="0.12791743808228001"/>
          <c:w val="0.35633995188803602"/>
          <c:h val="0.816175698625907"/>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explosion val="2"/>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3.8726722484227699E-3"/>
                  <c:y val="-2.32287221765991E-2"/>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6.6657398162308396E-2"/>
                  <c:y val="0.10500246875081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0.136055028081912"/>
                  <c:y val="1.37659479681604E-2"/>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0.10141289067098801"/>
                  <c:y val="-0.21257244684905199"/>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7.7500051939418002E-2"/>
                  <c:y val="0.144641858418004"/>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Sheet3!$A$6:$A$10</c:f>
              <c:strCache>
                <c:ptCount val="5"/>
                <c:pt idx="0">
                  <c:v>5 punkti - spēcīgs starptautiskais spēlētājs, līderis savā jomā (lielisks sniegums, darbība turpināma)</c:v>
                </c:pt>
                <c:pt idx="1">
                  <c:v>4 punkti - spēcīgs starptautiskais spēlētājs (labs sniegums, darbība turpināma)</c:v>
                </c:pt>
                <c:pt idx="2">
                  <c:v>3 punkti - spēcīgs vietējais spēlētājs, kas guvis zināmu starptautisku atzinību (jāstiprina institūcijas kapacitāte)</c:v>
                </c:pt>
                <c:pt idx="3">
                  <c:v>2 punkti - apmierinoš vietējais spēlētājs (jāizvērtē apvienošana ar citām zinātniskajām institūcijām)</c:v>
                </c:pt>
                <c:pt idx="4">
                  <c:v>1 punkts - vājš vietējais spēlētājs (finansēšana no valsts budžeta nav lietderīga)</c:v>
                </c:pt>
              </c:strCache>
            </c:strRef>
          </c:cat>
          <c:val>
            <c:numRef>
              <c:f>Sheet3!$B$6:$B$10</c:f>
              <c:numCache>
                <c:formatCode>General</c:formatCode>
                <c:ptCount val="5"/>
                <c:pt idx="0">
                  <c:v>1</c:v>
                </c:pt>
                <c:pt idx="1">
                  <c:v>14</c:v>
                </c:pt>
                <c:pt idx="2">
                  <c:v>35</c:v>
                </c:pt>
                <c:pt idx="3">
                  <c:v>67</c:v>
                </c:pt>
                <c:pt idx="4">
                  <c:v>23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0"/>
          <a:lstStyle/>
          <a:p>
            <a:pPr algn="just">
              <a:defRPr sz="11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2"/>
        <c:txPr>
          <a:bodyPr rot="0" spcFirstLastPara="1" vertOverflow="ellipsis" vert="horz" wrap="square" anchor="ctr" anchorCtr="0"/>
          <a:lstStyle/>
          <a:p>
            <a:pPr algn="just">
              <a:defRPr sz="11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46829960861633801"/>
          <c:y val="1.5908330250665001E-2"/>
          <c:w val="0.51196825115961597"/>
          <c:h val="0.95914037590938706"/>
        </c:manualLayout>
      </c:layout>
      <c:overlay val="0"/>
      <c:spPr>
        <a:noFill/>
        <a:ln>
          <a:noFill/>
        </a:ln>
        <a:effectLst/>
      </c:spPr>
      <c:txPr>
        <a:bodyPr rot="0" spcFirstLastPara="1" vertOverflow="ellipsis" vert="horz" wrap="square" anchor="ctr" anchorCtr="0"/>
        <a:lstStyle/>
        <a:p>
          <a:pPr>
            <a:defRPr sz="11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Augstākās izglītības sektors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Sheet1!$B$1:$L$1</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Sheet1!$B$2:$L$2</c:f>
              <c:numCache>
                <c:formatCode>General</c:formatCode>
                <c:ptCount val="11"/>
                <c:pt idx="0">
                  <c:v>3208</c:v>
                </c:pt>
                <c:pt idx="1">
                  <c:v>2856</c:v>
                </c:pt>
                <c:pt idx="2">
                  <c:v>3482</c:v>
                </c:pt>
                <c:pt idx="3">
                  <c:v>3879</c:v>
                </c:pt>
                <c:pt idx="4">
                  <c:v>3779</c:v>
                </c:pt>
                <c:pt idx="5">
                  <c:v>3246</c:v>
                </c:pt>
                <c:pt idx="6">
                  <c:v>3285</c:v>
                </c:pt>
                <c:pt idx="7">
                  <c:v>3393</c:v>
                </c:pt>
                <c:pt idx="8">
                  <c:v>3538</c:v>
                </c:pt>
                <c:pt idx="9">
                  <c:v>3237</c:v>
                </c:pt>
                <c:pt idx="10">
                  <c:v>3177</c:v>
                </c:pt>
              </c:numCache>
            </c:numRef>
          </c:val>
        </c:ser>
        <c:ser>
          <c:idx val="1"/>
          <c:order val="1"/>
          <c:tx>
            <c:strRef>
              <c:f>Sheet1!$A$3</c:f>
              <c:strCache>
                <c:ptCount val="1"/>
                <c:pt idx="0">
                  <c:v>Valsts sektors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Sheet1!$B$1:$L$1</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Sheet1!$B$3:$L$3</c:f>
              <c:numCache>
                <c:formatCode>General</c:formatCode>
                <c:ptCount val="11"/>
                <c:pt idx="0">
                  <c:v>1013</c:v>
                </c:pt>
                <c:pt idx="1">
                  <c:v>1256</c:v>
                </c:pt>
                <c:pt idx="2">
                  <c:v>1164</c:v>
                </c:pt>
                <c:pt idx="3">
                  <c:v>1371</c:v>
                </c:pt>
                <c:pt idx="4">
                  <c:v>1526</c:v>
                </c:pt>
                <c:pt idx="5">
                  <c:v>1211</c:v>
                </c:pt>
                <c:pt idx="6">
                  <c:v>1018</c:v>
                </c:pt>
                <c:pt idx="7">
                  <c:v>1169</c:v>
                </c:pt>
                <c:pt idx="8">
                  <c:v>1170</c:v>
                </c:pt>
                <c:pt idx="9">
                  <c:v>1178</c:v>
                </c:pt>
                <c:pt idx="10">
                  <c:v>1180</c:v>
                </c:pt>
              </c:numCache>
            </c:numRef>
          </c:val>
        </c:ser>
        <c:ser>
          <c:idx val="2"/>
          <c:order val="2"/>
          <c:tx>
            <c:strRef>
              <c:f>Sheet1!$A$4</c:f>
              <c:strCache>
                <c:ptCount val="1"/>
                <c:pt idx="0">
                  <c:v>Uzņēmējdarbības sektors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Sheet1!$B$1:$L$1</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Sheet1!$B$4:$L$4</c:f>
              <c:numCache>
                <c:formatCode>General</c:formatCode>
                <c:ptCount val="11"/>
                <c:pt idx="0">
                  <c:v>882</c:v>
                </c:pt>
                <c:pt idx="1">
                  <c:v>1371</c:v>
                </c:pt>
                <c:pt idx="2">
                  <c:v>1874</c:v>
                </c:pt>
                <c:pt idx="3">
                  <c:v>1128</c:v>
                </c:pt>
                <c:pt idx="4">
                  <c:v>1231</c:v>
                </c:pt>
                <c:pt idx="5">
                  <c:v>1028</c:v>
                </c:pt>
                <c:pt idx="6">
                  <c:v>1260</c:v>
                </c:pt>
                <c:pt idx="7">
                  <c:v>870</c:v>
                </c:pt>
                <c:pt idx="8">
                  <c:v>885</c:v>
                </c:pt>
                <c:pt idx="9">
                  <c:v>981</c:v>
                </c:pt>
                <c:pt idx="10">
                  <c:v>1382</c:v>
                </c:pt>
              </c:numCache>
            </c:numRef>
          </c:val>
        </c:ser>
        <c:dLbls>
          <c:showLegendKey val="0"/>
          <c:showVal val="0"/>
          <c:showCatName val="0"/>
          <c:showSerName val="0"/>
          <c:showPercent val="0"/>
          <c:showBubbleSize val="0"/>
        </c:dLbls>
        <c:gapWidth val="150"/>
        <c:overlap val="100"/>
        <c:axId val="490374816"/>
        <c:axId val="490375208"/>
      </c:barChart>
      <c:catAx>
        <c:axId val="49037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375208"/>
        <c:crosses val="autoZero"/>
        <c:auto val="1"/>
        <c:lblAlgn val="ctr"/>
        <c:lblOffset val="100"/>
        <c:noMultiLvlLbl val="0"/>
      </c:catAx>
      <c:valAx>
        <c:axId val="490375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37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Sheet10!$A$2:$A$7</c:f>
              <c:strCache>
                <c:ptCount val="6"/>
                <c:pt idx="0">
                  <c:v>Dabaszinātnes</c:v>
                </c:pt>
                <c:pt idx="1">
                  <c:v>Inženierzinātnes un tehnoloģiju zinātnes</c:v>
                </c:pt>
                <c:pt idx="2">
                  <c:v>Medicīnas un veselības zinātnes</c:v>
                </c:pt>
                <c:pt idx="3">
                  <c:v>Lauksaimniecības zinātnes</c:v>
                </c:pt>
                <c:pt idx="4">
                  <c:v>Sociālās zinātnes</c:v>
                </c:pt>
                <c:pt idx="5">
                  <c:v>Humanitārās zinātnes</c:v>
                </c:pt>
              </c:strCache>
            </c:strRef>
          </c:cat>
          <c:val>
            <c:numRef>
              <c:f>Sheet10!$C$2:$C$7</c:f>
              <c:numCache>
                <c:formatCode>0%</c:formatCode>
                <c:ptCount val="6"/>
                <c:pt idx="0">
                  <c:v>0.44273255813953499</c:v>
                </c:pt>
                <c:pt idx="1">
                  <c:v>0.206976744186047</c:v>
                </c:pt>
                <c:pt idx="2">
                  <c:v>6.1337209302325703E-2</c:v>
                </c:pt>
                <c:pt idx="3">
                  <c:v>8.5755813953488705E-2</c:v>
                </c:pt>
                <c:pt idx="4">
                  <c:v>0.123546511627907</c:v>
                </c:pt>
                <c:pt idx="5">
                  <c:v>7.9651162790697699E-2</c:v>
                </c:pt>
              </c:numCache>
            </c:numRef>
          </c:val>
        </c:ser>
        <c:dLbls>
          <c:showLegendKey val="0"/>
          <c:showVal val="1"/>
          <c:showCatName val="0"/>
          <c:showSerName val="0"/>
          <c:showPercent val="0"/>
          <c:showBubbleSize val="0"/>
        </c:dLbls>
        <c:gapWidth val="182"/>
        <c:axId val="490375992"/>
        <c:axId val="490376384"/>
      </c:barChart>
      <c:catAx>
        <c:axId val="490375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376384"/>
        <c:crosses val="autoZero"/>
        <c:auto val="1"/>
        <c:lblAlgn val="ctr"/>
        <c:lblOffset val="100"/>
        <c:noMultiLvlLbl val="0"/>
      </c:catAx>
      <c:valAx>
        <c:axId val="490376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0375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KOPĀ!$E$3</c:f>
              <c:strCache>
                <c:ptCount val="1"/>
                <c:pt idx="0">
                  <c:v>Frequency</c:v>
                </c:pt>
              </c:strCache>
            </c:strRef>
          </c:tx>
          <c:spPr>
            <a:solidFill>
              <a:schemeClr val="accent1"/>
            </a:solidFill>
            <a:ln>
              <a:noFill/>
            </a:ln>
            <a:effectLst/>
          </c:spPr>
          <c:invertIfNegative val="0"/>
          <c:dLbls>
            <c:spPr>
              <a:noFill/>
              <a:ln>
                <a:noFill/>
              </a:ln>
              <a:effectLst/>
            </c:spPr>
            <c:txPr>
              <a:bodyPr rot="0" vert="horz"/>
              <a:lstStyle/>
              <a:p>
                <a:pPr>
                  <a:defRPr b="1">
                    <a:solidFill>
                      <a:sysClr val="windowText" lastClr="000000"/>
                    </a:solidFill>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KOPĀ!$D$4:$D$15</c:f>
              <c:strCache>
                <c:ptCount val="12"/>
                <c:pt idx="0">
                  <c:v>20-25</c:v>
                </c:pt>
                <c:pt idx="1">
                  <c:v>26-29</c:v>
                </c:pt>
                <c:pt idx="2">
                  <c:v>30-34</c:v>
                </c:pt>
                <c:pt idx="3">
                  <c:v>35-39</c:v>
                </c:pt>
                <c:pt idx="4">
                  <c:v>40-44</c:v>
                </c:pt>
                <c:pt idx="5">
                  <c:v>45-49</c:v>
                </c:pt>
                <c:pt idx="6">
                  <c:v>50-54</c:v>
                </c:pt>
                <c:pt idx="7">
                  <c:v>55-59</c:v>
                </c:pt>
                <c:pt idx="8">
                  <c:v>60-64</c:v>
                </c:pt>
                <c:pt idx="9">
                  <c:v>65-69</c:v>
                </c:pt>
                <c:pt idx="10">
                  <c:v>70-79</c:v>
                </c:pt>
                <c:pt idx="11">
                  <c:v>80-89</c:v>
                </c:pt>
              </c:strCache>
            </c:strRef>
          </c:cat>
          <c:val>
            <c:numRef>
              <c:f>KOPĀ!$E$4:$E$15</c:f>
              <c:numCache>
                <c:formatCode>General</c:formatCode>
                <c:ptCount val="12"/>
                <c:pt idx="0">
                  <c:v>89</c:v>
                </c:pt>
                <c:pt idx="1">
                  <c:v>466</c:v>
                </c:pt>
                <c:pt idx="2">
                  <c:v>384</c:v>
                </c:pt>
                <c:pt idx="3">
                  <c:v>308</c:v>
                </c:pt>
                <c:pt idx="4">
                  <c:v>268</c:v>
                </c:pt>
                <c:pt idx="5">
                  <c:v>244</c:v>
                </c:pt>
                <c:pt idx="6">
                  <c:v>219</c:v>
                </c:pt>
                <c:pt idx="7">
                  <c:v>256</c:v>
                </c:pt>
                <c:pt idx="8">
                  <c:v>237</c:v>
                </c:pt>
                <c:pt idx="9">
                  <c:v>234</c:v>
                </c:pt>
                <c:pt idx="10">
                  <c:v>315</c:v>
                </c:pt>
                <c:pt idx="11">
                  <c:v>35</c:v>
                </c:pt>
              </c:numCache>
            </c:numRef>
          </c:val>
        </c:ser>
        <c:dLbls>
          <c:showLegendKey val="0"/>
          <c:showVal val="1"/>
          <c:showCatName val="0"/>
          <c:showSerName val="0"/>
          <c:showPercent val="0"/>
          <c:showBubbleSize val="0"/>
        </c:dLbls>
        <c:gapWidth val="219"/>
        <c:overlap val="-27"/>
        <c:axId val="490377168"/>
        <c:axId val="490377560"/>
      </c:barChart>
      <c:lineChart>
        <c:grouping val="standard"/>
        <c:varyColors val="0"/>
        <c:ser>
          <c:idx val="1"/>
          <c:order val="1"/>
          <c:tx>
            <c:strRef>
              <c:f>KOPĀ!$F$3</c:f>
              <c:strCache>
                <c:ptCount val="1"/>
                <c:pt idx="0">
                  <c:v>%</c:v>
                </c:pt>
              </c:strCache>
            </c:strRef>
          </c:tx>
          <c:spPr>
            <a:ln w="28575" cap="rnd">
              <a:solidFill>
                <a:schemeClr val="accent2"/>
              </a:solidFill>
              <a:round/>
            </a:ln>
            <a:effectLst/>
          </c:spPr>
          <c:marker>
            <c:symbol val="none"/>
          </c:marker>
          <c:dLbls>
            <c:dLbl>
              <c:idx val="0"/>
              <c:layout>
                <c:manualLayout>
                  <c:x val="-3.63828952811419E-2"/>
                  <c:y val="-5.61461558878175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43906636414592E-2"/>
                  <c:y val="-9.66840661771212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19606066412501E-2"/>
                  <c:y val="-9.2179421392550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4745415181073901E-2"/>
                  <c:y val="-7.861806600017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1834339447619202E-2"/>
                  <c:y val="-7.41236839777052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834339447619202E-2"/>
                  <c:y val="-7.861806600017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1834339447619202E-2"/>
                  <c:y val="-7.41236839777053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70196930978351E-2"/>
                  <c:y val="-7.41236839777052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5056375827037399E-2"/>
                  <c:y val="-5.620931241862450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b="1">
                    <a:solidFill>
                      <a:sysClr val="windowText" lastClr="000000"/>
                    </a:solidFill>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KOPĀ!$D$4:$D$15</c:f>
              <c:strCache>
                <c:ptCount val="12"/>
                <c:pt idx="0">
                  <c:v>20-25</c:v>
                </c:pt>
                <c:pt idx="1">
                  <c:v>26-29</c:v>
                </c:pt>
                <c:pt idx="2">
                  <c:v>30-34</c:v>
                </c:pt>
                <c:pt idx="3">
                  <c:v>35-39</c:v>
                </c:pt>
                <c:pt idx="4">
                  <c:v>40-44</c:v>
                </c:pt>
                <c:pt idx="5">
                  <c:v>45-49</c:v>
                </c:pt>
                <c:pt idx="6">
                  <c:v>50-54</c:v>
                </c:pt>
                <c:pt idx="7">
                  <c:v>55-59</c:v>
                </c:pt>
                <c:pt idx="8">
                  <c:v>60-64</c:v>
                </c:pt>
                <c:pt idx="9">
                  <c:v>65-69</c:v>
                </c:pt>
                <c:pt idx="10">
                  <c:v>70-79</c:v>
                </c:pt>
                <c:pt idx="11">
                  <c:v>80-89</c:v>
                </c:pt>
              </c:strCache>
            </c:strRef>
          </c:cat>
          <c:val>
            <c:numRef>
              <c:f>KOPĀ!$F$4:$F$15</c:f>
              <c:numCache>
                <c:formatCode>0%</c:formatCode>
                <c:ptCount val="12"/>
                <c:pt idx="0">
                  <c:v>2.91325695581015E-2</c:v>
                </c:pt>
                <c:pt idx="1">
                  <c:v>0.15253682487725201</c:v>
                </c:pt>
                <c:pt idx="2">
                  <c:v>0.12569558101473</c:v>
                </c:pt>
                <c:pt idx="3">
                  <c:v>0.100818330605563</c:v>
                </c:pt>
                <c:pt idx="4">
                  <c:v>8.7725040916530703E-2</c:v>
                </c:pt>
                <c:pt idx="5">
                  <c:v>7.98690671031098E-2</c:v>
                </c:pt>
                <c:pt idx="6">
                  <c:v>7.1685761047463201E-2</c:v>
                </c:pt>
                <c:pt idx="7">
                  <c:v>8.3797054009820404E-2</c:v>
                </c:pt>
                <c:pt idx="8">
                  <c:v>7.7577741407528794E-2</c:v>
                </c:pt>
                <c:pt idx="9">
                  <c:v>7.6595744680851105E-2</c:v>
                </c:pt>
                <c:pt idx="10">
                  <c:v>0.103109656301146</c:v>
                </c:pt>
                <c:pt idx="11">
                  <c:v>1.1456628477905101E-2</c:v>
                </c:pt>
              </c:numCache>
            </c:numRef>
          </c:val>
          <c:smooth val="0"/>
        </c:ser>
        <c:dLbls>
          <c:showLegendKey val="0"/>
          <c:showVal val="1"/>
          <c:showCatName val="0"/>
          <c:showSerName val="0"/>
          <c:showPercent val="0"/>
          <c:showBubbleSize val="0"/>
        </c:dLbls>
        <c:marker val="1"/>
        <c:smooth val="0"/>
        <c:axId val="490403552"/>
        <c:axId val="490377952"/>
      </c:lineChart>
      <c:catAx>
        <c:axId val="49037716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vert="horz"/>
          <a:lstStyle/>
          <a:p>
            <a:pPr>
              <a:defRPr>
                <a:solidFill>
                  <a:sysClr val="windowText" lastClr="000000"/>
                </a:solidFill>
              </a:defRPr>
            </a:pPr>
            <a:endParaRPr lang="lv-LV"/>
          </a:p>
        </c:txPr>
        <c:crossAx val="490377560"/>
        <c:crosses val="autoZero"/>
        <c:auto val="1"/>
        <c:lblAlgn val="ctr"/>
        <c:lblOffset val="100"/>
        <c:noMultiLvlLbl val="0"/>
      </c:catAx>
      <c:valAx>
        <c:axId val="490377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solidFill>
                  <a:sysClr val="windowText" lastClr="000000"/>
                </a:solidFill>
              </a:defRPr>
            </a:pPr>
            <a:endParaRPr lang="lv-LV"/>
          </a:p>
        </c:txPr>
        <c:crossAx val="490377168"/>
        <c:crosses val="autoZero"/>
        <c:crossBetween val="between"/>
      </c:valAx>
      <c:valAx>
        <c:axId val="490377952"/>
        <c:scaling>
          <c:orientation val="minMax"/>
        </c:scaling>
        <c:delete val="0"/>
        <c:axPos val="r"/>
        <c:numFmt formatCode="0%" sourceLinked="1"/>
        <c:majorTickMark val="none"/>
        <c:minorTickMark val="none"/>
        <c:tickLblPos val="nextTo"/>
        <c:spPr>
          <a:noFill/>
          <a:ln>
            <a:noFill/>
          </a:ln>
          <a:effectLst/>
        </c:spPr>
        <c:txPr>
          <a:bodyPr rot="-60000000" vert="horz"/>
          <a:lstStyle/>
          <a:p>
            <a:pPr>
              <a:defRPr>
                <a:solidFill>
                  <a:sysClr val="windowText" lastClr="000000"/>
                </a:solidFill>
              </a:defRPr>
            </a:pPr>
            <a:endParaRPr lang="lv-LV"/>
          </a:p>
        </c:txPr>
        <c:crossAx val="490403552"/>
        <c:crosses val="max"/>
        <c:crossBetween val="between"/>
      </c:valAx>
      <c:catAx>
        <c:axId val="490403552"/>
        <c:scaling>
          <c:orientation val="minMax"/>
        </c:scaling>
        <c:delete val="1"/>
        <c:axPos val="b"/>
        <c:numFmt formatCode="General" sourceLinked="1"/>
        <c:majorTickMark val="none"/>
        <c:minorTickMark val="none"/>
        <c:tickLblPos val="none"/>
        <c:crossAx val="4903779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sz="900">
          <a:solidFill>
            <a:schemeClr val="tx1">
              <a:lumMod val="65000"/>
              <a:lumOff val="35000"/>
            </a:schemeClr>
          </a:solidFill>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84341782858593E-2"/>
          <c:y val="2.5547775386208199E-2"/>
          <c:w val="0.86487822743087395"/>
          <c:h val="0.68175644134448599"/>
        </c:manualLayout>
      </c:layout>
      <c:barChart>
        <c:barDir val="col"/>
        <c:grouping val="clustered"/>
        <c:varyColors val="0"/>
        <c:ser>
          <c:idx val="0"/>
          <c:order val="0"/>
          <c:tx>
            <c:strRef>
              <c:f>Sheet2!$B$29</c:f>
              <c:strCache>
                <c:ptCount val="1"/>
                <c:pt idx="0">
                  <c:v>Ievēlētais zinātniskais personāls</c:v>
                </c:pt>
              </c:strCache>
            </c:strRef>
          </c:tx>
          <c:spPr>
            <a:solidFill>
              <a:schemeClr val="accent1"/>
            </a:solidFill>
            <a:ln>
              <a:noFill/>
            </a:ln>
            <a:effectLst/>
          </c:spPr>
          <c:invertIfNegative val="0"/>
          <c:dLbls>
            <c:dLbl>
              <c:idx val="4"/>
              <c:layout>
                <c:manualLayout>
                  <c:x val="-8.5524909129784197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Sheet2!$A$30:$A$34</c:f>
              <c:strCache>
                <c:ptCount val="5"/>
                <c:pt idx="0">
                  <c:v>Kurzemes plānošanas reģions</c:v>
                </c:pt>
                <c:pt idx="1">
                  <c:v>Latgales plānošanas reģions</c:v>
                </c:pt>
                <c:pt idx="2">
                  <c:v>Rīgas plānošanas reģions</c:v>
                </c:pt>
                <c:pt idx="3">
                  <c:v>Vidzemes plānošanas reģions</c:v>
                </c:pt>
                <c:pt idx="4">
                  <c:v>Zemgales plānošanas reģions</c:v>
                </c:pt>
              </c:strCache>
            </c:strRef>
          </c:cat>
          <c:val>
            <c:numRef>
              <c:f>Sheet2!$B$30:$B$34</c:f>
              <c:numCache>
                <c:formatCode>#,##0.00</c:formatCode>
                <c:ptCount val="5"/>
                <c:pt idx="0">
                  <c:v>55.25</c:v>
                </c:pt>
                <c:pt idx="1">
                  <c:v>55.71407775035712</c:v>
                </c:pt>
                <c:pt idx="2">
                  <c:v>1540.449758429794</c:v>
                </c:pt>
                <c:pt idx="3">
                  <c:v>13.3</c:v>
                </c:pt>
                <c:pt idx="4">
                  <c:v>63.761419224962303</c:v>
                </c:pt>
              </c:numCache>
            </c:numRef>
          </c:val>
        </c:ser>
        <c:ser>
          <c:idx val="1"/>
          <c:order val="1"/>
          <c:tx>
            <c:strRef>
              <c:f>Sheet2!$C$29</c:f>
              <c:strCache>
                <c:ptCount val="1"/>
                <c:pt idx="0">
                  <c:v>Zinātnes tehniskais un apkalpojošais personāls</c:v>
                </c:pt>
              </c:strCache>
            </c:strRef>
          </c:tx>
          <c:spPr>
            <a:solidFill>
              <a:schemeClr val="accent2"/>
            </a:solidFill>
            <a:ln>
              <a:noFill/>
            </a:ln>
            <a:effectLst/>
          </c:spPr>
          <c:invertIfNegative val="0"/>
          <c:dLbls>
            <c:dLbl>
              <c:idx val="2"/>
              <c:layout>
                <c:manualLayout>
                  <c:x val="1.49668590977121E-2"/>
                  <c:y val="-3.8337769861039001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690613641222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Sheet2!$A$30:$A$34</c:f>
              <c:strCache>
                <c:ptCount val="5"/>
                <c:pt idx="0">
                  <c:v>Kurzemes plānošanas reģions</c:v>
                </c:pt>
                <c:pt idx="1">
                  <c:v>Latgales plānošanas reģions</c:v>
                </c:pt>
                <c:pt idx="2">
                  <c:v>Rīgas plānošanas reģions</c:v>
                </c:pt>
                <c:pt idx="3">
                  <c:v>Vidzemes plānošanas reģions</c:v>
                </c:pt>
                <c:pt idx="4">
                  <c:v>Zemgales plānošanas reģions</c:v>
                </c:pt>
              </c:strCache>
            </c:strRef>
          </c:cat>
          <c:val>
            <c:numRef>
              <c:f>Sheet2!$C$30:$C$34</c:f>
              <c:numCache>
                <c:formatCode>#,##0.00</c:formatCode>
                <c:ptCount val="5"/>
                <c:pt idx="0">
                  <c:v>48.84</c:v>
                </c:pt>
                <c:pt idx="1">
                  <c:v>91.92</c:v>
                </c:pt>
                <c:pt idx="2">
                  <c:v>1126.67</c:v>
                </c:pt>
                <c:pt idx="3">
                  <c:v>37.049999999999997</c:v>
                </c:pt>
                <c:pt idx="4">
                  <c:v>106.14</c:v>
                </c:pt>
              </c:numCache>
            </c:numRef>
          </c:val>
        </c:ser>
        <c:dLbls>
          <c:showLegendKey val="0"/>
          <c:showVal val="0"/>
          <c:showCatName val="0"/>
          <c:showSerName val="0"/>
          <c:showPercent val="0"/>
          <c:showBubbleSize val="0"/>
        </c:dLbls>
        <c:gapWidth val="219"/>
        <c:overlap val="-27"/>
        <c:axId val="490404336"/>
        <c:axId val="490404728"/>
      </c:barChart>
      <c:catAx>
        <c:axId val="49040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90404728"/>
        <c:crosses val="autoZero"/>
        <c:auto val="1"/>
        <c:lblAlgn val="ctr"/>
        <c:lblOffset val="100"/>
        <c:noMultiLvlLbl val="0"/>
      </c:catAx>
      <c:valAx>
        <c:axId val="490404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9040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2E06-BAB9-4551-AE1C-0133F817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80717</Words>
  <Characters>46009</Characters>
  <Application>Microsoft Office Word</Application>
  <DocSecurity>0</DocSecurity>
  <Lines>383</Lines>
  <Paragraphs>252</Paragraphs>
  <ScaleCrop>false</ScaleCrop>
  <HeadingPairs>
    <vt:vector size="2" baseType="variant">
      <vt:variant>
        <vt:lpstr>Title</vt:lpstr>
      </vt:variant>
      <vt:variant>
        <vt:i4>1</vt:i4>
      </vt:variant>
    </vt:vector>
  </HeadingPairs>
  <TitlesOfParts>
    <vt:vector size="1" baseType="lpstr">
      <vt:lpstr>Informatīvā ziņojuma "Par pētniecības un inovācijas infrastruktūras un pētnieciskās darbības koncentrācijas teritoriālo kartējumu" projekts</vt:lpstr>
    </vt:vector>
  </TitlesOfParts>
  <Company/>
  <LinksUpToDate>false</LinksUpToDate>
  <CharactersWithSpaces>126474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pētniecības un inovācijas infrastruktūras un pētnieciskās darbības koncentrācijas teritoriālo kartējumu" projekts</dc:title>
  <dc:subject/>
  <dc:creator>Antra Žilinska</dc:creator>
  <cp:keywords/>
  <dc:description/>
  <cp:lastModifiedBy>Dina Tihonova</cp:lastModifiedBy>
  <cp:revision>3</cp:revision>
  <cp:lastPrinted>2016-08-12T08:50:00Z</cp:lastPrinted>
  <dcterms:created xsi:type="dcterms:W3CDTF">2016-08-12T08:37:00Z</dcterms:created>
  <dcterms:modified xsi:type="dcterms:W3CDTF">2016-08-12T08:50:00Z</dcterms:modified>
</cp:coreProperties>
</file>