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3C" w:rsidRPr="00501D5D" w:rsidRDefault="00CF2D3C" w:rsidP="00CF2D3C">
      <w:pPr>
        <w:pStyle w:val="BodyText3"/>
        <w:jc w:val="center"/>
        <w:rPr>
          <w:bCs/>
          <w:i w:val="0"/>
          <w:sz w:val="28"/>
          <w:szCs w:val="28"/>
          <w:lang w:val="lv-LV"/>
        </w:rPr>
      </w:pPr>
      <w:r w:rsidRPr="00501D5D">
        <w:rPr>
          <w:bCs/>
          <w:i w:val="0"/>
          <w:sz w:val="28"/>
          <w:szCs w:val="28"/>
          <w:lang w:val="lv-LV"/>
        </w:rPr>
        <w:t>Ministru kabineta noteikumu projekta</w:t>
      </w:r>
    </w:p>
    <w:p w:rsidR="00CF2D3C" w:rsidRPr="000D681B" w:rsidRDefault="00CF2D3C" w:rsidP="00CF2D3C">
      <w:pPr>
        <w:jc w:val="center"/>
        <w:rPr>
          <w:rFonts w:eastAsia="SimSun" w:cs="Times New Roman"/>
          <w:b/>
          <w:sz w:val="28"/>
          <w:szCs w:val="28"/>
          <w:lang w:eastAsia="lv-LV" w:bidi="ar-SA"/>
        </w:rPr>
      </w:pPr>
      <w:r w:rsidRPr="00E4689E">
        <w:rPr>
          <w:sz w:val="28"/>
          <w:szCs w:val="28"/>
        </w:rPr>
        <w:t>"</w:t>
      </w:r>
      <w:r w:rsidR="00497FBC" w:rsidRPr="00497FBC">
        <w:rPr>
          <w:rFonts w:cs="Times New Roman"/>
          <w:iCs/>
          <w:sz w:val="28"/>
          <w:szCs w:val="28"/>
        </w:rPr>
        <w:t xml:space="preserve">Par informāciju, kas iekļaujama darbības rezultātu ziņojumā, kuru Korupcijas novēršanas un apkarošanas birojs sniedz </w:t>
      </w:r>
      <w:r w:rsidR="00497FBC" w:rsidRPr="00497FBC">
        <w:rPr>
          <w:rFonts w:cs="Times New Roman"/>
          <w:sz w:val="28"/>
          <w:szCs w:val="28"/>
        </w:rPr>
        <w:t>Ministru kabinetam un Saeimai</w:t>
      </w:r>
      <w:r w:rsidRPr="00E4689E">
        <w:rPr>
          <w:sz w:val="28"/>
          <w:szCs w:val="28"/>
        </w:rPr>
        <w:t>"</w:t>
      </w:r>
      <w:r w:rsidRPr="000D681B">
        <w:rPr>
          <w:sz w:val="28"/>
          <w:szCs w:val="28"/>
        </w:rPr>
        <w:t xml:space="preserve"> ietekmes izvērtējums (anotācija)</w:t>
      </w:r>
    </w:p>
    <w:p w:rsidR="00CF2D3C" w:rsidRPr="006E1657" w:rsidRDefault="00CF2D3C" w:rsidP="00CF2D3C">
      <w:pPr>
        <w:rPr>
          <w:iCs/>
          <w:color w:val="FF0000"/>
        </w:rPr>
      </w:pPr>
    </w:p>
    <w:tbl>
      <w:tblPr>
        <w:tblW w:w="4919" w:type="pct"/>
        <w:tblCellSpacing w:w="15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9"/>
        <w:gridCol w:w="2653"/>
        <w:gridCol w:w="5574"/>
      </w:tblGrid>
      <w:tr w:rsidR="00CF2D3C" w:rsidRPr="006E1657" w:rsidTr="005137DC">
        <w:trPr>
          <w:trHeight w:val="405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D3C" w:rsidRPr="00393DBA" w:rsidRDefault="00CF2D3C" w:rsidP="005137DC">
            <w:pPr>
              <w:jc w:val="center"/>
              <w:rPr>
                <w:b/>
                <w:bCs/>
                <w:sz w:val="24"/>
                <w:szCs w:val="24"/>
              </w:rPr>
            </w:pPr>
            <w:r w:rsidRPr="00393DBA">
              <w:rPr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CF2D3C" w:rsidRPr="006E1657" w:rsidTr="005137DC">
        <w:trPr>
          <w:trHeight w:val="405"/>
          <w:tblCellSpacing w:w="15" w:type="dxa"/>
        </w:trPr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D3C" w:rsidRPr="00393DBA" w:rsidRDefault="00CF2D3C" w:rsidP="005137DC">
            <w:pPr>
              <w:rPr>
                <w:sz w:val="24"/>
                <w:szCs w:val="24"/>
              </w:rPr>
            </w:pPr>
            <w:r w:rsidRPr="00393DBA">
              <w:rPr>
                <w:sz w:val="24"/>
                <w:szCs w:val="24"/>
              </w:rPr>
              <w:t>1.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D3C" w:rsidRPr="00393DBA" w:rsidRDefault="00CF2D3C" w:rsidP="005137DC">
            <w:pPr>
              <w:rPr>
                <w:sz w:val="24"/>
                <w:szCs w:val="24"/>
              </w:rPr>
            </w:pPr>
            <w:r w:rsidRPr="00393DBA">
              <w:rPr>
                <w:sz w:val="24"/>
                <w:szCs w:val="24"/>
              </w:rPr>
              <w:t>Pamatojums</w:t>
            </w:r>
          </w:p>
          <w:p w:rsidR="00CF2D3C" w:rsidRPr="00393DBA" w:rsidRDefault="00CF2D3C" w:rsidP="00513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D3C" w:rsidRPr="00393DBA" w:rsidRDefault="00E4689E" w:rsidP="005137DC">
            <w:pPr>
              <w:ind w:firstLine="554"/>
              <w:jc w:val="both"/>
              <w:rPr>
                <w:sz w:val="24"/>
                <w:szCs w:val="24"/>
              </w:rPr>
            </w:pPr>
            <w:r w:rsidRPr="00393DBA">
              <w:rPr>
                <w:sz w:val="24"/>
                <w:szCs w:val="24"/>
                <w:lang w:eastAsia="lv-LV"/>
              </w:rPr>
              <w:t xml:space="preserve">Korupcijas novēršanas un apkarošanas biroja likuma (turpmāk – Likums) 4.panta </w:t>
            </w:r>
            <w:r w:rsidRPr="00393DBA">
              <w:rPr>
                <w:sz w:val="24"/>
                <w:szCs w:val="24"/>
              </w:rPr>
              <w:t>sestās daļas 4.punkts</w:t>
            </w:r>
          </w:p>
        </w:tc>
      </w:tr>
      <w:tr w:rsidR="00CF2D3C" w:rsidRPr="006E1657" w:rsidTr="005137DC">
        <w:trPr>
          <w:trHeight w:val="465"/>
          <w:tblCellSpacing w:w="15" w:type="dxa"/>
        </w:trPr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D3C" w:rsidRPr="00393DBA" w:rsidRDefault="00CF2D3C" w:rsidP="005137DC">
            <w:pPr>
              <w:rPr>
                <w:sz w:val="24"/>
                <w:szCs w:val="24"/>
              </w:rPr>
            </w:pPr>
            <w:r w:rsidRPr="00393DBA">
              <w:rPr>
                <w:sz w:val="24"/>
                <w:szCs w:val="24"/>
              </w:rPr>
              <w:t>2.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D3C" w:rsidRPr="00393DBA" w:rsidRDefault="00CF2D3C" w:rsidP="005137DC">
            <w:pPr>
              <w:rPr>
                <w:sz w:val="24"/>
                <w:szCs w:val="24"/>
              </w:rPr>
            </w:pPr>
            <w:r w:rsidRPr="00393DBA">
              <w:rPr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2D3C" w:rsidRPr="00393DBA" w:rsidRDefault="00E4689E" w:rsidP="00A72AB3">
            <w:pPr>
              <w:jc w:val="both"/>
              <w:rPr>
                <w:sz w:val="24"/>
                <w:szCs w:val="24"/>
              </w:rPr>
            </w:pPr>
            <w:r w:rsidRPr="00393DBA">
              <w:rPr>
                <w:sz w:val="24"/>
                <w:szCs w:val="24"/>
              </w:rPr>
              <w:t>Šobrīd nav un nekad nav bijis tāds normatīvais akts, kurš noteiktu kārtību un detalizācijas pakāpi, kādā</w:t>
            </w:r>
            <w:r w:rsidR="006F173D">
              <w:rPr>
                <w:sz w:val="24"/>
                <w:szCs w:val="24"/>
              </w:rPr>
              <w:t xml:space="preserve"> sniedzama informācija</w:t>
            </w:r>
            <w:r w:rsidRPr="00393DBA">
              <w:rPr>
                <w:sz w:val="24"/>
                <w:szCs w:val="24"/>
              </w:rPr>
              <w:t xml:space="preserve"> </w:t>
            </w:r>
            <w:r w:rsidR="006F173D" w:rsidRPr="00393DBA">
              <w:rPr>
                <w:sz w:val="24"/>
                <w:szCs w:val="24"/>
              </w:rPr>
              <w:t xml:space="preserve">Ministru kabinetam un Saeimai </w:t>
            </w:r>
            <w:r w:rsidR="006F173D">
              <w:rPr>
                <w:sz w:val="24"/>
                <w:szCs w:val="24"/>
              </w:rPr>
              <w:t>par</w:t>
            </w:r>
            <w:r w:rsidR="006F173D" w:rsidRPr="00393DBA">
              <w:rPr>
                <w:iCs/>
                <w:sz w:val="24"/>
                <w:szCs w:val="24"/>
              </w:rPr>
              <w:t xml:space="preserve"> </w:t>
            </w:r>
            <w:r w:rsidRPr="00393DBA">
              <w:rPr>
                <w:iCs/>
                <w:sz w:val="24"/>
                <w:szCs w:val="24"/>
              </w:rPr>
              <w:t xml:space="preserve">Korupcijas novēršanas un apkarošanas biroja darbības </w:t>
            </w:r>
            <w:r w:rsidR="006F173D">
              <w:rPr>
                <w:sz w:val="24"/>
                <w:szCs w:val="24"/>
              </w:rPr>
              <w:t xml:space="preserve">rezultātiem. Taču </w:t>
            </w:r>
            <w:r w:rsidRPr="00393DBA">
              <w:rPr>
                <w:sz w:val="24"/>
                <w:szCs w:val="24"/>
              </w:rPr>
              <w:t>Likumā noteikts</w:t>
            </w:r>
            <w:r w:rsidR="006F173D">
              <w:rPr>
                <w:sz w:val="24"/>
                <w:szCs w:val="24"/>
              </w:rPr>
              <w:t xml:space="preserve"> šāds</w:t>
            </w:r>
            <w:r w:rsidRPr="00393DBA">
              <w:rPr>
                <w:sz w:val="24"/>
                <w:szCs w:val="24"/>
              </w:rPr>
              <w:t xml:space="preserve"> deleģējums Ministru kabinetam noteikt </w:t>
            </w:r>
            <w:r w:rsidR="006F173D">
              <w:rPr>
                <w:sz w:val="24"/>
                <w:szCs w:val="24"/>
              </w:rPr>
              <w:t>attiecīgu kārtību</w:t>
            </w:r>
            <w:r w:rsidRPr="00393DBA">
              <w:rPr>
                <w:sz w:val="24"/>
                <w:szCs w:val="24"/>
              </w:rPr>
              <w:t>.</w:t>
            </w:r>
          </w:p>
          <w:p w:rsidR="00E4689E" w:rsidRPr="00393DBA" w:rsidRDefault="00E4689E" w:rsidP="00E4689E">
            <w:pPr>
              <w:pStyle w:val="naisf"/>
              <w:spacing w:before="0" w:beforeAutospacing="0" w:after="0" w:afterAutospacing="0"/>
              <w:jc w:val="both"/>
            </w:pPr>
            <w:r w:rsidRPr="00393DBA">
              <w:t xml:space="preserve">Noteikumu projekts nosaka saturu informācijai, kura sniedzama Ministru kabinetam un Saeimai, to informējot par Korupcijas novēršanas un apkarošanas biroja (turpmāk – Birojs) darbības rezultātiem. </w:t>
            </w:r>
          </w:p>
          <w:p w:rsidR="00E4689E" w:rsidRPr="00393DBA" w:rsidRDefault="00E4689E" w:rsidP="00E4689E">
            <w:pPr>
              <w:pStyle w:val="naisf"/>
              <w:spacing w:before="0" w:beforeAutospacing="0" w:after="0" w:afterAutospacing="0"/>
              <w:jc w:val="both"/>
            </w:pPr>
            <w:r w:rsidRPr="00393DBA">
              <w:t>Noteikumos noteikts, ka Birojam jāsniedz sekojoša informācija:</w:t>
            </w:r>
          </w:p>
          <w:p w:rsidR="00E4689E" w:rsidRPr="00393DBA" w:rsidRDefault="00E4689E" w:rsidP="00E4689E">
            <w:pPr>
              <w:jc w:val="both"/>
              <w:rPr>
                <w:sz w:val="24"/>
                <w:szCs w:val="24"/>
                <w:lang w:eastAsia="lv-LV"/>
              </w:rPr>
            </w:pPr>
            <w:r w:rsidRPr="00393DBA">
              <w:rPr>
                <w:sz w:val="24"/>
                <w:szCs w:val="24"/>
                <w:lang w:eastAsia="lv-LV"/>
              </w:rPr>
              <w:t>Biroja darbības vispārīgs raksturojums (</w:t>
            </w:r>
            <w:r w:rsidRPr="00393DBA">
              <w:rPr>
                <w:bCs/>
                <w:sz w:val="24"/>
                <w:szCs w:val="24"/>
              </w:rPr>
              <w:t>Biroja juridiskais statuss, funkcijas, prioritātes un galvenie darbības virzieni)</w:t>
            </w:r>
            <w:r w:rsidRPr="00393DBA">
              <w:rPr>
                <w:sz w:val="24"/>
                <w:szCs w:val="24"/>
                <w:lang w:eastAsia="lv-LV"/>
              </w:rPr>
              <w:t>;</w:t>
            </w:r>
          </w:p>
          <w:p w:rsidR="00E4689E" w:rsidRPr="00393DBA" w:rsidRDefault="00E4689E" w:rsidP="00E4689E">
            <w:pPr>
              <w:tabs>
                <w:tab w:val="left" w:pos="1134"/>
              </w:tabs>
              <w:jc w:val="both"/>
              <w:rPr>
                <w:sz w:val="24"/>
                <w:szCs w:val="24"/>
                <w:lang w:eastAsia="lv-LV"/>
              </w:rPr>
            </w:pPr>
            <w:r w:rsidRPr="00393DBA">
              <w:rPr>
                <w:sz w:val="24"/>
                <w:szCs w:val="24"/>
                <w:lang w:eastAsia="lv-LV"/>
              </w:rPr>
              <w:t xml:space="preserve">Informācija par sabiedrības līdzdalību; Biroja darbības rezultāti korupcijas apkarošanā (darbības virzieni, prioritātes, kriminālprocesu un resorisko pārbaužu virzība); </w:t>
            </w:r>
          </w:p>
          <w:p w:rsidR="00E4689E" w:rsidRPr="00393DBA" w:rsidRDefault="00E4689E" w:rsidP="00E4689E">
            <w:pPr>
              <w:jc w:val="both"/>
              <w:rPr>
                <w:sz w:val="24"/>
                <w:szCs w:val="24"/>
                <w:lang w:eastAsia="lv-LV"/>
              </w:rPr>
            </w:pPr>
            <w:r w:rsidRPr="00393DBA">
              <w:rPr>
                <w:sz w:val="24"/>
                <w:szCs w:val="24"/>
                <w:lang w:eastAsia="lv-LV"/>
              </w:rPr>
              <w:t xml:space="preserve">Biroja darbības rezultāti korupcijas novēršanā; Politisko partiju (organizāciju) finansēšanas noteikumu izpildes kontrolē; Valsts amatpersonu darbības kontrolē; </w:t>
            </w:r>
            <w:r w:rsidRPr="00393DBA">
              <w:rPr>
                <w:sz w:val="24"/>
                <w:szCs w:val="24"/>
              </w:rPr>
              <w:t>Biroja personālpolitikā un iekšējā kontrolē; Biroja darbības stratēģijas izpilde; Biroja budžeta līdzekļu izlietojums un  nākošā gada prioritātes.</w:t>
            </w:r>
          </w:p>
          <w:p w:rsidR="00E4689E" w:rsidRPr="00393DBA" w:rsidRDefault="00E4689E" w:rsidP="006F173D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393DBA">
              <w:rPr>
                <w:sz w:val="24"/>
                <w:szCs w:val="24"/>
              </w:rPr>
              <w:t xml:space="preserve">Detalizācijas pakāpe noteikta atbilstoši tam, kā Birojs līdz šim ir </w:t>
            </w:r>
            <w:r w:rsidR="006F173D">
              <w:rPr>
                <w:sz w:val="24"/>
                <w:szCs w:val="24"/>
              </w:rPr>
              <w:t xml:space="preserve">sniedzis visaptverošu informāciju (pārskatu) par tā darbību </w:t>
            </w:r>
            <w:r w:rsidRPr="00393DBA">
              <w:rPr>
                <w:sz w:val="24"/>
                <w:szCs w:val="24"/>
              </w:rPr>
              <w:t>divas reizes gadā. Laika g</w:t>
            </w:r>
            <w:r w:rsidR="006F173D">
              <w:rPr>
                <w:sz w:val="24"/>
                <w:szCs w:val="24"/>
              </w:rPr>
              <w:t xml:space="preserve">aitā, sniedzot šo  informāciju, bet iztiekot bez </w:t>
            </w:r>
            <w:r w:rsidRPr="00393DBA">
              <w:rPr>
                <w:sz w:val="24"/>
                <w:szCs w:val="24"/>
              </w:rPr>
              <w:t xml:space="preserve">noteikta regulējuma, </w:t>
            </w:r>
            <w:r w:rsidR="006F173D">
              <w:rPr>
                <w:sz w:val="24"/>
                <w:szCs w:val="24"/>
              </w:rPr>
              <w:t>zināmas parašu tiesības</w:t>
            </w:r>
            <w:r w:rsidRPr="00393DBA">
              <w:rPr>
                <w:sz w:val="24"/>
                <w:szCs w:val="24"/>
              </w:rPr>
              <w:t xml:space="preserve"> tomēr ir </w:t>
            </w:r>
            <w:r w:rsidR="006F173D">
              <w:rPr>
                <w:sz w:val="24"/>
                <w:szCs w:val="24"/>
              </w:rPr>
              <w:t>izveidojies, kas faktiski ar šiem noteikumiem tiek nostiprināts konkrētā normatīvajā aktā. Līdz šim</w:t>
            </w:r>
            <w:r w:rsidRPr="00393DBA">
              <w:rPr>
                <w:sz w:val="24"/>
                <w:szCs w:val="24"/>
              </w:rPr>
              <w:t xml:space="preserve"> praksē ir pierādījies, ka gan Ministru kabinets, gan Saeima ar šāda veida un apjoma informāciju</w:t>
            </w:r>
            <w:r w:rsidR="006F173D">
              <w:rPr>
                <w:sz w:val="24"/>
                <w:szCs w:val="24"/>
              </w:rPr>
              <w:t>, ko Birojs ir sniedzis līdz šim,</w:t>
            </w:r>
            <w:r w:rsidRPr="00393DBA">
              <w:rPr>
                <w:sz w:val="24"/>
                <w:szCs w:val="24"/>
              </w:rPr>
              <w:t xml:space="preserve"> ir </w:t>
            </w:r>
            <w:r w:rsidR="006F173D">
              <w:rPr>
                <w:sz w:val="24"/>
                <w:szCs w:val="24"/>
              </w:rPr>
              <w:t xml:space="preserve">gandarīti. </w:t>
            </w:r>
            <w:r w:rsidR="006F173D">
              <w:rPr>
                <w:sz w:val="24"/>
                <w:szCs w:val="24"/>
              </w:rPr>
              <w:lastRenderedPageBreak/>
              <w:t>Līdz ar to uzskatām, ka šo informāciju nevajadzētu</w:t>
            </w:r>
            <w:r w:rsidRPr="00393DBA">
              <w:rPr>
                <w:sz w:val="24"/>
                <w:szCs w:val="24"/>
              </w:rPr>
              <w:t xml:space="preserve"> būtiski mainīt</w:t>
            </w:r>
            <w:r w:rsidR="006F173D">
              <w:rPr>
                <w:sz w:val="24"/>
                <w:szCs w:val="24"/>
              </w:rPr>
              <w:t>, paplašinot vai sašaurinot</w:t>
            </w:r>
            <w:r w:rsidRPr="00393DBA">
              <w:rPr>
                <w:sz w:val="24"/>
                <w:szCs w:val="24"/>
              </w:rPr>
              <w:t>.</w:t>
            </w:r>
          </w:p>
        </w:tc>
      </w:tr>
      <w:tr w:rsidR="00CF2D3C" w:rsidRPr="006E1657" w:rsidTr="005137DC">
        <w:trPr>
          <w:trHeight w:val="465"/>
          <w:tblCellSpacing w:w="15" w:type="dxa"/>
        </w:trPr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D3C" w:rsidRPr="00393DBA" w:rsidRDefault="00CF2D3C" w:rsidP="005137DC">
            <w:pPr>
              <w:rPr>
                <w:sz w:val="24"/>
                <w:szCs w:val="24"/>
              </w:rPr>
            </w:pPr>
            <w:r w:rsidRPr="00393DB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D3C" w:rsidRPr="00393DBA" w:rsidRDefault="00CF2D3C" w:rsidP="005137DC">
            <w:pPr>
              <w:rPr>
                <w:sz w:val="24"/>
                <w:szCs w:val="24"/>
              </w:rPr>
            </w:pPr>
            <w:r w:rsidRPr="00393DBA">
              <w:rPr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2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D3C" w:rsidRPr="00393DBA" w:rsidRDefault="00CF2D3C" w:rsidP="005137DC">
            <w:pPr>
              <w:jc w:val="both"/>
              <w:rPr>
                <w:sz w:val="24"/>
                <w:szCs w:val="24"/>
              </w:rPr>
            </w:pPr>
            <w:r w:rsidRPr="00393DBA">
              <w:rPr>
                <w:sz w:val="24"/>
                <w:szCs w:val="24"/>
              </w:rPr>
              <w:t>Korupcijas novēršanas un apkarošanas birojs</w:t>
            </w:r>
          </w:p>
        </w:tc>
      </w:tr>
      <w:tr w:rsidR="00CF2D3C" w:rsidRPr="006E1657" w:rsidTr="005137DC">
        <w:trPr>
          <w:tblCellSpacing w:w="15" w:type="dxa"/>
        </w:trPr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D3C" w:rsidRPr="00393DBA" w:rsidRDefault="00CF2D3C" w:rsidP="005137DC">
            <w:pPr>
              <w:rPr>
                <w:sz w:val="24"/>
                <w:szCs w:val="24"/>
              </w:rPr>
            </w:pPr>
            <w:r w:rsidRPr="00393DBA">
              <w:rPr>
                <w:sz w:val="24"/>
                <w:szCs w:val="24"/>
              </w:rPr>
              <w:t>4.</w:t>
            </w:r>
          </w:p>
        </w:tc>
        <w:tc>
          <w:tcPr>
            <w:tcW w:w="1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D3C" w:rsidRPr="00393DBA" w:rsidRDefault="00CF2D3C" w:rsidP="005137DC">
            <w:pPr>
              <w:rPr>
                <w:sz w:val="24"/>
                <w:szCs w:val="24"/>
              </w:rPr>
            </w:pPr>
            <w:r w:rsidRPr="00393DBA">
              <w:rPr>
                <w:sz w:val="24"/>
                <w:szCs w:val="24"/>
              </w:rPr>
              <w:t>Cita informācija</w:t>
            </w:r>
          </w:p>
        </w:tc>
        <w:tc>
          <w:tcPr>
            <w:tcW w:w="2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D3C" w:rsidRPr="00393DBA" w:rsidRDefault="00CF2D3C" w:rsidP="005137DC">
            <w:pPr>
              <w:ind w:firstLine="31"/>
              <w:jc w:val="both"/>
              <w:rPr>
                <w:sz w:val="24"/>
                <w:szCs w:val="24"/>
              </w:rPr>
            </w:pPr>
            <w:r w:rsidRPr="00393DBA">
              <w:rPr>
                <w:sz w:val="24"/>
                <w:szCs w:val="24"/>
              </w:rPr>
              <w:t>Nav.</w:t>
            </w:r>
          </w:p>
        </w:tc>
      </w:tr>
    </w:tbl>
    <w:p w:rsidR="00CF2D3C" w:rsidRDefault="00CF2D3C" w:rsidP="00CF2D3C">
      <w:pPr>
        <w:jc w:val="center"/>
      </w:pPr>
    </w:p>
    <w:tbl>
      <w:tblPr>
        <w:tblW w:w="4919" w:type="pct"/>
        <w:tblCellSpacing w:w="15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6"/>
        <w:gridCol w:w="2651"/>
        <w:gridCol w:w="5679"/>
      </w:tblGrid>
      <w:tr w:rsidR="00CF2D3C" w:rsidRPr="006E1657" w:rsidTr="005137DC">
        <w:trPr>
          <w:trHeight w:val="555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D3C" w:rsidRPr="00B168AB" w:rsidRDefault="00CF2D3C" w:rsidP="005137DC">
            <w:pPr>
              <w:jc w:val="center"/>
              <w:rPr>
                <w:b/>
                <w:bCs/>
                <w:sz w:val="28"/>
                <w:szCs w:val="28"/>
              </w:rPr>
            </w:pPr>
            <w:r w:rsidRPr="00B168AB">
              <w:rPr>
                <w:b/>
                <w:bCs/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CF2D3C" w:rsidRPr="00D623BB" w:rsidTr="005137DC">
        <w:trPr>
          <w:trHeight w:val="465"/>
          <w:tblCellSpacing w:w="15" w:type="dxa"/>
        </w:trPr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D3C" w:rsidRPr="006F173D" w:rsidRDefault="00CF2D3C" w:rsidP="005137DC">
            <w:pPr>
              <w:rPr>
                <w:sz w:val="24"/>
                <w:szCs w:val="24"/>
              </w:rPr>
            </w:pPr>
            <w:r w:rsidRPr="006F173D">
              <w:rPr>
                <w:sz w:val="24"/>
                <w:szCs w:val="24"/>
              </w:rPr>
              <w:t>1.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D3C" w:rsidRPr="006F173D" w:rsidRDefault="00CF2D3C" w:rsidP="005137DC">
            <w:pPr>
              <w:rPr>
                <w:sz w:val="24"/>
                <w:szCs w:val="24"/>
              </w:rPr>
            </w:pPr>
            <w:r w:rsidRPr="006F173D">
              <w:rPr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2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D3C" w:rsidRPr="006F173D" w:rsidRDefault="00E4689E" w:rsidP="00E4689E">
            <w:pPr>
              <w:jc w:val="both"/>
              <w:rPr>
                <w:sz w:val="24"/>
                <w:szCs w:val="24"/>
              </w:rPr>
            </w:pPr>
            <w:r w:rsidRPr="006F173D">
              <w:rPr>
                <w:sz w:val="24"/>
                <w:szCs w:val="24"/>
              </w:rPr>
              <w:t>KNAB, Ministru kabinets, Saeima un visa sabiedrība.</w:t>
            </w:r>
          </w:p>
        </w:tc>
      </w:tr>
      <w:tr w:rsidR="00CF2D3C" w:rsidRPr="00D623BB" w:rsidTr="005137DC">
        <w:trPr>
          <w:trHeight w:val="510"/>
          <w:tblCellSpacing w:w="15" w:type="dxa"/>
        </w:trPr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D3C" w:rsidRPr="006F173D" w:rsidRDefault="00CF2D3C" w:rsidP="005137DC">
            <w:pPr>
              <w:rPr>
                <w:sz w:val="24"/>
                <w:szCs w:val="24"/>
              </w:rPr>
            </w:pPr>
            <w:r w:rsidRPr="006F173D">
              <w:rPr>
                <w:sz w:val="24"/>
                <w:szCs w:val="24"/>
              </w:rPr>
              <w:t>2.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D3C" w:rsidRPr="006F173D" w:rsidRDefault="00CF2D3C" w:rsidP="005137DC">
            <w:pPr>
              <w:rPr>
                <w:sz w:val="24"/>
                <w:szCs w:val="24"/>
              </w:rPr>
            </w:pPr>
            <w:r w:rsidRPr="006F173D">
              <w:rPr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2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D3C" w:rsidRPr="006F173D" w:rsidRDefault="00CF2D3C" w:rsidP="005137DC">
            <w:pPr>
              <w:jc w:val="both"/>
              <w:rPr>
                <w:sz w:val="24"/>
                <w:szCs w:val="24"/>
              </w:rPr>
            </w:pPr>
            <w:r w:rsidRPr="006F173D">
              <w:rPr>
                <w:sz w:val="24"/>
                <w:szCs w:val="24"/>
              </w:rPr>
              <w:t>Projekts šo jomu neskar.</w:t>
            </w:r>
          </w:p>
        </w:tc>
      </w:tr>
      <w:tr w:rsidR="00CF2D3C" w:rsidRPr="00D623BB" w:rsidTr="005137DC">
        <w:trPr>
          <w:trHeight w:val="510"/>
          <w:tblCellSpacing w:w="15" w:type="dxa"/>
        </w:trPr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D3C" w:rsidRPr="006F173D" w:rsidRDefault="00CF2D3C" w:rsidP="005137DC">
            <w:pPr>
              <w:rPr>
                <w:sz w:val="24"/>
                <w:szCs w:val="24"/>
              </w:rPr>
            </w:pPr>
            <w:r w:rsidRPr="006F173D">
              <w:rPr>
                <w:sz w:val="24"/>
                <w:szCs w:val="24"/>
              </w:rPr>
              <w:t>3.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D3C" w:rsidRPr="006F173D" w:rsidRDefault="00CF2D3C" w:rsidP="005137DC">
            <w:pPr>
              <w:rPr>
                <w:sz w:val="24"/>
                <w:szCs w:val="24"/>
              </w:rPr>
            </w:pPr>
            <w:r w:rsidRPr="006F173D">
              <w:rPr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2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D3C" w:rsidRPr="006F173D" w:rsidRDefault="00CF2D3C" w:rsidP="005137DC">
            <w:pPr>
              <w:rPr>
                <w:sz w:val="24"/>
                <w:szCs w:val="24"/>
              </w:rPr>
            </w:pPr>
            <w:r w:rsidRPr="006F173D">
              <w:rPr>
                <w:sz w:val="24"/>
                <w:szCs w:val="24"/>
              </w:rPr>
              <w:t>Projekts šo jomu neskar.</w:t>
            </w:r>
          </w:p>
        </w:tc>
      </w:tr>
      <w:tr w:rsidR="00CF2D3C" w:rsidRPr="006E1657" w:rsidTr="005137DC">
        <w:trPr>
          <w:trHeight w:val="456"/>
          <w:tblCellSpacing w:w="15" w:type="dxa"/>
        </w:trPr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D3C" w:rsidRPr="006F173D" w:rsidRDefault="00CF2D3C" w:rsidP="005137DC">
            <w:pPr>
              <w:rPr>
                <w:sz w:val="24"/>
                <w:szCs w:val="24"/>
              </w:rPr>
            </w:pPr>
            <w:r w:rsidRPr="006F173D">
              <w:rPr>
                <w:sz w:val="24"/>
                <w:szCs w:val="24"/>
              </w:rPr>
              <w:t>4.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D3C" w:rsidRPr="006F173D" w:rsidRDefault="00CF2D3C" w:rsidP="005137DC">
            <w:pPr>
              <w:rPr>
                <w:sz w:val="24"/>
                <w:szCs w:val="24"/>
              </w:rPr>
            </w:pPr>
            <w:r w:rsidRPr="006F173D">
              <w:rPr>
                <w:sz w:val="24"/>
                <w:szCs w:val="24"/>
              </w:rPr>
              <w:t>Cita informācija</w:t>
            </w:r>
          </w:p>
        </w:tc>
        <w:tc>
          <w:tcPr>
            <w:tcW w:w="29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D3C" w:rsidRPr="006F173D" w:rsidRDefault="00CF2D3C" w:rsidP="005137DC">
            <w:pPr>
              <w:rPr>
                <w:sz w:val="24"/>
                <w:szCs w:val="24"/>
              </w:rPr>
            </w:pPr>
            <w:r w:rsidRPr="006F173D">
              <w:rPr>
                <w:sz w:val="24"/>
                <w:szCs w:val="24"/>
              </w:rPr>
              <w:t>Nav.</w:t>
            </w:r>
          </w:p>
        </w:tc>
      </w:tr>
    </w:tbl>
    <w:p w:rsidR="00CF2D3C" w:rsidRDefault="00CF2D3C" w:rsidP="00CF2D3C"/>
    <w:tbl>
      <w:tblPr>
        <w:tblW w:w="9355" w:type="dxa"/>
        <w:tblCellSpacing w:w="15" w:type="dxa"/>
        <w:tblInd w:w="3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6"/>
        <w:gridCol w:w="30"/>
        <w:gridCol w:w="2692"/>
        <w:gridCol w:w="5547"/>
      </w:tblGrid>
      <w:tr w:rsidR="00CF2D3C" w:rsidRPr="00C8486F" w:rsidTr="005137DC">
        <w:trPr>
          <w:trHeight w:val="375"/>
          <w:tblCellSpacing w:w="15" w:type="dxa"/>
        </w:trPr>
        <w:tc>
          <w:tcPr>
            <w:tcW w:w="9295" w:type="dxa"/>
            <w:gridSpan w:val="4"/>
            <w:vAlign w:val="center"/>
            <w:hideMark/>
          </w:tcPr>
          <w:p w:rsidR="00CF2D3C" w:rsidRPr="00C8486F" w:rsidRDefault="00CF2D3C" w:rsidP="005137DC">
            <w:pPr>
              <w:jc w:val="center"/>
              <w:rPr>
                <w:b/>
                <w:bCs/>
                <w:sz w:val="28"/>
                <w:szCs w:val="28"/>
              </w:rPr>
            </w:pPr>
            <w:r w:rsidRPr="00C8486F">
              <w:rPr>
                <w:b/>
                <w:bCs/>
                <w:sz w:val="28"/>
                <w:szCs w:val="28"/>
              </w:rPr>
              <w:t>VII. Tiesību akta projekta izpildes nodrošināšan</w:t>
            </w:r>
            <w:r>
              <w:rPr>
                <w:b/>
                <w:bCs/>
                <w:sz w:val="28"/>
                <w:szCs w:val="28"/>
              </w:rPr>
              <w:t>a un tās ietekme uz institūcijā</w:t>
            </w:r>
          </w:p>
        </w:tc>
      </w:tr>
      <w:tr w:rsidR="00CF2D3C" w:rsidRPr="00C8486F" w:rsidTr="005137DC">
        <w:trPr>
          <w:trHeight w:val="420"/>
          <w:tblCellSpacing w:w="15" w:type="dxa"/>
        </w:trPr>
        <w:tc>
          <w:tcPr>
            <w:tcW w:w="1041" w:type="dxa"/>
            <w:hideMark/>
          </w:tcPr>
          <w:p w:rsidR="00CF2D3C" w:rsidRPr="006F173D" w:rsidRDefault="00CF2D3C" w:rsidP="005137DC">
            <w:pPr>
              <w:rPr>
                <w:sz w:val="24"/>
                <w:szCs w:val="24"/>
              </w:rPr>
            </w:pPr>
            <w:r w:rsidRPr="006F173D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  <w:gridSpan w:val="2"/>
            <w:hideMark/>
          </w:tcPr>
          <w:p w:rsidR="00CF2D3C" w:rsidRPr="006F173D" w:rsidRDefault="00CF2D3C" w:rsidP="005137DC">
            <w:pPr>
              <w:rPr>
                <w:sz w:val="24"/>
                <w:szCs w:val="24"/>
              </w:rPr>
            </w:pPr>
            <w:r w:rsidRPr="006F173D">
              <w:rPr>
                <w:sz w:val="24"/>
                <w:szCs w:val="24"/>
              </w:rPr>
              <w:t>Projekta izpildē iesaistītās institūcijas</w:t>
            </w:r>
          </w:p>
        </w:tc>
        <w:tc>
          <w:tcPr>
            <w:tcW w:w="5502" w:type="dxa"/>
            <w:hideMark/>
          </w:tcPr>
          <w:p w:rsidR="00CF2D3C" w:rsidRPr="006F173D" w:rsidRDefault="00CF2D3C" w:rsidP="00E4689E">
            <w:pPr>
              <w:jc w:val="both"/>
              <w:rPr>
                <w:sz w:val="24"/>
                <w:szCs w:val="24"/>
              </w:rPr>
            </w:pPr>
            <w:r w:rsidRPr="006F173D">
              <w:rPr>
                <w:sz w:val="24"/>
                <w:szCs w:val="24"/>
              </w:rPr>
              <w:t>Korupcijas no</w:t>
            </w:r>
            <w:r w:rsidR="00E4689E" w:rsidRPr="006F173D">
              <w:rPr>
                <w:sz w:val="24"/>
                <w:szCs w:val="24"/>
              </w:rPr>
              <w:t>vēršanas un apkarošanas birojs.</w:t>
            </w:r>
          </w:p>
        </w:tc>
      </w:tr>
      <w:tr w:rsidR="00CF2D3C" w:rsidRPr="00C8486F" w:rsidTr="005137DC">
        <w:trPr>
          <w:trHeight w:val="933"/>
          <w:tblCellSpacing w:w="15" w:type="dxa"/>
        </w:trPr>
        <w:tc>
          <w:tcPr>
            <w:tcW w:w="1071" w:type="dxa"/>
            <w:gridSpan w:val="2"/>
            <w:hideMark/>
          </w:tcPr>
          <w:p w:rsidR="00CF2D3C" w:rsidRPr="006F173D" w:rsidRDefault="00CF2D3C" w:rsidP="005137DC">
            <w:pPr>
              <w:rPr>
                <w:sz w:val="24"/>
                <w:szCs w:val="24"/>
              </w:rPr>
            </w:pPr>
            <w:r w:rsidRPr="006F173D">
              <w:rPr>
                <w:sz w:val="24"/>
                <w:szCs w:val="24"/>
              </w:rPr>
              <w:t>2.</w:t>
            </w:r>
          </w:p>
        </w:tc>
        <w:tc>
          <w:tcPr>
            <w:tcW w:w="2662" w:type="dxa"/>
            <w:hideMark/>
          </w:tcPr>
          <w:p w:rsidR="00CF2D3C" w:rsidRPr="006F173D" w:rsidRDefault="00CF2D3C" w:rsidP="005137DC">
            <w:pPr>
              <w:rPr>
                <w:sz w:val="24"/>
                <w:szCs w:val="24"/>
              </w:rPr>
            </w:pPr>
            <w:r w:rsidRPr="006F173D">
              <w:rPr>
                <w:sz w:val="24"/>
                <w:szCs w:val="24"/>
              </w:rPr>
              <w:t xml:space="preserve">Projekta izpildes ietekme uz pārvaldes funkcijām un institucionālo struktūru. </w:t>
            </w:r>
          </w:p>
          <w:p w:rsidR="00CF2D3C" w:rsidRPr="006F173D" w:rsidRDefault="00CF2D3C" w:rsidP="005137DC">
            <w:pPr>
              <w:rPr>
                <w:sz w:val="24"/>
                <w:szCs w:val="24"/>
              </w:rPr>
            </w:pPr>
            <w:r w:rsidRPr="006F173D">
              <w:rPr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502" w:type="dxa"/>
            <w:hideMark/>
          </w:tcPr>
          <w:p w:rsidR="00CF2D3C" w:rsidRPr="006F173D" w:rsidRDefault="00CF2D3C" w:rsidP="005137DC">
            <w:pPr>
              <w:jc w:val="both"/>
              <w:rPr>
                <w:sz w:val="24"/>
                <w:szCs w:val="24"/>
              </w:rPr>
            </w:pPr>
            <w:r w:rsidRPr="006F173D">
              <w:rPr>
                <w:sz w:val="24"/>
                <w:szCs w:val="24"/>
              </w:rPr>
              <w:t xml:space="preserve">Projekta izpilde notiks esošo pārvaldes funkciju ietvaros. </w:t>
            </w:r>
          </w:p>
        </w:tc>
      </w:tr>
      <w:tr w:rsidR="00CF2D3C" w:rsidRPr="00C8486F" w:rsidTr="005137DC">
        <w:trPr>
          <w:trHeight w:val="390"/>
          <w:tblCellSpacing w:w="15" w:type="dxa"/>
        </w:trPr>
        <w:tc>
          <w:tcPr>
            <w:tcW w:w="1071" w:type="dxa"/>
            <w:gridSpan w:val="2"/>
            <w:hideMark/>
          </w:tcPr>
          <w:p w:rsidR="00CF2D3C" w:rsidRPr="006F173D" w:rsidRDefault="00CF2D3C" w:rsidP="005137DC">
            <w:pPr>
              <w:rPr>
                <w:sz w:val="24"/>
                <w:szCs w:val="24"/>
              </w:rPr>
            </w:pPr>
            <w:r w:rsidRPr="006F173D">
              <w:rPr>
                <w:sz w:val="24"/>
                <w:szCs w:val="24"/>
              </w:rPr>
              <w:t>3.</w:t>
            </w:r>
          </w:p>
        </w:tc>
        <w:tc>
          <w:tcPr>
            <w:tcW w:w="2662" w:type="dxa"/>
            <w:hideMark/>
          </w:tcPr>
          <w:p w:rsidR="00CF2D3C" w:rsidRPr="006F173D" w:rsidRDefault="00CF2D3C" w:rsidP="005137DC">
            <w:pPr>
              <w:rPr>
                <w:sz w:val="24"/>
                <w:szCs w:val="24"/>
              </w:rPr>
            </w:pPr>
            <w:r w:rsidRPr="006F173D">
              <w:rPr>
                <w:sz w:val="24"/>
                <w:szCs w:val="24"/>
              </w:rPr>
              <w:t>Cita informācija</w:t>
            </w:r>
          </w:p>
        </w:tc>
        <w:tc>
          <w:tcPr>
            <w:tcW w:w="5502" w:type="dxa"/>
            <w:hideMark/>
          </w:tcPr>
          <w:p w:rsidR="00CF2D3C" w:rsidRPr="006F173D" w:rsidRDefault="00CF2D3C" w:rsidP="005137DC">
            <w:pPr>
              <w:rPr>
                <w:sz w:val="24"/>
                <w:szCs w:val="24"/>
              </w:rPr>
            </w:pPr>
            <w:r w:rsidRPr="006F173D">
              <w:rPr>
                <w:sz w:val="24"/>
                <w:szCs w:val="24"/>
              </w:rPr>
              <w:t>Nav.</w:t>
            </w:r>
          </w:p>
        </w:tc>
      </w:tr>
    </w:tbl>
    <w:p w:rsidR="00CF2D3C" w:rsidRDefault="00CF2D3C" w:rsidP="00CF2D3C"/>
    <w:p w:rsidR="00CF2D3C" w:rsidRDefault="00CF2D3C" w:rsidP="00CF2D3C"/>
    <w:p w:rsidR="00CF2D3C" w:rsidRPr="00A706E6" w:rsidRDefault="00CF2D3C" w:rsidP="00CF2D3C">
      <w:r w:rsidRPr="00A706E6">
        <w:rPr>
          <w:rFonts w:cs="Times New Roman"/>
          <w:sz w:val="28"/>
          <w:szCs w:val="28"/>
          <w:lang w:eastAsia="lv-LV" w:bidi="ar-SA"/>
        </w:rPr>
        <w:t>Anotācijas III, IV, V un VI sadaļa – projekts šīs jomas neskar.</w:t>
      </w:r>
    </w:p>
    <w:p w:rsidR="00CF2D3C" w:rsidRPr="00D2590F" w:rsidRDefault="00CF2D3C" w:rsidP="00CF2D3C"/>
    <w:p w:rsidR="00CF2D3C" w:rsidRDefault="00CF2D3C" w:rsidP="00CF2D3C"/>
    <w:p w:rsidR="00CF2D3C" w:rsidRDefault="00CF2D3C" w:rsidP="00CF2D3C"/>
    <w:p w:rsidR="00CF2D3C" w:rsidRDefault="00CF2D3C" w:rsidP="00CF2D3C"/>
    <w:p w:rsidR="00CF2D3C" w:rsidRPr="002D6286" w:rsidRDefault="00CF2D3C" w:rsidP="00CF2D3C">
      <w:pPr>
        <w:rPr>
          <w:sz w:val="28"/>
          <w:szCs w:val="28"/>
        </w:rPr>
      </w:pPr>
    </w:p>
    <w:p w:rsidR="00CF2D3C" w:rsidRPr="002D6286" w:rsidRDefault="00CF2D3C" w:rsidP="00CF2D3C">
      <w:pPr>
        <w:tabs>
          <w:tab w:val="left" w:pos="6480"/>
        </w:tabs>
        <w:ind w:left="540"/>
        <w:rPr>
          <w:sz w:val="28"/>
          <w:szCs w:val="28"/>
        </w:rPr>
      </w:pPr>
      <w:r w:rsidRPr="002D6286">
        <w:rPr>
          <w:sz w:val="28"/>
          <w:szCs w:val="28"/>
        </w:rPr>
        <w:t>Ministru prezidents</w:t>
      </w:r>
      <w:r w:rsidRPr="002D6286">
        <w:rPr>
          <w:sz w:val="28"/>
          <w:szCs w:val="28"/>
        </w:rPr>
        <w:tab/>
        <w:t>M.Kučinskis</w:t>
      </w:r>
    </w:p>
    <w:p w:rsidR="00CF2D3C" w:rsidRPr="002D6286" w:rsidRDefault="00CF2D3C" w:rsidP="00CF2D3C">
      <w:pPr>
        <w:ind w:left="540"/>
        <w:rPr>
          <w:sz w:val="28"/>
          <w:szCs w:val="28"/>
        </w:rPr>
      </w:pPr>
    </w:p>
    <w:p w:rsidR="00CF2D3C" w:rsidRPr="002D6286" w:rsidRDefault="00CF2D3C" w:rsidP="00CF2D3C">
      <w:pPr>
        <w:ind w:left="540"/>
        <w:rPr>
          <w:sz w:val="28"/>
          <w:szCs w:val="28"/>
        </w:rPr>
      </w:pPr>
    </w:p>
    <w:p w:rsidR="00CF2D3C" w:rsidRPr="002D6286" w:rsidRDefault="00CF2D3C" w:rsidP="00CF2D3C">
      <w:pPr>
        <w:ind w:left="540"/>
        <w:rPr>
          <w:sz w:val="28"/>
          <w:szCs w:val="28"/>
        </w:rPr>
      </w:pPr>
    </w:p>
    <w:p w:rsidR="00CF2D3C" w:rsidRPr="002D6286" w:rsidRDefault="00CF2D3C" w:rsidP="00CF2D3C">
      <w:pPr>
        <w:ind w:left="540"/>
        <w:rPr>
          <w:sz w:val="28"/>
          <w:szCs w:val="28"/>
        </w:rPr>
      </w:pPr>
      <w:r w:rsidRPr="002D6286">
        <w:rPr>
          <w:sz w:val="28"/>
          <w:szCs w:val="28"/>
        </w:rPr>
        <w:t>Vizē:</w:t>
      </w:r>
    </w:p>
    <w:p w:rsidR="00CF2D3C" w:rsidRPr="002D6286" w:rsidRDefault="00326A3F" w:rsidP="00CF2D3C">
      <w:pPr>
        <w:ind w:left="540"/>
        <w:rPr>
          <w:sz w:val="28"/>
          <w:szCs w:val="28"/>
        </w:rPr>
      </w:pPr>
      <w:r>
        <w:rPr>
          <w:sz w:val="28"/>
          <w:szCs w:val="28"/>
        </w:rPr>
        <w:t>KNAB priekšnieka p.i.</w:t>
      </w:r>
      <w:r w:rsidR="00E4689E">
        <w:rPr>
          <w:sz w:val="28"/>
          <w:szCs w:val="28"/>
        </w:rPr>
        <w:t xml:space="preserve">       </w:t>
      </w:r>
      <w:r w:rsidR="00CF2D3C" w:rsidRPr="002D6286">
        <w:rPr>
          <w:sz w:val="28"/>
          <w:szCs w:val="28"/>
          <w:u w:val="single"/>
        </w:rPr>
        <w:tab/>
      </w:r>
      <w:r w:rsidR="00CF2D3C" w:rsidRPr="002D6286">
        <w:rPr>
          <w:sz w:val="28"/>
          <w:szCs w:val="28"/>
          <w:u w:val="single"/>
        </w:rPr>
        <w:tab/>
      </w:r>
      <w:r w:rsidR="00CF2D3C" w:rsidRPr="002D6286">
        <w:rPr>
          <w:sz w:val="28"/>
          <w:szCs w:val="28"/>
          <w:u w:val="single"/>
        </w:rPr>
        <w:tab/>
        <w:t xml:space="preserve">                  </w:t>
      </w:r>
      <w:r w:rsidR="00BA2821">
        <w:rPr>
          <w:sz w:val="28"/>
          <w:szCs w:val="28"/>
        </w:rPr>
        <w:t xml:space="preserve">   </w:t>
      </w:r>
      <w:r>
        <w:rPr>
          <w:sz w:val="28"/>
          <w:szCs w:val="28"/>
        </w:rPr>
        <w:t>I.Jurča</w:t>
      </w:r>
    </w:p>
    <w:p w:rsidR="00CF2D3C" w:rsidRPr="002D6286" w:rsidRDefault="00CF2D3C" w:rsidP="00CF2D3C">
      <w:pPr>
        <w:rPr>
          <w:sz w:val="28"/>
          <w:szCs w:val="28"/>
        </w:rPr>
      </w:pPr>
    </w:p>
    <w:p w:rsidR="00CF2D3C" w:rsidRPr="002D6286" w:rsidRDefault="00CF2D3C" w:rsidP="00CF2D3C">
      <w:pPr>
        <w:rPr>
          <w:sz w:val="28"/>
          <w:szCs w:val="28"/>
        </w:rPr>
      </w:pPr>
    </w:p>
    <w:p w:rsidR="00CF2D3C" w:rsidRPr="002D6286" w:rsidRDefault="00CF2D3C" w:rsidP="00CF2D3C">
      <w:pPr>
        <w:ind w:firstLine="709"/>
        <w:rPr>
          <w:sz w:val="28"/>
          <w:szCs w:val="28"/>
        </w:rPr>
      </w:pPr>
    </w:p>
    <w:p w:rsidR="00CF2D3C" w:rsidRDefault="00CF2D3C" w:rsidP="00CF2D3C">
      <w:pPr>
        <w:ind w:firstLine="709"/>
      </w:pPr>
    </w:p>
    <w:p w:rsidR="00CF2D3C" w:rsidRPr="00501D5D" w:rsidRDefault="00CF2D3C" w:rsidP="00CF2D3C">
      <w:pPr>
        <w:ind w:firstLine="709"/>
      </w:pPr>
    </w:p>
    <w:p w:rsidR="00CF2D3C" w:rsidRPr="00C5118B" w:rsidRDefault="00CF2D3C" w:rsidP="00CF2D3C">
      <w:pPr>
        <w:ind w:firstLine="709"/>
        <w:rPr>
          <w:sz w:val="22"/>
        </w:rPr>
      </w:pPr>
      <w:r w:rsidRPr="00C5118B">
        <w:rPr>
          <w:sz w:val="22"/>
        </w:rPr>
        <w:fldChar w:fldCharType="begin"/>
      </w:r>
      <w:r w:rsidRPr="00C5118B">
        <w:rPr>
          <w:sz w:val="22"/>
        </w:rPr>
        <w:instrText xml:space="preserve"> DATE  \@ "yyyy.MM.dd. H:mm"  \* MERGEFORMAT </w:instrText>
      </w:r>
      <w:r w:rsidRPr="00C5118B">
        <w:rPr>
          <w:sz w:val="22"/>
        </w:rPr>
        <w:fldChar w:fldCharType="separate"/>
      </w:r>
      <w:r w:rsidR="00326A3F">
        <w:rPr>
          <w:noProof/>
          <w:sz w:val="22"/>
        </w:rPr>
        <w:t>2016.07.22. 10:25</w:t>
      </w:r>
      <w:r w:rsidRPr="00C5118B">
        <w:rPr>
          <w:sz w:val="22"/>
        </w:rPr>
        <w:fldChar w:fldCharType="end"/>
      </w:r>
    </w:p>
    <w:p w:rsidR="00CF2D3C" w:rsidRPr="00C5118B" w:rsidRDefault="00393DBA" w:rsidP="00CF2D3C">
      <w:pPr>
        <w:ind w:firstLine="709"/>
        <w:rPr>
          <w:sz w:val="22"/>
        </w:rPr>
      </w:pPr>
      <w:r>
        <w:rPr>
          <w:sz w:val="22"/>
        </w:rPr>
        <w:t>4</w:t>
      </w:r>
      <w:r w:rsidR="006F173D">
        <w:rPr>
          <w:sz w:val="22"/>
        </w:rPr>
        <w:t>2</w:t>
      </w:r>
      <w:r w:rsidR="00326A3F">
        <w:rPr>
          <w:sz w:val="22"/>
        </w:rPr>
        <w:t>7</w:t>
      </w:r>
      <w:bookmarkStart w:id="0" w:name="_GoBack"/>
      <w:bookmarkEnd w:id="0"/>
    </w:p>
    <w:p w:rsidR="00CF2D3C" w:rsidRPr="00C5118B" w:rsidRDefault="00CF2D3C" w:rsidP="00CF2D3C">
      <w:pPr>
        <w:tabs>
          <w:tab w:val="left" w:pos="6840"/>
        </w:tabs>
        <w:ind w:firstLine="709"/>
        <w:jc w:val="both"/>
        <w:rPr>
          <w:sz w:val="22"/>
        </w:rPr>
      </w:pPr>
      <w:r>
        <w:rPr>
          <w:sz w:val="22"/>
        </w:rPr>
        <w:t xml:space="preserve">Strīķeris </w:t>
      </w:r>
      <w:r w:rsidRPr="00C5118B">
        <w:rPr>
          <w:sz w:val="22"/>
        </w:rPr>
        <w:t>67</w:t>
      </w:r>
      <w:r>
        <w:rPr>
          <w:sz w:val="22"/>
        </w:rPr>
        <w:t>356168</w:t>
      </w:r>
    </w:p>
    <w:p w:rsidR="00CF2D3C" w:rsidRPr="00C5118B" w:rsidRDefault="00CF2D3C" w:rsidP="00CF2D3C">
      <w:pPr>
        <w:tabs>
          <w:tab w:val="left" w:pos="6840"/>
        </w:tabs>
        <w:ind w:firstLine="709"/>
        <w:jc w:val="both"/>
        <w:rPr>
          <w:sz w:val="22"/>
        </w:rPr>
      </w:pPr>
      <w:r>
        <w:rPr>
          <w:sz w:val="22"/>
        </w:rPr>
        <w:t>alvils.strikeris</w:t>
      </w:r>
      <w:r w:rsidRPr="00C5118B">
        <w:rPr>
          <w:sz w:val="22"/>
        </w:rPr>
        <w:t>@</w:t>
      </w:r>
      <w:r>
        <w:rPr>
          <w:sz w:val="22"/>
        </w:rPr>
        <w:t>knab</w:t>
      </w:r>
      <w:r w:rsidRPr="00C5118B">
        <w:rPr>
          <w:sz w:val="22"/>
        </w:rPr>
        <w:t>.gov.lv</w:t>
      </w:r>
    </w:p>
    <w:p w:rsidR="00C10A9F" w:rsidRDefault="00C10A9F" w:rsidP="00BC7835"/>
    <w:sectPr w:rsidR="00C10A9F" w:rsidSect="00075A8C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04" w:rsidRDefault="001D4704" w:rsidP="001A373C">
      <w:r>
        <w:separator/>
      </w:r>
    </w:p>
  </w:endnote>
  <w:endnote w:type="continuationSeparator" w:id="0">
    <w:p w:rsidR="001D4704" w:rsidRDefault="001D4704" w:rsidP="001A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C7" w:rsidRPr="00E4689E" w:rsidRDefault="00E4689E" w:rsidP="00E4689E">
    <w:pPr>
      <w:pStyle w:val="BodyText3"/>
      <w:jc w:val="both"/>
      <w:rPr>
        <w:b w:val="0"/>
        <w:sz w:val="16"/>
        <w:szCs w:val="16"/>
        <w:lang w:val="lv-LV"/>
      </w:rPr>
    </w:pPr>
    <w:r w:rsidRPr="002B4658">
      <w:rPr>
        <w:b w:val="0"/>
        <w:i w:val="0"/>
        <w:sz w:val="16"/>
        <w:szCs w:val="16"/>
        <w:lang w:val="lv-LV"/>
      </w:rPr>
      <w:fldChar w:fldCharType="begin"/>
    </w:r>
    <w:r w:rsidRPr="002B4658">
      <w:rPr>
        <w:b w:val="0"/>
        <w:i w:val="0"/>
        <w:sz w:val="16"/>
        <w:szCs w:val="16"/>
        <w:lang w:val="lv-LV"/>
      </w:rPr>
      <w:instrText xml:space="preserve"> FILENAME   \* MERGEFORMAT </w:instrText>
    </w:r>
    <w:r w:rsidRPr="002B4658">
      <w:rPr>
        <w:b w:val="0"/>
        <w:i w:val="0"/>
        <w:sz w:val="16"/>
        <w:szCs w:val="16"/>
        <w:lang w:val="lv-LV"/>
      </w:rPr>
      <w:fldChar w:fldCharType="separate"/>
    </w:r>
    <w:r w:rsidR="00326A3F">
      <w:rPr>
        <w:b w:val="0"/>
        <w:i w:val="0"/>
        <w:noProof/>
        <w:sz w:val="16"/>
        <w:szCs w:val="16"/>
        <w:lang w:val="lv-LV"/>
      </w:rPr>
      <w:t>KNABAnot_160708_atlsk.docx</w:t>
    </w:r>
    <w:r w:rsidRPr="002B4658">
      <w:rPr>
        <w:b w:val="0"/>
        <w:i w:val="0"/>
        <w:sz w:val="16"/>
        <w:szCs w:val="16"/>
        <w:lang w:val="lv-LV"/>
      </w:rPr>
      <w:fldChar w:fldCharType="end"/>
    </w:r>
    <w:r>
      <w:rPr>
        <w:b w:val="0"/>
        <w:i w:val="0"/>
        <w:sz w:val="16"/>
        <w:szCs w:val="16"/>
        <w:lang w:val="lv-LV"/>
      </w:rPr>
      <w:t>_160708_atlsk.doc</w:t>
    </w:r>
    <w:r w:rsidRPr="002B4658">
      <w:rPr>
        <w:b w:val="0"/>
        <w:i w:val="0"/>
        <w:sz w:val="16"/>
        <w:szCs w:val="16"/>
        <w:lang w:val="lv-LV"/>
      </w:rPr>
      <w:t xml:space="preserve"> </w:t>
    </w:r>
    <w:r w:rsidRPr="002B4658">
      <w:rPr>
        <w:b w:val="0"/>
        <w:bCs/>
        <w:i w:val="0"/>
        <w:sz w:val="16"/>
        <w:szCs w:val="16"/>
        <w:lang w:val="lv-LV"/>
      </w:rPr>
      <w:t xml:space="preserve">Ministru kabineta noteikumu projekta </w:t>
    </w:r>
    <w:r w:rsidRPr="002B4658">
      <w:rPr>
        <w:b w:val="0"/>
        <w:i w:val="0"/>
        <w:sz w:val="16"/>
        <w:szCs w:val="16"/>
        <w:lang w:val="lv-LV"/>
      </w:rPr>
      <w:t>"</w:t>
    </w:r>
    <w:r w:rsidRPr="00E4689E">
      <w:rPr>
        <w:rFonts w:eastAsia="Times New Roman"/>
        <w:b w:val="0"/>
        <w:i w:val="0"/>
        <w:iCs/>
        <w:sz w:val="16"/>
      </w:rPr>
      <w:t xml:space="preserve">Korupcijas novēršanas un apkarošanas biroja darbības </w:t>
    </w:r>
    <w:r w:rsidRPr="00E4689E">
      <w:rPr>
        <w:b w:val="0"/>
        <w:i w:val="0"/>
        <w:sz w:val="16"/>
      </w:rPr>
      <w:t>rezultātu paziņošanas Ministru kabinetam un Saeimai noteikumi</w:t>
    </w:r>
    <w:r>
      <w:rPr>
        <w:b w:val="0"/>
        <w:i w:val="0"/>
        <w:sz w:val="16"/>
        <w:szCs w:val="16"/>
        <w:lang w:val="lv-LV"/>
      </w:rPr>
      <w:t>" anotācija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8C" w:rsidRPr="002D6286" w:rsidRDefault="00516CEE" w:rsidP="002D6286">
    <w:pPr>
      <w:pStyle w:val="BodyText3"/>
      <w:jc w:val="both"/>
      <w:rPr>
        <w:b w:val="0"/>
        <w:sz w:val="16"/>
        <w:szCs w:val="16"/>
        <w:lang w:val="lv-LV"/>
      </w:rPr>
    </w:pPr>
    <w:r w:rsidRPr="002B4658">
      <w:rPr>
        <w:b w:val="0"/>
        <w:i w:val="0"/>
        <w:sz w:val="16"/>
        <w:szCs w:val="16"/>
        <w:lang w:val="lv-LV"/>
      </w:rPr>
      <w:fldChar w:fldCharType="begin"/>
    </w:r>
    <w:r w:rsidRPr="002B4658">
      <w:rPr>
        <w:b w:val="0"/>
        <w:i w:val="0"/>
        <w:sz w:val="16"/>
        <w:szCs w:val="16"/>
        <w:lang w:val="lv-LV"/>
      </w:rPr>
      <w:instrText xml:space="preserve"> FILENAME   \* MERGEFORMAT </w:instrText>
    </w:r>
    <w:r w:rsidRPr="002B4658">
      <w:rPr>
        <w:b w:val="0"/>
        <w:i w:val="0"/>
        <w:sz w:val="16"/>
        <w:szCs w:val="16"/>
        <w:lang w:val="lv-LV"/>
      </w:rPr>
      <w:fldChar w:fldCharType="separate"/>
    </w:r>
    <w:r w:rsidR="00326A3F">
      <w:rPr>
        <w:b w:val="0"/>
        <w:i w:val="0"/>
        <w:noProof/>
        <w:sz w:val="16"/>
        <w:szCs w:val="16"/>
        <w:lang w:val="lv-LV"/>
      </w:rPr>
      <w:t>KNABAnot_160708_atlsk.docx</w:t>
    </w:r>
    <w:r w:rsidRPr="002B4658">
      <w:rPr>
        <w:b w:val="0"/>
        <w:i w:val="0"/>
        <w:sz w:val="16"/>
        <w:szCs w:val="16"/>
        <w:lang w:val="lv-LV"/>
      </w:rPr>
      <w:fldChar w:fldCharType="end"/>
    </w:r>
    <w:r>
      <w:rPr>
        <w:b w:val="0"/>
        <w:i w:val="0"/>
        <w:sz w:val="16"/>
        <w:szCs w:val="16"/>
        <w:lang w:val="lv-LV"/>
      </w:rPr>
      <w:t>_160</w:t>
    </w:r>
    <w:r w:rsidR="00E4689E">
      <w:rPr>
        <w:b w:val="0"/>
        <w:i w:val="0"/>
        <w:sz w:val="16"/>
        <w:szCs w:val="16"/>
        <w:lang w:val="lv-LV"/>
      </w:rPr>
      <w:t>708</w:t>
    </w:r>
    <w:r>
      <w:rPr>
        <w:b w:val="0"/>
        <w:i w:val="0"/>
        <w:sz w:val="16"/>
        <w:szCs w:val="16"/>
        <w:lang w:val="lv-LV"/>
      </w:rPr>
      <w:t>_</w:t>
    </w:r>
    <w:r w:rsidR="001A373C">
      <w:rPr>
        <w:b w:val="0"/>
        <w:i w:val="0"/>
        <w:sz w:val="16"/>
        <w:szCs w:val="16"/>
        <w:lang w:val="lv-LV"/>
      </w:rPr>
      <w:t>atl</w:t>
    </w:r>
    <w:r w:rsidR="00E4689E">
      <w:rPr>
        <w:b w:val="0"/>
        <w:i w:val="0"/>
        <w:sz w:val="16"/>
        <w:szCs w:val="16"/>
        <w:lang w:val="lv-LV"/>
      </w:rPr>
      <w:t>sk</w:t>
    </w:r>
    <w:r>
      <w:rPr>
        <w:b w:val="0"/>
        <w:i w:val="0"/>
        <w:sz w:val="16"/>
        <w:szCs w:val="16"/>
        <w:lang w:val="lv-LV"/>
      </w:rPr>
      <w:t>.doc</w:t>
    </w:r>
    <w:r w:rsidRPr="002B4658">
      <w:rPr>
        <w:b w:val="0"/>
        <w:i w:val="0"/>
        <w:sz w:val="16"/>
        <w:szCs w:val="16"/>
        <w:lang w:val="lv-LV"/>
      </w:rPr>
      <w:t xml:space="preserve"> </w:t>
    </w:r>
    <w:r w:rsidRPr="002B4658">
      <w:rPr>
        <w:b w:val="0"/>
        <w:bCs/>
        <w:i w:val="0"/>
        <w:sz w:val="16"/>
        <w:szCs w:val="16"/>
        <w:lang w:val="lv-LV"/>
      </w:rPr>
      <w:t xml:space="preserve">Ministru kabineta noteikumu projekta </w:t>
    </w:r>
    <w:r w:rsidRPr="002B4658">
      <w:rPr>
        <w:b w:val="0"/>
        <w:i w:val="0"/>
        <w:sz w:val="16"/>
        <w:szCs w:val="16"/>
        <w:lang w:val="lv-LV"/>
      </w:rPr>
      <w:t>"</w:t>
    </w:r>
    <w:r w:rsidR="00E4689E" w:rsidRPr="00E4689E">
      <w:rPr>
        <w:rFonts w:eastAsia="Times New Roman"/>
        <w:b w:val="0"/>
        <w:i w:val="0"/>
        <w:iCs/>
        <w:sz w:val="16"/>
      </w:rPr>
      <w:t xml:space="preserve">Korupcijas novēršanas un apkarošanas biroja darbības </w:t>
    </w:r>
    <w:r w:rsidR="00E4689E" w:rsidRPr="00E4689E">
      <w:rPr>
        <w:b w:val="0"/>
        <w:i w:val="0"/>
        <w:sz w:val="16"/>
      </w:rPr>
      <w:t>rezultātu paziņošanas Ministru kabinetam un Saeimai noteikumi</w:t>
    </w:r>
    <w:r>
      <w:rPr>
        <w:b w:val="0"/>
        <w:i w:val="0"/>
        <w:sz w:val="16"/>
        <w:szCs w:val="16"/>
        <w:lang w:val="lv-LV"/>
      </w:rPr>
      <w:t>" anotācija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04" w:rsidRDefault="001D4704" w:rsidP="001A373C">
      <w:r>
        <w:separator/>
      </w:r>
    </w:p>
  </w:footnote>
  <w:footnote w:type="continuationSeparator" w:id="0">
    <w:p w:rsidR="001D4704" w:rsidRDefault="001D4704" w:rsidP="001A3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1425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5A8C" w:rsidRDefault="00516C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A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5A8C" w:rsidRDefault="001D47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569"/>
    <w:multiLevelType w:val="hybridMultilevel"/>
    <w:tmpl w:val="71BE1DBC"/>
    <w:lvl w:ilvl="0" w:tplc="CA908D8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>
    <w:nsid w:val="211F6A5A"/>
    <w:multiLevelType w:val="hybridMultilevel"/>
    <w:tmpl w:val="2E96A1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3C"/>
    <w:rsid w:val="001A373C"/>
    <w:rsid w:val="001B4F6E"/>
    <w:rsid w:val="001C537D"/>
    <w:rsid w:val="001D4704"/>
    <w:rsid w:val="00297ECC"/>
    <w:rsid w:val="00326A3F"/>
    <w:rsid w:val="00393DBA"/>
    <w:rsid w:val="00467AA3"/>
    <w:rsid w:val="0047151C"/>
    <w:rsid w:val="00474E5D"/>
    <w:rsid w:val="00497FBC"/>
    <w:rsid w:val="004E6F72"/>
    <w:rsid w:val="004F0EDC"/>
    <w:rsid w:val="00516CEE"/>
    <w:rsid w:val="006958D8"/>
    <w:rsid w:val="006B615C"/>
    <w:rsid w:val="006F173D"/>
    <w:rsid w:val="00805427"/>
    <w:rsid w:val="00830718"/>
    <w:rsid w:val="00A72AB3"/>
    <w:rsid w:val="00B668BF"/>
    <w:rsid w:val="00BA2821"/>
    <w:rsid w:val="00BC7835"/>
    <w:rsid w:val="00C10A9F"/>
    <w:rsid w:val="00C61B92"/>
    <w:rsid w:val="00CF2D3C"/>
    <w:rsid w:val="00D076A4"/>
    <w:rsid w:val="00E4689E"/>
    <w:rsid w:val="00F31C2B"/>
    <w:rsid w:val="00FB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3C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D3C"/>
    <w:rPr>
      <w:rFonts w:ascii="Times New Roman" w:eastAsia="Times New Roman" w:hAnsi="Times New Roman" w:cs="Arial Unicode MS"/>
      <w:sz w:val="20"/>
      <w:szCs w:val="20"/>
      <w:lang w:bidi="lo-LA"/>
    </w:rPr>
  </w:style>
  <w:style w:type="paragraph" w:customStyle="1" w:styleId="naisf">
    <w:name w:val="naisf"/>
    <w:basedOn w:val="Normal"/>
    <w:rsid w:val="00CF2D3C"/>
    <w:pPr>
      <w:spacing w:before="100" w:beforeAutospacing="1" w:after="100" w:afterAutospacing="1"/>
    </w:pPr>
    <w:rPr>
      <w:rFonts w:cs="Times New Roman"/>
      <w:sz w:val="24"/>
      <w:szCs w:val="24"/>
      <w:lang w:eastAsia="lv-LV" w:bidi="ar-SA"/>
    </w:rPr>
  </w:style>
  <w:style w:type="paragraph" w:styleId="BodyText3">
    <w:name w:val="Body Text 3"/>
    <w:basedOn w:val="Normal"/>
    <w:link w:val="BodyText3Char"/>
    <w:rsid w:val="00CF2D3C"/>
    <w:rPr>
      <w:rFonts w:eastAsia="Calibri" w:cs="Times New Roman"/>
      <w:b/>
      <w:i/>
      <w:lang w:val="en-US" w:eastAsia="lv-LV" w:bidi="ar-SA"/>
    </w:rPr>
  </w:style>
  <w:style w:type="character" w:customStyle="1" w:styleId="BodyText3Char">
    <w:name w:val="Body Text 3 Char"/>
    <w:basedOn w:val="DefaultParagraphFont"/>
    <w:link w:val="BodyText3"/>
    <w:rsid w:val="00CF2D3C"/>
    <w:rPr>
      <w:rFonts w:ascii="Times New Roman" w:eastAsia="Calibri" w:hAnsi="Times New Roman" w:cs="Times New Roman"/>
      <w:b/>
      <w:i/>
      <w:sz w:val="20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3C"/>
    <w:rPr>
      <w:rFonts w:ascii="Tahoma" w:eastAsia="Times New Roman" w:hAnsi="Tahoma" w:cs="Tahoma"/>
      <w:sz w:val="16"/>
      <w:szCs w:val="16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1A37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73C"/>
    <w:rPr>
      <w:rFonts w:ascii="Times New Roman" w:eastAsia="Times New Roman" w:hAnsi="Times New Roman" w:cs="Arial Unicode MS"/>
      <w:sz w:val="20"/>
      <w:szCs w:val="20"/>
      <w:lang w:bidi="lo-LA"/>
    </w:rPr>
  </w:style>
  <w:style w:type="character" w:styleId="CommentReference">
    <w:name w:val="annotation reference"/>
    <w:basedOn w:val="DefaultParagraphFont"/>
    <w:uiPriority w:val="99"/>
    <w:semiHidden/>
    <w:unhideWhenUsed/>
    <w:rsid w:val="00A72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A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AB3"/>
    <w:rPr>
      <w:rFonts w:ascii="Times New Roman" w:eastAsia="Times New Roman" w:hAnsi="Times New Roman" w:cs="Arial Unicode MS"/>
      <w:sz w:val="20"/>
      <w:szCs w:val="20"/>
      <w:lang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AB3"/>
    <w:rPr>
      <w:rFonts w:ascii="Times New Roman" w:eastAsia="Times New Roman" w:hAnsi="Times New Roman" w:cs="Arial Unicode MS"/>
      <w:b/>
      <w:bCs/>
      <w:sz w:val="20"/>
      <w:szCs w:val="20"/>
      <w:lang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3C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D3C"/>
    <w:rPr>
      <w:rFonts w:ascii="Times New Roman" w:eastAsia="Times New Roman" w:hAnsi="Times New Roman" w:cs="Arial Unicode MS"/>
      <w:sz w:val="20"/>
      <w:szCs w:val="20"/>
      <w:lang w:bidi="lo-LA"/>
    </w:rPr>
  </w:style>
  <w:style w:type="paragraph" w:customStyle="1" w:styleId="naisf">
    <w:name w:val="naisf"/>
    <w:basedOn w:val="Normal"/>
    <w:rsid w:val="00CF2D3C"/>
    <w:pPr>
      <w:spacing w:before="100" w:beforeAutospacing="1" w:after="100" w:afterAutospacing="1"/>
    </w:pPr>
    <w:rPr>
      <w:rFonts w:cs="Times New Roman"/>
      <w:sz w:val="24"/>
      <w:szCs w:val="24"/>
      <w:lang w:eastAsia="lv-LV" w:bidi="ar-SA"/>
    </w:rPr>
  </w:style>
  <w:style w:type="paragraph" w:styleId="BodyText3">
    <w:name w:val="Body Text 3"/>
    <w:basedOn w:val="Normal"/>
    <w:link w:val="BodyText3Char"/>
    <w:rsid w:val="00CF2D3C"/>
    <w:rPr>
      <w:rFonts w:eastAsia="Calibri" w:cs="Times New Roman"/>
      <w:b/>
      <w:i/>
      <w:lang w:val="en-US" w:eastAsia="lv-LV" w:bidi="ar-SA"/>
    </w:rPr>
  </w:style>
  <w:style w:type="character" w:customStyle="1" w:styleId="BodyText3Char">
    <w:name w:val="Body Text 3 Char"/>
    <w:basedOn w:val="DefaultParagraphFont"/>
    <w:link w:val="BodyText3"/>
    <w:rsid w:val="00CF2D3C"/>
    <w:rPr>
      <w:rFonts w:ascii="Times New Roman" w:eastAsia="Calibri" w:hAnsi="Times New Roman" w:cs="Times New Roman"/>
      <w:b/>
      <w:i/>
      <w:sz w:val="20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3C"/>
    <w:rPr>
      <w:rFonts w:ascii="Tahoma" w:eastAsia="Times New Roman" w:hAnsi="Tahoma" w:cs="Tahoma"/>
      <w:sz w:val="16"/>
      <w:szCs w:val="16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1A37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73C"/>
    <w:rPr>
      <w:rFonts w:ascii="Times New Roman" w:eastAsia="Times New Roman" w:hAnsi="Times New Roman" w:cs="Arial Unicode MS"/>
      <w:sz w:val="20"/>
      <w:szCs w:val="20"/>
      <w:lang w:bidi="lo-LA"/>
    </w:rPr>
  </w:style>
  <w:style w:type="character" w:styleId="CommentReference">
    <w:name w:val="annotation reference"/>
    <w:basedOn w:val="DefaultParagraphFont"/>
    <w:uiPriority w:val="99"/>
    <w:semiHidden/>
    <w:unhideWhenUsed/>
    <w:rsid w:val="00A72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A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AB3"/>
    <w:rPr>
      <w:rFonts w:ascii="Times New Roman" w:eastAsia="Times New Roman" w:hAnsi="Times New Roman" w:cs="Arial Unicode MS"/>
      <w:sz w:val="20"/>
      <w:szCs w:val="20"/>
      <w:lang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AB3"/>
    <w:rPr>
      <w:rFonts w:ascii="Times New Roman" w:eastAsia="Times New Roman" w:hAnsi="Times New Roman" w:cs="Arial Unicode MS"/>
      <w:b/>
      <w:bCs/>
      <w:sz w:val="20"/>
      <w:szCs w:val="20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442</Words>
  <Characters>3149</Characters>
  <Application>Microsoft Office Word</Application>
  <DocSecurity>0</DocSecurity>
  <Lines>136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KNAB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Alvils Strīķeris</dc:creator>
  <cp:lastModifiedBy>Alvils Strīķeris</cp:lastModifiedBy>
  <cp:revision>8</cp:revision>
  <cp:lastPrinted>2016-07-22T07:25:00Z</cp:lastPrinted>
  <dcterms:created xsi:type="dcterms:W3CDTF">2016-07-05T12:10:00Z</dcterms:created>
  <dcterms:modified xsi:type="dcterms:W3CDTF">2016-07-22T08:02:00Z</dcterms:modified>
</cp:coreProperties>
</file>