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5DA" w:rsidRPr="00834DFD" w:rsidRDefault="000305DA" w:rsidP="000F1C45">
      <w:pPr>
        <w:pStyle w:val="Header"/>
        <w:rPr>
          <w:rFonts w:ascii="Times New Roman" w:hAnsi="Times New Roman"/>
        </w:rPr>
      </w:pPr>
    </w:p>
    <w:p w:rsidR="000305DA" w:rsidRPr="00834DFD" w:rsidRDefault="000305DA" w:rsidP="000F1C45">
      <w:pPr>
        <w:pStyle w:val="Header"/>
        <w:rPr>
          <w:rFonts w:ascii="Times New Roman" w:hAnsi="Times New Roman"/>
        </w:rPr>
      </w:pPr>
    </w:p>
    <w:p w:rsidR="00FF7ACB" w:rsidRPr="00834DFD" w:rsidRDefault="00FF7ACB" w:rsidP="000F1C45">
      <w:pPr>
        <w:pStyle w:val="Header"/>
        <w:rPr>
          <w:rFonts w:ascii="Times New Roman" w:hAnsi="Times New Roman"/>
          <w:sz w:val="28"/>
          <w:szCs w:val="28"/>
        </w:rPr>
      </w:pPr>
    </w:p>
    <w:p w:rsidR="00FF7ACB" w:rsidRPr="00834DFD" w:rsidRDefault="00FF7ACB" w:rsidP="000F1C45">
      <w:pPr>
        <w:pStyle w:val="Header"/>
        <w:rPr>
          <w:rFonts w:ascii="Times New Roman" w:hAnsi="Times New Roman"/>
          <w:sz w:val="28"/>
          <w:szCs w:val="28"/>
        </w:rPr>
      </w:pPr>
    </w:p>
    <w:p w:rsidR="00060BB6" w:rsidRPr="00834DFD" w:rsidRDefault="000F1C45" w:rsidP="000F1C45">
      <w:pPr>
        <w:pStyle w:val="Header"/>
        <w:rPr>
          <w:rFonts w:ascii="Times New Roman" w:hAnsi="Times New Roman"/>
          <w:sz w:val="28"/>
          <w:szCs w:val="28"/>
        </w:rPr>
      </w:pPr>
      <w:r w:rsidRPr="00834DFD">
        <w:rPr>
          <w:rFonts w:ascii="Times New Roman" w:hAnsi="Times New Roman"/>
          <w:sz w:val="28"/>
          <w:szCs w:val="28"/>
        </w:rPr>
        <w:t>__</w:t>
      </w:r>
      <w:r w:rsidR="000F5255" w:rsidRPr="00834DFD">
        <w:rPr>
          <w:rFonts w:ascii="Times New Roman" w:hAnsi="Times New Roman"/>
          <w:sz w:val="28"/>
          <w:szCs w:val="28"/>
        </w:rPr>
        <w:t xml:space="preserve">____________ </w:t>
      </w:r>
      <w:r w:rsidR="0029006F" w:rsidRPr="00834DFD">
        <w:rPr>
          <w:rFonts w:ascii="Times New Roman" w:hAnsi="Times New Roman"/>
          <w:sz w:val="28"/>
          <w:szCs w:val="28"/>
        </w:rPr>
        <w:t>Nr.</w:t>
      </w:r>
      <w:r w:rsidR="00011FBE" w:rsidRPr="00834DFD">
        <w:rPr>
          <w:rFonts w:ascii="Times New Roman" w:hAnsi="Times New Roman"/>
          <w:sz w:val="28"/>
          <w:szCs w:val="28"/>
        </w:rPr>
        <w:t>___________</w:t>
      </w:r>
    </w:p>
    <w:p w:rsidR="00412B1F" w:rsidRPr="00834DFD" w:rsidRDefault="000F1C45" w:rsidP="000F1C45">
      <w:pPr>
        <w:tabs>
          <w:tab w:val="left" w:pos="0"/>
          <w:tab w:val="right" w:pos="4678"/>
        </w:tabs>
        <w:spacing w:after="0"/>
        <w:rPr>
          <w:rFonts w:ascii="Times New Roman" w:hAnsi="Times New Roman"/>
          <w:sz w:val="28"/>
          <w:szCs w:val="28"/>
        </w:rPr>
      </w:pPr>
      <w:r w:rsidRPr="00834DFD">
        <w:rPr>
          <w:rFonts w:ascii="Times New Roman" w:hAnsi="Times New Roman"/>
          <w:sz w:val="28"/>
          <w:szCs w:val="28"/>
        </w:rPr>
        <w:t>Uz 0</w:t>
      </w:r>
      <w:r w:rsidR="00FF7ACB" w:rsidRPr="00834DFD">
        <w:rPr>
          <w:rFonts w:ascii="Times New Roman" w:hAnsi="Times New Roman"/>
          <w:sz w:val="28"/>
          <w:szCs w:val="28"/>
        </w:rPr>
        <w:t>5</w:t>
      </w:r>
      <w:r w:rsidRPr="00834DFD">
        <w:rPr>
          <w:rFonts w:ascii="Times New Roman" w:hAnsi="Times New Roman"/>
          <w:sz w:val="28"/>
          <w:szCs w:val="28"/>
        </w:rPr>
        <w:t>.07.2016. Nr.</w:t>
      </w:r>
      <w:r w:rsidR="00FF7ACB" w:rsidRPr="00834DFD">
        <w:rPr>
          <w:rFonts w:ascii="Times New Roman" w:hAnsi="Times New Roman"/>
          <w:sz w:val="28"/>
          <w:szCs w:val="28"/>
        </w:rPr>
        <w:t>142.9/8-12-12/16</w:t>
      </w:r>
    </w:p>
    <w:p w:rsidR="00FF7ACB" w:rsidRPr="00834DFD" w:rsidRDefault="00FF7ACB" w:rsidP="000F1C45">
      <w:pPr>
        <w:tabs>
          <w:tab w:val="left" w:pos="0"/>
          <w:tab w:val="right" w:pos="4678"/>
        </w:tabs>
        <w:spacing w:after="0"/>
        <w:rPr>
          <w:rFonts w:ascii="Times New Roman" w:hAnsi="Times New Roman"/>
          <w:sz w:val="28"/>
          <w:szCs w:val="28"/>
        </w:rPr>
      </w:pPr>
    </w:p>
    <w:p w:rsidR="007035CD" w:rsidRPr="00834DFD" w:rsidRDefault="00FF7ACB" w:rsidP="007035CD">
      <w:pPr>
        <w:widowControl/>
        <w:spacing w:after="0" w:line="240" w:lineRule="auto"/>
        <w:jc w:val="right"/>
        <w:rPr>
          <w:rFonts w:ascii="Times New Roman" w:eastAsia="Times New Roman" w:hAnsi="Times New Roman"/>
          <w:b/>
          <w:sz w:val="28"/>
          <w:szCs w:val="28"/>
        </w:rPr>
      </w:pPr>
      <w:r w:rsidRPr="00834DFD">
        <w:rPr>
          <w:rFonts w:ascii="Times New Roman" w:eastAsia="Times New Roman" w:hAnsi="Times New Roman"/>
          <w:b/>
          <w:sz w:val="28"/>
          <w:szCs w:val="28"/>
        </w:rPr>
        <w:t>Latvijas Republikas Saeimas</w:t>
      </w:r>
    </w:p>
    <w:p w:rsidR="00FF7ACB" w:rsidRPr="00834DFD" w:rsidRDefault="00FF7ACB" w:rsidP="007035CD">
      <w:pPr>
        <w:widowControl/>
        <w:spacing w:after="0" w:line="240" w:lineRule="auto"/>
        <w:jc w:val="right"/>
        <w:rPr>
          <w:rFonts w:ascii="Times New Roman" w:eastAsia="Times New Roman" w:hAnsi="Times New Roman"/>
          <w:sz w:val="28"/>
          <w:szCs w:val="28"/>
        </w:rPr>
      </w:pPr>
      <w:r w:rsidRPr="00834DFD">
        <w:rPr>
          <w:rFonts w:ascii="Times New Roman" w:eastAsia="Times New Roman" w:hAnsi="Times New Roman"/>
          <w:sz w:val="28"/>
          <w:szCs w:val="28"/>
        </w:rPr>
        <w:t>Tautsaimniecības, agrārā</w:t>
      </w:r>
      <w:r w:rsidR="00D80A10">
        <w:rPr>
          <w:rFonts w:ascii="Times New Roman" w:eastAsia="Times New Roman" w:hAnsi="Times New Roman"/>
          <w:sz w:val="28"/>
          <w:szCs w:val="28"/>
        </w:rPr>
        <w:t>s</w:t>
      </w:r>
      <w:r w:rsidRPr="00834DFD">
        <w:rPr>
          <w:rFonts w:ascii="Times New Roman" w:eastAsia="Times New Roman" w:hAnsi="Times New Roman"/>
          <w:sz w:val="28"/>
          <w:szCs w:val="28"/>
        </w:rPr>
        <w:t xml:space="preserve">, vides </w:t>
      </w:r>
    </w:p>
    <w:p w:rsidR="00FF7ACB" w:rsidRPr="00834DFD" w:rsidRDefault="00FF7ACB" w:rsidP="007035CD">
      <w:pPr>
        <w:widowControl/>
        <w:spacing w:after="0" w:line="240" w:lineRule="auto"/>
        <w:jc w:val="right"/>
        <w:rPr>
          <w:rFonts w:ascii="Times New Roman" w:eastAsia="Times New Roman" w:hAnsi="Times New Roman"/>
          <w:sz w:val="28"/>
          <w:szCs w:val="28"/>
        </w:rPr>
      </w:pPr>
      <w:r w:rsidRPr="00834DFD">
        <w:rPr>
          <w:rFonts w:ascii="Times New Roman" w:eastAsia="Times New Roman" w:hAnsi="Times New Roman"/>
          <w:sz w:val="28"/>
          <w:szCs w:val="28"/>
        </w:rPr>
        <w:t>un reģionālās politikas komisijai</w:t>
      </w:r>
    </w:p>
    <w:p w:rsidR="007035CD" w:rsidRPr="00834DFD" w:rsidRDefault="007035CD" w:rsidP="00FF7ACB">
      <w:pPr>
        <w:spacing w:after="0" w:line="240" w:lineRule="auto"/>
        <w:jc w:val="right"/>
        <w:rPr>
          <w:rFonts w:ascii="Times New Roman" w:hAnsi="Times New Roman"/>
          <w:sz w:val="28"/>
          <w:szCs w:val="28"/>
        </w:rPr>
      </w:pPr>
      <w:bookmarkStart w:id="0" w:name="OLE_LINK2"/>
      <w:bookmarkStart w:id="1" w:name="OLE_LINK7"/>
    </w:p>
    <w:p w:rsidR="007035CD" w:rsidRDefault="007035CD" w:rsidP="000F1C45">
      <w:pPr>
        <w:spacing w:after="0" w:line="240" w:lineRule="auto"/>
        <w:rPr>
          <w:rFonts w:ascii="Times New Roman" w:hAnsi="Times New Roman"/>
          <w:i/>
          <w:sz w:val="28"/>
          <w:szCs w:val="28"/>
        </w:rPr>
      </w:pPr>
    </w:p>
    <w:p w:rsidR="00C94DC5" w:rsidRPr="00834DFD" w:rsidRDefault="00C94DC5" w:rsidP="000F1C45">
      <w:pPr>
        <w:spacing w:after="0" w:line="240" w:lineRule="auto"/>
        <w:rPr>
          <w:rFonts w:ascii="Times New Roman" w:hAnsi="Times New Roman"/>
          <w:i/>
          <w:sz w:val="28"/>
          <w:szCs w:val="28"/>
        </w:rPr>
      </w:pPr>
    </w:p>
    <w:p w:rsidR="00980979" w:rsidRPr="00834DFD" w:rsidRDefault="00482B56" w:rsidP="00FF7ACB">
      <w:pPr>
        <w:spacing w:after="0" w:line="240" w:lineRule="auto"/>
        <w:rPr>
          <w:rFonts w:ascii="Times New Roman" w:hAnsi="Times New Roman"/>
          <w:i/>
          <w:sz w:val="28"/>
          <w:szCs w:val="28"/>
        </w:rPr>
      </w:pPr>
      <w:r w:rsidRPr="00834DFD">
        <w:rPr>
          <w:rFonts w:ascii="Times New Roman" w:hAnsi="Times New Roman"/>
          <w:i/>
          <w:sz w:val="28"/>
          <w:szCs w:val="28"/>
        </w:rPr>
        <w:t xml:space="preserve">Par </w:t>
      </w:r>
      <w:bookmarkStart w:id="2" w:name="OLE_LINK3"/>
      <w:bookmarkStart w:id="3" w:name="OLE_LINK4"/>
      <w:r w:rsidR="00980979" w:rsidRPr="00834DFD">
        <w:rPr>
          <w:rFonts w:ascii="Times New Roman" w:hAnsi="Times New Roman"/>
          <w:i/>
          <w:sz w:val="28"/>
          <w:szCs w:val="28"/>
        </w:rPr>
        <w:t>nodibinājuma ”</w:t>
      </w:r>
      <w:proofErr w:type="spellStart"/>
      <w:r w:rsidR="00980979" w:rsidRPr="00834DFD">
        <w:rPr>
          <w:rFonts w:ascii="Times New Roman" w:hAnsi="Times New Roman"/>
          <w:i/>
          <w:sz w:val="28"/>
          <w:szCs w:val="28"/>
        </w:rPr>
        <w:t>D</w:t>
      </w:r>
      <w:r w:rsidR="00E52BB3" w:rsidRPr="00834DFD">
        <w:rPr>
          <w:rFonts w:ascii="Times New Roman" w:hAnsi="Times New Roman"/>
          <w:i/>
          <w:sz w:val="28"/>
          <w:szCs w:val="28"/>
        </w:rPr>
        <w:t>omnīca</w:t>
      </w:r>
      <w:proofErr w:type="spellEnd"/>
      <w:r w:rsidR="00E52BB3" w:rsidRPr="00834DFD">
        <w:rPr>
          <w:rFonts w:ascii="Times New Roman" w:hAnsi="Times New Roman"/>
          <w:i/>
          <w:sz w:val="28"/>
          <w:szCs w:val="28"/>
        </w:rPr>
        <w:t xml:space="preserve"> </w:t>
      </w:r>
      <w:proofErr w:type="spellStart"/>
      <w:r w:rsidR="00E52BB3" w:rsidRPr="00834DFD">
        <w:rPr>
          <w:rFonts w:ascii="Times New Roman" w:hAnsi="Times New Roman"/>
          <w:i/>
          <w:sz w:val="28"/>
          <w:szCs w:val="28"/>
        </w:rPr>
        <w:t>Certus</w:t>
      </w:r>
      <w:proofErr w:type="spellEnd"/>
      <w:r w:rsidR="00980979" w:rsidRPr="00834DFD">
        <w:rPr>
          <w:rFonts w:ascii="Times New Roman" w:hAnsi="Times New Roman"/>
          <w:i/>
          <w:sz w:val="28"/>
          <w:szCs w:val="28"/>
        </w:rPr>
        <w:t>”</w:t>
      </w:r>
    </w:p>
    <w:p w:rsidR="000F1C45" w:rsidRPr="00834DFD" w:rsidRDefault="00E52BB3" w:rsidP="00FF7ACB">
      <w:pPr>
        <w:spacing w:after="0" w:line="240" w:lineRule="auto"/>
        <w:rPr>
          <w:rFonts w:ascii="Times New Roman" w:hAnsi="Times New Roman"/>
          <w:i/>
          <w:sz w:val="28"/>
          <w:szCs w:val="28"/>
        </w:rPr>
      </w:pPr>
      <w:r w:rsidRPr="00834DFD">
        <w:rPr>
          <w:rFonts w:ascii="Times New Roman" w:hAnsi="Times New Roman"/>
          <w:i/>
          <w:sz w:val="28"/>
          <w:szCs w:val="28"/>
        </w:rPr>
        <w:t>ziņojumā ”</w:t>
      </w:r>
      <w:r w:rsidR="00FF7ACB" w:rsidRPr="00834DFD">
        <w:rPr>
          <w:rFonts w:ascii="Times New Roman" w:hAnsi="Times New Roman"/>
          <w:i/>
          <w:sz w:val="28"/>
          <w:szCs w:val="28"/>
        </w:rPr>
        <w:t>Latvijas Konkurētspējas ziņojum</w:t>
      </w:r>
      <w:r w:rsidRPr="00834DFD">
        <w:rPr>
          <w:rFonts w:ascii="Times New Roman" w:hAnsi="Times New Roman"/>
          <w:i/>
          <w:sz w:val="28"/>
          <w:szCs w:val="28"/>
        </w:rPr>
        <w:t>s 2015”</w:t>
      </w:r>
    </w:p>
    <w:p w:rsidR="00FF7ACB" w:rsidRPr="00834DFD" w:rsidRDefault="00FF7ACB" w:rsidP="00FF7ACB">
      <w:pPr>
        <w:spacing w:after="0" w:line="240" w:lineRule="auto"/>
        <w:rPr>
          <w:rFonts w:ascii="Times New Roman" w:hAnsi="Times New Roman"/>
          <w:i/>
          <w:sz w:val="28"/>
          <w:szCs w:val="28"/>
        </w:rPr>
      </w:pPr>
      <w:r w:rsidRPr="00834DFD">
        <w:rPr>
          <w:rFonts w:ascii="Times New Roman" w:hAnsi="Times New Roman"/>
          <w:i/>
          <w:sz w:val="28"/>
          <w:szCs w:val="28"/>
        </w:rPr>
        <w:t>iekļauto pētījumu par farmācijas nozari</w:t>
      </w:r>
    </w:p>
    <w:p w:rsidR="00FF7ACB" w:rsidRPr="00834DFD" w:rsidRDefault="00FF7ACB" w:rsidP="00FF7ACB">
      <w:pPr>
        <w:spacing w:after="0" w:line="240" w:lineRule="auto"/>
        <w:rPr>
          <w:rFonts w:ascii="Times New Roman" w:hAnsi="Times New Roman"/>
          <w:bCs/>
          <w:i/>
          <w:sz w:val="28"/>
          <w:szCs w:val="28"/>
        </w:rPr>
      </w:pPr>
    </w:p>
    <w:bookmarkEnd w:id="0"/>
    <w:bookmarkEnd w:id="1"/>
    <w:bookmarkEnd w:id="2"/>
    <w:bookmarkEnd w:id="3"/>
    <w:p w:rsidR="00BB2006" w:rsidRPr="00834DFD" w:rsidRDefault="00BB2006" w:rsidP="000F1C45">
      <w:pPr>
        <w:spacing w:after="0" w:line="240" w:lineRule="auto"/>
        <w:rPr>
          <w:rFonts w:ascii="Times New Roman" w:hAnsi="Times New Roman"/>
          <w:i/>
          <w:sz w:val="28"/>
          <w:szCs w:val="28"/>
        </w:rPr>
      </w:pPr>
    </w:p>
    <w:p w:rsidR="007D01E8" w:rsidRPr="002B3C49" w:rsidRDefault="008E2D3E" w:rsidP="00A11108">
      <w:pPr>
        <w:spacing w:after="120" w:line="240" w:lineRule="auto"/>
        <w:ind w:firstLine="720"/>
        <w:jc w:val="both"/>
        <w:rPr>
          <w:rFonts w:ascii="Times New Roman" w:hAnsi="Times New Roman"/>
          <w:color w:val="000000"/>
          <w:sz w:val="28"/>
          <w:szCs w:val="28"/>
          <w:lang w:eastAsia="lv-LV"/>
        </w:rPr>
      </w:pPr>
      <w:r w:rsidRPr="00834DFD">
        <w:rPr>
          <w:rFonts w:ascii="Times New Roman" w:hAnsi="Times New Roman"/>
          <w:color w:val="000000"/>
          <w:sz w:val="28"/>
          <w:szCs w:val="28"/>
          <w:lang w:eastAsia="lv-LV"/>
        </w:rPr>
        <w:t>Ministru kabinets</w:t>
      </w:r>
      <w:r w:rsidR="00EF5347" w:rsidRPr="00834DFD">
        <w:rPr>
          <w:rFonts w:ascii="Times New Roman" w:hAnsi="Times New Roman"/>
          <w:color w:val="000000"/>
          <w:sz w:val="28"/>
          <w:szCs w:val="28"/>
          <w:lang w:eastAsia="lv-LV"/>
        </w:rPr>
        <w:t xml:space="preserve"> </w:t>
      </w:r>
      <w:r w:rsidRPr="00834DFD">
        <w:rPr>
          <w:rFonts w:ascii="Times New Roman" w:hAnsi="Times New Roman"/>
          <w:color w:val="000000"/>
          <w:sz w:val="28"/>
          <w:szCs w:val="28"/>
          <w:lang w:eastAsia="lv-LV"/>
        </w:rPr>
        <w:t>i</w:t>
      </w:r>
      <w:r w:rsidR="00EF5347" w:rsidRPr="00834DFD">
        <w:rPr>
          <w:rFonts w:ascii="Times New Roman" w:hAnsi="Times New Roman"/>
          <w:color w:val="000000"/>
          <w:sz w:val="28"/>
          <w:szCs w:val="28"/>
          <w:lang w:eastAsia="lv-LV"/>
        </w:rPr>
        <w:t>r</w:t>
      </w:r>
      <w:r w:rsidRPr="00834DFD">
        <w:rPr>
          <w:rFonts w:ascii="Times New Roman" w:hAnsi="Times New Roman"/>
          <w:color w:val="000000"/>
          <w:sz w:val="28"/>
          <w:szCs w:val="28"/>
          <w:lang w:eastAsia="lv-LV"/>
        </w:rPr>
        <w:t xml:space="preserve"> izskatījis </w:t>
      </w:r>
      <w:r w:rsidR="00EF5347" w:rsidRPr="00834DFD">
        <w:rPr>
          <w:rFonts w:ascii="Times New Roman" w:hAnsi="Times New Roman"/>
          <w:color w:val="000000"/>
          <w:sz w:val="28"/>
          <w:szCs w:val="28"/>
          <w:lang w:eastAsia="lv-LV"/>
        </w:rPr>
        <w:t xml:space="preserve">Saeimas Tautsaimniecības, agrārās, vides un reģionālās politikas komisijas 2016.gada 5.jūlija vēstuli Nr.142.9/8-12-12/16 </w:t>
      </w:r>
      <w:r w:rsidR="006A00BF">
        <w:rPr>
          <w:rFonts w:ascii="Times New Roman" w:hAnsi="Times New Roman"/>
          <w:color w:val="000000"/>
          <w:sz w:val="28"/>
          <w:szCs w:val="28"/>
          <w:lang w:eastAsia="lv-LV"/>
        </w:rPr>
        <w:t>ar</w:t>
      </w:r>
      <w:r w:rsidR="00330E94" w:rsidRPr="00834DFD">
        <w:rPr>
          <w:rFonts w:ascii="Times New Roman" w:hAnsi="Times New Roman"/>
          <w:color w:val="000000"/>
          <w:sz w:val="28"/>
          <w:szCs w:val="28"/>
          <w:lang w:eastAsia="lv-LV"/>
        </w:rPr>
        <w:t xml:space="preserve"> tai pievienotajiem Latvijas Ķīmijas un </w:t>
      </w:r>
      <w:r w:rsidR="00330E94" w:rsidRPr="002B3C49">
        <w:rPr>
          <w:rFonts w:ascii="Times New Roman" w:hAnsi="Times New Roman"/>
          <w:color w:val="000000"/>
          <w:sz w:val="28"/>
          <w:szCs w:val="28"/>
          <w:lang w:eastAsia="lv-LV"/>
        </w:rPr>
        <w:t>farmācijas uzņēmēju asociācijas</w:t>
      </w:r>
      <w:r w:rsidR="004B7245" w:rsidRPr="002B3C49">
        <w:rPr>
          <w:rFonts w:ascii="Times New Roman" w:hAnsi="Times New Roman"/>
          <w:color w:val="000000"/>
          <w:sz w:val="28"/>
          <w:szCs w:val="28"/>
          <w:lang w:eastAsia="lv-LV"/>
        </w:rPr>
        <w:t xml:space="preserve"> (turpmāk – LAĶĪFA)</w:t>
      </w:r>
      <w:r w:rsidR="00980979" w:rsidRPr="002B3C49">
        <w:rPr>
          <w:rFonts w:ascii="Times New Roman" w:hAnsi="Times New Roman"/>
          <w:color w:val="000000"/>
          <w:sz w:val="28"/>
          <w:szCs w:val="28"/>
          <w:lang w:eastAsia="lv-LV"/>
        </w:rPr>
        <w:t xml:space="preserve"> un nodibinājuma ”</w:t>
      </w:r>
      <w:proofErr w:type="spellStart"/>
      <w:r w:rsidR="006C64AE" w:rsidRPr="002B3C49">
        <w:rPr>
          <w:rFonts w:ascii="Times New Roman" w:hAnsi="Times New Roman"/>
          <w:color w:val="000000"/>
          <w:sz w:val="28"/>
          <w:szCs w:val="28"/>
          <w:lang w:eastAsia="lv-LV"/>
        </w:rPr>
        <w:t>Domnīca</w:t>
      </w:r>
      <w:proofErr w:type="spellEnd"/>
      <w:r w:rsidR="00330E94" w:rsidRPr="002B3C49">
        <w:rPr>
          <w:rFonts w:ascii="Times New Roman" w:hAnsi="Times New Roman"/>
          <w:color w:val="000000"/>
          <w:sz w:val="28"/>
          <w:szCs w:val="28"/>
          <w:lang w:eastAsia="lv-LV"/>
        </w:rPr>
        <w:t xml:space="preserve"> </w:t>
      </w:r>
      <w:proofErr w:type="spellStart"/>
      <w:r w:rsidR="00330E94" w:rsidRPr="002B3C49">
        <w:rPr>
          <w:rFonts w:ascii="Times New Roman" w:hAnsi="Times New Roman"/>
          <w:color w:val="000000"/>
          <w:sz w:val="28"/>
          <w:szCs w:val="28"/>
          <w:lang w:eastAsia="lv-LV"/>
        </w:rPr>
        <w:t>C</w:t>
      </w:r>
      <w:r w:rsidR="00253F02">
        <w:rPr>
          <w:rFonts w:ascii="Times New Roman" w:hAnsi="Times New Roman"/>
          <w:color w:val="000000"/>
          <w:sz w:val="28"/>
          <w:szCs w:val="28"/>
          <w:lang w:eastAsia="lv-LV"/>
        </w:rPr>
        <w:t>ertus</w:t>
      </w:r>
      <w:proofErr w:type="spellEnd"/>
      <w:r w:rsidR="00330E94" w:rsidRPr="002B3C49">
        <w:rPr>
          <w:rFonts w:ascii="Times New Roman" w:hAnsi="Times New Roman"/>
          <w:color w:val="000000"/>
          <w:sz w:val="28"/>
          <w:szCs w:val="28"/>
          <w:lang w:eastAsia="lv-LV"/>
        </w:rPr>
        <w:t>” priekšlikumiem farmācijas nozares attīstībai un</w:t>
      </w:r>
      <w:r w:rsidR="00EF5347" w:rsidRPr="002B3C49">
        <w:rPr>
          <w:rFonts w:ascii="Times New Roman" w:hAnsi="Times New Roman"/>
          <w:color w:val="000000"/>
          <w:sz w:val="28"/>
          <w:szCs w:val="28"/>
          <w:lang w:eastAsia="lv-LV"/>
        </w:rPr>
        <w:t xml:space="preserve"> sniedz informāciju</w:t>
      </w:r>
      <w:r w:rsidR="002B3C49" w:rsidRPr="002B3C49">
        <w:rPr>
          <w:rFonts w:ascii="Times New Roman" w:hAnsi="Times New Roman"/>
          <w:color w:val="000000"/>
          <w:sz w:val="28"/>
          <w:szCs w:val="28"/>
          <w:lang w:eastAsia="lv-LV"/>
        </w:rPr>
        <w:t xml:space="preserve"> par</w:t>
      </w:r>
      <w:r w:rsidR="002B3C49" w:rsidRPr="002B3C49">
        <w:rPr>
          <w:rFonts w:ascii="Times New Roman" w:eastAsiaTheme="minorHAnsi" w:hAnsi="Times New Roman"/>
          <w:sz w:val="28"/>
          <w:szCs w:val="28"/>
        </w:rPr>
        <w:t xml:space="preserve"> paveiktajām un plānotajām darbībām nozares priekšlikumu īstenošanai</w:t>
      </w:r>
      <w:r w:rsidR="00EF5347" w:rsidRPr="002B3C49">
        <w:rPr>
          <w:rFonts w:ascii="Times New Roman" w:hAnsi="Times New Roman"/>
          <w:color w:val="000000"/>
          <w:sz w:val="28"/>
          <w:szCs w:val="28"/>
          <w:lang w:eastAsia="lv-LV"/>
        </w:rPr>
        <w:t>.</w:t>
      </w:r>
    </w:p>
    <w:p w:rsidR="00980979" w:rsidRPr="00834DFD" w:rsidRDefault="00980979" w:rsidP="00A11108">
      <w:pPr>
        <w:spacing w:after="120" w:line="240" w:lineRule="auto"/>
        <w:ind w:firstLine="709"/>
        <w:jc w:val="both"/>
        <w:rPr>
          <w:rFonts w:ascii="Times New Roman" w:hAnsi="Times New Roman"/>
          <w:b/>
          <w:color w:val="000000"/>
          <w:sz w:val="28"/>
          <w:szCs w:val="28"/>
          <w:u w:val="single"/>
          <w:lang w:eastAsia="lv-LV"/>
        </w:rPr>
      </w:pPr>
      <w:r w:rsidRPr="00834DFD">
        <w:rPr>
          <w:rFonts w:ascii="Times New Roman" w:hAnsi="Times New Roman"/>
          <w:b/>
          <w:color w:val="000000"/>
          <w:sz w:val="28"/>
          <w:szCs w:val="28"/>
          <w:u w:val="single"/>
          <w:lang w:eastAsia="lv-LV"/>
        </w:rPr>
        <w:t>Cilvēkresursu nodrošinājums</w:t>
      </w:r>
    </w:p>
    <w:p w:rsidR="00EA2737" w:rsidRPr="00834DFD" w:rsidRDefault="00EA2737" w:rsidP="00A11108">
      <w:pPr>
        <w:widowControl/>
        <w:numPr>
          <w:ilvl w:val="0"/>
          <w:numId w:val="22"/>
        </w:numPr>
        <w:tabs>
          <w:tab w:val="left" w:pos="993"/>
        </w:tabs>
        <w:spacing w:after="120" w:line="240" w:lineRule="auto"/>
        <w:ind w:left="0" w:firstLine="709"/>
        <w:contextualSpacing/>
        <w:jc w:val="both"/>
        <w:rPr>
          <w:rFonts w:ascii="Times New Roman" w:eastAsiaTheme="minorHAnsi" w:hAnsi="Times New Roman"/>
          <w:sz w:val="28"/>
          <w:szCs w:val="28"/>
        </w:rPr>
      </w:pPr>
      <w:r w:rsidRPr="00834DFD">
        <w:rPr>
          <w:rFonts w:ascii="Times New Roman" w:eastAsiaTheme="minorHAnsi" w:hAnsi="Times New Roman"/>
          <w:sz w:val="28"/>
          <w:szCs w:val="28"/>
        </w:rPr>
        <w:t>Valsts Izglītības satura centrs ir uzsācis īstenot pasākumu kopumu, kuru mērķis ir uzlabot skolēnu mācību sasniegumus dabaszinātnēs:</w:t>
      </w:r>
    </w:p>
    <w:p w:rsidR="00EA2737" w:rsidRPr="00834DFD" w:rsidRDefault="00EA2737" w:rsidP="00A11108">
      <w:pPr>
        <w:widowControl/>
        <w:numPr>
          <w:ilvl w:val="0"/>
          <w:numId w:val="21"/>
        </w:numPr>
        <w:tabs>
          <w:tab w:val="left" w:pos="993"/>
        </w:tabs>
        <w:spacing w:after="120" w:line="240" w:lineRule="auto"/>
        <w:ind w:left="0" w:firstLine="709"/>
        <w:contextualSpacing/>
        <w:jc w:val="both"/>
        <w:rPr>
          <w:rFonts w:ascii="Times New Roman" w:eastAsiaTheme="minorHAnsi" w:hAnsi="Times New Roman"/>
          <w:sz w:val="28"/>
          <w:szCs w:val="28"/>
        </w:rPr>
      </w:pPr>
      <w:r w:rsidRPr="00834DFD">
        <w:rPr>
          <w:rFonts w:ascii="Times New Roman" w:eastAsiaTheme="minorHAnsi" w:hAnsi="Times New Roman"/>
          <w:sz w:val="28"/>
          <w:szCs w:val="28"/>
        </w:rPr>
        <w:t>kopš 2014./15. mācību gada tiek organizēti diagnosticējošie darbi dabaszinātņu mācību priekšmetos un matemātikā, lai novērtētu skolēnu zināšanas un sniegtu pedagogiem metodiskos ieteikumus skolēnu mācību sasniegumu veidošanā;</w:t>
      </w:r>
    </w:p>
    <w:p w:rsidR="00EA2737" w:rsidRPr="00834DFD" w:rsidRDefault="00EA2737" w:rsidP="00A11108">
      <w:pPr>
        <w:widowControl/>
        <w:numPr>
          <w:ilvl w:val="0"/>
          <w:numId w:val="21"/>
        </w:numPr>
        <w:tabs>
          <w:tab w:val="left" w:pos="993"/>
        </w:tabs>
        <w:spacing w:after="120" w:line="240" w:lineRule="auto"/>
        <w:ind w:left="0" w:firstLine="709"/>
        <w:contextualSpacing/>
        <w:jc w:val="both"/>
        <w:rPr>
          <w:rFonts w:ascii="Times New Roman" w:eastAsiaTheme="minorHAnsi" w:hAnsi="Times New Roman"/>
          <w:sz w:val="28"/>
          <w:szCs w:val="28"/>
        </w:rPr>
      </w:pPr>
      <w:r w:rsidRPr="00834DFD">
        <w:rPr>
          <w:rFonts w:ascii="Times New Roman" w:eastAsiaTheme="minorHAnsi" w:hAnsi="Times New Roman"/>
          <w:sz w:val="28"/>
          <w:szCs w:val="28"/>
        </w:rPr>
        <w:t xml:space="preserve">lai īstenotu ieceri ieviest obligātu pēc izglītojamā izvēles centralizēto eksāmenu fizikā, ķīmijā vai </w:t>
      </w:r>
      <w:proofErr w:type="spellStart"/>
      <w:r w:rsidRPr="00834DFD">
        <w:rPr>
          <w:rFonts w:ascii="Times New Roman" w:eastAsiaTheme="minorHAnsi" w:hAnsi="Times New Roman"/>
          <w:sz w:val="28"/>
          <w:szCs w:val="28"/>
        </w:rPr>
        <w:t>dabaszinībās</w:t>
      </w:r>
      <w:proofErr w:type="spellEnd"/>
      <w:r w:rsidRPr="00834DFD">
        <w:rPr>
          <w:rFonts w:ascii="Times New Roman" w:eastAsiaTheme="minorHAnsi" w:hAnsi="Times New Roman"/>
          <w:sz w:val="28"/>
          <w:szCs w:val="28"/>
        </w:rPr>
        <w:t xml:space="preserve">, 2015./16. mācību gadā tika organizēti 1.pilotprojekta centralizētie eksāmeni fizikā, ķīmijā un </w:t>
      </w:r>
      <w:proofErr w:type="spellStart"/>
      <w:r w:rsidRPr="00834DFD">
        <w:rPr>
          <w:rFonts w:ascii="Times New Roman" w:eastAsiaTheme="minorHAnsi" w:hAnsi="Times New Roman"/>
          <w:sz w:val="28"/>
          <w:szCs w:val="28"/>
        </w:rPr>
        <w:t>dabaszinībās</w:t>
      </w:r>
      <w:proofErr w:type="spellEnd"/>
      <w:r w:rsidRPr="00834DFD">
        <w:rPr>
          <w:rFonts w:ascii="Times New Roman" w:eastAsiaTheme="minorHAnsi" w:hAnsi="Times New Roman"/>
          <w:sz w:val="28"/>
          <w:szCs w:val="28"/>
        </w:rPr>
        <w:t xml:space="preserve">, savukārt 2016./17. mācību gadā tiks organizēti 2.pilotprojekta eksāmeni ar mērķi novērtēt izglītojamo mācību sasniegumus fizikā, ķīmijā un </w:t>
      </w:r>
      <w:proofErr w:type="spellStart"/>
      <w:r w:rsidRPr="00834DFD">
        <w:rPr>
          <w:rFonts w:ascii="Times New Roman" w:eastAsiaTheme="minorHAnsi" w:hAnsi="Times New Roman"/>
          <w:sz w:val="28"/>
          <w:szCs w:val="28"/>
        </w:rPr>
        <w:t>dabaszinībās</w:t>
      </w:r>
      <w:proofErr w:type="spellEnd"/>
      <w:r w:rsidRPr="00834DFD">
        <w:rPr>
          <w:rFonts w:ascii="Times New Roman" w:eastAsiaTheme="minorHAnsi" w:hAnsi="Times New Roman"/>
          <w:sz w:val="28"/>
          <w:szCs w:val="28"/>
        </w:rPr>
        <w:t>, iegūstot atgriezenisko saiti mācību sasniegumu rezultātu izvērtēšanai un jauna centralizētā eksāmena veidošanai.</w:t>
      </w:r>
    </w:p>
    <w:p w:rsidR="00EA2737" w:rsidRPr="00834DFD" w:rsidRDefault="00EA2737" w:rsidP="00A11108">
      <w:pPr>
        <w:widowControl/>
        <w:numPr>
          <w:ilvl w:val="0"/>
          <w:numId w:val="21"/>
        </w:numPr>
        <w:tabs>
          <w:tab w:val="left" w:pos="993"/>
        </w:tabs>
        <w:spacing w:after="120" w:line="240" w:lineRule="auto"/>
        <w:ind w:left="0" w:firstLine="709"/>
        <w:contextualSpacing/>
        <w:jc w:val="both"/>
        <w:rPr>
          <w:rFonts w:ascii="Times New Roman" w:eastAsiaTheme="minorHAnsi" w:hAnsi="Times New Roman"/>
          <w:sz w:val="28"/>
          <w:szCs w:val="28"/>
        </w:rPr>
      </w:pPr>
      <w:r w:rsidRPr="00834DFD">
        <w:rPr>
          <w:rFonts w:ascii="Times New Roman" w:eastAsiaTheme="minorHAnsi" w:hAnsi="Times New Roman"/>
          <w:sz w:val="28"/>
          <w:szCs w:val="28"/>
        </w:rPr>
        <w:t xml:space="preserve">2016.gadā ir veikti grozījumi Ministru kabineta 2000.gada 27.jūnija noteikumos Nr.211 ”Noteikumi par valsts profesionālās vidējās izglītības standartu un valsts arodizglītības standartu” nosakot, ka visu profesionālo izglītības programmu saturā tiek iekļauta fizika, ķīmija vai </w:t>
      </w:r>
      <w:proofErr w:type="spellStart"/>
      <w:r w:rsidRPr="00834DFD">
        <w:rPr>
          <w:rFonts w:ascii="Times New Roman" w:eastAsiaTheme="minorHAnsi" w:hAnsi="Times New Roman"/>
          <w:sz w:val="28"/>
          <w:szCs w:val="28"/>
        </w:rPr>
        <w:t>dabaszinības</w:t>
      </w:r>
      <w:proofErr w:type="spellEnd"/>
      <w:r w:rsidRPr="00834DFD">
        <w:rPr>
          <w:rFonts w:ascii="Times New Roman" w:eastAsiaTheme="minorHAnsi" w:hAnsi="Times New Roman"/>
          <w:sz w:val="28"/>
          <w:szCs w:val="28"/>
        </w:rPr>
        <w:t xml:space="preserve"> kā obligāts vispārizglītojošais mācību priekšmets;</w:t>
      </w:r>
    </w:p>
    <w:p w:rsidR="00EA2737" w:rsidRPr="00834DFD" w:rsidRDefault="00EA2737" w:rsidP="00A11108">
      <w:pPr>
        <w:widowControl/>
        <w:numPr>
          <w:ilvl w:val="0"/>
          <w:numId w:val="21"/>
        </w:numPr>
        <w:tabs>
          <w:tab w:val="left" w:pos="993"/>
        </w:tabs>
        <w:spacing w:after="120" w:line="240" w:lineRule="auto"/>
        <w:ind w:left="0" w:firstLine="709"/>
        <w:contextualSpacing/>
        <w:jc w:val="both"/>
        <w:rPr>
          <w:rFonts w:ascii="Times New Roman" w:eastAsiaTheme="minorHAnsi" w:hAnsi="Times New Roman"/>
          <w:sz w:val="28"/>
          <w:szCs w:val="28"/>
        </w:rPr>
      </w:pPr>
      <w:r w:rsidRPr="00834DFD">
        <w:rPr>
          <w:rFonts w:ascii="Times New Roman" w:eastAsiaTheme="minorHAnsi" w:hAnsi="Times New Roman"/>
          <w:sz w:val="28"/>
          <w:szCs w:val="28"/>
        </w:rPr>
        <w:lastRenderedPageBreak/>
        <w:t>2016.gadā tiek uzsākta kompetenču pieejā balstīta vispārējās izglītības mācī</w:t>
      </w:r>
      <w:r w:rsidR="002E766B">
        <w:rPr>
          <w:rFonts w:ascii="Times New Roman" w:eastAsiaTheme="minorHAnsi" w:hAnsi="Times New Roman"/>
          <w:sz w:val="28"/>
          <w:szCs w:val="28"/>
        </w:rPr>
        <w:t>bu satura izstrāde. SAM 8.3.1. ”</w:t>
      </w:r>
      <w:r w:rsidRPr="00834DFD">
        <w:rPr>
          <w:rFonts w:ascii="Times New Roman" w:eastAsiaTheme="minorHAnsi" w:hAnsi="Times New Roman"/>
          <w:sz w:val="28"/>
          <w:szCs w:val="28"/>
        </w:rPr>
        <w:t>Attīstīt kompetenču pieejā balstītu vispārējās</w:t>
      </w:r>
      <w:r w:rsidR="002E766B">
        <w:rPr>
          <w:rFonts w:ascii="Times New Roman" w:eastAsiaTheme="minorHAnsi" w:hAnsi="Times New Roman"/>
          <w:sz w:val="28"/>
          <w:szCs w:val="28"/>
        </w:rPr>
        <w:t xml:space="preserve"> izglītības saturu” 1.pasākumā ”</w:t>
      </w:r>
      <w:r w:rsidRPr="00834DFD">
        <w:rPr>
          <w:rFonts w:ascii="Times New Roman" w:eastAsiaTheme="minorHAnsi" w:hAnsi="Times New Roman"/>
          <w:sz w:val="28"/>
          <w:szCs w:val="28"/>
        </w:rPr>
        <w:t>Kompetenču pieejā balstīta vispārējās izglītības satura aprobācija un ieviešana” paredzēts visām izglītības pakāpēm vispārējā izglītībā izstrādāt jaunu mācību saturu, mācību un metodiskos materiālus, kā arī pilnveidot ped</w:t>
      </w:r>
      <w:r w:rsidR="002E766B">
        <w:rPr>
          <w:rFonts w:ascii="Times New Roman" w:eastAsiaTheme="minorHAnsi" w:hAnsi="Times New Roman"/>
          <w:sz w:val="28"/>
          <w:szCs w:val="28"/>
        </w:rPr>
        <w:t>agogu profesionālo meistarību. ”</w:t>
      </w:r>
      <w:r w:rsidRPr="00834DFD">
        <w:rPr>
          <w:rFonts w:ascii="Times New Roman" w:eastAsiaTheme="minorHAnsi" w:hAnsi="Times New Roman"/>
          <w:sz w:val="28"/>
          <w:szCs w:val="28"/>
        </w:rPr>
        <w:t>Dabaszinātņu” un “Matemātikas un datorikas” izglītības jomās īpaša uzmanība tiks pievērsta pamatizglītības 1.posma mācību satura izstrādei, lai savlaicīgi motivētu skolēnus dabaszinātņu, matemātikas un datorikas apguvei. Izstrādājot jauno kompetenču pieejā veidotu mācību saturu, tiks izveidota atbilstoša valsts pārbaudījumu, to skaitā centralizēto eksāmenu, sistēma pamatizglītībā un pēctecīgi vispārējā vidējā izglītībā.</w:t>
      </w:r>
    </w:p>
    <w:p w:rsidR="00EA2737" w:rsidRPr="00834DFD" w:rsidRDefault="002E766B" w:rsidP="00A11108">
      <w:pPr>
        <w:widowControl/>
        <w:numPr>
          <w:ilvl w:val="0"/>
          <w:numId w:val="22"/>
        </w:numPr>
        <w:tabs>
          <w:tab w:val="left" w:pos="993"/>
        </w:tabs>
        <w:spacing w:after="120" w:line="240" w:lineRule="auto"/>
        <w:ind w:left="0" w:firstLine="709"/>
        <w:contextualSpacing/>
        <w:jc w:val="both"/>
        <w:rPr>
          <w:rFonts w:ascii="Times New Roman" w:eastAsia="Times New Roman" w:hAnsi="Times New Roman"/>
          <w:bCs/>
          <w:sz w:val="28"/>
          <w:szCs w:val="28"/>
        </w:rPr>
      </w:pPr>
      <w:r>
        <w:rPr>
          <w:rFonts w:ascii="Times New Roman" w:eastAsiaTheme="minorHAnsi" w:hAnsi="Times New Roman"/>
          <w:sz w:val="28"/>
          <w:szCs w:val="28"/>
        </w:rPr>
        <w:t>Izglītības un zinātnes m</w:t>
      </w:r>
      <w:r w:rsidR="00EA2737" w:rsidRPr="00834DFD">
        <w:rPr>
          <w:rFonts w:ascii="Times New Roman" w:eastAsiaTheme="minorHAnsi" w:hAnsi="Times New Roman"/>
          <w:sz w:val="28"/>
          <w:szCs w:val="28"/>
        </w:rPr>
        <w:t>inistrija atbalsta nozares priekšlikumu attīstīt Olaines Mehānikas un tehnoloģiju koledžu (turpmāk – OMTK) kā nozares ekselences centru. OMTK uzdevums ir izveidot tādu profesionālās izglītības modeli, kas nodrošinātu ilgtspējīgu un pievilcīgu profesionālo izglītību ķīmijas, farmācijas un biotehnoloģijas, vides aizsardzības nozarēs. Lai nodrošinātu darba tirgū pieprasītu speciālistu sagatavošanu, OMTK plāno izstrādāt jaunu pirmā līmeņa profesionālās augstākās izglītības studiju programmu ķīmijas speciālistu sagatavošanā un tiek plānotas jaunas studiju programmas farmaceita asistentu (ražotnē) un farmaceitisko procesu speciālistu sagatavošanai. Plānots izstrādāt un licencēt arī jaunas profesionālās vidējās izglītības programmas farmaceitisko procesu tehniķu, mikrobiologa palīgu un kosmētikas (parfimērijas) ražošanas tehniķu sagatavošanai. Šobrīd saskaņošanā esošais Ministru kabi</w:t>
      </w:r>
      <w:r>
        <w:rPr>
          <w:rFonts w:ascii="Times New Roman" w:eastAsiaTheme="minorHAnsi" w:hAnsi="Times New Roman"/>
          <w:sz w:val="28"/>
          <w:szCs w:val="28"/>
        </w:rPr>
        <w:t>neta noteikumu projekts ”Darbības programmas ”</w:t>
      </w:r>
      <w:r w:rsidR="00EA2737" w:rsidRPr="00834DFD">
        <w:rPr>
          <w:rFonts w:ascii="Times New Roman" w:eastAsiaTheme="minorHAnsi" w:hAnsi="Times New Roman"/>
          <w:sz w:val="28"/>
          <w:szCs w:val="28"/>
        </w:rPr>
        <w:t>Izaugsme un nodarbinātība” 8.</w:t>
      </w:r>
      <w:r>
        <w:rPr>
          <w:rFonts w:ascii="Times New Roman" w:eastAsiaTheme="minorHAnsi" w:hAnsi="Times New Roman"/>
          <w:sz w:val="28"/>
          <w:szCs w:val="28"/>
        </w:rPr>
        <w:t>1.4. specifiskā atbalsta mērķa ”</w:t>
      </w:r>
      <w:r w:rsidR="00EA2737" w:rsidRPr="00834DFD">
        <w:rPr>
          <w:rFonts w:ascii="Times New Roman" w:eastAsiaTheme="minorHAnsi" w:hAnsi="Times New Roman"/>
          <w:sz w:val="28"/>
          <w:szCs w:val="28"/>
        </w:rPr>
        <w:t xml:space="preserve">Uzlabot pirmā līmeņa profesionālās augstākās izglītības STEM, tajā skaitā medicīnas un radošās industrijas, studiju mācību vidi koledžās” īstenošanas noteikumi” paredz atbalstu </w:t>
      </w:r>
      <w:r w:rsidR="00EA2737" w:rsidRPr="00834DFD">
        <w:rPr>
          <w:rFonts w:ascii="Times New Roman" w:eastAsia="Times New Roman" w:hAnsi="Times New Roman"/>
          <w:bCs/>
          <w:sz w:val="28"/>
          <w:szCs w:val="28"/>
        </w:rPr>
        <w:t xml:space="preserve">OMTK 4 489 826 </w:t>
      </w:r>
      <w:proofErr w:type="spellStart"/>
      <w:r w:rsidR="00EA2737" w:rsidRPr="00834DFD">
        <w:rPr>
          <w:rFonts w:ascii="Times New Roman" w:eastAsia="Times New Roman" w:hAnsi="Times New Roman"/>
          <w:bCs/>
          <w:i/>
          <w:sz w:val="28"/>
          <w:szCs w:val="28"/>
        </w:rPr>
        <w:t>euro</w:t>
      </w:r>
      <w:proofErr w:type="spellEnd"/>
      <w:r w:rsidR="00EA2737" w:rsidRPr="00834DFD">
        <w:rPr>
          <w:rFonts w:ascii="Times New Roman" w:eastAsia="Times New Roman" w:hAnsi="Times New Roman"/>
          <w:bCs/>
          <w:i/>
          <w:sz w:val="28"/>
          <w:szCs w:val="28"/>
        </w:rPr>
        <w:t xml:space="preserve"> </w:t>
      </w:r>
      <w:r w:rsidR="00EA2737" w:rsidRPr="00834DFD">
        <w:rPr>
          <w:rFonts w:ascii="Times New Roman" w:eastAsia="Times New Roman" w:hAnsi="Times New Roman"/>
          <w:bCs/>
          <w:sz w:val="28"/>
          <w:szCs w:val="28"/>
        </w:rPr>
        <w:t>apjomā</w:t>
      </w:r>
      <w:r w:rsidR="00EA2737" w:rsidRPr="00834DFD">
        <w:rPr>
          <w:rFonts w:ascii="Times New Roman" w:eastAsia="Times New Roman" w:hAnsi="Times New Roman"/>
          <w:bCs/>
          <w:i/>
          <w:sz w:val="28"/>
          <w:szCs w:val="28"/>
        </w:rPr>
        <w:t xml:space="preserve">. </w:t>
      </w:r>
    </w:p>
    <w:p w:rsidR="00EA2737" w:rsidRPr="00834DFD" w:rsidRDefault="00EA2737" w:rsidP="00A11108">
      <w:pPr>
        <w:widowControl/>
        <w:numPr>
          <w:ilvl w:val="0"/>
          <w:numId w:val="22"/>
        </w:numPr>
        <w:tabs>
          <w:tab w:val="left" w:pos="993"/>
        </w:tabs>
        <w:spacing w:after="120" w:line="240" w:lineRule="auto"/>
        <w:ind w:left="0" w:firstLine="709"/>
        <w:contextualSpacing/>
        <w:jc w:val="both"/>
        <w:rPr>
          <w:rFonts w:ascii="Times New Roman" w:hAnsi="Times New Roman"/>
          <w:sz w:val="28"/>
          <w:szCs w:val="28"/>
        </w:rPr>
      </w:pPr>
      <w:r w:rsidRPr="00834DFD">
        <w:rPr>
          <w:rFonts w:ascii="Times New Roman" w:eastAsia="Times New Roman" w:hAnsi="Times New Roman"/>
          <w:bCs/>
          <w:sz w:val="28"/>
          <w:szCs w:val="28"/>
        </w:rPr>
        <w:t xml:space="preserve">Nozares izteiktie priekšlikumi par nepieciešamību nodrošināt adekvātu, uz aprēķiniem balstītu, pamatotu un nozares izglītības attīstību veicinošu finansējumu valsts budžeta finansētajām studiju vietām nozares specialitātēs saskan ar </w:t>
      </w:r>
      <w:r w:rsidR="002E766B">
        <w:rPr>
          <w:rFonts w:ascii="Times New Roman" w:eastAsia="Times New Roman" w:hAnsi="Times New Roman"/>
          <w:bCs/>
          <w:sz w:val="28"/>
          <w:szCs w:val="28"/>
        </w:rPr>
        <w:t xml:space="preserve">Izglītības un zinātnes </w:t>
      </w:r>
      <w:r w:rsidRPr="00834DFD">
        <w:rPr>
          <w:rFonts w:ascii="Times New Roman" w:eastAsia="Times New Roman" w:hAnsi="Times New Roman"/>
          <w:bCs/>
          <w:sz w:val="28"/>
          <w:szCs w:val="28"/>
        </w:rPr>
        <w:t>ministrijas īstenoto augstākās izglītības jaunā finansēšanas modeļa ieviešanu, ko veido trīs pīlāri: pamata jeb bāzes finansējums, snieguma finansējums un attīstības finansējums. Jaunā finansēšanas modeļa ieviešana tika uzsākta 2015.gadā, izstrādājot nosacījumus augstskolu finansēšanai par rezultātiem pētniecībā balstītas augstākās izglītības attīstībā. Snieguma finansējums augstskolām aprēķināts, salīdzinot augstskolu rādītājus pētniecības projektu finansējuma nodrošināšanā, kā arī studējošo un jauno zinātnieku iesaistīšanā pētniecības projektos.</w:t>
      </w:r>
    </w:p>
    <w:p w:rsidR="00EA2737" w:rsidRPr="00E93ED4" w:rsidRDefault="00EA2737" w:rsidP="00A11108">
      <w:pPr>
        <w:widowControl/>
        <w:numPr>
          <w:ilvl w:val="0"/>
          <w:numId w:val="22"/>
        </w:numPr>
        <w:tabs>
          <w:tab w:val="left" w:pos="993"/>
        </w:tabs>
        <w:spacing w:after="0" w:line="240" w:lineRule="auto"/>
        <w:ind w:left="0" w:firstLine="709"/>
        <w:contextualSpacing/>
        <w:jc w:val="both"/>
        <w:rPr>
          <w:rFonts w:ascii="Times New Roman" w:eastAsiaTheme="minorHAnsi" w:hAnsi="Times New Roman"/>
          <w:sz w:val="28"/>
          <w:szCs w:val="28"/>
        </w:rPr>
      </w:pPr>
      <w:r w:rsidRPr="00834DFD">
        <w:rPr>
          <w:rFonts w:ascii="Times New Roman" w:eastAsia="Times New Roman" w:hAnsi="Times New Roman"/>
          <w:bCs/>
          <w:sz w:val="28"/>
          <w:szCs w:val="28"/>
        </w:rPr>
        <w:t xml:space="preserve">Nozares izteiktie priekšlikumi par nepieciešamību paplašināt klīniskās farmācijas studiju programmas Latvijas augstākās izglītības iestādēs, nodrošinot vismaz 30 studiju vietām valsts budžeta finansējumu, un atbalstīt ārzemju pasniedzēju piesaisti, tiks iekļauti </w:t>
      </w:r>
      <w:r w:rsidR="002E766B">
        <w:rPr>
          <w:rFonts w:ascii="Times New Roman" w:eastAsia="Times New Roman" w:hAnsi="Times New Roman"/>
          <w:bCs/>
          <w:sz w:val="28"/>
          <w:szCs w:val="28"/>
        </w:rPr>
        <w:t xml:space="preserve">Izglītības un zinātnes </w:t>
      </w:r>
      <w:r w:rsidRPr="00834DFD">
        <w:rPr>
          <w:rFonts w:ascii="Times New Roman" w:eastAsia="Times New Roman" w:hAnsi="Times New Roman"/>
          <w:bCs/>
          <w:sz w:val="28"/>
          <w:szCs w:val="28"/>
        </w:rPr>
        <w:t xml:space="preserve">ministrijas, augstskolu </w:t>
      </w:r>
      <w:r w:rsidRPr="00834DFD">
        <w:rPr>
          <w:rFonts w:ascii="Times New Roman" w:eastAsia="Times New Roman" w:hAnsi="Times New Roman"/>
          <w:bCs/>
          <w:sz w:val="28"/>
          <w:szCs w:val="28"/>
        </w:rPr>
        <w:lastRenderedPageBreak/>
        <w:t xml:space="preserve">un nozares partneru sarunu procesā par no valsts budžeta finansēto studiju vietu skaitu un speciālistu sagatavošanu 2017.gadā. </w:t>
      </w:r>
      <w:r w:rsidR="002E766B">
        <w:rPr>
          <w:rFonts w:ascii="Times New Roman" w:eastAsia="Times New Roman" w:hAnsi="Times New Roman"/>
          <w:bCs/>
          <w:sz w:val="28"/>
          <w:szCs w:val="28"/>
        </w:rPr>
        <w:t>Izglītības un zinātnes m</w:t>
      </w:r>
      <w:r w:rsidRPr="00834DFD">
        <w:rPr>
          <w:rFonts w:ascii="Times New Roman" w:hAnsi="Times New Roman"/>
          <w:sz w:val="28"/>
          <w:szCs w:val="28"/>
        </w:rPr>
        <w:t>inistrija informē, ka 2015./16.akadēmiskajā gadā studiju programmas farmācijas programmu grupā tiek īstenotas Rīgas 1.medicīnas koledžā, Latvijas Universitātē un Rīgas Stradiņa universitātē. Rīgas Stradiņa universitā</w:t>
      </w:r>
      <w:r w:rsidR="00A11108">
        <w:rPr>
          <w:rFonts w:ascii="Times New Roman" w:hAnsi="Times New Roman"/>
          <w:sz w:val="28"/>
          <w:szCs w:val="28"/>
        </w:rPr>
        <w:t>tes maģistra studiju programmā ”</w:t>
      </w:r>
      <w:r w:rsidRPr="00834DFD">
        <w:rPr>
          <w:rFonts w:ascii="Times New Roman" w:hAnsi="Times New Roman"/>
          <w:sz w:val="28"/>
          <w:szCs w:val="28"/>
        </w:rPr>
        <w:t>Klīniskā farmācija” 2015./16.akadēmiskajā gadā mācās 18 studenti, visi studē no valsts budžeta līdzekļiem finansētās studiju vietās. Lai nodrošinātu papildus 30 no valsts budžeta līdzekļiem finansētas st</w:t>
      </w:r>
      <w:r w:rsidR="00A11108">
        <w:rPr>
          <w:rFonts w:ascii="Times New Roman" w:hAnsi="Times New Roman"/>
          <w:sz w:val="28"/>
          <w:szCs w:val="28"/>
        </w:rPr>
        <w:t>udiju vietas studiju programmā ”</w:t>
      </w:r>
      <w:r w:rsidRPr="00834DFD">
        <w:rPr>
          <w:rFonts w:ascii="Times New Roman" w:hAnsi="Times New Roman"/>
          <w:sz w:val="28"/>
          <w:szCs w:val="28"/>
        </w:rPr>
        <w:t xml:space="preserve">Klīniskā farmācija” bakalaura līmenī, gadā ir nepieciešams papildu finansējums 124 910 </w:t>
      </w:r>
      <w:proofErr w:type="spellStart"/>
      <w:r w:rsidRPr="00834DFD">
        <w:rPr>
          <w:rFonts w:ascii="Times New Roman" w:hAnsi="Times New Roman"/>
          <w:i/>
          <w:sz w:val="28"/>
          <w:szCs w:val="28"/>
        </w:rPr>
        <w:t>euro</w:t>
      </w:r>
      <w:proofErr w:type="spellEnd"/>
      <w:r w:rsidRPr="00834DFD">
        <w:rPr>
          <w:rFonts w:ascii="Times New Roman" w:hAnsi="Times New Roman"/>
          <w:sz w:val="28"/>
          <w:szCs w:val="28"/>
        </w:rPr>
        <w:t xml:space="preserve"> apmērā, bet maģistra studiju līmenī – 184 900 </w:t>
      </w:r>
      <w:proofErr w:type="spellStart"/>
      <w:r w:rsidRPr="00834DFD">
        <w:rPr>
          <w:rFonts w:ascii="Times New Roman" w:hAnsi="Times New Roman"/>
          <w:i/>
          <w:sz w:val="28"/>
          <w:szCs w:val="28"/>
        </w:rPr>
        <w:t>euro</w:t>
      </w:r>
      <w:proofErr w:type="spellEnd"/>
      <w:r w:rsidRPr="00834DFD">
        <w:rPr>
          <w:rFonts w:ascii="Times New Roman" w:hAnsi="Times New Roman"/>
          <w:sz w:val="28"/>
          <w:szCs w:val="28"/>
        </w:rPr>
        <w:t xml:space="preserve"> apmērā. </w:t>
      </w:r>
    </w:p>
    <w:p w:rsidR="00E93ED4" w:rsidRPr="00A11108" w:rsidRDefault="00A11108" w:rsidP="00A11108">
      <w:pPr>
        <w:pStyle w:val="ListParagraph"/>
        <w:widowControl/>
        <w:numPr>
          <w:ilvl w:val="0"/>
          <w:numId w:val="22"/>
        </w:numPr>
        <w:tabs>
          <w:tab w:val="left" w:pos="993"/>
        </w:tabs>
        <w:spacing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 xml:space="preserve">Savukārt, Ekonomikas </w:t>
      </w:r>
      <w:r w:rsidR="00E93ED4" w:rsidRPr="00A11108">
        <w:rPr>
          <w:rFonts w:ascii="Times New Roman" w:hAnsi="Times New Roman"/>
          <w:sz w:val="28"/>
          <w:szCs w:val="28"/>
        </w:rPr>
        <w:t xml:space="preserve">ministrijas </w:t>
      </w:r>
      <w:proofErr w:type="spellStart"/>
      <w:r w:rsidR="00E93ED4" w:rsidRPr="00A11108">
        <w:rPr>
          <w:rFonts w:ascii="Times New Roman" w:hAnsi="Times New Roman"/>
          <w:sz w:val="28"/>
          <w:szCs w:val="28"/>
        </w:rPr>
        <w:t>pārziņā</w:t>
      </w:r>
      <w:proofErr w:type="spellEnd"/>
      <w:r w:rsidR="00E93ED4" w:rsidRPr="00A11108">
        <w:rPr>
          <w:rFonts w:ascii="Times New Roman" w:hAnsi="Times New Roman"/>
          <w:sz w:val="28"/>
          <w:szCs w:val="28"/>
        </w:rPr>
        <w:t xml:space="preserve"> ir šādas aktivitātes, kas sekmē Latvijas uzņēmumu cilvēkresursu kapacitāti:</w:t>
      </w:r>
    </w:p>
    <w:p w:rsidR="00E93ED4" w:rsidRPr="00B31673" w:rsidRDefault="00E93ED4" w:rsidP="00B31673">
      <w:pPr>
        <w:pStyle w:val="ListParagraph"/>
        <w:numPr>
          <w:ilvl w:val="0"/>
          <w:numId w:val="23"/>
        </w:numPr>
        <w:tabs>
          <w:tab w:val="left" w:pos="993"/>
        </w:tabs>
        <w:spacing w:after="120" w:line="240" w:lineRule="auto"/>
        <w:ind w:left="0" w:firstLine="709"/>
        <w:jc w:val="both"/>
        <w:rPr>
          <w:rFonts w:ascii="Times New Roman" w:hAnsi="Times New Roman"/>
          <w:sz w:val="28"/>
          <w:szCs w:val="28"/>
        </w:rPr>
      </w:pPr>
      <w:r w:rsidRPr="00B31673">
        <w:rPr>
          <w:rFonts w:ascii="Times New Roman" w:hAnsi="Times New Roman"/>
          <w:sz w:val="28"/>
          <w:szCs w:val="28"/>
        </w:rPr>
        <w:t xml:space="preserve">Darbības programmas </w:t>
      </w:r>
      <w:r w:rsidR="00B31673">
        <w:rPr>
          <w:rFonts w:ascii="Times New Roman" w:hAnsi="Times New Roman"/>
          <w:sz w:val="28"/>
          <w:szCs w:val="28"/>
        </w:rPr>
        <w:t>”</w:t>
      </w:r>
      <w:r w:rsidRPr="00B31673">
        <w:rPr>
          <w:rFonts w:ascii="Times New Roman" w:hAnsi="Times New Roman"/>
          <w:sz w:val="28"/>
          <w:szCs w:val="28"/>
        </w:rPr>
        <w:t>Izaugsme un nodarbinātība</w:t>
      </w:r>
      <w:r w:rsidR="00B31673">
        <w:rPr>
          <w:rFonts w:ascii="Times New Roman" w:hAnsi="Times New Roman"/>
          <w:sz w:val="28"/>
          <w:szCs w:val="28"/>
        </w:rPr>
        <w:t>”</w:t>
      </w:r>
      <w:r w:rsidRPr="00B31673">
        <w:rPr>
          <w:rFonts w:ascii="Times New Roman" w:hAnsi="Times New Roman"/>
          <w:sz w:val="28"/>
          <w:szCs w:val="28"/>
        </w:rPr>
        <w:t xml:space="preserve"> 1.2.2. specifiskā atbal</w:t>
      </w:r>
      <w:r w:rsidR="00B31673">
        <w:rPr>
          <w:rFonts w:ascii="Times New Roman" w:hAnsi="Times New Roman"/>
          <w:sz w:val="28"/>
          <w:szCs w:val="28"/>
        </w:rPr>
        <w:t>sta mērķa ”</w:t>
      </w:r>
      <w:r w:rsidRPr="00B31673">
        <w:rPr>
          <w:rFonts w:ascii="Times New Roman" w:hAnsi="Times New Roman"/>
          <w:sz w:val="28"/>
          <w:szCs w:val="28"/>
        </w:rPr>
        <w:t>Veicināt inovāciju ieviešanu komersantos</w:t>
      </w:r>
      <w:r w:rsidR="00B31673">
        <w:rPr>
          <w:rFonts w:ascii="Times New Roman" w:hAnsi="Times New Roman"/>
          <w:sz w:val="28"/>
          <w:szCs w:val="28"/>
        </w:rPr>
        <w:t>” 1.2.2.1. pasākums ”</w:t>
      </w:r>
      <w:r w:rsidRPr="00B31673">
        <w:rPr>
          <w:rFonts w:ascii="Times New Roman" w:hAnsi="Times New Roman"/>
          <w:sz w:val="28"/>
          <w:szCs w:val="28"/>
        </w:rPr>
        <w:t>Atbalsts nodarbināto apmācībām</w:t>
      </w:r>
      <w:r w:rsidR="00B31673">
        <w:rPr>
          <w:rFonts w:ascii="Times New Roman" w:hAnsi="Times New Roman"/>
          <w:sz w:val="28"/>
          <w:szCs w:val="28"/>
        </w:rPr>
        <w:t>”</w:t>
      </w:r>
      <w:r w:rsidRPr="00B31673">
        <w:rPr>
          <w:rFonts w:ascii="Times New Roman" w:hAnsi="Times New Roman"/>
          <w:sz w:val="28"/>
          <w:szCs w:val="28"/>
        </w:rPr>
        <w:t>”. Pasākuma mērķis ir nodrošināt komersantus ar atbilstošas kvalifikācijas darbaspēku, kas sekmētu darba ražīguma pieaugumu un jaunu vai uzlabotu produktu un tehnoloģiju izstrādi un ieviešanu ražošanā. 2016.gada 24.martā noslēdzās projektu iesniegumu atlase, kuras ietvaros ir apstiprināti 10 projekti. Atbalsts tiek sniegts komersantu nodarbināto apmācībām.</w:t>
      </w:r>
    </w:p>
    <w:p w:rsidR="00E93ED4" w:rsidRPr="00B31673" w:rsidRDefault="00B31673" w:rsidP="00B31673">
      <w:pPr>
        <w:pStyle w:val="ListParagraph"/>
        <w:numPr>
          <w:ilvl w:val="0"/>
          <w:numId w:val="23"/>
        </w:numPr>
        <w:tabs>
          <w:tab w:val="left" w:pos="993"/>
        </w:tabs>
        <w:spacing w:after="120" w:line="240" w:lineRule="auto"/>
        <w:ind w:left="0" w:firstLine="709"/>
        <w:jc w:val="both"/>
        <w:rPr>
          <w:rFonts w:ascii="Times New Roman" w:hAnsi="Times New Roman"/>
          <w:sz w:val="28"/>
          <w:szCs w:val="28"/>
        </w:rPr>
      </w:pPr>
      <w:r>
        <w:rPr>
          <w:rFonts w:ascii="Times New Roman" w:hAnsi="Times New Roman"/>
          <w:sz w:val="28"/>
          <w:szCs w:val="28"/>
        </w:rPr>
        <w:t>Darbības programmas ”</w:t>
      </w:r>
      <w:r w:rsidR="00E93ED4" w:rsidRPr="00B31673">
        <w:rPr>
          <w:rFonts w:ascii="Times New Roman" w:hAnsi="Times New Roman"/>
          <w:sz w:val="28"/>
          <w:szCs w:val="28"/>
        </w:rPr>
        <w:t>Izaugsme un nodarbinātība</w:t>
      </w:r>
      <w:r>
        <w:rPr>
          <w:rFonts w:ascii="Times New Roman" w:hAnsi="Times New Roman"/>
          <w:sz w:val="28"/>
          <w:szCs w:val="28"/>
        </w:rPr>
        <w:t>”</w:t>
      </w:r>
      <w:r w:rsidR="00E93ED4" w:rsidRPr="00B31673">
        <w:rPr>
          <w:rFonts w:ascii="Times New Roman" w:hAnsi="Times New Roman"/>
          <w:sz w:val="28"/>
          <w:szCs w:val="28"/>
        </w:rPr>
        <w:t xml:space="preserve"> 1.</w:t>
      </w:r>
      <w:r>
        <w:rPr>
          <w:rFonts w:ascii="Times New Roman" w:hAnsi="Times New Roman"/>
          <w:sz w:val="28"/>
          <w:szCs w:val="28"/>
        </w:rPr>
        <w:t>2.2. specifiskā atbalsta mērķa ”</w:t>
      </w:r>
      <w:r w:rsidR="00E93ED4" w:rsidRPr="00B31673">
        <w:rPr>
          <w:rFonts w:ascii="Times New Roman" w:hAnsi="Times New Roman"/>
          <w:sz w:val="28"/>
          <w:szCs w:val="28"/>
        </w:rPr>
        <w:t>Veicināt inovāciju ieviešanu komersantos</w:t>
      </w:r>
      <w:r>
        <w:rPr>
          <w:rFonts w:ascii="Times New Roman" w:hAnsi="Times New Roman"/>
          <w:sz w:val="28"/>
          <w:szCs w:val="28"/>
        </w:rPr>
        <w:t>”</w:t>
      </w:r>
      <w:r w:rsidR="00AF6D17">
        <w:rPr>
          <w:rFonts w:ascii="Times New Roman" w:hAnsi="Times New Roman"/>
          <w:sz w:val="28"/>
          <w:szCs w:val="28"/>
        </w:rPr>
        <w:t xml:space="preserve"> 1.2.2.3. pasākums ”</w:t>
      </w:r>
      <w:r w:rsidR="00E93ED4" w:rsidRPr="00B31673">
        <w:rPr>
          <w:rFonts w:ascii="Times New Roman" w:hAnsi="Times New Roman"/>
          <w:sz w:val="28"/>
          <w:szCs w:val="28"/>
        </w:rPr>
        <w:t>Atbalsts IKT un netehnoloģiskām apmācībām, kā arī apmācībām, lai sekmētu investoru piesaisti</w:t>
      </w:r>
      <w:r w:rsidR="00AF6D17">
        <w:rPr>
          <w:rFonts w:ascii="Times New Roman" w:hAnsi="Times New Roman"/>
          <w:sz w:val="28"/>
          <w:szCs w:val="28"/>
        </w:rPr>
        <w:t>”</w:t>
      </w:r>
      <w:r w:rsidR="00E93ED4" w:rsidRPr="00B31673">
        <w:rPr>
          <w:rFonts w:ascii="Times New Roman" w:hAnsi="Times New Roman"/>
          <w:sz w:val="28"/>
          <w:szCs w:val="28"/>
        </w:rPr>
        <w:t>. Pasākuma mērķis ir veicināt pašnodarbināto personu, sīko (</w:t>
      </w:r>
      <w:proofErr w:type="spellStart"/>
      <w:r w:rsidR="00E93ED4" w:rsidRPr="00B31673">
        <w:rPr>
          <w:rFonts w:ascii="Times New Roman" w:hAnsi="Times New Roman"/>
          <w:sz w:val="28"/>
          <w:szCs w:val="28"/>
        </w:rPr>
        <w:t>mikro</w:t>
      </w:r>
      <w:proofErr w:type="spellEnd"/>
      <w:r w:rsidR="00E93ED4" w:rsidRPr="00B31673">
        <w:rPr>
          <w:rFonts w:ascii="Times New Roman" w:hAnsi="Times New Roman"/>
          <w:sz w:val="28"/>
          <w:szCs w:val="28"/>
        </w:rPr>
        <w:t>), mazo, vidējo un lielo komersantu produktivitāti un darba efektivitāti, paaugstinot to darbinieku kvalifikāciju un prasmes informācijas un komunikācijas tehnoloģiju jomā, nodrošināt komersantus ar atbilstošas kvalifikācijas darbaspēku, sekmējot netehnoloģisko inovāciju ieviešanu komersantos, kā arī nodrošināt atbalstu apmācībām, veicinot investoru piesaisti valstij. Projektu iesniegumu atlasi plānots izsludināt 2016.gada augustā.</w:t>
      </w:r>
    </w:p>
    <w:p w:rsidR="00E93ED4" w:rsidRPr="00EE7FF6" w:rsidRDefault="0094289E" w:rsidP="006E4A91">
      <w:pPr>
        <w:spacing w:before="240" w:after="120" w:line="240" w:lineRule="auto"/>
        <w:ind w:firstLine="709"/>
        <w:jc w:val="both"/>
        <w:rPr>
          <w:rFonts w:ascii="Times New Roman" w:hAnsi="Times New Roman"/>
          <w:b/>
          <w:sz w:val="28"/>
          <w:szCs w:val="28"/>
          <w:u w:val="single"/>
        </w:rPr>
      </w:pPr>
      <w:r>
        <w:rPr>
          <w:rFonts w:ascii="Times New Roman" w:hAnsi="Times New Roman"/>
          <w:b/>
          <w:sz w:val="28"/>
          <w:szCs w:val="28"/>
          <w:u w:val="single"/>
        </w:rPr>
        <w:t xml:space="preserve">Valsts atbalsts un </w:t>
      </w:r>
      <w:r w:rsidR="00E93ED4" w:rsidRPr="00EE7FF6">
        <w:rPr>
          <w:rFonts w:ascii="Times New Roman" w:hAnsi="Times New Roman"/>
          <w:b/>
          <w:sz w:val="28"/>
          <w:szCs w:val="28"/>
          <w:u w:val="single"/>
        </w:rPr>
        <w:t>Latvijas zāļu ražotāju konkurētsp</w:t>
      </w:r>
      <w:r w:rsidR="002869F8">
        <w:rPr>
          <w:rFonts w:ascii="Times New Roman" w:hAnsi="Times New Roman"/>
          <w:b/>
          <w:sz w:val="28"/>
          <w:szCs w:val="28"/>
          <w:u w:val="single"/>
        </w:rPr>
        <w:t>ējas stiprināšana vietējā tirgū</w:t>
      </w:r>
    </w:p>
    <w:p w:rsidR="00E9552E" w:rsidRPr="00E9552E" w:rsidRDefault="00E9552E" w:rsidP="00E9552E">
      <w:pPr>
        <w:spacing w:after="120" w:line="240" w:lineRule="auto"/>
        <w:ind w:firstLine="709"/>
        <w:jc w:val="both"/>
        <w:rPr>
          <w:rFonts w:ascii="Times New Roman" w:hAnsi="Times New Roman"/>
          <w:sz w:val="28"/>
          <w:szCs w:val="28"/>
        </w:rPr>
      </w:pPr>
      <w:r w:rsidRPr="00E9552E">
        <w:rPr>
          <w:rFonts w:ascii="Times New Roman" w:hAnsi="Times New Roman"/>
          <w:sz w:val="28"/>
          <w:szCs w:val="28"/>
        </w:rPr>
        <w:t xml:space="preserve">Ja atbalsta sniegšanai ir plānots piesaistīt publiskos resursus (vai arī valsts plāno atteikties no tādiem ieņēmumiem, kas vispārējā kartībā tiktu gūti), tad, izstrādājot atbalsta pasākumus, jāievēro Komercdarbības atbalsta kontroles likuma 10.panta prasību par plānotā atbalsta pasākuma iesniegšanu sākotnējai izvērtēšanai no komercdarbības atbalsta viedokļa. Iepazīstoties ar Vēstulē ietverto informāciju, norādām, ka daļa no plānotajiem atbalsta pasākumiem, piemēram, atvērtā tipa mācību un pētniecības infrastruktūras izveide gatavo zāļu formu izstrādei un izpētei, valsts budžeta finansējuma programmas izveide eksporta atbalstam lielajiem uzņēmumiem, ALTUM eksporta garantiju apjoma </w:t>
      </w:r>
      <w:r w:rsidRPr="00E9552E">
        <w:rPr>
          <w:rFonts w:ascii="Times New Roman" w:hAnsi="Times New Roman"/>
          <w:sz w:val="28"/>
          <w:szCs w:val="28"/>
        </w:rPr>
        <w:lastRenderedPageBreak/>
        <w:t xml:space="preserve">divkārša palielināšana, valsts un pašvaldību atbalsts infrastruktūras atjaunošanā un modernizācijā, potenciāli varētu kvalificēties kā valsts atbalsts komercdarbībai. Arī citi plānotie pasākumi, ja tie paredzēti kā atkāpe no vispārējās sistēmas, piemēram, likuma “Par uzņēmumu ienākuma nodokli” uz koeficientu attiecināmo izmaksu bāzes paplašināšana, </w:t>
      </w:r>
      <w:proofErr w:type="spellStart"/>
      <w:r w:rsidRPr="00E9552E">
        <w:rPr>
          <w:rFonts w:ascii="Times New Roman" w:hAnsi="Times New Roman"/>
          <w:sz w:val="28"/>
          <w:szCs w:val="28"/>
        </w:rPr>
        <w:t>reinvestētās</w:t>
      </w:r>
      <w:proofErr w:type="spellEnd"/>
      <w:r w:rsidRPr="00E9552E">
        <w:rPr>
          <w:rFonts w:ascii="Times New Roman" w:hAnsi="Times New Roman"/>
          <w:sz w:val="28"/>
          <w:szCs w:val="28"/>
        </w:rPr>
        <w:t xml:space="preserve"> peļņas neaplikšana ar nodokļiem, potenciāli varētu būt kvalificējami kā komercdarbības atbalsts. Līdz ar to, izstrādājot minētos atbalsta pasākumus, tos ir nepieciešams vērtēt atbilstoši Komercdarbības atbalsta kontroles likuma 5.pantā ietvertajām valsts atbalsta pazīmēm, kā arī apzināt, ar kādu valsts atbalsta regulējumu minētie atbalsta pasākumi varētu tikt ieviesti, lai nodrošinātu sniegtā atbalsta saderīgumu ar Eiropas Savienības iekšējo tirgu.</w:t>
      </w:r>
    </w:p>
    <w:p w:rsidR="002869F8" w:rsidRDefault="002869F8" w:rsidP="002869F8">
      <w:pPr>
        <w:spacing w:before="240" w:after="120" w:line="240" w:lineRule="auto"/>
        <w:ind w:firstLine="709"/>
        <w:jc w:val="both"/>
        <w:rPr>
          <w:rFonts w:ascii="Times New Roman" w:hAnsi="Times New Roman"/>
          <w:b/>
          <w:sz w:val="28"/>
          <w:szCs w:val="28"/>
          <w:u w:val="single"/>
        </w:rPr>
      </w:pPr>
      <w:r>
        <w:rPr>
          <w:rFonts w:ascii="Times New Roman" w:hAnsi="Times New Roman"/>
          <w:b/>
          <w:sz w:val="28"/>
          <w:szCs w:val="28"/>
          <w:u w:val="single"/>
        </w:rPr>
        <w:t>Uzņēmējdarbības vides uzlabošana</w:t>
      </w:r>
      <w:r w:rsidR="0051222B">
        <w:rPr>
          <w:rFonts w:ascii="Times New Roman" w:hAnsi="Times New Roman"/>
          <w:b/>
          <w:sz w:val="28"/>
          <w:szCs w:val="28"/>
          <w:u w:val="single"/>
        </w:rPr>
        <w:t xml:space="preserve"> un</w:t>
      </w:r>
      <w:r>
        <w:rPr>
          <w:rFonts w:ascii="Times New Roman" w:hAnsi="Times New Roman"/>
          <w:b/>
          <w:sz w:val="28"/>
          <w:szCs w:val="28"/>
          <w:u w:val="single"/>
        </w:rPr>
        <w:t xml:space="preserve"> administratīvā sloga mazināšana</w:t>
      </w:r>
    </w:p>
    <w:p w:rsidR="00F6255C" w:rsidRPr="00F6255C" w:rsidRDefault="00F6255C" w:rsidP="00F6255C">
      <w:pPr>
        <w:spacing w:after="0" w:line="240" w:lineRule="auto"/>
        <w:ind w:firstLine="709"/>
        <w:jc w:val="both"/>
        <w:rPr>
          <w:rFonts w:ascii="Times New Roman" w:hAnsi="Times New Roman"/>
          <w:sz w:val="28"/>
          <w:szCs w:val="28"/>
          <w:lang w:eastAsia="lv-LV"/>
        </w:rPr>
      </w:pPr>
      <w:r w:rsidRPr="00F6255C">
        <w:rPr>
          <w:rFonts w:ascii="Times New Roman" w:hAnsi="Times New Roman"/>
          <w:sz w:val="28"/>
          <w:szCs w:val="28"/>
        </w:rPr>
        <w:t xml:space="preserve">Uzņēmumu ienākuma nodokļa </w:t>
      </w:r>
      <w:r w:rsidRPr="00F6255C">
        <w:rPr>
          <w:rFonts w:ascii="Times New Roman" w:hAnsi="Times New Roman"/>
          <w:iCs/>
          <w:sz w:val="28"/>
          <w:szCs w:val="28"/>
        </w:rPr>
        <w:t xml:space="preserve">(turpmāk – UIN) </w:t>
      </w:r>
      <w:r w:rsidRPr="00F6255C">
        <w:rPr>
          <w:rFonts w:ascii="Times New Roman" w:hAnsi="Times New Roman"/>
          <w:sz w:val="28"/>
          <w:szCs w:val="28"/>
        </w:rPr>
        <w:t xml:space="preserve">sistēma Latvijā jau šobrīd paredz, ka izdevumi, kuri ir saistīti ar saimniecisko darbību, nodokļa aprēķināšanas mērķiem tiek atzīti saimnieciskās darbības izdevumos taksācijas periodā, kurā gūst ar minētajiem izdevumiem saistītu peļņu (attiecībā uz pamatlīdzekļiem izdevumus atzīsts pakāpeniski). Pēc būtības arī šobrīd Latvijā efektīvi ieguldīta peļņa aktīvos tiek atzīta izdevumos uzņēmumu ienākuma nodokļa mērķiem (jautājums varētu būt tikai vai uzreiz vai pakāpeniski, kā tas ir pamatlīdzekļiem). Šobrīd Latvijā piemērotie izdevumu atzīšanas principi nodrošina ne tikai vienmērīgāku naudas plūsmu valsts budžetā, bet arī uzņēmumiem ienākumu un izdevumu atzīšanas periodu sabalansētību, līdzīgi kā to atzīst gandrīz visas Eiropas Savienības dalībvalstis. </w:t>
      </w:r>
    </w:p>
    <w:p w:rsidR="00F6255C" w:rsidRPr="00F6255C" w:rsidRDefault="00F6255C" w:rsidP="00F6255C">
      <w:pPr>
        <w:spacing w:after="0" w:line="240" w:lineRule="auto"/>
        <w:ind w:firstLine="709"/>
        <w:jc w:val="both"/>
        <w:rPr>
          <w:rFonts w:ascii="Times New Roman" w:hAnsi="Times New Roman"/>
          <w:sz w:val="28"/>
          <w:szCs w:val="28"/>
        </w:rPr>
      </w:pPr>
      <w:r w:rsidRPr="00F6255C">
        <w:rPr>
          <w:rFonts w:ascii="Times New Roman" w:hAnsi="Times New Roman"/>
          <w:sz w:val="28"/>
          <w:szCs w:val="28"/>
        </w:rPr>
        <w:t xml:space="preserve">Vērtējot kaimiņvalstu nodokļu sistēmu konkrētus elementus un piedāvājot tos pārņemt nacionālajā likumdošanā, svarīgi ir atcerēties, ka nodokļu sistēma ir vairāku elementu kopums un tikai atsevišķu tās elementu salīdzināšanas nerada patiesu priekšstatu par nodokļa sistēmas konkurētspēju. Lai gan varam piekrist, ka Igaunijas nodokļu sistēmā ir vairāki no uzņēmēju viedokļa pozitīvi vērtējami elementi, tomēr, vērtējot visu elementu kopumu (nodokļa bāzi, nodokļa likmi un atvieglojumus), jāsecina, ka arī Latvijas uzņēmumu ienākuma nodokļa sistēmā ir vairāki ļoti pievilcīgi elementi uzņēmējiem, kādi nav Igaunijā, piemēram, nodokļa likme Latvijā 15%, bet Igaunijā sadalītajai peļņai likme ir aptuveni 25% (20/80); Latvijā ir aptuveni 20 nodokļa atvieglojumi, bet Igaunijā tādu nav vispār; Latvijā UIN mērķiem izmanto paātrināto nolietojuma norakstīšanas metodi, Igaunijā vispār neizmanto pamatlīdzekļu nolietojumu nodokļu aprēķinā. Tādēļ arī svarīgi noskaidrot, vai visi uzņēmēji patiešām no tā ir gatavi atteikties. </w:t>
      </w:r>
    </w:p>
    <w:p w:rsidR="00F6255C" w:rsidRPr="00F6255C" w:rsidRDefault="00F6255C" w:rsidP="00F6255C">
      <w:pPr>
        <w:spacing w:after="0" w:line="240" w:lineRule="auto"/>
        <w:ind w:firstLine="709"/>
        <w:jc w:val="both"/>
        <w:rPr>
          <w:rFonts w:ascii="Times New Roman" w:hAnsi="Times New Roman"/>
          <w:sz w:val="28"/>
          <w:szCs w:val="28"/>
        </w:rPr>
      </w:pPr>
      <w:r w:rsidRPr="00F6255C">
        <w:rPr>
          <w:rFonts w:ascii="Times New Roman" w:hAnsi="Times New Roman"/>
          <w:sz w:val="28"/>
          <w:szCs w:val="28"/>
        </w:rPr>
        <w:t xml:space="preserve">Jāatceras, ka Latvijā uzņēmējiem ir pieejami būtiski nodokļu atvieglojumi, piemēram, jaunu ražošanas tehnoloģisko iekārtu izmaksu atzīšana (norakstot nolietojumu par lielāku vērtību nekā reāli veiktas investīcijas), piemērojot koeficientu 1,5; nodokļa atlaide lielajiem investīciju projektiem; ar š.g. 1.jūliju jaunais atvieglojums izpētes un attīstības izmaksām, piemērojot koeficientu 3; </w:t>
      </w:r>
      <w:r w:rsidRPr="00F6255C">
        <w:rPr>
          <w:rFonts w:ascii="Times New Roman" w:hAnsi="Times New Roman"/>
          <w:sz w:val="28"/>
          <w:szCs w:val="28"/>
        </w:rPr>
        <w:lastRenderedPageBreak/>
        <w:t>nodokļa atlaide ziedojumiem; no iekļaušanas apliekamajā ienākumā atbrīvotas ienāk</w:t>
      </w:r>
      <w:r w:rsidR="00381CD4">
        <w:rPr>
          <w:rFonts w:ascii="Times New Roman" w:hAnsi="Times New Roman"/>
          <w:sz w:val="28"/>
          <w:szCs w:val="28"/>
        </w:rPr>
        <w:t>ošās dividendes u.t.t..</w:t>
      </w:r>
    </w:p>
    <w:p w:rsidR="00F6255C" w:rsidRPr="00F6255C" w:rsidRDefault="00F6255C" w:rsidP="00F6255C">
      <w:pPr>
        <w:spacing w:after="0" w:line="240" w:lineRule="auto"/>
        <w:ind w:firstLine="709"/>
        <w:jc w:val="both"/>
        <w:rPr>
          <w:rFonts w:ascii="Times New Roman" w:hAnsi="Times New Roman"/>
          <w:sz w:val="28"/>
          <w:szCs w:val="28"/>
        </w:rPr>
      </w:pPr>
      <w:r w:rsidRPr="00F6255C">
        <w:rPr>
          <w:rFonts w:ascii="Times New Roman" w:hAnsi="Times New Roman"/>
          <w:sz w:val="28"/>
          <w:szCs w:val="28"/>
        </w:rPr>
        <w:t xml:space="preserve">Latvijā jau vēsturiski UIN jomā ir izvirzīta prioritāte – nodokļu atvieglojumus piešķirt mērķtiecīgi, t.i., ar atvieglojuma mehānismu stimulējot uzņēmēju rīkoties valsts interesēs. Piemēram, paredzot pamatlīdzekļu paātrināto nolietojumu, tika stimulēti uzņēmēji veikt investīcijas tieši pamatlīdzekļos, kas ilgtermiņā rada pievienoto vērtību, nevis kādos luksus priekšmetos, vai sociālajā infrastruktūrā. Paredzot jaunu ražošanas tehnoloģisko iekārtu izmaksu atzīšanā piemērot koeficientu 1.5, tika veicināti uzņēmēji iegādāties vai izveidot tieši jaunas modernas tehnoloģiskās iekārtas, kas nākotnē ilgtermiņā radītu darba vietas un ir potenciāls eksporta pieaugumam. Savukārt Igaunijas modelis ir uzņēmējam labvēlīgs, bet no valsts puses tas negarantē nodokli kā efektīvu instrumentu, lai mainītu nodokļa maksātāja rīcību, stimulējot noteikta veida investīcijas, jo arī gadījumā, ja uzņēmējs neveic materiālas investīcijas aktīvos, bet tur nopelnītos naudas līdzekļus bankā vai uzņēmuma kasē, arī tad Igaunijas gadījumā uzņēmējam nav jāmaksā nodoklis. </w:t>
      </w:r>
    </w:p>
    <w:p w:rsidR="00F6255C" w:rsidRPr="00F6255C" w:rsidRDefault="00F6255C" w:rsidP="00F6255C">
      <w:pPr>
        <w:spacing w:after="0" w:line="240" w:lineRule="auto"/>
        <w:ind w:firstLine="709"/>
        <w:jc w:val="both"/>
        <w:rPr>
          <w:rFonts w:ascii="Times New Roman" w:hAnsi="Times New Roman"/>
          <w:sz w:val="28"/>
          <w:szCs w:val="28"/>
        </w:rPr>
      </w:pPr>
      <w:r w:rsidRPr="00F6255C">
        <w:rPr>
          <w:rFonts w:ascii="Times New Roman" w:hAnsi="Times New Roman"/>
          <w:sz w:val="28"/>
          <w:szCs w:val="28"/>
        </w:rPr>
        <w:t xml:space="preserve">Tādējādi uzskatām, ka katrā valstī atkarībā no tās prioritātēm tiek veikta nodokļu elementu izvēle, lai nodoklis papildus primārajai funkcijai veiksmīgi spētu veikt arī tā sekundāro funkciju – darbotos kā ekonomikas svira, konkrētā situācijā ekonomikai vēlamā virzienā. Ņemot vērā minēto, neatbalstām nodokļa atlikšanas iniciatīvas, jo uzskatām, ka Latvijas UIN režīms šobrīd, salīdzinot ar kaimiņvalstīm, ir konkurētspējīgs tieši valstij vēlamā uzņēmējdarbības jomā – eksportspējīgas  modernas ražošanas veicināšanai. </w:t>
      </w:r>
    </w:p>
    <w:p w:rsidR="00F6255C" w:rsidRPr="00F6255C" w:rsidRDefault="00381CD4" w:rsidP="00381CD4">
      <w:pPr>
        <w:spacing w:after="0" w:line="240" w:lineRule="auto"/>
        <w:ind w:firstLine="709"/>
        <w:jc w:val="both"/>
        <w:rPr>
          <w:rFonts w:ascii="Times New Roman" w:hAnsi="Times New Roman"/>
          <w:sz w:val="28"/>
          <w:szCs w:val="28"/>
        </w:rPr>
      </w:pPr>
      <w:r>
        <w:rPr>
          <w:rFonts w:ascii="Times New Roman" w:hAnsi="Times New Roman"/>
          <w:sz w:val="28"/>
          <w:szCs w:val="28"/>
        </w:rPr>
        <w:t>Jautājumā</w:t>
      </w:r>
      <w:r w:rsidR="00F6255C" w:rsidRPr="00F6255C">
        <w:rPr>
          <w:rFonts w:ascii="Times New Roman" w:hAnsi="Times New Roman"/>
          <w:sz w:val="28"/>
          <w:szCs w:val="28"/>
        </w:rPr>
        <w:t xml:space="preserve"> par Igaunijas UIN modeļa pārņemšanu, tā piedāvātājiem būtu uzņēmējus jāinformē, ka minētais modelis neparedz nekādus nodokļu atvieglojumus un neparedz arī paātrinātu pamatlīdzekļu nolietojuma aprēķinu, kā arī to, ka nodokļa likme pie peļņas sadales varētu būt būtiski augstāka. </w:t>
      </w:r>
    </w:p>
    <w:p w:rsidR="00F6255C" w:rsidRPr="00F6255C" w:rsidRDefault="00F6255C" w:rsidP="00381CD4">
      <w:pPr>
        <w:spacing w:after="0" w:line="240" w:lineRule="auto"/>
        <w:ind w:firstLine="709"/>
        <w:jc w:val="both"/>
        <w:rPr>
          <w:rFonts w:ascii="Times New Roman" w:hAnsi="Times New Roman"/>
          <w:sz w:val="28"/>
          <w:szCs w:val="28"/>
        </w:rPr>
      </w:pPr>
      <w:r w:rsidRPr="000013C9">
        <w:rPr>
          <w:rFonts w:ascii="Times New Roman" w:hAnsi="Times New Roman"/>
          <w:iCs/>
          <w:sz w:val="28"/>
          <w:szCs w:val="28"/>
        </w:rPr>
        <w:t>Attiecībā uz priekšlikumu atjaunot UIN zaudējumu pārnešanu grupā</w:t>
      </w:r>
      <w:r w:rsidR="000013C9">
        <w:rPr>
          <w:rFonts w:ascii="Times New Roman" w:hAnsi="Times New Roman"/>
          <w:iCs/>
          <w:sz w:val="28"/>
          <w:szCs w:val="28"/>
        </w:rPr>
        <w:t>, sniedzam informāciju, ka, l</w:t>
      </w:r>
      <w:r w:rsidRPr="00F6255C">
        <w:rPr>
          <w:rFonts w:ascii="Times New Roman" w:hAnsi="Times New Roman"/>
          <w:sz w:val="28"/>
          <w:szCs w:val="28"/>
        </w:rPr>
        <w:t>ai ieviestu uzņēmumu ienākuma nodokļa atvieglojumu pētniecībai un attīstībai, vienlaikus, neradot ietekmi uz valsts budžetu, 2013.gadā tika veikti grozījumi likumā “Par uzņēmumu ienākuma nodokli”, atceļot vairākus nodokļu stimulus, t.sk., zaudējumu pārnešanu uzņēmumu grupā. Savukārt, ja tiek izvērtēta iespēja atjaunot zaudējumu pārnešanu uzņēmumu grupā, vienlaicīgi ir jāpārskata esošā nodokļa sistēma un jāatsakās no kāda cita mazāk efektīva nodokļa stimula, lai kompensētu valsts budžeta ieņēmumu samazinājumu.</w:t>
      </w:r>
    </w:p>
    <w:p w:rsidR="00CB4AD4" w:rsidRDefault="00CB4AD4" w:rsidP="00CB4AD4">
      <w:pPr>
        <w:spacing w:before="240" w:after="120" w:line="240" w:lineRule="auto"/>
        <w:ind w:firstLine="709"/>
        <w:jc w:val="both"/>
        <w:rPr>
          <w:rFonts w:ascii="Times New Roman" w:hAnsi="Times New Roman"/>
          <w:b/>
          <w:sz w:val="28"/>
          <w:szCs w:val="28"/>
          <w:u w:val="single"/>
        </w:rPr>
      </w:pPr>
      <w:r>
        <w:rPr>
          <w:rFonts w:ascii="Times New Roman" w:hAnsi="Times New Roman"/>
          <w:b/>
          <w:sz w:val="28"/>
          <w:szCs w:val="28"/>
          <w:u w:val="single"/>
        </w:rPr>
        <w:t>Valsts kā sadarbības partneris</w:t>
      </w:r>
    </w:p>
    <w:p w:rsidR="004A6967" w:rsidRPr="00834DFD" w:rsidRDefault="004A6967" w:rsidP="005033AB">
      <w:pPr>
        <w:spacing w:after="0" w:line="240" w:lineRule="auto"/>
        <w:ind w:firstLine="720"/>
        <w:jc w:val="both"/>
        <w:rPr>
          <w:rFonts w:ascii="Times New Roman" w:hAnsi="Times New Roman"/>
          <w:color w:val="000000"/>
          <w:sz w:val="28"/>
          <w:szCs w:val="28"/>
          <w:lang w:eastAsia="lv-LV"/>
        </w:rPr>
      </w:pPr>
      <w:r>
        <w:rPr>
          <w:rFonts w:ascii="Times New Roman" w:hAnsi="Times New Roman"/>
          <w:color w:val="000000"/>
          <w:sz w:val="28"/>
          <w:szCs w:val="28"/>
          <w:lang w:eastAsia="lv-LV"/>
        </w:rPr>
        <w:t>Zāļu valsts a</w:t>
      </w:r>
      <w:r w:rsidRPr="00834DFD">
        <w:rPr>
          <w:rFonts w:ascii="Times New Roman" w:hAnsi="Times New Roman"/>
          <w:color w:val="000000"/>
          <w:sz w:val="28"/>
          <w:szCs w:val="28"/>
          <w:lang w:eastAsia="lv-LV"/>
        </w:rPr>
        <w:t>ģentūra</w:t>
      </w:r>
      <w:r>
        <w:rPr>
          <w:rFonts w:ascii="Times New Roman" w:hAnsi="Times New Roman"/>
          <w:color w:val="000000"/>
          <w:sz w:val="28"/>
          <w:szCs w:val="28"/>
          <w:lang w:eastAsia="lv-LV"/>
        </w:rPr>
        <w:t xml:space="preserve"> (turpmāk – Aģentūra)</w:t>
      </w:r>
      <w:r w:rsidRPr="00834DFD">
        <w:rPr>
          <w:rFonts w:ascii="Times New Roman" w:hAnsi="Times New Roman"/>
          <w:color w:val="000000"/>
          <w:sz w:val="28"/>
          <w:szCs w:val="28"/>
          <w:lang w:eastAsia="lv-LV"/>
        </w:rPr>
        <w:t xml:space="preserve"> veic funkcijas, kas skar vairākas mērķauditorijas</w:t>
      </w:r>
      <w:r w:rsidR="006A00BF">
        <w:rPr>
          <w:rFonts w:ascii="Times New Roman" w:hAnsi="Times New Roman"/>
          <w:color w:val="000000"/>
          <w:sz w:val="28"/>
          <w:szCs w:val="28"/>
          <w:lang w:eastAsia="lv-LV"/>
        </w:rPr>
        <w:t>, t.sk.,</w:t>
      </w:r>
      <w:r w:rsidRPr="00834DFD">
        <w:rPr>
          <w:rFonts w:ascii="Times New Roman" w:hAnsi="Times New Roman"/>
          <w:color w:val="000000"/>
          <w:sz w:val="28"/>
          <w:szCs w:val="28"/>
          <w:lang w:eastAsia="lv-LV"/>
        </w:rPr>
        <w:t xml:space="preserve"> zāļu un aktīvo vielu ražotājus, zāļu izplatītājus, medicīnisko ierīču ražotājus un izplatītājus un uzņēmumus, kas nodarbojas ar asins</w:t>
      </w:r>
      <w:r w:rsidR="0046588A">
        <w:rPr>
          <w:rFonts w:ascii="Times New Roman" w:hAnsi="Times New Roman"/>
          <w:color w:val="000000"/>
          <w:sz w:val="28"/>
          <w:szCs w:val="28"/>
          <w:lang w:eastAsia="lv-LV"/>
        </w:rPr>
        <w:t>,</w:t>
      </w:r>
      <w:r w:rsidRPr="00834DFD">
        <w:rPr>
          <w:rFonts w:ascii="Times New Roman" w:hAnsi="Times New Roman"/>
          <w:color w:val="000000"/>
          <w:sz w:val="28"/>
          <w:szCs w:val="28"/>
          <w:lang w:eastAsia="lv-LV"/>
        </w:rPr>
        <w:t xml:space="preserve"> audu, šūnu un orgānu ieguvi un </w:t>
      </w:r>
      <w:r w:rsidR="0046588A">
        <w:rPr>
          <w:rFonts w:ascii="Times New Roman" w:hAnsi="Times New Roman"/>
          <w:color w:val="000000"/>
          <w:sz w:val="28"/>
          <w:szCs w:val="28"/>
          <w:lang w:eastAsia="lv-LV"/>
        </w:rPr>
        <w:t>izplatīšanu</w:t>
      </w:r>
      <w:r w:rsidRPr="00834DFD">
        <w:rPr>
          <w:rFonts w:ascii="Times New Roman" w:hAnsi="Times New Roman"/>
          <w:color w:val="000000"/>
          <w:sz w:val="28"/>
          <w:szCs w:val="28"/>
          <w:lang w:eastAsia="lv-LV"/>
        </w:rPr>
        <w:t xml:space="preserve">. Aģentūrai ir jānodrošina pakalpojumu kvalitāti līdzvērtīgu labākajām nozares kompetentajām institūcijām </w:t>
      </w:r>
      <w:r w:rsidRPr="00834DFD">
        <w:rPr>
          <w:rFonts w:ascii="Times New Roman" w:hAnsi="Times New Roman"/>
          <w:color w:val="000000"/>
          <w:sz w:val="28"/>
          <w:szCs w:val="28"/>
          <w:lang w:eastAsia="lv-LV"/>
        </w:rPr>
        <w:lastRenderedPageBreak/>
        <w:t>Eiropas Savienībā, lai sabiedrība iegūtu lielāku pārliecību par minēto produktu drošumu, bet komersanti iespēju iziet starptautiskajā tirgū. Šā mērķa īstenošanai Aģentūras darbinieki un deleģētie eksperti piedalās Eiropas Savienības Padomes, Eiropas Komisijas, Eiropas Zāļu aģentūras un citu Eiropas Savienības institūciju veidotajās darba grupās, kuras risina jautājumus saistībā ar zāļu reģistrēšanu, izplatīšanu, uzraudzību, kā arī ar medicīnisko ierīču klīnisko izpēti, lietošanas drošuma uzraudzību un atbilstības novērtēšanu.</w:t>
      </w:r>
    </w:p>
    <w:p w:rsidR="005033AB" w:rsidRPr="00834DFD" w:rsidRDefault="005033AB" w:rsidP="005033AB">
      <w:pPr>
        <w:spacing w:after="0" w:line="240" w:lineRule="auto"/>
        <w:ind w:firstLine="720"/>
        <w:jc w:val="both"/>
        <w:rPr>
          <w:rFonts w:ascii="Times New Roman" w:hAnsi="Times New Roman"/>
          <w:color w:val="000000"/>
          <w:sz w:val="28"/>
          <w:szCs w:val="28"/>
          <w:lang w:eastAsia="lv-LV"/>
        </w:rPr>
      </w:pPr>
      <w:r w:rsidRPr="00834DFD">
        <w:rPr>
          <w:rFonts w:ascii="Times New Roman" w:hAnsi="Times New Roman"/>
          <w:color w:val="000000"/>
          <w:sz w:val="28"/>
          <w:szCs w:val="28"/>
          <w:lang w:eastAsia="lv-LV"/>
        </w:rPr>
        <w:t xml:space="preserve">Aģentūra </w:t>
      </w:r>
      <w:r w:rsidR="0046588A">
        <w:rPr>
          <w:rFonts w:ascii="Times New Roman" w:hAnsi="Times New Roman"/>
          <w:color w:val="000000"/>
          <w:sz w:val="28"/>
          <w:szCs w:val="28"/>
          <w:lang w:eastAsia="lv-LV"/>
        </w:rPr>
        <w:t>darbojas</w:t>
      </w:r>
      <w:r w:rsidRPr="00834DFD">
        <w:rPr>
          <w:rFonts w:ascii="Times New Roman" w:hAnsi="Times New Roman"/>
          <w:color w:val="000000"/>
          <w:sz w:val="28"/>
          <w:szCs w:val="28"/>
          <w:lang w:eastAsia="lv-LV"/>
        </w:rPr>
        <w:t xml:space="preserve"> arī Eiropas zāļu aģentūru tīkla (</w:t>
      </w:r>
      <w:proofErr w:type="spellStart"/>
      <w:r w:rsidRPr="00834DFD">
        <w:rPr>
          <w:rFonts w:ascii="Times New Roman" w:hAnsi="Times New Roman"/>
          <w:i/>
          <w:color w:val="000000"/>
          <w:sz w:val="28"/>
          <w:szCs w:val="28"/>
          <w:lang w:eastAsia="lv-LV"/>
        </w:rPr>
        <w:t>The</w:t>
      </w:r>
      <w:proofErr w:type="spellEnd"/>
      <w:r w:rsidRPr="00834DFD">
        <w:rPr>
          <w:rFonts w:ascii="Times New Roman" w:hAnsi="Times New Roman"/>
          <w:i/>
          <w:color w:val="000000"/>
          <w:sz w:val="28"/>
          <w:szCs w:val="28"/>
          <w:lang w:eastAsia="lv-LV"/>
        </w:rPr>
        <w:t xml:space="preserve"> </w:t>
      </w:r>
      <w:proofErr w:type="spellStart"/>
      <w:r w:rsidRPr="00834DFD">
        <w:rPr>
          <w:rFonts w:ascii="Times New Roman" w:hAnsi="Times New Roman"/>
          <w:i/>
          <w:color w:val="000000"/>
          <w:sz w:val="28"/>
          <w:szCs w:val="28"/>
          <w:lang w:eastAsia="lv-LV"/>
        </w:rPr>
        <w:t>European</w:t>
      </w:r>
      <w:proofErr w:type="spellEnd"/>
      <w:r w:rsidRPr="00834DFD">
        <w:rPr>
          <w:rFonts w:ascii="Times New Roman" w:hAnsi="Times New Roman"/>
          <w:i/>
          <w:color w:val="000000"/>
          <w:sz w:val="28"/>
          <w:szCs w:val="28"/>
          <w:lang w:eastAsia="lv-LV"/>
        </w:rPr>
        <w:t xml:space="preserve"> </w:t>
      </w:r>
      <w:proofErr w:type="spellStart"/>
      <w:r w:rsidRPr="00834DFD">
        <w:rPr>
          <w:rFonts w:ascii="Times New Roman" w:hAnsi="Times New Roman"/>
          <w:i/>
          <w:color w:val="000000"/>
          <w:sz w:val="28"/>
          <w:szCs w:val="28"/>
          <w:lang w:eastAsia="lv-LV"/>
        </w:rPr>
        <w:t>Medicines</w:t>
      </w:r>
      <w:proofErr w:type="spellEnd"/>
      <w:r w:rsidRPr="00834DFD">
        <w:rPr>
          <w:rFonts w:ascii="Times New Roman" w:hAnsi="Times New Roman"/>
          <w:i/>
          <w:color w:val="000000"/>
          <w:sz w:val="28"/>
          <w:szCs w:val="28"/>
          <w:lang w:eastAsia="lv-LV"/>
        </w:rPr>
        <w:t xml:space="preserve"> </w:t>
      </w:r>
      <w:proofErr w:type="spellStart"/>
      <w:r w:rsidRPr="00834DFD">
        <w:rPr>
          <w:rFonts w:ascii="Times New Roman" w:hAnsi="Times New Roman"/>
          <w:i/>
          <w:color w:val="000000"/>
          <w:sz w:val="28"/>
          <w:szCs w:val="28"/>
          <w:lang w:eastAsia="lv-LV"/>
        </w:rPr>
        <w:t>Regulatory</w:t>
      </w:r>
      <w:proofErr w:type="spellEnd"/>
      <w:r w:rsidRPr="00834DFD">
        <w:rPr>
          <w:rFonts w:ascii="Times New Roman" w:hAnsi="Times New Roman"/>
          <w:i/>
          <w:color w:val="000000"/>
          <w:sz w:val="28"/>
          <w:szCs w:val="28"/>
          <w:lang w:eastAsia="lv-LV"/>
        </w:rPr>
        <w:t xml:space="preserve"> </w:t>
      </w:r>
      <w:proofErr w:type="spellStart"/>
      <w:r w:rsidRPr="00834DFD">
        <w:rPr>
          <w:rFonts w:ascii="Times New Roman" w:hAnsi="Times New Roman"/>
          <w:i/>
          <w:color w:val="000000"/>
          <w:sz w:val="28"/>
          <w:szCs w:val="28"/>
          <w:lang w:eastAsia="lv-LV"/>
        </w:rPr>
        <w:t>Network</w:t>
      </w:r>
      <w:proofErr w:type="spellEnd"/>
      <w:r w:rsidRPr="00834DFD">
        <w:rPr>
          <w:rFonts w:ascii="Times New Roman" w:hAnsi="Times New Roman"/>
          <w:color w:val="000000"/>
          <w:sz w:val="28"/>
          <w:szCs w:val="28"/>
          <w:lang w:eastAsia="lv-LV"/>
        </w:rPr>
        <w:t>)</w:t>
      </w:r>
      <w:r w:rsidR="0046588A">
        <w:rPr>
          <w:rFonts w:ascii="Times New Roman" w:hAnsi="Times New Roman"/>
          <w:color w:val="000000"/>
          <w:sz w:val="28"/>
          <w:szCs w:val="28"/>
          <w:lang w:eastAsia="lv-LV"/>
        </w:rPr>
        <w:t xml:space="preserve"> ietvaros</w:t>
      </w:r>
      <w:r w:rsidRPr="00834DFD">
        <w:rPr>
          <w:rFonts w:ascii="Times New Roman" w:hAnsi="Times New Roman"/>
          <w:color w:val="000000"/>
          <w:sz w:val="28"/>
          <w:szCs w:val="28"/>
          <w:lang w:eastAsia="lv-LV"/>
        </w:rPr>
        <w:t>, kurā ir 34 nacionālās aģentūras, Eiropas Komisija un Eiropas Zāļu aģentūra (EMA). Sadarbības būtība ir vienotu standartu un procedūru</w:t>
      </w:r>
      <w:r w:rsidR="0046588A">
        <w:rPr>
          <w:rFonts w:ascii="Times New Roman" w:hAnsi="Times New Roman"/>
          <w:color w:val="000000"/>
          <w:sz w:val="28"/>
          <w:szCs w:val="28"/>
          <w:lang w:eastAsia="lv-LV"/>
        </w:rPr>
        <w:t xml:space="preserve"> nodrošināšana farmācijas nozarē</w:t>
      </w:r>
      <w:r w:rsidRPr="00834DFD">
        <w:rPr>
          <w:rFonts w:ascii="Times New Roman" w:hAnsi="Times New Roman"/>
          <w:color w:val="000000"/>
          <w:sz w:val="28"/>
          <w:szCs w:val="28"/>
          <w:lang w:eastAsia="lv-LV"/>
        </w:rPr>
        <w:t xml:space="preserve">. Zāļu reģistrācijas un uzraudzības jomā pastāv kopīgas procedūras, piemēram, zāļu reģistrācija savstarpējās atzīšanas procedūrā (turpmāk </w:t>
      </w:r>
      <w:r>
        <w:rPr>
          <w:rFonts w:ascii="Times New Roman" w:hAnsi="Times New Roman"/>
          <w:color w:val="000000"/>
          <w:sz w:val="28"/>
          <w:szCs w:val="28"/>
          <w:lang w:eastAsia="lv-LV"/>
        </w:rPr>
        <w:t>–</w:t>
      </w:r>
      <w:r w:rsidRPr="00834DFD">
        <w:rPr>
          <w:rFonts w:ascii="Times New Roman" w:hAnsi="Times New Roman"/>
          <w:color w:val="000000"/>
          <w:sz w:val="28"/>
          <w:szCs w:val="28"/>
          <w:lang w:eastAsia="lv-LV"/>
        </w:rPr>
        <w:t xml:space="preserve"> MRP) </w:t>
      </w:r>
      <w:r w:rsidR="0046588A">
        <w:rPr>
          <w:rFonts w:ascii="Times New Roman" w:hAnsi="Times New Roman"/>
          <w:color w:val="000000"/>
          <w:sz w:val="28"/>
          <w:szCs w:val="28"/>
          <w:lang w:eastAsia="lv-LV"/>
        </w:rPr>
        <w:t>un</w:t>
      </w:r>
      <w:r w:rsidRPr="00834DFD">
        <w:rPr>
          <w:rFonts w:ascii="Times New Roman" w:hAnsi="Times New Roman"/>
          <w:color w:val="000000"/>
          <w:sz w:val="28"/>
          <w:szCs w:val="28"/>
          <w:lang w:eastAsia="lv-LV"/>
        </w:rPr>
        <w:t xml:space="preserve"> zāļu reģistrācija decentralizētā procedūrā (turpmāk </w:t>
      </w:r>
      <w:r>
        <w:rPr>
          <w:rFonts w:ascii="Times New Roman" w:hAnsi="Times New Roman"/>
          <w:color w:val="000000"/>
          <w:sz w:val="28"/>
          <w:szCs w:val="28"/>
          <w:lang w:eastAsia="lv-LV"/>
        </w:rPr>
        <w:t>–</w:t>
      </w:r>
      <w:r w:rsidRPr="00834DFD">
        <w:rPr>
          <w:rFonts w:ascii="Times New Roman" w:hAnsi="Times New Roman"/>
          <w:color w:val="000000"/>
          <w:sz w:val="28"/>
          <w:szCs w:val="28"/>
          <w:lang w:eastAsia="lv-LV"/>
        </w:rPr>
        <w:t xml:space="preserve"> DCP), kopīgas ražotāju </w:t>
      </w:r>
      <w:r w:rsidR="0046588A">
        <w:rPr>
          <w:rFonts w:ascii="Times New Roman" w:hAnsi="Times New Roman"/>
          <w:color w:val="000000"/>
          <w:sz w:val="28"/>
          <w:szCs w:val="28"/>
          <w:lang w:eastAsia="lv-LV"/>
        </w:rPr>
        <w:t>un</w:t>
      </w:r>
      <w:r w:rsidRPr="00834DFD">
        <w:rPr>
          <w:rFonts w:ascii="Times New Roman" w:hAnsi="Times New Roman"/>
          <w:color w:val="000000"/>
          <w:sz w:val="28"/>
          <w:szCs w:val="28"/>
          <w:lang w:eastAsia="lv-LV"/>
        </w:rPr>
        <w:t xml:space="preserve"> produktu pārbaudes, savstarpēja lēmumu atzīšana un informācijas apmaiņa, kā arī kopīgas datu bāzes. 2016.gadā periodā no aprīļa līdz septembrim Aģentūra kā atsauces valsts vada trīs DCP un divas MRP procedūras, vienlaicīgi Aģentūra ir galvenais ziņotājs divā</w:t>
      </w:r>
      <w:r w:rsidR="0046588A">
        <w:rPr>
          <w:rFonts w:ascii="Times New Roman" w:hAnsi="Times New Roman"/>
          <w:color w:val="000000"/>
          <w:sz w:val="28"/>
          <w:szCs w:val="28"/>
          <w:lang w:eastAsia="lv-LV"/>
        </w:rPr>
        <w:t xml:space="preserve">s centralizētajās </w:t>
      </w:r>
      <w:r w:rsidRPr="00834DFD">
        <w:rPr>
          <w:rFonts w:ascii="Times New Roman" w:hAnsi="Times New Roman"/>
          <w:color w:val="000000"/>
          <w:sz w:val="28"/>
          <w:szCs w:val="28"/>
          <w:lang w:eastAsia="lv-LV"/>
        </w:rPr>
        <w:t>zāļu reģistrācijas procedūrā</w:t>
      </w:r>
      <w:r w:rsidR="0046588A">
        <w:rPr>
          <w:rFonts w:ascii="Times New Roman" w:hAnsi="Times New Roman"/>
          <w:color w:val="000000"/>
          <w:sz w:val="28"/>
          <w:szCs w:val="28"/>
          <w:lang w:eastAsia="lv-LV"/>
        </w:rPr>
        <w:t>s, ko veic EMA,</w:t>
      </w:r>
      <w:r w:rsidRPr="00834DFD">
        <w:rPr>
          <w:rFonts w:ascii="Times New Roman" w:hAnsi="Times New Roman"/>
          <w:color w:val="000000"/>
          <w:sz w:val="28"/>
          <w:szCs w:val="28"/>
          <w:lang w:eastAsia="lv-LV"/>
        </w:rPr>
        <w:t xml:space="preserve"> un galvenais PRAC (EMA </w:t>
      </w:r>
      <w:proofErr w:type="spellStart"/>
      <w:r w:rsidRPr="00834DFD">
        <w:rPr>
          <w:rFonts w:ascii="Times New Roman" w:hAnsi="Times New Roman"/>
          <w:color w:val="000000"/>
          <w:sz w:val="28"/>
          <w:szCs w:val="28"/>
          <w:lang w:eastAsia="lv-LV"/>
        </w:rPr>
        <w:t>Farmakovigilances</w:t>
      </w:r>
      <w:proofErr w:type="spellEnd"/>
      <w:r w:rsidRPr="00834DFD">
        <w:rPr>
          <w:rFonts w:ascii="Times New Roman" w:hAnsi="Times New Roman"/>
          <w:color w:val="000000"/>
          <w:sz w:val="28"/>
          <w:szCs w:val="28"/>
          <w:lang w:eastAsia="lv-LV"/>
        </w:rPr>
        <w:t xml:space="preserve"> risku  vērtēšanas komiteja)  ziņotājs vien</w:t>
      </w:r>
      <w:r w:rsidR="0046588A">
        <w:rPr>
          <w:rFonts w:ascii="Times New Roman" w:hAnsi="Times New Roman"/>
          <w:color w:val="000000"/>
          <w:sz w:val="28"/>
          <w:szCs w:val="28"/>
          <w:lang w:eastAsia="lv-LV"/>
        </w:rPr>
        <w:t>ā centra</w:t>
      </w:r>
      <w:r w:rsidRPr="00834DFD">
        <w:rPr>
          <w:rFonts w:ascii="Times New Roman" w:hAnsi="Times New Roman"/>
          <w:color w:val="000000"/>
          <w:sz w:val="28"/>
          <w:szCs w:val="28"/>
          <w:lang w:eastAsia="lv-LV"/>
        </w:rPr>
        <w:t>l</w:t>
      </w:r>
      <w:r w:rsidR="0046588A">
        <w:rPr>
          <w:rFonts w:ascii="Times New Roman" w:hAnsi="Times New Roman"/>
          <w:color w:val="000000"/>
          <w:sz w:val="28"/>
          <w:szCs w:val="28"/>
          <w:lang w:eastAsia="lv-LV"/>
        </w:rPr>
        <w:t>izētās</w:t>
      </w:r>
      <w:r w:rsidRPr="00834DFD">
        <w:rPr>
          <w:rFonts w:ascii="Times New Roman" w:hAnsi="Times New Roman"/>
          <w:color w:val="000000"/>
          <w:sz w:val="28"/>
          <w:szCs w:val="28"/>
          <w:lang w:eastAsia="lv-LV"/>
        </w:rPr>
        <w:t xml:space="preserve"> zāļu reģistrācijas pārvērtēšanas procedūr</w:t>
      </w:r>
      <w:r w:rsidR="0046588A">
        <w:rPr>
          <w:rFonts w:ascii="Times New Roman" w:hAnsi="Times New Roman"/>
          <w:color w:val="000000"/>
          <w:sz w:val="28"/>
          <w:szCs w:val="28"/>
          <w:lang w:eastAsia="lv-LV"/>
        </w:rPr>
        <w:t>ā</w:t>
      </w:r>
      <w:r w:rsidRPr="00834DFD">
        <w:rPr>
          <w:rFonts w:ascii="Times New Roman" w:hAnsi="Times New Roman"/>
          <w:color w:val="000000"/>
          <w:sz w:val="28"/>
          <w:szCs w:val="28"/>
          <w:lang w:eastAsia="lv-LV"/>
        </w:rPr>
        <w:t xml:space="preserve">, kā arī norit darbs pie augu monogrāfijas izveidošanas. </w:t>
      </w:r>
      <w:proofErr w:type="spellStart"/>
      <w:r w:rsidR="00327D99">
        <w:rPr>
          <w:rFonts w:ascii="Times New Roman" w:hAnsi="Times New Roman"/>
          <w:color w:val="000000"/>
          <w:sz w:val="28"/>
          <w:szCs w:val="28"/>
          <w:lang w:eastAsia="lv-LV"/>
        </w:rPr>
        <w:t>Farmakovigilances</w:t>
      </w:r>
      <w:proofErr w:type="spellEnd"/>
      <w:r w:rsidR="00327D99">
        <w:rPr>
          <w:rFonts w:ascii="Times New Roman" w:hAnsi="Times New Roman"/>
          <w:color w:val="000000"/>
          <w:sz w:val="28"/>
          <w:szCs w:val="28"/>
          <w:lang w:eastAsia="lv-LV"/>
        </w:rPr>
        <w:t xml:space="preserve"> jomā </w:t>
      </w:r>
      <w:r w:rsidRPr="00834DFD">
        <w:rPr>
          <w:rFonts w:ascii="Times New Roman" w:hAnsi="Times New Roman"/>
          <w:color w:val="000000"/>
          <w:sz w:val="28"/>
          <w:szCs w:val="28"/>
          <w:lang w:eastAsia="lv-LV"/>
        </w:rPr>
        <w:t xml:space="preserve">Latvija ir vadošā valsts signālu </w:t>
      </w:r>
      <w:proofErr w:type="spellStart"/>
      <w:r w:rsidRPr="00834DFD">
        <w:rPr>
          <w:rFonts w:ascii="Times New Roman" w:hAnsi="Times New Roman"/>
          <w:color w:val="000000"/>
          <w:sz w:val="28"/>
          <w:szCs w:val="28"/>
          <w:lang w:eastAsia="lv-LV"/>
        </w:rPr>
        <w:t>monitorēšanā</w:t>
      </w:r>
      <w:proofErr w:type="spellEnd"/>
      <w:r w:rsidRPr="00834DFD">
        <w:rPr>
          <w:rFonts w:ascii="Times New Roman" w:hAnsi="Times New Roman"/>
          <w:color w:val="000000"/>
          <w:sz w:val="28"/>
          <w:szCs w:val="28"/>
          <w:lang w:eastAsia="lv-LV"/>
        </w:rPr>
        <w:t xml:space="preserve"> </w:t>
      </w:r>
      <w:r w:rsidR="00327D99" w:rsidRPr="00834DFD">
        <w:rPr>
          <w:rFonts w:ascii="Times New Roman" w:hAnsi="Times New Roman"/>
          <w:color w:val="000000"/>
          <w:sz w:val="28"/>
          <w:szCs w:val="28"/>
          <w:lang w:eastAsia="lv-LV"/>
        </w:rPr>
        <w:t>10 aktīv</w:t>
      </w:r>
      <w:r w:rsidR="00327D99">
        <w:rPr>
          <w:rFonts w:ascii="Times New Roman" w:hAnsi="Times New Roman"/>
          <w:color w:val="000000"/>
          <w:sz w:val="28"/>
          <w:szCs w:val="28"/>
          <w:lang w:eastAsia="lv-LV"/>
        </w:rPr>
        <w:t>aj</w:t>
      </w:r>
      <w:r w:rsidR="00327D99" w:rsidRPr="00834DFD">
        <w:rPr>
          <w:rFonts w:ascii="Times New Roman" w:hAnsi="Times New Roman"/>
          <w:color w:val="000000"/>
          <w:sz w:val="28"/>
          <w:szCs w:val="28"/>
          <w:lang w:eastAsia="lv-LV"/>
        </w:rPr>
        <w:t xml:space="preserve">ām vielām </w:t>
      </w:r>
      <w:r w:rsidRPr="00834DFD">
        <w:rPr>
          <w:rFonts w:ascii="Times New Roman" w:hAnsi="Times New Roman"/>
          <w:color w:val="000000"/>
          <w:sz w:val="28"/>
          <w:szCs w:val="28"/>
          <w:lang w:eastAsia="lv-LV"/>
        </w:rPr>
        <w:t>un vadošā valsts divām periodiski atjaunojamā drošības ziņojuma izvērtēšanas procedūrā</w:t>
      </w:r>
      <w:r w:rsidR="00327D99">
        <w:rPr>
          <w:rFonts w:ascii="Times New Roman" w:hAnsi="Times New Roman"/>
          <w:color w:val="000000"/>
          <w:sz w:val="28"/>
          <w:szCs w:val="28"/>
          <w:lang w:eastAsia="lv-LV"/>
        </w:rPr>
        <w:t>m</w:t>
      </w:r>
      <w:r w:rsidRPr="00834DFD">
        <w:rPr>
          <w:rFonts w:ascii="Times New Roman" w:hAnsi="Times New Roman"/>
          <w:color w:val="000000"/>
          <w:sz w:val="28"/>
          <w:szCs w:val="28"/>
          <w:lang w:eastAsia="lv-LV"/>
        </w:rPr>
        <w:t xml:space="preserve">. </w:t>
      </w:r>
      <w:r w:rsidR="00B82FAD">
        <w:rPr>
          <w:rFonts w:ascii="Times New Roman" w:hAnsi="Times New Roman"/>
          <w:color w:val="000000"/>
          <w:sz w:val="28"/>
          <w:szCs w:val="28"/>
          <w:lang w:eastAsia="lv-LV"/>
        </w:rPr>
        <w:t>N</w:t>
      </w:r>
      <w:r w:rsidRPr="00834DFD">
        <w:rPr>
          <w:rFonts w:ascii="Times New Roman" w:hAnsi="Times New Roman"/>
          <w:color w:val="000000"/>
          <w:sz w:val="28"/>
          <w:szCs w:val="28"/>
          <w:lang w:eastAsia="lv-LV"/>
        </w:rPr>
        <w:t>otiek darbs EMA Pediatrijas komitejā, kur</w:t>
      </w:r>
      <w:r w:rsidR="00B82FAD">
        <w:rPr>
          <w:rFonts w:ascii="Times New Roman" w:hAnsi="Times New Roman"/>
          <w:color w:val="000000"/>
          <w:sz w:val="28"/>
          <w:szCs w:val="28"/>
          <w:lang w:eastAsia="lv-LV"/>
        </w:rPr>
        <w:t>ā</w:t>
      </w:r>
      <w:r w:rsidRPr="00834DFD">
        <w:rPr>
          <w:rFonts w:ascii="Times New Roman" w:hAnsi="Times New Roman"/>
          <w:color w:val="000000"/>
          <w:sz w:val="28"/>
          <w:szCs w:val="28"/>
          <w:lang w:eastAsia="lv-LV"/>
        </w:rPr>
        <w:t xml:space="preserve"> Aģentūras pārstāvis ir galvenais ziņotājs vairāk nekā 15 pediatriskā izpētes plāna procedūrām gadā. Jāatzīmē, ka, pildot </w:t>
      </w:r>
      <w:r w:rsidR="00B82FAD">
        <w:rPr>
          <w:rFonts w:ascii="Times New Roman" w:hAnsi="Times New Roman"/>
          <w:color w:val="000000"/>
          <w:sz w:val="28"/>
          <w:szCs w:val="28"/>
          <w:lang w:eastAsia="lv-LV"/>
        </w:rPr>
        <w:t>iepriekš</w:t>
      </w:r>
      <w:r w:rsidRPr="00834DFD">
        <w:rPr>
          <w:rFonts w:ascii="Times New Roman" w:hAnsi="Times New Roman"/>
          <w:color w:val="000000"/>
          <w:sz w:val="28"/>
          <w:szCs w:val="28"/>
          <w:lang w:eastAsia="lv-LV"/>
        </w:rPr>
        <w:t xml:space="preserve"> minētos uzdevumus, Aģentūra saskaras ar neatkarīgu zinātnieku </w:t>
      </w:r>
      <w:r w:rsidR="00B82FAD">
        <w:rPr>
          <w:rFonts w:ascii="Times New Roman" w:hAnsi="Times New Roman"/>
          <w:color w:val="000000"/>
          <w:sz w:val="28"/>
          <w:szCs w:val="28"/>
          <w:lang w:eastAsia="lv-LV"/>
        </w:rPr>
        <w:t>un</w:t>
      </w:r>
      <w:r w:rsidRPr="00834DFD">
        <w:rPr>
          <w:rFonts w:ascii="Times New Roman" w:hAnsi="Times New Roman"/>
          <w:color w:val="000000"/>
          <w:sz w:val="28"/>
          <w:szCs w:val="28"/>
          <w:lang w:eastAsia="lv-LV"/>
        </w:rPr>
        <w:t xml:space="preserve"> </w:t>
      </w:r>
      <w:r w:rsidR="00B82FAD">
        <w:rPr>
          <w:rFonts w:ascii="Times New Roman" w:hAnsi="Times New Roman"/>
          <w:color w:val="000000"/>
          <w:sz w:val="28"/>
          <w:szCs w:val="28"/>
          <w:lang w:eastAsia="lv-LV"/>
        </w:rPr>
        <w:t>jomas ekspertu trūkumu Latvijā, un šīs problēmas risināšanai</w:t>
      </w:r>
      <w:r w:rsidRPr="00834DFD">
        <w:rPr>
          <w:rFonts w:ascii="Times New Roman" w:hAnsi="Times New Roman"/>
          <w:color w:val="000000"/>
          <w:sz w:val="28"/>
          <w:szCs w:val="28"/>
          <w:lang w:eastAsia="lv-LV"/>
        </w:rPr>
        <w:t xml:space="preserve"> Aģentūra strādā pie ārvalstu ekspertu piesaistes.</w:t>
      </w:r>
    </w:p>
    <w:p w:rsidR="005033AB" w:rsidRPr="00834DFD" w:rsidRDefault="005033AB" w:rsidP="005033AB">
      <w:pPr>
        <w:spacing w:after="0" w:line="240" w:lineRule="auto"/>
        <w:ind w:firstLine="720"/>
        <w:jc w:val="both"/>
        <w:rPr>
          <w:rFonts w:ascii="Times New Roman" w:hAnsi="Times New Roman"/>
          <w:color w:val="000000"/>
          <w:sz w:val="28"/>
          <w:szCs w:val="28"/>
          <w:lang w:eastAsia="lv-LV"/>
        </w:rPr>
      </w:pPr>
      <w:r w:rsidRPr="00834DFD">
        <w:rPr>
          <w:rFonts w:ascii="Times New Roman" w:hAnsi="Times New Roman"/>
          <w:color w:val="000000"/>
          <w:sz w:val="28"/>
          <w:szCs w:val="28"/>
          <w:lang w:eastAsia="lv-LV"/>
        </w:rPr>
        <w:t>Lai sasniegtu pozitīvu rezultātu, atsauces valsts funkciju pildīšana un arī procedūras no iesniedzēja puses ir savlaicīgi jāplāno. Iesniedzējam ir savlaicīgi jāpiesakās uz vēlamo procedūras laiku vēlamajā kompetent</w:t>
      </w:r>
      <w:r w:rsidR="0078328D">
        <w:rPr>
          <w:rFonts w:ascii="Times New Roman" w:hAnsi="Times New Roman"/>
          <w:color w:val="000000"/>
          <w:sz w:val="28"/>
          <w:szCs w:val="28"/>
          <w:lang w:eastAsia="lv-LV"/>
        </w:rPr>
        <w:t>ajā iestādē. 2016.gadā A/S ”</w:t>
      </w:r>
      <w:r w:rsidR="0078328D" w:rsidRPr="00834DFD">
        <w:rPr>
          <w:rFonts w:ascii="Times New Roman" w:hAnsi="Times New Roman"/>
          <w:color w:val="000000"/>
          <w:sz w:val="28"/>
          <w:szCs w:val="28"/>
          <w:lang w:eastAsia="lv-LV"/>
        </w:rPr>
        <w:t xml:space="preserve">Grindeks” Latviju kā atsauces valsti izvēlējās </w:t>
      </w:r>
      <w:r w:rsidR="0078328D">
        <w:rPr>
          <w:rFonts w:ascii="Times New Roman" w:hAnsi="Times New Roman"/>
          <w:color w:val="000000"/>
          <w:sz w:val="28"/>
          <w:szCs w:val="28"/>
          <w:lang w:eastAsia="lv-LV"/>
        </w:rPr>
        <w:t>vienā</w:t>
      </w:r>
      <w:r w:rsidR="0078328D" w:rsidRPr="00834DFD">
        <w:rPr>
          <w:rFonts w:ascii="Times New Roman" w:hAnsi="Times New Roman"/>
          <w:color w:val="000000"/>
          <w:sz w:val="28"/>
          <w:szCs w:val="28"/>
          <w:lang w:eastAsia="lv-LV"/>
        </w:rPr>
        <w:t xml:space="preserve"> DCP un </w:t>
      </w:r>
      <w:r w:rsidR="0078328D">
        <w:rPr>
          <w:rFonts w:ascii="Times New Roman" w:hAnsi="Times New Roman"/>
          <w:color w:val="000000"/>
          <w:sz w:val="28"/>
          <w:szCs w:val="28"/>
          <w:lang w:eastAsia="lv-LV"/>
        </w:rPr>
        <w:t>vienā</w:t>
      </w:r>
      <w:r w:rsidR="0078328D" w:rsidRPr="00834DFD">
        <w:rPr>
          <w:rFonts w:ascii="Times New Roman" w:hAnsi="Times New Roman"/>
          <w:color w:val="000000"/>
          <w:sz w:val="28"/>
          <w:szCs w:val="28"/>
          <w:lang w:eastAsia="lv-LV"/>
        </w:rPr>
        <w:t xml:space="preserve"> pārreģistr</w:t>
      </w:r>
      <w:r w:rsidR="0078328D">
        <w:rPr>
          <w:rFonts w:ascii="Times New Roman" w:hAnsi="Times New Roman"/>
          <w:color w:val="000000"/>
          <w:sz w:val="28"/>
          <w:szCs w:val="28"/>
          <w:lang w:eastAsia="lv-LV"/>
        </w:rPr>
        <w:t>ācijas procedūrā, savukārt SIA ”</w:t>
      </w:r>
      <w:r w:rsidR="0078328D" w:rsidRPr="00834DFD">
        <w:rPr>
          <w:rFonts w:ascii="Times New Roman" w:hAnsi="Times New Roman"/>
          <w:color w:val="000000"/>
          <w:sz w:val="28"/>
          <w:szCs w:val="28"/>
          <w:lang w:eastAsia="lv-LV"/>
        </w:rPr>
        <w:t xml:space="preserve">BRIZ” un SIA </w:t>
      </w:r>
      <w:r w:rsidR="0078328D">
        <w:rPr>
          <w:rFonts w:ascii="Times New Roman" w:hAnsi="Times New Roman"/>
          <w:color w:val="000000"/>
          <w:sz w:val="28"/>
          <w:szCs w:val="28"/>
          <w:lang w:eastAsia="lv-LV"/>
        </w:rPr>
        <w:t>”</w:t>
      </w:r>
      <w:proofErr w:type="spellStart"/>
      <w:r w:rsidR="0078328D" w:rsidRPr="00834DFD">
        <w:rPr>
          <w:rFonts w:ascii="Times New Roman" w:hAnsi="Times New Roman"/>
          <w:color w:val="000000"/>
          <w:sz w:val="28"/>
          <w:szCs w:val="28"/>
          <w:lang w:eastAsia="lv-LV"/>
        </w:rPr>
        <w:t>PharmIdea</w:t>
      </w:r>
      <w:proofErr w:type="spellEnd"/>
      <w:r w:rsidR="0078328D" w:rsidRPr="00834DFD">
        <w:rPr>
          <w:rFonts w:ascii="Times New Roman" w:hAnsi="Times New Roman"/>
          <w:color w:val="000000"/>
          <w:sz w:val="28"/>
          <w:szCs w:val="28"/>
          <w:lang w:eastAsia="lv-LV"/>
        </w:rPr>
        <w:t xml:space="preserve">” Latviju kā atsauces valsti katrs izvēlējās </w:t>
      </w:r>
      <w:r w:rsidR="0078328D">
        <w:rPr>
          <w:rFonts w:ascii="Times New Roman" w:hAnsi="Times New Roman"/>
          <w:color w:val="000000"/>
          <w:sz w:val="28"/>
          <w:szCs w:val="28"/>
          <w:lang w:eastAsia="lv-LV"/>
        </w:rPr>
        <w:t>vienā</w:t>
      </w:r>
      <w:r w:rsidR="0078328D" w:rsidRPr="00834DFD">
        <w:rPr>
          <w:rFonts w:ascii="Times New Roman" w:hAnsi="Times New Roman"/>
          <w:color w:val="000000"/>
          <w:sz w:val="28"/>
          <w:szCs w:val="28"/>
          <w:lang w:eastAsia="lv-LV"/>
        </w:rPr>
        <w:t xml:space="preserve"> MRP procedūrā. Pārējos 75% Latviju kā atsauces valsti ir izvēlējušies procedūru iesniedzēji no citām E</w:t>
      </w:r>
      <w:r w:rsidR="0078328D">
        <w:rPr>
          <w:rFonts w:ascii="Times New Roman" w:hAnsi="Times New Roman"/>
          <w:color w:val="000000"/>
          <w:sz w:val="28"/>
          <w:szCs w:val="28"/>
          <w:lang w:eastAsia="lv-LV"/>
        </w:rPr>
        <w:t>iropas Savienības</w:t>
      </w:r>
      <w:r w:rsidR="0078328D" w:rsidRPr="00834DFD">
        <w:rPr>
          <w:rFonts w:ascii="Times New Roman" w:hAnsi="Times New Roman"/>
          <w:color w:val="000000"/>
          <w:sz w:val="28"/>
          <w:szCs w:val="28"/>
          <w:lang w:eastAsia="lv-LV"/>
        </w:rPr>
        <w:t xml:space="preserve"> dalībvalstīm. </w:t>
      </w:r>
      <w:r w:rsidR="0078328D">
        <w:rPr>
          <w:rFonts w:ascii="Times New Roman" w:hAnsi="Times New Roman"/>
          <w:color w:val="000000"/>
          <w:sz w:val="28"/>
          <w:szCs w:val="28"/>
          <w:lang w:eastAsia="lv-LV"/>
        </w:rPr>
        <w:t xml:space="preserve">Šobrīd </w:t>
      </w:r>
      <w:r w:rsidRPr="00834DFD">
        <w:rPr>
          <w:rFonts w:ascii="Times New Roman" w:hAnsi="Times New Roman"/>
          <w:color w:val="000000"/>
          <w:sz w:val="28"/>
          <w:szCs w:val="28"/>
          <w:lang w:eastAsia="lv-LV"/>
        </w:rPr>
        <w:t xml:space="preserve"> 2017.gad</w:t>
      </w:r>
      <w:r w:rsidR="0078328D">
        <w:rPr>
          <w:rFonts w:ascii="Times New Roman" w:hAnsi="Times New Roman"/>
          <w:color w:val="000000"/>
          <w:sz w:val="28"/>
          <w:szCs w:val="28"/>
          <w:lang w:eastAsia="lv-LV"/>
        </w:rPr>
        <w:t>am</w:t>
      </w:r>
      <w:r w:rsidRPr="00834DFD">
        <w:rPr>
          <w:rFonts w:ascii="Times New Roman" w:hAnsi="Times New Roman"/>
          <w:color w:val="000000"/>
          <w:sz w:val="28"/>
          <w:szCs w:val="28"/>
          <w:lang w:eastAsia="lv-LV"/>
        </w:rPr>
        <w:t xml:space="preserve"> Aģentūrā nav iesniegts neviens iesniegums no Latvijas reģistrācijas apliecīb</w:t>
      </w:r>
      <w:r w:rsidR="0078328D">
        <w:rPr>
          <w:rFonts w:ascii="Times New Roman" w:hAnsi="Times New Roman"/>
          <w:color w:val="000000"/>
          <w:sz w:val="28"/>
          <w:szCs w:val="28"/>
          <w:lang w:eastAsia="lv-LV"/>
        </w:rPr>
        <w:t>as</w:t>
      </w:r>
      <w:r w:rsidRPr="00834DFD">
        <w:rPr>
          <w:rFonts w:ascii="Times New Roman" w:hAnsi="Times New Roman"/>
          <w:color w:val="000000"/>
          <w:sz w:val="28"/>
          <w:szCs w:val="28"/>
          <w:lang w:eastAsia="lv-LV"/>
        </w:rPr>
        <w:t xml:space="preserve"> īpašniekiem</w:t>
      </w:r>
      <w:r w:rsidR="0078328D">
        <w:rPr>
          <w:rFonts w:ascii="Times New Roman" w:hAnsi="Times New Roman"/>
          <w:color w:val="000000"/>
          <w:sz w:val="28"/>
          <w:szCs w:val="28"/>
          <w:lang w:eastAsia="lv-LV"/>
        </w:rPr>
        <w:t>, kas</w:t>
      </w:r>
      <w:r w:rsidRPr="00834DFD">
        <w:rPr>
          <w:rFonts w:ascii="Times New Roman" w:hAnsi="Times New Roman"/>
          <w:color w:val="000000"/>
          <w:sz w:val="28"/>
          <w:szCs w:val="28"/>
          <w:lang w:eastAsia="lv-LV"/>
        </w:rPr>
        <w:t xml:space="preserve"> vēlētos ar Latviju kā atsauces valsti reģistrēt zāles DCP vai M</w:t>
      </w:r>
      <w:r w:rsidR="00873F1A">
        <w:rPr>
          <w:rFonts w:ascii="Times New Roman" w:hAnsi="Times New Roman"/>
          <w:color w:val="000000"/>
          <w:sz w:val="28"/>
          <w:szCs w:val="28"/>
          <w:lang w:eastAsia="lv-LV"/>
        </w:rPr>
        <w:t xml:space="preserve">RP procedūrās.  </w:t>
      </w:r>
    </w:p>
    <w:p w:rsidR="009A0D03" w:rsidRPr="00D6579E" w:rsidRDefault="009A0D03" w:rsidP="00D6579E">
      <w:pPr>
        <w:spacing w:after="0" w:line="240" w:lineRule="auto"/>
        <w:ind w:firstLine="720"/>
        <w:jc w:val="both"/>
        <w:rPr>
          <w:rFonts w:ascii="Times New Roman" w:hAnsi="Times New Roman"/>
          <w:color w:val="000000"/>
          <w:sz w:val="28"/>
          <w:szCs w:val="28"/>
          <w:lang w:eastAsia="lv-LV"/>
        </w:rPr>
      </w:pPr>
      <w:r w:rsidRPr="00834DFD">
        <w:rPr>
          <w:rFonts w:ascii="Times New Roman" w:hAnsi="Times New Roman"/>
          <w:color w:val="000000"/>
          <w:sz w:val="28"/>
          <w:szCs w:val="28"/>
          <w:lang w:eastAsia="lv-LV"/>
        </w:rPr>
        <w:t xml:space="preserve">Aģentūra daļēji ir veikusi priekšdarbus, lai zāļu reģistrācijas apliecības īpašnieki attālināti varētu sekot savu zāļu reģistrācijas, pārreģistrācijas, izmaiņu </w:t>
      </w:r>
      <w:r w:rsidRPr="00D6579E">
        <w:rPr>
          <w:rFonts w:ascii="Times New Roman" w:hAnsi="Times New Roman"/>
          <w:color w:val="000000"/>
          <w:sz w:val="28"/>
          <w:szCs w:val="28"/>
          <w:lang w:eastAsia="lv-LV"/>
        </w:rPr>
        <w:t>un</w:t>
      </w:r>
      <w:r w:rsidR="001F3D6C">
        <w:rPr>
          <w:rFonts w:ascii="Times New Roman" w:hAnsi="Times New Roman"/>
          <w:color w:val="000000"/>
          <w:sz w:val="28"/>
          <w:szCs w:val="28"/>
          <w:lang w:eastAsia="lv-LV"/>
        </w:rPr>
        <w:t xml:space="preserve"> citu procesu gaitai Aģentūras informācijas tehnoloģiju (IT)</w:t>
      </w:r>
      <w:r w:rsidRPr="00D6579E">
        <w:rPr>
          <w:rFonts w:ascii="Times New Roman" w:hAnsi="Times New Roman"/>
          <w:color w:val="000000"/>
          <w:sz w:val="28"/>
          <w:szCs w:val="28"/>
          <w:lang w:eastAsia="lv-LV"/>
        </w:rPr>
        <w:t xml:space="preserve"> sistēmā. Aģentūra plāno turpināt IT sistēmas modernizāciju, lai paātrinātu informācijas saņemšanas un nodošanas procesus.</w:t>
      </w:r>
    </w:p>
    <w:p w:rsidR="0094289E" w:rsidRPr="00D6579E" w:rsidRDefault="00D6579E" w:rsidP="00D6579E">
      <w:pPr>
        <w:spacing w:after="0" w:line="240" w:lineRule="auto"/>
        <w:ind w:firstLine="709"/>
        <w:jc w:val="both"/>
        <w:rPr>
          <w:rFonts w:ascii="Times New Roman" w:hAnsi="Times New Roman"/>
          <w:sz w:val="28"/>
          <w:szCs w:val="28"/>
        </w:rPr>
      </w:pPr>
      <w:r w:rsidRPr="00D6579E">
        <w:rPr>
          <w:rFonts w:ascii="Times New Roman" w:hAnsi="Times New Roman"/>
          <w:sz w:val="28"/>
          <w:szCs w:val="28"/>
        </w:rPr>
        <w:lastRenderedPageBreak/>
        <w:t xml:space="preserve">Aģentūra ir veikusi izpēti par Eiropas Savienības dalībvalstu </w:t>
      </w:r>
      <w:r w:rsidR="00A3734C">
        <w:rPr>
          <w:rFonts w:ascii="Times New Roman" w:hAnsi="Times New Roman"/>
          <w:sz w:val="28"/>
          <w:szCs w:val="28"/>
        </w:rPr>
        <w:t>z</w:t>
      </w:r>
      <w:r w:rsidRPr="00D6579E">
        <w:rPr>
          <w:rFonts w:ascii="Times New Roman" w:hAnsi="Times New Roman"/>
          <w:sz w:val="28"/>
          <w:szCs w:val="28"/>
        </w:rPr>
        <w:t xml:space="preserve">āļu aģentūru pieredzi un praksi saistībā ar zinātnisko konsultāciju sniegšanu klientiem un izpētes rezultāti liecina, ka daudzas no citu valstu zāļu aģentūrām šādu pakalpojumu sniedz par maksu atbilstoši attiecīgās zāļu aģentūras maksas pakalpojumu cenrādim (piemēram, tādus pakalpojumus sniedz Somijas, Zviedrijas, Čehijas, Dānijas, Nīderlandes zāļu aģentūras). Izvērtējot gan Aģentūras rīcībā esošo informāciju, gan resursus, Aģentūra varētu sniegt zinātniskās konsultācijas par jautājumiem, kas skar zāļu reģistrācijas procedūras, tajā skaitā par </w:t>
      </w:r>
      <w:proofErr w:type="spellStart"/>
      <w:r w:rsidRPr="00D6579E">
        <w:rPr>
          <w:rFonts w:ascii="Times New Roman" w:hAnsi="Times New Roman"/>
          <w:sz w:val="28"/>
          <w:szCs w:val="28"/>
        </w:rPr>
        <w:t>preklīniskajiem</w:t>
      </w:r>
      <w:proofErr w:type="spellEnd"/>
      <w:r w:rsidRPr="00D6579E">
        <w:rPr>
          <w:rFonts w:ascii="Times New Roman" w:hAnsi="Times New Roman"/>
          <w:sz w:val="28"/>
          <w:szCs w:val="28"/>
        </w:rPr>
        <w:t xml:space="preserve">, klīniskajiem un farmaceitiskajiem jautājumiem. Aģentūra arī izskata variantus, lai varētu piesaistīt ārvalstu ekspertus, šādi paplašinot zinātnisko konsultāciju spektru, </w:t>
      </w:r>
      <w:r w:rsidR="003C6633">
        <w:rPr>
          <w:rFonts w:ascii="Times New Roman" w:hAnsi="Times New Roman"/>
          <w:sz w:val="28"/>
          <w:szCs w:val="28"/>
        </w:rPr>
        <w:t>tajā jomās,</w:t>
      </w:r>
      <w:r w:rsidRPr="00D6579E">
        <w:rPr>
          <w:rFonts w:ascii="Times New Roman" w:hAnsi="Times New Roman"/>
          <w:sz w:val="28"/>
          <w:szCs w:val="28"/>
        </w:rPr>
        <w:t xml:space="preserve"> kur</w:t>
      </w:r>
      <w:r w:rsidR="003C6633">
        <w:rPr>
          <w:rFonts w:ascii="Times New Roman" w:hAnsi="Times New Roman"/>
          <w:sz w:val="28"/>
          <w:szCs w:val="28"/>
        </w:rPr>
        <w:t>ās</w:t>
      </w:r>
      <w:r w:rsidRPr="00D6579E">
        <w:rPr>
          <w:rFonts w:ascii="Times New Roman" w:hAnsi="Times New Roman"/>
          <w:sz w:val="28"/>
          <w:szCs w:val="28"/>
        </w:rPr>
        <w:t xml:space="preserve"> pieprasījums ir lielāks, piemēram, bioloģiskajiem medikamentiem. Lai varētu ieviest šāda veida pakalpojumu, būs nepieciešams veikt grozījumus normatīvajos aktos, nosakot deleģējumu Aģentūrai sniegt zinātniskās konsultācijas, kā arī par sniegtajām zinātniskajām konsultācijām nosakot pakalpojuma maksu.</w:t>
      </w:r>
    </w:p>
    <w:p w:rsidR="00554912" w:rsidRDefault="002F4246" w:rsidP="00554912">
      <w:pPr>
        <w:spacing w:before="240" w:after="120" w:line="240" w:lineRule="auto"/>
        <w:ind w:firstLine="709"/>
        <w:jc w:val="both"/>
        <w:rPr>
          <w:rFonts w:ascii="Times New Roman" w:hAnsi="Times New Roman"/>
          <w:b/>
          <w:sz w:val="28"/>
          <w:szCs w:val="28"/>
          <w:u w:val="single"/>
        </w:rPr>
      </w:pPr>
      <w:r>
        <w:rPr>
          <w:rFonts w:ascii="Times New Roman" w:hAnsi="Times New Roman"/>
          <w:b/>
          <w:sz w:val="28"/>
          <w:szCs w:val="28"/>
          <w:u w:val="single"/>
        </w:rPr>
        <w:t>Inovācijas un jaunu produktu izstrāde</w:t>
      </w:r>
    </w:p>
    <w:p w:rsidR="00D162B4" w:rsidRPr="00834DFD" w:rsidRDefault="00D162B4" w:rsidP="0078054B">
      <w:pPr>
        <w:widowControl/>
        <w:tabs>
          <w:tab w:val="left" w:pos="993"/>
        </w:tabs>
        <w:spacing w:after="0" w:line="240" w:lineRule="auto"/>
        <w:ind w:firstLine="709"/>
        <w:contextualSpacing/>
        <w:jc w:val="both"/>
        <w:rPr>
          <w:rFonts w:ascii="Times New Roman" w:eastAsiaTheme="minorHAnsi" w:hAnsi="Times New Roman"/>
          <w:sz w:val="28"/>
          <w:szCs w:val="28"/>
        </w:rPr>
      </w:pPr>
      <w:r w:rsidRPr="00834DFD">
        <w:rPr>
          <w:rFonts w:ascii="Times New Roman" w:eastAsiaTheme="minorHAnsi" w:hAnsi="Times New Roman"/>
          <w:sz w:val="28"/>
          <w:szCs w:val="28"/>
        </w:rPr>
        <w:t xml:space="preserve">Atbalsts inovācijām farmācijas nozarē tiek nodrošināts, ieviešot Viedās specializācijas stratēģiju, kuras mērķis ir valsts tautsaimniecības transformācija, lai palielinātu ekonomikas </w:t>
      </w:r>
      <w:proofErr w:type="spellStart"/>
      <w:r w:rsidRPr="00834DFD">
        <w:rPr>
          <w:rFonts w:ascii="Times New Roman" w:eastAsiaTheme="minorHAnsi" w:hAnsi="Times New Roman"/>
          <w:sz w:val="28"/>
          <w:szCs w:val="28"/>
        </w:rPr>
        <w:t>zināšanietilpību</w:t>
      </w:r>
      <w:proofErr w:type="spellEnd"/>
      <w:r w:rsidRPr="00834DFD">
        <w:rPr>
          <w:rFonts w:ascii="Times New Roman" w:eastAsiaTheme="minorHAnsi" w:hAnsi="Times New Roman"/>
          <w:sz w:val="28"/>
          <w:szCs w:val="28"/>
        </w:rPr>
        <w:t xml:space="preserve">, investējot pētniecībā, inovācijās un to sekmēšanas pasākumos. </w:t>
      </w:r>
      <w:proofErr w:type="spellStart"/>
      <w:r w:rsidRPr="00834DFD">
        <w:rPr>
          <w:rFonts w:ascii="Times New Roman" w:eastAsiaTheme="minorHAnsi" w:hAnsi="Times New Roman"/>
          <w:sz w:val="28"/>
          <w:szCs w:val="28"/>
        </w:rPr>
        <w:t>Biomedicīna</w:t>
      </w:r>
      <w:proofErr w:type="spellEnd"/>
      <w:r w:rsidRPr="00834DFD">
        <w:rPr>
          <w:rFonts w:ascii="Times New Roman" w:eastAsiaTheme="minorHAnsi" w:hAnsi="Times New Roman"/>
          <w:sz w:val="28"/>
          <w:szCs w:val="28"/>
        </w:rPr>
        <w:t xml:space="preserve">, medicīnas tehnoloģijas, </w:t>
      </w:r>
      <w:proofErr w:type="spellStart"/>
      <w:r w:rsidRPr="00834DFD">
        <w:rPr>
          <w:rFonts w:ascii="Times New Roman" w:eastAsiaTheme="minorHAnsi" w:hAnsi="Times New Roman"/>
          <w:sz w:val="28"/>
          <w:szCs w:val="28"/>
        </w:rPr>
        <w:t>biofarmācija</w:t>
      </w:r>
      <w:proofErr w:type="spellEnd"/>
      <w:r w:rsidRPr="00834DFD">
        <w:rPr>
          <w:rFonts w:ascii="Times New Roman" w:eastAsiaTheme="minorHAnsi" w:hAnsi="Times New Roman"/>
          <w:sz w:val="28"/>
          <w:szCs w:val="28"/>
        </w:rPr>
        <w:t xml:space="preserve"> un biotehnoloģijas ir definētas kā viena no piecām Latvijas Viedās specializācijas jomām. </w:t>
      </w:r>
    </w:p>
    <w:p w:rsidR="00E93ED4" w:rsidRPr="005466EF" w:rsidRDefault="005466EF" w:rsidP="0078054B">
      <w:pPr>
        <w:tabs>
          <w:tab w:val="left" w:pos="993"/>
        </w:tabs>
        <w:spacing w:after="0" w:line="240" w:lineRule="auto"/>
        <w:ind w:firstLine="709"/>
        <w:jc w:val="both"/>
        <w:rPr>
          <w:rFonts w:ascii="Times New Roman" w:hAnsi="Times New Roman"/>
          <w:color w:val="000000"/>
          <w:sz w:val="28"/>
          <w:szCs w:val="28"/>
          <w:lang w:eastAsia="lv-LV"/>
        </w:rPr>
      </w:pPr>
      <w:r>
        <w:rPr>
          <w:rFonts w:ascii="Times New Roman" w:hAnsi="Times New Roman"/>
          <w:color w:val="000000"/>
          <w:sz w:val="28"/>
          <w:szCs w:val="28"/>
          <w:lang w:eastAsia="lv-LV"/>
        </w:rPr>
        <w:t xml:space="preserve">Ekonomikas ministrijas </w:t>
      </w:r>
      <w:proofErr w:type="spellStart"/>
      <w:r w:rsidR="00E93ED4" w:rsidRPr="00F6255C">
        <w:rPr>
          <w:rFonts w:ascii="Times New Roman" w:hAnsi="Times New Roman"/>
          <w:sz w:val="28"/>
          <w:szCs w:val="28"/>
        </w:rPr>
        <w:t>pārziņā</w:t>
      </w:r>
      <w:proofErr w:type="spellEnd"/>
      <w:r w:rsidR="00E93ED4" w:rsidRPr="00F6255C">
        <w:rPr>
          <w:rFonts w:ascii="Times New Roman" w:hAnsi="Times New Roman"/>
          <w:sz w:val="28"/>
          <w:szCs w:val="28"/>
        </w:rPr>
        <w:t xml:space="preserve"> ir šādas aktivitātes, kas sekmē Latvijas uzņēmumu inovācijas kapacitāti:</w:t>
      </w:r>
    </w:p>
    <w:p w:rsidR="00E93ED4" w:rsidRPr="0078054B" w:rsidRDefault="0078054B" w:rsidP="0078054B">
      <w:pPr>
        <w:pStyle w:val="ListParagraph"/>
        <w:numPr>
          <w:ilvl w:val="0"/>
          <w:numId w:val="2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Darbības programmas ”</w:t>
      </w:r>
      <w:r w:rsidR="00E93ED4" w:rsidRPr="0078054B">
        <w:rPr>
          <w:rFonts w:ascii="Times New Roman" w:hAnsi="Times New Roman"/>
          <w:sz w:val="28"/>
          <w:szCs w:val="28"/>
        </w:rPr>
        <w:t>Izaugsme un nodarbinātība</w:t>
      </w:r>
      <w:r>
        <w:rPr>
          <w:rFonts w:ascii="Times New Roman" w:hAnsi="Times New Roman"/>
          <w:sz w:val="28"/>
          <w:szCs w:val="28"/>
        </w:rPr>
        <w:t>”</w:t>
      </w:r>
      <w:r w:rsidR="00E93ED4" w:rsidRPr="0078054B">
        <w:rPr>
          <w:rFonts w:ascii="Times New Roman" w:hAnsi="Times New Roman"/>
          <w:sz w:val="28"/>
          <w:szCs w:val="28"/>
        </w:rPr>
        <w:t xml:space="preserve"> 1.</w:t>
      </w:r>
      <w:r>
        <w:rPr>
          <w:rFonts w:ascii="Times New Roman" w:hAnsi="Times New Roman"/>
          <w:sz w:val="28"/>
          <w:szCs w:val="28"/>
        </w:rPr>
        <w:t>2.1. specifiskā atbalsta mērķa ”</w:t>
      </w:r>
      <w:r w:rsidR="00E93ED4" w:rsidRPr="0078054B">
        <w:rPr>
          <w:rFonts w:ascii="Times New Roman" w:hAnsi="Times New Roman"/>
          <w:sz w:val="28"/>
          <w:szCs w:val="28"/>
        </w:rPr>
        <w:t>Palielināt privātā sektora investīcijas P&amp;A</w:t>
      </w:r>
      <w:r>
        <w:rPr>
          <w:rFonts w:ascii="Times New Roman" w:hAnsi="Times New Roman"/>
          <w:sz w:val="28"/>
          <w:szCs w:val="28"/>
        </w:rPr>
        <w:t>” 1.2.1.1. pasākums ”</w:t>
      </w:r>
      <w:r w:rsidR="00E93ED4" w:rsidRPr="0078054B">
        <w:rPr>
          <w:rFonts w:ascii="Times New Roman" w:hAnsi="Times New Roman"/>
          <w:sz w:val="28"/>
          <w:szCs w:val="28"/>
        </w:rPr>
        <w:t>Atbalsts jaunu produktu un tehnoloģiju izstrādei kompetences centru ietvaros</w:t>
      </w:r>
      <w:r>
        <w:rPr>
          <w:rFonts w:ascii="Times New Roman" w:hAnsi="Times New Roman"/>
          <w:sz w:val="28"/>
          <w:szCs w:val="28"/>
        </w:rPr>
        <w:t>”</w:t>
      </w:r>
      <w:r w:rsidR="00E93ED4" w:rsidRPr="0078054B">
        <w:rPr>
          <w:rFonts w:ascii="Times New Roman" w:hAnsi="Times New Roman"/>
          <w:sz w:val="28"/>
          <w:szCs w:val="28"/>
        </w:rPr>
        <w:t xml:space="preserve">. Pasākuma mērķis ir komersantu konkurētspējas paaugstināšana, veicinot pētniecības un rūpniecības sektoru sadarbību rūpniecisko pētījumu, jaunu produktu un tehnoloģiju attīstības projektu īstenošanā. 2016.gada 16.maijā noslēdzās projektu iesniegumu atlases otrā kārtā, kuras rezultātā ir apstiprināti 8 projekti, paredzot 8 kompetences centru izveidi. Atbalsts tiks sniegts kompetences centriem rūpniecisko pētījumu, eksperimentālo izstrādņu, tehnoloģiski ekonomisko </w:t>
      </w:r>
      <w:proofErr w:type="spellStart"/>
      <w:r w:rsidR="00E93ED4" w:rsidRPr="0078054B">
        <w:rPr>
          <w:rFonts w:ascii="Times New Roman" w:hAnsi="Times New Roman"/>
          <w:sz w:val="28"/>
          <w:szCs w:val="28"/>
        </w:rPr>
        <w:t>priekšizpēšu</w:t>
      </w:r>
      <w:proofErr w:type="spellEnd"/>
      <w:r w:rsidR="00E93ED4" w:rsidRPr="0078054B">
        <w:rPr>
          <w:rFonts w:ascii="Times New Roman" w:hAnsi="Times New Roman"/>
          <w:sz w:val="28"/>
          <w:szCs w:val="28"/>
        </w:rPr>
        <w:t xml:space="preserve"> veikšanai.</w:t>
      </w:r>
    </w:p>
    <w:p w:rsidR="00E93ED4" w:rsidRPr="00A85FC6" w:rsidRDefault="00BF041F" w:rsidP="00381CD4">
      <w:pPr>
        <w:pStyle w:val="ListParagraph"/>
        <w:numPr>
          <w:ilvl w:val="0"/>
          <w:numId w:val="2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Darbības programmas ”</w:t>
      </w:r>
      <w:r w:rsidR="00E93ED4" w:rsidRPr="00A85FC6">
        <w:rPr>
          <w:rFonts w:ascii="Times New Roman" w:hAnsi="Times New Roman"/>
          <w:sz w:val="28"/>
          <w:szCs w:val="28"/>
        </w:rPr>
        <w:t>Izaugsme un</w:t>
      </w:r>
      <w:r>
        <w:rPr>
          <w:rFonts w:ascii="Times New Roman" w:hAnsi="Times New Roman"/>
          <w:sz w:val="28"/>
          <w:szCs w:val="28"/>
        </w:rPr>
        <w:t xml:space="preserve"> nodarbinātība”</w:t>
      </w:r>
      <w:r w:rsidR="00E93ED4" w:rsidRPr="00A85FC6">
        <w:rPr>
          <w:rFonts w:ascii="Times New Roman" w:hAnsi="Times New Roman"/>
          <w:sz w:val="28"/>
          <w:szCs w:val="28"/>
        </w:rPr>
        <w:t xml:space="preserve"> 1.</w:t>
      </w:r>
      <w:r>
        <w:rPr>
          <w:rFonts w:ascii="Times New Roman" w:hAnsi="Times New Roman"/>
          <w:sz w:val="28"/>
          <w:szCs w:val="28"/>
        </w:rPr>
        <w:t>2.1. specifiskā atbalsta mērķa ”</w:t>
      </w:r>
      <w:r w:rsidR="00E93ED4" w:rsidRPr="00A85FC6">
        <w:rPr>
          <w:rFonts w:ascii="Times New Roman" w:hAnsi="Times New Roman"/>
          <w:sz w:val="28"/>
          <w:szCs w:val="28"/>
        </w:rPr>
        <w:t>Palielināt privātā sektora investīcijas P&amp;A</w:t>
      </w:r>
      <w:r>
        <w:rPr>
          <w:rFonts w:ascii="Times New Roman" w:hAnsi="Times New Roman"/>
          <w:sz w:val="28"/>
          <w:szCs w:val="28"/>
        </w:rPr>
        <w:t>” 1.2.1.4. pasākums ”</w:t>
      </w:r>
      <w:r w:rsidR="00E93ED4" w:rsidRPr="00A85FC6">
        <w:rPr>
          <w:rFonts w:ascii="Times New Roman" w:hAnsi="Times New Roman"/>
          <w:sz w:val="28"/>
          <w:szCs w:val="28"/>
        </w:rPr>
        <w:t>Atbalsts jaunu produktu ieviešanai ražošanā</w:t>
      </w:r>
      <w:r>
        <w:rPr>
          <w:rFonts w:ascii="Times New Roman" w:hAnsi="Times New Roman"/>
          <w:sz w:val="28"/>
          <w:szCs w:val="28"/>
        </w:rPr>
        <w:t>”</w:t>
      </w:r>
      <w:r w:rsidR="00E93ED4" w:rsidRPr="00A85FC6">
        <w:rPr>
          <w:rFonts w:ascii="Times New Roman" w:hAnsi="Times New Roman"/>
          <w:sz w:val="28"/>
          <w:szCs w:val="28"/>
        </w:rPr>
        <w:t xml:space="preserve">. Pasākuma mērķis ir veicināt komersantu produktivitātes un konkurētspējas paaugstināšanu, izstrādājot un ieviešot ražošanā jaunus produktus un tehnoloģijas, kā arī palielinot privātā sektora ieguldījumus pētniecībā, attīstībā un inovācijās atbilstoši Viedās specializācijas stratēģijai. Līdz 2016.gada 12.septembrim izsludināta projektu iesniegumu pieņemšana. Atbalsts tiks piešķirts eksperimentālu tehnoloģiju </w:t>
      </w:r>
      <w:r w:rsidR="00E93ED4" w:rsidRPr="00A85FC6">
        <w:rPr>
          <w:rFonts w:ascii="Times New Roman" w:hAnsi="Times New Roman"/>
          <w:sz w:val="28"/>
          <w:szCs w:val="28"/>
        </w:rPr>
        <w:lastRenderedPageBreak/>
        <w:t xml:space="preserve">izgatavošanai vai iegādei, kā arī uzstādīšanai un testēšanai reālā ražošanas vidē, veicot saimniecisko darbību no ceturtā līdz astotajam tehnoloģiju gatavības līmenim. Programmas ietvaros vismaz 20% no eksperimentālās tehnoloģijas izmaksām ir jāatbilst pētniecības un attīstības izmaksām </w:t>
      </w:r>
      <w:proofErr w:type="spellStart"/>
      <w:r w:rsidR="00E93ED4" w:rsidRPr="00A85FC6">
        <w:rPr>
          <w:rFonts w:ascii="Times New Roman" w:hAnsi="Times New Roman"/>
          <w:sz w:val="28"/>
          <w:szCs w:val="28"/>
        </w:rPr>
        <w:t>pilotrūpnīcās</w:t>
      </w:r>
      <w:proofErr w:type="spellEnd"/>
      <w:r w:rsidR="00E93ED4" w:rsidRPr="00A85FC6">
        <w:rPr>
          <w:rFonts w:ascii="Times New Roman" w:hAnsi="Times New Roman"/>
          <w:sz w:val="28"/>
          <w:szCs w:val="28"/>
        </w:rPr>
        <w:t>, jeb izmēģinājuma ražotnēs, kuru galvenais mērķis ir pētniecība un attīstība, un kuru izmantošana nav komerciāla līdz projekta beigām. Ne vairāk kā 80% no eksperimentālās tehnoloģijas komponentēm vai iekārtām būs iespējams izvēlēties no tirgū jau nopērkamām.</w:t>
      </w:r>
    </w:p>
    <w:p w:rsidR="00E93ED4" w:rsidRPr="00E93ED4" w:rsidRDefault="00E93ED4" w:rsidP="00381CD4">
      <w:pPr>
        <w:spacing w:after="0" w:line="240" w:lineRule="auto"/>
        <w:ind w:firstLine="709"/>
        <w:jc w:val="both"/>
        <w:rPr>
          <w:rFonts w:ascii="Times New Roman" w:hAnsi="Times New Roman"/>
          <w:sz w:val="28"/>
          <w:szCs w:val="28"/>
        </w:rPr>
      </w:pPr>
      <w:r w:rsidRPr="00E93ED4">
        <w:rPr>
          <w:rFonts w:ascii="Times New Roman" w:hAnsi="Times New Roman"/>
          <w:sz w:val="28"/>
          <w:szCs w:val="28"/>
        </w:rPr>
        <w:t>Papildus augstāk minētajām programmām infor</w:t>
      </w:r>
      <w:r w:rsidR="00711F3B">
        <w:rPr>
          <w:rFonts w:ascii="Times New Roman" w:hAnsi="Times New Roman"/>
          <w:sz w:val="28"/>
          <w:szCs w:val="28"/>
        </w:rPr>
        <w:t>mējam, ka attiecībās uz likumā ”</w:t>
      </w:r>
      <w:r w:rsidRPr="00E93ED4">
        <w:rPr>
          <w:rFonts w:ascii="Times New Roman" w:hAnsi="Times New Roman"/>
          <w:sz w:val="28"/>
          <w:szCs w:val="28"/>
        </w:rPr>
        <w:t xml:space="preserve">Par uzņēmumu ienākuma nodokli” noteiktajiem ienākuma nodokļa stimuliem privātā sektora ieguldījumu veicināšanai pētniecībā un attīstībā, </w:t>
      </w:r>
      <w:r w:rsidR="00711F3B">
        <w:rPr>
          <w:rFonts w:ascii="Times New Roman" w:hAnsi="Times New Roman"/>
          <w:sz w:val="28"/>
          <w:szCs w:val="28"/>
        </w:rPr>
        <w:t xml:space="preserve">Ekonomikas </w:t>
      </w:r>
      <w:r w:rsidRPr="00E93ED4">
        <w:rPr>
          <w:rFonts w:ascii="Times New Roman" w:hAnsi="Times New Roman"/>
          <w:sz w:val="28"/>
          <w:szCs w:val="28"/>
        </w:rPr>
        <w:t xml:space="preserve">ministrija atbalsta priekšlikumu papildināt attiecināmo izmaksu bāzi ar papildus pozīcijām, piem., laboratorijas materiāli u.c. Ņemot vērā, ka iepriekš minētais nodokļa stimuls stājās spēkā 2014.gada 1.jūlijā, </w:t>
      </w:r>
      <w:r w:rsidR="00711F3B">
        <w:rPr>
          <w:rFonts w:ascii="Times New Roman" w:hAnsi="Times New Roman"/>
          <w:sz w:val="28"/>
          <w:szCs w:val="28"/>
        </w:rPr>
        <w:t xml:space="preserve">Ekonomikas </w:t>
      </w:r>
      <w:r w:rsidRPr="00E93ED4">
        <w:rPr>
          <w:rFonts w:ascii="Times New Roman" w:hAnsi="Times New Roman"/>
          <w:sz w:val="28"/>
          <w:szCs w:val="28"/>
        </w:rPr>
        <w:t xml:space="preserve">ministrijas rīcībā  šobrīd nav pieejami pietiekami daudz datu, lai analizētu nodokļa atlaides ietekmi uz uzņēmumu konkurētspēju un tautsaimniecības attīstību kopumā. Diskusijas par šī nodokļa stimula pārskatīšanu ir plānotas 2017.gadā pēc atbalsta pasākuma vidus termiņa izvērtējuma, kad būs pieejami dati par periodu laika posmā no 2014.gada līdz 2016.gadam. Papildus informējam, ka līdz šim </w:t>
      </w:r>
      <w:r w:rsidR="00711F3B">
        <w:rPr>
          <w:rFonts w:ascii="Times New Roman" w:hAnsi="Times New Roman"/>
          <w:sz w:val="28"/>
          <w:szCs w:val="28"/>
        </w:rPr>
        <w:t xml:space="preserve">Ekonomikas </w:t>
      </w:r>
      <w:r w:rsidRPr="00E93ED4">
        <w:rPr>
          <w:rFonts w:ascii="Times New Roman" w:hAnsi="Times New Roman"/>
          <w:sz w:val="28"/>
          <w:szCs w:val="28"/>
        </w:rPr>
        <w:t>ministrijas Pētniecības un attīstības darbību novērtēšanas komisijā ir vērsies tikai viens farmācijas nozares komersants, lai saņemtu konsultatīvu palīdzību pētniecības un attīstības projekta dokumentācijā iekļauto darbību novērtēšanai un attiecīgu rekomendējoša rakstura atzinumu par projektā iekļauto darbību atbilstību pētniecības un attīstības darbībām.</w:t>
      </w:r>
    </w:p>
    <w:p w:rsidR="00DD6BB5" w:rsidRDefault="00DD6BB5" w:rsidP="00DD6BB5">
      <w:pPr>
        <w:spacing w:before="240" w:after="120" w:line="240" w:lineRule="auto"/>
        <w:ind w:firstLine="709"/>
        <w:jc w:val="both"/>
        <w:rPr>
          <w:rFonts w:ascii="Times New Roman" w:hAnsi="Times New Roman"/>
          <w:b/>
          <w:sz w:val="28"/>
          <w:szCs w:val="28"/>
          <w:u w:val="single"/>
        </w:rPr>
      </w:pPr>
      <w:r>
        <w:rPr>
          <w:rFonts w:ascii="Times New Roman" w:hAnsi="Times New Roman"/>
          <w:b/>
          <w:sz w:val="28"/>
          <w:szCs w:val="28"/>
          <w:u w:val="single"/>
        </w:rPr>
        <w:t>Tirgus diversifikācija</w:t>
      </w:r>
    </w:p>
    <w:p w:rsidR="00E93ED4" w:rsidRPr="00E93ED4" w:rsidRDefault="00E93ED4" w:rsidP="000D4A91">
      <w:pPr>
        <w:spacing w:after="0" w:line="240" w:lineRule="auto"/>
        <w:ind w:firstLine="709"/>
        <w:jc w:val="both"/>
        <w:rPr>
          <w:rFonts w:ascii="Times New Roman" w:hAnsi="Times New Roman"/>
          <w:sz w:val="28"/>
          <w:szCs w:val="28"/>
        </w:rPr>
      </w:pPr>
      <w:r w:rsidRPr="00E93ED4">
        <w:rPr>
          <w:rFonts w:ascii="Times New Roman" w:hAnsi="Times New Roman"/>
          <w:sz w:val="28"/>
          <w:szCs w:val="28"/>
        </w:rPr>
        <w:t xml:space="preserve">Informējam, ka </w:t>
      </w:r>
      <w:r w:rsidR="00816721">
        <w:rPr>
          <w:rFonts w:ascii="Times New Roman" w:hAnsi="Times New Roman"/>
          <w:sz w:val="28"/>
          <w:szCs w:val="28"/>
        </w:rPr>
        <w:t xml:space="preserve">Ekonomikas </w:t>
      </w:r>
      <w:r w:rsidRPr="00E93ED4">
        <w:rPr>
          <w:rFonts w:ascii="Times New Roman" w:hAnsi="Times New Roman"/>
          <w:sz w:val="28"/>
          <w:szCs w:val="28"/>
        </w:rPr>
        <w:t xml:space="preserve">ministrijas </w:t>
      </w:r>
      <w:proofErr w:type="spellStart"/>
      <w:r w:rsidRPr="00E93ED4">
        <w:rPr>
          <w:rFonts w:ascii="Times New Roman" w:hAnsi="Times New Roman"/>
          <w:sz w:val="28"/>
          <w:szCs w:val="28"/>
        </w:rPr>
        <w:t>pārziņā</w:t>
      </w:r>
      <w:proofErr w:type="spellEnd"/>
      <w:r w:rsidRPr="00E93ED4">
        <w:rPr>
          <w:rFonts w:ascii="Times New Roman" w:hAnsi="Times New Roman"/>
          <w:sz w:val="28"/>
          <w:szCs w:val="28"/>
        </w:rPr>
        <w:t xml:space="preserve"> ir </w:t>
      </w:r>
      <w:r w:rsidR="00816721">
        <w:rPr>
          <w:rFonts w:ascii="Times New Roman" w:hAnsi="Times New Roman"/>
          <w:sz w:val="28"/>
          <w:szCs w:val="28"/>
        </w:rPr>
        <w:t>Darbības programmas ”</w:t>
      </w:r>
      <w:r w:rsidRPr="00E93ED4">
        <w:rPr>
          <w:rFonts w:ascii="Times New Roman" w:hAnsi="Times New Roman"/>
          <w:sz w:val="28"/>
          <w:szCs w:val="28"/>
        </w:rPr>
        <w:t>Izaugsme un nodarbinātība</w:t>
      </w:r>
      <w:r w:rsidR="00816721">
        <w:rPr>
          <w:rFonts w:ascii="Times New Roman" w:hAnsi="Times New Roman"/>
          <w:sz w:val="28"/>
          <w:szCs w:val="28"/>
        </w:rPr>
        <w:t>”</w:t>
      </w:r>
      <w:r w:rsidRPr="00E93ED4">
        <w:rPr>
          <w:rFonts w:ascii="Times New Roman" w:hAnsi="Times New Roman"/>
          <w:sz w:val="28"/>
          <w:szCs w:val="28"/>
        </w:rPr>
        <w:t xml:space="preserve"> 3.</w:t>
      </w:r>
      <w:r w:rsidR="00816721">
        <w:rPr>
          <w:rFonts w:ascii="Times New Roman" w:hAnsi="Times New Roman"/>
          <w:sz w:val="28"/>
          <w:szCs w:val="28"/>
        </w:rPr>
        <w:t>2.1. specifiskā atbalsta mērķa ”</w:t>
      </w:r>
      <w:r w:rsidRPr="00E93ED4">
        <w:rPr>
          <w:rFonts w:ascii="Times New Roman" w:hAnsi="Times New Roman"/>
          <w:sz w:val="28"/>
          <w:szCs w:val="28"/>
        </w:rPr>
        <w:t>Palielināt augstas pievienotās vērtības produktu un pakalpojumu eksporta</w:t>
      </w:r>
      <w:r w:rsidR="00816721">
        <w:rPr>
          <w:rFonts w:ascii="Times New Roman" w:hAnsi="Times New Roman"/>
          <w:sz w:val="28"/>
          <w:szCs w:val="28"/>
        </w:rPr>
        <w:t xml:space="preserve"> proporciju” 3.2.1.2. pasākums ”</w:t>
      </w:r>
      <w:r w:rsidRPr="00E93ED4">
        <w:rPr>
          <w:rFonts w:ascii="Times New Roman" w:hAnsi="Times New Roman"/>
          <w:sz w:val="28"/>
          <w:szCs w:val="28"/>
        </w:rPr>
        <w:t>Starptautiskās konkurētspējas veicināšana”. Pasākuma mērķis ir veicināt nozaru starptautisko konkurētspēju, atbalstot uzņēmējdarbību un ieiešanu ārvalstu tirgos. Pasākuma mērķa grupa un gala labuma guvēji ir komersanti, kooperatīvās sabiedrības (tai skaitā lauksaimniecības pakalpojumu kooperatīvā sabiedrība vai atbilstīga lauksaimniecības pakalpojumu kooperatīvā sabiedrība), zemnieku vai zvejnieku saimniecības, individuālie uzņēmumi, biedrības, nodibinājumi, kuri atbilst sīko (</w:t>
      </w:r>
      <w:proofErr w:type="spellStart"/>
      <w:r w:rsidRPr="00E93ED4">
        <w:rPr>
          <w:rFonts w:ascii="Times New Roman" w:hAnsi="Times New Roman"/>
          <w:sz w:val="28"/>
          <w:szCs w:val="28"/>
        </w:rPr>
        <w:t>mikro</w:t>
      </w:r>
      <w:proofErr w:type="spellEnd"/>
      <w:r w:rsidRPr="00E93ED4">
        <w:rPr>
          <w:rFonts w:ascii="Times New Roman" w:hAnsi="Times New Roman"/>
          <w:sz w:val="28"/>
          <w:szCs w:val="28"/>
        </w:rPr>
        <w:t>), mazo un vidējo saimnieciskās darbības subjektu (komercsabiedrību) statusam saskaņā ar Komisijas 2014.gada 17.jūnija Regulu (ES) Nr.651/2014. Pasākumam plānotais kopējais attiecināmais finansējums ir 60 944 588 EUR.</w:t>
      </w:r>
    </w:p>
    <w:p w:rsidR="00E93ED4" w:rsidRPr="00E93ED4" w:rsidRDefault="00E93ED4" w:rsidP="000D4A91">
      <w:pPr>
        <w:spacing w:after="0" w:line="240" w:lineRule="auto"/>
        <w:ind w:firstLine="709"/>
        <w:jc w:val="both"/>
        <w:rPr>
          <w:rFonts w:ascii="Times New Roman" w:hAnsi="Times New Roman"/>
          <w:sz w:val="28"/>
          <w:szCs w:val="28"/>
        </w:rPr>
      </w:pPr>
      <w:r w:rsidRPr="00E93ED4">
        <w:rPr>
          <w:rFonts w:ascii="Times New Roman" w:hAnsi="Times New Roman"/>
          <w:sz w:val="28"/>
          <w:szCs w:val="28"/>
        </w:rPr>
        <w:t xml:space="preserve">Papildus informējam, ka, lai īstenotu </w:t>
      </w:r>
      <w:r w:rsidR="0022354A">
        <w:rPr>
          <w:rFonts w:ascii="Times New Roman" w:hAnsi="Times New Roman"/>
          <w:sz w:val="28"/>
          <w:szCs w:val="28"/>
        </w:rPr>
        <w:t>LAĶĪFA noteikto mērķi 4(a) par ”</w:t>
      </w:r>
      <w:r w:rsidRPr="00E93ED4">
        <w:rPr>
          <w:rFonts w:ascii="Times New Roman" w:hAnsi="Times New Roman"/>
          <w:sz w:val="28"/>
          <w:szCs w:val="28"/>
        </w:rPr>
        <w:t xml:space="preserve">Valsts budžeta finansējuma programmas izveidi eksporta atbalstam lielajiem uzņēmumiem”, jau 2015.gadā </w:t>
      </w:r>
      <w:r w:rsidR="000D4A91">
        <w:rPr>
          <w:rFonts w:ascii="Times New Roman" w:hAnsi="Times New Roman"/>
          <w:sz w:val="28"/>
          <w:szCs w:val="28"/>
        </w:rPr>
        <w:t xml:space="preserve">Ekonomikas </w:t>
      </w:r>
      <w:r w:rsidRPr="00E93ED4">
        <w:rPr>
          <w:rFonts w:ascii="Times New Roman" w:hAnsi="Times New Roman"/>
          <w:sz w:val="28"/>
          <w:szCs w:val="28"/>
        </w:rPr>
        <w:t xml:space="preserve">ministrija izstrādāja Jaunās politikas iniciatīvu (turpmāk – JPI) lielo uzņēmumu eksporta konkurētspējas veicināšanai. </w:t>
      </w:r>
      <w:r w:rsidRPr="00E93ED4">
        <w:rPr>
          <w:rFonts w:ascii="Times New Roman" w:hAnsi="Times New Roman"/>
          <w:sz w:val="28"/>
          <w:szCs w:val="28"/>
        </w:rPr>
        <w:lastRenderedPageBreak/>
        <w:t>JPI tika aprēķināts nepieciešamais finansējums 3 gadiem (2015; 2016; 2017) 2,16 milj. EUR apmērā, lai turpinātu sniegt atbalstu lielajiem uzņēmumiem jaunu eksporta tirgu apguvē un eksporta palielināšanā uz prioritāriem mērķa tirgiem. Diemžēl šī iniciatīva tika noraidīta un lielie uzņēmumi nepieciešamo valsts finansējumu eksporta veicināšanai nesaņēma. Vienlaikus Ekonomikas ministrija uzskata, ka šāda atbalsta programma ilgtermiņā būtu ieviešama.</w:t>
      </w:r>
    </w:p>
    <w:p w:rsidR="00E93ED4" w:rsidRPr="00E93ED4" w:rsidRDefault="00E93ED4" w:rsidP="0022354A">
      <w:pPr>
        <w:spacing w:after="0" w:line="240" w:lineRule="auto"/>
        <w:ind w:firstLine="709"/>
        <w:jc w:val="both"/>
        <w:rPr>
          <w:rFonts w:ascii="Times New Roman" w:hAnsi="Times New Roman"/>
          <w:sz w:val="28"/>
          <w:szCs w:val="28"/>
        </w:rPr>
      </w:pPr>
      <w:r w:rsidRPr="00E93ED4">
        <w:rPr>
          <w:rFonts w:ascii="Times New Roman" w:hAnsi="Times New Roman"/>
          <w:sz w:val="28"/>
          <w:szCs w:val="28"/>
        </w:rPr>
        <w:t>Savukārt, lai izpildītu LAĶĪFA izv</w:t>
      </w:r>
      <w:r w:rsidR="0022354A">
        <w:rPr>
          <w:rFonts w:ascii="Times New Roman" w:hAnsi="Times New Roman"/>
          <w:sz w:val="28"/>
          <w:szCs w:val="28"/>
        </w:rPr>
        <w:t>irzīto mērķi 4(d) par ”</w:t>
      </w:r>
      <w:r w:rsidRPr="00E93ED4">
        <w:rPr>
          <w:rFonts w:ascii="Times New Roman" w:hAnsi="Times New Roman"/>
          <w:sz w:val="28"/>
          <w:szCs w:val="28"/>
        </w:rPr>
        <w:t xml:space="preserve">ALTUM eksporta garantiju apjoma divkāršu palielināšanu”, </w:t>
      </w:r>
      <w:r w:rsidR="00C058D1">
        <w:rPr>
          <w:rFonts w:ascii="Times New Roman" w:hAnsi="Times New Roman"/>
          <w:sz w:val="28"/>
          <w:szCs w:val="28"/>
        </w:rPr>
        <w:t xml:space="preserve">Ekonomikas </w:t>
      </w:r>
      <w:r w:rsidRPr="00E93ED4">
        <w:rPr>
          <w:rFonts w:ascii="Times New Roman" w:hAnsi="Times New Roman"/>
          <w:sz w:val="28"/>
          <w:szCs w:val="28"/>
        </w:rPr>
        <w:t xml:space="preserve">ministrijā tiek izstrādāta jauna īstermiņa eksporta kredītu garantiju programma 2014.-2020.gada plānošanas perioda ietvaros, kas risinātu tirgus nepilnības un veicinātu eksportu orientētu uzņēmumu attīstību. Programmā ir paredzēts lielākas garantijas summas vienam saimnieciskās darbības veicēja eksporta kredīta darījumiem ar vienu debitoru apmērā </w:t>
      </w:r>
      <w:r w:rsidR="00C058D1">
        <w:rPr>
          <w:rFonts w:ascii="Times New Roman" w:hAnsi="Times New Roman"/>
          <w:sz w:val="28"/>
          <w:szCs w:val="28"/>
        </w:rPr>
        <w:t>–</w:t>
      </w:r>
      <w:r w:rsidRPr="00E93ED4">
        <w:rPr>
          <w:rFonts w:ascii="Times New Roman" w:hAnsi="Times New Roman"/>
          <w:sz w:val="28"/>
          <w:szCs w:val="28"/>
        </w:rPr>
        <w:t xml:space="preserve"> līdz 2 milj. EUR.</w:t>
      </w:r>
    </w:p>
    <w:p w:rsidR="00E93ED4" w:rsidRDefault="00E93ED4" w:rsidP="0022354A">
      <w:pPr>
        <w:spacing w:after="0" w:line="240" w:lineRule="auto"/>
        <w:ind w:firstLine="709"/>
        <w:jc w:val="both"/>
        <w:rPr>
          <w:rFonts w:ascii="Times New Roman" w:hAnsi="Times New Roman"/>
          <w:sz w:val="28"/>
          <w:szCs w:val="28"/>
        </w:rPr>
      </w:pPr>
      <w:r w:rsidRPr="00E93ED4">
        <w:rPr>
          <w:rFonts w:ascii="Times New Roman" w:hAnsi="Times New Roman"/>
          <w:sz w:val="28"/>
          <w:szCs w:val="28"/>
        </w:rPr>
        <w:t xml:space="preserve">Attiecībā uz </w:t>
      </w:r>
      <w:r w:rsidR="00C058D1">
        <w:rPr>
          <w:rFonts w:ascii="Times New Roman" w:hAnsi="Times New Roman"/>
          <w:sz w:val="28"/>
          <w:szCs w:val="28"/>
        </w:rPr>
        <w:t xml:space="preserve">Ekonomikas </w:t>
      </w:r>
      <w:r w:rsidRPr="00E93ED4">
        <w:rPr>
          <w:rFonts w:ascii="Times New Roman" w:hAnsi="Times New Roman"/>
          <w:sz w:val="28"/>
          <w:szCs w:val="28"/>
        </w:rPr>
        <w:t>ministrijas iesaisti farmācijas nozares attīstības veicināšanā un aktuālo sadarbības jautājumu ar ārvalstīm risināšanā informējam, ka gatavojoties Starpvaldību komisiju (SVK) un Apvienoto komiteju (AK) sēdēm, vienmēr tiek apzinātas visas ministrijas un uzņēmējus pārstāvošās organizācijas, asociācijas, t.sk. LAĶĪFA, aicinot informēt par sadarbības interesēm un aktuālajiem jautājumiem, projektiem, t.sk., problemātiskajiem jautājumiem sadarbībā ar attiecīgajām partnervalstīm. Pirms SVK un AK sēdēm tiek organizētas Latvijas pārstāvju darba grupas sanāksmes, kurās tiek pārrunāti aktuālie sadarbības jautājumi un panākta vienošanās par SVK/</w:t>
      </w:r>
      <w:r w:rsidR="00381CD4">
        <w:rPr>
          <w:rFonts w:ascii="Times New Roman" w:hAnsi="Times New Roman"/>
          <w:sz w:val="28"/>
          <w:szCs w:val="28"/>
        </w:rPr>
        <w:t xml:space="preserve"> </w:t>
      </w:r>
      <w:r w:rsidRPr="00E93ED4">
        <w:rPr>
          <w:rFonts w:ascii="Times New Roman" w:hAnsi="Times New Roman"/>
          <w:sz w:val="28"/>
          <w:szCs w:val="28"/>
        </w:rPr>
        <w:t>AK sēdes darba kārtībā no Latvijas puses iekļaujamajiem jautājumiem. Sēdēs tiek aicināti piedalīties valsts iestāžu un uz</w:t>
      </w:r>
      <w:r w:rsidR="00381CD4">
        <w:rPr>
          <w:rFonts w:ascii="Times New Roman" w:hAnsi="Times New Roman"/>
          <w:sz w:val="28"/>
          <w:szCs w:val="28"/>
        </w:rPr>
        <w:t>ņēmējus pārstāvošo organizāciju</w:t>
      </w:r>
      <w:r w:rsidRPr="00E93ED4">
        <w:rPr>
          <w:rFonts w:ascii="Times New Roman" w:hAnsi="Times New Roman"/>
          <w:sz w:val="28"/>
          <w:szCs w:val="28"/>
        </w:rPr>
        <w:t xml:space="preserve"> pārstāvji.</w:t>
      </w:r>
    </w:p>
    <w:p w:rsidR="00C058D1" w:rsidRPr="00834DFD" w:rsidRDefault="00C058D1" w:rsidP="00C058D1">
      <w:pPr>
        <w:spacing w:after="0" w:line="240" w:lineRule="auto"/>
        <w:ind w:firstLine="720"/>
        <w:jc w:val="both"/>
        <w:rPr>
          <w:rFonts w:ascii="Times New Roman" w:hAnsi="Times New Roman"/>
          <w:color w:val="000000"/>
          <w:sz w:val="28"/>
          <w:szCs w:val="28"/>
          <w:lang w:eastAsia="lv-LV"/>
        </w:rPr>
      </w:pPr>
      <w:r w:rsidRPr="00834DFD">
        <w:rPr>
          <w:rFonts w:ascii="Times New Roman" w:hAnsi="Times New Roman"/>
          <w:color w:val="000000"/>
          <w:sz w:val="28"/>
          <w:szCs w:val="28"/>
          <w:lang w:eastAsia="lv-LV"/>
        </w:rPr>
        <w:t>Attiecībā uz LAĶĪFA izteikto ierosinājumu noslēgt jaunas divpusējās vienošanās par savstarpējo reģistrācijas atzīšanu ārpus E</w:t>
      </w:r>
      <w:r w:rsidR="00D334FF">
        <w:rPr>
          <w:rFonts w:ascii="Times New Roman" w:hAnsi="Times New Roman"/>
          <w:color w:val="000000"/>
          <w:sz w:val="28"/>
          <w:szCs w:val="28"/>
          <w:lang w:eastAsia="lv-LV"/>
        </w:rPr>
        <w:t>iropas Savienības</w:t>
      </w:r>
      <w:r w:rsidRPr="00834DFD">
        <w:rPr>
          <w:rFonts w:ascii="Times New Roman" w:hAnsi="Times New Roman"/>
          <w:color w:val="000000"/>
          <w:sz w:val="28"/>
          <w:szCs w:val="28"/>
          <w:lang w:eastAsia="lv-LV"/>
        </w:rPr>
        <w:t xml:space="preserve">, vēlamies informēt, ka </w:t>
      </w:r>
      <w:r w:rsidR="00B645C6">
        <w:rPr>
          <w:rFonts w:ascii="Times New Roman" w:hAnsi="Times New Roman"/>
          <w:color w:val="000000"/>
          <w:sz w:val="28"/>
          <w:szCs w:val="28"/>
          <w:lang w:eastAsia="lv-LV"/>
        </w:rPr>
        <w:t>pašreiz tiek realizēts</w:t>
      </w:r>
      <w:r w:rsidRPr="00834DFD">
        <w:rPr>
          <w:rFonts w:ascii="Times New Roman" w:hAnsi="Times New Roman"/>
          <w:color w:val="000000"/>
          <w:sz w:val="28"/>
          <w:szCs w:val="28"/>
          <w:lang w:eastAsia="lv-LV"/>
        </w:rPr>
        <w:t xml:space="preserve"> </w:t>
      </w:r>
      <w:proofErr w:type="spellStart"/>
      <w:r w:rsidRPr="00834DFD">
        <w:rPr>
          <w:rFonts w:ascii="Times New Roman" w:hAnsi="Times New Roman"/>
          <w:i/>
          <w:color w:val="000000"/>
          <w:sz w:val="28"/>
          <w:szCs w:val="28"/>
          <w:lang w:eastAsia="lv-LV"/>
        </w:rPr>
        <w:t>International</w:t>
      </w:r>
      <w:proofErr w:type="spellEnd"/>
      <w:r w:rsidRPr="00834DFD">
        <w:rPr>
          <w:rFonts w:ascii="Times New Roman" w:hAnsi="Times New Roman"/>
          <w:i/>
          <w:color w:val="000000"/>
          <w:sz w:val="28"/>
          <w:szCs w:val="28"/>
          <w:lang w:eastAsia="lv-LV"/>
        </w:rPr>
        <w:t xml:space="preserve"> </w:t>
      </w:r>
      <w:proofErr w:type="spellStart"/>
      <w:r w:rsidRPr="00834DFD">
        <w:rPr>
          <w:rFonts w:ascii="Times New Roman" w:hAnsi="Times New Roman"/>
          <w:i/>
          <w:color w:val="000000"/>
          <w:sz w:val="28"/>
          <w:szCs w:val="28"/>
          <w:lang w:eastAsia="lv-LV"/>
        </w:rPr>
        <w:t>Generic</w:t>
      </w:r>
      <w:proofErr w:type="spellEnd"/>
      <w:r w:rsidRPr="00834DFD">
        <w:rPr>
          <w:rFonts w:ascii="Times New Roman" w:hAnsi="Times New Roman"/>
          <w:i/>
          <w:color w:val="000000"/>
          <w:sz w:val="28"/>
          <w:szCs w:val="28"/>
          <w:lang w:eastAsia="lv-LV"/>
        </w:rPr>
        <w:t xml:space="preserve"> </w:t>
      </w:r>
      <w:proofErr w:type="spellStart"/>
      <w:r w:rsidRPr="00834DFD">
        <w:rPr>
          <w:rFonts w:ascii="Times New Roman" w:hAnsi="Times New Roman"/>
          <w:i/>
          <w:color w:val="000000"/>
          <w:sz w:val="28"/>
          <w:szCs w:val="28"/>
          <w:lang w:eastAsia="lv-LV"/>
        </w:rPr>
        <w:t>Drug</w:t>
      </w:r>
      <w:proofErr w:type="spellEnd"/>
      <w:r w:rsidRPr="00834DFD">
        <w:rPr>
          <w:rFonts w:ascii="Times New Roman" w:hAnsi="Times New Roman"/>
          <w:i/>
          <w:color w:val="000000"/>
          <w:sz w:val="28"/>
          <w:szCs w:val="28"/>
          <w:lang w:eastAsia="lv-LV"/>
        </w:rPr>
        <w:t xml:space="preserve"> Regulators </w:t>
      </w:r>
      <w:proofErr w:type="spellStart"/>
      <w:r w:rsidRPr="00834DFD">
        <w:rPr>
          <w:rFonts w:ascii="Times New Roman" w:hAnsi="Times New Roman"/>
          <w:i/>
          <w:color w:val="000000"/>
          <w:sz w:val="28"/>
          <w:szCs w:val="28"/>
          <w:lang w:eastAsia="lv-LV"/>
        </w:rPr>
        <w:t>Programme</w:t>
      </w:r>
      <w:proofErr w:type="spellEnd"/>
      <w:r w:rsidRPr="00834DFD">
        <w:rPr>
          <w:rFonts w:ascii="Times New Roman" w:hAnsi="Times New Roman"/>
          <w:color w:val="000000"/>
          <w:sz w:val="28"/>
          <w:szCs w:val="28"/>
          <w:lang w:eastAsia="lv-LV"/>
        </w:rPr>
        <w:t xml:space="preserve"> (IGDRP) pilotprojekts, kur</w:t>
      </w:r>
      <w:r w:rsidR="00D334FF">
        <w:rPr>
          <w:rFonts w:ascii="Times New Roman" w:hAnsi="Times New Roman"/>
          <w:color w:val="000000"/>
          <w:sz w:val="28"/>
          <w:szCs w:val="28"/>
          <w:lang w:eastAsia="lv-LV"/>
        </w:rPr>
        <w:t>a ietvaros</w:t>
      </w:r>
      <w:r w:rsidRPr="00834DFD">
        <w:rPr>
          <w:rFonts w:ascii="Times New Roman" w:hAnsi="Times New Roman"/>
          <w:color w:val="000000"/>
          <w:sz w:val="28"/>
          <w:szCs w:val="28"/>
          <w:lang w:eastAsia="lv-LV"/>
        </w:rPr>
        <w:t xml:space="preserve"> darba dalīšanas procedūrā zāļu reģistrācija notiek vienlaicīgi Eiropas Savienīb</w:t>
      </w:r>
      <w:r w:rsidR="00A3734C">
        <w:rPr>
          <w:rFonts w:ascii="Times New Roman" w:hAnsi="Times New Roman"/>
          <w:color w:val="000000"/>
          <w:sz w:val="28"/>
          <w:szCs w:val="28"/>
          <w:lang w:eastAsia="lv-LV"/>
        </w:rPr>
        <w:t>as</w:t>
      </w:r>
      <w:r w:rsidRPr="00834DFD">
        <w:rPr>
          <w:rFonts w:ascii="Times New Roman" w:hAnsi="Times New Roman"/>
          <w:color w:val="000000"/>
          <w:sz w:val="28"/>
          <w:szCs w:val="28"/>
          <w:lang w:eastAsia="lv-LV"/>
        </w:rPr>
        <w:t xml:space="preserve"> izvēlēt</w:t>
      </w:r>
      <w:r w:rsidR="00A3734C">
        <w:rPr>
          <w:rFonts w:ascii="Times New Roman" w:hAnsi="Times New Roman"/>
          <w:color w:val="000000"/>
          <w:sz w:val="28"/>
          <w:szCs w:val="28"/>
          <w:lang w:eastAsia="lv-LV"/>
        </w:rPr>
        <w:t>aj</w:t>
      </w:r>
      <w:r w:rsidRPr="00834DFD">
        <w:rPr>
          <w:rFonts w:ascii="Times New Roman" w:hAnsi="Times New Roman"/>
          <w:color w:val="000000"/>
          <w:sz w:val="28"/>
          <w:szCs w:val="28"/>
          <w:lang w:eastAsia="lv-LV"/>
        </w:rPr>
        <w:t>ās dalībvalstīs un citās pasaules valstīs. Projektā vadošā valsts ir viena no E</w:t>
      </w:r>
      <w:r w:rsidR="00D334FF">
        <w:rPr>
          <w:rFonts w:ascii="Times New Roman" w:hAnsi="Times New Roman"/>
          <w:color w:val="000000"/>
          <w:sz w:val="28"/>
          <w:szCs w:val="28"/>
          <w:lang w:eastAsia="lv-LV"/>
        </w:rPr>
        <w:t xml:space="preserve">iropas </w:t>
      </w:r>
      <w:r w:rsidRPr="00834DFD">
        <w:rPr>
          <w:rFonts w:ascii="Times New Roman" w:hAnsi="Times New Roman"/>
          <w:color w:val="000000"/>
          <w:sz w:val="28"/>
          <w:szCs w:val="28"/>
          <w:lang w:eastAsia="lv-LV"/>
        </w:rPr>
        <w:t>S</w:t>
      </w:r>
      <w:r w:rsidR="00D334FF">
        <w:rPr>
          <w:rFonts w:ascii="Times New Roman" w:hAnsi="Times New Roman"/>
          <w:color w:val="000000"/>
          <w:sz w:val="28"/>
          <w:szCs w:val="28"/>
          <w:lang w:eastAsia="lv-LV"/>
        </w:rPr>
        <w:t>avienības</w:t>
      </w:r>
      <w:r w:rsidRPr="00834DFD">
        <w:rPr>
          <w:rFonts w:ascii="Times New Roman" w:hAnsi="Times New Roman"/>
          <w:color w:val="000000"/>
          <w:sz w:val="28"/>
          <w:szCs w:val="28"/>
          <w:lang w:eastAsia="lv-LV"/>
        </w:rPr>
        <w:t xml:space="preserve"> dalībvalstīm, sadarbību koordinē </w:t>
      </w:r>
      <w:r w:rsidR="00D334FF">
        <w:rPr>
          <w:rFonts w:ascii="Times New Roman" w:hAnsi="Times New Roman"/>
          <w:color w:val="000000"/>
          <w:sz w:val="28"/>
          <w:szCs w:val="28"/>
          <w:lang w:eastAsia="lv-LV"/>
        </w:rPr>
        <w:t xml:space="preserve">Eiropas Padomes </w:t>
      </w:r>
      <w:r w:rsidRPr="00834DFD">
        <w:rPr>
          <w:rFonts w:ascii="Times New Roman" w:hAnsi="Times New Roman"/>
          <w:color w:val="000000"/>
          <w:sz w:val="28"/>
          <w:szCs w:val="28"/>
          <w:lang w:eastAsia="lv-LV"/>
        </w:rPr>
        <w:t>Eiro</w:t>
      </w:r>
      <w:r w:rsidR="00D334FF">
        <w:rPr>
          <w:rFonts w:ascii="Times New Roman" w:hAnsi="Times New Roman"/>
          <w:color w:val="000000"/>
          <w:sz w:val="28"/>
          <w:szCs w:val="28"/>
          <w:lang w:eastAsia="lv-LV"/>
        </w:rPr>
        <w:t>pas Z</w:t>
      </w:r>
      <w:r w:rsidRPr="00834DFD">
        <w:rPr>
          <w:rFonts w:ascii="Times New Roman" w:hAnsi="Times New Roman"/>
          <w:color w:val="000000"/>
          <w:sz w:val="28"/>
          <w:szCs w:val="28"/>
          <w:lang w:eastAsia="lv-LV"/>
        </w:rPr>
        <w:t>āļu</w:t>
      </w:r>
      <w:r w:rsidR="00D334FF">
        <w:rPr>
          <w:rFonts w:ascii="Times New Roman" w:hAnsi="Times New Roman"/>
          <w:color w:val="000000"/>
          <w:sz w:val="28"/>
          <w:szCs w:val="28"/>
          <w:lang w:eastAsia="lv-LV"/>
        </w:rPr>
        <w:t xml:space="preserve"> un veselības aprūpes kvalitātes</w:t>
      </w:r>
      <w:r w:rsidRPr="00834DFD">
        <w:rPr>
          <w:rFonts w:ascii="Times New Roman" w:hAnsi="Times New Roman"/>
          <w:color w:val="000000"/>
          <w:sz w:val="28"/>
          <w:szCs w:val="28"/>
          <w:lang w:eastAsia="lv-LV"/>
        </w:rPr>
        <w:t xml:space="preserve"> direktorāts (EDQM), dokumentācija un laika grafiks atbilst zāļu decentralizētās procedūras nosacījumiem. </w:t>
      </w:r>
      <w:r w:rsidR="00D334FF">
        <w:rPr>
          <w:rFonts w:ascii="Times New Roman" w:hAnsi="Times New Roman"/>
          <w:color w:val="000000"/>
          <w:sz w:val="28"/>
          <w:szCs w:val="28"/>
          <w:lang w:eastAsia="lv-LV"/>
        </w:rPr>
        <w:t>I</w:t>
      </w:r>
      <w:r w:rsidRPr="00834DFD">
        <w:rPr>
          <w:rFonts w:ascii="Times New Roman" w:hAnsi="Times New Roman"/>
          <w:color w:val="000000"/>
          <w:sz w:val="28"/>
          <w:szCs w:val="28"/>
          <w:lang w:eastAsia="lv-LV"/>
        </w:rPr>
        <w:t xml:space="preserve">esniedzēji var izmantot šo iespēju, lai ar vienu procedūru reģistrētu zāles </w:t>
      </w:r>
      <w:r w:rsidR="00B645C6">
        <w:rPr>
          <w:rFonts w:ascii="Times New Roman" w:hAnsi="Times New Roman"/>
          <w:color w:val="000000"/>
          <w:sz w:val="28"/>
          <w:szCs w:val="28"/>
          <w:lang w:eastAsia="lv-LV"/>
        </w:rPr>
        <w:t>vairākās</w:t>
      </w:r>
      <w:r w:rsidRPr="00834DFD">
        <w:rPr>
          <w:rFonts w:ascii="Times New Roman" w:hAnsi="Times New Roman"/>
          <w:color w:val="000000"/>
          <w:sz w:val="28"/>
          <w:szCs w:val="28"/>
          <w:lang w:eastAsia="lv-LV"/>
        </w:rPr>
        <w:t xml:space="preserve"> pasaul</w:t>
      </w:r>
      <w:r w:rsidR="00B645C6">
        <w:rPr>
          <w:rFonts w:ascii="Times New Roman" w:hAnsi="Times New Roman"/>
          <w:color w:val="000000"/>
          <w:sz w:val="28"/>
          <w:szCs w:val="28"/>
          <w:lang w:eastAsia="lv-LV"/>
        </w:rPr>
        <w:t>es valstīs</w:t>
      </w:r>
      <w:r w:rsidRPr="00834DFD">
        <w:rPr>
          <w:rFonts w:ascii="Times New Roman" w:hAnsi="Times New Roman"/>
          <w:color w:val="000000"/>
          <w:sz w:val="28"/>
          <w:szCs w:val="28"/>
          <w:lang w:eastAsia="lv-LV"/>
        </w:rPr>
        <w:t xml:space="preserve">. Projektā piedalās </w:t>
      </w:r>
      <w:r w:rsidR="00B645C6" w:rsidRPr="00834DFD">
        <w:rPr>
          <w:rFonts w:ascii="Times New Roman" w:hAnsi="Times New Roman"/>
          <w:color w:val="000000"/>
          <w:sz w:val="28"/>
          <w:szCs w:val="28"/>
          <w:lang w:eastAsia="lv-LV"/>
        </w:rPr>
        <w:t>Eiropas Savienība</w:t>
      </w:r>
      <w:r w:rsidR="00B645C6">
        <w:rPr>
          <w:rFonts w:ascii="Times New Roman" w:hAnsi="Times New Roman"/>
          <w:color w:val="000000"/>
          <w:sz w:val="28"/>
          <w:szCs w:val="28"/>
          <w:lang w:eastAsia="lv-LV"/>
        </w:rPr>
        <w:t>s dalībvalstis,</w:t>
      </w:r>
      <w:r w:rsidR="00B645C6" w:rsidRPr="00834DFD">
        <w:rPr>
          <w:rFonts w:ascii="Times New Roman" w:hAnsi="Times New Roman"/>
          <w:color w:val="000000"/>
          <w:sz w:val="28"/>
          <w:szCs w:val="28"/>
          <w:lang w:eastAsia="lv-LV"/>
        </w:rPr>
        <w:t xml:space="preserve"> A</w:t>
      </w:r>
      <w:r w:rsidR="00B645C6">
        <w:rPr>
          <w:rFonts w:ascii="Times New Roman" w:hAnsi="Times New Roman"/>
          <w:color w:val="000000"/>
          <w:sz w:val="28"/>
          <w:szCs w:val="28"/>
          <w:lang w:eastAsia="lv-LV"/>
        </w:rPr>
        <w:t>merikas Savienotās valstis,</w:t>
      </w:r>
      <w:r w:rsidR="00B645C6" w:rsidRPr="00834DFD">
        <w:rPr>
          <w:rFonts w:ascii="Times New Roman" w:hAnsi="Times New Roman"/>
          <w:color w:val="000000"/>
          <w:sz w:val="28"/>
          <w:szCs w:val="28"/>
          <w:lang w:eastAsia="lv-LV"/>
        </w:rPr>
        <w:t xml:space="preserve"> </w:t>
      </w:r>
      <w:r w:rsidRPr="00834DFD">
        <w:rPr>
          <w:rFonts w:ascii="Times New Roman" w:hAnsi="Times New Roman"/>
          <w:color w:val="000000"/>
          <w:sz w:val="28"/>
          <w:szCs w:val="28"/>
          <w:lang w:eastAsia="lv-LV"/>
        </w:rPr>
        <w:t xml:space="preserve">Austrālija, Brazīlija, </w:t>
      </w:r>
      <w:r w:rsidR="00B645C6" w:rsidRPr="00834DFD">
        <w:rPr>
          <w:rFonts w:ascii="Times New Roman" w:hAnsi="Times New Roman"/>
          <w:color w:val="000000"/>
          <w:sz w:val="28"/>
          <w:szCs w:val="28"/>
          <w:lang w:eastAsia="lv-LV"/>
        </w:rPr>
        <w:t>Dienvidāfrika, Dienvidkoreja</w:t>
      </w:r>
      <w:r w:rsidR="00B645C6">
        <w:rPr>
          <w:rFonts w:ascii="Times New Roman" w:hAnsi="Times New Roman"/>
          <w:color w:val="000000"/>
          <w:sz w:val="28"/>
          <w:szCs w:val="28"/>
          <w:lang w:eastAsia="lv-LV"/>
        </w:rPr>
        <w:t>,</w:t>
      </w:r>
      <w:r w:rsidR="00B645C6" w:rsidRPr="00834DFD">
        <w:rPr>
          <w:rFonts w:ascii="Times New Roman" w:hAnsi="Times New Roman"/>
          <w:color w:val="000000"/>
          <w:sz w:val="28"/>
          <w:szCs w:val="28"/>
          <w:lang w:eastAsia="lv-LV"/>
        </w:rPr>
        <w:t xml:space="preserve"> Japāna,</w:t>
      </w:r>
      <w:r w:rsidR="00B645C6">
        <w:rPr>
          <w:rFonts w:ascii="Times New Roman" w:hAnsi="Times New Roman"/>
          <w:color w:val="000000"/>
          <w:sz w:val="28"/>
          <w:szCs w:val="28"/>
          <w:lang w:eastAsia="lv-LV"/>
        </w:rPr>
        <w:t xml:space="preserve"> </w:t>
      </w:r>
      <w:r w:rsidRPr="00834DFD">
        <w:rPr>
          <w:rFonts w:ascii="Times New Roman" w:hAnsi="Times New Roman"/>
          <w:color w:val="000000"/>
          <w:sz w:val="28"/>
          <w:szCs w:val="28"/>
          <w:lang w:eastAsia="lv-LV"/>
        </w:rPr>
        <w:t xml:space="preserve">Kanāda, </w:t>
      </w:r>
      <w:r w:rsidR="00B645C6" w:rsidRPr="00834DFD">
        <w:rPr>
          <w:rFonts w:ascii="Times New Roman" w:hAnsi="Times New Roman"/>
          <w:color w:val="000000"/>
          <w:sz w:val="28"/>
          <w:szCs w:val="28"/>
          <w:lang w:eastAsia="lv-LV"/>
        </w:rPr>
        <w:t xml:space="preserve">Meksika, </w:t>
      </w:r>
      <w:r w:rsidRPr="00834DFD">
        <w:rPr>
          <w:rFonts w:ascii="Times New Roman" w:hAnsi="Times New Roman"/>
          <w:color w:val="000000"/>
          <w:sz w:val="28"/>
          <w:szCs w:val="28"/>
          <w:lang w:eastAsia="lv-LV"/>
        </w:rPr>
        <w:t xml:space="preserve">Singapūra, Šveice, </w:t>
      </w:r>
      <w:r w:rsidR="00B645C6" w:rsidRPr="00834DFD">
        <w:rPr>
          <w:rFonts w:ascii="Times New Roman" w:hAnsi="Times New Roman"/>
          <w:color w:val="000000"/>
          <w:sz w:val="28"/>
          <w:szCs w:val="28"/>
          <w:lang w:eastAsia="lv-LV"/>
        </w:rPr>
        <w:t>Taivāna,</w:t>
      </w:r>
      <w:r w:rsidR="00B645C6">
        <w:rPr>
          <w:rFonts w:ascii="Times New Roman" w:hAnsi="Times New Roman"/>
          <w:color w:val="000000"/>
          <w:sz w:val="28"/>
          <w:szCs w:val="28"/>
          <w:lang w:eastAsia="lv-LV"/>
        </w:rPr>
        <w:t xml:space="preserve"> kā arī</w:t>
      </w:r>
      <w:r w:rsidRPr="00834DFD">
        <w:rPr>
          <w:rFonts w:ascii="Times New Roman" w:hAnsi="Times New Roman"/>
          <w:color w:val="000000"/>
          <w:sz w:val="28"/>
          <w:szCs w:val="28"/>
          <w:lang w:eastAsia="lv-LV"/>
        </w:rPr>
        <w:t xml:space="preserve"> </w:t>
      </w:r>
      <w:r w:rsidR="00B645C6" w:rsidRPr="00834DFD">
        <w:rPr>
          <w:rFonts w:ascii="Times New Roman" w:hAnsi="Times New Roman"/>
          <w:color w:val="000000"/>
          <w:sz w:val="28"/>
          <w:szCs w:val="28"/>
          <w:lang w:eastAsia="lv-LV"/>
        </w:rPr>
        <w:t xml:space="preserve">EDQM </w:t>
      </w:r>
      <w:r w:rsidR="00B645C6">
        <w:rPr>
          <w:rFonts w:ascii="Times New Roman" w:hAnsi="Times New Roman"/>
          <w:color w:val="000000"/>
          <w:sz w:val="28"/>
          <w:szCs w:val="28"/>
          <w:lang w:eastAsia="lv-LV"/>
        </w:rPr>
        <w:t xml:space="preserve">un </w:t>
      </w:r>
      <w:r w:rsidRPr="00834DFD">
        <w:rPr>
          <w:rFonts w:ascii="Times New Roman" w:hAnsi="Times New Roman"/>
          <w:color w:val="000000"/>
          <w:sz w:val="28"/>
          <w:szCs w:val="28"/>
          <w:lang w:eastAsia="lv-LV"/>
        </w:rPr>
        <w:t>P</w:t>
      </w:r>
      <w:r w:rsidR="00B645C6">
        <w:rPr>
          <w:rFonts w:ascii="Times New Roman" w:hAnsi="Times New Roman"/>
          <w:color w:val="000000"/>
          <w:sz w:val="28"/>
          <w:szCs w:val="28"/>
          <w:lang w:eastAsia="lv-LV"/>
        </w:rPr>
        <w:t>asaules Veselības organizācija</w:t>
      </w:r>
      <w:r w:rsidRPr="00834DFD">
        <w:rPr>
          <w:rFonts w:ascii="Times New Roman" w:hAnsi="Times New Roman"/>
          <w:color w:val="000000"/>
          <w:sz w:val="28"/>
          <w:szCs w:val="28"/>
          <w:lang w:eastAsia="lv-LV"/>
        </w:rPr>
        <w:t xml:space="preserve">. </w:t>
      </w:r>
      <w:r w:rsidR="0043041A">
        <w:rPr>
          <w:rFonts w:ascii="Times New Roman" w:hAnsi="Times New Roman"/>
          <w:color w:val="000000"/>
          <w:sz w:val="28"/>
          <w:szCs w:val="28"/>
          <w:lang w:eastAsia="lv-LV"/>
        </w:rPr>
        <w:t>Detalizētāku</w:t>
      </w:r>
      <w:r w:rsidRPr="00834DFD">
        <w:rPr>
          <w:rFonts w:ascii="Times New Roman" w:hAnsi="Times New Roman"/>
          <w:color w:val="000000"/>
          <w:sz w:val="28"/>
          <w:szCs w:val="28"/>
          <w:lang w:eastAsia="lv-LV"/>
        </w:rPr>
        <w:t xml:space="preserve"> informāciju par projektu var iegūt tīmekļa vietnē: https://www.igdrp.com/.</w:t>
      </w:r>
    </w:p>
    <w:p w:rsidR="00C058D1" w:rsidRPr="00C058D1" w:rsidRDefault="00C058D1" w:rsidP="00C058D1">
      <w:pPr>
        <w:spacing w:after="0" w:line="240" w:lineRule="auto"/>
        <w:ind w:firstLine="720"/>
        <w:jc w:val="both"/>
        <w:rPr>
          <w:rFonts w:ascii="Times New Roman" w:eastAsia="Times New Roman" w:hAnsi="Times New Roman"/>
          <w:sz w:val="28"/>
          <w:szCs w:val="28"/>
        </w:rPr>
      </w:pPr>
      <w:r w:rsidRPr="00C058D1">
        <w:rPr>
          <w:rFonts w:ascii="Times New Roman" w:eastAsia="Times New Roman" w:hAnsi="Times New Roman"/>
          <w:sz w:val="28"/>
          <w:szCs w:val="28"/>
        </w:rPr>
        <w:t>Lai rastu perspektīvus ekonomiskās sadarbības tirgus trešajās valstīs, tādējādi sekmējot tik nepieciešamo tirdzniecības partneru dažādošanu, Ārlietu ministrija aicina farmācijas nozares pārstāvjus arī turpmāk piedalīties augstu valsts amatpersonu ekonomiska rakstura vizītēs ārvalstīs</w:t>
      </w:r>
      <w:r>
        <w:rPr>
          <w:rFonts w:ascii="Times New Roman" w:eastAsia="Times New Roman" w:hAnsi="Times New Roman"/>
          <w:sz w:val="28"/>
          <w:szCs w:val="28"/>
        </w:rPr>
        <w:t>, kā arī</w:t>
      </w:r>
      <w:r w:rsidRPr="00C058D1">
        <w:rPr>
          <w:rFonts w:ascii="Times New Roman" w:eastAsia="Times New Roman" w:hAnsi="Times New Roman"/>
          <w:sz w:val="28"/>
          <w:szCs w:val="28"/>
        </w:rPr>
        <w:t xml:space="preserve"> apmeklēt Ārlietu ministrijas organizētos ekonomiska rakstura pasākumus un diskusijas.</w:t>
      </w:r>
    </w:p>
    <w:p w:rsidR="00C058D1" w:rsidRDefault="00C058D1" w:rsidP="00C058D1">
      <w:pPr>
        <w:spacing w:after="0" w:line="240" w:lineRule="auto"/>
        <w:ind w:firstLine="720"/>
        <w:jc w:val="both"/>
        <w:rPr>
          <w:rFonts w:ascii="Times New Roman" w:hAnsi="Times New Roman"/>
          <w:sz w:val="28"/>
          <w:szCs w:val="28"/>
        </w:rPr>
      </w:pPr>
      <w:r w:rsidRPr="00C058D1">
        <w:rPr>
          <w:rFonts w:ascii="Times New Roman" w:hAnsi="Times New Roman"/>
          <w:sz w:val="28"/>
          <w:szCs w:val="28"/>
        </w:rPr>
        <w:lastRenderedPageBreak/>
        <w:t xml:space="preserve">Lai uzlabotu Latvijas farmācijas nozares starptautisko </w:t>
      </w:r>
      <w:r>
        <w:rPr>
          <w:rFonts w:ascii="Times New Roman" w:hAnsi="Times New Roman"/>
          <w:sz w:val="28"/>
          <w:szCs w:val="28"/>
        </w:rPr>
        <w:t xml:space="preserve">konkurētspēju, </w:t>
      </w:r>
      <w:r w:rsidRPr="00C058D1">
        <w:rPr>
          <w:rFonts w:ascii="Times New Roman" w:hAnsi="Times New Roman"/>
          <w:sz w:val="28"/>
          <w:szCs w:val="28"/>
        </w:rPr>
        <w:t>nozares pārstāvj</w:t>
      </w:r>
      <w:r>
        <w:rPr>
          <w:rFonts w:ascii="Times New Roman" w:hAnsi="Times New Roman"/>
          <w:sz w:val="28"/>
          <w:szCs w:val="28"/>
        </w:rPr>
        <w:t>i ir aicināti</w:t>
      </w:r>
      <w:r w:rsidRPr="00C058D1">
        <w:rPr>
          <w:rFonts w:ascii="Times New Roman" w:hAnsi="Times New Roman"/>
          <w:sz w:val="28"/>
          <w:szCs w:val="28"/>
        </w:rPr>
        <w:t xml:space="preserve"> informēt par jautājumiem, kuru efektīvāku risināšanu sekmētu Ārlietu ministrijas un tās diplomātisko pārstāvniecību ārvalstīs sniegtais atbalsts, kā arī sadarbībā ar Veselības ministriju precīzāk definēt Latvijas nacionālās intereses Eiropas Savienības tirdzniecības sarunās ar trešajām valstīm, lai uzlabotu tirgus piekļuves nosacījumus Latvijā ražotiem farmācijas produktiem.</w:t>
      </w:r>
    </w:p>
    <w:p w:rsidR="00C058D1" w:rsidRPr="00E93ED4" w:rsidRDefault="00C058D1" w:rsidP="0022354A">
      <w:pPr>
        <w:spacing w:after="0" w:line="240" w:lineRule="auto"/>
        <w:ind w:firstLine="709"/>
        <w:jc w:val="both"/>
        <w:rPr>
          <w:rFonts w:ascii="Times New Roman" w:hAnsi="Times New Roman"/>
          <w:sz w:val="28"/>
          <w:szCs w:val="28"/>
        </w:rPr>
      </w:pPr>
    </w:p>
    <w:p w:rsidR="00E93ED4" w:rsidRPr="00E93ED4" w:rsidRDefault="00C058D1" w:rsidP="0022354A">
      <w:pPr>
        <w:spacing w:after="0" w:line="240" w:lineRule="auto"/>
        <w:ind w:firstLine="709"/>
        <w:jc w:val="both"/>
        <w:rPr>
          <w:rFonts w:ascii="Times New Roman" w:hAnsi="Times New Roman"/>
          <w:sz w:val="28"/>
          <w:szCs w:val="28"/>
        </w:rPr>
      </w:pPr>
      <w:r>
        <w:rPr>
          <w:rFonts w:ascii="Times New Roman" w:hAnsi="Times New Roman"/>
          <w:sz w:val="28"/>
          <w:szCs w:val="28"/>
        </w:rPr>
        <w:t>K</w:t>
      </w:r>
      <w:r w:rsidR="00E93ED4" w:rsidRPr="00E93ED4">
        <w:rPr>
          <w:rFonts w:ascii="Times New Roman" w:hAnsi="Times New Roman"/>
          <w:sz w:val="28"/>
          <w:szCs w:val="28"/>
        </w:rPr>
        <w:t xml:space="preserve">opumā </w:t>
      </w:r>
      <w:r>
        <w:rPr>
          <w:rFonts w:ascii="Times New Roman" w:hAnsi="Times New Roman"/>
          <w:sz w:val="28"/>
          <w:szCs w:val="28"/>
        </w:rPr>
        <w:t>nodibinājuma ”</w:t>
      </w:r>
      <w:proofErr w:type="spellStart"/>
      <w:r>
        <w:rPr>
          <w:rFonts w:ascii="Times New Roman" w:hAnsi="Times New Roman"/>
          <w:sz w:val="28"/>
          <w:szCs w:val="28"/>
        </w:rPr>
        <w:t>D</w:t>
      </w:r>
      <w:r w:rsidR="00E93ED4" w:rsidRPr="00E93ED4">
        <w:rPr>
          <w:rFonts w:ascii="Times New Roman" w:hAnsi="Times New Roman"/>
          <w:sz w:val="28"/>
          <w:szCs w:val="28"/>
        </w:rPr>
        <w:t>omnīca</w:t>
      </w:r>
      <w:proofErr w:type="spellEnd"/>
      <w:r>
        <w:rPr>
          <w:rFonts w:ascii="Times New Roman" w:hAnsi="Times New Roman"/>
          <w:sz w:val="28"/>
          <w:szCs w:val="28"/>
        </w:rPr>
        <w:t xml:space="preserve"> </w:t>
      </w:r>
      <w:proofErr w:type="spellStart"/>
      <w:r w:rsidR="00E93ED4" w:rsidRPr="00E93ED4">
        <w:rPr>
          <w:rFonts w:ascii="Times New Roman" w:hAnsi="Times New Roman"/>
          <w:sz w:val="28"/>
          <w:szCs w:val="28"/>
        </w:rPr>
        <w:t>Certus</w:t>
      </w:r>
      <w:proofErr w:type="spellEnd"/>
      <w:r>
        <w:rPr>
          <w:rFonts w:ascii="Times New Roman" w:hAnsi="Times New Roman"/>
          <w:sz w:val="28"/>
          <w:szCs w:val="28"/>
        </w:rPr>
        <w:t>”</w:t>
      </w:r>
      <w:r w:rsidR="00E93ED4" w:rsidRPr="00E93ED4">
        <w:rPr>
          <w:rFonts w:ascii="Times New Roman" w:hAnsi="Times New Roman"/>
          <w:sz w:val="28"/>
          <w:szCs w:val="28"/>
        </w:rPr>
        <w:t xml:space="preserve"> un LAĶĪFA</w:t>
      </w:r>
      <w:r>
        <w:rPr>
          <w:rFonts w:ascii="Times New Roman" w:hAnsi="Times New Roman"/>
          <w:sz w:val="28"/>
          <w:szCs w:val="28"/>
        </w:rPr>
        <w:t xml:space="preserve"> sniegtās rekomendācijas</w:t>
      </w:r>
      <w:r w:rsidR="00E93ED4" w:rsidRPr="00E93ED4">
        <w:rPr>
          <w:rFonts w:ascii="Times New Roman" w:hAnsi="Times New Roman"/>
          <w:sz w:val="28"/>
          <w:szCs w:val="28"/>
        </w:rPr>
        <w:t xml:space="preserve"> farmācijas nozares konkurētspējas veicināšanai</w:t>
      </w:r>
      <w:r>
        <w:rPr>
          <w:rFonts w:ascii="Times New Roman" w:hAnsi="Times New Roman"/>
          <w:sz w:val="28"/>
          <w:szCs w:val="28"/>
        </w:rPr>
        <w:t xml:space="preserve"> ir mērķtiecīgas un atbalstāmas</w:t>
      </w:r>
      <w:r w:rsidR="00E93ED4" w:rsidRPr="00E93ED4">
        <w:rPr>
          <w:rFonts w:ascii="Times New Roman" w:hAnsi="Times New Roman"/>
          <w:sz w:val="28"/>
          <w:szCs w:val="28"/>
        </w:rPr>
        <w:t xml:space="preserve">, </w:t>
      </w:r>
      <w:r>
        <w:rPr>
          <w:rFonts w:ascii="Times New Roman" w:hAnsi="Times New Roman"/>
          <w:sz w:val="28"/>
          <w:szCs w:val="28"/>
        </w:rPr>
        <w:t>ņemot vērā, ka</w:t>
      </w:r>
      <w:r w:rsidR="00E93ED4" w:rsidRPr="00E93ED4">
        <w:rPr>
          <w:rFonts w:ascii="Times New Roman" w:hAnsi="Times New Roman"/>
          <w:sz w:val="28"/>
          <w:szCs w:val="28"/>
        </w:rPr>
        <w:t xml:space="preserve"> farmācijas nozare ir viena no piecām Viedās specializācijas stratēģijā noteiktajām jomām, kas izvirzīta kā prioritāri atbalstāma, lai maksimāli atraisītu valsts uz zināšanām balstīto attīstības potenciālu un tādējādi nodrošinātu straujāku tautsaimniecības izaugsmi.</w:t>
      </w:r>
    </w:p>
    <w:p w:rsidR="00E93ED4" w:rsidRPr="00E93ED4" w:rsidRDefault="00E93ED4" w:rsidP="00A11108">
      <w:pPr>
        <w:widowControl/>
        <w:tabs>
          <w:tab w:val="left" w:pos="993"/>
        </w:tabs>
        <w:spacing w:after="120" w:line="240" w:lineRule="auto"/>
        <w:contextualSpacing/>
        <w:jc w:val="both"/>
        <w:rPr>
          <w:rFonts w:ascii="Times New Roman" w:eastAsiaTheme="minorHAnsi" w:hAnsi="Times New Roman"/>
          <w:sz w:val="28"/>
          <w:szCs w:val="28"/>
        </w:rPr>
      </w:pPr>
    </w:p>
    <w:p w:rsidR="008E2D3E" w:rsidRPr="00834DFD" w:rsidRDefault="008E2D3E" w:rsidP="000F1C45">
      <w:pPr>
        <w:spacing w:after="0"/>
        <w:jc w:val="both"/>
        <w:rPr>
          <w:rFonts w:ascii="Times New Roman" w:hAnsi="Times New Roman"/>
          <w:sz w:val="28"/>
          <w:szCs w:val="28"/>
        </w:rPr>
      </w:pPr>
    </w:p>
    <w:p w:rsidR="008E2D3E" w:rsidRPr="00834DFD" w:rsidRDefault="008E2D3E" w:rsidP="000F1C45">
      <w:pPr>
        <w:spacing w:after="0"/>
        <w:jc w:val="both"/>
        <w:rPr>
          <w:rFonts w:ascii="Times New Roman" w:hAnsi="Times New Roman"/>
          <w:sz w:val="28"/>
          <w:szCs w:val="28"/>
        </w:rPr>
      </w:pPr>
    </w:p>
    <w:p w:rsidR="00F375CC" w:rsidRPr="00834DFD" w:rsidRDefault="008E2D3E" w:rsidP="000F1C45">
      <w:pPr>
        <w:widowControl/>
        <w:tabs>
          <w:tab w:val="left" w:pos="5954"/>
          <w:tab w:val="right" w:pos="9072"/>
        </w:tabs>
        <w:spacing w:after="0" w:line="240" w:lineRule="auto"/>
        <w:ind w:right="-568"/>
        <w:jc w:val="both"/>
        <w:rPr>
          <w:rFonts w:ascii="Times New Roman" w:eastAsia="Times New Roman" w:hAnsi="Times New Roman"/>
          <w:sz w:val="28"/>
          <w:szCs w:val="28"/>
        </w:rPr>
      </w:pPr>
      <w:r w:rsidRPr="00834DFD">
        <w:rPr>
          <w:rFonts w:ascii="Times New Roman" w:eastAsia="Times New Roman" w:hAnsi="Times New Roman"/>
          <w:sz w:val="28"/>
          <w:szCs w:val="28"/>
        </w:rPr>
        <w:t>Ministru prezidents</w:t>
      </w:r>
      <w:r w:rsidR="000F1C45" w:rsidRPr="00834DFD">
        <w:rPr>
          <w:rFonts w:ascii="Times New Roman" w:eastAsia="Times New Roman" w:hAnsi="Times New Roman"/>
          <w:sz w:val="28"/>
          <w:szCs w:val="28"/>
        </w:rPr>
        <w:tab/>
      </w:r>
      <w:r w:rsidR="000F1C45" w:rsidRPr="00834DFD">
        <w:rPr>
          <w:rFonts w:ascii="Times New Roman" w:eastAsia="Times New Roman" w:hAnsi="Times New Roman"/>
          <w:sz w:val="28"/>
          <w:szCs w:val="28"/>
        </w:rPr>
        <w:tab/>
      </w:r>
      <w:proofErr w:type="spellStart"/>
      <w:r w:rsidRPr="00834DFD">
        <w:rPr>
          <w:rFonts w:ascii="Times New Roman" w:eastAsia="Times New Roman" w:hAnsi="Times New Roman"/>
          <w:sz w:val="28"/>
          <w:szCs w:val="28"/>
        </w:rPr>
        <w:t>M.Kučinskis</w:t>
      </w:r>
      <w:proofErr w:type="spellEnd"/>
    </w:p>
    <w:p w:rsidR="00F208D2" w:rsidRPr="00834DFD" w:rsidRDefault="00F208D2" w:rsidP="000F1C45">
      <w:pPr>
        <w:spacing w:after="0" w:line="240" w:lineRule="auto"/>
        <w:rPr>
          <w:rFonts w:ascii="Times New Roman" w:hAnsi="Times New Roman"/>
          <w:sz w:val="28"/>
          <w:szCs w:val="28"/>
        </w:rPr>
      </w:pPr>
    </w:p>
    <w:sectPr w:rsidR="00F208D2" w:rsidRPr="00834DFD" w:rsidSect="00381CD4">
      <w:headerReference w:type="default" r:id="rId8"/>
      <w:footerReference w:type="default" r:id="rId9"/>
      <w:type w:val="continuous"/>
      <w:pgSz w:w="11920" w:h="16840"/>
      <w:pgMar w:top="1418" w:right="1134" w:bottom="1134" w:left="1701" w:header="850"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CD4" w:rsidRDefault="00381CD4">
      <w:pPr>
        <w:spacing w:after="0" w:line="240" w:lineRule="auto"/>
      </w:pPr>
      <w:r>
        <w:separator/>
      </w:r>
    </w:p>
  </w:endnote>
  <w:endnote w:type="continuationSeparator" w:id="1">
    <w:p w:rsidR="00381CD4" w:rsidRDefault="00381C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CD4" w:rsidRDefault="00381CD4">
    <w:pPr>
      <w:pStyle w:val="Footer"/>
    </w:pPr>
  </w:p>
  <w:p w:rsidR="00381CD4" w:rsidRDefault="00381CD4">
    <w:pPr>
      <w:pStyle w:val="Footer"/>
    </w:pPr>
  </w:p>
  <w:p w:rsidR="00381CD4" w:rsidRDefault="00381C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CD4" w:rsidRDefault="00381CD4">
      <w:pPr>
        <w:spacing w:after="0" w:line="240" w:lineRule="auto"/>
      </w:pPr>
      <w:r>
        <w:separator/>
      </w:r>
    </w:p>
  </w:footnote>
  <w:footnote w:type="continuationSeparator" w:id="1">
    <w:p w:rsidR="00381CD4" w:rsidRDefault="00381C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38825"/>
      <w:docPartObj>
        <w:docPartGallery w:val="Page Numbers (Top of Page)"/>
        <w:docPartUnique/>
      </w:docPartObj>
    </w:sdtPr>
    <w:sdtEndPr>
      <w:rPr>
        <w:rFonts w:ascii="Times New Roman" w:hAnsi="Times New Roman"/>
        <w:sz w:val="20"/>
        <w:szCs w:val="20"/>
      </w:rPr>
    </w:sdtEndPr>
    <w:sdtContent>
      <w:p w:rsidR="00381CD4" w:rsidRPr="00381CD4" w:rsidRDefault="00381CD4">
        <w:pPr>
          <w:pStyle w:val="Header"/>
          <w:jc w:val="center"/>
          <w:rPr>
            <w:rFonts w:ascii="Times New Roman" w:hAnsi="Times New Roman"/>
            <w:sz w:val="20"/>
            <w:szCs w:val="20"/>
          </w:rPr>
        </w:pPr>
        <w:r w:rsidRPr="00381CD4">
          <w:rPr>
            <w:rFonts w:ascii="Times New Roman" w:hAnsi="Times New Roman"/>
            <w:sz w:val="20"/>
            <w:szCs w:val="20"/>
          </w:rPr>
          <w:fldChar w:fldCharType="begin"/>
        </w:r>
        <w:r w:rsidRPr="00381CD4">
          <w:rPr>
            <w:rFonts w:ascii="Times New Roman" w:hAnsi="Times New Roman"/>
            <w:sz w:val="20"/>
            <w:szCs w:val="20"/>
          </w:rPr>
          <w:instrText xml:space="preserve"> PAGE   \* MERGEFORMAT </w:instrText>
        </w:r>
        <w:r w:rsidRPr="00381CD4">
          <w:rPr>
            <w:rFonts w:ascii="Times New Roman" w:hAnsi="Times New Roman"/>
            <w:sz w:val="20"/>
            <w:szCs w:val="20"/>
          </w:rPr>
          <w:fldChar w:fldCharType="separate"/>
        </w:r>
        <w:r w:rsidR="00FC4377">
          <w:rPr>
            <w:rFonts w:ascii="Times New Roman" w:hAnsi="Times New Roman"/>
            <w:noProof/>
            <w:sz w:val="20"/>
            <w:szCs w:val="20"/>
          </w:rPr>
          <w:t>10</w:t>
        </w:r>
        <w:r w:rsidRPr="00381CD4">
          <w:rPr>
            <w:rFonts w:ascii="Times New Roman" w:hAnsi="Times New Roman"/>
            <w:sz w:val="20"/>
            <w:szCs w:val="20"/>
          </w:rPr>
          <w:fldChar w:fldCharType="end"/>
        </w:r>
      </w:p>
    </w:sdtContent>
  </w:sdt>
  <w:p w:rsidR="00381CD4" w:rsidRPr="00A71AF5" w:rsidRDefault="00381CD4" w:rsidP="00A71AF5">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567EA6"/>
    <w:lvl w:ilvl="0">
      <w:start w:val="1"/>
      <w:numFmt w:val="decimal"/>
      <w:lvlText w:val="%1."/>
      <w:lvlJc w:val="left"/>
      <w:pPr>
        <w:tabs>
          <w:tab w:val="num" w:pos="1492"/>
        </w:tabs>
        <w:ind w:left="1492" w:hanging="360"/>
      </w:pPr>
    </w:lvl>
  </w:abstractNum>
  <w:abstractNum w:abstractNumId="2">
    <w:nsid w:val="FFFFFF7D"/>
    <w:multiLevelType w:val="singleLevel"/>
    <w:tmpl w:val="3D8C87E8"/>
    <w:lvl w:ilvl="0">
      <w:start w:val="1"/>
      <w:numFmt w:val="decimal"/>
      <w:lvlText w:val="%1."/>
      <w:lvlJc w:val="left"/>
      <w:pPr>
        <w:tabs>
          <w:tab w:val="num" w:pos="1209"/>
        </w:tabs>
        <w:ind w:left="1209" w:hanging="360"/>
      </w:pPr>
    </w:lvl>
  </w:abstractNum>
  <w:abstractNum w:abstractNumId="3">
    <w:nsid w:val="FFFFFF7E"/>
    <w:multiLevelType w:val="singleLevel"/>
    <w:tmpl w:val="802234AE"/>
    <w:lvl w:ilvl="0">
      <w:start w:val="1"/>
      <w:numFmt w:val="decimal"/>
      <w:lvlText w:val="%1."/>
      <w:lvlJc w:val="left"/>
      <w:pPr>
        <w:tabs>
          <w:tab w:val="num" w:pos="926"/>
        </w:tabs>
        <w:ind w:left="926" w:hanging="360"/>
      </w:pPr>
    </w:lvl>
  </w:abstractNum>
  <w:abstractNum w:abstractNumId="4">
    <w:nsid w:val="FFFFFF7F"/>
    <w:multiLevelType w:val="singleLevel"/>
    <w:tmpl w:val="890AD62A"/>
    <w:lvl w:ilvl="0">
      <w:start w:val="1"/>
      <w:numFmt w:val="decimal"/>
      <w:lvlText w:val="%1."/>
      <w:lvlJc w:val="left"/>
      <w:pPr>
        <w:tabs>
          <w:tab w:val="num" w:pos="643"/>
        </w:tabs>
        <w:ind w:left="643" w:hanging="360"/>
      </w:pPr>
    </w:lvl>
  </w:abstractNum>
  <w:abstractNum w:abstractNumId="5">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543EB2"/>
    <w:lvl w:ilvl="0">
      <w:start w:val="1"/>
      <w:numFmt w:val="decimal"/>
      <w:lvlText w:val="%1."/>
      <w:lvlJc w:val="left"/>
      <w:pPr>
        <w:tabs>
          <w:tab w:val="num" w:pos="360"/>
        </w:tabs>
        <w:ind w:left="360" w:hanging="360"/>
      </w:pPr>
    </w:lvl>
  </w:abstractNum>
  <w:abstractNum w:abstractNumId="1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nsid w:val="07143599"/>
    <w:multiLevelType w:val="hybridMultilevel"/>
    <w:tmpl w:val="52AE32BC"/>
    <w:lvl w:ilvl="0" w:tplc="C9E618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08112EDA"/>
    <w:multiLevelType w:val="hybridMultilevel"/>
    <w:tmpl w:val="2BA01688"/>
    <w:lvl w:ilvl="0" w:tplc="ADF29618">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3">
    <w:nsid w:val="0D1762A0"/>
    <w:multiLevelType w:val="hybridMultilevel"/>
    <w:tmpl w:val="E8D012A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1C1E63BE"/>
    <w:multiLevelType w:val="hybridMultilevel"/>
    <w:tmpl w:val="76DC6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285768"/>
    <w:multiLevelType w:val="hybridMultilevel"/>
    <w:tmpl w:val="70806750"/>
    <w:lvl w:ilvl="0" w:tplc="EC0875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314A10DE"/>
    <w:multiLevelType w:val="hybridMultilevel"/>
    <w:tmpl w:val="AA70029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7737279"/>
    <w:multiLevelType w:val="hybridMultilevel"/>
    <w:tmpl w:val="A442E050"/>
    <w:lvl w:ilvl="0" w:tplc="ADF29618">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nsid w:val="3DD25572"/>
    <w:multiLevelType w:val="hybridMultilevel"/>
    <w:tmpl w:val="FE02562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DE70F58"/>
    <w:multiLevelType w:val="hybridMultilevel"/>
    <w:tmpl w:val="38D80FF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A0401E1"/>
    <w:multiLevelType w:val="hybridMultilevel"/>
    <w:tmpl w:val="74706D58"/>
    <w:lvl w:ilvl="0" w:tplc="ADF29618">
      <w:start w:val="1"/>
      <w:numFmt w:val="bullet"/>
      <w:lvlText w:val=""/>
      <w:lvlJc w:val="left"/>
      <w:pPr>
        <w:ind w:left="1429" w:hanging="360"/>
      </w:pPr>
      <w:rPr>
        <w:rFonts w:ascii="Symbol" w:hAnsi="Symbol" w:hint="default"/>
      </w:rPr>
    </w:lvl>
    <w:lvl w:ilvl="1" w:tplc="5F14075E">
      <w:numFmt w:val="bullet"/>
      <w:lvlText w:val="•"/>
      <w:lvlJc w:val="left"/>
      <w:pPr>
        <w:ind w:left="3229" w:hanging="1440"/>
      </w:pPr>
      <w:rPr>
        <w:rFonts w:ascii="Times New Roman" w:eastAsia="Calibri" w:hAnsi="Times New Roman" w:cs="Times New Roman"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1">
    <w:nsid w:val="5EA81AAE"/>
    <w:multiLevelType w:val="hybridMultilevel"/>
    <w:tmpl w:val="F8C8B90A"/>
    <w:lvl w:ilvl="0" w:tplc="E8E64E5E">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2">
    <w:nsid w:val="628306F5"/>
    <w:multiLevelType w:val="hybridMultilevel"/>
    <w:tmpl w:val="D54A13C0"/>
    <w:lvl w:ilvl="0" w:tplc="EB0A8D6C">
      <w:numFmt w:val="bullet"/>
      <w:lvlText w:val="•"/>
      <w:lvlJc w:val="left"/>
      <w:pPr>
        <w:ind w:left="1699" w:hanging="990"/>
      </w:pPr>
      <w:rPr>
        <w:rFonts w:ascii="Times New Roman" w:eastAsia="Calibr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3">
    <w:nsid w:val="702805C1"/>
    <w:multiLevelType w:val="multilevel"/>
    <w:tmpl w:val="C79A10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70F06F68"/>
    <w:multiLevelType w:val="hybridMultilevel"/>
    <w:tmpl w:val="3AFEB114"/>
    <w:lvl w:ilvl="0" w:tplc="BF1C384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1"/>
  </w:num>
  <w:num w:numId="13">
    <w:abstractNumId w:val="23"/>
  </w:num>
  <w:num w:numId="14">
    <w:abstractNumId w:val="14"/>
  </w:num>
  <w:num w:numId="15">
    <w:abstractNumId w:val="24"/>
  </w:num>
  <w:num w:numId="16">
    <w:abstractNumId w:val="18"/>
  </w:num>
  <w:num w:numId="17">
    <w:abstractNumId w:val="16"/>
  </w:num>
  <w:num w:numId="18">
    <w:abstractNumId w:val="19"/>
  </w:num>
  <w:num w:numId="19">
    <w:abstractNumId w:val="13"/>
  </w:num>
  <w:num w:numId="20">
    <w:abstractNumId w:val="11"/>
  </w:num>
  <w:num w:numId="21">
    <w:abstractNumId w:val="17"/>
  </w:num>
  <w:num w:numId="22">
    <w:abstractNumId w:val="15"/>
  </w:num>
  <w:num w:numId="23">
    <w:abstractNumId w:val="12"/>
  </w:num>
  <w:num w:numId="24">
    <w:abstractNumId w:val="22"/>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10593"/>
  </w:hdrShapeDefaults>
  <w:footnotePr>
    <w:footnote w:id="0"/>
    <w:footnote w:id="1"/>
  </w:footnotePr>
  <w:endnotePr>
    <w:endnote w:id="0"/>
    <w:endnote w:id="1"/>
  </w:endnotePr>
  <w:compat>
    <w:ulTrailSpace/>
  </w:compat>
  <w:rsids>
    <w:rsidRoot w:val="00482B56"/>
    <w:rsid w:val="000013C9"/>
    <w:rsid w:val="00006384"/>
    <w:rsid w:val="00006866"/>
    <w:rsid w:val="00011FBE"/>
    <w:rsid w:val="00015B96"/>
    <w:rsid w:val="00021763"/>
    <w:rsid w:val="000260A8"/>
    <w:rsid w:val="00030349"/>
    <w:rsid w:val="000305DA"/>
    <w:rsid w:val="000405FD"/>
    <w:rsid w:val="0005251A"/>
    <w:rsid w:val="00060BB6"/>
    <w:rsid w:val="00072151"/>
    <w:rsid w:val="00072A12"/>
    <w:rsid w:val="000806D1"/>
    <w:rsid w:val="00081211"/>
    <w:rsid w:val="00082BAA"/>
    <w:rsid w:val="00092BA5"/>
    <w:rsid w:val="000A5C1A"/>
    <w:rsid w:val="000C53C7"/>
    <w:rsid w:val="000D4A91"/>
    <w:rsid w:val="000F1C45"/>
    <w:rsid w:val="000F4B7E"/>
    <w:rsid w:val="000F5255"/>
    <w:rsid w:val="00107F26"/>
    <w:rsid w:val="00114138"/>
    <w:rsid w:val="001161D5"/>
    <w:rsid w:val="00120D02"/>
    <w:rsid w:val="00124173"/>
    <w:rsid w:val="0014690E"/>
    <w:rsid w:val="0015443C"/>
    <w:rsid w:val="00166B0D"/>
    <w:rsid w:val="001747E5"/>
    <w:rsid w:val="00192456"/>
    <w:rsid w:val="001A1A68"/>
    <w:rsid w:val="001B4DB4"/>
    <w:rsid w:val="001E2013"/>
    <w:rsid w:val="001F3D6C"/>
    <w:rsid w:val="001F7894"/>
    <w:rsid w:val="00202562"/>
    <w:rsid w:val="00203D0E"/>
    <w:rsid w:val="00207804"/>
    <w:rsid w:val="0022354A"/>
    <w:rsid w:val="00240C7D"/>
    <w:rsid w:val="00244225"/>
    <w:rsid w:val="002503BA"/>
    <w:rsid w:val="00250D28"/>
    <w:rsid w:val="00253F02"/>
    <w:rsid w:val="00266F19"/>
    <w:rsid w:val="00275B9E"/>
    <w:rsid w:val="00283E3F"/>
    <w:rsid w:val="002869F8"/>
    <w:rsid w:val="0029006F"/>
    <w:rsid w:val="00290635"/>
    <w:rsid w:val="00290F03"/>
    <w:rsid w:val="00291260"/>
    <w:rsid w:val="002966E6"/>
    <w:rsid w:val="002A38D1"/>
    <w:rsid w:val="002B3077"/>
    <w:rsid w:val="002B3C49"/>
    <w:rsid w:val="002D0D23"/>
    <w:rsid w:val="002E1474"/>
    <w:rsid w:val="002E2888"/>
    <w:rsid w:val="002E766B"/>
    <w:rsid w:val="002F4246"/>
    <w:rsid w:val="002F4B3F"/>
    <w:rsid w:val="00327D99"/>
    <w:rsid w:val="00330E94"/>
    <w:rsid w:val="00335032"/>
    <w:rsid w:val="0034394A"/>
    <w:rsid w:val="003449DF"/>
    <w:rsid w:val="003525B0"/>
    <w:rsid w:val="00357217"/>
    <w:rsid w:val="0036031D"/>
    <w:rsid w:val="003667CB"/>
    <w:rsid w:val="00381CD4"/>
    <w:rsid w:val="00382F23"/>
    <w:rsid w:val="003834AE"/>
    <w:rsid w:val="00385857"/>
    <w:rsid w:val="00394DA8"/>
    <w:rsid w:val="003B517D"/>
    <w:rsid w:val="003C6633"/>
    <w:rsid w:val="003F2617"/>
    <w:rsid w:val="003F5FB7"/>
    <w:rsid w:val="00412B1F"/>
    <w:rsid w:val="00416C01"/>
    <w:rsid w:val="00420F15"/>
    <w:rsid w:val="0043041A"/>
    <w:rsid w:val="0046588A"/>
    <w:rsid w:val="00470C02"/>
    <w:rsid w:val="00475624"/>
    <w:rsid w:val="00482B56"/>
    <w:rsid w:val="00493308"/>
    <w:rsid w:val="004A6967"/>
    <w:rsid w:val="004B7245"/>
    <w:rsid w:val="004C6F6B"/>
    <w:rsid w:val="004D3933"/>
    <w:rsid w:val="004D7A8F"/>
    <w:rsid w:val="004E49D3"/>
    <w:rsid w:val="00500439"/>
    <w:rsid w:val="005033AB"/>
    <w:rsid w:val="005104D7"/>
    <w:rsid w:val="0051222B"/>
    <w:rsid w:val="00534133"/>
    <w:rsid w:val="00535564"/>
    <w:rsid w:val="00537D3E"/>
    <w:rsid w:val="005466EF"/>
    <w:rsid w:val="005534F3"/>
    <w:rsid w:val="00554912"/>
    <w:rsid w:val="00574E60"/>
    <w:rsid w:val="00582587"/>
    <w:rsid w:val="00585A96"/>
    <w:rsid w:val="005935E1"/>
    <w:rsid w:val="005B2634"/>
    <w:rsid w:val="005B3B71"/>
    <w:rsid w:val="005C49E4"/>
    <w:rsid w:val="005E677A"/>
    <w:rsid w:val="00603B57"/>
    <w:rsid w:val="00620294"/>
    <w:rsid w:val="0063676B"/>
    <w:rsid w:val="00640573"/>
    <w:rsid w:val="00643FB7"/>
    <w:rsid w:val="006440DD"/>
    <w:rsid w:val="00644899"/>
    <w:rsid w:val="00650BAD"/>
    <w:rsid w:val="00663C3A"/>
    <w:rsid w:val="00664293"/>
    <w:rsid w:val="00672E21"/>
    <w:rsid w:val="0067389E"/>
    <w:rsid w:val="006752DE"/>
    <w:rsid w:val="006A00BF"/>
    <w:rsid w:val="006A0AE1"/>
    <w:rsid w:val="006A3774"/>
    <w:rsid w:val="006B67A3"/>
    <w:rsid w:val="006C11FA"/>
    <w:rsid w:val="006C1639"/>
    <w:rsid w:val="006C64AE"/>
    <w:rsid w:val="006C66EB"/>
    <w:rsid w:val="006D26F3"/>
    <w:rsid w:val="006E4A91"/>
    <w:rsid w:val="006E55E1"/>
    <w:rsid w:val="006E5750"/>
    <w:rsid w:val="006F10FC"/>
    <w:rsid w:val="00702C57"/>
    <w:rsid w:val="007035CD"/>
    <w:rsid w:val="00711F3B"/>
    <w:rsid w:val="00715790"/>
    <w:rsid w:val="00745315"/>
    <w:rsid w:val="00747CCB"/>
    <w:rsid w:val="0075724B"/>
    <w:rsid w:val="00764944"/>
    <w:rsid w:val="007704BD"/>
    <w:rsid w:val="0078054B"/>
    <w:rsid w:val="0078328D"/>
    <w:rsid w:val="007913F7"/>
    <w:rsid w:val="00795255"/>
    <w:rsid w:val="007A56F5"/>
    <w:rsid w:val="007B3BA5"/>
    <w:rsid w:val="007B48EC"/>
    <w:rsid w:val="007D01E8"/>
    <w:rsid w:val="007D0E0B"/>
    <w:rsid w:val="007E4D1F"/>
    <w:rsid w:val="007F1640"/>
    <w:rsid w:val="008005C2"/>
    <w:rsid w:val="00801486"/>
    <w:rsid w:val="00803799"/>
    <w:rsid w:val="008038B3"/>
    <w:rsid w:val="00815277"/>
    <w:rsid w:val="00816721"/>
    <w:rsid w:val="00826AFE"/>
    <w:rsid w:val="00834DFD"/>
    <w:rsid w:val="00870E77"/>
    <w:rsid w:val="00873F1A"/>
    <w:rsid w:val="00876C21"/>
    <w:rsid w:val="00876E67"/>
    <w:rsid w:val="00883236"/>
    <w:rsid w:val="008832FB"/>
    <w:rsid w:val="0088769B"/>
    <w:rsid w:val="008B12B2"/>
    <w:rsid w:val="008B79DE"/>
    <w:rsid w:val="008D1552"/>
    <w:rsid w:val="008D22C7"/>
    <w:rsid w:val="008D548D"/>
    <w:rsid w:val="008D7B97"/>
    <w:rsid w:val="008E2D3E"/>
    <w:rsid w:val="008E32B4"/>
    <w:rsid w:val="008E6B77"/>
    <w:rsid w:val="008F2135"/>
    <w:rsid w:val="00901F34"/>
    <w:rsid w:val="00907D51"/>
    <w:rsid w:val="0091007D"/>
    <w:rsid w:val="0091203A"/>
    <w:rsid w:val="00923CA2"/>
    <w:rsid w:val="00936C5E"/>
    <w:rsid w:val="0094289E"/>
    <w:rsid w:val="00954D5A"/>
    <w:rsid w:val="00960DE2"/>
    <w:rsid w:val="00966E85"/>
    <w:rsid w:val="00977BE2"/>
    <w:rsid w:val="00980979"/>
    <w:rsid w:val="009861B2"/>
    <w:rsid w:val="00992F35"/>
    <w:rsid w:val="00993F76"/>
    <w:rsid w:val="009A0D03"/>
    <w:rsid w:val="009A2F3E"/>
    <w:rsid w:val="009B1121"/>
    <w:rsid w:val="009B4F5D"/>
    <w:rsid w:val="009C03A0"/>
    <w:rsid w:val="009C465C"/>
    <w:rsid w:val="009D0A55"/>
    <w:rsid w:val="009D2E65"/>
    <w:rsid w:val="009E427D"/>
    <w:rsid w:val="009E5876"/>
    <w:rsid w:val="00A04B6A"/>
    <w:rsid w:val="00A11108"/>
    <w:rsid w:val="00A227A6"/>
    <w:rsid w:val="00A3734C"/>
    <w:rsid w:val="00A43077"/>
    <w:rsid w:val="00A52FE9"/>
    <w:rsid w:val="00A54EC9"/>
    <w:rsid w:val="00A6142B"/>
    <w:rsid w:val="00A64C0C"/>
    <w:rsid w:val="00A66733"/>
    <w:rsid w:val="00A71AF5"/>
    <w:rsid w:val="00A71BA4"/>
    <w:rsid w:val="00A85FC6"/>
    <w:rsid w:val="00A97C01"/>
    <w:rsid w:val="00AA6F4C"/>
    <w:rsid w:val="00AB5F63"/>
    <w:rsid w:val="00AC39F2"/>
    <w:rsid w:val="00AE7CC7"/>
    <w:rsid w:val="00AF3D6F"/>
    <w:rsid w:val="00AF6D17"/>
    <w:rsid w:val="00B03196"/>
    <w:rsid w:val="00B15432"/>
    <w:rsid w:val="00B160E4"/>
    <w:rsid w:val="00B25A99"/>
    <w:rsid w:val="00B31673"/>
    <w:rsid w:val="00B36D0F"/>
    <w:rsid w:val="00B37C96"/>
    <w:rsid w:val="00B645C6"/>
    <w:rsid w:val="00B76C4E"/>
    <w:rsid w:val="00B82FAD"/>
    <w:rsid w:val="00B863F0"/>
    <w:rsid w:val="00B91D55"/>
    <w:rsid w:val="00B91FC7"/>
    <w:rsid w:val="00BA175C"/>
    <w:rsid w:val="00BA25DE"/>
    <w:rsid w:val="00BB1AEE"/>
    <w:rsid w:val="00BB2006"/>
    <w:rsid w:val="00BC2F9A"/>
    <w:rsid w:val="00BC443A"/>
    <w:rsid w:val="00BC7D66"/>
    <w:rsid w:val="00BE3871"/>
    <w:rsid w:val="00BF041F"/>
    <w:rsid w:val="00C00B23"/>
    <w:rsid w:val="00C058D1"/>
    <w:rsid w:val="00C05E26"/>
    <w:rsid w:val="00C101FD"/>
    <w:rsid w:val="00C24F3B"/>
    <w:rsid w:val="00C25708"/>
    <w:rsid w:val="00C313CB"/>
    <w:rsid w:val="00C33319"/>
    <w:rsid w:val="00C47F57"/>
    <w:rsid w:val="00C504CE"/>
    <w:rsid w:val="00C50BE3"/>
    <w:rsid w:val="00C52F89"/>
    <w:rsid w:val="00C5762B"/>
    <w:rsid w:val="00C647FE"/>
    <w:rsid w:val="00C82422"/>
    <w:rsid w:val="00C834E0"/>
    <w:rsid w:val="00C94DC5"/>
    <w:rsid w:val="00C97F72"/>
    <w:rsid w:val="00CB412D"/>
    <w:rsid w:val="00CB4AD4"/>
    <w:rsid w:val="00CE6E60"/>
    <w:rsid w:val="00D14C8E"/>
    <w:rsid w:val="00D162B4"/>
    <w:rsid w:val="00D168DF"/>
    <w:rsid w:val="00D21FA6"/>
    <w:rsid w:val="00D3081B"/>
    <w:rsid w:val="00D334FF"/>
    <w:rsid w:val="00D451A5"/>
    <w:rsid w:val="00D55B4B"/>
    <w:rsid w:val="00D6579E"/>
    <w:rsid w:val="00D66886"/>
    <w:rsid w:val="00D67297"/>
    <w:rsid w:val="00D754D0"/>
    <w:rsid w:val="00D80A10"/>
    <w:rsid w:val="00D864CD"/>
    <w:rsid w:val="00DD3ECD"/>
    <w:rsid w:val="00DD5118"/>
    <w:rsid w:val="00DD5CF2"/>
    <w:rsid w:val="00DD6BB5"/>
    <w:rsid w:val="00DE45A7"/>
    <w:rsid w:val="00DE4D3C"/>
    <w:rsid w:val="00DF0A09"/>
    <w:rsid w:val="00DF7C2B"/>
    <w:rsid w:val="00E0036D"/>
    <w:rsid w:val="00E14C2D"/>
    <w:rsid w:val="00E3423E"/>
    <w:rsid w:val="00E365CE"/>
    <w:rsid w:val="00E41C91"/>
    <w:rsid w:val="00E52BB3"/>
    <w:rsid w:val="00E714BE"/>
    <w:rsid w:val="00E73B9B"/>
    <w:rsid w:val="00E84833"/>
    <w:rsid w:val="00E85A88"/>
    <w:rsid w:val="00E8646E"/>
    <w:rsid w:val="00E91B79"/>
    <w:rsid w:val="00E9325C"/>
    <w:rsid w:val="00E93ED4"/>
    <w:rsid w:val="00E9552E"/>
    <w:rsid w:val="00EA0927"/>
    <w:rsid w:val="00EA2737"/>
    <w:rsid w:val="00EB42D3"/>
    <w:rsid w:val="00EC766E"/>
    <w:rsid w:val="00ED21AE"/>
    <w:rsid w:val="00ED4753"/>
    <w:rsid w:val="00EE7FF6"/>
    <w:rsid w:val="00EF1A2A"/>
    <w:rsid w:val="00EF5347"/>
    <w:rsid w:val="00EF697C"/>
    <w:rsid w:val="00F01385"/>
    <w:rsid w:val="00F207C4"/>
    <w:rsid w:val="00F208D2"/>
    <w:rsid w:val="00F24716"/>
    <w:rsid w:val="00F24EF1"/>
    <w:rsid w:val="00F27EB5"/>
    <w:rsid w:val="00F3420C"/>
    <w:rsid w:val="00F35D20"/>
    <w:rsid w:val="00F375CC"/>
    <w:rsid w:val="00F45E4F"/>
    <w:rsid w:val="00F5159A"/>
    <w:rsid w:val="00F5795F"/>
    <w:rsid w:val="00F60586"/>
    <w:rsid w:val="00F6255C"/>
    <w:rsid w:val="00F669FA"/>
    <w:rsid w:val="00F73F8A"/>
    <w:rsid w:val="00F80F52"/>
    <w:rsid w:val="00F86E73"/>
    <w:rsid w:val="00F93B13"/>
    <w:rsid w:val="00FB5788"/>
    <w:rsid w:val="00FC4377"/>
    <w:rsid w:val="00FD1E20"/>
    <w:rsid w:val="00FD2803"/>
    <w:rsid w:val="00FD7A0E"/>
    <w:rsid w:val="00FE0309"/>
    <w:rsid w:val="00FF032F"/>
    <w:rsid w:val="00FF7ACB"/>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character" w:styleId="CommentReference">
    <w:name w:val="annotation reference"/>
    <w:basedOn w:val="DefaultParagraphFont"/>
    <w:uiPriority w:val="99"/>
    <w:semiHidden/>
    <w:unhideWhenUsed/>
    <w:rsid w:val="00072A12"/>
    <w:rPr>
      <w:sz w:val="16"/>
      <w:szCs w:val="16"/>
    </w:rPr>
  </w:style>
  <w:style w:type="paragraph" w:styleId="CommentText">
    <w:name w:val="annotation text"/>
    <w:basedOn w:val="Normal"/>
    <w:link w:val="CommentTextChar"/>
    <w:uiPriority w:val="99"/>
    <w:semiHidden/>
    <w:unhideWhenUsed/>
    <w:rsid w:val="00072A12"/>
    <w:pPr>
      <w:spacing w:line="240" w:lineRule="auto"/>
    </w:pPr>
    <w:rPr>
      <w:sz w:val="20"/>
      <w:szCs w:val="20"/>
    </w:rPr>
  </w:style>
  <w:style w:type="character" w:customStyle="1" w:styleId="CommentTextChar">
    <w:name w:val="Comment Text Char"/>
    <w:basedOn w:val="DefaultParagraphFont"/>
    <w:link w:val="CommentText"/>
    <w:uiPriority w:val="99"/>
    <w:semiHidden/>
    <w:rsid w:val="00072A12"/>
    <w:rPr>
      <w:lang w:eastAsia="en-US"/>
    </w:rPr>
  </w:style>
  <w:style w:type="paragraph" w:styleId="CommentSubject">
    <w:name w:val="annotation subject"/>
    <w:basedOn w:val="CommentText"/>
    <w:next w:val="CommentText"/>
    <w:link w:val="CommentSubjectChar"/>
    <w:uiPriority w:val="99"/>
    <w:semiHidden/>
    <w:unhideWhenUsed/>
    <w:rsid w:val="00072A12"/>
    <w:rPr>
      <w:b/>
      <w:bCs/>
    </w:rPr>
  </w:style>
  <w:style w:type="character" w:customStyle="1" w:styleId="CommentSubjectChar">
    <w:name w:val="Comment Subject Char"/>
    <w:basedOn w:val="CommentTextChar"/>
    <w:link w:val="CommentSubject"/>
    <w:uiPriority w:val="99"/>
    <w:semiHidden/>
    <w:rsid w:val="00072A12"/>
    <w:rPr>
      <w:b/>
      <w:bCs/>
    </w:rPr>
  </w:style>
  <w:style w:type="paragraph" w:styleId="ListParagraph">
    <w:name w:val="List Paragraph"/>
    <w:basedOn w:val="Normal"/>
    <w:uiPriority w:val="34"/>
    <w:qFormat/>
    <w:rsid w:val="00F375CC"/>
    <w:pPr>
      <w:ind w:left="720"/>
      <w:contextualSpacing/>
    </w:pPr>
  </w:style>
  <w:style w:type="paragraph" w:styleId="NormalWeb">
    <w:name w:val="Normal (Web)"/>
    <w:basedOn w:val="Normal"/>
    <w:rsid w:val="00BB2006"/>
    <w:pPr>
      <w:widowControl/>
      <w:spacing w:before="75" w:after="75" w:line="240" w:lineRule="auto"/>
    </w:pPr>
    <w:rPr>
      <w:rFonts w:ascii="Times New Roman" w:eastAsia="Times New Roman" w:hAnsi="Times New Roman"/>
      <w:sz w:val="24"/>
      <w:szCs w:val="24"/>
      <w:lang w:val="en-US"/>
    </w:rPr>
  </w:style>
  <w:style w:type="paragraph" w:styleId="EndnoteText">
    <w:name w:val="endnote text"/>
    <w:basedOn w:val="Normal"/>
    <w:link w:val="EndnoteTextChar"/>
    <w:uiPriority w:val="99"/>
    <w:semiHidden/>
    <w:unhideWhenUsed/>
    <w:rsid w:val="00E41C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41C91"/>
    <w:rPr>
      <w:lang w:eastAsia="en-US"/>
    </w:rPr>
  </w:style>
  <w:style w:type="character" w:styleId="EndnoteReference">
    <w:name w:val="endnote reference"/>
    <w:basedOn w:val="DefaultParagraphFont"/>
    <w:uiPriority w:val="99"/>
    <w:semiHidden/>
    <w:unhideWhenUsed/>
    <w:rsid w:val="00E41C91"/>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0DB1E5-ADEB-414D-92E0-28E014F40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10</Pages>
  <Words>17547</Words>
  <Characters>10002</Characters>
  <Application>Microsoft Office Word</Application>
  <DocSecurity>0</DocSecurity>
  <Lines>83</Lines>
  <Paragraphs>54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Veselibas ministrija</Company>
  <LinksUpToDate>false</LinksUpToDate>
  <CharactersWithSpaces>27495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Vēstule</dc:subject>
  <dc:creator>Diāna Arāja</dc:creator>
  <dc:description>Diana.Arajs@vm.gov.lv; tel.: 67876114</dc:description>
  <cp:lastModifiedBy>daraja</cp:lastModifiedBy>
  <cp:revision>80</cp:revision>
  <cp:lastPrinted>2016-08-01T09:05:00Z</cp:lastPrinted>
  <dcterms:created xsi:type="dcterms:W3CDTF">2016-08-10T16:49:00Z</dcterms:created>
  <dcterms:modified xsi:type="dcterms:W3CDTF">2016-08-11T08:37:00Z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