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3F" w:rsidRPr="00B65799" w:rsidRDefault="00A7113F" w:rsidP="00A7113F">
      <w:pPr>
        <w:jc w:val="center"/>
        <w:rPr>
          <w:b/>
          <w:bCs/>
          <w:szCs w:val="28"/>
        </w:rPr>
      </w:pPr>
      <w:bookmarkStart w:id="0" w:name="_GoBack"/>
      <w:bookmarkEnd w:id="0"/>
      <w:r w:rsidRPr="00B65799">
        <w:rPr>
          <w:b/>
          <w:bCs/>
          <w:szCs w:val="28"/>
        </w:rPr>
        <w:t>Ministru kabineta noteikumu projekta</w:t>
      </w:r>
    </w:p>
    <w:p w:rsidR="007142AD" w:rsidRPr="00B65799" w:rsidRDefault="00A7113F" w:rsidP="00A7113F">
      <w:pPr>
        <w:jc w:val="center"/>
        <w:rPr>
          <w:b/>
          <w:szCs w:val="28"/>
        </w:rPr>
      </w:pPr>
      <w:r w:rsidRPr="00B65799">
        <w:rPr>
          <w:b/>
          <w:bCs/>
          <w:szCs w:val="28"/>
        </w:rPr>
        <w:t>„Grozījum</w:t>
      </w:r>
      <w:r w:rsidR="005D42B6">
        <w:rPr>
          <w:b/>
          <w:bCs/>
          <w:szCs w:val="28"/>
        </w:rPr>
        <w:t>i</w:t>
      </w:r>
      <w:r w:rsidRPr="00B65799">
        <w:rPr>
          <w:b/>
          <w:bCs/>
          <w:szCs w:val="28"/>
        </w:rPr>
        <w:t xml:space="preserve"> Ministru kabineta 200</w:t>
      </w:r>
      <w:r w:rsidR="00B46D45" w:rsidRPr="00B65799">
        <w:rPr>
          <w:b/>
          <w:bCs/>
          <w:szCs w:val="28"/>
        </w:rPr>
        <w:t>9</w:t>
      </w:r>
      <w:r w:rsidRPr="00B65799">
        <w:rPr>
          <w:b/>
          <w:bCs/>
          <w:szCs w:val="28"/>
        </w:rPr>
        <w:t xml:space="preserve">.gada </w:t>
      </w:r>
      <w:r w:rsidR="00B46D45" w:rsidRPr="00B65799">
        <w:rPr>
          <w:b/>
          <w:bCs/>
          <w:szCs w:val="28"/>
        </w:rPr>
        <w:t>25</w:t>
      </w:r>
      <w:r w:rsidRPr="00B65799">
        <w:rPr>
          <w:b/>
          <w:bCs/>
          <w:szCs w:val="28"/>
        </w:rPr>
        <w:t>.</w:t>
      </w:r>
      <w:r w:rsidR="00B46D45" w:rsidRPr="00B65799">
        <w:rPr>
          <w:b/>
          <w:bCs/>
          <w:szCs w:val="28"/>
        </w:rPr>
        <w:t>augusta</w:t>
      </w:r>
      <w:r w:rsidRPr="00B65799">
        <w:rPr>
          <w:b/>
          <w:bCs/>
          <w:szCs w:val="28"/>
        </w:rPr>
        <w:t xml:space="preserve"> noteikumos Nr.</w:t>
      </w:r>
      <w:r w:rsidR="00B46D45" w:rsidRPr="00B65799">
        <w:rPr>
          <w:b/>
          <w:bCs/>
          <w:szCs w:val="28"/>
        </w:rPr>
        <w:t>971</w:t>
      </w:r>
      <w:r w:rsidRPr="00B65799">
        <w:rPr>
          <w:b/>
          <w:bCs/>
          <w:szCs w:val="28"/>
        </w:rPr>
        <w:t xml:space="preserve"> „Noteikumi par darbības programmas „Infrastruktūra un pakalpojumi” papildinājuma 3.3.</w:t>
      </w:r>
      <w:r w:rsidR="00B46D45" w:rsidRPr="00B65799">
        <w:rPr>
          <w:b/>
          <w:bCs/>
          <w:szCs w:val="28"/>
        </w:rPr>
        <w:t>2</w:t>
      </w:r>
      <w:r w:rsidRPr="00B65799">
        <w:rPr>
          <w:b/>
          <w:bCs/>
          <w:szCs w:val="28"/>
        </w:rPr>
        <w:t>.</w:t>
      </w:r>
      <w:r w:rsidR="00B46D45" w:rsidRPr="00B65799">
        <w:rPr>
          <w:b/>
          <w:bCs/>
          <w:szCs w:val="28"/>
        </w:rPr>
        <w:t>1</w:t>
      </w:r>
      <w:r w:rsidRPr="00B65799">
        <w:rPr>
          <w:b/>
          <w:bCs/>
          <w:szCs w:val="28"/>
        </w:rPr>
        <w:t>.aktivitāti „</w:t>
      </w:r>
      <w:r w:rsidR="00B46D45" w:rsidRPr="00B65799">
        <w:rPr>
          <w:b/>
          <w:bCs/>
        </w:rPr>
        <w:t>Ilgtspējīga sabiedriskā transporta sistēmas attīstība</w:t>
      </w:r>
      <w:r w:rsidRPr="00B65799">
        <w:rPr>
          <w:b/>
          <w:bCs/>
          <w:szCs w:val="28"/>
        </w:rPr>
        <w:t>”” sākotnējās ietekmes novērtējuma ziņojums (anotācija)</w:t>
      </w:r>
    </w:p>
    <w:p w:rsidR="00DF5207" w:rsidRPr="00427146" w:rsidRDefault="00DF5207" w:rsidP="008539C0">
      <w:pPr>
        <w:pStyle w:val="naisc"/>
        <w:spacing w:before="0" w:after="0"/>
        <w:rPr>
          <w:color w:val="000000"/>
        </w:rPr>
      </w:pPr>
    </w:p>
    <w:tbl>
      <w:tblPr>
        <w:tblW w:w="5238"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8"/>
        <w:gridCol w:w="2201"/>
        <w:gridCol w:w="6990"/>
      </w:tblGrid>
      <w:tr w:rsidR="00AA00A2" w:rsidRPr="00427146" w:rsidTr="007528EE">
        <w:trPr>
          <w:trHeight w:val="450"/>
          <w:tblCellSpacing w:w="15" w:type="dxa"/>
        </w:trPr>
        <w:tc>
          <w:tcPr>
            <w:tcW w:w="4968" w:type="pct"/>
            <w:gridSpan w:val="3"/>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b/>
                <w:bCs/>
                <w:color w:val="000000"/>
              </w:rPr>
              <w:t>I. Tiesību akta projekta izstrādes nepieciešamība</w:t>
            </w:r>
          </w:p>
        </w:tc>
      </w:tr>
      <w:tr w:rsidR="00385F0D" w:rsidRPr="00427146" w:rsidTr="007528EE">
        <w:trPr>
          <w:trHeight w:val="40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1.</w:t>
            </w:r>
          </w:p>
        </w:tc>
        <w:tc>
          <w:tcPr>
            <w:tcW w:w="1132" w:type="pct"/>
            <w:hideMark/>
          </w:tcPr>
          <w:p w:rsidR="00385F0D" w:rsidRPr="00427146" w:rsidRDefault="00385F0D">
            <w:pPr>
              <w:rPr>
                <w:color w:val="000000"/>
              </w:rPr>
            </w:pPr>
            <w:r w:rsidRPr="00427146">
              <w:rPr>
                <w:color w:val="000000"/>
              </w:rPr>
              <w:t>Pamatojums</w:t>
            </w:r>
          </w:p>
        </w:tc>
        <w:tc>
          <w:tcPr>
            <w:tcW w:w="3590" w:type="pct"/>
            <w:hideMark/>
          </w:tcPr>
          <w:p w:rsidR="00385F0D" w:rsidRPr="00427146" w:rsidRDefault="00A7113F" w:rsidP="00CB0D6F">
            <w:pPr>
              <w:ind w:right="65"/>
              <w:jc w:val="both"/>
              <w:rPr>
                <w:color w:val="000000"/>
              </w:rPr>
            </w:pPr>
            <w:r w:rsidRPr="00A7113F">
              <w:rPr>
                <w:bCs/>
                <w:color w:val="000000"/>
              </w:rPr>
              <w:t>Eiropas Savienības struktūrfondu un Kohēzijas fonda vadības likuma 18.panta 10.punkts.</w:t>
            </w:r>
          </w:p>
        </w:tc>
      </w:tr>
      <w:tr w:rsidR="00385F0D" w:rsidRPr="006D46B5" w:rsidTr="007528EE">
        <w:trPr>
          <w:trHeight w:val="50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2.</w:t>
            </w:r>
          </w:p>
        </w:tc>
        <w:tc>
          <w:tcPr>
            <w:tcW w:w="1132" w:type="pct"/>
            <w:hideMark/>
          </w:tcPr>
          <w:p w:rsidR="00385F0D" w:rsidRPr="00427146" w:rsidRDefault="00385F0D">
            <w:pPr>
              <w:rPr>
                <w:color w:val="000000"/>
              </w:rPr>
            </w:pPr>
            <w:r w:rsidRPr="00427146">
              <w:rPr>
                <w:color w:val="000000"/>
              </w:rPr>
              <w:t>Pašreizējā situācija un problēmas, kuru risināšanai tiesību akta projekts izstrādāts, tiesiskā regulējuma mērķis un būtība</w:t>
            </w:r>
          </w:p>
        </w:tc>
        <w:tc>
          <w:tcPr>
            <w:tcW w:w="3590" w:type="pct"/>
            <w:hideMark/>
          </w:tcPr>
          <w:p w:rsidR="00185B26" w:rsidRDefault="00A776AB" w:rsidP="00DE08B4">
            <w:pPr>
              <w:ind w:right="65"/>
              <w:jc w:val="both"/>
            </w:pPr>
            <w:r w:rsidRPr="00A776AB">
              <w:t xml:space="preserve">Darbības programmas „Infrastruktūra un pakalpojumi” papildinājuma </w:t>
            </w:r>
            <w:r w:rsidR="00721FC9" w:rsidRPr="00721FC9">
              <w:rPr>
                <w:bCs/>
                <w:color w:val="000000"/>
                <w:szCs w:val="28"/>
              </w:rPr>
              <w:t>3.3.2.1.aktivitāti „</w:t>
            </w:r>
            <w:r w:rsidR="00721FC9" w:rsidRPr="00721FC9">
              <w:rPr>
                <w:bCs/>
                <w:color w:val="414142"/>
              </w:rPr>
              <w:t>Ilgtspējīga sabiedriskā transporta sistēmas attīstība</w:t>
            </w:r>
            <w:r w:rsidR="00721FC9" w:rsidRPr="00721FC9">
              <w:rPr>
                <w:bCs/>
                <w:color w:val="000000"/>
                <w:szCs w:val="28"/>
              </w:rPr>
              <w:t>”</w:t>
            </w:r>
            <w:r w:rsidRPr="00A776AB">
              <w:t xml:space="preserve"> (turpmāk </w:t>
            </w:r>
            <w:r w:rsidR="00721FC9">
              <w:t>-</w:t>
            </w:r>
            <w:r w:rsidRPr="00A776AB">
              <w:t xml:space="preserve"> 3.3.</w:t>
            </w:r>
            <w:r w:rsidR="00721FC9">
              <w:t>2</w:t>
            </w:r>
            <w:r w:rsidRPr="00A776AB">
              <w:t>.</w:t>
            </w:r>
            <w:r w:rsidR="00721FC9">
              <w:t>1</w:t>
            </w:r>
            <w:r w:rsidRPr="00A776AB">
              <w:t xml:space="preserve">.aktivitāte) ietvaros ir pieejams Kohēzijas fonda līdzfinansējums </w:t>
            </w:r>
            <w:r w:rsidR="00721FC9" w:rsidRPr="00721FC9">
              <w:t>35</w:t>
            </w:r>
            <w:r w:rsidR="00721FC9">
              <w:t> </w:t>
            </w:r>
            <w:r w:rsidR="00721FC9" w:rsidRPr="00721FC9">
              <w:t>084</w:t>
            </w:r>
            <w:r w:rsidR="00721FC9">
              <w:t> </w:t>
            </w:r>
            <w:r w:rsidR="00721FC9" w:rsidRPr="00721FC9">
              <w:t>111</w:t>
            </w:r>
            <w:r w:rsidRPr="00721FC9">
              <w:t xml:space="preserve"> </w:t>
            </w:r>
            <w:r w:rsidRPr="00A776AB">
              <w:t xml:space="preserve">euro apmērā un </w:t>
            </w:r>
            <w:r w:rsidR="00721FC9">
              <w:t xml:space="preserve">valsts budžeta finansējums attiecināmajām izmaksām </w:t>
            </w:r>
            <w:r w:rsidR="00721FC9" w:rsidRPr="00721FC9">
              <w:t>3</w:t>
            </w:r>
            <w:r w:rsidR="00721FC9">
              <w:t> </w:t>
            </w:r>
            <w:r w:rsidR="00721FC9" w:rsidRPr="00721FC9">
              <w:t>087</w:t>
            </w:r>
            <w:r w:rsidR="00721FC9">
              <w:t> </w:t>
            </w:r>
            <w:r w:rsidR="00721FC9" w:rsidRPr="00721FC9">
              <w:t>171</w:t>
            </w:r>
            <w:r w:rsidRPr="00A776AB">
              <w:t xml:space="preserve"> euro apmērā. 3.3.</w:t>
            </w:r>
            <w:r w:rsidR="00721FC9">
              <w:t>2</w:t>
            </w:r>
            <w:r w:rsidRPr="00A776AB">
              <w:t>.</w:t>
            </w:r>
            <w:r w:rsidR="00721FC9">
              <w:t>1</w:t>
            </w:r>
            <w:r w:rsidRPr="00A776AB">
              <w:t xml:space="preserve">.aktivitātes ietvaros </w:t>
            </w:r>
            <w:r w:rsidR="00C31767">
              <w:t xml:space="preserve">tika </w:t>
            </w:r>
            <w:r w:rsidR="002A19D3" w:rsidRPr="006D46B5">
              <w:t xml:space="preserve">noslēgti </w:t>
            </w:r>
            <w:r w:rsidR="00721FC9">
              <w:t>divi</w:t>
            </w:r>
            <w:r w:rsidR="002A19D3" w:rsidRPr="006D46B5">
              <w:t xml:space="preserve"> civiltiesiskie līgumi par Kohēzijas fonda projekt</w:t>
            </w:r>
            <w:r w:rsidR="00220EA6">
              <w:t>u</w:t>
            </w:r>
            <w:r w:rsidR="002A19D3" w:rsidRPr="006D46B5">
              <w:t xml:space="preserve"> īstenošanu.</w:t>
            </w:r>
          </w:p>
          <w:p w:rsidR="00C84EC4" w:rsidRDefault="00682F5F" w:rsidP="00DE08B4">
            <w:pPr>
              <w:ind w:right="65"/>
              <w:jc w:val="both"/>
            </w:pPr>
            <w:r w:rsidRPr="00A776AB">
              <w:t>3.3.</w:t>
            </w:r>
            <w:r>
              <w:t>2</w:t>
            </w:r>
            <w:r w:rsidRPr="00A776AB">
              <w:t>.</w:t>
            </w:r>
            <w:r>
              <w:t>1</w:t>
            </w:r>
            <w:r w:rsidRPr="00A776AB">
              <w:t>.aktivitāte</w:t>
            </w:r>
            <w:r>
              <w:t>s ietvaros tiek īstenoti divi projekti:</w:t>
            </w:r>
          </w:p>
          <w:p w:rsidR="00682F5F" w:rsidRDefault="00682F5F" w:rsidP="00F84F3E">
            <w:pPr>
              <w:pStyle w:val="ListParagraph"/>
              <w:numPr>
                <w:ilvl w:val="0"/>
                <w:numId w:val="42"/>
              </w:numPr>
              <w:spacing w:before="120" w:after="120"/>
              <w:ind w:left="714" w:right="62" w:hanging="357"/>
              <w:jc w:val="both"/>
            </w:pPr>
            <w:r w:rsidRPr="00682F5F">
              <w:t>Nr. 3DP/3.3.2.1.0/13/IPIA/SM/002 „Dzelzceļa pasažieru infrastruktūras modernizācija”</w:t>
            </w:r>
            <w:r>
              <w:t>;</w:t>
            </w:r>
          </w:p>
          <w:p w:rsidR="00682F5F" w:rsidRPr="00682F5F" w:rsidRDefault="00682F5F" w:rsidP="00F84F3E">
            <w:pPr>
              <w:pStyle w:val="ListParagraph"/>
              <w:numPr>
                <w:ilvl w:val="0"/>
                <w:numId w:val="42"/>
              </w:numPr>
              <w:spacing w:before="120" w:after="120"/>
              <w:ind w:left="714" w:right="62" w:hanging="357"/>
              <w:jc w:val="both"/>
            </w:pPr>
            <w:r w:rsidRPr="00682F5F">
              <w:t xml:space="preserve">Nr. 3DP/3.3.2.1.0/13/IPIA/SM/001 </w:t>
            </w:r>
            <w:r w:rsidRPr="00ED438E">
              <w:rPr>
                <w:bCs/>
              </w:rPr>
              <w:t>„</w:t>
            </w:r>
            <w:r w:rsidRPr="00682F5F">
              <w:t>Dīzeļvilcienu ritošā sastāva modernizācija”.</w:t>
            </w:r>
          </w:p>
          <w:p w:rsidR="00C31767" w:rsidRDefault="00C31767" w:rsidP="003A7D1E">
            <w:pPr>
              <w:ind w:left="34"/>
              <w:jc w:val="both"/>
              <w:rPr>
                <w:bCs/>
              </w:rPr>
            </w:pPr>
            <w:r>
              <w:rPr>
                <w:bCs/>
              </w:rPr>
              <w:t xml:space="preserve">Projekta </w:t>
            </w:r>
            <w:r w:rsidRPr="00682F5F">
              <w:t>Nr. 3DP/3.3.2.1.0/13/IPIA/SM/002 „Dzelzceļa pasažieru infrastruktūras modernizācija”</w:t>
            </w:r>
            <w:r>
              <w:t xml:space="preserve"> īstenošana ir pabeigta un projekta mērķi</w:t>
            </w:r>
            <w:r w:rsidR="00711709">
              <w:t>,</w:t>
            </w:r>
            <w:r>
              <w:t xml:space="preserve"> iznākuma un rezultātu rādītāji ir pilnībā sasniegti.</w:t>
            </w:r>
          </w:p>
          <w:p w:rsidR="003266E3" w:rsidRDefault="00B65799" w:rsidP="003A7D1E">
            <w:pPr>
              <w:ind w:left="34"/>
              <w:jc w:val="both"/>
            </w:pPr>
            <w:r>
              <w:rPr>
                <w:bCs/>
              </w:rPr>
              <w:t>P</w:t>
            </w:r>
            <w:r w:rsidR="002360AC" w:rsidRPr="00762F6B">
              <w:t xml:space="preserve">rojekta </w:t>
            </w:r>
            <w:r w:rsidR="00B64A20" w:rsidRPr="00682F5F">
              <w:t xml:space="preserve">Nr. 3DP/3.3.2.1.0/13/IPIA/SM/001 </w:t>
            </w:r>
            <w:r w:rsidR="00B64A20" w:rsidRPr="00ED438E">
              <w:rPr>
                <w:bCs/>
              </w:rPr>
              <w:t>„</w:t>
            </w:r>
            <w:r w:rsidR="00B64A20" w:rsidRPr="00682F5F">
              <w:t>Dīzeļvilcienu ritošā sastāva modernizācija”</w:t>
            </w:r>
            <w:r w:rsidR="00B64A20">
              <w:t xml:space="preserve"> (turpmāk - projekts) </w:t>
            </w:r>
            <w:r w:rsidR="002360AC" w:rsidRPr="00762F6B">
              <w:t xml:space="preserve">ietvaros paredzēta </w:t>
            </w:r>
            <w:r w:rsidR="00711709">
              <w:t xml:space="preserve">akciju sabiedrības “Pasažieru vilciens” (turpmāk </w:t>
            </w:r>
            <w:r w:rsidR="005D11E5">
              <w:t>-</w:t>
            </w:r>
            <w:r w:rsidR="00711709">
              <w:t xml:space="preserve"> PV)</w:t>
            </w:r>
            <w:r w:rsidR="002360AC" w:rsidRPr="00762F6B">
              <w:t xml:space="preserve"> ritošā sastāva atjaunošana. </w:t>
            </w:r>
            <w:r w:rsidR="002360AC">
              <w:t>PV</w:t>
            </w:r>
            <w:r w:rsidR="002360AC" w:rsidRPr="00762F6B">
              <w:t xml:space="preserve"> modernizē DR1A sērijas dīzeļvilcienu vagonus:</w:t>
            </w:r>
            <w:r w:rsidR="002360AC" w:rsidRPr="00762F6B">
              <w:rPr>
                <w:color w:val="000000"/>
              </w:rPr>
              <w:t xml:space="preserve"> </w:t>
            </w:r>
            <w:r w:rsidR="002360AC" w:rsidRPr="00762F6B">
              <w:t>5 dīzeļvilcienu sastāvus ar 3 vagoniem un 1 dīzeļvilciena sastāvu ar 4 vagoniem (kopā 6 vagonu grupas jeb 19 vagonus). Dīzeļvilcieniem ar 3 vagoniem tiks ierīkots paaugstināta komforta telpa ar 16 vietām.</w:t>
            </w:r>
            <w:r w:rsidR="002360AC">
              <w:t xml:space="preserve"> </w:t>
            </w:r>
            <w:r w:rsidR="002360AC" w:rsidRPr="00762F6B">
              <w:t xml:space="preserve">Projekta ieviešanas rezultātā </w:t>
            </w:r>
            <w:r w:rsidR="00516E31">
              <w:t>paredzēts</w:t>
            </w:r>
            <w:r w:rsidR="00516E31" w:rsidRPr="00762F6B">
              <w:t xml:space="preserve"> </w:t>
            </w:r>
            <w:r w:rsidR="002360AC" w:rsidRPr="00762F6B">
              <w:t>būtiski uzlabot pasažieru pārvadājumu kvalitāt</w:t>
            </w:r>
            <w:r w:rsidR="00516E31">
              <w:t>i</w:t>
            </w:r>
            <w:r w:rsidR="002360AC" w:rsidRPr="00762F6B">
              <w:t xml:space="preserve"> un efektivitāt</w:t>
            </w:r>
            <w:r w:rsidR="00516E31">
              <w:t>i, paaugstinot</w:t>
            </w:r>
            <w:r w:rsidR="002360AC" w:rsidRPr="00762F6B">
              <w:t xml:space="preserve"> pasažieru komforta līmeni, iekāpšanas un izkāpšanas drošīb</w:t>
            </w:r>
            <w:r w:rsidR="00516E31">
              <w:t>u</w:t>
            </w:r>
            <w:r w:rsidR="002360AC" w:rsidRPr="00762F6B">
              <w:t xml:space="preserve">, </w:t>
            </w:r>
            <w:r w:rsidR="00516E31" w:rsidRPr="00762F6B">
              <w:t>uzlabo</w:t>
            </w:r>
            <w:r w:rsidR="00516E31">
              <w:t>jot</w:t>
            </w:r>
            <w:r w:rsidR="00516E31" w:rsidRPr="00762F6B">
              <w:t xml:space="preserve"> </w:t>
            </w:r>
            <w:r w:rsidR="002360AC" w:rsidRPr="00762F6B">
              <w:t>apkalpojošā personāla darba apstākļ</w:t>
            </w:r>
            <w:r w:rsidR="00516E31">
              <w:t>us</w:t>
            </w:r>
            <w:r w:rsidR="002360AC" w:rsidRPr="00762F6B">
              <w:t>, kā arī vides aizsardzības prasību ievērošan</w:t>
            </w:r>
            <w:r w:rsidR="00516E31">
              <w:t>u</w:t>
            </w:r>
            <w:r w:rsidR="002360AC" w:rsidRPr="00762F6B">
              <w:t xml:space="preserve"> un energoresursu ekonomij</w:t>
            </w:r>
            <w:r w:rsidR="00516E31">
              <w:t>u</w:t>
            </w:r>
            <w:r w:rsidR="002360AC" w:rsidRPr="00762F6B">
              <w:t>.</w:t>
            </w:r>
          </w:p>
          <w:p w:rsidR="003266E3" w:rsidRDefault="003266E3" w:rsidP="003A7D1E">
            <w:pPr>
              <w:ind w:left="34"/>
              <w:jc w:val="both"/>
            </w:pPr>
            <w:r w:rsidRPr="00C21C85">
              <w:t xml:space="preserve">Sadarbības līgums par projekta īstenošanu </w:t>
            </w:r>
            <w:r>
              <w:t xml:space="preserve">ar PV tika </w:t>
            </w:r>
            <w:r w:rsidRPr="00C21C85">
              <w:t>noslēgts 201</w:t>
            </w:r>
            <w:r>
              <w:t>4</w:t>
            </w:r>
            <w:r w:rsidRPr="00C21C85">
              <w:t xml:space="preserve">.gada </w:t>
            </w:r>
            <w:r>
              <w:t>30</w:t>
            </w:r>
            <w:r w:rsidRPr="00C21C85">
              <w:t>.</w:t>
            </w:r>
            <w:r>
              <w:t xml:space="preserve">janvārī. Projekta ietvaros </w:t>
            </w:r>
            <w:r w:rsidRPr="00C21C85">
              <w:t>201</w:t>
            </w:r>
            <w:r>
              <w:t>4</w:t>
            </w:r>
            <w:r w:rsidRPr="00C21C85">
              <w:t xml:space="preserve">.gada </w:t>
            </w:r>
            <w:r>
              <w:t>31</w:t>
            </w:r>
            <w:r w:rsidRPr="00C21C85">
              <w:t>.</w:t>
            </w:r>
            <w:r>
              <w:t xml:space="preserve">janvārī tika noslēgts līgums starp PV un Pilnsabiedrību “DMU vilcieni” (turpmāk - Izpildītājs) </w:t>
            </w:r>
            <w:r w:rsidRPr="003C3871">
              <w:t>par DR1A sērijas dīzeļvilcienu vagonu modernizāciju</w:t>
            </w:r>
            <w:r>
              <w:t xml:space="preserve">. </w:t>
            </w:r>
            <w:r w:rsidRPr="00BE4B59">
              <w:t xml:space="preserve">Vagonu modernizācijas </w:t>
            </w:r>
            <w:r w:rsidR="00280512">
              <w:t xml:space="preserve">iepirkuma </w:t>
            </w:r>
            <w:r w:rsidRPr="00BE4B59">
              <w:t>līguma summa ir</w:t>
            </w:r>
            <w:r>
              <w:t xml:space="preserve"> </w:t>
            </w:r>
            <w:r w:rsidRPr="00BE4B59">
              <w:t xml:space="preserve">21 979 348 </w:t>
            </w:r>
            <w:proofErr w:type="spellStart"/>
            <w:r w:rsidRPr="007A47F2">
              <w:rPr>
                <w:i/>
              </w:rPr>
              <w:t>euro</w:t>
            </w:r>
            <w:proofErr w:type="spellEnd"/>
            <w:r w:rsidRPr="00BE4B59">
              <w:t xml:space="preserve">, tajā skaitā </w:t>
            </w:r>
            <w:r w:rsidR="00280512">
              <w:t xml:space="preserve">attiecināmās </w:t>
            </w:r>
            <w:r w:rsidRPr="00BE4B59">
              <w:t>vagonu modernizācijas izmaksas 20</w:t>
            </w:r>
            <w:r>
              <w:t> </w:t>
            </w:r>
            <w:r w:rsidRPr="00BE4B59">
              <w:t>581 138 </w:t>
            </w:r>
            <w:proofErr w:type="spellStart"/>
            <w:r w:rsidRPr="007A47F2">
              <w:rPr>
                <w:i/>
              </w:rPr>
              <w:t>euro</w:t>
            </w:r>
            <w:proofErr w:type="spellEnd"/>
            <w:r>
              <w:t>.</w:t>
            </w:r>
          </w:p>
          <w:p w:rsidR="007B13DD" w:rsidRDefault="00DD3776" w:rsidP="007B13DD">
            <w:pPr>
              <w:ind w:left="34"/>
              <w:jc w:val="both"/>
            </w:pPr>
            <w:r w:rsidRPr="00746875">
              <w:t>Pēc Ei</w:t>
            </w:r>
            <w:r w:rsidR="00CD11F2" w:rsidRPr="00746875">
              <w:t>ropas Savienības fondu atbildīgās</w:t>
            </w:r>
            <w:r w:rsidRPr="00746875">
              <w:t xml:space="preserve"> iestād</w:t>
            </w:r>
            <w:r w:rsidR="00CD11F2" w:rsidRPr="00746875">
              <w:t>es</w:t>
            </w:r>
            <w:r w:rsidRPr="00746875">
              <w:t xml:space="preserve"> (turpmāk - atbildīgā iestāde) </w:t>
            </w:r>
            <w:r w:rsidR="00916585" w:rsidRPr="00746875">
              <w:t xml:space="preserve">pieprasījuma </w:t>
            </w:r>
            <w:r w:rsidRPr="00746875">
              <w:t xml:space="preserve">PV iesniedza revidenta ziņojumu par Izpildītāja faktiski veikto izdevumu ticamību </w:t>
            </w:r>
            <w:r w:rsidRPr="00746875">
              <w:rPr>
                <w:bCs/>
              </w:rPr>
              <w:t>p</w:t>
            </w:r>
            <w:r w:rsidRPr="00746875">
              <w:t xml:space="preserve">ar iegādātajiem </w:t>
            </w:r>
            <w:r w:rsidRPr="00746875">
              <w:rPr>
                <w:bCs/>
              </w:rPr>
              <w:t>agregātiem, materiāliem, veiktajiem darbiem vai citiem saistītajiem izdevumiem</w:t>
            </w:r>
            <w:r>
              <w:rPr>
                <w:bCs/>
                <w:u w:val="single"/>
              </w:rPr>
              <w:t xml:space="preserve">, </w:t>
            </w:r>
            <w:r w:rsidRPr="00BA032D">
              <w:rPr>
                <w:bCs/>
              </w:rPr>
              <w:t>v</w:t>
            </w:r>
            <w:r w:rsidRPr="00BA032D">
              <w:t>ago</w:t>
            </w:r>
            <w:r w:rsidRPr="00F055B8">
              <w:t xml:space="preserve">nu modernizācijas </w:t>
            </w:r>
            <w:r w:rsidR="00916585">
              <w:t xml:space="preserve">iepirkuma </w:t>
            </w:r>
            <w:r w:rsidRPr="00F055B8">
              <w:rPr>
                <w:bCs/>
              </w:rPr>
              <w:t>līguma ietvaros, l</w:t>
            </w:r>
            <w:r w:rsidRPr="00F055B8">
              <w:t xml:space="preserve">ai </w:t>
            </w:r>
            <w:r w:rsidR="00CD11F2">
              <w:t xml:space="preserve">varētu </w:t>
            </w:r>
            <w:r w:rsidRPr="00F055B8">
              <w:t xml:space="preserve">gūt </w:t>
            </w:r>
            <w:r w:rsidRPr="00F055B8">
              <w:lastRenderedPageBreak/>
              <w:t xml:space="preserve">pārliecību par izdevumu, kas veikti projekta ietvaros līdz 2015.gada 31.decembrim, atbilstību. </w:t>
            </w:r>
            <w:r w:rsidR="007B13DD">
              <w:t>Līdz 2015.gada 31.decembrim</w:t>
            </w:r>
            <w:r w:rsidR="007B13DD" w:rsidRPr="00C07AFB">
              <w:t xml:space="preserve"> projekta ietvaros ir deklarēti </w:t>
            </w:r>
            <w:r w:rsidR="007B13DD">
              <w:t xml:space="preserve">un apmaksāti </w:t>
            </w:r>
            <w:r w:rsidR="007B13DD" w:rsidRPr="00C07AFB">
              <w:t xml:space="preserve">attiecināmie izdevumi 10 290 569,00 </w:t>
            </w:r>
            <w:proofErr w:type="spellStart"/>
            <w:r w:rsidR="007B13DD" w:rsidRPr="00C07AFB">
              <w:rPr>
                <w:i/>
              </w:rPr>
              <w:t>euro</w:t>
            </w:r>
            <w:proofErr w:type="spellEnd"/>
            <w:r w:rsidR="007B13DD" w:rsidRPr="00C07AFB">
              <w:t xml:space="preserve"> apmērā, no kuriem Kohēzijas fonda līdzfinansējums - </w:t>
            </w:r>
            <w:r w:rsidR="007B13DD" w:rsidRPr="00C07AFB">
              <w:rPr>
                <w:bCs/>
              </w:rPr>
              <w:t xml:space="preserve">8 746 983,65 </w:t>
            </w:r>
            <w:proofErr w:type="spellStart"/>
            <w:r w:rsidR="007B13DD" w:rsidRPr="00C07AFB">
              <w:rPr>
                <w:bCs/>
                <w:i/>
              </w:rPr>
              <w:t>euro</w:t>
            </w:r>
            <w:proofErr w:type="spellEnd"/>
            <w:r w:rsidR="007B13DD" w:rsidRPr="00C07AFB">
              <w:rPr>
                <w:bCs/>
              </w:rPr>
              <w:t xml:space="preserve"> </w:t>
            </w:r>
            <w:r w:rsidR="007B13DD" w:rsidRPr="00C07AFB">
              <w:t xml:space="preserve">un valsts budžeta finansējums - 1 543 585,35 </w:t>
            </w:r>
            <w:proofErr w:type="spellStart"/>
            <w:r w:rsidR="007B13DD" w:rsidRPr="00C07AFB">
              <w:rPr>
                <w:bCs/>
                <w:i/>
              </w:rPr>
              <w:t>euro</w:t>
            </w:r>
            <w:proofErr w:type="spellEnd"/>
            <w:r w:rsidR="007B13DD" w:rsidRPr="00C07AFB">
              <w:t>.</w:t>
            </w:r>
          </w:p>
          <w:p w:rsidR="00516E31" w:rsidRDefault="00516E31" w:rsidP="003A7D1E">
            <w:pPr>
              <w:ind w:left="34"/>
              <w:jc w:val="both"/>
            </w:pPr>
          </w:p>
          <w:p w:rsidR="00503217" w:rsidRDefault="00711709" w:rsidP="003A7D1E">
            <w:pPr>
              <w:ind w:left="34"/>
              <w:jc w:val="both"/>
            </w:pPr>
            <w:r w:rsidRPr="00D25947">
              <w:t xml:space="preserve">2015.gada </w:t>
            </w:r>
            <w:r>
              <w:t>9</w:t>
            </w:r>
            <w:r w:rsidRPr="00D25947">
              <w:t>.decembrī</w:t>
            </w:r>
            <w:r w:rsidR="00516E31">
              <w:t xml:space="preserve"> PV</w:t>
            </w:r>
            <w:r w:rsidR="007B13DD">
              <w:t xml:space="preserve"> informēja </w:t>
            </w:r>
            <w:r w:rsidR="007B13DD" w:rsidRPr="007B13DD">
              <w:t>atbildīg</w:t>
            </w:r>
            <w:r w:rsidR="00DD3776">
              <w:t>o</w:t>
            </w:r>
            <w:r w:rsidR="007B13DD" w:rsidRPr="007B13DD">
              <w:t xml:space="preserve"> iestād</w:t>
            </w:r>
            <w:r w:rsidR="00DD3776">
              <w:t>i</w:t>
            </w:r>
            <w:r w:rsidR="007B13DD">
              <w:t xml:space="preserve"> par apstākļiem, kas liedz finansējuma saņēmējam nodrošināt projekta īstenošanu līdz </w:t>
            </w:r>
            <w:r w:rsidR="00A9093B">
              <w:t xml:space="preserve">sākotnēji </w:t>
            </w:r>
            <w:r w:rsidR="007B13DD">
              <w:t>noteiktajam termiņam</w:t>
            </w:r>
            <w:r w:rsidR="00A9093B">
              <w:t xml:space="preserve"> - 2015.gada 31.decembrim</w:t>
            </w:r>
            <w:r>
              <w:t xml:space="preserve">, </w:t>
            </w:r>
            <w:r w:rsidR="007B13DD">
              <w:t>un lūdza</w:t>
            </w:r>
            <w:r w:rsidR="007B13DD" w:rsidRPr="00D25947">
              <w:t xml:space="preserve"> </w:t>
            </w:r>
            <w:r w:rsidRPr="00D25947">
              <w:t xml:space="preserve">pagarināt </w:t>
            </w:r>
            <w:r>
              <w:t>p</w:t>
            </w:r>
            <w:r w:rsidRPr="00D25947">
              <w:t xml:space="preserve">rojekta īstenošanas termiņu </w:t>
            </w:r>
            <w:r w:rsidRPr="00D25947">
              <w:rPr>
                <w:bCs/>
              </w:rPr>
              <w:t>līdz 2016.gada 30.jūnijam</w:t>
            </w:r>
            <w:r w:rsidR="007B13DD">
              <w:rPr>
                <w:bCs/>
              </w:rPr>
              <w:t>, vienlaikus iesniedzot argumentētu projekta īstenošanas un mērķu sasniegšanas rīcības plānu ar detalizētu laika grafiku</w:t>
            </w:r>
            <w:r w:rsidRPr="00D25947">
              <w:t>.</w:t>
            </w:r>
          </w:p>
          <w:p w:rsidR="00503217" w:rsidRDefault="007B13DD" w:rsidP="003A7D1E">
            <w:pPr>
              <w:ind w:left="34"/>
              <w:jc w:val="both"/>
            </w:pPr>
            <w:r>
              <w:t>Ņemot vērā uz 2015.gada decembri sasniegto projekta īstenošanas progresu un finansējuma saņēmēja sniegto informāciju par mērķu sasniegšanas iespējām, l</w:t>
            </w:r>
            <w:r w:rsidR="00503217">
              <w:t>ai</w:t>
            </w:r>
            <w:r w:rsidR="00503217" w:rsidRPr="00496AF5">
              <w:t xml:space="preserve"> </w:t>
            </w:r>
            <w:r w:rsidR="00503217">
              <w:t xml:space="preserve">varētu </w:t>
            </w:r>
            <w:r w:rsidR="00503217" w:rsidRPr="00496AF5">
              <w:t xml:space="preserve">sasniegt </w:t>
            </w:r>
            <w:r w:rsidR="00503217">
              <w:t>p</w:t>
            </w:r>
            <w:r w:rsidR="00503217" w:rsidRPr="00496AF5">
              <w:t>rojekta mērķi un nodrošināt tā funkcionalitāti</w:t>
            </w:r>
            <w:r w:rsidR="00503217">
              <w:t xml:space="preserve">, </w:t>
            </w:r>
            <w:r w:rsidR="00443B9F">
              <w:rPr>
                <w:bCs/>
                <w:szCs w:val="28"/>
              </w:rPr>
              <w:t xml:space="preserve">2015.gada 22.decembrī tika veikti grozījumi </w:t>
            </w:r>
            <w:r w:rsidR="00503217" w:rsidRPr="00604925">
              <w:rPr>
                <w:bCs/>
                <w:szCs w:val="28"/>
              </w:rPr>
              <w:t>Ministru kabineta</w:t>
            </w:r>
            <w:r w:rsidR="00503217" w:rsidRPr="00C42ED3">
              <w:t xml:space="preserve"> </w:t>
            </w:r>
            <w:r w:rsidR="00503217" w:rsidRPr="00C42ED3">
              <w:rPr>
                <w:bCs/>
                <w:szCs w:val="28"/>
              </w:rPr>
              <w:t>2009.</w:t>
            </w:r>
            <w:r w:rsidR="00503217">
              <w:rPr>
                <w:bCs/>
                <w:szCs w:val="28"/>
              </w:rPr>
              <w:t> </w:t>
            </w:r>
            <w:r w:rsidR="00503217" w:rsidRPr="00C42ED3">
              <w:rPr>
                <w:bCs/>
                <w:szCs w:val="28"/>
              </w:rPr>
              <w:t>gada 25.</w:t>
            </w:r>
            <w:r w:rsidR="00503217">
              <w:rPr>
                <w:bCs/>
                <w:szCs w:val="28"/>
              </w:rPr>
              <w:t> </w:t>
            </w:r>
            <w:r w:rsidR="00503217" w:rsidRPr="00C42ED3">
              <w:rPr>
                <w:bCs/>
                <w:szCs w:val="28"/>
              </w:rPr>
              <w:t>augusta noteikum</w:t>
            </w:r>
            <w:r w:rsidR="00443B9F">
              <w:rPr>
                <w:bCs/>
                <w:szCs w:val="28"/>
              </w:rPr>
              <w:t xml:space="preserve">os </w:t>
            </w:r>
            <w:r w:rsidR="00503217" w:rsidRPr="00C42ED3">
              <w:rPr>
                <w:bCs/>
                <w:szCs w:val="28"/>
              </w:rPr>
              <w:t>Nr.971 „Noteikumi par darbības programmas „Infrastruktūra un pakalpojumi” papildinājuma 3.3.2.1.aktivitāti „</w:t>
            </w:r>
            <w:r w:rsidR="00503217" w:rsidRPr="00C42ED3">
              <w:rPr>
                <w:bCs/>
              </w:rPr>
              <w:t>Ilgtspējīga sabiedriskā transporta sistēmas attīstība</w:t>
            </w:r>
            <w:r w:rsidR="00503217" w:rsidRPr="00C42ED3">
              <w:rPr>
                <w:bCs/>
                <w:szCs w:val="28"/>
              </w:rPr>
              <w:t>””</w:t>
            </w:r>
            <w:r w:rsidR="00503217">
              <w:t xml:space="preserve"> </w:t>
            </w:r>
            <w:r w:rsidR="00443B9F">
              <w:t xml:space="preserve">(turpmāk </w:t>
            </w:r>
            <w:r w:rsidR="009E72F0">
              <w:t>-</w:t>
            </w:r>
            <w:r w:rsidR="00443B9F">
              <w:t xml:space="preserve"> MK noteikumi Nr.971) un sadarbības līgumā par projekta īstenošanu, pagarinot projekta īstenošanas termiņu līdz </w:t>
            </w:r>
            <w:r w:rsidR="00503217">
              <w:t>201</w:t>
            </w:r>
            <w:r w:rsidR="00443B9F">
              <w:t>6</w:t>
            </w:r>
            <w:r w:rsidR="00503217">
              <w:t>.gada 3</w:t>
            </w:r>
            <w:r w:rsidR="00443B9F">
              <w:t>0</w:t>
            </w:r>
            <w:r w:rsidR="00503217">
              <w:t>.</w:t>
            </w:r>
            <w:r w:rsidR="00443B9F">
              <w:t>jūnijam.</w:t>
            </w:r>
          </w:p>
          <w:p w:rsidR="008C1920" w:rsidRDefault="007B13DD">
            <w:pPr>
              <w:ind w:left="34"/>
              <w:jc w:val="both"/>
            </w:pPr>
            <w:r w:rsidRPr="00D25947">
              <w:t>201</w:t>
            </w:r>
            <w:r>
              <w:t>6</w:t>
            </w:r>
            <w:r w:rsidRPr="00D25947">
              <w:t xml:space="preserve">.gada </w:t>
            </w:r>
            <w:r>
              <w:t>9</w:t>
            </w:r>
            <w:r w:rsidRPr="00D25947">
              <w:t>.</w:t>
            </w:r>
            <w:r>
              <w:t>jūnijā</w:t>
            </w:r>
            <w:r w:rsidRPr="00D25947">
              <w:t xml:space="preserve"> </w:t>
            </w:r>
            <w:r w:rsidR="004F1792">
              <w:t>a</w:t>
            </w:r>
            <w:r w:rsidR="004F1792" w:rsidRPr="00D25947">
              <w:t xml:space="preserve">tbildīgā iestāde </w:t>
            </w:r>
            <w:r w:rsidR="004F1792">
              <w:t xml:space="preserve"> </w:t>
            </w:r>
            <w:r w:rsidR="004F1792" w:rsidRPr="00D25947">
              <w:t xml:space="preserve">ir saņēmusi </w:t>
            </w:r>
            <w:r w:rsidR="004F1792">
              <w:t>PV</w:t>
            </w:r>
            <w:r w:rsidR="004F1792" w:rsidRPr="00D25947">
              <w:t xml:space="preserve"> 201</w:t>
            </w:r>
            <w:r w:rsidR="004F1792">
              <w:t>6</w:t>
            </w:r>
            <w:r w:rsidR="004F1792" w:rsidRPr="00D25947">
              <w:t xml:space="preserve">.gada </w:t>
            </w:r>
            <w:r w:rsidR="004F1792">
              <w:t>8</w:t>
            </w:r>
            <w:r w:rsidR="004F1792" w:rsidRPr="00D25947">
              <w:t>.</w:t>
            </w:r>
            <w:r w:rsidR="004F1792">
              <w:t>jūnija</w:t>
            </w:r>
            <w:r w:rsidR="004F1792" w:rsidRPr="00D25947">
              <w:t xml:space="preserve"> vēstuli Nr. C.10.F.3/</w:t>
            </w:r>
            <w:r w:rsidR="004F1792">
              <w:t>1097</w:t>
            </w:r>
            <w:r w:rsidR="004F1792" w:rsidRPr="00D25947">
              <w:t xml:space="preserve">, kurā </w:t>
            </w:r>
            <w:r w:rsidR="004F1792">
              <w:t>PV</w:t>
            </w:r>
            <w:r w:rsidR="004F1792" w:rsidRPr="00D25947">
              <w:t xml:space="preserve"> </w:t>
            </w:r>
            <w:r w:rsidR="004F1792">
              <w:t>pēc atbildīgās iestādes pieprasījuma ir snie</w:t>
            </w:r>
            <w:r w:rsidR="007A26C6">
              <w:t xml:space="preserve">gusi </w:t>
            </w:r>
            <w:r w:rsidR="004F1792">
              <w:t xml:space="preserve">informāciju par projekta īstenošanas gaitu un sasniegto progresu. </w:t>
            </w:r>
            <w:r w:rsidR="00820789">
              <w:t>Atbilstoši PV</w:t>
            </w:r>
            <w:r w:rsidR="0058488C">
              <w:t xml:space="preserve"> sniegt</w:t>
            </w:r>
            <w:r w:rsidR="00820789">
              <w:t>ajai</w:t>
            </w:r>
            <w:r w:rsidR="0058488C">
              <w:t xml:space="preserve"> informācij</w:t>
            </w:r>
            <w:r w:rsidR="00820789">
              <w:t>ai</w:t>
            </w:r>
            <w:r w:rsidR="0058488C">
              <w:t xml:space="preserve"> </w:t>
            </w:r>
            <w:r w:rsidR="008C1920">
              <w:t xml:space="preserve">projekta </w:t>
            </w:r>
            <w:r w:rsidR="00765F7C">
              <w:t>ietvaros ir sasniegts šāds progress:</w:t>
            </w:r>
          </w:p>
          <w:p w:rsidR="0076767D" w:rsidRPr="00F5517B" w:rsidRDefault="0076767D" w:rsidP="00802BAB">
            <w:pPr>
              <w:pStyle w:val="ListParagraph"/>
              <w:numPr>
                <w:ilvl w:val="0"/>
                <w:numId w:val="46"/>
              </w:numPr>
              <w:ind w:left="339" w:hanging="284"/>
              <w:contextualSpacing/>
              <w:jc w:val="both"/>
            </w:pPr>
            <w:r w:rsidRPr="00F5517B">
              <w:t xml:space="preserve">Šobrīd </w:t>
            </w:r>
            <w:r w:rsidRPr="00F5517B">
              <w:rPr>
                <w:u w:val="single"/>
              </w:rPr>
              <w:t>pirmās trīs vilcienu vagonu grupas</w:t>
            </w:r>
            <w:r w:rsidRPr="00F5517B">
              <w:t xml:space="preserve"> (3 vagoni katrā grupā), attiecīgi 2016.gada 6.maijā, 2016.gada 30.maijā un 2016.gada 10.jūnijā, ir sekmīgi nodotas ekspluatācijā. (pirmajai vagonu grupai saņemti SIA „Baltijas testēšanas centrs” sertifikāti, VAS „Latvijas Dzelzceļš” atzinums par ritošā sastāva atbilstību infrastruktūrai un Valsts dzelzceļa tehniskās inspekcijas lēmums par ritošā sastāva tipa pieņemšanu ekspluatācijā, pārējām divām </w:t>
            </w:r>
            <w:r w:rsidR="00876D2A">
              <w:t xml:space="preserve">grupām </w:t>
            </w:r>
            <w:r w:rsidRPr="00F5517B">
              <w:t>ir veikta verifikācija) un tās tiek izmantotas pasažieru pārvadāšanai.</w:t>
            </w:r>
          </w:p>
          <w:p w:rsidR="0076767D" w:rsidRPr="00F5517B" w:rsidRDefault="0076767D" w:rsidP="00802BAB">
            <w:pPr>
              <w:pStyle w:val="ListParagraph"/>
              <w:numPr>
                <w:ilvl w:val="0"/>
                <w:numId w:val="46"/>
              </w:numPr>
              <w:ind w:left="339" w:hanging="284"/>
              <w:contextualSpacing/>
              <w:jc w:val="both"/>
            </w:pPr>
            <w:r w:rsidRPr="00876D2A">
              <w:rPr>
                <w:u w:val="single"/>
              </w:rPr>
              <w:t>Ceturto vilcienu vagonu grupu</w:t>
            </w:r>
            <w:r w:rsidRPr="00F5517B">
              <w:t xml:space="preserve"> (3 vagoni grupā) paredzēts nodot PV līdz 2016.gada 30.jūnijam (šobrīd SIA „Baltijas testēšanas centrs” ir veicis verifikācij</w:t>
            </w:r>
            <w:r w:rsidR="00FC0CF6">
              <w:t>u</w:t>
            </w:r>
            <w:r w:rsidRPr="00F5517B">
              <w:t xml:space="preserve"> 3 vagoniem, Valsts dzelzceļa tehnisk</w:t>
            </w:r>
            <w:r w:rsidR="00FC0CF6">
              <w:t>ajai</w:t>
            </w:r>
            <w:r w:rsidRPr="00F5517B">
              <w:t xml:space="preserve"> inspekcijai un PV ir jāpieņem ekspluatācijā</w:t>
            </w:r>
            <w:r>
              <w:t xml:space="preserve"> </w:t>
            </w:r>
            <w:r w:rsidR="00A6150A">
              <w:t>vago</w:t>
            </w:r>
            <w:r w:rsidR="00C85301">
              <w:t>n</w:t>
            </w:r>
            <w:r w:rsidR="00A6150A">
              <w:t>u grupa</w:t>
            </w:r>
            <w:r w:rsidRPr="00F5517B">
              <w:t>).</w:t>
            </w:r>
          </w:p>
          <w:p w:rsidR="0076767D" w:rsidRPr="00F5517B" w:rsidRDefault="0076767D" w:rsidP="00802BAB">
            <w:pPr>
              <w:pStyle w:val="ListParagraph"/>
              <w:numPr>
                <w:ilvl w:val="0"/>
                <w:numId w:val="46"/>
              </w:numPr>
              <w:ind w:left="339" w:hanging="284"/>
              <w:contextualSpacing/>
              <w:jc w:val="both"/>
            </w:pPr>
            <w:r w:rsidRPr="00FC0CF6">
              <w:rPr>
                <w:u w:val="single"/>
              </w:rPr>
              <w:t>Piekto vilcienu vagonu grupu</w:t>
            </w:r>
            <w:r w:rsidRPr="00F5517B">
              <w:t xml:space="preserve"> (3 vagoni grupā) plānots pabeigt un nodot PV līdz 2016.gada 15.jūlijam (SIA „Baltijas testēšanas centrs” ir jāveic verifikācija 3 vagoniem, Valsts dzelzceļa tehnisk</w:t>
            </w:r>
            <w:r w:rsidR="00FC0CF6">
              <w:t>ajai</w:t>
            </w:r>
            <w:r w:rsidRPr="00F5517B">
              <w:t xml:space="preserve"> inspekcijai un PV ir jāpieņem ekspluatācijā</w:t>
            </w:r>
            <w:r>
              <w:t xml:space="preserve"> vagonu grupa</w:t>
            </w:r>
            <w:r w:rsidRPr="00F5517B">
              <w:t>).</w:t>
            </w:r>
          </w:p>
          <w:p w:rsidR="00765F7C" w:rsidRDefault="0076767D" w:rsidP="00802BAB">
            <w:pPr>
              <w:pStyle w:val="ListParagraph"/>
              <w:numPr>
                <w:ilvl w:val="0"/>
                <w:numId w:val="46"/>
              </w:numPr>
              <w:ind w:left="339" w:hanging="284"/>
              <w:contextualSpacing/>
              <w:jc w:val="both"/>
            </w:pPr>
            <w:r w:rsidRPr="00FC0CF6">
              <w:rPr>
                <w:u w:val="single"/>
              </w:rPr>
              <w:t>Sesto vilcienu vagonu grupu</w:t>
            </w:r>
            <w:r w:rsidRPr="00F5517B">
              <w:t xml:space="preserve"> (4 vagoni grupā) plānots pabeigt un nodot PV līdz 2016.gada 15.septembrim (SIA „Baltijas testēšanas centrs” ir jāveic verifikācija 3 vagoniem, SIA „Baltijas testēšanas centrs” ir jāsertificē 1 vagons, kuram ir atšķirīgs vagonu tips no jau sertificētajiem vagoniem, Valsts dzelzceļa tehniskajai inspekcijai </w:t>
            </w:r>
            <w:r w:rsidRPr="00F5517B">
              <w:lastRenderedPageBreak/>
              <w:t xml:space="preserve">jāpieņem ekspluatācijā </w:t>
            </w:r>
            <w:r w:rsidR="00FC0CF6">
              <w:t>viens</w:t>
            </w:r>
            <w:r w:rsidRPr="00F5517B">
              <w:t xml:space="preserve"> vagona tips, Valsts dzelzceļa tehnisk</w:t>
            </w:r>
            <w:r w:rsidR="00FC0CF6">
              <w:t>ajai</w:t>
            </w:r>
            <w:r w:rsidRPr="00F5517B">
              <w:t xml:space="preserve"> inspekcijai un PV ir jāpieņem ekspluatācijā</w:t>
            </w:r>
            <w:r>
              <w:t xml:space="preserve"> vagonu grupa</w:t>
            </w:r>
            <w:r w:rsidRPr="00F5517B">
              <w:t>).</w:t>
            </w:r>
          </w:p>
          <w:p w:rsidR="00C05326" w:rsidRDefault="000B7D69">
            <w:pPr>
              <w:ind w:left="34"/>
              <w:jc w:val="both"/>
            </w:pPr>
            <w:r>
              <w:t xml:space="preserve">Līdz ar to </w:t>
            </w:r>
            <w:r w:rsidR="008C1920">
              <w:t xml:space="preserve">ir secināms, ka </w:t>
            </w:r>
            <w:r w:rsidR="00910926">
              <w:t>līdz šobrīd spēkā esošajam projekta īstenošanas beigu termiņam - 2016.gada 30.jūnijam, nav iespējams nodot ekspluatācijā divas no sešām vilcienu vagonu grupām</w:t>
            </w:r>
            <w:r w:rsidR="004D737B">
              <w:t>.</w:t>
            </w:r>
          </w:p>
          <w:p w:rsidR="00910926" w:rsidRDefault="00910926" w:rsidP="00910926">
            <w:pPr>
              <w:spacing w:line="276" w:lineRule="auto"/>
              <w:jc w:val="both"/>
            </w:pPr>
            <w:r>
              <w:t>Atkārt</w:t>
            </w:r>
            <w:r w:rsidR="00330647">
              <w:t xml:space="preserve">otu projekta termiņa pagarinājuma </w:t>
            </w:r>
            <w:r w:rsidR="00E21E7C">
              <w:t>nepieciešamību</w:t>
            </w:r>
            <w:r>
              <w:t xml:space="preserve"> ir noteikuši vairāki apstākļi: </w:t>
            </w:r>
          </w:p>
          <w:p w:rsidR="00910926" w:rsidRPr="00A93B4F" w:rsidRDefault="00910926" w:rsidP="001F1236">
            <w:pPr>
              <w:numPr>
                <w:ilvl w:val="0"/>
                <w:numId w:val="45"/>
              </w:numPr>
              <w:ind w:left="339" w:hanging="284"/>
              <w:jc w:val="both"/>
            </w:pPr>
            <w:r w:rsidRPr="00A93B4F">
              <w:t>Pēc modernizēto vilcienu sastāvu ekspluatācijas uzsākšanas PV nodotajai pirmajai vagonu grupai tika atklāti</w:t>
            </w:r>
            <w:r>
              <w:t xml:space="preserve"> iepriekš neparedzami</w:t>
            </w:r>
            <w:r w:rsidRPr="00A93B4F">
              <w:t xml:space="preserve"> defekti, kuru novēršanai modernizācijas </w:t>
            </w:r>
            <w:r w:rsidR="00DE5476">
              <w:t xml:space="preserve">iepirkuma </w:t>
            </w:r>
            <w:r w:rsidRPr="00A93B4F">
              <w:t xml:space="preserve">līgumā noteiktajā piecu dienu termiņā tika izmantoti agregāti un komponentes no piektās un sestās vagonu grupas. </w:t>
            </w:r>
            <w:r w:rsidR="000A07E9">
              <w:t>Ņemot vērā</w:t>
            </w:r>
            <w:r w:rsidRPr="00A93B4F">
              <w:t xml:space="preserve">, ka ārvalstu piegādātāji </w:t>
            </w:r>
            <w:r w:rsidR="000A07E9">
              <w:t>nav spējuši</w:t>
            </w:r>
            <w:r w:rsidRPr="00A93B4F">
              <w:t xml:space="preserve"> nodrošināt operatīvu komplektējošo daļu piegādi</w:t>
            </w:r>
            <w:r w:rsidR="000A07E9">
              <w:t>,</w:t>
            </w:r>
            <w:r w:rsidRPr="00A93B4F">
              <w:t xml:space="preserve"> </w:t>
            </w:r>
            <w:r w:rsidR="000A07E9">
              <w:t>atsevišķas</w:t>
            </w:r>
            <w:r w:rsidRPr="00A93B4F">
              <w:t xml:space="preserve"> rezerves daļas </w:t>
            </w:r>
            <w:r w:rsidR="000A07E9">
              <w:t>joprojām</w:t>
            </w:r>
            <w:r w:rsidRPr="00A93B4F">
              <w:t xml:space="preserve"> nav piegādātas. </w:t>
            </w:r>
            <w:r w:rsidR="000A07E9">
              <w:t>Papildus atzīmējams, ka t</w:t>
            </w:r>
            <w:r w:rsidRPr="00A93B4F">
              <w:t>ā kā liela daļa piegādātāju, kuri piegādā rezerves daļas aprīkojumam, ir no Krievijas Federācijas</w:t>
            </w:r>
            <w:r w:rsidR="004A1CED">
              <w:t>.</w:t>
            </w:r>
            <w:r w:rsidRPr="00A93B4F">
              <w:t xml:space="preserve"> </w:t>
            </w:r>
            <w:r w:rsidR="004A1CED">
              <w:t>Š</w:t>
            </w:r>
            <w:r w:rsidR="004A1CED" w:rsidRPr="00A93B4F">
              <w:t>ī brīža politiskās situācijas ietekmē sadarbība un preču piegāde ir apgrūtināta</w:t>
            </w:r>
            <w:r w:rsidR="004A1CED">
              <w:t xml:space="preserve"> un grūti prognozējama, kā arī piegāžu termiņu saistību izpilde bieži netiek ievērota</w:t>
            </w:r>
            <w:r w:rsidR="004A1CED" w:rsidRPr="00A93B4F">
              <w:t>.</w:t>
            </w:r>
          </w:p>
          <w:p w:rsidR="00910926" w:rsidRPr="00A93B4F" w:rsidRDefault="004A1CED" w:rsidP="001F1236">
            <w:pPr>
              <w:numPr>
                <w:ilvl w:val="0"/>
                <w:numId w:val="45"/>
              </w:numPr>
              <w:ind w:left="339" w:hanging="284"/>
              <w:jc w:val="both"/>
            </w:pPr>
            <w:r w:rsidRPr="00893410">
              <w:t>Vienam no vagoniem, kas ietilpst sestajā vagonu grupā, ir atšķirīgs vagonu tips no jau sertificētajiem vagoniem, tāpēc tam vēl ir nepieciešams veikt atsevišķu sertifikācijas procedūra, taču to ir iespējams veikt tikai tad, ja vilciena sastāvs ir pilnībā nokomplektēts, ko nav iespējams nodrošināt līdz š.g. 30.jūnijam iepriekš minētā iemesla dēļ.</w:t>
            </w:r>
          </w:p>
          <w:p w:rsidR="004F1792" w:rsidRDefault="00CB4C78" w:rsidP="003A7D1E">
            <w:pPr>
              <w:ind w:left="34"/>
              <w:jc w:val="both"/>
            </w:pPr>
            <w:r>
              <w:t>PV</w:t>
            </w:r>
            <w:r w:rsidRPr="00983353">
              <w:t xml:space="preserve">, ievērojot līguma Nr.14-14 par DR1A sērijas dīzeļvilcienu vagonu modernizāciju </w:t>
            </w:r>
            <w:r w:rsidR="00FF11A5">
              <w:t xml:space="preserve">(turpmāk - iepirkuma līgums) </w:t>
            </w:r>
            <w:r w:rsidRPr="00983353">
              <w:rPr>
                <w:bCs/>
              </w:rPr>
              <w:t>prasības,</w:t>
            </w:r>
            <w:r w:rsidRPr="00983353">
              <w:t xml:space="preserve"> ir veicis samaksu par ekspluatācijā nodoto modernizēto pirmo un otro vilcienu vagonu grupu, samazinot maksājumu katrai vilcienu vagonu grupai par aprēķināto līgumsodu 10%</w:t>
            </w:r>
            <w:r w:rsidR="00207B60">
              <w:t xml:space="preserve"> apmērā</w:t>
            </w:r>
            <w:r w:rsidRPr="00983353">
              <w:t>.</w:t>
            </w:r>
            <w:r w:rsidR="00AD4525">
              <w:t xml:space="preserve"> </w:t>
            </w:r>
            <w:r w:rsidR="00AD4525" w:rsidRPr="00983353">
              <w:rPr>
                <w:bCs/>
              </w:rPr>
              <w:t xml:space="preserve">Izpildītājs </w:t>
            </w:r>
            <w:r w:rsidR="00FF11A5">
              <w:rPr>
                <w:bCs/>
              </w:rPr>
              <w:t xml:space="preserve">PV </w:t>
            </w:r>
            <w:r w:rsidR="00AD4525" w:rsidRPr="00983353">
              <w:rPr>
                <w:bCs/>
              </w:rPr>
              <w:t xml:space="preserve">ir iesniedzis garantijas atbilstoši </w:t>
            </w:r>
            <w:r w:rsidR="00FF11A5">
              <w:rPr>
                <w:bCs/>
              </w:rPr>
              <w:t xml:space="preserve">iepirkuma līgumā </w:t>
            </w:r>
            <w:r w:rsidR="00AD4525">
              <w:t xml:space="preserve">noteiktajām </w:t>
            </w:r>
            <w:r w:rsidR="00AD4525" w:rsidRPr="00983353">
              <w:rPr>
                <w:bCs/>
              </w:rPr>
              <w:t>prasībām ar derīguma termiņu līdz 2016.</w:t>
            </w:r>
            <w:r w:rsidR="00AD4525">
              <w:rPr>
                <w:bCs/>
              </w:rPr>
              <w:t>gada 30</w:t>
            </w:r>
            <w:r w:rsidR="00BA032D">
              <w:rPr>
                <w:bCs/>
              </w:rPr>
              <w:t>.</w:t>
            </w:r>
            <w:r w:rsidR="00AD4525">
              <w:rPr>
                <w:bCs/>
              </w:rPr>
              <w:t xml:space="preserve">jūnijam, kā arī </w:t>
            </w:r>
            <w:r w:rsidR="00FF11A5">
              <w:t>apliecinājumu par iesniegto banku garantiju pagarināšanu līdz visu vagonu modernizācijas pabeigšanai.</w:t>
            </w:r>
          </w:p>
          <w:p w:rsidR="00CB4C78" w:rsidRDefault="00773644" w:rsidP="00C37C17">
            <w:pPr>
              <w:spacing w:after="120"/>
              <w:ind w:left="34"/>
              <w:jc w:val="both"/>
            </w:pPr>
            <w:r>
              <w:t>Ņemot vērā iepriekš minēto, lai</w:t>
            </w:r>
            <w:r w:rsidRPr="00496AF5">
              <w:t xml:space="preserve"> </w:t>
            </w:r>
            <w:r w:rsidR="00DC3A8C">
              <w:t>nodrošinātu pilnīgu projekta aktivitāšu pabeigšanu un mērķa sasniegšanu</w:t>
            </w:r>
            <w:r>
              <w:t xml:space="preserve">, </w:t>
            </w:r>
            <w:r w:rsidR="00DC3A8C">
              <w:t xml:space="preserve">tādējādi novēršot līdz </w:t>
            </w:r>
            <w:r w:rsidR="00330647">
              <w:t>2015.</w:t>
            </w:r>
            <w:r w:rsidR="00DE6AF0">
              <w:t xml:space="preserve">gada 31.decembrim </w:t>
            </w:r>
            <w:r w:rsidR="00DC3A8C">
              <w:t xml:space="preserve">veikto ES fondu maksājumu </w:t>
            </w:r>
            <w:r w:rsidR="00DE6AF0">
              <w:t>ne</w:t>
            </w:r>
            <w:r w:rsidR="00DC3A8C">
              <w:t>attiecināšanas risku</w:t>
            </w:r>
            <w:r w:rsidR="00330647">
              <w:t xml:space="preserve"> </w:t>
            </w:r>
            <w:r w:rsidR="00DE6AF0" w:rsidRPr="00C07AFB">
              <w:t xml:space="preserve">10 290 569,00 </w:t>
            </w:r>
            <w:proofErr w:type="spellStart"/>
            <w:r w:rsidR="00DE6AF0" w:rsidRPr="00C07AFB">
              <w:rPr>
                <w:i/>
              </w:rPr>
              <w:t>euro</w:t>
            </w:r>
            <w:proofErr w:type="spellEnd"/>
            <w:r w:rsidR="00DE6AF0" w:rsidDel="00DE6AF0">
              <w:t xml:space="preserve"> </w:t>
            </w:r>
            <w:r w:rsidR="00330647">
              <w:t>apmērā</w:t>
            </w:r>
            <w:r w:rsidR="00DC3A8C">
              <w:t xml:space="preserve">, </w:t>
            </w:r>
            <w:r>
              <w:t xml:space="preserve">PV </w:t>
            </w:r>
            <w:r w:rsidR="00E80439">
              <w:t xml:space="preserve">ir lūgusi </w:t>
            </w:r>
            <w:r w:rsidR="00DC3A8C">
              <w:t>atkārtoti pagarināt</w:t>
            </w:r>
            <w:r>
              <w:t xml:space="preserve"> projekta īstenošanas termiņu</w:t>
            </w:r>
            <w:r w:rsidR="00DC3A8C">
              <w:t xml:space="preserve">, apliecinot, ka </w:t>
            </w:r>
            <w:r w:rsidR="00DC3A8C" w:rsidRPr="00DC3A8C">
              <w:t>DR1A sērijas dīz</w:t>
            </w:r>
            <w:r w:rsidR="00DC3A8C">
              <w:t>eļvilcienu vagonu modernizācija tiks pabeigta</w:t>
            </w:r>
            <w:r w:rsidR="00330647">
              <w:t xml:space="preserve"> </w:t>
            </w:r>
            <w:r>
              <w:rPr>
                <w:bCs/>
              </w:rPr>
              <w:t>līdz 2016.gada 20.septembrim.</w:t>
            </w:r>
          </w:p>
          <w:p w:rsidR="007A261C" w:rsidRDefault="00291C20" w:rsidP="00291C20">
            <w:pPr>
              <w:ind w:left="34"/>
              <w:jc w:val="both"/>
              <w:rPr>
                <w:bCs/>
              </w:rPr>
            </w:pPr>
            <w:r w:rsidRPr="00E60820">
              <w:t>Satiksmes ministrija, rūpīgi</w:t>
            </w:r>
            <w:r w:rsidRPr="00FA1B28">
              <w:t xml:space="preserve"> </w:t>
            </w:r>
            <w:r w:rsidR="001B60FA">
              <w:t xml:space="preserve">izvērtējot tai </w:t>
            </w:r>
            <w:r w:rsidRPr="00FA1B28">
              <w:t>pieejamo informāciju</w:t>
            </w:r>
            <w:r w:rsidR="001B60FA">
              <w:t>,</w:t>
            </w:r>
            <w:r>
              <w:t xml:space="preserve"> </w:t>
            </w:r>
            <w:r w:rsidR="00E02C45" w:rsidRPr="00FA1B28">
              <w:t xml:space="preserve">ir guvusi pārliecību </w:t>
            </w:r>
            <w:r w:rsidR="001B60FA">
              <w:t xml:space="preserve">par </w:t>
            </w:r>
            <w:r w:rsidR="001B60FA">
              <w:rPr>
                <w:bCs/>
              </w:rPr>
              <w:t xml:space="preserve">sniegtās informācijas par </w:t>
            </w:r>
            <w:r w:rsidR="001B60FA" w:rsidRPr="00F344E6">
              <w:t>faktiski izpildīt</w:t>
            </w:r>
            <w:r w:rsidR="001B60FA">
              <w:t xml:space="preserve">o </w:t>
            </w:r>
            <w:r w:rsidR="001B60FA" w:rsidRPr="00F344E6">
              <w:t>un veicam</w:t>
            </w:r>
            <w:r w:rsidR="001B60FA">
              <w:t xml:space="preserve">o vagonu modernizācijas </w:t>
            </w:r>
            <w:r w:rsidR="001B60FA" w:rsidRPr="00F344E6">
              <w:t>darb</w:t>
            </w:r>
            <w:r w:rsidR="001B60FA">
              <w:t xml:space="preserve">u </w:t>
            </w:r>
            <w:r w:rsidR="00EF4AD2">
              <w:t xml:space="preserve">un apstākļu, kuri ir ietekmējuši </w:t>
            </w:r>
            <w:r w:rsidR="00575A11">
              <w:t xml:space="preserve">nepieciešamību atkārtoti pagarināt </w:t>
            </w:r>
            <w:r w:rsidR="00EF4AD2">
              <w:t>projekta īstenošanas termiņ</w:t>
            </w:r>
            <w:r w:rsidR="00575A11">
              <w:t>u</w:t>
            </w:r>
            <w:r w:rsidR="00EF4AD2">
              <w:t xml:space="preserve">, </w:t>
            </w:r>
            <w:r w:rsidR="001B60FA">
              <w:rPr>
                <w:bCs/>
              </w:rPr>
              <w:t>atbilstību faktiskajai situācijai</w:t>
            </w:r>
            <w:r w:rsidR="007A261C">
              <w:rPr>
                <w:bCs/>
              </w:rPr>
              <w:t>.</w:t>
            </w:r>
            <w:r w:rsidR="004859FC">
              <w:rPr>
                <w:bCs/>
              </w:rPr>
              <w:t xml:space="preserve"> </w:t>
            </w:r>
            <w:r w:rsidR="00B241FB">
              <w:t>Atbildīgā iestāde</w:t>
            </w:r>
            <w:r w:rsidR="004859FC" w:rsidRPr="00D25947">
              <w:rPr>
                <w:bCs/>
              </w:rPr>
              <w:t xml:space="preserve"> </w:t>
            </w:r>
            <w:r w:rsidR="004859FC">
              <w:rPr>
                <w:bCs/>
              </w:rPr>
              <w:t xml:space="preserve">līdz jautājuma </w:t>
            </w:r>
            <w:r w:rsidR="00B241FB">
              <w:rPr>
                <w:bCs/>
              </w:rPr>
              <w:t xml:space="preserve">par projekta termiņa pagarinājumu izskatīšanai </w:t>
            </w:r>
            <w:r w:rsidR="004859FC">
              <w:rPr>
                <w:bCs/>
              </w:rPr>
              <w:t>Ministru</w:t>
            </w:r>
            <w:r w:rsidR="00CA6B82">
              <w:rPr>
                <w:bCs/>
              </w:rPr>
              <w:t xml:space="preserve"> </w:t>
            </w:r>
            <w:r w:rsidR="004859FC">
              <w:rPr>
                <w:bCs/>
              </w:rPr>
              <w:t xml:space="preserve">kabineta sēdē </w:t>
            </w:r>
            <w:r w:rsidR="004859FC" w:rsidRPr="00D25947">
              <w:rPr>
                <w:bCs/>
              </w:rPr>
              <w:t>vei</w:t>
            </w:r>
            <w:r w:rsidR="004859FC">
              <w:rPr>
                <w:bCs/>
              </w:rPr>
              <w:t>ks</w:t>
            </w:r>
            <w:r w:rsidR="004859FC" w:rsidRPr="00D25947">
              <w:rPr>
                <w:bCs/>
              </w:rPr>
              <w:t xml:space="preserve"> pārbaudi projekta īstenošanas vietā</w:t>
            </w:r>
            <w:r w:rsidR="004859FC">
              <w:rPr>
                <w:bCs/>
              </w:rPr>
              <w:t>.</w:t>
            </w:r>
          </w:p>
          <w:p w:rsidR="00EF1CFF" w:rsidRDefault="007A261C" w:rsidP="00291C20">
            <w:pPr>
              <w:ind w:left="34"/>
              <w:jc w:val="both"/>
              <w:rPr>
                <w:bCs/>
              </w:rPr>
            </w:pPr>
            <w:r>
              <w:rPr>
                <w:bCs/>
              </w:rPr>
              <w:t>Ņemot vērā projekta īstenošanas progresu kopš 2015.gada 31.decembta</w:t>
            </w:r>
            <w:r w:rsidR="00603340">
              <w:rPr>
                <w:bCs/>
              </w:rPr>
              <w:t xml:space="preserve">, </w:t>
            </w:r>
            <w:r w:rsidR="007D5FC6">
              <w:rPr>
                <w:bCs/>
              </w:rPr>
              <w:t>proti</w:t>
            </w:r>
            <w:r w:rsidR="00C85301">
              <w:rPr>
                <w:bCs/>
              </w:rPr>
              <w:t>:</w:t>
            </w:r>
          </w:p>
          <w:p w:rsidR="00B744A4" w:rsidRPr="00B744A4" w:rsidRDefault="00B744A4" w:rsidP="005F3E39">
            <w:pPr>
              <w:numPr>
                <w:ilvl w:val="0"/>
                <w:numId w:val="45"/>
              </w:numPr>
              <w:ind w:left="339" w:hanging="284"/>
              <w:jc w:val="both"/>
            </w:pPr>
            <w:r w:rsidRPr="00B744A4">
              <w:lastRenderedPageBreak/>
              <w:t xml:space="preserve">Izpildītājs PV ir iesniedzis garantijas atbilstoši iepirkuma līgumā </w:t>
            </w:r>
            <w:r>
              <w:t xml:space="preserve">noteiktajām </w:t>
            </w:r>
            <w:r w:rsidRPr="00B744A4">
              <w:t>prasībām ar derīguma termiņu līdz 2016.gada 30</w:t>
            </w:r>
            <w:r w:rsidR="00BA032D">
              <w:t>.</w:t>
            </w:r>
            <w:r w:rsidRPr="00B744A4">
              <w:t>jūnijam</w:t>
            </w:r>
            <w:r>
              <w:t xml:space="preserve"> un apliecinājumu par iesniegto banku garantiju pagarināšanu līdz visu vagonu modernizācijas pabeigšanai,</w:t>
            </w:r>
          </w:p>
          <w:p w:rsidR="00EF1CFF" w:rsidRPr="00EF1CFF" w:rsidRDefault="007E5F48" w:rsidP="005F3E39">
            <w:pPr>
              <w:numPr>
                <w:ilvl w:val="0"/>
                <w:numId w:val="45"/>
              </w:numPr>
              <w:ind w:left="339" w:hanging="284"/>
              <w:jc w:val="both"/>
            </w:pPr>
            <w:r>
              <w:t xml:space="preserve">visas sešas </w:t>
            </w:r>
            <w:r w:rsidRPr="00897DBD">
              <w:t xml:space="preserve">vilcienu </w:t>
            </w:r>
            <w:r>
              <w:t xml:space="preserve">vagonu grupas </w:t>
            </w:r>
            <w:r w:rsidRPr="00897DBD">
              <w:t>ir nokomplektēt</w:t>
            </w:r>
            <w:r>
              <w:t>as</w:t>
            </w:r>
            <w:r w:rsidRPr="00897DBD">
              <w:t xml:space="preserve"> un ražošanas process </w:t>
            </w:r>
            <w:r>
              <w:t xml:space="preserve">tām </w:t>
            </w:r>
            <w:r w:rsidRPr="00897DBD">
              <w:t>ir pabeigts</w:t>
            </w:r>
            <w:r w:rsidR="00EF1CFF">
              <w:t>;</w:t>
            </w:r>
          </w:p>
          <w:p w:rsidR="00EF1CFF" w:rsidRDefault="00C85301" w:rsidP="005F3E39">
            <w:pPr>
              <w:numPr>
                <w:ilvl w:val="0"/>
                <w:numId w:val="45"/>
              </w:numPr>
              <w:ind w:left="339" w:hanging="284"/>
              <w:jc w:val="both"/>
            </w:pPr>
            <w:r w:rsidRPr="00EF1CFF">
              <w:t>trīs vagonu grupas ir nodotas ekspluatācijā un jau</w:t>
            </w:r>
            <w:r w:rsidRPr="00F5517B">
              <w:t xml:space="preserve"> tiek izmantotas pasažieru pārvadāšanai</w:t>
            </w:r>
            <w:r>
              <w:t>,</w:t>
            </w:r>
          </w:p>
          <w:p w:rsidR="007B0BDD" w:rsidRDefault="00C85301" w:rsidP="005F3E39">
            <w:pPr>
              <w:numPr>
                <w:ilvl w:val="0"/>
                <w:numId w:val="45"/>
              </w:numPr>
              <w:ind w:left="339" w:hanging="284"/>
              <w:jc w:val="both"/>
            </w:pPr>
            <w:proofErr w:type="spellStart"/>
            <w:r>
              <w:t>cetu</w:t>
            </w:r>
            <w:r w:rsidR="007D5FC6">
              <w:t>rtai</w:t>
            </w:r>
            <w:proofErr w:type="spellEnd"/>
            <w:r>
              <w:t xml:space="preserve"> vagonu grupai </w:t>
            </w:r>
            <w:r w:rsidR="00060973">
              <w:t xml:space="preserve">ir </w:t>
            </w:r>
            <w:r w:rsidR="00467A1A">
              <w:t xml:space="preserve">veikta </w:t>
            </w:r>
            <w:r w:rsidR="003C5B32">
              <w:t xml:space="preserve">vagonu </w:t>
            </w:r>
            <w:r w:rsidR="00467A1A">
              <w:t xml:space="preserve">verifikācija un </w:t>
            </w:r>
            <w:r w:rsidR="00060973">
              <w:t>tā tiks nodota ekspluatācij</w:t>
            </w:r>
            <w:r w:rsidR="00BA26B1">
              <w:t>ā</w:t>
            </w:r>
            <w:r w:rsidR="00060973">
              <w:t xml:space="preserve"> līdz esoš</w:t>
            </w:r>
            <w:r w:rsidR="00BA26B1">
              <w:t>ā</w:t>
            </w:r>
            <w:r w:rsidR="00060973">
              <w:t xml:space="preserve"> projekta </w:t>
            </w:r>
            <w:r w:rsidR="000B51D5">
              <w:t>īstenošanas termiņa beigām</w:t>
            </w:r>
            <w:r w:rsidR="00603340">
              <w:t xml:space="preserve"> - 2016.gada 30.jūnijam</w:t>
            </w:r>
            <w:r w:rsidR="000B51D5">
              <w:t>,</w:t>
            </w:r>
          </w:p>
          <w:p w:rsidR="00EC3D08" w:rsidRDefault="000F6294" w:rsidP="005F3E39">
            <w:pPr>
              <w:numPr>
                <w:ilvl w:val="0"/>
                <w:numId w:val="45"/>
              </w:numPr>
              <w:ind w:left="339" w:hanging="284"/>
              <w:jc w:val="both"/>
            </w:pPr>
            <w:r>
              <w:t xml:space="preserve">piektajai un sestajai vagonu grupai ir </w:t>
            </w:r>
            <w:r w:rsidR="00560D0C">
              <w:t xml:space="preserve">atlicis veikt </w:t>
            </w:r>
            <w:r>
              <w:t xml:space="preserve">iekārtu un sistēmu </w:t>
            </w:r>
            <w:r w:rsidRPr="00897DBD">
              <w:t>iestatīšan</w:t>
            </w:r>
            <w:r w:rsidR="007D5FC6">
              <w:t>u</w:t>
            </w:r>
            <w:r>
              <w:t xml:space="preserve"> (regulēšana)</w:t>
            </w:r>
            <w:r w:rsidRPr="00897DBD">
              <w:t>, izmēģinājuma braucien</w:t>
            </w:r>
            <w:r w:rsidR="00560D0C">
              <w:t>us</w:t>
            </w:r>
            <w:r w:rsidRPr="00897DBD">
              <w:t xml:space="preserve"> un</w:t>
            </w:r>
            <w:r>
              <w:t xml:space="preserve"> </w:t>
            </w:r>
            <w:r w:rsidRPr="00897DBD">
              <w:t>verifikācij</w:t>
            </w:r>
            <w:r w:rsidR="00560D0C">
              <w:t>u</w:t>
            </w:r>
            <w:r>
              <w:t xml:space="preserve">, </w:t>
            </w:r>
            <w:r w:rsidR="00560D0C">
              <w:t>kā arī atšķirīgajam vagona tipam</w:t>
            </w:r>
            <w:r w:rsidR="00560D0C" w:rsidRPr="00897DBD">
              <w:t xml:space="preserve"> sertifikācija</w:t>
            </w:r>
            <w:r w:rsidR="00560D0C">
              <w:t>s procedūr</w:t>
            </w:r>
            <w:r w:rsidR="00603340">
              <w:t>u</w:t>
            </w:r>
            <w:r w:rsidR="00560D0C">
              <w:t>,</w:t>
            </w:r>
          </w:p>
          <w:p w:rsidR="000F6294" w:rsidRDefault="00EC3D08" w:rsidP="005F3E39">
            <w:pPr>
              <w:numPr>
                <w:ilvl w:val="0"/>
                <w:numId w:val="45"/>
              </w:numPr>
              <w:ind w:left="339" w:hanging="284"/>
              <w:jc w:val="both"/>
            </w:pPr>
            <w:r>
              <w:t xml:space="preserve">PV </w:t>
            </w:r>
            <w:r w:rsidR="00603340">
              <w:t xml:space="preserve">līdzšinējo </w:t>
            </w:r>
            <w:r w:rsidR="00560D0C">
              <w:t xml:space="preserve">pieredzi </w:t>
            </w:r>
            <w:r w:rsidR="00603340">
              <w:t xml:space="preserve">attiecībā uz </w:t>
            </w:r>
            <w:r w:rsidR="00560D0C">
              <w:t>termiņiem, k</w:t>
            </w:r>
            <w:r w:rsidR="007D5FC6">
              <w:t>ādi</w:t>
            </w:r>
            <w:r w:rsidR="00560D0C">
              <w:t xml:space="preserve"> nepieciešami </w:t>
            </w:r>
            <w:r w:rsidR="00603340">
              <w:t xml:space="preserve">atlikušo </w:t>
            </w:r>
            <w:r w:rsidR="00C42D41">
              <w:t xml:space="preserve">procedūru </w:t>
            </w:r>
            <w:r w:rsidR="00603340">
              <w:t>veikšanai, lai varētu nodot ekspluatācijā piekto un sesto vagonu grupu,</w:t>
            </w:r>
          </w:p>
          <w:p w:rsidR="00291C20" w:rsidRDefault="00AD24FE" w:rsidP="00291C20">
            <w:pPr>
              <w:ind w:left="34"/>
              <w:jc w:val="both"/>
            </w:pPr>
            <w:r>
              <w:rPr>
                <w:bCs/>
              </w:rPr>
              <w:t xml:space="preserve">un </w:t>
            </w:r>
            <w:r w:rsidR="007D5FC6">
              <w:rPr>
                <w:bCs/>
              </w:rPr>
              <w:t xml:space="preserve">vēl </w:t>
            </w:r>
            <w:r>
              <w:rPr>
                <w:bCs/>
              </w:rPr>
              <w:t>atlikušās darbības</w:t>
            </w:r>
            <w:r w:rsidR="007D5FC6">
              <w:rPr>
                <w:bCs/>
              </w:rPr>
              <w:t xml:space="preserve">, kas veicamas </w:t>
            </w:r>
            <w:r>
              <w:rPr>
                <w:bCs/>
              </w:rPr>
              <w:t>projekta ietvaros</w:t>
            </w:r>
            <w:r w:rsidR="007D5FC6">
              <w:rPr>
                <w:bCs/>
              </w:rPr>
              <w:t>,</w:t>
            </w:r>
            <w:r>
              <w:rPr>
                <w:bCs/>
              </w:rPr>
              <w:t xml:space="preserve"> </w:t>
            </w:r>
            <w:r w:rsidR="00EC3D08">
              <w:rPr>
                <w:bCs/>
              </w:rPr>
              <w:t>secināms</w:t>
            </w:r>
            <w:r w:rsidR="00291C20" w:rsidRPr="00FA1B28">
              <w:t>, ka, ja projekta īstenošanas termiņš, ievērojot</w:t>
            </w:r>
            <w:r w:rsidR="00291C20">
              <w:t xml:space="preserve"> Eiropas Savienības fondu vadošās iestādes 2015.gada 22.jūlija skaidrojumu par </w:t>
            </w:r>
            <w:r w:rsidR="00291C20" w:rsidRPr="00C667C4">
              <w:t>„</w:t>
            </w:r>
            <w:r w:rsidR="00291C20" w:rsidRPr="00EF585B">
              <w:t>VI vadlīniju attiecināmo un neattiecināmo izmaksu noteikšanai 2007.-2013.gada plānošanas periodā”</w:t>
            </w:r>
            <w:r w:rsidR="00291C20" w:rsidRPr="00B27817">
              <w:t xml:space="preserve"> </w:t>
            </w:r>
            <w:r w:rsidR="00291C20" w:rsidRPr="00EF585B">
              <w:t>43.punktu,</w:t>
            </w:r>
            <w:r w:rsidR="00291C20">
              <w:t xml:space="preserve"> </w:t>
            </w:r>
            <w:r w:rsidR="00291C20" w:rsidRPr="00EF585B">
              <w:t xml:space="preserve">kas nosaka projekta īstenošanas termiņu </w:t>
            </w:r>
            <w:r w:rsidR="00291C20" w:rsidRPr="00C667C4">
              <w:t>„</w:t>
            </w:r>
            <w:r w:rsidR="00291C20" w:rsidRPr="00EF585B">
              <w:t xml:space="preserve">mazos” projektos un </w:t>
            </w:r>
            <w:r w:rsidR="00291C20" w:rsidRPr="00DF33E9">
              <w:t>tā pagarinājuma iespējas</w:t>
            </w:r>
            <w:r w:rsidR="00291C20">
              <w:t xml:space="preserve"> </w:t>
            </w:r>
            <w:r w:rsidR="00291C20" w:rsidRPr="00DF33E9">
              <w:t xml:space="preserve">atsevišķos pamatotos </w:t>
            </w:r>
            <w:r w:rsidR="00291C20" w:rsidRPr="00DF33E9">
              <w:rPr>
                <w:bCs/>
              </w:rPr>
              <w:t>izņēmuma gadījumos</w:t>
            </w:r>
            <w:r w:rsidR="00291C20">
              <w:rPr>
                <w:bCs/>
              </w:rPr>
              <w:t xml:space="preserve"> </w:t>
            </w:r>
            <w:r w:rsidR="00291C20">
              <w:t>līdz 2016.gada 30.</w:t>
            </w:r>
            <w:r w:rsidR="00530F51">
              <w:t>j</w:t>
            </w:r>
            <w:r w:rsidR="00291C20">
              <w:t>ūnijam</w:t>
            </w:r>
            <w:r w:rsidR="00530F51">
              <w:t xml:space="preserve"> (</w:t>
            </w:r>
            <w:r w:rsidR="00530F51" w:rsidRPr="00983353">
              <w:t>ārkārtas gadījumos ne vēlāk kā līdz 2016.</w:t>
            </w:r>
            <w:r w:rsidR="00530F51">
              <w:t>gada 20.septembrim)</w:t>
            </w:r>
            <w:r w:rsidR="00291C20">
              <w:t xml:space="preserve">, tiks pagarināts līdz 2016. gada </w:t>
            </w:r>
            <w:r w:rsidR="00530F51">
              <w:t>20.septembrim</w:t>
            </w:r>
            <w:r w:rsidR="00291C20">
              <w:t xml:space="preserve">, PV </w:t>
            </w:r>
            <w:r w:rsidR="00291C20" w:rsidRPr="00CA779E">
              <w:t xml:space="preserve">varēs </w:t>
            </w:r>
            <w:r w:rsidR="00D62164">
              <w:t>projekta īsteno</w:t>
            </w:r>
            <w:r w:rsidR="00B2038F">
              <w:t>šanu pilnīgi un sekmīgi pabeigt</w:t>
            </w:r>
            <w:r w:rsidR="00D62164">
              <w:t xml:space="preserve"> ,tādejādi nodrošinot </w:t>
            </w:r>
            <w:r w:rsidR="00291C20" w:rsidRPr="00CA779E">
              <w:t>projekta mērķu sasniegšanu</w:t>
            </w:r>
            <w:r w:rsidR="00291C20">
              <w:t>.</w:t>
            </w:r>
          </w:p>
          <w:p w:rsidR="00291C20" w:rsidRDefault="00291C20" w:rsidP="00291C20">
            <w:pPr>
              <w:ind w:left="34"/>
              <w:jc w:val="both"/>
            </w:pPr>
          </w:p>
          <w:p w:rsidR="00773644" w:rsidRDefault="00541EFC" w:rsidP="00291C20">
            <w:pPr>
              <w:ind w:left="34"/>
              <w:jc w:val="both"/>
            </w:pPr>
            <w:r>
              <w:t>Ja</w:t>
            </w:r>
            <w:r w:rsidR="00403770">
              <w:t xml:space="preserve"> </w:t>
            </w:r>
            <w:r>
              <w:t xml:space="preserve">netiks </w:t>
            </w:r>
            <w:r w:rsidR="00403770">
              <w:t>pagarin</w:t>
            </w:r>
            <w:r>
              <w:t>āts</w:t>
            </w:r>
            <w:r w:rsidR="00403770">
              <w:t xml:space="preserve"> projekta īstenošanas termiņ</w:t>
            </w:r>
            <w:r>
              <w:t>š</w:t>
            </w:r>
            <w:r w:rsidR="00403770">
              <w:t xml:space="preserve"> un tādējādi nesasnie</w:t>
            </w:r>
            <w:r>
              <w:t xml:space="preserve">gts </w:t>
            </w:r>
            <w:r w:rsidR="00403770">
              <w:t>projekta mērķi</w:t>
            </w:r>
            <w:r>
              <w:t>s</w:t>
            </w:r>
            <w:r w:rsidR="00403770">
              <w:t xml:space="preserve">, finansējuma saņēmējs </w:t>
            </w:r>
            <w:r w:rsidR="00B2038F">
              <w:t>–</w:t>
            </w:r>
            <w:r>
              <w:t xml:space="preserve"> PV</w:t>
            </w:r>
            <w:r w:rsidR="00B2038F">
              <w:t>,</w:t>
            </w:r>
            <w:r>
              <w:t xml:space="preserve"> </w:t>
            </w:r>
            <w:r w:rsidR="00403770">
              <w:t>zaudēs visu piešķirto publisko finansējumu un saskaņā ar normatīvajiem aktiem par kārtību, kādā ziņo par Eiropas Savienības struktūrfondu un Kohēzijas fonda ieviešanā konstatētajām neatbilstībām, pieņem lēmumu par piešķirtā finansējuma izlietojumu un atgūst neatbilstošos izdevumus, tam būs pienākums atmaksāt izdevumus, kas veikti projekta ietvaros</w:t>
            </w:r>
            <w:r>
              <w:t>.</w:t>
            </w:r>
            <w:r w:rsidR="00403770">
              <w:t xml:space="preserve"> </w:t>
            </w:r>
            <w:r>
              <w:t>Līdz ar to</w:t>
            </w:r>
            <w:r w:rsidRPr="00CA779E">
              <w:t>, lai varētu attiecināt projekt</w:t>
            </w:r>
            <w:r>
              <w:t xml:space="preserve">ā </w:t>
            </w:r>
            <w:r w:rsidRPr="00CA779E">
              <w:t xml:space="preserve">veiktās izmaksas </w:t>
            </w:r>
            <w:r>
              <w:t>un neradītu papildu finanšu slogu finanšu saņēmējam, ietekmējot tā finansiālo stāvokli</w:t>
            </w:r>
            <w:r w:rsidR="00291C20">
              <w:t>,</w:t>
            </w:r>
            <w:r w:rsidR="00291C20" w:rsidRPr="00CA779E">
              <w:t xml:space="preserve"> Satiksmes ministrija ierosina veikt šādus grozījumus </w:t>
            </w:r>
            <w:r w:rsidR="00291C20" w:rsidRPr="004613CD">
              <w:rPr>
                <w:bCs/>
              </w:rPr>
              <w:t>Ministru kabineta 200</w:t>
            </w:r>
            <w:r w:rsidR="00291C20">
              <w:rPr>
                <w:bCs/>
              </w:rPr>
              <w:t>9</w:t>
            </w:r>
            <w:r w:rsidR="00291C20" w:rsidRPr="004613CD">
              <w:rPr>
                <w:bCs/>
              </w:rPr>
              <w:t xml:space="preserve">.gada </w:t>
            </w:r>
            <w:r w:rsidR="00291C20">
              <w:rPr>
                <w:bCs/>
              </w:rPr>
              <w:t>25</w:t>
            </w:r>
            <w:r w:rsidR="00291C20" w:rsidRPr="004613CD">
              <w:rPr>
                <w:bCs/>
              </w:rPr>
              <w:t>.</w:t>
            </w:r>
            <w:r w:rsidR="00291C20">
              <w:rPr>
                <w:bCs/>
              </w:rPr>
              <w:t>augusta</w:t>
            </w:r>
            <w:r w:rsidR="00291C20" w:rsidRPr="004613CD">
              <w:rPr>
                <w:bCs/>
              </w:rPr>
              <w:t xml:space="preserve"> noteikum</w:t>
            </w:r>
            <w:r w:rsidR="00291C20">
              <w:rPr>
                <w:bCs/>
              </w:rPr>
              <w:t>os</w:t>
            </w:r>
            <w:r w:rsidR="00291C20" w:rsidRPr="004613CD">
              <w:rPr>
                <w:bCs/>
              </w:rPr>
              <w:t xml:space="preserve"> </w:t>
            </w:r>
            <w:r w:rsidR="00291C20" w:rsidRPr="00A32F71">
              <w:rPr>
                <w:bCs/>
              </w:rPr>
              <w:t>Nr.971 „Noteikumi par darbības programmas „Infrastruktūra un pakalpojumi” papildinājuma 3.3.2.1.aktivitāti „Ilgtspējīga sabiedriskā transporta sistēmas attīstība””</w:t>
            </w:r>
            <w:r w:rsidR="00291C20" w:rsidRPr="00A32F71">
              <w:t>:</w:t>
            </w:r>
          </w:p>
          <w:p w:rsidR="000D4EF1" w:rsidRPr="00C472B4" w:rsidRDefault="00F711A3" w:rsidP="006F0BD6">
            <w:pPr>
              <w:pStyle w:val="ListParagraph"/>
              <w:numPr>
                <w:ilvl w:val="0"/>
                <w:numId w:val="40"/>
              </w:numPr>
              <w:ind w:left="339" w:hanging="284"/>
              <w:jc w:val="both"/>
            </w:pPr>
            <w:r>
              <w:t xml:space="preserve">Grozīt </w:t>
            </w:r>
            <w:r w:rsidR="00D40727" w:rsidRPr="00C472B4">
              <w:t>MK noteikumu Nr.971 40.punkt</w:t>
            </w:r>
            <w:r>
              <w:t>u</w:t>
            </w:r>
            <w:r w:rsidR="00C62EAF" w:rsidRPr="00C472B4">
              <w:t>, nosakot, ka projekta mērķa sasniegšana jānodrošina līdz 2016.gada 20.septembrim.</w:t>
            </w:r>
          </w:p>
          <w:p w:rsidR="00A14B4B" w:rsidRPr="00CB0D6F" w:rsidRDefault="00F711A3" w:rsidP="006F0BD6">
            <w:pPr>
              <w:pStyle w:val="ListParagraph"/>
              <w:numPr>
                <w:ilvl w:val="0"/>
                <w:numId w:val="40"/>
              </w:numPr>
              <w:ind w:left="339" w:hanging="284"/>
              <w:jc w:val="both"/>
            </w:pPr>
            <w:r>
              <w:t xml:space="preserve">Grozīt </w:t>
            </w:r>
            <w:r w:rsidR="0069631E" w:rsidRPr="00C472B4">
              <w:t>MK noteikumu Nr.971 4</w:t>
            </w:r>
            <w:r w:rsidR="004C5F08">
              <w:t>1</w:t>
            </w:r>
            <w:r w:rsidR="0069631E" w:rsidRPr="00C472B4">
              <w:t>.</w:t>
            </w:r>
            <w:r w:rsidR="004C5F08">
              <w:t>2.</w:t>
            </w:r>
            <w:r w:rsidR="0069631E">
              <w:t>apakš</w:t>
            </w:r>
            <w:r w:rsidR="0069631E" w:rsidRPr="00C472B4">
              <w:t>punkt</w:t>
            </w:r>
            <w:r w:rsidR="004C5F08">
              <w:t>u</w:t>
            </w:r>
            <w:r w:rsidR="0069631E">
              <w:t xml:space="preserve">, </w:t>
            </w:r>
            <w:r w:rsidR="000D4EF1" w:rsidRPr="008176F0">
              <w:t>kurš</w:t>
            </w:r>
            <w:r w:rsidR="000D4EF1" w:rsidRPr="00814008">
              <w:t xml:space="preserve"> nosaka pienākumus finansējuma saņēmējam attiecībā</w:t>
            </w:r>
            <w:r w:rsidR="000D4EF1">
              <w:t xml:space="preserve"> par</w:t>
            </w:r>
            <w:r w:rsidR="000D4EF1" w:rsidRPr="00814008">
              <w:t xml:space="preserve"> projekta īstenošanu pēc 2015.gada 31.decembra</w:t>
            </w:r>
            <w:r w:rsidR="000D4EF1">
              <w:t>.</w:t>
            </w:r>
          </w:p>
        </w:tc>
      </w:tr>
      <w:tr w:rsidR="00385F0D" w:rsidRPr="00427146" w:rsidTr="007528EE">
        <w:trPr>
          <w:trHeight w:val="46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lastRenderedPageBreak/>
              <w:t>3.</w:t>
            </w:r>
          </w:p>
        </w:tc>
        <w:tc>
          <w:tcPr>
            <w:tcW w:w="1132" w:type="pct"/>
            <w:hideMark/>
          </w:tcPr>
          <w:p w:rsidR="00385F0D" w:rsidRPr="00427146" w:rsidRDefault="00385F0D">
            <w:pPr>
              <w:rPr>
                <w:color w:val="000000"/>
              </w:rPr>
            </w:pPr>
            <w:r w:rsidRPr="00427146">
              <w:rPr>
                <w:color w:val="000000"/>
              </w:rPr>
              <w:t>Projekta izstrādē iesaistītās institūcijas</w:t>
            </w:r>
          </w:p>
        </w:tc>
        <w:tc>
          <w:tcPr>
            <w:tcW w:w="3590" w:type="pct"/>
            <w:hideMark/>
          </w:tcPr>
          <w:p w:rsidR="00385F0D" w:rsidRPr="00427146" w:rsidRDefault="00C62304" w:rsidP="001A0661">
            <w:pPr>
              <w:ind w:right="72"/>
              <w:jc w:val="both"/>
              <w:rPr>
                <w:color w:val="000000"/>
              </w:rPr>
            </w:pPr>
            <w:r w:rsidRPr="00C62304">
              <w:rPr>
                <w:color w:val="000000" w:themeColor="text1"/>
              </w:rPr>
              <w:t>Nav attiecināms</w:t>
            </w:r>
          </w:p>
        </w:tc>
      </w:tr>
      <w:tr w:rsidR="00385F0D" w:rsidRPr="00427146" w:rsidTr="007528EE">
        <w:trPr>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lastRenderedPageBreak/>
              <w:t>4.</w:t>
            </w:r>
          </w:p>
        </w:tc>
        <w:tc>
          <w:tcPr>
            <w:tcW w:w="1132" w:type="pct"/>
            <w:hideMark/>
          </w:tcPr>
          <w:p w:rsidR="00385F0D" w:rsidRPr="00427146" w:rsidRDefault="00385F0D">
            <w:pPr>
              <w:rPr>
                <w:color w:val="000000"/>
              </w:rPr>
            </w:pPr>
            <w:r w:rsidRPr="00427146">
              <w:rPr>
                <w:color w:val="000000"/>
              </w:rPr>
              <w:t>Cita informācija</w:t>
            </w:r>
          </w:p>
        </w:tc>
        <w:tc>
          <w:tcPr>
            <w:tcW w:w="0" w:type="auto"/>
            <w:hideMark/>
          </w:tcPr>
          <w:p w:rsidR="00FF0B14" w:rsidRDefault="00385F0D" w:rsidP="00C62304">
            <w:pPr>
              <w:ind w:right="72"/>
              <w:jc w:val="both"/>
              <w:rPr>
                <w:color w:val="000000" w:themeColor="text1"/>
              </w:rPr>
            </w:pPr>
            <w:r w:rsidRPr="00FF0B14">
              <w:rPr>
                <w:color w:val="000000" w:themeColor="text1"/>
              </w:rPr>
              <w:t xml:space="preserve">Sabiedrības līdzdalība noteikumu projekta izstrādē netika nodrošināta, jo </w:t>
            </w:r>
            <w:r w:rsidR="00572572" w:rsidRPr="00FF0B14">
              <w:rPr>
                <w:color w:val="000000" w:themeColor="text1"/>
              </w:rPr>
              <w:t xml:space="preserve">noteikumu </w:t>
            </w:r>
            <w:r w:rsidRPr="00FF0B14">
              <w:rPr>
                <w:color w:val="000000" w:themeColor="text1"/>
              </w:rPr>
              <w:t xml:space="preserve">projekts </w:t>
            </w:r>
            <w:r w:rsidR="006C22C7" w:rsidRPr="00FF0B14">
              <w:rPr>
                <w:color w:val="000000" w:themeColor="text1"/>
              </w:rPr>
              <w:t xml:space="preserve">būtiski </w:t>
            </w:r>
            <w:r w:rsidRPr="00FF0B14">
              <w:rPr>
                <w:color w:val="000000" w:themeColor="text1"/>
              </w:rPr>
              <w:t>nemain</w:t>
            </w:r>
            <w:r w:rsidR="006C22C7" w:rsidRPr="00FF0B14">
              <w:rPr>
                <w:color w:val="000000" w:themeColor="text1"/>
              </w:rPr>
              <w:t>a pastāvošo tiesisko regulējumu</w:t>
            </w:r>
            <w:r w:rsidRPr="00FF0B14">
              <w:rPr>
                <w:color w:val="000000" w:themeColor="text1"/>
              </w:rPr>
              <w:t>.</w:t>
            </w:r>
            <w:r w:rsidR="00C62304" w:rsidRPr="00FF0B14">
              <w:rPr>
                <w:color w:val="000000" w:themeColor="text1"/>
              </w:rPr>
              <w:t xml:space="preserve"> </w:t>
            </w:r>
          </w:p>
          <w:p w:rsidR="00C62304" w:rsidRPr="00FF0B14" w:rsidRDefault="00FF0B14" w:rsidP="007528EE">
            <w:pPr>
              <w:ind w:right="72"/>
              <w:jc w:val="both"/>
              <w:rPr>
                <w:color w:val="000000" w:themeColor="text1"/>
              </w:rPr>
            </w:pPr>
            <w:r>
              <w:rPr>
                <w:color w:val="000000" w:themeColor="text1"/>
              </w:rPr>
              <w:t>N</w:t>
            </w:r>
            <w:r w:rsidR="00C62304" w:rsidRPr="00FF0B14">
              <w:rPr>
                <w:color w:val="000000" w:themeColor="text1"/>
              </w:rPr>
              <w:t>oteikumu projekta sagatavošanā izmantots</w:t>
            </w:r>
            <w:r w:rsidR="007528EE" w:rsidRPr="007528EE">
              <w:t xml:space="preserve"> </w:t>
            </w:r>
            <w:r w:rsidR="007528EE" w:rsidRPr="007528EE">
              <w:rPr>
                <w:color w:val="000000" w:themeColor="text1"/>
              </w:rPr>
              <w:t>Slēgšanas pamatnostādnes</w:t>
            </w:r>
            <w:r w:rsidR="007528EE">
              <w:rPr>
                <w:color w:val="000000" w:themeColor="text1"/>
              </w:rPr>
              <w:t xml:space="preserve"> un</w:t>
            </w:r>
            <w:r w:rsidR="00C62304" w:rsidRPr="00FF0B14">
              <w:rPr>
                <w:color w:val="000000" w:themeColor="text1"/>
              </w:rPr>
              <w:t xml:space="preserve"> Eiropas Savienības struktūrfondu un Kohēzijas fonda vadošās iestādes 2015.gada </w:t>
            </w:r>
            <w:r w:rsidR="007528EE">
              <w:rPr>
                <w:color w:val="000000" w:themeColor="text1"/>
              </w:rPr>
              <w:t>22</w:t>
            </w:r>
            <w:r w:rsidR="00C62304" w:rsidRPr="00FF0B14">
              <w:rPr>
                <w:color w:val="000000" w:themeColor="text1"/>
              </w:rPr>
              <w:t>.jū</w:t>
            </w:r>
            <w:r w:rsidR="007528EE">
              <w:rPr>
                <w:color w:val="000000" w:themeColor="text1"/>
              </w:rPr>
              <w:t>lija</w:t>
            </w:r>
            <w:r w:rsidR="00C62304" w:rsidRPr="00FF0B14">
              <w:rPr>
                <w:color w:val="000000" w:themeColor="text1"/>
              </w:rPr>
              <w:t xml:space="preserve"> skaidrojums “Par VI vadlīniju attiecināmo un neattiecināmo izmaksu noteikšanai 2007.-2013.gad</w:t>
            </w:r>
            <w:r w:rsidR="007528EE">
              <w:rPr>
                <w:color w:val="000000" w:themeColor="text1"/>
              </w:rPr>
              <w:t>a plānošanas periodā 43.punktu”.</w:t>
            </w:r>
          </w:p>
        </w:tc>
      </w:tr>
    </w:tbl>
    <w:p w:rsidR="00B239CC" w:rsidRDefault="00B239CC" w:rsidP="00B239CC">
      <w:pPr>
        <w:ind w:left="425" w:hanging="79"/>
        <w:jc w:val="both"/>
        <w:rPr>
          <w:i/>
          <w:iCs/>
          <w:color w:val="000000"/>
          <w:sz w:val="16"/>
          <w:szCs w:val="16"/>
        </w:rPr>
      </w:pPr>
    </w:p>
    <w:p w:rsidR="00663913" w:rsidRPr="006B0B81" w:rsidRDefault="00663913" w:rsidP="00B239CC">
      <w:pPr>
        <w:ind w:left="425" w:hanging="79"/>
        <w:jc w:val="both"/>
        <w:rPr>
          <w:i/>
          <w:iCs/>
          <w:color w:val="000000"/>
          <w:sz w:val="16"/>
          <w:szCs w:val="16"/>
        </w:rPr>
      </w:pPr>
    </w:p>
    <w:tbl>
      <w:tblPr>
        <w:tblW w:w="5241"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0"/>
        <w:gridCol w:w="2572"/>
        <w:gridCol w:w="6653"/>
      </w:tblGrid>
      <w:tr w:rsidR="00AA00A2" w:rsidRPr="00427146" w:rsidTr="006E2DAC">
        <w:trPr>
          <w:trHeight w:val="519"/>
          <w:tblCellSpacing w:w="15" w:type="dxa"/>
        </w:trPr>
        <w:tc>
          <w:tcPr>
            <w:tcW w:w="4968" w:type="pct"/>
            <w:gridSpan w:val="3"/>
            <w:vAlign w:val="center"/>
            <w:hideMark/>
          </w:tcPr>
          <w:p w:rsidR="007E1737" w:rsidRPr="00427146" w:rsidRDefault="007E1737" w:rsidP="00541F62">
            <w:pPr>
              <w:spacing w:before="100" w:beforeAutospacing="1" w:after="100" w:afterAutospacing="1"/>
              <w:ind w:firstLine="346"/>
              <w:jc w:val="center"/>
              <w:rPr>
                <w:b/>
                <w:bCs/>
                <w:color w:val="000000"/>
              </w:rPr>
            </w:pPr>
            <w:r w:rsidRPr="00427146">
              <w:rPr>
                <w:color w:val="000000"/>
              </w:rPr>
              <w:t> </w:t>
            </w:r>
            <w:r w:rsidRPr="00427146">
              <w:rPr>
                <w:b/>
                <w:bCs/>
                <w:color w:val="000000"/>
              </w:rPr>
              <w:t>IV. Tiesību akta projekta ietekme uz spēkā esošo tiesību normu sistēmu</w:t>
            </w:r>
          </w:p>
        </w:tc>
      </w:tr>
      <w:tr w:rsidR="007E1737" w:rsidRPr="00427146" w:rsidTr="006E2DAC">
        <w:trPr>
          <w:trHeight w:val="465"/>
          <w:tblCellSpacing w:w="15" w:type="dxa"/>
        </w:trPr>
        <w:tc>
          <w:tcPr>
            <w:tcW w:w="201" w:type="pct"/>
            <w:hideMark/>
          </w:tcPr>
          <w:p w:rsidR="007E1737" w:rsidRPr="00427146" w:rsidRDefault="007E1737" w:rsidP="00541F62">
            <w:pPr>
              <w:rPr>
                <w:color w:val="000000"/>
              </w:rPr>
            </w:pPr>
            <w:r w:rsidRPr="00427146">
              <w:rPr>
                <w:color w:val="000000"/>
              </w:rPr>
              <w:t>1.</w:t>
            </w:r>
          </w:p>
        </w:tc>
        <w:tc>
          <w:tcPr>
            <w:tcW w:w="1324" w:type="pct"/>
            <w:hideMark/>
          </w:tcPr>
          <w:p w:rsidR="007E1737" w:rsidRPr="00427146" w:rsidRDefault="007E1737" w:rsidP="007E1737">
            <w:pPr>
              <w:rPr>
                <w:color w:val="000000"/>
              </w:rPr>
            </w:pPr>
            <w:r w:rsidRPr="00427146">
              <w:rPr>
                <w:color w:val="000000"/>
              </w:rPr>
              <w:t>Nepieciešamie saistītie tiesību aktu projekti</w:t>
            </w:r>
          </w:p>
        </w:tc>
        <w:tc>
          <w:tcPr>
            <w:tcW w:w="3412" w:type="pct"/>
            <w:hideMark/>
          </w:tcPr>
          <w:p w:rsidR="007E1737" w:rsidRPr="00427146" w:rsidRDefault="00A86B6A" w:rsidP="00F63F27">
            <w:pPr>
              <w:ind w:right="72"/>
              <w:jc w:val="both"/>
              <w:rPr>
                <w:color w:val="000000"/>
              </w:rPr>
            </w:pPr>
            <w:r w:rsidRPr="00C62304">
              <w:rPr>
                <w:color w:val="000000" w:themeColor="text1"/>
              </w:rPr>
              <w:t>Nav attiecināms</w:t>
            </w:r>
          </w:p>
        </w:tc>
      </w:tr>
      <w:tr w:rsidR="007E1737" w:rsidRPr="00427146" w:rsidTr="006E2DAC">
        <w:trPr>
          <w:trHeight w:val="435"/>
          <w:tblCellSpacing w:w="15" w:type="dxa"/>
        </w:trPr>
        <w:tc>
          <w:tcPr>
            <w:tcW w:w="201" w:type="pct"/>
            <w:hideMark/>
          </w:tcPr>
          <w:p w:rsidR="007E1737" w:rsidRPr="00427146" w:rsidRDefault="007E1737" w:rsidP="00541F62">
            <w:pPr>
              <w:rPr>
                <w:color w:val="000000"/>
              </w:rPr>
            </w:pPr>
            <w:r w:rsidRPr="00427146">
              <w:rPr>
                <w:color w:val="000000"/>
              </w:rPr>
              <w:t>2.</w:t>
            </w:r>
          </w:p>
        </w:tc>
        <w:tc>
          <w:tcPr>
            <w:tcW w:w="1324" w:type="pct"/>
            <w:hideMark/>
          </w:tcPr>
          <w:p w:rsidR="007E1737" w:rsidRPr="00427146" w:rsidRDefault="007E1737" w:rsidP="007E1737">
            <w:pPr>
              <w:rPr>
                <w:color w:val="000000"/>
              </w:rPr>
            </w:pPr>
            <w:r w:rsidRPr="00427146">
              <w:rPr>
                <w:color w:val="000000"/>
              </w:rPr>
              <w:t>Atbildīgā institūcija</w:t>
            </w:r>
          </w:p>
        </w:tc>
        <w:tc>
          <w:tcPr>
            <w:tcW w:w="3412" w:type="pct"/>
            <w:hideMark/>
          </w:tcPr>
          <w:p w:rsidR="007E1737" w:rsidRPr="00427146" w:rsidRDefault="00F63F27" w:rsidP="00F83515">
            <w:pPr>
              <w:jc w:val="both"/>
              <w:rPr>
                <w:color w:val="000000"/>
              </w:rPr>
            </w:pPr>
            <w:r w:rsidRPr="00F63F27">
              <w:rPr>
                <w:bCs/>
                <w:color w:val="000000"/>
              </w:rPr>
              <w:t>Par anotācijas IV.</w:t>
            </w:r>
            <w:r w:rsidR="005F6AEB">
              <w:rPr>
                <w:bCs/>
                <w:color w:val="000000"/>
              </w:rPr>
              <w:t> </w:t>
            </w:r>
            <w:r w:rsidRPr="00F63F27">
              <w:rPr>
                <w:bCs/>
                <w:color w:val="000000"/>
              </w:rPr>
              <w:t>sadaļas 1.punktā minētā Ministru kabineta noteikumu projekta izstrādi atbildīga ir Satiksmes ministrija un tas tiks virzīts izskatīšanai Ministru kabinetā vienlaikus ar šo Ministru kabineta noteikumu projektu.</w:t>
            </w:r>
          </w:p>
        </w:tc>
      </w:tr>
      <w:tr w:rsidR="007E1737" w:rsidRPr="00427146" w:rsidTr="006E2DAC">
        <w:trPr>
          <w:trHeight w:val="457"/>
          <w:tblCellSpacing w:w="15" w:type="dxa"/>
        </w:trPr>
        <w:tc>
          <w:tcPr>
            <w:tcW w:w="201" w:type="pct"/>
            <w:hideMark/>
          </w:tcPr>
          <w:p w:rsidR="007E1737" w:rsidRPr="00427146" w:rsidRDefault="007E1737" w:rsidP="00541F62">
            <w:pPr>
              <w:rPr>
                <w:color w:val="000000"/>
              </w:rPr>
            </w:pPr>
            <w:r w:rsidRPr="00427146">
              <w:rPr>
                <w:color w:val="000000"/>
              </w:rPr>
              <w:t>3.</w:t>
            </w:r>
          </w:p>
        </w:tc>
        <w:tc>
          <w:tcPr>
            <w:tcW w:w="1324" w:type="pct"/>
            <w:hideMark/>
          </w:tcPr>
          <w:p w:rsidR="007E1737" w:rsidRPr="00427146" w:rsidRDefault="007E1737" w:rsidP="00541F62">
            <w:pPr>
              <w:rPr>
                <w:color w:val="000000"/>
              </w:rPr>
            </w:pPr>
            <w:r w:rsidRPr="00427146">
              <w:rPr>
                <w:color w:val="000000"/>
              </w:rPr>
              <w:t>Cita informācija</w:t>
            </w:r>
          </w:p>
        </w:tc>
        <w:tc>
          <w:tcPr>
            <w:tcW w:w="3412" w:type="pct"/>
            <w:hideMark/>
          </w:tcPr>
          <w:p w:rsidR="007E1737" w:rsidRPr="002E68B5" w:rsidRDefault="002C5C78" w:rsidP="00611050">
            <w:pPr>
              <w:jc w:val="both"/>
              <w:rPr>
                <w:color w:val="000000"/>
              </w:rPr>
            </w:pPr>
            <w:r>
              <w:rPr>
                <w:color w:val="000000"/>
              </w:rPr>
              <w:t>Nav</w:t>
            </w:r>
          </w:p>
        </w:tc>
      </w:tr>
    </w:tbl>
    <w:p w:rsidR="00554D15" w:rsidRDefault="00554D15" w:rsidP="00385A38">
      <w:pPr>
        <w:rPr>
          <w:color w:val="000000"/>
          <w:sz w:val="28"/>
          <w:szCs w:val="28"/>
        </w:rPr>
      </w:pPr>
    </w:p>
    <w:p w:rsidR="00F63F27" w:rsidRPr="00D738A2" w:rsidRDefault="00F63F27" w:rsidP="00F63F27">
      <w:pPr>
        <w:jc w:val="both"/>
        <w:rPr>
          <w:color w:val="000000"/>
          <w:szCs w:val="28"/>
        </w:rPr>
      </w:pPr>
      <w:r w:rsidRPr="00D738A2">
        <w:rPr>
          <w:color w:val="000000"/>
          <w:szCs w:val="28"/>
        </w:rPr>
        <w:t xml:space="preserve">Anotācijas II, III, V, VI un VII sadaļa </w:t>
      </w:r>
      <w:r w:rsidR="00D115D9">
        <w:rPr>
          <w:color w:val="000000"/>
          <w:szCs w:val="28"/>
        </w:rPr>
        <w:t>-</w:t>
      </w:r>
      <w:r w:rsidRPr="00D738A2">
        <w:rPr>
          <w:color w:val="000000"/>
          <w:szCs w:val="28"/>
        </w:rPr>
        <w:t xml:space="preserve"> projekts šīs jomas neskar. </w:t>
      </w:r>
    </w:p>
    <w:p w:rsidR="00F63F27" w:rsidRPr="00D738A2" w:rsidRDefault="00F63F27" w:rsidP="00F63F27">
      <w:pPr>
        <w:jc w:val="both"/>
        <w:rPr>
          <w:color w:val="000000"/>
          <w:szCs w:val="28"/>
        </w:rPr>
      </w:pPr>
    </w:p>
    <w:p w:rsidR="00D738A2" w:rsidRDefault="00D738A2" w:rsidP="00F63F27">
      <w:pPr>
        <w:jc w:val="both"/>
        <w:rPr>
          <w:color w:val="000000"/>
          <w:szCs w:val="28"/>
        </w:rPr>
      </w:pPr>
    </w:p>
    <w:p w:rsidR="00137623" w:rsidRDefault="00137623" w:rsidP="00F63F27">
      <w:pPr>
        <w:jc w:val="both"/>
        <w:rPr>
          <w:color w:val="000000"/>
          <w:szCs w:val="28"/>
        </w:rPr>
      </w:pPr>
    </w:p>
    <w:p w:rsidR="00137623" w:rsidRDefault="00137623" w:rsidP="00F63F27">
      <w:pPr>
        <w:jc w:val="both"/>
        <w:rPr>
          <w:color w:val="000000"/>
          <w:szCs w:val="28"/>
        </w:rPr>
      </w:pPr>
    </w:p>
    <w:p w:rsidR="00137623" w:rsidRDefault="00137623" w:rsidP="00F63F27">
      <w:pPr>
        <w:jc w:val="both"/>
        <w:rPr>
          <w:color w:val="000000"/>
          <w:szCs w:val="28"/>
        </w:rPr>
      </w:pPr>
    </w:p>
    <w:p w:rsidR="008C63F6" w:rsidRPr="00DD5356" w:rsidRDefault="008C63F6" w:rsidP="008C63F6">
      <w:pPr>
        <w:tabs>
          <w:tab w:val="left" w:pos="720"/>
          <w:tab w:val="left" w:pos="7200"/>
        </w:tabs>
        <w:jc w:val="both"/>
      </w:pPr>
      <w:r w:rsidRPr="00DD5356">
        <w:t>Satiksmes ministra p. i.</w:t>
      </w:r>
      <w:r>
        <w:t>,</w:t>
      </w:r>
    </w:p>
    <w:p w:rsidR="008C63F6" w:rsidRPr="002F2A39" w:rsidRDefault="008C63F6" w:rsidP="008C63F6">
      <w:pPr>
        <w:tabs>
          <w:tab w:val="left" w:pos="720"/>
          <w:tab w:val="left" w:pos="7371"/>
        </w:tabs>
        <w:jc w:val="both"/>
        <w:rPr>
          <w:sz w:val="16"/>
          <w:szCs w:val="16"/>
        </w:rPr>
      </w:pPr>
      <w:r>
        <w:t>Zemkopības ministrs</w:t>
      </w:r>
      <w:r>
        <w:tab/>
        <w:t>J</w:t>
      </w:r>
      <w:r w:rsidRPr="00DD5356">
        <w:t>.</w:t>
      </w:r>
      <w:r>
        <w:t> </w:t>
      </w:r>
      <w:proofErr w:type="spellStart"/>
      <w:r>
        <w:t>Dūklavs</w:t>
      </w:r>
      <w:proofErr w:type="spellEnd"/>
    </w:p>
    <w:p w:rsidR="004D1346" w:rsidRPr="002F2A39" w:rsidRDefault="004D1346" w:rsidP="004D1346">
      <w:pPr>
        <w:tabs>
          <w:tab w:val="left" w:pos="720"/>
          <w:tab w:val="left" w:pos="7200"/>
        </w:tabs>
        <w:jc w:val="both"/>
        <w:rPr>
          <w:sz w:val="16"/>
          <w:szCs w:val="16"/>
        </w:rPr>
      </w:pPr>
    </w:p>
    <w:p w:rsidR="00137623" w:rsidRDefault="00137623" w:rsidP="00F63F27">
      <w:pPr>
        <w:jc w:val="both"/>
        <w:rPr>
          <w:color w:val="000000"/>
          <w:szCs w:val="28"/>
        </w:rPr>
      </w:pPr>
    </w:p>
    <w:p w:rsidR="00137623" w:rsidRDefault="00137623" w:rsidP="00F63F27">
      <w:pPr>
        <w:jc w:val="both"/>
        <w:rPr>
          <w:color w:val="000000"/>
          <w:szCs w:val="28"/>
        </w:rPr>
      </w:pPr>
    </w:p>
    <w:p w:rsidR="00137623" w:rsidRPr="00D738A2" w:rsidRDefault="00137623" w:rsidP="00F63F27">
      <w:pPr>
        <w:jc w:val="both"/>
        <w:rPr>
          <w:color w:val="000000"/>
          <w:szCs w:val="28"/>
        </w:rPr>
      </w:pPr>
    </w:p>
    <w:p w:rsidR="00F63F27" w:rsidRPr="00D738A2" w:rsidRDefault="00F63F27" w:rsidP="006273D8">
      <w:pPr>
        <w:tabs>
          <w:tab w:val="left" w:pos="7230"/>
        </w:tabs>
        <w:jc w:val="both"/>
        <w:rPr>
          <w:color w:val="000000"/>
          <w:szCs w:val="28"/>
        </w:rPr>
      </w:pPr>
      <w:r w:rsidRPr="00D738A2">
        <w:rPr>
          <w:color w:val="000000"/>
          <w:szCs w:val="28"/>
        </w:rPr>
        <w:t>Vīza: Valsts sekretārs</w:t>
      </w:r>
      <w:r w:rsidRPr="00D738A2">
        <w:rPr>
          <w:color w:val="000000"/>
          <w:szCs w:val="28"/>
        </w:rPr>
        <w:tab/>
        <w:t>K.</w:t>
      </w:r>
      <w:r w:rsidR="00F36B95">
        <w:rPr>
          <w:color w:val="000000"/>
          <w:szCs w:val="28"/>
        </w:rPr>
        <w:t> </w:t>
      </w:r>
      <w:r w:rsidRPr="00D738A2">
        <w:rPr>
          <w:color w:val="000000"/>
          <w:szCs w:val="28"/>
        </w:rPr>
        <w:t>Ozoliņš</w:t>
      </w:r>
    </w:p>
    <w:p w:rsidR="00F63F27" w:rsidRDefault="00F63F27" w:rsidP="00F63F27">
      <w:pPr>
        <w:jc w:val="both"/>
        <w:rPr>
          <w:color w:val="000000"/>
          <w:sz w:val="28"/>
          <w:szCs w:val="28"/>
        </w:rPr>
      </w:pPr>
    </w:p>
    <w:p w:rsidR="00D738A2" w:rsidRDefault="00D738A2" w:rsidP="00F63F27">
      <w:pPr>
        <w:jc w:val="both"/>
        <w:rPr>
          <w:color w:val="000000"/>
          <w:sz w:val="28"/>
          <w:szCs w:val="28"/>
        </w:rPr>
      </w:pPr>
    </w:p>
    <w:p w:rsidR="00137623" w:rsidRDefault="00137623" w:rsidP="00F63F27">
      <w:pPr>
        <w:jc w:val="both"/>
        <w:rPr>
          <w:color w:val="000000"/>
          <w:sz w:val="28"/>
          <w:szCs w:val="28"/>
        </w:rPr>
      </w:pPr>
    </w:p>
    <w:p w:rsidR="00137623" w:rsidRPr="00F63F27" w:rsidRDefault="00137623" w:rsidP="00F63F27">
      <w:pPr>
        <w:jc w:val="both"/>
        <w:rPr>
          <w:color w:val="000000"/>
          <w:sz w:val="28"/>
          <w:szCs w:val="28"/>
        </w:rPr>
      </w:pPr>
    </w:p>
    <w:p w:rsidR="00F63F27" w:rsidRDefault="00D738A2" w:rsidP="00F63F27">
      <w:pPr>
        <w:jc w:val="both"/>
        <w:rPr>
          <w:color w:val="000000"/>
          <w:sz w:val="20"/>
          <w:szCs w:val="20"/>
        </w:rPr>
      </w:pPr>
      <w:r w:rsidRPr="00D738A2">
        <w:rPr>
          <w:color w:val="000000"/>
          <w:sz w:val="20"/>
          <w:szCs w:val="20"/>
        </w:rPr>
        <w:fldChar w:fldCharType="begin"/>
      </w:r>
      <w:r w:rsidRPr="00D738A2">
        <w:rPr>
          <w:color w:val="000000"/>
          <w:sz w:val="20"/>
          <w:szCs w:val="20"/>
        </w:rPr>
        <w:instrText xml:space="preserve"> TIME \@ "dd.MM.yyyy." </w:instrText>
      </w:r>
      <w:r w:rsidRPr="00D738A2">
        <w:rPr>
          <w:color w:val="000000"/>
          <w:sz w:val="20"/>
          <w:szCs w:val="20"/>
        </w:rPr>
        <w:fldChar w:fldCharType="separate"/>
      </w:r>
      <w:r w:rsidR="008F40E8">
        <w:rPr>
          <w:noProof/>
          <w:color w:val="000000"/>
          <w:sz w:val="20"/>
          <w:szCs w:val="20"/>
        </w:rPr>
        <w:t>21.06.2016.</w:t>
      </w:r>
      <w:r w:rsidRPr="00D738A2">
        <w:rPr>
          <w:color w:val="000000"/>
          <w:sz w:val="20"/>
          <w:szCs w:val="20"/>
        </w:rPr>
        <w:fldChar w:fldCharType="end"/>
      </w:r>
    </w:p>
    <w:p w:rsidR="00137623" w:rsidRDefault="00137623" w:rsidP="00F63F27">
      <w:pPr>
        <w:jc w:val="both"/>
        <w:rPr>
          <w:color w:val="000000"/>
          <w:sz w:val="20"/>
          <w:szCs w:val="20"/>
        </w:rPr>
      </w:pPr>
      <w:r>
        <w:rPr>
          <w:color w:val="000000"/>
          <w:sz w:val="20"/>
          <w:szCs w:val="20"/>
        </w:rPr>
        <w:t>1</w:t>
      </w:r>
      <w:r w:rsidR="007A0620">
        <w:rPr>
          <w:color w:val="000000"/>
          <w:sz w:val="20"/>
          <w:szCs w:val="20"/>
        </w:rPr>
        <w:t>5</w:t>
      </w:r>
      <w:r w:rsidR="00562A74">
        <w:rPr>
          <w:color w:val="000000"/>
          <w:sz w:val="20"/>
          <w:szCs w:val="20"/>
        </w:rPr>
        <w:t>75</w:t>
      </w:r>
    </w:p>
    <w:p w:rsidR="00F63F27" w:rsidRPr="00F63F27" w:rsidRDefault="00C43604" w:rsidP="00F63F27">
      <w:pPr>
        <w:jc w:val="both"/>
        <w:rPr>
          <w:color w:val="000000"/>
          <w:sz w:val="20"/>
          <w:szCs w:val="28"/>
        </w:rPr>
      </w:pPr>
      <w:r>
        <w:rPr>
          <w:color w:val="000000"/>
          <w:sz w:val="20"/>
          <w:szCs w:val="28"/>
        </w:rPr>
        <w:t>E</w:t>
      </w:r>
      <w:r w:rsidR="00F63F27" w:rsidRPr="00F63F27">
        <w:rPr>
          <w:color w:val="000000"/>
          <w:sz w:val="20"/>
          <w:szCs w:val="28"/>
        </w:rPr>
        <w:t>.Sto</w:t>
      </w:r>
      <w:r>
        <w:rPr>
          <w:color w:val="000000"/>
          <w:sz w:val="20"/>
          <w:szCs w:val="28"/>
        </w:rPr>
        <w:t>ķis</w:t>
      </w:r>
    </w:p>
    <w:p w:rsidR="00F63F27" w:rsidRPr="00F63F27" w:rsidRDefault="00F63F27" w:rsidP="00F63F27">
      <w:pPr>
        <w:jc w:val="both"/>
        <w:rPr>
          <w:bCs/>
          <w:color w:val="000000"/>
          <w:sz w:val="20"/>
          <w:szCs w:val="28"/>
        </w:rPr>
      </w:pPr>
      <w:r w:rsidRPr="00F63F27">
        <w:rPr>
          <w:bCs/>
          <w:color w:val="000000"/>
          <w:sz w:val="20"/>
          <w:szCs w:val="28"/>
        </w:rPr>
        <w:t>67028</w:t>
      </w:r>
      <w:r w:rsidR="00C43604">
        <w:rPr>
          <w:bCs/>
          <w:color w:val="000000"/>
          <w:sz w:val="20"/>
          <w:szCs w:val="28"/>
        </w:rPr>
        <w:t>187</w:t>
      </w:r>
      <w:r w:rsidRPr="00F63F27">
        <w:rPr>
          <w:bCs/>
          <w:color w:val="000000"/>
          <w:sz w:val="20"/>
          <w:szCs w:val="28"/>
        </w:rPr>
        <w:t xml:space="preserve">, </w:t>
      </w:r>
      <w:hyperlink r:id="rId9" w:history="1">
        <w:r w:rsidR="00C43604" w:rsidRPr="001D2C4F">
          <w:rPr>
            <w:rStyle w:val="Hyperlink"/>
            <w:bCs/>
            <w:sz w:val="20"/>
            <w:szCs w:val="28"/>
          </w:rPr>
          <w:t>egils.strokis@sam.gov.lv</w:t>
        </w:r>
      </w:hyperlink>
    </w:p>
    <w:sectPr w:rsidR="00F63F27" w:rsidRPr="00F63F27" w:rsidSect="006B0B81">
      <w:headerReference w:type="even" r:id="rId10"/>
      <w:headerReference w:type="default" r:id="rId11"/>
      <w:footerReference w:type="default" r:id="rId12"/>
      <w:footerReference w:type="first" r:id="rId13"/>
      <w:pgSz w:w="11906" w:h="16838"/>
      <w:pgMar w:top="1134" w:right="1134" w:bottom="1134" w:left="1701" w:header="709"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7E" w:rsidRDefault="00695A7E">
      <w:r>
        <w:separator/>
      </w:r>
    </w:p>
  </w:endnote>
  <w:endnote w:type="continuationSeparator" w:id="0">
    <w:p w:rsidR="00695A7E" w:rsidRDefault="0069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Pr="00C003DD" w:rsidRDefault="00C003DD" w:rsidP="00C003DD">
    <w:pPr>
      <w:pStyle w:val="Footer"/>
      <w:jc w:val="both"/>
      <w:rPr>
        <w:sz w:val="20"/>
        <w:szCs w:val="20"/>
      </w:rPr>
    </w:pPr>
    <w:r w:rsidRPr="00F63F27">
      <w:rPr>
        <w:sz w:val="20"/>
        <w:szCs w:val="20"/>
      </w:rPr>
      <w:t>SAManot_</w:t>
    </w:r>
    <w:r w:rsidR="001E3273">
      <w:rPr>
        <w:sz w:val="20"/>
        <w:szCs w:val="20"/>
      </w:rPr>
      <w:t>2</w:t>
    </w:r>
    <w:r w:rsidR="00772C86">
      <w:rPr>
        <w:sz w:val="20"/>
        <w:szCs w:val="20"/>
      </w:rPr>
      <w:t>0</w:t>
    </w:r>
    <w:r w:rsidR="0020489B">
      <w:rPr>
        <w:sz w:val="20"/>
        <w:szCs w:val="20"/>
      </w:rPr>
      <w:t>06</w:t>
    </w:r>
    <w:r w:rsidRPr="00F63F27">
      <w:rPr>
        <w:sz w:val="20"/>
        <w:szCs w:val="20"/>
      </w:rPr>
      <w:t>1</w:t>
    </w:r>
    <w:r w:rsidR="0020489B">
      <w:rPr>
        <w:sz w:val="20"/>
        <w:szCs w:val="20"/>
      </w:rPr>
      <w:t>6</w:t>
    </w:r>
    <w:r w:rsidRPr="00F63F27">
      <w:rPr>
        <w:sz w:val="20"/>
        <w:szCs w:val="20"/>
      </w:rPr>
      <w:t>_</w:t>
    </w:r>
    <w:r>
      <w:rPr>
        <w:sz w:val="20"/>
        <w:szCs w:val="20"/>
      </w:rPr>
      <w:t>sabtransports_groz971</w:t>
    </w:r>
    <w:r w:rsidRPr="00F63F27">
      <w:rPr>
        <w:sz w:val="20"/>
        <w:szCs w:val="20"/>
      </w:rPr>
      <w:t xml:space="preserve">; Ministru kabineta noteikumu projekta </w:t>
    </w:r>
    <w:r w:rsidRPr="00D738A2">
      <w:rPr>
        <w:b/>
        <w:bCs/>
        <w:color w:val="000000"/>
        <w:szCs w:val="28"/>
      </w:rPr>
      <w:t>„</w:t>
    </w:r>
    <w:r w:rsidRPr="00C003DD">
      <w:rPr>
        <w:bCs/>
        <w:color w:val="000000"/>
        <w:sz w:val="20"/>
        <w:szCs w:val="20"/>
      </w:rPr>
      <w:t>Grozījums Ministru kabineta 2009.gada 25.augusta noteikumos Nr.971 „Noteikumi par darbības programmas „Infrastruktūra un pakalpojumi” papildinājuma 3.3.2.1.aktivitāti „</w:t>
    </w:r>
    <w:r w:rsidRPr="00C003DD">
      <w:rPr>
        <w:bCs/>
        <w:color w:val="414142"/>
        <w:sz w:val="20"/>
        <w:szCs w:val="20"/>
      </w:rPr>
      <w:t>Ilgtspējīga sabiedriskā transporta sistēmas attīstība</w:t>
    </w:r>
    <w:r w:rsidRPr="00C003DD">
      <w:rPr>
        <w:bCs/>
        <w:color w:val="000000"/>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Pr="00C003DD" w:rsidRDefault="00F63F27" w:rsidP="00C003DD">
    <w:pPr>
      <w:pStyle w:val="Footer"/>
      <w:jc w:val="both"/>
      <w:rPr>
        <w:sz w:val="20"/>
        <w:szCs w:val="20"/>
      </w:rPr>
    </w:pPr>
    <w:r w:rsidRPr="00F63F27">
      <w:rPr>
        <w:sz w:val="20"/>
        <w:szCs w:val="20"/>
      </w:rPr>
      <w:t>SAManot_</w:t>
    </w:r>
    <w:r w:rsidR="001E3273">
      <w:rPr>
        <w:sz w:val="20"/>
        <w:szCs w:val="20"/>
      </w:rPr>
      <w:t>2</w:t>
    </w:r>
    <w:r w:rsidR="00772C86">
      <w:rPr>
        <w:sz w:val="20"/>
        <w:szCs w:val="20"/>
      </w:rPr>
      <w:t>0</w:t>
    </w:r>
    <w:r w:rsidR="0020489B">
      <w:rPr>
        <w:sz w:val="20"/>
        <w:szCs w:val="20"/>
      </w:rPr>
      <w:t>06</w:t>
    </w:r>
    <w:r w:rsidRPr="00F63F27">
      <w:rPr>
        <w:sz w:val="20"/>
        <w:szCs w:val="20"/>
      </w:rPr>
      <w:t>1</w:t>
    </w:r>
    <w:r w:rsidR="0020489B">
      <w:rPr>
        <w:sz w:val="20"/>
        <w:szCs w:val="20"/>
      </w:rPr>
      <w:t>6</w:t>
    </w:r>
    <w:r w:rsidRPr="00F63F27">
      <w:rPr>
        <w:sz w:val="20"/>
        <w:szCs w:val="20"/>
      </w:rPr>
      <w:t>_</w:t>
    </w:r>
    <w:r w:rsidR="00C003DD">
      <w:rPr>
        <w:sz w:val="20"/>
        <w:szCs w:val="20"/>
      </w:rPr>
      <w:t>sabtransports_groz971</w:t>
    </w:r>
    <w:r w:rsidRPr="00F63F27">
      <w:rPr>
        <w:sz w:val="20"/>
        <w:szCs w:val="20"/>
      </w:rPr>
      <w:t xml:space="preserve">; Ministru kabineta noteikumu projekta </w:t>
    </w:r>
    <w:r w:rsidR="00C003DD" w:rsidRPr="00D738A2">
      <w:rPr>
        <w:b/>
        <w:bCs/>
        <w:color w:val="000000"/>
        <w:szCs w:val="28"/>
      </w:rPr>
      <w:t>„</w:t>
    </w:r>
    <w:r w:rsidR="00C003DD" w:rsidRPr="00C003DD">
      <w:rPr>
        <w:bCs/>
        <w:color w:val="000000"/>
        <w:sz w:val="20"/>
        <w:szCs w:val="20"/>
      </w:rPr>
      <w:t>Grozījums Ministru kabineta 2009.gada 25.augusta noteikumos Nr.971 „Noteikumi par darbības programmas „Infrastruktūra un pakalpojumi” papildinājuma 3.3.2.1.aktivitāti „</w:t>
    </w:r>
    <w:r w:rsidR="00C003DD" w:rsidRPr="00C003DD">
      <w:rPr>
        <w:bCs/>
        <w:color w:val="414142"/>
        <w:sz w:val="20"/>
        <w:szCs w:val="20"/>
      </w:rPr>
      <w:t>Ilgtspējīga sabiedriskā transporta sistēmas attīstība</w:t>
    </w:r>
    <w:r w:rsidR="00C003DD" w:rsidRPr="00C003DD">
      <w:rPr>
        <w:bCs/>
        <w:color w:val="000000"/>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7E" w:rsidRDefault="00695A7E">
      <w:r>
        <w:separator/>
      </w:r>
    </w:p>
  </w:footnote>
  <w:footnote w:type="continuationSeparator" w:id="0">
    <w:p w:rsidR="00695A7E" w:rsidRDefault="00695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Default="00CE679D"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end"/>
    </w:r>
  </w:p>
  <w:p w:rsidR="00363AA8" w:rsidRDefault="0036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Default="00CE679D"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separate"/>
    </w:r>
    <w:r w:rsidR="008F40E8">
      <w:rPr>
        <w:rStyle w:val="PageNumber"/>
        <w:noProof/>
      </w:rPr>
      <w:t>5</w:t>
    </w:r>
    <w:r>
      <w:rPr>
        <w:rStyle w:val="PageNumber"/>
      </w:rPr>
      <w:fldChar w:fldCharType="end"/>
    </w:r>
  </w:p>
  <w:p w:rsidR="00363AA8" w:rsidRDefault="00363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79E1"/>
    <w:multiLevelType w:val="hybridMultilevel"/>
    <w:tmpl w:val="05EA2C7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0C2F1B7C"/>
    <w:multiLevelType w:val="hybridMultilevel"/>
    <w:tmpl w:val="261A1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C31ADB"/>
    <w:multiLevelType w:val="hybridMultilevel"/>
    <w:tmpl w:val="FF3C45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nsid w:val="160730AF"/>
    <w:multiLevelType w:val="hybridMultilevel"/>
    <w:tmpl w:val="B76C17D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8">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9">
    <w:nsid w:val="1B2E6453"/>
    <w:multiLevelType w:val="hybridMultilevel"/>
    <w:tmpl w:val="1A069C4C"/>
    <w:lvl w:ilvl="0" w:tplc="3E00E798">
      <w:start w:val="1"/>
      <w:numFmt w:val="bullet"/>
      <w:lvlText w:val=""/>
      <w:lvlJc w:val="left"/>
      <w:pPr>
        <w:ind w:left="1287"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12">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00469D"/>
    <w:multiLevelType w:val="hybridMultilevel"/>
    <w:tmpl w:val="96DC085E"/>
    <w:lvl w:ilvl="0" w:tplc="04260001">
      <w:start w:val="1"/>
      <w:numFmt w:val="bullet"/>
      <w:lvlText w:val=""/>
      <w:lvlJc w:val="left"/>
      <w:pPr>
        <w:ind w:left="1287"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6">
    <w:nsid w:val="234B29EA"/>
    <w:multiLevelType w:val="hybridMultilevel"/>
    <w:tmpl w:val="57387782"/>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9">
    <w:nsid w:val="2A041314"/>
    <w:multiLevelType w:val="hybridMultilevel"/>
    <w:tmpl w:val="EE8CF290"/>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52A5A0A"/>
    <w:multiLevelType w:val="hybridMultilevel"/>
    <w:tmpl w:val="F1E2F72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4">
    <w:nsid w:val="35E2554D"/>
    <w:multiLevelType w:val="hybridMultilevel"/>
    <w:tmpl w:val="6486F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6">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9">
    <w:nsid w:val="3EED38E8"/>
    <w:multiLevelType w:val="hybridMultilevel"/>
    <w:tmpl w:val="B59808AE"/>
    <w:lvl w:ilvl="0" w:tplc="618E07B8">
      <w:start w:val="1"/>
      <w:numFmt w:val="decimal"/>
      <w:lvlText w:val="%1)"/>
      <w:lvlJc w:val="left"/>
      <w:pPr>
        <w:ind w:left="1066" w:hanging="360"/>
      </w:pPr>
      <w:rPr>
        <w:rFonts w:ascii="Times New Roman" w:eastAsia="Calibri" w:hAnsi="Times New Roman" w:cs="Times New Roman"/>
        <w:color w:val="auto"/>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30">
    <w:nsid w:val="400117DF"/>
    <w:multiLevelType w:val="hybridMultilevel"/>
    <w:tmpl w:val="1CE6F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3">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34">
    <w:nsid w:val="5403514F"/>
    <w:multiLevelType w:val="hybridMultilevel"/>
    <w:tmpl w:val="22849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7">
    <w:nsid w:val="58324D5B"/>
    <w:multiLevelType w:val="hybridMultilevel"/>
    <w:tmpl w:val="BEB005D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nsid w:val="594B4D03"/>
    <w:multiLevelType w:val="hybridMultilevel"/>
    <w:tmpl w:val="492A6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8048BA"/>
    <w:multiLevelType w:val="hybridMultilevel"/>
    <w:tmpl w:val="84AE9E84"/>
    <w:lvl w:ilvl="0" w:tplc="3E00E79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43">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3"/>
  </w:num>
  <w:num w:numId="2">
    <w:abstractNumId w:val="17"/>
  </w:num>
  <w:num w:numId="3">
    <w:abstractNumId w:val="8"/>
  </w:num>
  <w:num w:numId="4">
    <w:abstractNumId w:val="28"/>
  </w:num>
  <w:num w:numId="5">
    <w:abstractNumId w:val="10"/>
  </w:num>
  <w:num w:numId="6">
    <w:abstractNumId w:val="22"/>
  </w:num>
  <w:num w:numId="7">
    <w:abstractNumId w:val="31"/>
  </w:num>
  <w:num w:numId="8">
    <w:abstractNumId w:val="35"/>
  </w:num>
  <w:num w:numId="9">
    <w:abstractNumId w:val="20"/>
  </w:num>
  <w:num w:numId="10">
    <w:abstractNumId w:val="40"/>
  </w:num>
  <w:num w:numId="11">
    <w:abstractNumId w:val="21"/>
  </w:num>
  <w:num w:numId="12">
    <w:abstractNumId w:val="32"/>
  </w:num>
  <w:num w:numId="13">
    <w:abstractNumId w:val="6"/>
  </w:num>
  <w:num w:numId="14">
    <w:abstractNumId w:val="25"/>
  </w:num>
  <w:num w:numId="15">
    <w:abstractNumId w:val="33"/>
  </w:num>
  <w:num w:numId="16">
    <w:abstractNumId w:val="18"/>
  </w:num>
  <w:num w:numId="17">
    <w:abstractNumId w:val="12"/>
  </w:num>
  <w:num w:numId="18">
    <w:abstractNumId w:val="0"/>
  </w:num>
  <w:num w:numId="19">
    <w:abstractNumId w:val="15"/>
  </w:num>
  <w:num w:numId="20">
    <w:abstractNumId w:val="27"/>
  </w:num>
  <w:num w:numId="21">
    <w:abstractNumId w:val="1"/>
  </w:num>
  <w:num w:numId="22">
    <w:abstractNumId w:val="26"/>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4"/>
  </w:num>
  <w:num w:numId="26">
    <w:abstractNumId w:val="3"/>
  </w:num>
  <w:num w:numId="27">
    <w:abstractNumId w:val="36"/>
  </w:num>
  <w:num w:numId="28">
    <w:abstractNumId w:val="39"/>
  </w:num>
  <w:num w:numId="29">
    <w:abstractNumId w:val="42"/>
  </w:num>
  <w:num w:numId="30">
    <w:abstractNumId w:val="23"/>
  </w:num>
  <w:num w:numId="31">
    <w:abstractNumId w:val="7"/>
  </w:num>
  <w:num w:numId="32">
    <w:abstractNumId w:val="11"/>
  </w:num>
  <w:num w:numId="33">
    <w:abstractNumId w:val="30"/>
  </w:num>
  <w:num w:numId="34">
    <w:abstractNumId w:val="29"/>
  </w:num>
  <w:num w:numId="35">
    <w:abstractNumId w:val="24"/>
  </w:num>
  <w:num w:numId="36">
    <w:abstractNumId w:val="34"/>
  </w:num>
  <w:num w:numId="37">
    <w:abstractNumId w:val="4"/>
  </w:num>
  <w:num w:numId="38">
    <w:abstractNumId w:val="38"/>
  </w:num>
  <w:num w:numId="39">
    <w:abstractNumId w:val="19"/>
  </w:num>
  <w:num w:numId="40">
    <w:abstractNumId w:val="16"/>
  </w:num>
  <w:num w:numId="41">
    <w:abstractNumId w:val="2"/>
  </w:num>
  <w:num w:numId="42">
    <w:abstractNumId w:val="5"/>
  </w:num>
  <w:num w:numId="43">
    <w:abstractNumId w:val="37"/>
  </w:num>
  <w:num w:numId="44">
    <w:abstractNumId w:val="14"/>
  </w:num>
  <w:num w:numId="45">
    <w:abstractNumId w:val="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0F1E"/>
    <w:rsid w:val="00002571"/>
    <w:rsid w:val="00002ED1"/>
    <w:rsid w:val="00003293"/>
    <w:rsid w:val="00003C0E"/>
    <w:rsid w:val="00005285"/>
    <w:rsid w:val="0000586E"/>
    <w:rsid w:val="00005DFA"/>
    <w:rsid w:val="000065DC"/>
    <w:rsid w:val="00006EA8"/>
    <w:rsid w:val="00007A7C"/>
    <w:rsid w:val="00010B2E"/>
    <w:rsid w:val="00010F8D"/>
    <w:rsid w:val="00011FC2"/>
    <w:rsid w:val="00013173"/>
    <w:rsid w:val="000138F8"/>
    <w:rsid w:val="000146B1"/>
    <w:rsid w:val="00014EFF"/>
    <w:rsid w:val="0001504A"/>
    <w:rsid w:val="00015BE4"/>
    <w:rsid w:val="00015EF9"/>
    <w:rsid w:val="00016057"/>
    <w:rsid w:val="0001649B"/>
    <w:rsid w:val="00016FEA"/>
    <w:rsid w:val="00017C6B"/>
    <w:rsid w:val="00020845"/>
    <w:rsid w:val="0002305A"/>
    <w:rsid w:val="00023562"/>
    <w:rsid w:val="00023621"/>
    <w:rsid w:val="00023887"/>
    <w:rsid w:val="00023C98"/>
    <w:rsid w:val="00024402"/>
    <w:rsid w:val="00024E2D"/>
    <w:rsid w:val="0002626C"/>
    <w:rsid w:val="000267FA"/>
    <w:rsid w:val="00030818"/>
    <w:rsid w:val="00031D8D"/>
    <w:rsid w:val="0003225C"/>
    <w:rsid w:val="00033093"/>
    <w:rsid w:val="000333FC"/>
    <w:rsid w:val="0003366F"/>
    <w:rsid w:val="00033DA5"/>
    <w:rsid w:val="00034141"/>
    <w:rsid w:val="000341CB"/>
    <w:rsid w:val="0003431E"/>
    <w:rsid w:val="0003445C"/>
    <w:rsid w:val="000353DC"/>
    <w:rsid w:val="00035450"/>
    <w:rsid w:val="00035EDF"/>
    <w:rsid w:val="00035F82"/>
    <w:rsid w:val="00037C7B"/>
    <w:rsid w:val="0004064A"/>
    <w:rsid w:val="00040742"/>
    <w:rsid w:val="00040CB0"/>
    <w:rsid w:val="00041D4B"/>
    <w:rsid w:val="000433F8"/>
    <w:rsid w:val="000433F9"/>
    <w:rsid w:val="000434BF"/>
    <w:rsid w:val="00044274"/>
    <w:rsid w:val="00044482"/>
    <w:rsid w:val="0004470C"/>
    <w:rsid w:val="00045656"/>
    <w:rsid w:val="0004660D"/>
    <w:rsid w:val="000473CC"/>
    <w:rsid w:val="00047F28"/>
    <w:rsid w:val="0005008C"/>
    <w:rsid w:val="00050917"/>
    <w:rsid w:val="00050A92"/>
    <w:rsid w:val="00051FC0"/>
    <w:rsid w:val="000543E3"/>
    <w:rsid w:val="00054ABA"/>
    <w:rsid w:val="00055287"/>
    <w:rsid w:val="00055A2E"/>
    <w:rsid w:val="0005783D"/>
    <w:rsid w:val="00057A45"/>
    <w:rsid w:val="00060185"/>
    <w:rsid w:val="00060333"/>
    <w:rsid w:val="00060973"/>
    <w:rsid w:val="00060BC0"/>
    <w:rsid w:val="000610FF"/>
    <w:rsid w:val="00061310"/>
    <w:rsid w:val="0006142A"/>
    <w:rsid w:val="00061741"/>
    <w:rsid w:val="00061EF7"/>
    <w:rsid w:val="0006259D"/>
    <w:rsid w:val="0006279B"/>
    <w:rsid w:val="00062D16"/>
    <w:rsid w:val="0006379F"/>
    <w:rsid w:val="000638F0"/>
    <w:rsid w:val="00063AC1"/>
    <w:rsid w:val="00063EA7"/>
    <w:rsid w:val="00064202"/>
    <w:rsid w:val="00064AF4"/>
    <w:rsid w:val="000651DD"/>
    <w:rsid w:val="00066FF1"/>
    <w:rsid w:val="000700FE"/>
    <w:rsid w:val="00070C29"/>
    <w:rsid w:val="00071786"/>
    <w:rsid w:val="0007368C"/>
    <w:rsid w:val="00073FB8"/>
    <w:rsid w:val="000743A2"/>
    <w:rsid w:val="000755A1"/>
    <w:rsid w:val="000764DA"/>
    <w:rsid w:val="00076EF5"/>
    <w:rsid w:val="000778B6"/>
    <w:rsid w:val="00081BF2"/>
    <w:rsid w:val="000821FE"/>
    <w:rsid w:val="00082DAB"/>
    <w:rsid w:val="000831F6"/>
    <w:rsid w:val="00083A86"/>
    <w:rsid w:val="00083DCD"/>
    <w:rsid w:val="00084EB5"/>
    <w:rsid w:val="000857C2"/>
    <w:rsid w:val="00086ED6"/>
    <w:rsid w:val="00087466"/>
    <w:rsid w:val="00087CCB"/>
    <w:rsid w:val="00091895"/>
    <w:rsid w:val="00091B6E"/>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07E9"/>
    <w:rsid w:val="000A1568"/>
    <w:rsid w:val="000A2217"/>
    <w:rsid w:val="000A2A93"/>
    <w:rsid w:val="000A3B85"/>
    <w:rsid w:val="000A48C5"/>
    <w:rsid w:val="000A5BE0"/>
    <w:rsid w:val="000A68BF"/>
    <w:rsid w:val="000A6FA4"/>
    <w:rsid w:val="000A70A6"/>
    <w:rsid w:val="000A7140"/>
    <w:rsid w:val="000B03CD"/>
    <w:rsid w:val="000B2399"/>
    <w:rsid w:val="000B2E5D"/>
    <w:rsid w:val="000B2F02"/>
    <w:rsid w:val="000B42D2"/>
    <w:rsid w:val="000B447B"/>
    <w:rsid w:val="000B4D05"/>
    <w:rsid w:val="000B51D5"/>
    <w:rsid w:val="000B63F0"/>
    <w:rsid w:val="000B664E"/>
    <w:rsid w:val="000B68AE"/>
    <w:rsid w:val="000B6E35"/>
    <w:rsid w:val="000B7227"/>
    <w:rsid w:val="000B7D69"/>
    <w:rsid w:val="000C08DF"/>
    <w:rsid w:val="000C0AD7"/>
    <w:rsid w:val="000C0D48"/>
    <w:rsid w:val="000C23E8"/>
    <w:rsid w:val="000C39C7"/>
    <w:rsid w:val="000C3CA9"/>
    <w:rsid w:val="000C4626"/>
    <w:rsid w:val="000C5626"/>
    <w:rsid w:val="000C59B1"/>
    <w:rsid w:val="000C5DCA"/>
    <w:rsid w:val="000C6186"/>
    <w:rsid w:val="000C6415"/>
    <w:rsid w:val="000C7AE9"/>
    <w:rsid w:val="000C7FB5"/>
    <w:rsid w:val="000D30FB"/>
    <w:rsid w:val="000D4CC0"/>
    <w:rsid w:val="000D4EF1"/>
    <w:rsid w:val="000D5011"/>
    <w:rsid w:val="000D580C"/>
    <w:rsid w:val="000D5969"/>
    <w:rsid w:val="000D6357"/>
    <w:rsid w:val="000D7089"/>
    <w:rsid w:val="000D709F"/>
    <w:rsid w:val="000E075C"/>
    <w:rsid w:val="000E0DDB"/>
    <w:rsid w:val="000E14E9"/>
    <w:rsid w:val="000E5026"/>
    <w:rsid w:val="000E52AF"/>
    <w:rsid w:val="000E581B"/>
    <w:rsid w:val="000E64C6"/>
    <w:rsid w:val="000E6631"/>
    <w:rsid w:val="000E66A1"/>
    <w:rsid w:val="000E6CA2"/>
    <w:rsid w:val="000F1E99"/>
    <w:rsid w:val="000F30B0"/>
    <w:rsid w:val="000F338A"/>
    <w:rsid w:val="000F386A"/>
    <w:rsid w:val="000F39E7"/>
    <w:rsid w:val="000F4452"/>
    <w:rsid w:val="000F4760"/>
    <w:rsid w:val="000F5AEB"/>
    <w:rsid w:val="000F5C65"/>
    <w:rsid w:val="000F5DFB"/>
    <w:rsid w:val="000F6083"/>
    <w:rsid w:val="000F6294"/>
    <w:rsid w:val="000F77FE"/>
    <w:rsid w:val="000F7EEE"/>
    <w:rsid w:val="00102BD7"/>
    <w:rsid w:val="00102FEC"/>
    <w:rsid w:val="001035BD"/>
    <w:rsid w:val="00104374"/>
    <w:rsid w:val="00105C44"/>
    <w:rsid w:val="00105CC0"/>
    <w:rsid w:val="00106273"/>
    <w:rsid w:val="00106A76"/>
    <w:rsid w:val="00107CE4"/>
    <w:rsid w:val="001116A8"/>
    <w:rsid w:val="0011195C"/>
    <w:rsid w:val="001134EF"/>
    <w:rsid w:val="00113B2D"/>
    <w:rsid w:val="0011411C"/>
    <w:rsid w:val="00114E39"/>
    <w:rsid w:val="001150C1"/>
    <w:rsid w:val="00116396"/>
    <w:rsid w:val="00117E8F"/>
    <w:rsid w:val="00120DC4"/>
    <w:rsid w:val="00121016"/>
    <w:rsid w:val="00122EC4"/>
    <w:rsid w:val="0012348D"/>
    <w:rsid w:val="00123BFA"/>
    <w:rsid w:val="00124380"/>
    <w:rsid w:val="0012473C"/>
    <w:rsid w:val="00124746"/>
    <w:rsid w:val="00124882"/>
    <w:rsid w:val="00124BC0"/>
    <w:rsid w:val="001256C9"/>
    <w:rsid w:val="00125F63"/>
    <w:rsid w:val="00126108"/>
    <w:rsid w:val="00127E66"/>
    <w:rsid w:val="001300D5"/>
    <w:rsid w:val="001308AE"/>
    <w:rsid w:val="00130F08"/>
    <w:rsid w:val="001312F0"/>
    <w:rsid w:val="00131685"/>
    <w:rsid w:val="0013207A"/>
    <w:rsid w:val="00133868"/>
    <w:rsid w:val="00134536"/>
    <w:rsid w:val="00134842"/>
    <w:rsid w:val="001351F7"/>
    <w:rsid w:val="00135360"/>
    <w:rsid w:val="00135B04"/>
    <w:rsid w:val="00135B78"/>
    <w:rsid w:val="00136194"/>
    <w:rsid w:val="00137623"/>
    <w:rsid w:val="00140AEE"/>
    <w:rsid w:val="00140E02"/>
    <w:rsid w:val="001413BD"/>
    <w:rsid w:val="00142097"/>
    <w:rsid w:val="001420F4"/>
    <w:rsid w:val="00142BB8"/>
    <w:rsid w:val="001443D2"/>
    <w:rsid w:val="00144C7D"/>
    <w:rsid w:val="001459C7"/>
    <w:rsid w:val="00145E48"/>
    <w:rsid w:val="0014682A"/>
    <w:rsid w:val="00146EE7"/>
    <w:rsid w:val="00147B63"/>
    <w:rsid w:val="00147FAC"/>
    <w:rsid w:val="00150CA7"/>
    <w:rsid w:val="0015122B"/>
    <w:rsid w:val="001512CC"/>
    <w:rsid w:val="00151E87"/>
    <w:rsid w:val="001529F6"/>
    <w:rsid w:val="0015395C"/>
    <w:rsid w:val="00154AD6"/>
    <w:rsid w:val="00154B2F"/>
    <w:rsid w:val="00155C08"/>
    <w:rsid w:val="00155D56"/>
    <w:rsid w:val="0015629B"/>
    <w:rsid w:val="0015656B"/>
    <w:rsid w:val="001574BE"/>
    <w:rsid w:val="0016187F"/>
    <w:rsid w:val="00165557"/>
    <w:rsid w:val="001659AD"/>
    <w:rsid w:val="001659F0"/>
    <w:rsid w:val="00165E97"/>
    <w:rsid w:val="001666A0"/>
    <w:rsid w:val="001709F1"/>
    <w:rsid w:val="00171B3E"/>
    <w:rsid w:val="00171EBB"/>
    <w:rsid w:val="00172023"/>
    <w:rsid w:val="0017299C"/>
    <w:rsid w:val="00173A11"/>
    <w:rsid w:val="00173D08"/>
    <w:rsid w:val="001749B8"/>
    <w:rsid w:val="001755A9"/>
    <w:rsid w:val="001758BA"/>
    <w:rsid w:val="00176455"/>
    <w:rsid w:val="00176719"/>
    <w:rsid w:val="00177B2B"/>
    <w:rsid w:val="001805C4"/>
    <w:rsid w:val="00181974"/>
    <w:rsid w:val="00181D6D"/>
    <w:rsid w:val="00183013"/>
    <w:rsid w:val="001845DE"/>
    <w:rsid w:val="00185A3E"/>
    <w:rsid w:val="00185B26"/>
    <w:rsid w:val="00186CCD"/>
    <w:rsid w:val="0018732C"/>
    <w:rsid w:val="00190603"/>
    <w:rsid w:val="0019194A"/>
    <w:rsid w:val="00194841"/>
    <w:rsid w:val="001948E9"/>
    <w:rsid w:val="00194BE7"/>
    <w:rsid w:val="00195EBB"/>
    <w:rsid w:val="00196092"/>
    <w:rsid w:val="00196280"/>
    <w:rsid w:val="001966C0"/>
    <w:rsid w:val="001967AE"/>
    <w:rsid w:val="001978A2"/>
    <w:rsid w:val="001A0253"/>
    <w:rsid w:val="001A0661"/>
    <w:rsid w:val="001A15B7"/>
    <w:rsid w:val="001A304B"/>
    <w:rsid w:val="001A40E1"/>
    <w:rsid w:val="001A425D"/>
    <w:rsid w:val="001A495C"/>
    <w:rsid w:val="001A6633"/>
    <w:rsid w:val="001A677D"/>
    <w:rsid w:val="001A6C2B"/>
    <w:rsid w:val="001A6C9B"/>
    <w:rsid w:val="001A711E"/>
    <w:rsid w:val="001A7560"/>
    <w:rsid w:val="001B08DB"/>
    <w:rsid w:val="001B1662"/>
    <w:rsid w:val="001B16CE"/>
    <w:rsid w:val="001B1945"/>
    <w:rsid w:val="001B1EDE"/>
    <w:rsid w:val="001B25AF"/>
    <w:rsid w:val="001B463D"/>
    <w:rsid w:val="001B60FA"/>
    <w:rsid w:val="001B6BE8"/>
    <w:rsid w:val="001C1363"/>
    <w:rsid w:val="001C1EE0"/>
    <w:rsid w:val="001C24CF"/>
    <w:rsid w:val="001C2582"/>
    <w:rsid w:val="001C3131"/>
    <w:rsid w:val="001C3946"/>
    <w:rsid w:val="001C3BF7"/>
    <w:rsid w:val="001C3E04"/>
    <w:rsid w:val="001C48FA"/>
    <w:rsid w:val="001C5104"/>
    <w:rsid w:val="001C5849"/>
    <w:rsid w:val="001C5A1A"/>
    <w:rsid w:val="001C5EF1"/>
    <w:rsid w:val="001C6923"/>
    <w:rsid w:val="001C69DF"/>
    <w:rsid w:val="001D0707"/>
    <w:rsid w:val="001D11D4"/>
    <w:rsid w:val="001D1494"/>
    <w:rsid w:val="001D1664"/>
    <w:rsid w:val="001D1C22"/>
    <w:rsid w:val="001D1CB4"/>
    <w:rsid w:val="001D2100"/>
    <w:rsid w:val="001D273F"/>
    <w:rsid w:val="001D35CF"/>
    <w:rsid w:val="001D399A"/>
    <w:rsid w:val="001D5887"/>
    <w:rsid w:val="001D5B2E"/>
    <w:rsid w:val="001D5F9A"/>
    <w:rsid w:val="001D6C05"/>
    <w:rsid w:val="001D6D8B"/>
    <w:rsid w:val="001D77BE"/>
    <w:rsid w:val="001E0126"/>
    <w:rsid w:val="001E0D34"/>
    <w:rsid w:val="001E21D1"/>
    <w:rsid w:val="001E2237"/>
    <w:rsid w:val="001E297E"/>
    <w:rsid w:val="001E3273"/>
    <w:rsid w:val="001E3ACD"/>
    <w:rsid w:val="001E455A"/>
    <w:rsid w:val="001E6E6A"/>
    <w:rsid w:val="001E7ECF"/>
    <w:rsid w:val="001F0D19"/>
    <w:rsid w:val="001F1236"/>
    <w:rsid w:val="001F194B"/>
    <w:rsid w:val="001F1D8B"/>
    <w:rsid w:val="001F218A"/>
    <w:rsid w:val="001F3029"/>
    <w:rsid w:val="001F30CC"/>
    <w:rsid w:val="001F4193"/>
    <w:rsid w:val="001F4341"/>
    <w:rsid w:val="001F523F"/>
    <w:rsid w:val="001F554E"/>
    <w:rsid w:val="001F56B9"/>
    <w:rsid w:val="001F63D7"/>
    <w:rsid w:val="001F7CC8"/>
    <w:rsid w:val="002008EB"/>
    <w:rsid w:val="00201278"/>
    <w:rsid w:val="002017C9"/>
    <w:rsid w:val="002019CB"/>
    <w:rsid w:val="00201D24"/>
    <w:rsid w:val="00201FAC"/>
    <w:rsid w:val="002031A2"/>
    <w:rsid w:val="002031B6"/>
    <w:rsid w:val="0020489B"/>
    <w:rsid w:val="00204C30"/>
    <w:rsid w:val="00204E76"/>
    <w:rsid w:val="002078DB"/>
    <w:rsid w:val="00207B60"/>
    <w:rsid w:val="002120B6"/>
    <w:rsid w:val="00214299"/>
    <w:rsid w:val="00214C14"/>
    <w:rsid w:val="002152CC"/>
    <w:rsid w:val="00216A4F"/>
    <w:rsid w:val="00216DFB"/>
    <w:rsid w:val="00217C26"/>
    <w:rsid w:val="00220298"/>
    <w:rsid w:val="0022065F"/>
    <w:rsid w:val="00220BAF"/>
    <w:rsid w:val="00220D7E"/>
    <w:rsid w:val="00220EA6"/>
    <w:rsid w:val="00221ADE"/>
    <w:rsid w:val="002220C7"/>
    <w:rsid w:val="0022214D"/>
    <w:rsid w:val="00222714"/>
    <w:rsid w:val="0022301E"/>
    <w:rsid w:val="00223169"/>
    <w:rsid w:val="002231EB"/>
    <w:rsid w:val="0022346E"/>
    <w:rsid w:val="00223B41"/>
    <w:rsid w:val="00225E9A"/>
    <w:rsid w:val="002262EF"/>
    <w:rsid w:val="002267D6"/>
    <w:rsid w:val="00226E63"/>
    <w:rsid w:val="00232A5F"/>
    <w:rsid w:val="00233204"/>
    <w:rsid w:val="00233263"/>
    <w:rsid w:val="0023355E"/>
    <w:rsid w:val="00235E0C"/>
    <w:rsid w:val="002360AC"/>
    <w:rsid w:val="00236FFC"/>
    <w:rsid w:val="002372B8"/>
    <w:rsid w:val="002412BB"/>
    <w:rsid w:val="0024151D"/>
    <w:rsid w:val="0024256E"/>
    <w:rsid w:val="002434D6"/>
    <w:rsid w:val="0024392F"/>
    <w:rsid w:val="00244735"/>
    <w:rsid w:val="002452A5"/>
    <w:rsid w:val="00246C24"/>
    <w:rsid w:val="00247189"/>
    <w:rsid w:val="002474BA"/>
    <w:rsid w:val="00247D3A"/>
    <w:rsid w:val="00250912"/>
    <w:rsid w:val="00250C87"/>
    <w:rsid w:val="00251E53"/>
    <w:rsid w:val="00253B7F"/>
    <w:rsid w:val="002543F7"/>
    <w:rsid w:val="00255258"/>
    <w:rsid w:val="00255B7E"/>
    <w:rsid w:val="002570E0"/>
    <w:rsid w:val="002572C6"/>
    <w:rsid w:val="00257806"/>
    <w:rsid w:val="002578A4"/>
    <w:rsid w:val="002603DE"/>
    <w:rsid w:val="002619AC"/>
    <w:rsid w:val="0026408E"/>
    <w:rsid w:val="00264888"/>
    <w:rsid w:val="00264B84"/>
    <w:rsid w:val="0026535F"/>
    <w:rsid w:val="002655F6"/>
    <w:rsid w:val="00265C31"/>
    <w:rsid w:val="0026630A"/>
    <w:rsid w:val="00267734"/>
    <w:rsid w:val="00270472"/>
    <w:rsid w:val="00270817"/>
    <w:rsid w:val="0027179A"/>
    <w:rsid w:val="00271FE0"/>
    <w:rsid w:val="002722FA"/>
    <w:rsid w:val="002728ED"/>
    <w:rsid w:val="00272AD4"/>
    <w:rsid w:val="0027304D"/>
    <w:rsid w:val="002734F5"/>
    <w:rsid w:val="00273A2F"/>
    <w:rsid w:val="00273D62"/>
    <w:rsid w:val="00274871"/>
    <w:rsid w:val="00275586"/>
    <w:rsid w:val="0027629C"/>
    <w:rsid w:val="00280512"/>
    <w:rsid w:val="00280A79"/>
    <w:rsid w:val="002817C8"/>
    <w:rsid w:val="002824A5"/>
    <w:rsid w:val="00282986"/>
    <w:rsid w:val="00282A69"/>
    <w:rsid w:val="00282C82"/>
    <w:rsid w:val="00282EE9"/>
    <w:rsid w:val="002849BE"/>
    <w:rsid w:val="00284A74"/>
    <w:rsid w:val="00285785"/>
    <w:rsid w:val="00285B78"/>
    <w:rsid w:val="00285EFB"/>
    <w:rsid w:val="0028632C"/>
    <w:rsid w:val="002864B7"/>
    <w:rsid w:val="00287276"/>
    <w:rsid w:val="0028743D"/>
    <w:rsid w:val="002878B7"/>
    <w:rsid w:val="00287B3F"/>
    <w:rsid w:val="00287BEF"/>
    <w:rsid w:val="0029092A"/>
    <w:rsid w:val="00290B2D"/>
    <w:rsid w:val="00291B69"/>
    <w:rsid w:val="00291C20"/>
    <w:rsid w:val="00291C9A"/>
    <w:rsid w:val="002920DF"/>
    <w:rsid w:val="002935F0"/>
    <w:rsid w:val="00295590"/>
    <w:rsid w:val="00296378"/>
    <w:rsid w:val="0029648B"/>
    <w:rsid w:val="002964D0"/>
    <w:rsid w:val="002969A7"/>
    <w:rsid w:val="00296B9D"/>
    <w:rsid w:val="00297F81"/>
    <w:rsid w:val="002A179C"/>
    <w:rsid w:val="002A19D3"/>
    <w:rsid w:val="002A3159"/>
    <w:rsid w:val="002A33C2"/>
    <w:rsid w:val="002A3CA8"/>
    <w:rsid w:val="002A42B3"/>
    <w:rsid w:val="002A4A72"/>
    <w:rsid w:val="002A4AD6"/>
    <w:rsid w:val="002A4CF3"/>
    <w:rsid w:val="002A577E"/>
    <w:rsid w:val="002A60C7"/>
    <w:rsid w:val="002A7525"/>
    <w:rsid w:val="002B0A39"/>
    <w:rsid w:val="002B1874"/>
    <w:rsid w:val="002B3B58"/>
    <w:rsid w:val="002B3D2B"/>
    <w:rsid w:val="002B3F8F"/>
    <w:rsid w:val="002B5960"/>
    <w:rsid w:val="002B6EB8"/>
    <w:rsid w:val="002B7B9C"/>
    <w:rsid w:val="002C0ECD"/>
    <w:rsid w:val="002C0FE8"/>
    <w:rsid w:val="002C23A8"/>
    <w:rsid w:val="002C2C45"/>
    <w:rsid w:val="002C3184"/>
    <w:rsid w:val="002C3604"/>
    <w:rsid w:val="002C3A19"/>
    <w:rsid w:val="002C3C06"/>
    <w:rsid w:val="002C458D"/>
    <w:rsid w:val="002C5C78"/>
    <w:rsid w:val="002C6C0C"/>
    <w:rsid w:val="002C6C94"/>
    <w:rsid w:val="002C7A05"/>
    <w:rsid w:val="002D03B9"/>
    <w:rsid w:val="002D0FC2"/>
    <w:rsid w:val="002D2599"/>
    <w:rsid w:val="002D2BB5"/>
    <w:rsid w:val="002D45F6"/>
    <w:rsid w:val="002D567B"/>
    <w:rsid w:val="002D5740"/>
    <w:rsid w:val="002D7F76"/>
    <w:rsid w:val="002E0AC0"/>
    <w:rsid w:val="002E176A"/>
    <w:rsid w:val="002E1DF3"/>
    <w:rsid w:val="002E2318"/>
    <w:rsid w:val="002E29C3"/>
    <w:rsid w:val="002E2EF1"/>
    <w:rsid w:val="002E479A"/>
    <w:rsid w:val="002E4AD9"/>
    <w:rsid w:val="002E5BA5"/>
    <w:rsid w:val="002E5D99"/>
    <w:rsid w:val="002E68B5"/>
    <w:rsid w:val="002E752F"/>
    <w:rsid w:val="002E7BB3"/>
    <w:rsid w:val="002E7C61"/>
    <w:rsid w:val="002F0719"/>
    <w:rsid w:val="002F0E9F"/>
    <w:rsid w:val="002F1514"/>
    <w:rsid w:val="002F2521"/>
    <w:rsid w:val="002F2604"/>
    <w:rsid w:val="002F3D81"/>
    <w:rsid w:val="002F41F3"/>
    <w:rsid w:val="002F47A4"/>
    <w:rsid w:val="002F47BA"/>
    <w:rsid w:val="002F4C97"/>
    <w:rsid w:val="002F608C"/>
    <w:rsid w:val="002F6FE9"/>
    <w:rsid w:val="00301648"/>
    <w:rsid w:val="00301D6E"/>
    <w:rsid w:val="003028D9"/>
    <w:rsid w:val="003036B1"/>
    <w:rsid w:val="00303B31"/>
    <w:rsid w:val="00310936"/>
    <w:rsid w:val="00310E53"/>
    <w:rsid w:val="0031127B"/>
    <w:rsid w:val="003119A3"/>
    <w:rsid w:val="00312420"/>
    <w:rsid w:val="00312A7E"/>
    <w:rsid w:val="00313142"/>
    <w:rsid w:val="003146A8"/>
    <w:rsid w:val="00316096"/>
    <w:rsid w:val="0031684F"/>
    <w:rsid w:val="00316933"/>
    <w:rsid w:val="00316A16"/>
    <w:rsid w:val="003179DE"/>
    <w:rsid w:val="0032091E"/>
    <w:rsid w:val="003213E7"/>
    <w:rsid w:val="00322702"/>
    <w:rsid w:val="00322FDA"/>
    <w:rsid w:val="00323454"/>
    <w:rsid w:val="003237A5"/>
    <w:rsid w:val="00323C9C"/>
    <w:rsid w:val="0032658B"/>
    <w:rsid w:val="003266E3"/>
    <w:rsid w:val="00326FAB"/>
    <w:rsid w:val="00327EBC"/>
    <w:rsid w:val="0033002D"/>
    <w:rsid w:val="00330647"/>
    <w:rsid w:val="00330DEE"/>
    <w:rsid w:val="00330E8C"/>
    <w:rsid w:val="0033121E"/>
    <w:rsid w:val="0033181F"/>
    <w:rsid w:val="00332109"/>
    <w:rsid w:val="00333147"/>
    <w:rsid w:val="00333AA7"/>
    <w:rsid w:val="00333C26"/>
    <w:rsid w:val="0033404F"/>
    <w:rsid w:val="003340F0"/>
    <w:rsid w:val="003342DB"/>
    <w:rsid w:val="003360E9"/>
    <w:rsid w:val="0033636A"/>
    <w:rsid w:val="003366B8"/>
    <w:rsid w:val="00337133"/>
    <w:rsid w:val="003374F5"/>
    <w:rsid w:val="003374F7"/>
    <w:rsid w:val="00337C8D"/>
    <w:rsid w:val="00340727"/>
    <w:rsid w:val="0034242C"/>
    <w:rsid w:val="003430D1"/>
    <w:rsid w:val="00343453"/>
    <w:rsid w:val="00343492"/>
    <w:rsid w:val="003439CC"/>
    <w:rsid w:val="00344515"/>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CB6"/>
    <w:rsid w:val="00353BC0"/>
    <w:rsid w:val="00354310"/>
    <w:rsid w:val="00355A1E"/>
    <w:rsid w:val="00355B62"/>
    <w:rsid w:val="00355DAF"/>
    <w:rsid w:val="00355EDE"/>
    <w:rsid w:val="0035690D"/>
    <w:rsid w:val="003575FB"/>
    <w:rsid w:val="00360BB3"/>
    <w:rsid w:val="00360C79"/>
    <w:rsid w:val="00362B79"/>
    <w:rsid w:val="003630A9"/>
    <w:rsid w:val="003633FB"/>
    <w:rsid w:val="003636DA"/>
    <w:rsid w:val="00363AA8"/>
    <w:rsid w:val="00365B7C"/>
    <w:rsid w:val="00365EF3"/>
    <w:rsid w:val="00366C87"/>
    <w:rsid w:val="00367367"/>
    <w:rsid w:val="0036745E"/>
    <w:rsid w:val="00370949"/>
    <w:rsid w:val="0037102C"/>
    <w:rsid w:val="00371078"/>
    <w:rsid w:val="003718E8"/>
    <w:rsid w:val="00371EAD"/>
    <w:rsid w:val="00372694"/>
    <w:rsid w:val="00372B71"/>
    <w:rsid w:val="0037305E"/>
    <w:rsid w:val="00373A9B"/>
    <w:rsid w:val="00373E17"/>
    <w:rsid w:val="00373E80"/>
    <w:rsid w:val="003747BF"/>
    <w:rsid w:val="003758EC"/>
    <w:rsid w:val="003765A1"/>
    <w:rsid w:val="003765CA"/>
    <w:rsid w:val="0037697F"/>
    <w:rsid w:val="00377076"/>
    <w:rsid w:val="00377098"/>
    <w:rsid w:val="00377C24"/>
    <w:rsid w:val="00380C1F"/>
    <w:rsid w:val="0038124E"/>
    <w:rsid w:val="00381E19"/>
    <w:rsid w:val="00382559"/>
    <w:rsid w:val="00383F73"/>
    <w:rsid w:val="0038492D"/>
    <w:rsid w:val="00385163"/>
    <w:rsid w:val="00385A38"/>
    <w:rsid w:val="00385F0D"/>
    <w:rsid w:val="003866E7"/>
    <w:rsid w:val="003903EA"/>
    <w:rsid w:val="00391168"/>
    <w:rsid w:val="00391A41"/>
    <w:rsid w:val="00391DDE"/>
    <w:rsid w:val="00392526"/>
    <w:rsid w:val="003929C9"/>
    <w:rsid w:val="00392FC9"/>
    <w:rsid w:val="003933AA"/>
    <w:rsid w:val="00393424"/>
    <w:rsid w:val="0039373A"/>
    <w:rsid w:val="00393781"/>
    <w:rsid w:val="00394A3E"/>
    <w:rsid w:val="00395291"/>
    <w:rsid w:val="00397334"/>
    <w:rsid w:val="0039757C"/>
    <w:rsid w:val="003979C6"/>
    <w:rsid w:val="003A0287"/>
    <w:rsid w:val="003A0EF8"/>
    <w:rsid w:val="003A1092"/>
    <w:rsid w:val="003A31FD"/>
    <w:rsid w:val="003A3766"/>
    <w:rsid w:val="003A4617"/>
    <w:rsid w:val="003A59D4"/>
    <w:rsid w:val="003A5CB7"/>
    <w:rsid w:val="003A6287"/>
    <w:rsid w:val="003A73E0"/>
    <w:rsid w:val="003A7B2F"/>
    <w:rsid w:val="003A7D1E"/>
    <w:rsid w:val="003B17B4"/>
    <w:rsid w:val="003B1D2A"/>
    <w:rsid w:val="003B31FC"/>
    <w:rsid w:val="003B3F67"/>
    <w:rsid w:val="003B47F9"/>
    <w:rsid w:val="003B4806"/>
    <w:rsid w:val="003B51F8"/>
    <w:rsid w:val="003B6067"/>
    <w:rsid w:val="003B608B"/>
    <w:rsid w:val="003B6B74"/>
    <w:rsid w:val="003B7353"/>
    <w:rsid w:val="003B761D"/>
    <w:rsid w:val="003C27D7"/>
    <w:rsid w:val="003C2F80"/>
    <w:rsid w:val="003C307D"/>
    <w:rsid w:val="003C3871"/>
    <w:rsid w:val="003C3FD9"/>
    <w:rsid w:val="003C588E"/>
    <w:rsid w:val="003C5B32"/>
    <w:rsid w:val="003C7BA0"/>
    <w:rsid w:val="003D06D8"/>
    <w:rsid w:val="003D4948"/>
    <w:rsid w:val="003D6037"/>
    <w:rsid w:val="003D60FD"/>
    <w:rsid w:val="003D6B01"/>
    <w:rsid w:val="003D6B5E"/>
    <w:rsid w:val="003D79A3"/>
    <w:rsid w:val="003D7A77"/>
    <w:rsid w:val="003D7BFD"/>
    <w:rsid w:val="003D7CBC"/>
    <w:rsid w:val="003E0241"/>
    <w:rsid w:val="003E0526"/>
    <w:rsid w:val="003E1694"/>
    <w:rsid w:val="003E2A4C"/>
    <w:rsid w:val="003E2B9F"/>
    <w:rsid w:val="003E2DA5"/>
    <w:rsid w:val="003E370C"/>
    <w:rsid w:val="003E52B6"/>
    <w:rsid w:val="003E52F7"/>
    <w:rsid w:val="003E559A"/>
    <w:rsid w:val="003E657B"/>
    <w:rsid w:val="003E7159"/>
    <w:rsid w:val="003E74AC"/>
    <w:rsid w:val="003E79DE"/>
    <w:rsid w:val="003F1F1E"/>
    <w:rsid w:val="003F2FB6"/>
    <w:rsid w:val="003F3652"/>
    <w:rsid w:val="003F3B6A"/>
    <w:rsid w:val="003F3E66"/>
    <w:rsid w:val="003F46D8"/>
    <w:rsid w:val="003F4B05"/>
    <w:rsid w:val="003F6713"/>
    <w:rsid w:val="003F671B"/>
    <w:rsid w:val="003F7204"/>
    <w:rsid w:val="003F779B"/>
    <w:rsid w:val="003F7FE3"/>
    <w:rsid w:val="00400152"/>
    <w:rsid w:val="00400DD1"/>
    <w:rsid w:val="00400EA0"/>
    <w:rsid w:val="00402ED5"/>
    <w:rsid w:val="00403183"/>
    <w:rsid w:val="004032FD"/>
    <w:rsid w:val="00403770"/>
    <w:rsid w:val="00403A5D"/>
    <w:rsid w:val="00403C7A"/>
    <w:rsid w:val="00404748"/>
    <w:rsid w:val="00405968"/>
    <w:rsid w:val="00405D1B"/>
    <w:rsid w:val="004063D1"/>
    <w:rsid w:val="00406AAB"/>
    <w:rsid w:val="00407053"/>
    <w:rsid w:val="00407591"/>
    <w:rsid w:val="00407E54"/>
    <w:rsid w:val="004112B0"/>
    <w:rsid w:val="00411ECA"/>
    <w:rsid w:val="0041222E"/>
    <w:rsid w:val="00412B57"/>
    <w:rsid w:val="004139EB"/>
    <w:rsid w:val="00415B3D"/>
    <w:rsid w:val="00415C56"/>
    <w:rsid w:val="00415F0C"/>
    <w:rsid w:val="0041648C"/>
    <w:rsid w:val="00416801"/>
    <w:rsid w:val="00416E07"/>
    <w:rsid w:val="00417088"/>
    <w:rsid w:val="00417229"/>
    <w:rsid w:val="004173F7"/>
    <w:rsid w:val="00421411"/>
    <w:rsid w:val="004230B8"/>
    <w:rsid w:val="00423B3F"/>
    <w:rsid w:val="004249A6"/>
    <w:rsid w:val="00424B13"/>
    <w:rsid w:val="00424F2E"/>
    <w:rsid w:val="00425D92"/>
    <w:rsid w:val="004266A0"/>
    <w:rsid w:val="0042678A"/>
    <w:rsid w:val="00426858"/>
    <w:rsid w:val="00426EC6"/>
    <w:rsid w:val="00427146"/>
    <w:rsid w:val="00427F5E"/>
    <w:rsid w:val="004304AA"/>
    <w:rsid w:val="0043081E"/>
    <w:rsid w:val="00430C70"/>
    <w:rsid w:val="0043117C"/>
    <w:rsid w:val="00431381"/>
    <w:rsid w:val="00431666"/>
    <w:rsid w:val="00432B1F"/>
    <w:rsid w:val="00432E7A"/>
    <w:rsid w:val="00433876"/>
    <w:rsid w:val="004349BC"/>
    <w:rsid w:val="0043606D"/>
    <w:rsid w:val="004408D5"/>
    <w:rsid w:val="00440F4A"/>
    <w:rsid w:val="00442C2C"/>
    <w:rsid w:val="00443205"/>
    <w:rsid w:val="004433DB"/>
    <w:rsid w:val="00443880"/>
    <w:rsid w:val="00443B9F"/>
    <w:rsid w:val="0044472C"/>
    <w:rsid w:val="00444DA7"/>
    <w:rsid w:val="004455EB"/>
    <w:rsid w:val="00445853"/>
    <w:rsid w:val="00446565"/>
    <w:rsid w:val="00450B9F"/>
    <w:rsid w:val="00451EFC"/>
    <w:rsid w:val="00452A12"/>
    <w:rsid w:val="00453B00"/>
    <w:rsid w:val="0045427B"/>
    <w:rsid w:val="00454B96"/>
    <w:rsid w:val="0045534E"/>
    <w:rsid w:val="00456D3E"/>
    <w:rsid w:val="004600CF"/>
    <w:rsid w:val="00460803"/>
    <w:rsid w:val="00460AC8"/>
    <w:rsid w:val="004613CD"/>
    <w:rsid w:val="00461408"/>
    <w:rsid w:val="0046143E"/>
    <w:rsid w:val="00461C4C"/>
    <w:rsid w:val="00462DBD"/>
    <w:rsid w:val="00462EC3"/>
    <w:rsid w:val="0046365F"/>
    <w:rsid w:val="00463CB8"/>
    <w:rsid w:val="00465521"/>
    <w:rsid w:val="0046567C"/>
    <w:rsid w:val="00465FD4"/>
    <w:rsid w:val="00466AC2"/>
    <w:rsid w:val="00466C97"/>
    <w:rsid w:val="00466D0C"/>
    <w:rsid w:val="004677C7"/>
    <w:rsid w:val="00467A1A"/>
    <w:rsid w:val="00467A83"/>
    <w:rsid w:val="00467C70"/>
    <w:rsid w:val="00467F17"/>
    <w:rsid w:val="004704F1"/>
    <w:rsid w:val="004706D1"/>
    <w:rsid w:val="004733E6"/>
    <w:rsid w:val="00473C34"/>
    <w:rsid w:val="0047515F"/>
    <w:rsid w:val="004764CB"/>
    <w:rsid w:val="00477210"/>
    <w:rsid w:val="00481282"/>
    <w:rsid w:val="00481822"/>
    <w:rsid w:val="0048244C"/>
    <w:rsid w:val="00482B5D"/>
    <w:rsid w:val="00482DCC"/>
    <w:rsid w:val="00482DF9"/>
    <w:rsid w:val="004832B9"/>
    <w:rsid w:val="00483C9C"/>
    <w:rsid w:val="00483E75"/>
    <w:rsid w:val="004849C0"/>
    <w:rsid w:val="004859FC"/>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1CED"/>
    <w:rsid w:val="004A1D08"/>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515D"/>
    <w:rsid w:val="004B646C"/>
    <w:rsid w:val="004B76DB"/>
    <w:rsid w:val="004C02DF"/>
    <w:rsid w:val="004C0C8E"/>
    <w:rsid w:val="004C18DF"/>
    <w:rsid w:val="004C208F"/>
    <w:rsid w:val="004C2180"/>
    <w:rsid w:val="004C4E0E"/>
    <w:rsid w:val="004C55B1"/>
    <w:rsid w:val="004C5F08"/>
    <w:rsid w:val="004C69B4"/>
    <w:rsid w:val="004C710A"/>
    <w:rsid w:val="004C7131"/>
    <w:rsid w:val="004D004B"/>
    <w:rsid w:val="004D0540"/>
    <w:rsid w:val="004D1346"/>
    <w:rsid w:val="004D1B63"/>
    <w:rsid w:val="004D1F0F"/>
    <w:rsid w:val="004D3156"/>
    <w:rsid w:val="004D3906"/>
    <w:rsid w:val="004D49F7"/>
    <w:rsid w:val="004D4D2A"/>
    <w:rsid w:val="004D659D"/>
    <w:rsid w:val="004D7360"/>
    <w:rsid w:val="004D737B"/>
    <w:rsid w:val="004E1AAD"/>
    <w:rsid w:val="004E35B5"/>
    <w:rsid w:val="004E3F23"/>
    <w:rsid w:val="004E54CB"/>
    <w:rsid w:val="004E6D36"/>
    <w:rsid w:val="004E791C"/>
    <w:rsid w:val="004F1792"/>
    <w:rsid w:val="004F1BC0"/>
    <w:rsid w:val="004F1C1B"/>
    <w:rsid w:val="004F20D0"/>
    <w:rsid w:val="004F2D4D"/>
    <w:rsid w:val="004F34C2"/>
    <w:rsid w:val="004F419B"/>
    <w:rsid w:val="004F44C8"/>
    <w:rsid w:val="004F476B"/>
    <w:rsid w:val="004F56BF"/>
    <w:rsid w:val="004F5A60"/>
    <w:rsid w:val="004F7B38"/>
    <w:rsid w:val="0050085D"/>
    <w:rsid w:val="00500AD5"/>
    <w:rsid w:val="00501A7D"/>
    <w:rsid w:val="00501E3D"/>
    <w:rsid w:val="005030DD"/>
    <w:rsid w:val="00503217"/>
    <w:rsid w:val="00503330"/>
    <w:rsid w:val="005034B3"/>
    <w:rsid w:val="00503730"/>
    <w:rsid w:val="005038B9"/>
    <w:rsid w:val="00503D5F"/>
    <w:rsid w:val="00503FCB"/>
    <w:rsid w:val="00504C11"/>
    <w:rsid w:val="005051CD"/>
    <w:rsid w:val="00505776"/>
    <w:rsid w:val="0050661C"/>
    <w:rsid w:val="00507697"/>
    <w:rsid w:val="0050793D"/>
    <w:rsid w:val="00507DCA"/>
    <w:rsid w:val="00507EE5"/>
    <w:rsid w:val="0051018D"/>
    <w:rsid w:val="005106F4"/>
    <w:rsid w:val="00512B4B"/>
    <w:rsid w:val="005137AE"/>
    <w:rsid w:val="005140DE"/>
    <w:rsid w:val="0051494F"/>
    <w:rsid w:val="005150B1"/>
    <w:rsid w:val="0051523F"/>
    <w:rsid w:val="00515F68"/>
    <w:rsid w:val="00516079"/>
    <w:rsid w:val="00516354"/>
    <w:rsid w:val="00516E31"/>
    <w:rsid w:val="005177D9"/>
    <w:rsid w:val="0052135E"/>
    <w:rsid w:val="00521B2E"/>
    <w:rsid w:val="00523325"/>
    <w:rsid w:val="005236E8"/>
    <w:rsid w:val="00523EAC"/>
    <w:rsid w:val="00524429"/>
    <w:rsid w:val="00524DED"/>
    <w:rsid w:val="00524EC7"/>
    <w:rsid w:val="00524FAB"/>
    <w:rsid w:val="00524FC3"/>
    <w:rsid w:val="005256A8"/>
    <w:rsid w:val="00525913"/>
    <w:rsid w:val="00526CA3"/>
    <w:rsid w:val="00527A79"/>
    <w:rsid w:val="00527E44"/>
    <w:rsid w:val="00530071"/>
    <w:rsid w:val="005305CB"/>
    <w:rsid w:val="00530901"/>
    <w:rsid w:val="00530C60"/>
    <w:rsid w:val="00530DDA"/>
    <w:rsid w:val="00530E55"/>
    <w:rsid w:val="00530F51"/>
    <w:rsid w:val="0053110F"/>
    <w:rsid w:val="005316F0"/>
    <w:rsid w:val="0053290E"/>
    <w:rsid w:val="00532EA0"/>
    <w:rsid w:val="005333D0"/>
    <w:rsid w:val="00533FAB"/>
    <w:rsid w:val="00534946"/>
    <w:rsid w:val="00535390"/>
    <w:rsid w:val="005355B0"/>
    <w:rsid w:val="00536AB5"/>
    <w:rsid w:val="00540C87"/>
    <w:rsid w:val="00540EBF"/>
    <w:rsid w:val="005417C1"/>
    <w:rsid w:val="005417D0"/>
    <w:rsid w:val="005419CC"/>
    <w:rsid w:val="00541EFC"/>
    <w:rsid w:val="00541F62"/>
    <w:rsid w:val="00542356"/>
    <w:rsid w:val="00543119"/>
    <w:rsid w:val="00543844"/>
    <w:rsid w:val="005442AD"/>
    <w:rsid w:val="005450C1"/>
    <w:rsid w:val="005454DA"/>
    <w:rsid w:val="00546C82"/>
    <w:rsid w:val="00546F9A"/>
    <w:rsid w:val="0054723B"/>
    <w:rsid w:val="0054737D"/>
    <w:rsid w:val="00550C4D"/>
    <w:rsid w:val="005525F5"/>
    <w:rsid w:val="005539AA"/>
    <w:rsid w:val="00553E6B"/>
    <w:rsid w:val="00554D15"/>
    <w:rsid w:val="00555137"/>
    <w:rsid w:val="00555427"/>
    <w:rsid w:val="0055774D"/>
    <w:rsid w:val="0055778A"/>
    <w:rsid w:val="00560215"/>
    <w:rsid w:val="00560D0C"/>
    <w:rsid w:val="00560D19"/>
    <w:rsid w:val="005615FD"/>
    <w:rsid w:val="005621A7"/>
    <w:rsid w:val="00562A74"/>
    <w:rsid w:val="00562F1A"/>
    <w:rsid w:val="0056326B"/>
    <w:rsid w:val="005635FF"/>
    <w:rsid w:val="00563B16"/>
    <w:rsid w:val="005640A5"/>
    <w:rsid w:val="005645CC"/>
    <w:rsid w:val="00564DCD"/>
    <w:rsid w:val="00564EDB"/>
    <w:rsid w:val="00566F9A"/>
    <w:rsid w:val="00567C46"/>
    <w:rsid w:val="00572572"/>
    <w:rsid w:val="00573363"/>
    <w:rsid w:val="00573C15"/>
    <w:rsid w:val="00573D35"/>
    <w:rsid w:val="0057459A"/>
    <w:rsid w:val="00575A11"/>
    <w:rsid w:val="00575D83"/>
    <w:rsid w:val="005766B0"/>
    <w:rsid w:val="0057693B"/>
    <w:rsid w:val="00576D6D"/>
    <w:rsid w:val="00577204"/>
    <w:rsid w:val="005809BD"/>
    <w:rsid w:val="005810A5"/>
    <w:rsid w:val="00581146"/>
    <w:rsid w:val="0058141F"/>
    <w:rsid w:val="00581426"/>
    <w:rsid w:val="005819A8"/>
    <w:rsid w:val="00583266"/>
    <w:rsid w:val="00583E50"/>
    <w:rsid w:val="005842E6"/>
    <w:rsid w:val="0058438D"/>
    <w:rsid w:val="005844C6"/>
    <w:rsid w:val="0058469A"/>
    <w:rsid w:val="0058488C"/>
    <w:rsid w:val="005869FB"/>
    <w:rsid w:val="00586AA1"/>
    <w:rsid w:val="00587726"/>
    <w:rsid w:val="005916D7"/>
    <w:rsid w:val="005935E3"/>
    <w:rsid w:val="00593C53"/>
    <w:rsid w:val="005973B6"/>
    <w:rsid w:val="005975AC"/>
    <w:rsid w:val="005A0EEA"/>
    <w:rsid w:val="005A15CD"/>
    <w:rsid w:val="005A16C1"/>
    <w:rsid w:val="005A199D"/>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D34"/>
    <w:rsid w:val="005B3146"/>
    <w:rsid w:val="005B3AAA"/>
    <w:rsid w:val="005B443E"/>
    <w:rsid w:val="005B67B4"/>
    <w:rsid w:val="005B71D1"/>
    <w:rsid w:val="005B7836"/>
    <w:rsid w:val="005C0283"/>
    <w:rsid w:val="005C046A"/>
    <w:rsid w:val="005C1A18"/>
    <w:rsid w:val="005C1B7D"/>
    <w:rsid w:val="005C2ECF"/>
    <w:rsid w:val="005C3255"/>
    <w:rsid w:val="005C3707"/>
    <w:rsid w:val="005C3EFA"/>
    <w:rsid w:val="005C62ED"/>
    <w:rsid w:val="005C6885"/>
    <w:rsid w:val="005D11E5"/>
    <w:rsid w:val="005D1A9D"/>
    <w:rsid w:val="005D2C3C"/>
    <w:rsid w:val="005D2F2A"/>
    <w:rsid w:val="005D3635"/>
    <w:rsid w:val="005D42B6"/>
    <w:rsid w:val="005D51A6"/>
    <w:rsid w:val="005D57DF"/>
    <w:rsid w:val="005D58B5"/>
    <w:rsid w:val="005D59C3"/>
    <w:rsid w:val="005D6A82"/>
    <w:rsid w:val="005D7DA3"/>
    <w:rsid w:val="005E0609"/>
    <w:rsid w:val="005E0A9B"/>
    <w:rsid w:val="005E3060"/>
    <w:rsid w:val="005E479D"/>
    <w:rsid w:val="005E648B"/>
    <w:rsid w:val="005E6FA1"/>
    <w:rsid w:val="005E703F"/>
    <w:rsid w:val="005F01B4"/>
    <w:rsid w:val="005F0BB3"/>
    <w:rsid w:val="005F1BE8"/>
    <w:rsid w:val="005F2DC1"/>
    <w:rsid w:val="005F3D74"/>
    <w:rsid w:val="005F3E39"/>
    <w:rsid w:val="005F5499"/>
    <w:rsid w:val="005F5E9E"/>
    <w:rsid w:val="005F65A7"/>
    <w:rsid w:val="005F68B6"/>
    <w:rsid w:val="005F6AEB"/>
    <w:rsid w:val="005F7225"/>
    <w:rsid w:val="005F7C62"/>
    <w:rsid w:val="005F7CE1"/>
    <w:rsid w:val="0060040F"/>
    <w:rsid w:val="00601BE1"/>
    <w:rsid w:val="00602102"/>
    <w:rsid w:val="00602BE1"/>
    <w:rsid w:val="00603288"/>
    <w:rsid w:val="00603309"/>
    <w:rsid w:val="00603340"/>
    <w:rsid w:val="00603D8A"/>
    <w:rsid w:val="00603E03"/>
    <w:rsid w:val="00604925"/>
    <w:rsid w:val="00606A6A"/>
    <w:rsid w:val="00606BB9"/>
    <w:rsid w:val="00606C42"/>
    <w:rsid w:val="00606CAB"/>
    <w:rsid w:val="00606DBB"/>
    <w:rsid w:val="00607F6E"/>
    <w:rsid w:val="006103B7"/>
    <w:rsid w:val="00610A65"/>
    <w:rsid w:val="00610A84"/>
    <w:rsid w:val="00611050"/>
    <w:rsid w:val="00612EA9"/>
    <w:rsid w:val="006146D3"/>
    <w:rsid w:val="00615D57"/>
    <w:rsid w:val="00616AFD"/>
    <w:rsid w:val="00617064"/>
    <w:rsid w:val="00617251"/>
    <w:rsid w:val="0062036A"/>
    <w:rsid w:val="00620ED1"/>
    <w:rsid w:val="006212FB"/>
    <w:rsid w:val="00622403"/>
    <w:rsid w:val="00622D8D"/>
    <w:rsid w:val="00624432"/>
    <w:rsid w:val="00624A7D"/>
    <w:rsid w:val="00624FA4"/>
    <w:rsid w:val="00625C32"/>
    <w:rsid w:val="00626B4C"/>
    <w:rsid w:val="0062716A"/>
    <w:rsid w:val="006273D8"/>
    <w:rsid w:val="00627E1A"/>
    <w:rsid w:val="00630160"/>
    <w:rsid w:val="00631013"/>
    <w:rsid w:val="006317C3"/>
    <w:rsid w:val="00632205"/>
    <w:rsid w:val="00632608"/>
    <w:rsid w:val="006328BE"/>
    <w:rsid w:val="006330A8"/>
    <w:rsid w:val="00633261"/>
    <w:rsid w:val="00633BB0"/>
    <w:rsid w:val="00633F12"/>
    <w:rsid w:val="0063432D"/>
    <w:rsid w:val="00634DC5"/>
    <w:rsid w:val="00634E2E"/>
    <w:rsid w:val="00635C36"/>
    <w:rsid w:val="0063613B"/>
    <w:rsid w:val="006364CF"/>
    <w:rsid w:val="00636BF0"/>
    <w:rsid w:val="00640890"/>
    <w:rsid w:val="00641AC8"/>
    <w:rsid w:val="00642E5E"/>
    <w:rsid w:val="00643550"/>
    <w:rsid w:val="006438EC"/>
    <w:rsid w:val="00644556"/>
    <w:rsid w:val="00644C7A"/>
    <w:rsid w:val="00646174"/>
    <w:rsid w:val="00646358"/>
    <w:rsid w:val="00646708"/>
    <w:rsid w:val="00647610"/>
    <w:rsid w:val="00647BE4"/>
    <w:rsid w:val="00647F7B"/>
    <w:rsid w:val="00650329"/>
    <w:rsid w:val="00650535"/>
    <w:rsid w:val="006508B7"/>
    <w:rsid w:val="00651387"/>
    <w:rsid w:val="006523F0"/>
    <w:rsid w:val="00653074"/>
    <w:rsid w:val="0065378F"/>
    <w:rsid w:val="00653A79"/>
    <w:rsid w:val="00656DE1"/>
    <w:rsid w:val="00657209"/>
    <w:rsid w:val="006613DE"/>
    <w:rsid w:val="00662A68"/>
    <w:rsid w:val="00662C14"/>
    <w:rsid w:val="0066300C"/>
    <w:rsid w:val="006630AE"/>
    <w:rsid w:val="00663913"/>
    <w:rsid w:val="00664D0E"/>
    <w:rsid w:val="00664E30"/>
    <w:rsid w:val="0066534C"/>
    <w:rsid w:val="00666045"/>
    <w:rsid w:val="006677BB"/>
    <w:rsid w:val="006679CF"/>
    <w:rsid w:val="00667EF5"/>
    <w:rsid w:val="0067038D"/>
    <w:rsid w:val="0067125B"/>
    <w:rsid w:val="00671D41"/>
    <w:rsid w:val="006734C6"/>
    <w:rsid w:val="006734E7"/>
    <w:rsid w:val="00673859"/>
    <w:rsid w:val="0067509B"/>
    <w:rsid w:val="00676E95"/>
    <w:rsid w:val="006773BB"/>
    <w:rsid w:val="00677543"/>
    <w:rsid w:val="006777D6"/>
    <w:rsid w:val="006778CD"/>
    <w:rsid w:val="00677E56"/>
    <w:rsid w:val="00680A5B"/>
    <w:rsid w:val="00681CE4"/>
    <w:rsid w:val="006828F7"/>
    <w:rsid w:val="00682B9D"/>
    <w:rsid w:val="00682F5F"/>
    <w:rsid w:val="006836F3"/>
    <w:rsid w:val="00683AA1"/>
    <w:rsid w:val="00683AAC"/>
    <w:rsid w:val="00684B6E"/>
    <w:rsid w:val="00685118"/>
    <w:rsid w:val="006862A5"/>
    <w:rsid w:val="006863FF"/>
    <w:rsid w:val="0068737D"/>
    <w:rsid w:val="0068760E"/>
    <w:rsid w:val="00687A01"/>
    <w:rsid w:val="00687DB4"/>
    <w:rsid w:val="00687F75"/>
    <w:rsid w:val="0069164E"/>
    <w:rsid w:val="006917EA"/>
    <w:rsid w:val="00691CE3"/>
    <w:rsid w:val="0069354D"/>
    <w:rsid w:val="00693FEE"/>
    <w:rsid w:val="006942E3"/>
    <w:rsid w:val="00694FF3"/>
    <w:rsid w:val="00695440"/>
    <w:rsid w:val="00695A7E"/>
    <w:rsid w:val="0069631E"/>
    <w:rsid w:val="006964CA"/>
    <w:rsid w:val="006968D5"/>
    <w:rsid w:val="00696DB4"/>
    <w:rsid w:val="0069748A"/>
    <w:rsid w:val="006978EE"/>
    <w:rsid w:val="0069791F"/>
    <w:rsid w:val="006A028B"/>
    <w:rsid w:val="006A15D2"/>
    <w:rsid w:val="006A1792"/>
    <w:rsid w:val="006A19C5"/>
    <w:rsid w:val="006A1C7A"/>
    <w:rsid w:val="006A20B8"/>
    <w:rsid w:val="006A241F"/>
    <w:rsid w:val="006A4614"/>
    <w:rsid w:val="006A4961"/>
    <w:rsid w:val="006A5694"/>
    <w:rsid w:val="006A5C27"/>
    <w:rsid w:val="006B03A6"/>
    <w:rsid w:val="006B044B"/>
    <w:rsid w:val="006B0B81"/>
    <w:rsid w:val="006B0E8C"/>
    <w:rsid w:val="006B0FFD"/>
    <w:rsid w:val="006B14DA"/>
    <w:rsid w:val="006B1B47"/>
    <w:rsid w:val="006B20E1"/>
    <w:rsid w:val="006B2722"/>
    <w:rsid w:val="006B3AA3"/>
    <w:rsid w:val="006B7549"/>
    <w:rsid w:val="006C0F84"/>
    <w:rsid w:val="006C0FEE"/>
    <w:rsid w:val="006C1317"/>
    <w:rsid w:val="006C2222"/>
    <w:rsid w:val="006C22C7"/>
    <w:rsid w:val="006C27E6"/>
    <w:rsid w:val="006C4F6B"/>
    <w:rsid w:val="006C5847"/>
    <w:rsid w:val="006C739F"/>
    <w:rsid w:val="006D16D6"/>
    <w:rsid w:val="006D1793"/>
    <w:rsid w:val="006D17CE"/>
    <w:rsid w:val="006D1EDE"/>
    <w:rsid w:val="006D1F71"/>
    <w:rsid w:val="006D20FF"/>
    <w:rsid w:val="006D29EB"/>
    <w:rsid w:val="006D2EB2"/>
    <w:rsid w:val="006D2FBC"/>
    <w:rsid w:val="006D3CDB"/>
    <w:rsid w:val="006D46B5"/>
    <w:rsid w:val="006D4928"/>
    <w:rsid w:val="006D53CE"/>
    <w:rsid w:val="006D5B27"/>
    <w:rsid w:val="006D689C"/>
    <w:rsid w:val="006D6BCE"/>
    <w:rsid w:val="006D7C56"/>
    <w:rsid w:val="006D7CB0"/>
    <w:rsid w:val="006E0689"/>
    <w:rsid w:val="006E0702"/>
    <w:rsid w:val="006E0829"/>
    <w:rsid w:val="006E0A07"/>
    <w:rsid w:val="006E2110"/>
    <w:rsid w:val="006E2B18"/>
    <w:rsid w:val="006E2DAC"/>
    <w:rsid w:val="006E2F6F"/>
    <w:rsid w:val="006E39BF"/>
    <w:rsid w:val="006E3B67"/>
    <w:rsid w:val="006E483C"/>
    <w:rsid w:val="006E61AD"/>
    <w:rsid w:val="006F05CC"/>
    <w:rsid w:val="006F0BD6"/>
    <w:rsid w:val="006F2671"/>
    <w:rsid w:val="006F28D0"/>
    <w:rsid w:val="006F3FC1"/>
    <w:rsid w:val="006F40E8"/>
    <w:rsid w:val="006F674F"/>
    <w:rsid w:val="006F6BAF"/>
    <w:rsid w:val="006F78E5"/>
    <w:rsid w:val="00700459"/>
    <w:rsid w:val="00704C14"/>
    <w:rsid w:val="00705FE8"/>
    <w:rsid w:val="00705FFB"/>
    <w:rsid w:val="0070655C"/>
    <w:rsid w:val="0070717E"/>
    <w:rsid w:val="00711147"/>
    <w:rsid w:val="00711709"/>
    <w:rsid w:val="0071190F"/>
    <w:rsid w:val="007128C4"/>
    <w:rsid w:val="00712A56"/>
    <w:rsid w:val="00712DC2"/>
    <w:rsid w:val="00713776"/>
    <w:rsid w:val="00713DEE"/>
    <w:rsid w:val="007142AD"/>
    <w:rsid w:val="00714A19"/>
    <w:rsid w:val="00714B47"/>
    <w:rsid w:val="00714EF7"/>
    <w:rsid w:val="007155A2"/>
    <w:rsid w:val="00715E63"/>
    <w:rsid w:val="0072125D"/>
    <w:rsid w:val="007214D5"/>
    <w:rsid w:val="00721FC9"/>
    <w:rsid w:val="00722D0E"/>
    <w:rsid w:val="00722F0B"/>
    <w:rsid w:val="00724A61"/>
    <w:rsid w:val="00724F4C"/>
    <w:rsid w:val="0072560B"/>
    <w:rsid w:val="00727541"/>
    <w:rsid w:val="00730062"/>
    <w:rsid w:val="007309F5"/>
    <w:rsid w:val="007312E6"/>
    <w:rsid w:val="007313F9"/>
    <w:rsid w:val="00734C26"/>
    <w:rsid w:val="00734E88"/>
    <w:rsid w:val="00737342"/>
    <w:rsid w:val="007373FB"/>
    <w:rsid w:val="00737498"/>
    <w:rsid w:val="007376A3"/>
    <w:rsid w:val="0074071B"/>
    <w:rsid w:val="00740801"/>
    <w:rsid w:val="00740ED2"/>
    <w:rsid w:val="007417E2"/>
    <w:rsid w:val="00741C8D"/>
    <w:rsid w:val="00741FC8"/>
    <w:rsid w:val="00743111"/>
    <w:rsid w:val="00744121"/>
    <w:rsid w:val="007442C6"/>
    <w:rsid w:val="00744AC4"/>
    <w:rsid w:val="00745DBD"/>
    <w:rsid w:val="007461F7"/>
    <w:rsid w:val="00746875"/>
    <w:rsid w:val="007469B8"/>
    <w:rsid w:val="00746A69"/>
    <w:rsid w:val="00746D3D"/>
    <w:rsid w:val="00747827"/>
    <w:rsid w:val="00750158"/>
    <w:rsid w:val="00751DA0"/>
    <w:rsid w:val="00752676"/>
    <w:rsid w:val="007528EE"/>
    <w:rsid w:val="00752B1D"/>
    <w:rsid w:val="00752C91"/>
    <w:rsid w:val="00753469"/>
    <w:rsid w:val="00753D9D"/>
    <w:rsid w:val="00756620"/>
    <w:rsid w:val="007566DF"/>
    <w:rsid w:val="0075695E"/>
    <w:rsid w:val="00756FA3"/>
    <w:rsid w:val="0075732E"/>
    <w:rsid w:val="00757D2D"/>
    <w:rsid w:val="00757D2E"/>
    <w:rsid w:val="007601AB"/>
    <w:rsid w:val="0076058D"/>
    <w:rsid w:val="00760BD6"/>
    <w:rsid w:val="007610C3"/>
    <w:rsid w:val="007624D7"/>
    <w:rsid w:val="007627D2"/>
    <w:rsid w:val="007631C3"/>
    <w:rsid w:val="00763D29"/>
    <w:rsid w:val="0076465D"/>
    <w:rsid w:val="007648AD"/>
    <w:rsid w:val="007653D7"/>
    <w:rsid w:val="0076553B"/>
    <w:rsid w:val="00765F7C"/>
    <w:rsid w:val="007665A1"/>
    <w:rsid w:val="007665CF"/>
    <w:rsid w:val="00766D02"/>
    <w:rsid w:val="0076767D"/>
    <w:rsid w:val="00767A76"/>
    <w:rsid w:val="00770255"/>
    <w:rsid w:val="00770AE6"/>
    <w:rsid w:val="00771779"/>
    <w:rsid w:val="00772101"/>
    <w:rsid w:val="00772C86"/>
    <w:rsid w:val="00773644"/>
    <w:rsid w:val="00773E7F"/>
    <w:rsid w:val="007754A9"/>
    <w:rsid w:val="00776264"/>
    <w:rsid w:val="0078006C"/>
    <w:rsid w:val="0078204B"/>
    <w:rsid w:val="007823E5"/>
    <w:rsid w:val="00783474"/>
    <w:rsid w:val="0078366C"/>
    <w:rsid w:val="0078415D"/>
    <w:rsid w:val="007843B5"/>
    <w:rsid w:val="00784919"/>
    <w:rsid w:val="00784C05"/>
    <w:rsid w:val="007857FC"/>
    <w:rsid w:val="00785AAE"/>
    <w:rsid w:val="00785AB3"/>
    <w:rsid w:val="0078759B"/>
    <w:rsid w:val="007909E8"/>
    <w:rsid w:val="00791001"/>
    <w:rsid w:val="007929F2"/>
    <w:rsid w:val="00792DAA"/>
    <w:rsid w:val="00794184"/>
    <w:rsid w:val="00794BA8"/>
    <w:rsid w:val="00794C2D"/>
    <w:rsid w:val="00794F34"/>
    <w:rsid w:val="007950B1"/>
    <w:rsid w:val="0079534B"/>
    <w:rsid w:val="007956B3"/>
    <w:rsid w:val="0079601D"/>
    <w:rsid w:val="00797783"/>
    <w:rsid w:val="007A0620"/>
    <w:rsid w:val="007A066B"/>
    <w:rsid w:val="007A0A8F"/>
    <w:rsid w:val="007A14AD"/>
    <w:rsid w:val="007A1581"/>
    <w:rsid w:val="007A16C4"/>
    <w:rsid w:val="007A261C"/>
    <w:rsid w:val="007A26C6"/>
    <w:rsid w:val="007A2A37"/>
    <w:rsid w:val="007A33A2"/>
    <w:rsid w:val="007A34D5"/>
    <w:rsid w:val="007A47F2"/>
    <w:rsid w:val="007A610C"/>
    <w:rsid w:val="007B0A33"/>
    <w:rsid w:val="007B0BDD"/>
    <w:rsid w:val="007B13DD"/>
    <w:rsid w:val="007B21B8"/>
    <w:rsid w:val="007B25FE"/>
    <w:rsid w:val="007B28F4"/>
    <w:rsid w:val="007B2938"/>
    <w:rsid w:val="007B32DA"/>
    <w:rsid w:val="007B4250"/>
    <w:rsid w:val="007B4601"/>
    <w:rsid w:val="007B4CD6"/>
    <w:rsid w:val="007B5278"/>
    <w:rsid w:val="007B568F"/>
    <w:rsid w:val="007B5A00"/>
    <w:rsid w:val="007B66A6"/>
    <w:rsid w:val="007B6B72"/>
    <w:rsid w:val="007B6DE6"/>
    <w:rsid w:val="007B7D9D"/>
    <w:rsid w:val="007C08EA"/>
    <w:rsid w:val="007C1943"/>
    <w:rsid w:val="007C1DD1"/>
    <w:rsid w:val="007C23FC"/>
    <w:rsid w:val="007C3B68"/>
    <w:rsid w:val="007C4091"/>
    <w:rsid w:val="007C490B"/>
    <w:rsid w:val="007C5288"/>
    <w:rsid w:val="007C6E84"/>
    <w:rsid w:val="007D0086"/>
    <w:rsid w:val="007D145C"/>
    <w:rsid w:val="007D16E4"/>
    <w:rsid w:val="007D2589"/>
    <w:rsid w:val="007D35AD"/>
    <w:rsid w:val="007D433E"/>
    <w:rsid w:val="007D5814"/>
    <w:rsid w:val="007D5FC6"/>
    <w:rsid w:val="007D6A73"/>
    <w:rsid w:val="007D6B22"/>
    <w:rsid w:val="007D7DDA"/>
    <w:rsid w:val="007E08DC"/>
    <w:rsid w:val="007E0B03"/>
    <w:rsid w:val="007E0D43"/>
    <w:rsid w:val="007E14C6"/>
    <w:rsid w:val="007E1737"/>
    <w:rsid w:val="007E2D6E"/>
    <w:rsid w:val="007E3403"/>
    <w:rsid w:val="007E3871"/>
    <w:rsid w:val="007E4109"/>
    <w:rsid w:val="007E5E62"/>
    <w:rsid w:val="007E5F48"/>
    <w:rsid w:val="007E69C2"/>
    <w:rsid w:val="007E727F"/>
    <w:rsid w:val="007E7EFB"/>
    <w:rsid w:val="007F11EF"/>
    <w:rsid w:val="007F1688"/>
    <w:rsid w:val="007F1E3D"/>
    <w:rsid w:val="007F22BA"/>
    <w:rsid w:val="007F22E6"/>
    <w:rsid w:val="007F270A"/>
    <w:rsid w:val="007F2ED7"/>
    <w:rsid w:val="007F3826"/>
    <w:rsid w:val="007F3B73"/>
    <w:rsid w:val="007F459B"/>
    <w:rsid w:val="007F4AC9"/>
    <w:rsid w:val="007F61E3"/>
    <w:rsid w:val="007F69D3"/>
    <w:rsid w:val="007F6C0F"/>
    <w:rsid w:val="007F7480"/>
    <w:rsid w:val="00800DF7"/>
    <w:rsid w:val="0080197A"/>
    <w:rsid w:val="00802288"/>
    <w:rsid w:val="008026C9"/>
    <w:rsid w:val="008028C3"/>
    <w:rsid w:val="00802BAB"/>
    <w:rsid w:val="008044A7"/>
    <w:rsid w:val="008046B2"/>
    <w:rsid w:val="008047B2"/>
    <w:rsid w:val="00805158"/>
    <w:rsid w:val="00805934"/>
    <w:rsid w:val="0080598C"/>
    <w:rsid w:val="00805FCC"/>
    <w:rsid w:val="0080641F"/>
    <w:rsid w:val="0080702E"/>
    <w:rsid w:val="00807FD7"/>
    <w:rsid w:val="00811173"/>
    <w:rsid w:val="00811992"/>
    <w:rsid w:val="00812B18"/>
    <w:rsid w:val="0081346C"/>
    <w:rsid w:val="00813BFA"/>
    <w:rsid w:val="00814008"/>
    <w:rsid w:val="00814B3C"/>
    <w:rsid w:val="008150D0"/>
    <w:rsid w:val="00816510"/>
    <w:rsid w:val="0081680D"/>
    <w:rsid w:val="008176F0"/>
    <w:rsid w:val="00820628"/>
    <w:rsid w:val="00820719"/>
    <w:rsid w:val="00820789"/>
    <w:rsid w:val="00820826"/>
    <w:rsid w:val="00820FD4"/>
    <w:rsid w:val="008213F8"/>
    <w:rsid w:val="008229F3"/>
    <w:rsid w:val="00822E43"/>
    <w:rsid w:val="008242CB"/>
    <w:rsid w:val="00824744"/>
    <w:rsid w:val="0082500A"/>
    <w:rsid w:val="008252D5"/>
    <w:rsid w:val="008253E3"/>
    <w:rsid w:val="008258B1"/>
    <w:rsid w:val="00825B9C"/>
    <w:rsid w:val="00827DB5"/>
    <w:rsid w:val="00827E56"/>
    <w:rsid w:val="0083054E"/>
    <w:rsid w:val="00830687"/>
    <w:rsid w:val="0083069A"/>
    <w:rsid w:val="00830FE5"/>
    <w:rsid w:val="00831B68"/>
    <w:rsid w:val="00831EA8"/>
    <w:rsid w:val="00832487"/>
    <w:rsid w:val="0083293B"/>
    <w:rsid w:val="008331F4"/>
    <w:rsid w:val="0083336E"/>
    <w:rsid w:val="0083349B"/>
    <w:rsid w:val="008340D0"/>
    <w:rsid w:val="00835514"/>
    <w:rsid w:val="008364C7"/>
    <w:rsid w:val="00836C42"/>
    <w:rsid w:val="0083762D"/>
    <w:rsid w:val="008408E8"/>
    <w:rsid w:val="00841B37"/>
    <w:rsid w:val="008425D1"/>
    <w:rsid w:val="00842C0A"/>
    <w:rsid w:val="00842C2F"/>
    <w:rsid w:val="00842DC3"/>
    <w:rsid w:val="00843346"/>
    <w:rsid w:val="00843464"/>
    <w:rsid w:val="00843817"/>
    <w:rsid w:val="00843BCD"/>
    <w:rsid w:val="0084404D"/>
    <w:rsid w:val="008446C0"/>
    <w:rsid w:val="008461CA"/>
    <w:rsid w:val="0084652D"/>
    <w:rsid w:val="00846E53"/>
    <w:rsid w:val="00847D78"/>
    <w:rsid w:val="008539C0"/>
    <w:rsid w:val="00853F9F"/>
    <w:rsid w:val="00854F44"/>
    <w:rsid w:val="00855105"/>
    <w:rsid w:val="00856491"/>
    <w:rsid w:val="008568FE"/>
    <w:rsid w:val="00856CB1"/>
    <w:rsid w:val="008570ED"/>
    <w:rsid w:val="00857CBF"/>
    <w:rsid w:val="00857D3F"/>
    <w:rsid w:val="008612C3"/>
    <w:rsid w:val="0086144B"/>
    <w:rsid w:val="00861E99"/>
    <w:rsid w:val="008621EB"/>
    <w:rsid w:val="0086289C"/>
    <w:rsid w:val="00863672"/>
    <w:rsid w:val="00864610"/>
    <w:rsid w:val="0086498E"/>
    <w:rsid w:val="008653C2"/>
    <w:rsid w:val="00865793"/>
    <w:rsid w:val="0086609D"/>
    <w:rsid w:val="00866431"/>
    <w:rsid w:val="00866445"/>
    <w:rsid w:val="00870D5B"/>
    <w:rsid w:val="00870D6C"/>
    <w:rsid w:val="00871799"/>
    <w:rsid w:val="008725D2"/>
    <w:rsid w:val="00872730"/>
    <w:rsid w:val="008728D9"/>
    <w:rsid w:val="00874123"/>
    <w:rsid w:val="00874477"/>
    <w:rsid w:val="0087467A"/>
    <w:rsid w:val="00875CD1"/>
    <w:rsid w:val="00876D2A"/>
    <w:rsid w:val="00877784"/>
    <w:rsid w:val="00880DFE"/>
    <w:rsid w:val="008834D1"/>
    <w:rsid w:val="008841C6"/>
    <w:rsid w:val="00884A40"/>
    <w:rsid w:val="00884AE5"/>
    <w:rsid w:val="00884C5D"/>
    <w:rsid w:val="00885313"/>
    <w:rsid w:val="0088556E"/>
    <w:rsid w:val="00885E15"/>
    <w:rsid w:val="00885F71"/>
    <w:rsid w:val="00886BEA"/>
    <w:rsid w:val="00887B32"/>
    <w:rsid w:val="00887B43"/>
    <w:rsid w:val="00887DCA"/>
    <w:rsid w:val="008906FF"/>
    <w:rsid w:val="008908BE"/>
    <w:rsid w:val="00890D94"/>
    <w:rsid w:val="00890FA1"/>
    <w:rsid w:val="008910E1"/>
    <w:rsid w:val="00891335"/>
    <w:rsid w:val="0089342E"/>
    <w:rsid w:val="00894A54"/>
    <w:rsid w:val="00894E64"/>
    <w:rsid w:val="00894F6E"/>
    <w:rsid w:val="00895B0C"/>
    <w:rsid w:val="00897203"/>
    <w:rsid w:val="008A0247"/>
    <w:rsid w:val="008A0CA2"/>
    <w:rsid w:val="008A1F46"/>
    <w:rsid w:val="008A288E"/>
    <w:rsid w:val="008A36F0"/>
    <w:rsid w:val="008A37A5"/>
    <w:rsid w:val="008A381B"/>
    <w:rsid w:val="008A3927"/>
    <w:rsid w:val="008A506A"/>
    <w:rsid w:val="008A556A"/>
    <w:rsid w:val="008A5DBB"/>
    <w:rsid w:val="008A64CE"/>
    <w:rsid w:val="008B1233"/>
    <w:rsid w:val="008B136F"/>
    <w:rsid w:val="008B149A"/>
    <w:rsid w:val="008B1E9C"/>
    <w:rsid w:val="008B26BC"/>
    <w:rsid w:val="008B29AF"/>
    <w:rsid w:val="008B423F"/>
    <w:rsid w:val="008B4D46"/>
    <w:rsid w:val="008B4E1C"/>
    <w:rsid w:val="008B56E6"/>
    <w:rsid w:val="008B642C"/>
    <w:rsid w:val="008B6431"/>
    <w:rsid w:val="008B6F2D"/>
    <w:rsid w:val="008B72C5"/>
    <w:rsid w:val="008C0108"/>
    <w:rsid w:val="008C1628"/>
    <w:rsid w:val="008C1657"/>
    <w:rsid w:val="008C1920"/>
    <w:rsid w:val="008C33AB"/>
    <w:rsid w:val="008C5E5D"/>
    <w:rsid w:val="008C63F6"/>
    <w:rsid w:val="008C7223"/>
    <w:rsid w:val="008C7550"/>
    <w:rsid w:val="008C782C"/>
    <w:rsid w:val="008D1432"/>
    <w:rsid w:val="008D1951"/>
    <w:rsid w:val="008D324E"/>
    <w:rsid w:val="008D35BC"/>
    <w:rsid w:val="008D35FC"/>
    <w:rsid w:val="008D3828"/>
    <w:rsid w:val="008D40D4"/>
    <w:rsid w:val="008D4845"/>
    <w:rsid w:val="008D4D07"/>
    <w:rsid w:val="008D58F8"/>
    <w:rsid w:val="008D5A3A"/>
    <w:rsid w:val="008D6004"/>
    <w:rsid w:val="008D62AE"/>
    <w:rsid w:val="008D730D"/>
    <w:rsid w:val="008D7883"/>
    <w:rsid w:val="008D7E51"/>
    <w:rsid w:val="008D7EAA"/>
    <w:rsid w:val="008E0918"/>
    <w:rsid w:val="008E0D9B"/>
    <w:rsid w:val="008E3144"/>
    <w:rsid w:val="008E4627"/>
    <w:rsid w:val="008E5575"/>
    <w:rsid w:val="008E55CF"/>
    <w:rsid w:val="008E5B68"/>
    <w:rsid w:val="008E5FAC"/>
    <w:rsid w:val="008E7811"/>
    <w:rsid w:val="008F068B"/>
    <w:rsid w:val="008F2882"/>
    <w:rsid w:val="008F34D9"/>
    <w:rsid w:val="008F3A9C"/>
    <w:rsid w:val="008F3F2D"/>
    <w:rsid w:val="008F40E8"/>
    <w:rsid w:val="008F4BD4"/>
    <w:rsid w:val="008F5828"/>
    <w:rsid w:val="008F6BBA"/>
    <w:rsid w:val="008F71C7"/>
    <w:rsid w:val="008F7C1F"/>
    <w:rsid w:val="009005A7"/>
    <w:rsid w:val="009014FE"/>
    <w:rsid w:val="00901A03"/>
    <w:rsid w:val="00902655"/>
    <w:rsid w:val="0090568D"/>
    <w:rsid w:val="009059FB"/>
    <w:rsid w:val="00905C16"/>
    <w:rsid w:val="00905F0F"/>
    <w:rsid w:val="00907316"/>
    <w:rsid w:val="009074DB"/>
    <w:rsid w:val="009077DF"/>
    <w:rsid w:val="00910926"/>
    <w:rsid w:val="00911108"/>
    <w:rsid w:val="00911740"/>
    <w:rsid w:val="00911C37"/>
    <w:rsid w:val="0091273E"/>
    <w:rsid w:val="009131B2"/>
    <w:rsid w:val="00913434"/>
    <w:rsid w:val="009134C6"/>
    <w:rsid w:val="009140C4"/>
    <w:rsid w:val="00916585"/>
    <w:rsid w:val="00916D86"/>
    <w:rsid w:val="00916ECC"/>
    <w:rsid w:val="009170B8"/>
    <w:rsid w:val="00917782"/>
    <w:rsid w:val="00920D0B"/>
    <w:rsid w:val="00921376"/>
    <w:rsid w:val="00923EA6"/>
    <w:rsid w:val="009244A7"/>
    <w:rsid w:val="00926A53"/>
    <w:rsid w:val="009322C4"/>
    <w:rsid w:val="009323DA"/>
    <w:rsid w:val="0093274C"/>
    <w:rsid w:val="00933172"/>
    <w:rsid w:val="0093455F"/>
    <w:rsid w:val="0093484B"/>
    <w:rsid w:val="00934B3E"/>
    <w:rsid w:val="009363C3"/>
    <w:rsid w:val="00936F2D"/>
    <w:rsid w:val="00937C0C"/>
    <w:rsid w:val="009413AE"/>
    <w:rsid w:val="009414DD"/>
    <w:rsid w:val="009419D6"/>
    <w:rsid w:val="00941D11"/>
    <w:rsid w:val="00942222"/>
    <w:rsid w:val="00942CBC"/>
    <w:rsid w:val="00943216"/>
    <w:rsid w:val="0094321D"/>
    <w:rsid w:val="00943A5B"/>
    <w:rsid w:val="00943C82"/>
    <w:rsid w:val="00950138"/>
    <w:rsid w:val="00950E90"/>
    <w:rsid w:val="009511F8"/>
    <w:rsid w:val="0095240A"/>
    <w:rsid w:val="009529CA"/>
    <w:rsid w:val="009534B6"/>
    <w:rsid w:val="00953739"/>
    <w:rsid w:val="00954D81"/>
    <w:rsid w:val="00954F7B"/>
    <w:rsid w:val="00955321"/>
    <w:rsid w:val="00955F6D"/>
    <w:rsid w:val="00955FB6"/>
    <w:rsid w:val="0095646B"/>
    <w:rsid w:val="00957DE7"/>
    <w:rsid w:val="00960BDA"/>
    <w:rsid w:val="00960C1A"/>
    <w:rsid w:val="009633D8"/>
    <w:rsid w:val="009635B7"/>
    <w:rsid w:val="00963AAB"/>
    <w:rsid w:val="00963F0D"/>
    <w:rsid w:val="00964D08"/>
    <w:rsid w:val="0096515E"/>
    <w:rsid w:val="0096682A"/>
    <w:rsid w:val="009672B1"/>
    <w:rsid w:val="00970402"/>
    <w:rsid w:val="00971180"/>
    <w:rsid w:val="009720B1"/>
    <w:rsid w:val="00972578"/>
    <w:rsid w:val="0097265C"/>
    <w:rsid w:val="00974066"/>
    <w:rsid w:val="009761A8"/>
    <w:rsid w:val="00976784"/>
    <w:rsid w:val="00977526"/>
    <w:rsid w:val="00980243"/>
    <w:rsid w:val="00980383"/>
    <w:rsid w:val="009811B9"/>
    <w:rsid w:val="009819A0"/>
    <w:rsid w:val="00982600"/>
    <w:rsid w:val="00982E91"/>
    <w:rsid w:val="009831C6"/>
    <w:rsid w:val="00983B2B"/>
    <w:rsid w:val="00983D01"/>
    <w:rsid w:val="00983E9C"/>
    <w:rsid w:val="009844F2"/>
    <w:rsid w:val="00985838"/>
    <w:rsid w:val="00985CAD"/>
    <w:rsid w:val="00986A71"/>
    <w:rsid w:val="00987877"/>
    <w:rsid w:val="009903CF"/>
    <w:rsid w:val="00990413"/>
    <w:rsid w:val="00990794"/>
    <w:rsid w:val="00990E0E"/>
    <w:rsid w:val="0099108C"/>
    <w:rsid w:val="00991DAD"/>
    <w:rsid w:val="00991DBB"/>
    <w:rsid w:val="00991E0B"/>
    <w:rsid w:val="00991F47"/>
    <w:rsid w:val="00993514"/>
    <w:rsid w:val="00993A72"/>
    <w:rsid w:val="00994106"/>
    <w:rsid w:val="00994A1E"/>
    <w:rsid w:val="0099629F"/>
    <w:rsid w:val="0099701E"/>
    <w:rsid w:val="0099789F"/>
    <w:rsid w:val="009A0212"/>
    <w:rsid w:val="009A0F93"/>
    <w:rsid w:val="009A1739"/>
    <w:rsid w:val="009A2B40"/>
    <w:rsid w:val="009A3C20"/>
    <w:rsid w:val="009A42F3"/>
    <w:rsid w:val="009A45EA"/>
    <w:rsid w:val="009A4622"/>
    <w:rsid w:val="009A5481"/>
    <w:rsid w:val="009A6EAC"/>
    <w:rsid w:val="009A750C"/>
    <w:rsid w:val="009A7C3F"/>
    <w:rsid w:val="009B003B"/>
    <w:rsid w:val="009B011C"/>
    <w:rsid w:val="009B06CC"/>
    <w:rsid w:val="009B1523"/>
    <w:rsid w:val="009B35B2"/>
    <w:rsid w:val="009B3FD5"/>
    <w:rsid w:val="009B55A0"/>
    <w:rsid w:val="009B598B"/>
    <w:rsid w:val="009B5AFA"/>
    <w:rsid w:val="009B642C"/>
    <w:rsid w:val="009B649E"/>
    <w:rsid w:val="009B7950"/>
    <w:rsid w:val="009B7989"/>
    <w:rsid w:val="009C1805"/>
    <w:rsid w:val="009C2109"/>
    <w:rsid w:val="009C25AF"/>
    <w:rsid w:val="009C3FE5"/>
    <w:rsid w:val="009C4EA2"/>
    <w:rsid w:val="009C56BA"/>
    <w:rsid w:val="009C5767"/>
    <w:rsid w:val="009C5B69"/>
    <w:rsid w:val="009C7A97"/>
    <w:rsid w:val="009D09F2"/>
    <w:rsid w:val="009D2363"/>
    <w:rsid w:val="009D3178"/>
    <w:rsid w:val="009D38E3"/>
    <w:rsid w:val="009D41FA"/>
    <w:rsid w:val="009D5DFE"/>
    <w:rsid w:val="009D5E48"/>
    <w:rsid w:val="009D6201"/>
    <w:rsid w:val="009D62BA"/>
    <w:rsid w:val="009D657B"/>
    <w:rsid w:val="009D6D24"/>
    <w:rsid w:val="009D6EF1"/>
    <w:rsid w:val="009D72B1"/>
    <w:rsid w:val="009D7477"/>
    <w:rsid w:val="009E1961"/>
    <w:rsid w:val="009E276A"/>
    <w:rsid w:val="009E3037"/>
    <w:rsid w:val="009E37E4"/>
    <w:rsid w:val="009E41BA"/>
    <w:rsid w:val="009E428C"/>
    <w:rsid w:val="009E5704"/>
    <w:rsid w:val="009E66D5"/>
    <w:rsid w:val="009E72F0"/>
    <w:rsid w:val="009E7870"/>
    <w:rsid w:val="009F00FD"/>
    <w:rsid w:val="009F202B"/>
    <w:rsid w:val="009F34FF"/>
    <w:rsid w:val="009F3B8D"/>
    <w:rsid w:val="009F4062"/>
    <w:rsid w:val="009F473E"/>
    <w:rsid w:val="009F703C"/>
    <w:rsid w:val="009F71A0"/>
    <w:rsid w:val="009F7598"/>
    <w:rsid w:val="009F788F"/>
    <w:rsid w:val="009F7AB6"/>
    <w:rsid w:val="009F7BD5"/>
    <w:rsid w:val="00A00912"/>
    <w:rsid w:val="00A01AA1"/>
    <w:rsid w:val="00A0416C"/>
    <w:rsid w:val="00A04539"/>
    <w:rsid w:val="00A05683"/>
    <w:rsid w:val="00A06749"/>
    <w:rsid w:val="00A07FE6"/>
    <w:rsid w:val="00A1027C"/>
    <w:rsid w:val="00A11407"/>
    <w:rsid w:val="00A11859"/>
    <w:rsid w:val="00A12D3A"/>
    <w:rsid w:val="00A13A16"/>
    <w:rsid w:val="00A1452B"/>
    <w:rsid w:val="00A145F0"/>
    <w:rsid w:val="00A14B4B"/>
    <w:rsid w:val="00A14D41"/>
    <w:rsid w:val="00A15150"/>
    <w:rsid w:val="00A15D97"/>
    <w:rsid w:val="00A1601B"/>
    <w:rsid w:val="00A167C4"/>
    <w:rsid w:val="00A179DF"/>
    <w:rsid w:val="00A17AB6"/>
    <w:rsid w:val="00A20426"/>
    <w:rsid w:val="00A205B9"/>
    <w:rsid w:val="00A216F9"/>
    <w:rsid w:val="00A22227"/>
    <w:rsid w:val="00A22CD5"/>
    <w:rsid w:val="00A23D71"/>
    <w:rsid w:val="00A24607"/>
    <w:rsid w:val="00A27954"/>
    <w:rsid w:val="00A279B7"/>
    <w:rsid w:val="00A3055A"/>
    <w:rsid w:val="00A30C35"/>
    <w:rsid w:val="00A30E1C"/>
    <w:rsid w:val="00A32B15"/>
    <w:rsid w:val="00A32E2A"/>
    <w:rsid w:val="00A32F71"/>
    <w:rsid w:val="00A33C10"/>
    <w:rsid w:val="00A34456"/>
    <w:rsid w:val="00A344C2"/>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3AE4"/>
    <w:rsid w:val="00A44A09"/>
    <w:rsid w:val="00A460AD"/>
    <w:rsid w:val="00A477E0"/>
    <w:rsid w:val="00A500FE"/>
    <w:rsid w:val="00A50281"/>
    <w:rsid w:val="00A525EA"/>
    <w:rsid w:val="00A52B58"/>
    <w:rsid w:val="00A53236"/>
    <w:rsid w:val="00A53DA4"/>
    <w:rsid w:val="00A5410F"/>
    <w:rsid w:val="00A541BF"/>
    <w:rsid w:val="00A547B7"/>
    <w:rsid w:val="00A55DCB"/>
    <w:rsid w:val="00A5717C"/>
    <w:rsid w:val="00A572CB"/>
    <w:rsid w:val="00A57316"/>
    <w:rsid w:val="00A5747C"/>
    <w:rsid w:val="00A5748B"/>
    <w:rsid w:val="00A579CC"/>
    <w:rsid w:val="00A60479"/>
    <w:rsid w:val="00A6150A"/>
    <w:rsid w:val="00A618DB"/>
    <w:rsid w:val="00A6275D"/>
    <w:rsid w:val="00A6321F"/>
    <w:rsid w:val="00A63761"/>
    <w:rsid w:val="00A63C84"/>
    <w:rsid w:val="00A64491"/>
    <w:rsid w:val="00A64DF5"/>
    <w:rsid w:val="00A65475"/>
    <w:rsid w:val="00A65810"/>
    <w:rsid w:val="00A65C36"/>
    <w:rsid w:val="00A663AD"/>
    <w:rsid w:val="00A66C4C"/>
    <w:rsid w:val="00A674F4"/>
    <w:rsid w:val="00A67842"/>
    <w:rsid w:val="00A7113F"/>
    <w:rsid w:val="00A711CD"/>
    <w:rsid w:val="00A71CED"/>
    <w:rsid w:val="00A72845"/>
    <w:rsid w:val="00A72B6B"/>
    <w:rsid w:val="00A731AF"/>
    <w:rsid w:val="00A7338B"/>
    <w:rsid w:val="00A73786"/>
    <w:rsid w:val="00A737E5"/>
    <w:rsid w:val="00A74FEB"/>
    <w:rsid w:val="00A76AF4"/>
    <w:rsid w:val="00A7741F"/>
    <w:rsid w:val="00A776AB"/>
    <w:rsid w:val="00A818B2"/>
    <w:rsid w:val="00A82509"/>
    <w:rsid w:val="00A82671"/>
    <w:rsid w:val="00A82E34"/>
    <w:rsid w:val="00A82E89"/>
    <w:rsid w:val="00A83085"/>
    <w:rsid w:val="00A8555A"/>
    <w:rsid w:val="00A8581E"/>
    <w:rsid w:val="00A85CDC"/>
    <w:rsid w:val="00A86311"/>
    <w:rsid w:val="00A86A92"/>
    <w:rsid w:val="00A86B6A"/>
    <w:rsid w:val="00A86D11"/>
    <w:rsid w:val="00A87387"/>
    <w:rsid w:val="00A878F6"/>
    <w:rsid w:val="00A9093B"/>
    <w:rsid w:val="00A91632"/>
    <w:rsid w:val="00A91A59"/>
    <w:rsid w:val="00A92393"/>
    <w:rsid w:val="00A92A39"/>
    <w:rsid w:val="00A92F78"/>
    <w:rsid w:val="00A933CF"/>
    <w:rsid w:val="00A9344C"/>
    <w:rsid w:val="00A93B4F"/>
    <w:rsid w:val="00A94643"/>
    <w:rsid w:val="00A947A6"/>
    <w:rsid w:val="00A96183"/>
    <w:rsid w:val="00A963D4"/>
    <w:rsid w:val="00A970E2"/>
    <w:rsid w:val="00A979E7"/>
    <w:rsid w:val="00AA00A2"/>
    <w:rsid w:val="00AA09FA"/>
    <w:rsid w:val="00AA0C78"/>
    <w:rsid w:val="00AA2179"/>
    <w:rsid w:val="00AA2B9F"/>
    <w:rsid w:val="00AA2BA9"/>
    <w:rsid w:val="00AA418C"/>
    <w:rsid w:val="00AA45BE"/>
    <w:rsid w:val="00AA525A"/>
    <w:rsid w:val="00AA583D"/>
    <w:rsid w:val="00AA5869"/>
    <w:rsid w:val="00AA6926"/>
    <w:rsid w:val="00AA6A07"/>
    <w:rsid w:val="00AA73E8"/>
    <w:rsid w:val="00AA78CB"/>
    <w:rsid w:val="00AA7E96"/>
    <w:rsid w:val="00AA7F54"/>
    <w:rsid w:val="00AB00F9"/>
    <w:rsid w:val="00AB02AB"/>
    <w:rsid w:val="00AB23F3"/>
    <w:rsid w:val="00AB2BFB"/>
    <w:rsid w:val="00AB2C02"/>
    <w:rsid w:val="00AB32BC"/>
    <w:rsid w:val="00AB4D5B"/>
    <w:rsid w:val="00AB55F1"/>
    <w:rsid w:val="00AB5EDC"/>
    <w:rsid w:val="00AB6C1A"/>
    <w:rsid w:val="00AB7622"/>
    <w:rsid w:val="00AB79EA"/>
    <w:rsid w:val="00AC0809"/>
    <w:rsid w:val="00AC1338"/>
    <w:rsid w:val="00AC16A6"/>
    <w:rsid w:val="00AC171D"/>
    <w:rsid w:val="00AC1786"/>
    <w:rsid w:val="00AC2BE2"/>
    <w:rsid w:val="00AC2C62"/>
    <w:rsid w:val="00AC34AE"/>
    <w:rsid w:val="00AC4DD4"/>
    <w:rsid w:val="00AC5155"/>
    <w:rsid w:val="00AC5791"/>
    <w:rsid w:val="00AC6523"/>
    <w:rsid w:val="00AC6782"/>
    <w:rsid w:val="00AC6B19"/>
    <w:rsid w:val="00AC6F43"/>
    <w:rsid w:val="00AC7A3F"/>
    <w:rsid w:val="00AD0BCC"/>
    <w:rsid w:val="00AD110D"/>
    <w:rsid w:val="00AD1552"/>
    <w:rsid w:val="00AD18A1"/>
    <w:rsid w:val="00AD2152"/>
    <w:rsid w:val="00AD24FE"/>
    <w:rsid w:val="00AD2812"/>
    <w:rsid w:val="00AD3A88"/>
    <w:rsid w:val="00AD4525"/>
    <w:rsid w:val="00AD49CC"/>
    <w:rsid w:val="00AD5280"/>
    <w:rsid w:val="00AD54FE"/>
    <w:rsid w:val="00AD657F"/>
    <w:rsid w:val="00AD73EE"/>
    <w:rsid w:val="00AD770E"/>
    <w:rsid w:val="00AD7C3D"/>
    <w:rsid w:val="00AE18A1"/>
    <w:rsid w:val="00AE2DE9"/>
    <w:rsid w:val="00AE329C"/>
    <w:rsid w:val="00AE408A"/>
    <w:rsid w:val="00AE4B1D"/>
    <w:rsid w:val="00AE4B5B"/>
    <w:rsid w:val="00AE60EB"/>
    <w:rsid w:val="00AF0EE2"/>
    <w:rsid w:val="00AF1F6D"/>
    <w:rsid w:val="00AF3453"/>
    <w:rsid w:val="00AF35B4"/>
    <w:rsid w:val="00AF4210"/>
    <w:rsid w:val="00AF5E38"/>
    <w:rsid w:val="00AF6250"/>
    <w:rsid w:val="00B0093E"/>
    <w:rsid w:val="00B00B0B"/>
    <w:rsid w:val="00B00FA3"/>
    <w:rsid w:val="00B01B26"/>
    <w:rsid w:val="00B01BAF"/>
    <w:rsid w:val="00B0219F"/>
    <w:rsid w:val="00B02555"/>
    <w:rsid w:val="00B02C00"/>
    <w:rsid w:val="00B035C4"/>
    <w:rsid w:val="00B036D3"/>
    <w:rsid w:val="00B04968"/>
    <w:rsid w:val="00B066B8"/>
    <w:rsid w:val="00B076DB"/>
    <w:rsid w:val="00B07E3C"/>
    <w:rsid w:val="00B10671"/>
    <w:rsid w:val="00B12645"/>
    <w:rsid w:val="00B12C65"/>
    <w:rsid w:val="00B134F6"/>
    <w:rsid w:val="00B1441D"/>
    <w:rsid w:val="00B14AE8"/>
    <w:rsid w:val="00B1524C"/>
    <w:rsid w:val="00B156A5"/>
    <w:rsid w:val="00B167D0"/>
    <w:rsid w:val="00B16D95"/>
    <w:rsid w:val="00B2038F"/>
    <w:rsid w:val="00B20C91"/>
    <w:rsid w:val="00B2136B"/>
    <w:rsid w:val="00B2148C"/>
    <w:rsid w:val="00B21C89"/>
    <w:rsid w:val="00B21D9C"/>
    <w:rsid w:val="00B224BC"/>
    <w:rsid w:val="00B22A60"/>
    <w:rsid w:val="00B22DCB"/>
    <w:rsid w:val="00B22FEF"/>
    <w:rsid w:val="00B239CC"/>
    <w:rsid w:val="00B241FB"/>
    <w:rsid w:val="00B24590"/>
    <w:rsid w:val="00B247ED"/>
    <w:rsid w:val="00B249F5"/>
    <w:rsid w:val="00B25B2F"/>
    <w:rsid w:val="00B308AC"/>
    <w:rsid w:val="00B30EA9"/>
    <w:rsid w:val="00B30EB3"/>
    <w:rsid w:val="00B31329"/>
    <w:rsid w:val="00B31E22"/>
    <w:rsid w:val="00B32411"/>
    <w:rsid w:val="00B32C02"/>
    <w:rsid w:val="00B32D2D"/>
    <w:rsid w:val="00B34951"/>
    <w:rsid w:val="00B357EA"/>
    <w:rsid w:val="00B358D1"/>
    <w:rsid w:val="00B36B79"/>
    <w:rsid w:val="00B36E6B"/>
    <w:rsid w:val="00B36FD6"/>
    <w:rsid w:val="00B3719A"/>
    <w:rsid w:val="00B3762F"/>
    <w:rsid w:val="00B37EF8"/>
    <w:rsid w:val="00B40F79"/>
    <w:rsid w:val="00B42A31"/>
    <w:rsid w:val="00B42F89"/>
    <w:rsid w:val="00B436BE"/>
    <w:rsid w:val="00B4435F"/>
    <w:rsid w:val="00B4513E"/>
    <w:rsid w:val="00B4543A"/>
    <w:rsid w:val="00B46D45"/>
    <w:rsid w:val="00B4720D"/>
    <w:rsid w:val="00B479F5"/>
    <w:rsid w:val="00B51A00"/>
    <w:rsid w:val="00B53986"/>
    <w:rsid w:val="00B53B2C"/>
    <w:rsid w:val="00B53CDD"/>
    <w:rsid w:val="00B54E0E"/>
    <w:rsid w:val="00B54E63"/>
    <w:rsid w:val="00B57027"/>
    <w:rsid w:val="00B570E4"/>
    <w:rsid w:val="00B57B7F"/>
    <w:rsid w:val="00B600BE"/>
    <w:rsid w:val="00B61CB6"/>
    <w:rsid w:val="00B625AB"/>
    <w:rsid w:val="00B628F4"/>
    <w:rsid w:val="00B631C8"/>
    <w:rsid w:val="00B63FD8"/>
    <w:rsid w:val="00B644B7"/>
    <w:rsid w:val="00B64970"/>
    <w:rsid w:val="00B64A20"/>
    <w:rsid w:val="00B64F9A"/>
    <w:rsid w:val="00B65799"/>
    <w:rsid w:val="00B657F2"/>
    <w:rsid w:val="00B664B0"/>
    <w:rsid w:val="00B665D6"/>
    <w:rsid w:val="00B66A5F"/>
    <w:rsid w:val="00B67CDB"/>
    <w:rsid w:val="00B67E18"/>
    <w:rsid w:val="00B703B7"/>
    <w:rsid w:val="00B7219C"/>
    <w:rsid w:val="00B72891"/>
    <w:rsid w:val="00B72FE7"/>
    <w:rsid w:val="00B73122"/>
    <w:rsid w:val="00B737D2"/>
    <w:rsid w:val="00B73B0B"/>
    <w:rsid w:val="00B73E6F"/>
    <w:rsid w:val="00B744A4"/>
    <w:rsid w:val="00B744E3"/>
    <w:rsid w:val="00B761E0"/>
    <w:rsid w:val="00B769EB"/>
    <w:rsid w:val="00B76CC8"/>
    <w:rsid w:val="00B82DD9"/>
    <w:rsid w:val="00B82EB3"/>
    <w:rsid w:val="00B84635"/>
    <w:rsid w:val="00B85CE0"/>
    <w:rsid w:val="00B8619C"/>
    <w:rsid w:val="00B863C1"/>
    <w:rsid w:val="00B867E3"/>
    <w:rsid w:val="00B87466"/>
    <w:rsid w:val="00B90BA7"/>
    <w:rsid w:val="00B90EF9"/>
    <w:rsid w:val="00B9253C"/>
    <w:rsid w:val="00B92C96"/>
    <w:rsid w:val="00B93576"/>
    <w:rsid w:val="00B9399C"/>
    <w:rsid w:val="00B9407C"/>
    <w:rsid w:val="00B940A6"/>
    <w:rsid w:val="00B949EC"/>
    <w:rsid w:val="00B975A8"/>
    <w:rsid w:val="00BA0328"/>
    <w:rsid w:val="00BA032D"/>
    <w:rsid w:val="00BA0344"/>
    <w:rsid w:val="00BA1D5B"/>
    <w:rsid w:val="00BA1E7C"/>
    <w:rsid w:val="00BA26B1"/>
    <w:rsid w:val="00BA5559"/>
    <w:rsid w:val="00BA5A7C"/>
    <w:rsid w:val="00BA5A92"/>
    <w:rsid w:val="00BA63B9"/>
    <w:rsid w:val="00BA77EC"/>
    <w:rsid w:val="00BA7B14"/>
    <w:rsid w:val="00BB01BD"/>
    <w:rsid w:val="00BB07F0"/>
    <w:rsid w:val="00BB114E"/>
    <w:rsid w:val="00BB145C"/>
    <w:rsid w:val="00BB1B46"/>
    <w:rsid w:val="00BB252A"/>
    <w:rsid w:val="00BB2DB8"/>
    <w:rsid w:val="00BB3AC9"/>
    <w:rsid w:val="00BB44FA"/>
    <w:rsid w:val="00BB48F8"/>
    <w:rsid w:val="00BB5A25"/>
    <w:rsid w:val="00BB76D0"/>
    <w:rsid w:val="00BB7ACB"/>
    <w:rsid w:val="00BB7B9F"/>
    <w:rsid w:val="00BC0A8B"/>
    <w:rsid w:val="00BC0B67"/>
    <w:rsid w:val="00BC1328"/>
    <w:rsid w:val="00BC253A"/>
    <w:rsid w:val="00BC3357"/>
    <w:rsid w:val="00BC35DD"/>
    <w:rsid w:val="00BC3CDB"/>
    <w:rsid w:val="00BC4382"/>
    <w:rsid w:val="00BC4C54"/>
    <w:rsid w:val="00BC51CB"/>
    <w:rsid w:val="00BC51D3"/>
    <w:rsid w:val="00BC530F"/>
    <w:rsid w:val="00BC5975"/>
    <w:rsid w:val="00BC6842"/>
    <w:rsid w:val="00BC6CCD"/>
    <w:rsid w:val="00BC6CD9"/>
    <w:rsid w:val="00BC7769"/>
    <w:rsid w:val="00BD01B2"/>
    <w:rsid w:val="00BD0303"/>
    <w:rsid w:val="00BD0D2B"/>
    <w:rsid w:val="00BD0D4F"/>
    <w:rsid w:val="00BD2957"/>
    <w:rsid w:val="00BD2CD1"/>
    <w:rsid w:val="00BD2EBB"/>
    <w:rsid w:val="00BD482C"/>
    <w:rsid w:val="00BD5F09"/>
    <w:rsid w:val="00BD7AA4"/>
    <w:rsid w:val="00BD7F4E"/>
    <w:rsid w:val="00BE04B4"/>
    <w:rsid w:val="00BE0A96"/>
    <w:rsid w:val="00BE1501"/>
    <w:rsid w:val="00BE17DE"/>
    <w:rsid w:val="00BE4D75"/>
    <w:rsid w:val="00BE5015"/>
    <w:rsid w:val="00BE57E6"/>
    <w:rsid w:val="00BE5825"/>
    <w:rsid w:val="00BE5CE7"/>
    <w:rsid w:val="00BE6BCE"/>
    <w:rsid w:val="00BE7109"/>
    <w:rsid w:val="00BE793D"/>
    <w:rsid w:val="00BF00E5"/>
    <w:rsid w:val="00BF0A6F"/>
    <w:rsid w:val="00BF11F5"/>
    <w:rsid w:val="00BF27E4"/>
    <w:rsid w:val="00BF5B89"/>
    <w:rsid w:val="00BF5E25"/>
    <w:rsid w:val="00BF5EEB"/>
    <w:rsid w:val="00BF65A1"/>
    <w:rsid w:val="00BF771B"/>
    <w:rsid w:val="00C003DD"/>
    <w:rsid w:val="00C01BFF"/>
    <w:rsid w:val="00C0201D"/>
    <w:rsid w:val="00C02FE7"/>
    <w:rsid w:val="00C03540"/>
    <w:rsid w:val="00C036C3"/>
    <w:rsid w:val="00C03B88"/>
    <w:rsid w:val="00C0409D"/>
    <w:rsid w:val="00C0465E"/>
    <w:rsid w:val="00C05326"/>
    <w:rsid w:val="00C06B67"/>
    <w:rsid w:val="00C06CB4"/>
    <w:rsid w:val="00C07520"/>
    <w:rsid w:val="00C07AFB"/>
    <w:rsid w:val="00C100BB"/>
    <w:rsid w:val="00C10C11"/>
    <w:rsid w:val="00C13423"/>
    <w:rsid w:val="00C13E28"/>
    <w:rsid w:val="00C14BDE"/>
    <w:rsid w:val="00C14C40"/>
    <w:rsid w:val="00C14DCB"/>
    <w:rsid w:val="00C1502A"/>
    <w:rsid w:val="00C21AA0"/>
    <w:rsid w:val="00C21C85"/>
    <w:rsid w:val="00C21F5C"/>
    <w:rsid w:val="00C21F62"/>
    <w:rsid w:val="00C22EDF"/>
    <w:rsid w:val="00C22F3D"/>
    <w:rsid w:val="00C2328F"/>
    <w:rsid w:val="00C2354E"/>
    <w:rsid w:val="00C23704"/>
    <w:rsid w:val="00C23C8F"/>
    <w:rsid w:val="00C248B6"/>
    <w:rsid w:val="00C24FB5"/>
    <w:rsid w:val="00C263DE"/>
    <w:rsid w:val="00C26A7C"/>
    <w:rsid w:val="00C306B4"/>
    <w:rsid w:val="00C30C36"/>
    <w:rsid w:val="00C31767"/>
    <w:rsid w:val="00C31D15"/>
    <w:rsid w:val="00C3214E"/>
    <w:rsid w:val="00C32913"/>
    <w:rsid w:val="00C350A3"/>
    <w:rsid w:val="00C35EDC"/>
    <w:rsid w:val="00C36068"/>
    <w:rsid w:val="00C361F1"/>
    <w:rsid w:val="00C36591"/>
    <w:rsid w:val="00C37C17"/>
    <w:rsid w:val="00C412A3"/>
    <w:rsid w:val="00C413CB"/>
    <w:rsid w:val="00C42955"/>
    <w:rsid w:val="00C42D41"/>
    <w:rsid w:val="00C42ED3"/>
    <w:rsid w:val="00C43516"/>
    <w:rsid w:val="00C43542"/>
    <w:rsid w:val="00C43604"/>
    <w:rsid w:val="00C438E8"/>
    <w:rsid w:val="00C4427E"/>
    <w:rsid w:val="00C44385"/>
    <w:rsid w:val="00C44811"/>
    <w:rsid w:val="00C46494"/>
    <w:rsid w:val="00C46E3E"/>
    <w:rsid w:val="00C47256"/>
    <w:rsid w:val="00C472B4"/>
    <w:rsid w:val="00C47FE5"/>
    <w:rsid w:val="00C50198"/>
    <w:rsid w:val="00C509EB"/>
    <w:rsid w:val="00C518F2"/>
    <w:rsid w:val="00C51B80"/>
    <w:rsid w:val="00C51CDD"/>
    <w:rsid w:val="00C5263E"/>
    <w:rsid w:val="00C527B4"/>
    <w:rsid w:val="00C527E5"/>
    <w:rsid w:val="00C53059"/>
    <w:rsid w:val="00C55A90"/>
    <w:rsid w:val="00C55E7D"/>
    <w:rsid w:val="00C6012B"/>
    <w:rsid w:val="00C60199"/>
    <w:rsid w:val="00C60F64"/>
    <w:rsid w:val="00C62304"/>
    <w:rsid w:val="00C62EAF"/>
    <w:rsid w:val="00C62F7C"/>
    <w:rsid w:val="00C63343"/>
    <w:rsid w:val="00C63AC6"/>
    <w:rsid w:val="00C6542B"/>
    <w:rsid w:val="00C65C59"/>
    <w:rsid w:val="00C6644F"/>
    <w:rsid w:val="00C66CBF"/>
    <w:rsid w:val="00C67243"/>
    <w:rsid w:val="00C70D8A"/>
    <w:rsid w:val="00C71FB4"/>
    <w:rsid w:val="00C735D1"/>
    <w:rsid w:val="00C73AFF"/>
    <w:rsid w:val="00C73C88"/>
    <w:rsid w:val="00C75AB4"/>
    <w:rsid w:val="00C75BAB"/>
    <w:rsid w:val="00C75BE4"/>
    <w:rsid w:val="00C762DB"/>
    <w:rsid w:val="00C776BA"/>
    <w:rsid w:val="00C77E10"/>
    <w:rsid w:val="00C807AC"/>
    <w:rsid w:val="00C809BE"/>
    <w:rsid w:val="00C80F19"/>
    <w:rsid w:val="00C81572"/>
    <w:rsid w:val="00C81781"/>
    <w:rsid w:val="00C8260E"/>
    <w:rsid w:val="00C830F9"/>
    <w:rsid w:val="00C83293"/>
    <w:rsid w:val="00C83A4B"/>
    <w:rsid w:val="00C83C8B"/>
    <w:rsid w:val="00C83EDF"/>
    <w:rsid w:val="00C84EC4"/>
    <w:rsid w:val="00C85301"/>
    <w:rsid w:val="00C85C04"/>
    <w:rsid w:val="00C85DFA"/>
    <w:rsid w:val="00C86446"/>
    <w:rsid w:val="00C8644F"/>
    <w:rsid w:val="00C90E35"/>
    <w:rsid w:val="00C9138C"/>
    <w:rsid w:val="00C91506"/>
    <w:rsid w:val="00C91F44"/>
    <w:rsid w:val="00C921E6"/>
    <w:rsid w:val="00C9385D"/>
    <w:rsid w:val="00C93FBA"/>
    <w:rsid w:val="00C94F96"/>
    <w:rsid w:val="00C9596E"/>
    <w:rsid w:val="00C960B5"/>
    <w:rsid w:val="00C96B35"/>
    <w:rsid w:val="00C97539"/>
    <w:rsid w:val="00C97FD1"/>
    <w:rsid w:val="00CA00E8"/>
    <w:rsid w:val="00CA0A6B"/>
    <w:rsid w:val="00CA129B"/>
    <w:rsid w:val="00CA2570"/>
    <w:rsid w:val="00CA25D9"/>
    <w:rsid w:val="00CA3F8D"/>
    <w:rsid w:val="00CA47DF"/>
    <w:rsid w:val="00CA5057"/>
    <w:rsid w:val="00CA531C"/>
    <w:rsid w:val="00CA65F3"/>
    <w:rsid w:val="00CA68B5"/>
    <w:rsid w:val="00CA6B82"/>
    <w:rsid w:val="00CA779E"/>
    <w:rsid w:val="00CB04E2"/>
    <w:rsid w:val="00CB0D6F"/>
    <w:rsid w:val="00CB27A1"/>
    <w:rsid w:val="00CB4C78"/>
    <w:rsid w:val="00CB5496"/>
    <w:rsid w:val="00CB5738"/>
    <w:rsid w:val="00CB7BC9"/>
    <w:rsid w:val="00CB7E35"/>
    <w:rsid w:val="00CC086A"/>
    <w:rsid w:val="00CC0C1F"/>
    <w:rsid w:val="00CC1040"/>
    <w:rsid w:val="00CC2A75"/>
    <w:rsid w:val="00CC425D"/>
    <w:rsid w:val="00CC44DE"/>
    <w:rsid w:val="00CC49FC"/>
    <w:rsid w:val="00CC4ED4"/>
    <w:rsid w:val="00CC5407"/>
    <w:rsid w:val="00CC58A2"/>
    <w:rsid w:val="00CC5F70"/>
    <w:rsid w:val="00CC5F83"/>
    <w:rsid w:val="00CC637B"/>
    <w:rsid w:val="00CC7EE1"/>
    <w:rsid w:val="00CD062E"/>
    <w:rsid w:val="00CD1192"/>
    <w:rsid w:val="00CD11F2"/>
    <w:rsid w:val="00CD2F15"/>
    <w:rsid w:val="00CD3118"/>
    <w:rsid w:val="00CD3817"/>
    <w:rsid w:val="00CD4742"/>
    <w:rsid w:val="00CD4AA4"/>
    <w:rsid w:val="00CD54A3"/>
    <w:rsid w:val="00CD5C68"/>
    <w:rsid w:val="00CD6194"/>
    <w:rsid w:val="00CD63AF"/>
    <w:rsid w:val="00CD6705"/>
    <w:rsid w:val="00CE0D5B"/>
    <w:rsid w:val="00CE17B7"/>
    <w:rsid w:val="00CE1CFF"/>
    <w:rsid w:val="00CE2101"/>
    <w:rsid w:val="00CE3D0C"/>
    <w:rsid w:val="00CE43AE"/>
    <w:rsid w:val="00CE4B2A"/>
    <w:rsid w:val="00CE5B3E"/>
    <w:rsid w:val="00CE679D"/>
    <w:rsid w:val="00CE67A8"/>
    <w:rsid w:val="00CE6AD3"/>
    <w:rsid w:val="00CE73BB"/>
    <w:rsid w:val="00CE7A88"/>
    <w:rsid w:val="00CE7AF6"/>
    <w:rsid w:val="00CF011A"/>
    <w:rsid w:val="00CF0988"/>
    <w:rsid w:val="00CF2DCD"/>
    <w:rsid w:val="00CF2FF5"/>
    <w:rsid w:val="00CF4FFF"/>
    <w:rsid w:val="00CF526C"/>
    <w:rsid w:val="00CF72B4"/>
    <w:rsid w:val="00CF73DB"/>
    <w:rsid w:val="00CF7491"/>
    <w:rsid w:val="00D006A0"/>
    <w:rsid w:val="00D00DCD"/>
    <w:rsid w:val="00D01CC8"/>
    <w:rsid w:val="00D0215F"/>
    <w:rsid w:val="00D029C2"/>
    <w:rsid w:val="00D03AE8"/>
    <w:rsid w:val="00D0475C"/>
    <w:rsid w:val="00D0731D"/>
    <w:rsid w:val="00D1073B"/>
    <w:rsid w:val="00D115D9"/>
    <w:rsid w:val="00D11AC8"/>
    <w:rsid w:val="00D121A9"/>
    <w:rsid w:val="00D12C32"/>
    <w:rsid w:val="00D13DC6"/>
    <w:rsid w:val="00D15713"/>
    <w:rsid w:val="00D162E4"/>
    <w:rsid w:val="00D16346"/>
    <w:rsid w:val="00D16E78"/>
    <w:rsid w:val="00D1788F"/>
    <w:rsid w:val="00D17C4D"/>
    <w:rsid w:val="00D20386"/>
    <w:rsid w:val="00D2056A"/>
    <w:rsid w:val="00D20D19"/>
    <w:rsid w:val="00D21FE8"/>
    <w:rsid w:val="00D220D7"/>
    <w:rsid w:val="00D22BD1"/>
    <w:rsid w:val="00D23862"/>
    <w:rsid w:val="00D24555"/>
    <w:rsid w:val="00D255BE"/>
    <w:rsid w:val="00D25968"/>
    <w:rsid w:val="00D25F65"/>
    <w:rsid w:val="00D2612C"/>
    <w:rsid w:val="00D30BA5"/>
    <w:rsid w:val="00D31706"/>
    <w:rsid w:val="00D327A0"/>
    <w:rsid w:val="00D328C6"/>
    <w:rsid w:val="00D33792"/>
    <w:rsid w:val="00D3489F"/>
    <w:rsid w:val="00D34D1A"/>
    <w:rsid w:val="00D35607"/>
    <w:rsid w:val="00D3616D"/>
    <w:rsid w:val="00D36862"/>
    <w:rsid w:val="00D37C65"/>
    <w:rsid w:val="00D40727"/>
    <w:rsid w:val="00D4176F"/>
    <w:rsid w:val="00D41B16"/>
    <w:rsid w:val="00D42F4A"/>
    <w:rsid w:val="00D43F77"/>
    <w:rsid w:val="00D44187"/>
    <w:rsid w:val="00D4564D"/>
    <w:rsid w:val="00D457C4"/>
    <w:rsid w:val="00D45AB8"/>
    <w:rsid w:val="00D474C0"/>
    <w:rsid w:val="00D4760A"/>
    <w:rsid w:val="00D47BD6"/>
    <w:rsid w:val="00D507C7"/>
    <w:rsid w:val="00D50B30"/>
    <w:rsid w:val="00D51B2F"/>
    <w:rsid w:val="00D5219F"/>
    <w:rsid w:val="00D52F87"/>
    <w:rsid w:val="00D54687"/>
    <w:rsid w:val="00D552BB"/>
    <w:rsid w:val="00D55A8E"/>
    <w:rsid w:val="00D569FD"/>
    <w:rsid w:val="00D575D1"/>
    <w:rsid w:val="00D57EDA"/>
    <w:rsid w:val="00D60B47"/>
    <w:rsid w:val="00D62164"/>
    <w:rsid w:val="00D621BD"/>
    <w:rsid w:val="00D63D04"/>
    <w:rsid w:val="00D646D2"/>
    <w:rsid w:val="00D6478D"/>
    <w:rsid w:val="00D6520D"/>
    <w:rsid w:val="00D65B59"/>
    <w:rsid w:val="00D66F6A"/>
    <w:rsid w:val="00D67525"/>
    <w:rsid w:val="00D67FB2"/>
    <w:rsid w:val="00D70C29"/>
    <w:rsid w:val="00D70E11"/>
    <w:rsid w:val="00D70E51"/>
    <w:rsid w:val="00D71875"/>
    <w:rsid w:val="00D71DFC"/>
    <w:rsid w:val="00D73109"/>
    <w:rsid w:val="00D7316B"/>
    <w:rsid w:val="00D738A2"/>
    <w:rsid w:val="00D73F7F"/>
    <w:rsid w:val="00D7406D"/>
    <w:rsid w:val="00D759C6"/>
    <w:rsid w:val="00D7628C"/>
    <w:rsid w:val="00D767AF"/>
    <w:rsid w:val="00D77148"/>
    <w:rsid w:val="00D8282B"/>
    <w:rsid w:val="00D82A1F"/>
    <w:rsid w:val="00D83D05"/>
    <w:rsid w:val="00D8438C"/>
    <w:rsid w:val="00D84B39"/>
    <w:rsid w:val="00D86BD3"/>
    <w:rsid w:val="00D86E55"/>
    <w:rsid w:val="00D87D3E"/>
    <w:rsid w:val="00D901D7"/>
    <w:rsid w:val="00D9027B"/>
    <w:rsid w:val="00D904A1"/>
    <w:rsid w:val="00D91742"/>
    <w:rsid w:val="00D92014"/>
    <w:rsid w:val="00D9462B"/>
    <w:rsid w:val="00D95B79"/>
    <w:rsid w:val="00D9755F"/>
    <w:rsid w:val="00DA15BC"/>
    <w:rsid w:val="00DA2194"/>
    <w:rsid w:val="00DA35EE"/>
    <w:rsid w:val="00DA4198"/>
    <w:rsid w:val="00DA4DDB"/>
    <w:rsid w:val="00DA565B"/>
    <w:rsid w:val="00DA56BF"/>
    <w:rsid w:val="00DA6674"/>
    <w:rsid w:val="00DA7B19"/>
    <w:rsid w:val="00DA7C48"/>
    <w:rsid w:val="00DB024B"/>
    <w:rsid w:val="00DB053A"/>
    <w:rsid w:val="00DB082D"/>
    <w:rsid w:val="00DB1968"/>
    <w:rsid w:val="00DB23F4"/>
    <w:rsid w:val="00DB37C4"/>
    <w:rsid w:val="00DB5F3B"/>
    <w:rsid w:val="00DB6086"/>
    <w:rsid w:val="00DB7D80"/>
    <w:rsid w:val="00DB7FA6"/>
    <w:rsid w:val="00DC1B67"/>
    <w:rsid w:val="00DC1F0F"/>
    <w:rsid w:val="00DC23C0"/>
    <w:rsid w:val="00DC2C36"/>
    <w:rsid w:val="00DC3136"/>
    <w:rsid w:val="00DC313A"/>
    <w:rsid w:val="00DC3191"/>
    <w:rsid w:val="00DC322C"/>
    <w:rsid w:val="00DC3252"/>
    <w:rsid w:val="00DC39C7"/>
    <w:rsid w:val="00DC3A8C"/>
    <w:rsid w:val="00DC4327"/>
    <w:rsid w:val="00DC6515"/>
    <w:rsid w:val="00DC6C01"/>
    <w:rsid w:val="00DC6C46"/>
    <w:rsid w:val="00DC7799"/>
    <w:rsid w:val="00DD0F99"/>
    <w:rsid w:val="00DD3174"/>
    <w:rsid w:val="00DD32B2"/>
    <w:rsid w:val="00DD3776"/>
    <w:rsid w:val="00DD3D7B"/>
    <w:rsid w:val="00DD453D"/>
    <w:rsid w:val="00DD4AE6"/>
    <w:rsid w:val="00DD4E99"/>
    <w:rsid w:val="00DD4FE7"/>
    <w:rsid w:val="00DD5156"/>
    <w:rsid w:val="00DD5EB2"/>
    <w:rsid w:val="00DD6182"/>
    <w:rsid w:val="00DD62C3"/>
    <w:rsid w:val="00DD7094"/>
    <w:rsid w:val="00DE08B4"/>
    <w:rsid w:val="00DE1297"/>
    <w:rsid w:val="00DE183E"/>
    <w:rsid w:val="00DE1B6B"/>
    <w:rsid w:val="00DE25B2"/>
    <w:rsid w:val="00DE2A72"/>
    <w:rsid w:val="00DE2AA1"/>
    <w:rsid w:val="00DE3C50"/>
    <w:rsid w:val="00DE4252"/>
    <w:rsid w:val="00DE45C9"/>
    <w:rsid w:val="00DE4AC6"/>
    <w:rsid w:val="00DE4EF6"/>
    <w:rsid w:val="00DE5429"/>
    <w:rsid w:val="00DE5476"/>
    <w:rsid w:val="00DE5E01"/>
    <w:rsid w:val="00DE5F08"/>
    <w:rsid w:val="00DE6AF0"/>
    <w:rsid w:val="00DE715D"/>
    <w:rsid w:val="00DE7BD5"/>
    <w:rsid w:val="00DE7C44"/>
    <w:rsid w:val="00DF0F8B"/>
    <w:rsid w:val="00DF208D"/>
    <w:rsid w:val="00DF2585"/>
    <w:rsid w:val="00DF295A"/>
    <w:rsid w:val="00DF2A59"/>
    <w:rsid w:val="00DF2C6A"/>
    <w:rsid w:val="00DF2EE1"/>
    <w:rsid w:val="00DF36D8"/>
    <w:rsid w:val="00DF3B2D"/>
    <w:rsid w:val="00DF4569"/>
    <w:rsid w:val="00DF5207"/>
    <w:rsid w:val="00DF60D0"/>
    <w:rsid w:val="00DF621B"/>
    <w:rsid w:val="00DF6293"/>
    <w:rsid w:val="00DF647D"/>
    <w:rsid w:val="00DF753A"/>
    <w:rsid w:val="00E0019D"/>
    <w:rsid w:val="00E004AE"/>
    <w:rsid w:val="00E00BBE"/>
    <w:rsid w:val="00E01583"/>
    <w:rsid w:val="00E0183D"/>
    <w:rsid w:val="00E01A67"/>
    <w:rsid w:val="00E01AE4"/>
    <w:rsid w:val="00E02090"/>
    <w:rsid w:val="00E02570"/>
    <w:rsid w:val="00E02A8D"/>
    <w:rsid w:val="00E02C45"/>
    <w:rsid w:val="00E03BEB"/>
    <w:rsid w:val="00E03C22"/>
    <w:rsid w:val="00E03F9E"/>
    <w:rsid w:val="00E06602"/>
    <w:rsid w:val="00E07B54"/>
    <w:rsid w:val="00E107A6"/>
    <w:rsid w:val="00E1221A"/>
    <w:rsid w:val="00E1243F"/>
    <w:rsid w:val="00E12A5E"/>
    <w:rsid w:val="00E13550"/>
    <w:rsid w:val="00E1370C"/>
    <w:rsid w:val="00E13FED"/>
    <w:rsid w:val="00E14872"/>
    <w:rsid w:val="00E149F4"/>
    <w:rsid w:val="00E14A44"/>
    <w:rsid w:val="00E14FDA"/>
    <w:rsid w:val="00E15F96"/>
    <w:rsid w:val="00E1600B"/>
    <w:rsid w:val="00E165BE"/>
    <w:rsid w:val="00E1681B"/>
    <w:rsid w:val="00E16CD7"/>
    <w:rsid w:val="00E16F89"/>
    <w:rsid w:val="00E20981"/>
    <w:rsid w:val="00E2146B"/>
    <w:rsid w:val="00E218DD"/>
    <w:rsid w:val="00E21E7C"/>
    <w:rsid w:val="00E21EEC"/>
    <w:rsid w:val="00E221EE"/>
    <w:rsid w:val="00E225F4"/>
    <w:rsid w:val="00E22618"/>
    <w:rsid w:val="00E23463"/>
    <w:rsid w:val="00E236EB"/>
    <w:rsid w:val="00E23ADA"/>
    <w:rsid w:val="00E2462F"/>
    <w:rsid w:val="00E2479A"/>
    <w:rsid w:val="00E2496B"/>
    <w:rsid w:val="00E253E5"/>
    <w:rsid w:val="00E25BA8"/>
    <w:rsid w:val="00E2649E"/>
    <w:rsid w:val="00E266DA"/>
    <w:rsid w:val="00E2683C"/>
    <w:rsid w:val="00E27906"/>
    <w:rsid w:val="00E27A7F"/>
    <w:rsid w:val="00E30B90"/>
    <w:rsid w:val="00E30D02"/>
    <w:rsid w:val="00E333DF"/>
    <w:rsid w:val="00E337D5"/>
    <w:rsid w:val="00E35FFA"/>
    <w:rsid w:val="00E36CCD"/>
    <w:rsid w:val="00E3778A"/>
    <w:rsid w:val="00E37A1B"/>
    <w:rsid w:val="00E37E85"/>
    <w:rsid w:val="00E40430"/>
    <w:rsid w:val="00E41321"/>
    <w:rsid w:val="00E4192F"/>
    <w:rsid w:val="00E41F61"/>
    <w:rsid w:val="00E42153"/>
    <w:rsid w:val="00E44340"/>
    <w:rsid w:val="00E44B75"/>
    <w:rsid w:val="00E44CD2"/>
    <w:rsid w:val="00E4530A"/>
    <w:rsid w:val="00E45D63"/>
    <w:rsid w:val="00E46850"/>
    <w:rsid w:val="00E47163"/>
    <w:rsid w:val="00E4790E"/>
    <w:rsid w:val="00E50DF3"/>
    <w:rsid w:val="00E51DD3"/>
    <w:rsid w:val="00E52FEB"/>
    <w:rsid w:val="00E54AE9"/>
    <w:rsid w:val="00E568E2"/>
    <w:rsid w:val="00E605BA"/>
    <w:rsid w:val="00E60820"/>
    <w:rsid w:val="00E619C9"/>
    <w:rsid w:val="00E61D07"/>
    <w:rsid w:val="00E61E9B"/>
    <w:rsid w:val="00E62028"/>
    <w:rsid w:val="00E635D2"/>
    <w:rsid w:val="00E63B6A"/>
    <w:rsid w:val="00E646EE"/>
    <w:rsid w:val="00E64E73"/>
    <w:rsid w:val="00E6597E"/>
    <w:rsid w:val="00E66418"/>
    <w:rsid w:val="00E70CA3"/>
    <w:rsid w:val="00E711A2"/>
    <w:rsid w:val="00E721F4"/>
    <w:rsid w:val="00E74048"/>
    <w:rsid w:val="00E749AE"/>
    <w:rsid w:val="00E76A9F"/>
    <w:rsid w:val="00E76D23"/>
    <w:rsid w:val="00E777AA"/>
    <w:rsid w:val="00E778BB"/>
    <w:rsid w:val="00E778C4"/>
    <w:rsid w:val="00E77FBF"/>
    <w:rsid w:val="00E800B4"/>
    <w:rsid w:val="00E800EF"/>
    <w:rsid w:val="00E80439"/>
    <w:rsid w:val="00E8140D"/>
    <w:rsid w:val="00E832CD"/>
    <w:rsid w:val="00E84517"/>
    <w:rsid w:val="00E855F7"/>
    <w:rsid w:val="00E91FFC"/>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588C"/>
    <w:rsid w:val="00EA5A4A"/>
    <w:rsid w:val="00EA5AB7"/>
    <w:rsid w:val="00EA6B96"/>
    <w:rsid w:val="00EA7E24"/>
    <w:rsid w:val="00EB059E"/>
    <w:rsid w:val="00EB0EE3"/>
    <w:rsid w:val="00EB32FD"/>
    <w:rsid w:val="00EB3ADE"/>
    <w:rsid w:val="00EB4A4F"/>
    <w:rsid w:val="00EB50D5"/>
    <w:rsid w:val="00EB7156"/>
    <w:rsid w:val="00EC10B4"/>
    <w:rsid w:val="00EC1902"/>
    <w:rsid w:val="00EC1A2E"/>
    <w:rsid w:val="00EC1AB0"/>
    <w:rsid w:val="00EC2217"/>
    <w:rsid w:val="00EC32B8"/>
    <w:rsid w:val="00EC36F4"/>
    <w:rsid w:val="00EC3C71"/>
    <w:rsid w:val="00EC3D08"/>
    <w:rsid w:val="00EC4701"/>
    <w:rsid w:val="00EC4A79"/>
    <w:rsid w:val="00EC60FA"/>
    <w:rsid w:val="00EC6FB5"/>
    <w:rsid w:val="00EC7A72"/>
    <w:rsid w:val="00ED07B5"/>
    <w:rsid w:val="00ED186C"/>
    <w:rsid w:val="00ED1C49"/>
    <w:rsid w:val="00ED1F08"/>
    <w:rsid w:val="00ED2067"/>
    <w:rsid w:val="00ED2D7A"/>
    <w:rsid w:val="00ED438E"/>
    <w:rsid w:val="00ED47C6"/>
    <w:rsid w:val="00ED47DC"/>
    <w:rsid w:val="00ED4CAF"/>
    <w:rsid w:val="00ED6460"/>
    <w:rsid w:val="00ED7714"/>
    <w:rsid w:val="00EE0CAC"/>
    <w:rsid w:val="00EE21B0"/>
    <w:rsid w:val="00EE5BCE"/>
    <w:rsid w:val="00EE606B"/>
    <w:rsid w:val="00EE66FE"/>
    <w:rsid w:val="00EE788C"/>
    <w:rsid w:val="00EE7B3B"/>
    <w:rsid w:val="00EF0898"/>
    <w:rsid w:val="00EF1CFF"/>
    <w:rsid w:val="00EF24D9"/>
    <w:rsid w:val="00EF287C"/>
    <w:rsid w:val="00EF311A"/>
    <w:rsid w:val="00EF338B"/>
    <w:rsid w:val="00EF40F4"/>
    <w:rsid w:val="00EF42D0"/>
    <w:rsid w:val="00EF453D"/>
    <w:rsid w:val="00EF4AD2"/>
    <w:rsid w:val="00EF4FF8"/>
    <w:rsid w:val="00EF64C4"/>
    <w:rsid w:val="00EF6A54"/>
    <w:rsid w:val="00EF6F8F"/>
    <w:rsid w:val="00F01454"/>
    <w:rsid w:val="00F01D9C"/>
    <w:rsid w:val="00F03A69"/>
    <w:rsid w:val="00F06ED7"/>
    <w:rsid w:val="00F077FB"/>
    <w:rsid w:val="00F106CF"/>
    <w:rsid w:val="00F10DD5"/>
    <w:rsid w:val="00F120A1"/>
    <w:rsid w:val="00F125D3"/>
    <w:rsid w:val="00F13D2E"/>
    <w:rsid w:val="00F162B2"/>
    <w:rsid w:val="00F16E46"/>
    <w:rsid w:val="00F17D86"/>
    <w:rsid w:val="00F202F0"/>
    <w:rsid w:val="00F20F21"/>
    <w:rsid w:val="00F241D3"/>
    <w:rsid w:val="00F26CD9"/>
    <w:rsid w:val="00F27664"/>
    <w:rsid w:val="00F27761"/>
    <w:rsid w:val="00F313C4"/>
    <w:rsid w:val="00F31F7E"/>
    <w:rsid w:val="00F32BB0"/>
    <w:rsid w:val="00F32C94"/>
    <w:rsid w:val="00F32E9D"/>
    <w:rsid w:val="00F3468F"/>
    <w:rsid w:val="00F34C18"/>
    <w:rsid w:val="00F34E0C"/>
    <w:rsid w:val="00F3590D"/>
    <w:rsid w:val="00F35E0C"/>
    <w:rsid w:val="00F36230"/>
    <w:rsid w:val="00F365AA"/>
    <w:rsid w:val="00F36B95"/>
    <w:rsid w:val="00F37D5A"/>
    <w:rsid w:val="00F40850"/>
    <w:rsid w:val="00F41A48"/>
    <w:rsid w:val="00F41B55"/>
    <w:rsid w:val="00F41F4C"/>
    <w:rsid w:val="00F42F35"/>
    <w:rsid w:val="00F43922"/>
    <w:rsid w:val="00F443B0"/>
    <w:rsid w:val="00F44C65"/>
    <w:rsid w:val="00F44EB1"/>
    <w:rsid w:val="00F45376"/>
    <w:rsid w:val="00F47281"/>
    <w:rsid w:val="00F52EA7"/>
    <w:rsid w:val="00F52F11"/>
    <w:rsid w:val="00F52FAF"/>
    <w:rsid w:val="00F5498A"/>
    <w:rsid w:val="00F55522"/>
    <w:rsid w:val="00F5568D"/>
    <w:rsid w:val="00F56608"/>
    <w:rsid w:val="00F56903"/>
    <w:rsid w:val="00F56DA3"/>
    <w:rsid w:val="00F578CE"/>
    <w:rsid w:val="00F57B67"/>
    <w:rsid w:val="00F611AC"/>
    <w:rsid w:val="00F625FB"/>
    <w:rsid w:val="00F626FA"/>
    <w:rsid w:val="00F62712"/>
    <w:rsid w:val="00F62EBA"/>
    <w:rsid w:val="00F63B25"/>
    <w:rsid w:val="00F63F27"/>
    <w:rsid w:val="00F6490A"/>
    <w:rsid w:val="00F65F01"/>
    <w:rsid w:val="00F66072"/>
    <w:rsid w:val="00F711A3"/>
    <w:rsid w:val="00F712FF"/>
    <w:rsid w:val="00F715DF"/>
    <w:rsid w:val="00F722CE"/>
    <w:rsid w:val="00F72D30"/>
    <w:rsid w:val="00F72E36"/>
    <w:rsid w:val="00F73042"/>
    <w:rsid w:val="00F73838"/>
    <w:rsid w:val="00F73F7E"/>
    <w:rsid w:val="00F745E5"/>
    <w:rsid w:val="00F7498F"/>
    <w:rsid w:val="00F75FC1"/>
    <w:rsid w:val="00F77587"/>
    <w:rsid w:val="00F776D2"/>
    <w:rsid w:val="00F80916"/>
    <w:rsid w:val="00F81E91"/>
    <w:rsid w:val="00F81F8F"/>
    <w:rsid w:val="00F824F3"/>
    <w:rsid w:val="00F8285A"/>
    <w:rsid w:val="00F83515"/>
    <w:rsid w:val="00F84F3E"/>
    <w:rsid w:val="00F85A6D"/>
    <w:rsid w:val="00F85BDA"/>
    <w:rsid w:val="00F860A9"/>
    <w:rsid w:val="00F87134"/>
    <w:rsid w:val="00F876D9"/>
    <w:rsid w:val="00F90CF5"/>
    <w:rsid w:val="00F90E2B"/>
    <w:rsid w:val="00F9124F"/>
    <w:rsid w:val="00F915A5"/>
    <w:rsid w:val="00F91CAC"/>
    <w:rsid w:val="00F925D3"/>
    <w:rsid w:val="00F928E9"/>
    <w:rsid w:val="00F928F0"/>
    <w:rsid w:val="00F92F38"/>
    <w:rsid w:val="00F931C1"/>
    <w:rsid w:val="00F93984"/>
    <w:rsid w:val="00F93BC3"/>
    <w:rsid w:val="00F94C0D"/>
    <w:rsid w:val="00F94DF5"/>
    <w:rsid w:val="00F96356"/>
    <w:rsid w:val="00F96FEC"/>
    <w:rsid w:val="00F970AD"/>
    <w:rsid w:val="00FA09A7"/>
    <w:rsid w:val="00FA0BB1"/>
    <w:rsid w:val="00FA1B28"/>
    <w:rsid w:val="00FA3FDC"/>
    <w:rsid w:val="00FA623A"/>
    <w:rsid w:val="00FA63D7"/>
    <w:rsid w:val="00FB07A8"/>
    <w:rsid w:val="00FB10BB"/>
    <w:rsid w:val="00FB1C87"/>
    <w:rsid w:val="00FB26DA"/>
    <w:rsid w:val="00FB319B"/>
    <w:rsid w:val="00FB32E1"/>
    <w:rsid w:val="00FB3D69"/>
    <w:rsid w:val="00FB58BC"/>
    <w:rsid w:val="00FB6109"/>
    <w:rsid w:val="00FB7BE3"/>
    <w:rsid w:val="00FC0C49"/>
    <w:rsid w:val="00FC0CF6"/>
    <w:rsid w:val="00FC174D"/>
    <w:rsid w:val="00FC17F6"/>
    <w:rsid w:val="00FC1F7B"/>
    <w:rsid w:val="00FC49C8"/>
    <w:rsid w:val="00FC523E"/>
    <w:rsid w:val="00FC52FD"/>
    <w:rsid w:val="00FC54B9"/>
    <w:rsid w:val="00FC76E0"/>
    <w:rsid w:val="00FD1220"/>
    <w:rsid w:val="00FD1DB6"/>
    <w:rsid w:val="00FD1E39"/>
    <w:rsid w:val="00FD1FF3"/>
    <w:rsid w:val="00FD2233"/>
    <w:rsid w:val="00FD259E"/>
    <w:rsid w:val="00FD33C4"/>
    <w:rsid w:val="00FD4A56"/>
    <w:rsid w:val="00FD5CB7"/>
    <w:rsid w:val="00FD5D9B"/>
    <w:rsid w:val="00FD62CD"/>
    <w:rsid w:val="00FD64B3"/>
    <w:rsid w:val="00FD6937"/>
    <w:rsid w:val="00FD7E77"/>
    <w:rsid w:val="00FE14D3"/>
    <w:rsid w:val="00FE30AF"/>
    <w:rsid w:val="00FE3955"/>
    <w:rsid w:val="00FE3B6D"/>
    <w:rsid w:val="00FE4B3E"/>
    <w:rsid w:val="00FE4EDF"/>
    <w:rsid w:val="00FE5198"/>
    <w:rsid w:val="00FE6368"/>
    <w:rsid w:val="00FE63AE"/>
    <w:rsid w:val="00FE7564"/>
    <w:rsid w:val="00FE7CBD"/>
    <w:rsid w:val="00FF08A8"/>
    <w:rsid w:val="00FF0B14"/>
    <w:rsid w:val="00FF11A5"/>
    <w:rsid w:val="00FF2474"/>
    <w:rsid w:val="00FF3B69"/>
    <w:rsid w:val="00FF3D88"/>
    <w:rsid w:val="00FF5291"/>
    <w:rsid w:val="00FF5866"/>
    <w:rsid w:val="00FF63E8"/>
    <w:rsid w:val="00FF6659"/>
    <w:rsid w:val="00FF66B5"/>
    <w:rsid w:val="00FF6A02"/>
    <w:rsid w:val="00FF6FB6"/>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CD"/>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uiPriority w:val="99"/>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HeaderChar">
    <w:name w:val="Header Char"/>
    <w:basedOn w:val="DefaultParagraphFont"/>
    <w:link w:val="Header"/>
    <w:uiPriority w:val="99"/>
    <w:rsid w:val="00137623"/>
    <w:rPr>
      <w:sz w:val="24"/>
      <w:szCs w:val="24"/>
    </w:rPr>
  </w:style>
  <w:style w:type="character" w:customStyle="1" w:styleId="xdtextbox1">
    <w:name w:val="xdtextbox1"/>
    <w:basedOn w:val="DefaultParagraphFont"/>
    <w:rsid w:val="00C07AFB"/>
    <w:rPr>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CD"/>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uiPriority w:val="99"/>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HeaderChar">
    <w:name w:val="Header Char"/>
    <w:basedOn w:val="DefaultParagraphFont"/>
    <w:link w:val="Header"/>
    <w:uiPriority w:val="99"/>
    <w:rsid w:val="00137623"/>
    <w:rPr>
      <w:sz w:val="24"/>
      <w:szCs w:val="24"/>
    </w:rPr>
  </w:style>
  <w:style w:type="character" w:customStyle="1" w:styleId="xdtextbox1">
    <w:name w:val="xdtextbox1"/>
    <w:basedOn w:val="DefaultParagraphFont"/>
    <w:rsid w:val="00C07AFB"/>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25431729">
      <w:bodyDiv w:val="1"/>
      <w:marLeft w:val="0"/>
      <w:marRight w:val="0"/>
      <w:marTop w:val="0"/>
      <w:marBottom w:val="0"/>
      <w:divBdr>
        <w:top w:val="none" w:sz="0" w:space="0" w:color="auto"/>
        <w:left w:val="none" w:sz="0" w:space="0" w:color="auto"/>
        <w:bottom w:val="none" w:sz="0" w:space="0" w:color="auto"/>
        <w:right w:val="none" w:sz="0" w:space="0" w:color="auto"/>
      </w:divBdr>
      <w:divsChild>
        <w:div w:id="637346108">
          <w:marLeft w:val="0"/>
          <w:marRight w:val="0"/>
          <w:marTop w:val="0"/>
          <w:marBottom w:val="0"/>
          <w:divBdr>
            <w:top w:val="none" w:sz="0" w:space="0" w:color="auto"/>
            <w:left w:val="none" w:sz="0" w:space="0" w:color="auto"/>
            <w:bottom w:val="none" w:sz="0" w:space="0" w:color="auto"/>
            <w:right w:val="none" w:sz="0" w:space="0" w:color="auto"/>
          </w:divBdr>
        </w:div>
        <w:div w:id="2138137488">
          <w:marLeft w:val="0"/>
          <w:marRight w:val="0"/>
          <w:marTop w:val="0"/>
          <w:marBottom w:val="0"/>
          <w:divBdr>
            <w:top w:val="none" w:sz="0" w:space="0" w:color="auto"/>
            <w:left w:val="none" w:sz="0" w:space="0" w:color="auto"/>
            <w:bottom w:val="none" w:sz="0" w:space="0" w:color="auto"/>
            <w:right w:val="none" w:sz="0" w:space="0" w:color="auto"/>
          </w:divBdr>
        </w:div>
      </w:divsChild>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582258467">
      <w:bodyDiv w:val="1"/>
      <w:marLeft w:val="0"/>
      <w:marRight w:val="0"/>
      <w:marTop w:val="0"/>
      <w:marBottom w:val="0"/>
      <w:divBdr>
        <w:top w:val="none" w:sz="0" w:space="0" w:color="auto"/>
        <w:left w:val="none" w:sz="0" w:space="0" w:color="auto"/>
        <w:bottom w:val="none" w:sz="0" w:space="0" w:color="auto"/>
        <w:right w:val="none" w:sz="0" w:space="0" w:color="auto"/>
      </w:divBdr>
      <w:divsChild>
        <w:div w:id="1065567231">
          <w:marLeft w:val="0"/>
          <w:marRight w:val="0"/>
          <w:marTop w:val="0"/>
          <w:marBottom w:val="0"/>
          <w:divBdr>
            <w:top w:val="none" w:sz="0" w:space="0" w:color="auto"/>
            <w:left w:val="none" w:sz="0" w:space="0" w:color="auto"/>
            <w:bottom w:val="none" w:sz="0" w:space="0" w:color="auto"/>
            <w:right w:val="none" w:sz="0" w:space="0" w:color="auto"/>
          </w:divBdr>
        </w:div>
        <w:div w:id="933393407">
          <w:marLeft w:val="0"/>
          <w:marRight w:val="0"/>
          <w:marTop w:val="0"/>
          <w:marBottom w:val="0"/>
          <w:divBdr>
            <w:top w:val="none" w:sz="0" w:space="0" w:color="auto"/>
            <w:left w:val="none" w:sz="0" w:space="0" w:color="auto"/>
            <w:bottom w:val="none" w:sz="0" w:space="0" w:color="auto"/>
            <w:right w:val="none" w:sz="0" w:space="0" w:color="auto"/>
          </w:divBdr>
        </w:div>
        <w:div w:id="440418168">
          <w:marLeft w:val="0"/>
          <w:marRight w:val="0"/>
          <w:marTop w:val="0"/>
          <w:marBottom w:val="0"/>
          <w:divBdr>
            <w:top w:val="none" w:sz="0" w:space="0" w:color="auto"/>
            <w:left w:val="none" w:sz="0" w:space="0" w:color="auto"/>
            <w:bottom w:val="none" w:sz="0" w:space="0" w:color="auto"/>
            <w:right w:val="none" w:sz="0" w:space="0" w:color="auto"/>
          </w:divBdr>
        </w:div>
        <w:div w:id="1955480033">
          <w:marLeft w:val="0"/>
          <w:marRight w:val="0"/>
          <w:marTop w:val="0"/>
          <w:marBottom w:val="0"/>
          <w:divBdr>
            <w:top w:val="none" w:sz="0" w:space="0" w:color="auto"/>
            <w:left w:val="none" w:sz="0" w:space="0" w:color="auto"/>
            <w:bottom w:val="none" w:sz="0" w:space="0" w:color="auto"/>
            <w:right w:val="none" w:sz="0" w:space="0" w:color="auto"/>
          </w:divBdr>
        </w:div>
      </w:divsChild>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0123323">
      <w:bodyDiv w:val="1"/>
      <w:marLeft w:val="0"/>
      <w:marRight w:val="0"/>
      <w:marTop w:val="0"/>
      <w:marBottom w:val="0"/>
      <w:divBdr>
        <w:top w:val="none" w:sz="0" w:space="0" w:color="auto"/>
        <w:left w:val="none" w:sz="0" w:space="0" w:color="auto"/>
        <w:bottom w:val="none" w:sz="0" w:space="0" w:color="auto"/>
        <w:right w:val="none" w:sz="0" w:space="0" w:color="auto"/>
      </w:divBdr>
      <w:divsChild>
        <w:div w:id="1826704436">
          <w:marLeft w:val="0"/>
          <w:marRight w:val="0"/>
          <w:marTop w:val="0"/>
          <w:marBottom w:val="0"/>
          <w:divBdr>
            <w:top w:val="none" w:sz="0" w:space="0" w:color="auto"/>
            <w:left w:val="none" w:sz="0" w:space="0" w:color="auto"/>
            <w:bottom w:val="none" w:sz="0" w:space="0" w:color="auto"/>
            <w:right w:val="none" w:sz="0" w:space="0" w:color="auto"/>
          </w:divBdr>
        </w:div>
        <w:div w:id="265772719">
          <w:marLeft w:val="0"/>
          <w:marRight w:val="0"/>
          <w:marTop w:val="0"/>
          <w:marBottom w:val="0"/>
          <w:divBdr>
            <w:top w:val="none" w:sz="0" w:space="0" w:color="auto"/>
            <w:left w:val="none" w:sz="0" w:space="0" w:color="auto"/>
            <w:bottom w:val="none" w:sz="0" w:space="0" w:color="auto"/>
            <w:right w:val="none" w:sz="0" w:space="0" w:color="auto"/>
          </w:divBdr>
        </w:div>
        <w:div w:id="339701511">
          <w:marLeft w:val="0"/>
          <w:marRight w:val="0"/>
          <w:marTop w:val="0"/>
          <w:marBottom w:val="0"/>
          <w:divBdr>
            <w:top w:val="none" w:sz="0" w:space="0" w:color="auto"/>
            <w:left w:val="none" w:sz="0" w:space="0" w:color="auto"/>
            <w:bottom w:val="none" w:sz="0" w:space="0" w:color="auto"/>
            <w:right w:val="none" w:sz="0" w:space="0" w:color="auto"/>
          </w:divBdr>
        </w:div>
        <w:div w:id="173688445">
          <w:marLeft w:val="0"/>
          <w:marRight w:val="0"/>
          <w:marTop w:val="0"/>
          <w:marBottom w:val="0"/>
          <w:divBdr>
            <w:top w:val="none" w:sz="0" w:space="0" w:color="auto"/>
            <w:left w:val="none" w:sz="0" w:space="0" w:color="auto"/>
            <w:bottom w:val="none" w:sz="0" w:space="0" w:color="auto"/>
            <w:right w:val="none" w:sz="0" w:space="0" w:color="auto"/>
          </w:divBdr>
        </w:div>
        <w:div w:id="1228808764">
          <w:marLeft w:val="0"/>
          <w:marRight w:val="0"/>
          <w:marTop w:val="0"/>
          <w:marBottom w:val="0"/>
          <w:divBdr>
            <w:top w:val="none" w:sz="0" w:space="0" w:color="auto"/>
            <w:left w:val="none" w:sz="0" w:space="0" w:color="auto"/>
            <w:bottom w:val="none" w:sz="0" w:space="0" w:color="auto"/>
            <w:right w:val="none" w:sz="0" w:space="0" w:color="auto"/>
          </w:divBdr>
        </w:div>
        <w:div w:id="1518422094">
          <w:marLeft w:val="0"/>
          <w:marRight w:val="0"/>
          <w:marTop w:val="0"/>
          <w:marBottom w:val="0"/>
          <w:divBdr>
            <w:top w:val="none" w:sz="0" w:space="0" w:color="auto"/>
            <w:left w:val="none" w:sz="0" w:space="0" w:color="auto"/>
            <w:bottom w:val="none" w:sz="0" w:space="0" w:color="auto"/>
            <w:right w:val="none" w:sz="0" w:space="0" w:color="auto"/>
          </w:divBdr>
        </w:div>
      </w:divsChild>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ls.strokis@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CECC-0818-4043-B68C-6CE4C1C5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1575</Words>
  <Characters>11338</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25.augusta noteikumos Nr.971 „Noteikumi par darbības programmas „Infrastruktūra un pakalpojumi” papildinājuma 3.3.2.1.aktivitāti „Ilgtspējīga sabiedriskā transporta sistēmas attīs</vt:lpstr>
    </vt:vector>
  </TitlesOfParts>
  <Company>VARAM</Company>
  <LinksUpToDate>false</LinksUpToDate>
  <CharactersWithSpaces>12888</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25.augusta noteikumos Nr.971 „Noteikumi par darbības programmas „Infrastruktūra un pakalpojumi” papildinājuma 3.3.2.1.aktivitāti „Ilgtspējīga sabiedriskā transporta sistēmas attīstība"" sākotnējās ietekmes novērtējuma ziņojums (anotācija)</dc:title>
  <dc:subject>Noteikumu projekta anotācija</dc:subject>
  <dc:creator>Egils.Stokis@sam.gov.lv</dc:creator>
  <dc:description>SAManot_200616_sabtransports_groz971</dc:description>
  <cp:lastModifiedBy>Egīls Stoķis</cp:lastModifiedBy>
  <cp:revision>22</cp:revision>
  <cp:lastPrinted>2016-06-15T07:50:00Z</cp:lastPrinted>
  <dcterms:created xsi:type="dcterms:W3CDTF">2016-06-20T11:53:00Z</dcterms:created>
  <dcterms:modified xsi:type="dcterms:W3CDTF">2016-06-21T05:56:00Z</dcterms:modified>
</cp:coreProperties>
</file>