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1EB" w:rsidRPr="00193FA4" w:rsidRDefault="00F6314A" w:rsidP="00FF4919">
      <w:pPr>
        <w:spacing w:before="120" w:line="276" w:lineRule="auto"/>
        <w:jc w:val="center"/>
      </w:pPr>
      <w:r w:rsidRPr="00193FA4">
        <w:t>Ministru kabineta rīkojuma projekta</w:t>
      </w:r>
      <w:r w:rsidR="00357442" w:rsidRPr="00193FA4">
        <w:t xml:space="preserve"> </w:t>
      </w:r>
      <w:r w:rsidR="00FA4112" w:rsidRPr="00193FA4">
        <w:t>“</w:t>
      </w:r>
      <w:r w:rsidR="003B740C" w:rsidRPr="00193FA4">
        <w:t>Par atšķirīgu dividendēs izmaksājamo valsts akciju sabiedrības "Latvijas dzelzceļš" peļņas daļu par 2015.gadu</w:t>
      </w:r>
      <w:r w:rsidR="00EC3287">
        <w:t xml:space="preserve">” </w:t>
      </w:r>
      <w:r w:rsidR="00C80203" w:rsidRPr="00193FA4">
        <w:t xml:space="preserve">sākotnējās ietekmes novērtējuma </w:t>
      </w:r>
      <w:smartTag w:uri="schemas-tilde-lv/tildestengine" w:element="veidnes">
        <w:smartTagPr>
          <w:attr w:name="text" w:val="ziņojums"/>
          <w:attr w:name="baseform" w:val="ziņojums"/>
          <w:attr w:name="id" w:val="-1"/>
        </w:smartTagPr>
        <w:r w:rsidR="00C80203" w:rsidRPr="00193FA4">
          <w:t>ziņojums</w:t>
        </w:r>
      </w:smartTag>
      <w:r w:rsidR="00C80203" w:rsidRPr="00193FA4">
        <w:t xml:space="preserve"> (</w:t>
      </w:r>
      <w:r w:rsidR="002A3B66" w:rsidRPr="00193FA4">
        <w:t>a</w:t>
      </w:r>
      <w:r w:rsidR="00A911EB" w:rsidRPr="00193FA4">
        <w:t>notācija</w:t>
      </w:r>
      <w:r w:rsidR="00C80203" w:rsidRPr="00193FA4">
        <w:t>)</w:t>
      </w:r>
    </w:p>
    <w:p w:rsidR="00D54FDA" w:rsidRPr="00193FA4" w:rsidRDefault="00D54FDA" w:rsidP="00FF4919">
      <w:pPr>
        <w:pStyle w:val="BodyText"/>
        <w:spacing w:before="120" w:after="0" w:line="276"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
        <w:gridCol w:w="2376"/>
        <w:gridCol w:w="6108"/>
      </w:tblGrid>
      <w:tr w:rsidR="00FA4112" w:rsidRPr="00193FA4" w:rsidTr="00184DF9">
        <w:tc>
          <w:tcPr>
            <w:tcW w:w="9005" w:type="dxa"/>
            <w:gridSpan w:val="3"/>
          </w:tcPr>
          <w:p w:rsidR="003A4EAB" w:rsidRPr="00193FA4" w:rsidRDefault="003A4EAB" w:rsidP="00FF4919">
            <w:pPr>
              <w:spacing w:before="120" w:line="276" w:lineRule="auto"/>
              <w:jc w:val="center"/>
              <w:rPr>
                <w:b/>
              </w:rPr>
            </w:pPr>
            <w:r w:rsidRPr="00193FA4">
              <w:rPr>
                <w:b/>
              </w:rPr>
              <w:t>I. Tiesību akta projekta izstrādes nepieciešamība</w:t>
            </w:r>
          </w:p>
        </w:tc>
      </w:tr>
      <w:tr w:rsidR="00FA4112" w:rsidRPr="00193FA4" w:rsidTr="00184DF9">
        <w:tc>
          <w:tcPr>
            <w:tcW w:w="521" w:type="dxa"/>
          </w:tcPr>
          <w:p w:rsidR="003A4EAB" w:rsidRPr="00193FA4" w:rsidRDefault="003A4EAB" w:rsidP="00FF4919">
            <w:pPr>
              <w:spacing w:before="120" w:line="276" w:lineRule="auto"/>
              <w:jc w:val="center"/>
            </w:pPr>
            <w:r w:rsidRPr="00193FA4">
              <w:t xml:space="preserve">1. </w:t>
            </w:r>
          </w:p>
        </w:tc>
        <w:tc>
          <w:tcPr>
            <w:tcW w:w="2376" w:type="dxa"/>
          </w:tcPr>
          <w:p w:rsidR="003A4EAB" w:rsidRPr="00193FA4" w:rsidRDefault="003A4EAB" w:rsidP="00FF4919">
            <w:pPr>
              <w:spacing w:before="120" w:line="276" w:lineRule="auto"/>
              <w:jc w:val="center"/>
            </w:pPr>
            <w:r w:rsidRPr="00193FA4">
              <w:t>Pamatojums</w:t>
            </w:r>
          </w:p>
        </w:tc>
        <w:tc>
          <w:tcPr>
            <w:tcW w:w="6108" w:type="dxa"/>
          </w:tcPr>
          <w:p w:rsidR="00B52A73" w:rsidRPr="00193FA4" w:rsidRDefault="007C7542" w:rsidP="00EC3287">
            <w:pPr>
              <w:pStyle w:val="BodyText"/>
              <w:spacing w:after="0" w:line="276" w:lineRule="auto"/>
              <w:jc w:val="both"/>
            </w:pPr>
            <w:r w:rsidRPr="00193FA4">
              <w:t>S</w:t>
            </w:r>
            <w:r w:rsidR="00357442" w:rsidRPr="00193FA4">
              <w:t>askaņā ar</w:t>
            </w:r>
            <w:r w:rsidR="000A08C0" w:rsidRPr="00193FA4">
              <w:t xml:space="preserve"> </w:t>
            </w:r>
            <w:r w:rsidR="00C5213A" w:rsidRPr="00193FA4">
              <w:t>2015.</w:t>
            </w:r>
            <w:r w:rsidR="00357442" w:rsidRPr="00193FA4">
              <w:t>gada 22.decembra</w:t>
            </w:r>
            <w:r w:rsidR="00C5213A" w:rsidRPr="00193FA4">
              <w:t xml:space="preserve"> Ministru kabineta noteikumu Nr.806 </w:t>
            </w:r>
            <w:r w:rsidR="00C972BC" w:rsidRPr="00193FA4">
              <w:t xml:space="preserve">“Kārtība, kādā valsts kapitālsabiedrības un publiski privātās kapitālsabiedrības, kurās valsts ir dalībnieks (akcionārs), prognozē un nosaka dividendēs izmaksājamo peļņas daļu un veic maksājumus valsts budžetā par valsts kapitāla izmantošanu” </w:t>
            </w:r>
            <w:r w:rsidR="00C5213A" w:rsidRPr="00193FA4">
              <w:t>3.punktu, minimālā prognozējamā peļņas daļa, kas izmaksājama dividendēs, un dividendēs izmaksājamā peļņas daļa ir 50 % no kapitālsabiedrības tīrās peļņas, ja atbilstoši šo noteikumu</w:t>
            </w:r>
            <w:hyperlink r:id="rId10" w:anchor="n2" w:tgtFrame="_blank" w:history="1">
              <w:r w:rsidR="00C5213A" w:rsidRPr="00193FA4">
                <w:t xml:space="preserve"> II nodaļai</w:t>
              </w:r>
            </w:hyperlink>
            <w:r w:rsidR="00C5213A" w:rsidRPr="00193FA4">
              <w:t xml:space="preserve"> kapitālsabiedrības vidējā termiņa darbības stratēģijā nav noteikts citādi. Savukārt šo</w:t>
            </w:r>
            <w:r w:rsidR="00357442" w:rsidRPr="00193FA4">
              <w:t xml:space="preserve"> noteikumu 4.punkts paredz, ka k</w:t>
            </w:r>
            <w:r w:rsidR="00C5213A" w:rsidRPr="00193FA4">
              <w:t xml:space="preserve">apitālsabiedrība, izstrādājot </w:t>
            </w:r>
            <w:hyperlink r:id="rId11" w:tgtFrame="_blank" w:history="1">
              <w:r w:rsidR="00C5213A" w:rsidRPr="00193FA4">
                <w:t>Publiskas personas kapitāla daļu un kapitālsabiedrību pārvaldības likumā</w:t>
              </w:r>
            </w:hyperlink>
            <w:r w:rsidR="00C5213A" w:rsidRPr="00193FA4">
              <w:t xml:space="preserve"> (turpmāk – </w:t>
            </w:r>
            <w:r w:rsidR="00FA4112" w:rsidRPr="00193FA4">
              <w:t>L</w:t>
            </w:r>
            <w:r w:rsidR="00C5213A" w:rsidRPr="00193FA4">
              <w:t xml:space="preserve">ikums) noteikto stratēģiju, ietver tajā priekšlikumu par prognozējamo peļņas daļu, kas izmaksājama dividendēs (naudas izteiksmē un procentos no prognozētās tīrās peļņas visam stratēģijas darbības termiņam, bet ne ilgāk kā uz septiņiem gadiem), ņemot vērā šo noteikumu </w:t>
            </w:r>
            <w:hyperlink r:id="rId12" w:anchor="p3" w:tgtFrame="_blank" w:history="1">
              <w:r w:rsidR="00C5213A" w:rsidRPr="00193FA4">
                <w:t>3. punktā</w:t>
              </w:r>
            </w:hyperlink>
            <w:r w:rsidR="00C5213A" w:rsidRPr="00193FA4">
              <w:t xml:space="preserve"> vai citos tiesību aktos minētos nosacījumus.</w:t>
            </w:r>
          </w:p>
          <w:p w:rsidR="00C5213A" w:rsidRPr="00193FA4" w:rsidRDefault="00C5213A" w:rsidP="00FF4919">
            <w:pPr>
              <w:pStyle w:val="BodyText"/>
              <w:spacing w:before="120" w:after="0" w:line="276" w:lineRule="auto"/>
              <w:jc w:val="both"/>
            </w:pPr>
            <w:r w:rsidRPr="00193FA4">
              <w:t xml:space="preserve">Saskaņā ar Likuma Pārejas noteikumu 10.punktu, nosakot saskaņā ar šā likuma </w:t>
            </w:r>
            <w:hyperlink r:id="rId13" w:anchor="p28" w:tgtFrame="_blank" w:history="1">
              <w:r w:rsidRPr="00193FA4">
                <w:t>28.pantu</w:t>
              </w:r>
            </w:hyperlink>
            <w:r w:rsidRPr="00193FA4">
              <w:t xml:space="preserve"> no dividendēm iegūstamo summāro ieņēmumu apmēru 2016.gadā, ievēro likumā par vidēja termiņa budžeta ietvaru noteikto prognozi.</w:t>
            </w:r>
          </w:p>
          <w:p w:rsidR="00C5213A" w:rsidRPr="00193FA4" w:rsidRDefault="00C5213A" w:rsidP="00FF4919">
            <w:pPr>
              <w:pStyle w:val="tv2132"/>
              <w:spacing w:before="120" w:line="276" w:lineRule="auto"/>
              <w:ind w:firstLine="0"/>
              <w:jc w:val="both"/>
              <w:rPr>
                <w:color w:val="auto"/>
                <w:sz w:val="24"/>
                <w:szCs w:val="24"/>
              </w:rPr>
            </w:pPr>
            <w:r w:rsidRPr="00193FA4">
              <w:rPr>
                <w:color w:val="auto"/>
                <w:sz w:val="24"/>
                <w:szCs w:val="24"/>
              </w:rPr>
              <w:t>Saskaņā ar likuma “</w:t>
            </w:r>
            <w:r w:rsidRPr="00193FA4">
              <w:rPr>
                <w:bCs/>
                <w:color w:val="auto"/>
                <w:sz w:val="24"/>
                <w:szCs w:val="24"/>
              </w:rPr>
              <w:t>Par vidēja termiņa budžeta ietvaru 2016., 2017. un 2018.gadam”</w:t>
            </w:r>
            <w:r w:rsidRPr="00193FA4">
              <w:rPr>
                <w:color w:val="auto"/>
                <w:sz w:val="24"/>
                <w:szCs w:val="24"/>
              </w:rPr>
              <w:t xml:space="preserve"> 22.pantu </w:t>
            </w:r>
            <w:r w:rsidRPr="00193FA4">
              <w:rPr>
                <w:bCs/>
                <w:color w:val="auto"/>
                <w:sz w:val="24"/>
                <w:szCs w:val="24"/>
              </w:rPr>
              <w:t>ir noteikts</w:t>
            </w:r>
            <w:r w:rsidRPr="00193FA4">
              <w:rPr>
                <w:color w:val="auto"/>
                <w:sz w:val="24"/>
                <w:szCs w:val="24"/>
              </w:rPr>
              <w:t>, ka minimālo dividendēs izmaksājamo peļņas daļu par 2015., 2016. un 2017.gada pārskata gadu valsts izšķirošajā ietekmē esošām kapitālsabiedrībām (tajā skaitā netiešā izšķirošajā ietekmē esošām kapitālsabiedrībām) nosaka un aprēķina 50 procentu apmērā, bet kapitālsabiedrībām, kurās visas kapitāla daļas tieši vai pastarpināti pieder valstij, 2016.gadā (par 2015.gada pārskata gadu) nosaka un aprēķina 90 procentu apmērā, 2017.gadā (par 2016.gada pārskata gadu) — 75 procentu apmērā un 2018.gadā (par 2017.gada pārskata gadu) — 70 procentu apmērā no attiecīgās kapitālsabiedrības tīrās peļņas.</w:t>
            </w:r>
          </w:p>
          <w:p w:rsidR="00C5213A" w:rsidRPr="00193FA4" w:rsidRDefault="00C5213A" w:rsidP="00FF4919">
            <w:pPr>
              <w:pStyle w:val="tv2132"/>
              <w:spacing w:before="120" w:line="276" w:lineRule="auto"/>
              <w:ind w:firstLine="0"/>
              <w:jc w:val="both"/>
              <w:rPr>
                <w:color w:val="auto"/>
                <w:sz w:val="24"/>
                <w:szCs w:val="24"/>
              </w:rPr>
            </w:pPr>
            <w:r w:rsidRPr="00193FA4">
              <w:rPr>
                <w:color w:val="auto"/>
                <w:sz w:val="24"/>
                <w:szCs w:val="24"/>
              </w:rPr>
              <w:t>Minēto dividendēs izm</w:t>
            </w:r>
            <w:r w:rsidR="00FA4112" w:rsidRPr="00193FA4">
              <w:rPr>
                <w:color w:val="auto"/>
                <w:sz w:val="24"/>
                <w:szCs w:val="24"/>
              </w:rPr>
              <w:t>aksājamo peļņas daļu attiecīgās k</w:t>
            </w:r>
            <w:r w:rsidRPr="00193FA4">
              <w:rPr>
                <w:color w:val="auto"/>
                <w:sz w:val="24"/>
                <w:szCs w:val="24"/>
              </w:rPr>
              <w:t>apitālsabiedrības ņem vērā, izstrādājot savas vidēja termiņa darbības stratēģijas.</w:t>
            </w:r>
          </w:p>
          <w:p w:rsidR="00C5213A" w:rsidRPr="00193FA4" w:rsidRDefault="00C5213A" w:rsidP="00FF4919">
            <w:pPr>
              <w:pStyle w:val="BodyText"/>
              <w:spacing w:before="120" w:after="0" w:line="276" w:lineRule="auto"/>
              <w:jc w:val="both"/>
            </w:pPr>
            <w:r w:rsidRPr="00193FA4">
              <w:lastRenderedPageBreak/>
              <w:t xml:space="preserve">Gadījumos, kad minēto nosacījumu izpilde būtu pretrunā ar valsts interesēm vai labas pārvaldības principiem, Ministru kabinets var pieņemt lēmumu par mazāku dividendēs izmaksājamās peļņas daļu, lēmuma pieņemšanā ievērojot </w:t>
            </w:r>
            <w:hyperlink r:id="rId14" w:tgtFrame="_blank" w:history="1">
              <w:r w:rsidRPr="00193FA4">
                <w:t>Publiskas personas kapitāla daļu un kapitālsabiedrību pārvaldības likuma</w:t>
              </w:r>
            </w:hyperlink>
            <w:r w:rsidRPr="00193FA4">
              <w:t xml:space="preserve"> </w:t>
            </w:r>
            <w:hyperlink r:id="rId15" w:anchor="p28" w:tgtFrame="_blank" w:history="1">
              <w:r w:rsidRPr="00193FA4">
                <w:t>28.pantā</w:t>
              </w:r>
            </w:hyperlink>
            <w:r w:rsidRPr="00193FA4">
              <w:t xml:space="preserve"> noteikto kārtību.</w:t>
            </w:r>
          </w:p>
          <w:p w:rsidR="007C7542" w:rsidRPr="00193FA4" w:rsidRDefault="007C7542" w:rsidP="00FF4919">
            <w:pPr>
              <w:pStyle w:val="BodyText"/>
              <w:spacing w:before="120" w:after="0" w:line="276" w:lineRule="auto"/>
              <w:jc w:val="both"/>
            </w:pPr>
            <w:r w:rsidRPr="00193FA4">
              <w:t xml:space="preserve">Saskaņā ar Likuma Pārejas noteikumu 19. punktu, publiskas personas kapitālsabiedrība saskaņā ar Likuma </w:t>
            </w:r>
            <w:hyperlink r:id="rId16" w:anchor="p57" w:tgtFrame="_blank" w:history="1">
              <w:r w:rsidRPr="00193FA4">
                <w:t>57.pantu</w:t>
              </w:r>
            </w:hyperlink>
            <w:r w:rsidRPr="00193FA4">
              <w:t xml:space="preserve"> izstrādā vidēja termiņa darbības stratēģiju līdz 2016.gada 30.martam.</w:t>
            </w:r>
          </w:p>
          <w:p w:rsidR="007C7542" w:rsidRPr="00193FA4" w:rsidRDefault="007C7542" w:rsidP="00FF4919">
            <w:pPr>
              <w:pStyle w:val="BodyText"/>
              <w:spacing w:before="120" w:after="0" w:line="276" w:lineRule="auto"/>
              <w:jc w:val="both"/>
            </w:pPr>
            <w:r w:rsidRPr="00193FA4">
              <w:t>VAS “Latvijas dzelzceļš” (</w:t>
            </w:r>
            <w:r w:rsidR="00357442" w:rsidRPr="00193FA4">
              <w:t xml:space="preserve">turpmāk - </w:t>
            </w:r>
            <w:r w:rsidRPr="00193FA4">
              <w:t xml:space="preserve">LDZ) ārkārtas akcionāru sapulce ar 21.12.2015. protokola nr. A-8 lēmumu A-8/4 “Par LDZ vidēja termiņa darbības stratēģiju 2016.-2020.gadam” izskatīja valdes sagatavoto LDZ vidēja termiņa darbības stratēģiju 2016.-2020.gadam un uzdeva to iesniegt tālākai virzīšanai </w:t>
            </w:r>
            <w:proofErr w:type="spellStart"/>
            <w:r w:rsidRPr="00193FA4">
              <w:t>Pārresoru</w:t>
            </w:r>
            <w:proofErr w:type="spellEnd"/>
            <w:r w:rsidRPr="00193FA4">
              <w:t xml:space="preserve"> koordinācijas centram atzinuma saņemšanai.</w:t>
            </w:r>
          </w:p>
          <w:p w:rsidR="007C7542" w:rsidRPr="00193FA4" w:rsidRDefault="007C7542" w:rsidP="00FF4919">
            <w:pPr>
              <w:pStyle w:val="BodyText"/>
              <w:spacing w:before="120" w:after="0" w:line="276" w:lineRule="auto"/>
              <w:jc w:val="both"/>
            </w:pPr>
            <w:r w:rsidRPr="00193FA4">
              <w:t xml:space="preserve">01.04.2016. LDZ saņemts </w:t>
            </w:r>
            <w:proofErr w:type="spellStart"/>
            <w:r w:rsidRPr="00193FA4">
              <w:t>Pārresoru</w:t>
            </w:r>
            <w:proofErr w:type="spellEnd"/>
            <w:r w:rsidRPr="00193FA4">
              <w:t xml:space="preserve"> koordinācijas centra atzinums par LDZ vidēja termiņa darbības stratēģiju 2016.-2020.gadam (01.04.2016. </w:t>
            </w:r>
            <w:proofErr w:type="spellStart"/>
            <w:r w:rsidRPr="00193FA4">
              <w:t>Pārresoru</w:t>
            </w:r>
            <w:proofErr w:type="spellEnd"/>
            <w:r w:rsidRPr="00193FA4">
              <w:t xml:space="preserve"> koordinācijas centra vēstule Nr.1.2-7/48 “LDZ vidēja termiņa darbības stratēģiju 2016.-2020.gadam projekta vērtējumu”).</w:t>
            </w:r>
          </w:p>
          <w:p w:rsidR="007C7542" w:rsidRPr="00193FA4" w:rsidRDefault="007C7542" w:rsidP="00FF4919">
            <w:pPr>
              <w:pStyle w:val="BodyText"/>
              <w:spacing w:before="120" w:after="0" w:line="276" w:lineRule="auto"/>
              <w:jc w:val="both"/>
            </w:pPr>
            <w:r w:rsidRPr="00193FA4">
              <w:t xml:space="preserve">LDZ 2015.gada pārskats apstiprināts ar LDZ kārtējās akcionāru sapulces 18.04.2016. protokola </w:t>
            </w:r>
            <w:proofErr w:type="spellStart"/>
            <w:r w:rsidRPr="00193FA4">
              <w:t>nr.A-</w:t>
            </w:r>
            <w:r w:rsidR="00152767" w:rsidRPr="00193FA4">
              <w:t>4</w:t>
            </w:r>
            <w:proofErr w:type="spellEnd"/>
            <w:r w:rsidRPr="00193FA4">
              <w:t xml:space="preserve"> lēmumu </w:t>
            </w:r>
            <w:r w:rsidR="00152767" w:rsidRPr="00193FA4">
              <w:br/>
            </w:r>
            <w:r w:rsidRPr="00193FA4">
              <w:t>A-</w:t>
            </w:r>
            <w:r w:rsidR="00152767" w:rsidRPr="00193FA4">
              <w:t xml:space="preserve">4/1 </w:t>
            </w:r>
            <w:r w:rsidRPr="00193FA4">
              <w:t>”Par</w:t>
            </w:r>
            <w:r w:rsidR="00152767" w:rsidRPr="00193FA4">
              <w:t xml:space="preserve"> VAS “Latvijas dzelzceļš” 2015.gada pārskatu</w:t>
            </w:r>
            <w:r w:rsidRPr="00193FA4">
              <w:t>”.</w:t>
            </w:r>
            <w:r w:rsidR="00C90459" w:rsidRPr="00193FA4">
              <w:t xml:space="preserve"> Jautājums par peļņas sadali atlikts </w:t>
            </w:r>
            <w:r w:rsidR="00AD7474" w:rsidRPr="00193FA4">
              <w:t>līdz brīdim, kad Ministru kabinets izskatīs jautājumu par atšķirīgu LDZ dividendēs izmaksājamo peļņas daļu</w:t>
            </w:r>
            <w:r w:rsidR="00152767" w:rsidRPr="00193FA4">
              <w:t>.</w:t>
            </w:r>
          </w:p>
          <w:p w:rsidR="007C7542" w:rsidRPr="00193FA4" w:rsidRDefault="007C7542" w:rsidP="00FF4919">
            <w:pPr>
              <w:pStyle w:val="BodyText"/>
              <w:spacing w:before="120" w:after="0" w:line="276" w:lineRule="auto"/>
              <w:jc w:val="both"/>
            </w:pPr>
            <w:r w:rsidRPr="00193FA4">
              <w:t>Saskaņā ar 22.12.2015. Ministru kabineta noteikumu Nr.806 9.punktu, Valsts kapitāla daļu turētājs nodrošina, ka dalībnieku (akcionāru) sapulce ne vēlāk kā divus mēnešus pēc kapitālsabiedrības gada pārskata apstiprināšanas pieņem lēmumu par dividendēs izmaksājamo peļņas daļu procentos no kapitālsabiedrības tīrās peļņas atbilstoši kapitālsabiedrības stratēģijā noteiktajam.</w:t>
            </w:r>
          </w:p>
          <w:p w:rsidR="007C7542" w:rsidRPr="00193FA4" w:rsidRDefault="007C7542" w:rsidP="00FF4919">
            <w:pPr>
              <w:pStyle w:val="BodyText"/>
              <w:spacing w:before="120" w:after="0" w:line="276" w:lineRule="auto"/>
              <w:jc w:val="both"/>
            </w:pPr>
            <w:r w:rsidRPr="00193FA4">
              <w:t>Ievērojot minēto, LDZ akcionāru sapulces lēmums par LDZ valstij dividendēs izmaksājamo peļņas daļu par 2015.gadu jāpieņem ne vēlāk kā līdz 17.06.2016.</w:t>
            </w:r>
          </w:p>
          <w:p w:rsidR="007C7542" w:rsidRPr="00193FA4" w:rsidRDefault="007C7542" w:rsidP="00FF4919">
            <w:pPr>
              <w:pStyle w:val="BodyText"/>
              <w:spacing w:before="120" w:after="0" w:line="276" w:lineRule="auto"/>
              <w:jc w:val="both"/>
            </w:pPr>
            <w:r w:rsidRPr="00193FA4">
              <w:t xml:space="preserve">Ņemot vērā, ka uz LDZ gada pārskata apstiprināšanas brīdi LDZ vidēja termiņa darbības stratēģija 2016.-2020.gadam nav apstiprināta, nav iespējams piemērot Likuma 28.pantā noteikto kārtību. </w:t>
            </w:r>
          </w:p>
          <w:p w:rsidR="003A4EAB" w:rsidRPr="00193FA4" w:rsidRDefault="007C7542" w:rsidP="00EC3287">
            <w:pPr>
              <w:pStyle w:val="BodyText"/>
              <w:spacing w:before="120" w:after="0" w:line="276" w:lineRule="auto"/>
              <w:jc w:val="both"/>
            </w:pPr>
            <w:r w:rsidRPr="00193FA4">
              <w:lastRenderedPageBreak/>
              <w:t xml:space="preserve">LDZ vidēja termiņa darbības stratēģija 2016.-2020.gadam redakcija, kas pieņemta zināšanai akcionāru sapulcē un par kuru saņemts </w:t>
            </w:r>
            <w:proofErr w:type="spellStart"/>
            <w:r w:rsidRPr="00193FA4">
              <w:t>Pārresoru</w:t>
            </w:r>
            <w:proofErr w:type="spellEnd"/>
            <w:r w:rsidRPr="00193FA4">
              <w:t xml:space="preserve"> koordinācijas institūcijas atzinums</w:t>
            </w:r>
            <w:r w:rsidR="00EC3287">
              <w:t>,</w:t>
            </w:r>
            <w:r w:rsidRPr="00193FA4">
              <w:t xml:space="preserve"> ietver plānoto minimālo dividendēs izmaksājamo peļņas daļu 0</w:t>
            </w:r>
            <w:r w:rsidR="00EC3287">
              <w:t> </w:t>
            </w:r>
            <w:r w:rsidRPr="00193FA4">
              <w:t>% apmērā.</w:t>
            </w:r>
          </w:p>
        </w:tc>
      </w:tr>
      <w:tr w:rsidR="00FA4112" w:rsidRPr="00193FA4" w:rsidTr="00184DF9">
        <w:tc>
          <w:tcPr>
            <w:tcW w:w="521" w:type="dxa"/>
          </w:tcPr>
          <w:p w:rsidR="003A4EAB" w:rsidRPr="00193FA4" w:rsidRDefault="003A4EAB" w:rsidP="00FF4919">
            <w:pPr>
              <w:spacing w:before="120" w:line="276" w:lineRule="auto"/>
              <w:jc w:val="center"/>
            </w:pPr>
            <w:r w:rsidRPr="00193FA4">
              <w:lastRenderedPageBreak/>
              <w:t xml:space="preserve">2. </w:t>
            </w:r>
          </w:p>
        </w:tc>
        <w:tc>
          <w:tcPr>
            <w:tcW w:w="2376" w:type="dxa"/>
          </w:tcPr>
          <w:p w:rsidR="003A4EAB" w:rsidRPr="00193FA4" w:rsidRDefault="00184DF9" w:rsidP="00FF4919">
            <w:pPr>
              <w:spacing w:before="120" w:line="276" w:lineRule="auto"/>
            </w:pPr>
            <w:r w:rsidRPr="00193FA4">
              <w:t>Pašreizējā situācija un problēmas, kuru risināšanai tiesību akta projekts izstrādāts, tiesiskā regulējuma mērķis un būtība</w:t>
            </w:r>
          </w:p>
        </w:tc>
        <w:tc>
          <w:tcPr>
            <w:tcW w:w="6108" w:type="dxa"/>
          </w:tcPr>
          <w:p w:rsidR="00356462" w:rsidRPr="00193FA4" w:rsidRDefault="00356462" w:rsidP="00FF4919">
            <w:pPr>
              <w:spacing w:before="120" w:line="276" w:lineRule="auto"/>
              <w:ind w:right="-1"/>
              <w:jc w:val="both"/>
            </w:pPr>
            <w:r w:rsidRPr="00193FA4">
              <w:t>VAS „Latvijas dzelzceļš”</w:t>
            </w:r>
            <w:r w:rsidR="00357442" w:rsidRPr="00193FA4">
              <w:t xml:space="preserve"> </w:t>
            </w:r>
            <w:r w:rsidR="004B3C97" w:rsidRPr="00193FA4">
              <w:t>2015</w:t>
            </w:r>
            <w:r w:rsidRPr="00193FA4">
              <w:t xml:space="preserve">.gada pārskata perioda peļņa pēc nodokļiem ir </w:t>
            </w:r>
            <w:r w:rsidR="004B3C97" w:rsidRPr="00193FA4">
              <w:t xml:space="preserve">2 067 190 </w:t>
            </w:r>
            <w:r w:rsidR="00EF485D" w:rsidRPr="00193FA4">
              <w:t>EUR</w:t>
            </w:r>
            <w:r w:rsidRPr="00193FA4">
              <w:t>.</w:t>
            </w:r>
          </w:p>
          <w:p w:rsidR="00EB09DE" w:rsidRPr="00193FA4" w:rsidRDefault="0005263B" w:rsidP="00FF4919">
            <w:pPr>
              <w:spacing w:before="120" w:line="276" w:lineRule="auto"/>
              <w:jc w:val="both"/>
            </w:pPr>
            <w:r w:rsidRPr="00193FA4">
              <w:t>VAS „Latvijas dzelzceļš” pamatdarbības rezultātu būtiski ietekmē kravu pārvadājumu apjomu svārstības, jo ieņēmumu apmērs – maksājumi par publiskās lietošanas dzelzceļa infrastruktūras izmantošanu ir tieši proporcionāl</w:t>
            </w:r>
            <w:r w:rsidR="000A3592" w:rsidRPr="00193FA4">
              <w:t>i</w:t>
            </w:r>
            <w:r w:rsidRPr="00193FA4">
              <w:t xml:space="preserve"> vilcienu nobraukumiem. Maksu par šo pakalpojumu nosaka pēc Sabiedrisko pakalpojumu regulēšanas komisijas metodikas. Metodika</w:t>
            </w:r>
            <w:r w:rsidR="002918BC" w:rsidRPr="00193FA4">
              <w:t xml:space="preserve"> </w:t>
            </w:r>
            <w:r w:rsidRPr="00193FA4">
              <w:t>ierobežo peļņas normu</w:t>
            </w:r>
            <w:r w:rsidR="002918BC" w:rsidRPr="00193FA4">
              <w:t>, izmantojot regulējamo aktīvu bāzi</w:t>
            </w:r>
            <w:r w:rsidR="000A3592" w:rsidRPr="00193FA4">
              <w:t xml:space="preserve"> </w:t>
            </w:r>
            <w:r w:rsidR="002918BC" w:rsidRPr="00193FA4">
              <w:t>(RAB)</w:t>
            </w:r>
            <w:r w:rsidR="00EF2214" w:rsidRPr="00193FA4">
              <w:t xml:space="preserve"> </w:t>
            </w:r>
            <w:r w:rsidR="002918BC" w:rsidRPr="00193FA4">
              <w:t xml:space="preserve">un vidējo svērto kapitāla </w:t>
            </w:r>
            <w:r w:rsidR="000A3592" w:rsidRPr="00193FA4">
              <w:t xml:space="preserve"> atdeves </w:t>
            </w:r>
            <w:r w:rsidR="002918BC" w:rsidRPr="00193FA4">
              <w:t>likmi (</w:t>
            </w:r>
            <w:proofErr w:type="spellStart"/>
            <w:r w:rsidR="002918BC" w:rsidRPr="00193FA4">
              <w:t>wacc</w:t>
            </w:r>
            <w:proofErr w:type="spellEnd"/>
            <w:r w:rsidR="002918BC" w:rsidRPr="00193FA4">
              <w:t xml:space="preserve">). Trīs pēdējo gadu laikā </w:t>
            </w:r>
            <w:proofErr w:type="spellStart"/>
            <w:r w:rsidR="002918BC" w:rsidRPr="00193FA4">
              <w:t>wacc</w:t>
            </w:r>
            <w:proofErr w:type="spellEnd"/>
            <w:r w:rsidR="002918BC" w:rsidRPr="00193FA4">
              <w:t xml:space="preserve"> lielums</w:t>
            </w:r>
            <w:r w:rsidR="00EF485D" w:rsidRPr="00193FA4">
              <w:t xml:space="preserve"> ir samazinājies</w:t>
            </w:r>
            <w:r w:rsidR="002918BC" w:rsidRPr="00193FA4">
              <w:t xml:space="preserve">: 2013.gadā  3%, 2014.gadā – 2,7%, 2015.gadā – </w:t>
            </w:r>
            <w:r w:rsidR="00FE3F4A" w:rsidRPr="00193FA4">
              <w:t>2,6</w:t>
            </w:r>
            <w:r w:rsidR="002918BC" w:rsidRPr="00193FA4">
              <w:t>%.</w:t>
            </w:r>
            <w:r w:rsidR="002E361F" w:rsidRPr="00193FA4">
              <w:t xml:space="preserve"> </w:t>
            </w:r>
            <w:r w:rsidR="000D613F" w:rsidRPr="00193FA4">
              <w:t>Uzņēmums darboj</w:t>
            </w:r>
            <w:r w:rsidR="00BB1348" w:rsidRPr="00193FA4">
              <w:t>a</w:t>
            </w:r>
            <w:r w:rsidR="000D613F" w:rsidRPr="00193FA4">
              <w:t>s starptautiskas konkurences apstākļos un ir viens no būtiskākajiem tranzīta biznesa nozarē.</w:t>
            </w:r>
            <w:r w:rsidR="00EF01F6" w:rsidRPr="00193FA4">
              <w:t xml:space="preserve"> Naudas plūsma ir atkarīga no tranzītkravu pārvadājumu apjoma.</w:t>
            </w:r>
          </w:p>
          <w:p w:rsidR="0005263B" w:rsidRPr="00193FA4" w:rsidRDefault="00EB09DE" w:rsidP="00FF4919">
            <w:pPr>
              <w:spacing w:before="120" w:line="276" w:lineRule="auto"/>
              <w:jc w:val="both"/>
            </w:pPr>
            <w:r w:rsidRPr="00193FA4">
              <w:t>Šobrīd</w:t>
            </w:r>
            <w:r w:rsidR="00BB1348" w:rsidRPr="00193FA4">
              <w:t>,</w:t>
            </w:r>
            <w:r w:rsidRPr="00193FA4">
              <w:t xml:space="preserve"> samazinoties tranzītkravu pārvadājumu apjomiem</w:t>
            </w:r>
            <w:r w:rsidR="00BB1348" w:rsidRPr="00193FA4">
              <w:t>,</w:t>
            </w:r>
            <w:r w:rsidRPr="00193FA4">
              <w:t xml:space="preserve"> strauji samazinās </w:t>
            </w:r>
            <w:r w:rsidR="00EF01F6" w:rsidRPr="00193FA4">
              <w:t xml:space="preserve"> resursi investīcijām</w:t>
            </w:r>
            <w:r w:rsidR="0005263B" w:rsidRPr="00193FA4">
              <w:t xml:space="preserve">. Esošais dzelzceļa  finansēšanas modelis – komercdarbība ar peļņas ierobežojumiem un rezultātā – tiešā atkarība  no pārvadājumu apjomiem, neveicina </w:t>
            </w:r>
            <w:r w:rsidR="000D613F" w:rsidRPr="00193FA4">
              <w:t xml:space="preserve">un ierobežo </w:t>
            </w:r>
            <w:r w:rsidR="0005263B" w:rsidRPr="00193FA4">
              <w:t xml:space="preserve">VAS „Latvijas dzelzceļš” </w:t>
            </w:r>
            <w:r w:rsidR="004910BC" w:rsidRPr="00193FA4">
              <w:t>novirzīt</w:t>
            </w:r>
            <w:r w:rsidR="0005263B" w:rsidRPr="00193FA4">
              <w:t xml:space="preserve"> aizņemto kapitālu investīcijām.</w:t>
            </w:r>
          </w:p>
          <w:p w:rsidR="003563CE" w:rsidRPr="00193FA4" w:rsidRDefault="00C40BC9" w:rsidP="00FF4919">
            <w:pPr>
              <w:autoSpaceDE w:val="0"/>
              <w:autoSpaceDN w:val="0"/>
              <w:adjustRightInd w:val="0"/>
              <w:spacing w:before="120" w:line="276" w:lineRule="auto"/>
              <w:jc w:val="both"/>
            </w:pPr>
            <w:r w:rsidRPr="00193FA4">
              <w:t xml:space="preserve"> </w:t>
            </w:r>
            <w:r w:rsidR="00A846C7" w:rsidRPr="00193FA4">
              <w:t>Uz 31.12.</w:t>
            </w:r>
            <w:r w:rsidR="004B3C97" w:rsidRPr="00193FA4">
              <w:t>2015</w:t>
            </w:r>
            <w:r w:rsidR="00A846C7" w:rsidRPr="00193FA4">
              <w:t>.</w:t>
            </w:r>
            <w:r w:rsidR="0003027F" w:rsidRPr="00193FA4">
              <w:t xml:space="preserve"> </w:t>
            </w:r>
            <w:r w:rsidR="00E23BC3" w:rsidRPr="00193FA4">
              <w:t xml:space="preserve">VAS „Latvijas dzelzceļš” </w:t>
            </w:r>
            <w:r w:rsidR="00345906" w:rsidRPr="00193FA4">
              <w:t xml:space="preserve"> </w:t>
            </w:r>
            <w:r w:rsidR="00A846C7" w:rsidRPr="00193FA4">
              <w:t xml:space="preserve">aizņēmumi no kredītiestādēm bija </w:t>
            </w:r>
            <w:r w:rsidR="004B3C97" w:rsidRPr="00193FA4">
              <w:t>186,3</w:t>
            </w:r>
            <w:r w:rsidR="00A846C7" w:rsidRPr="00193FA4">
              <w:t xml:space="preserve"> milj.</w:t>
            </w:r>
            <w:r w:rsidR="006C07A2" w:rsidRPr="00193FA4">
              <w:t xml:space="preserve"> </w:t>
            </w:r>
            <w:r w:rsidR="00FA5FDD" w:rsidRPr="00193FA4">
              <w:t>EUR</w:t>
            </w:r>
            <w:r w:rsidR="006C07A2" w:rsidRPr="00193FA4">
              <w:t>,</w:t>
            </w:r>
            <w:r w:rsidR="00A846C7" w:rsidRPr="00193FA4">
              <w:t xml:space="preserve"> </w:t>
            </w:r>
            <w:r w:rsidR="009D24C8" w:rsidRPr="00193FA4">
              <w:br/>
            </w:r>
            <w:r w:rsidR="00A846C7" w:rsidRPr="00193FA4">
              <w:t xml:space="preserve">t.sk. </w:t>
            </w:r>
            <w:r w:rsidR="00FA5FDD" w:rsidRPr="00193FA4">
              <w:t xml:space="preserve">īstermiņa daļa </w:t>
            </w:r>
            <w:r w:rsidR="004B3C97" w:rsidRPr="00193FA4">
              <w:t>24,8</w:t>
            </w:r>
            <w:r w:rsidR="00FA5FDD" w:rsidRPr="00193FA4">
              <w:t xml:space="preserve"> milj.</w:t>
            </w:r>
            <w:r w:rsidR="00520B55" w:rsidRPr="00193FA4">
              <w:t xml:space="preserve"> </w:t>
            </w:r>
            <w:r w:rsidR="00FA5FDD" w:rsidRPr="00193FA4">
              <w:t>EUR</w:t>
            </w:r>
            <w:r w:rsidR="00344461" w:rsidRPr="00193FA4">
              <w:t xml:space="preserve">. </w:t>
            </w:r>
            <w:r w:rsidR="00E77806" w:rsidRPr="00193FA4">
              <w:t>Attiecīgi</w:t>
            </w:r>
            <w:r w:rsidR="0087170D" w:rsidRPr="00193FA4">
              <w:t xml:space="preserve"> </w:t>
            </w:r>
            <w:r w:rsidR="00A846C7" w:rsidRPr="00193FA4">
              <w:t>saistību īpatsvars bilancē</w:t>
            </w:r>
            <w:r w:rsidR="00345906" w:rsidRPr="00193FA4">
              <w:t xml:space="preserve"> uz 31.12.</w:t>
            </w:r>
            <w:r w:rsidR="00BA2627" w:rsidRPr="00193FA4">
              <w:t>2015</w:t>
            </w:r>
            <w:r w:rsidR="00345906" w:rsidRPr="00193FA4">
              <w:t>.</w:t>
            </w:r>
            <w:r w:rsidR="00CC125C" w:rsidRPr="00193FA4">
              <w:t xml:space="preserve"> </w:t>
            </w:r>
            <w:r w:rsidR="00345906" w:rsidRPr="00193FA4">
              <w:t xml:space="preserve">bija </w:t>
            </w:r>
            <w:r w:rsidR="004B3C97" w:rsidRPr="00193FA4">
              <w:t>65,9</w:t>
            </w:r>
            <w:r w:rsidR="00FA5FDD" w:rsidRPr="00193FA4">
              <w:t xml:space="preserve"> %</w:t>
            </w:r>
            <w:r w:rsidR="00766807" w:rsidRPr="00193FA4">
              <w:t xml:space="preserve"> un</w:t>
            </w:r>
            <w:r w:rsidR="00A846C7" w:rsidRPr="00193FA4">
              <w:t xml:space="preserve"> saistību attiecība pret pašu </w:t>
            </w:r>
            <w:r w:rsidR="00344461" w:rsidRPr="00193FA4">
              <w:t xml:space="preserve">kapitālu ir </w:t>
            </w:r>
            <w:r w:rsidR="004B3C97" w:rsidRPr="00193FA4">
              <w:t>2,13</w:t>
            </w:r>
            <w:r w:rsidR="00A846C7" w:rsidRPr="00193FA4">
              <w:t xml:space="preserve"> (par optimālu tiek uzskatīts līdz 1). Pārāk augsts saistību īpatsvars liecina par paaugstinātu maksātspējas risku, ko bankas ņem vērā, novērtējot kredītņēmēju. Pašu kapitāla attiecība pret aktīviem uz 31.12.</w:t>
            </w:r>
            <w:r w:rsidR="004B3C97" w:rsidRPr="00193FA4">
              <w:t>2015</w:t>
            </w:r>
            <w:r w:rsidR="00A846C7" w:rsidRPr="00193FA4">
              <w:t xml:space="preserve">. bija </w:t>
            </w:r>
            <w:r w:rsidR="004B3C97" w:rsidRPr="00193FA4">
              <w:t>31</w:t>
            </w:r>
            <w:r w:rsidR="002936EE" w:rsidRPr="00193FA4">
              <w:t>%</w:t>
            </w:r>
            <w:r w:rsidR="00CC125C" w:rsidRPr="00193FA4">
              <w:t>,</w:t>
            </w:r>
            <w:r w:rsidR="00CD1649" w:rsidRPr="00193FA4">
              <w:t xml:space="preserve"> kas liecina, ka papildu kredīta finansējuma piesaistīšana no bankām var būt </w:t>
            </w:r>
            <w:r w:rsidR="008332B2" w:rsidRPr="00193FA4">
              <w:t xml:space="preserve">uz mazāk izdevīgiem nosacījumiem vai </w:t>
            </w:r>
            <w:r w:rsidR="00CD1649" w:rsidRPr="00193FA4">
              <w:t>apgrūtināt</w:t>
            </w:r>
            <w:r w:rsidR="008332B2" w:rsidRPr="00193FA4">
              <w:t>a.</w:t>
            </w:r>
            <w:r w:rsidR="00EB09DE" w:rsidRPr="00193FA4">
              <w:t xml:space="preserve"> Pašu kapitāls ir nepietiekams plānoto investīciju realizēšanai. Uzņēmumam, lai sasniegtu uzstādītos mērķus un realizētu plānotos investīciju projektus</w:t>
            </w:r>
            <w:r w:rsidR="00BB1348" w:rsidRPr="00193FA4">
              <w:t>,</w:t>
            </w:r>
            <w:r w:rsidR="00EB09DE" w:rsidRPr="00193FA4">
              <w:t xml:space="preserve"> ir nepieciešams palielināt pašu kapitālu, kas ir iespēj</w:t>
            </w:r>
            <w:r w:rsidR="00D37DC1" w:rsidRPr="00193FA4">
              <w:t>ams</w:t>
            </w:r>
            <w:r w:rsidR="00BB1348" w:rsidRPr="00193FA4">
              <w:t>,</w:t>
            </w:r>
            <w:r w:rsidR="00D37DC1" w:rsidRPr="00193FA4">
              <w:t xml:space="preserve"> neizņemot dividendes un</w:t>
            </w:r>
            <w:r w:rsidR="00EB09DE" w:rsidRPr="00193FA4">
              <w:t xml:space="preserve">  atstājot peļņu uzņēmuma rīcībā vai akcionāram veicot ieguldījumu pamatkapitālā.</w:t>
            </w:r>
            <w:r w:rsidR="00CD1649" w:rsidRPr="00193FA4">
              <w:t xml:space="preserve"> </w:t>
            </w:r>
            <w:r w:rsidR="00AD7E4D" w:rsidRPr="00193FA4">
              <w:t xml:space="preserve">2015.gada 31.decembrī </w:t>
            </w:r>
            <w:r w:rsidR="00AD7474" w:rsidRPr="00193FA4">
              <w:t>LDZ</w:t>
            </w:r>
            <w:r w:rsidR="00AD7474" w:rsidRPr="00193FA4">
              <w:rPr>
                <w:i/>
              </w:rPr>
              <w:t xml:space="preserve"> </w:t>
            </w:r>
            <w:r w:rsidR="00AD7E4D" w:rsidRPr="00193FA4">
              <w:t xml:space="preserve">īstermiņa </w:t>
            </w:r>
            <w:r w:rsidR="00AD7E4D" w:rsidRPr="00193FA4">
              <w:lastRenderedPageBreak/>
              <w:t xml:space="preserve">saistības pārsniedza tās apgrozāmos līdzekļus par 47 448 tūkst. EUR, kā rezultātā kopējā likviditāte (apgrozāmie līdzekļi pret īstermiņa saistībām) ir samazinājusies līdz 0,3 (2014.g.- 0,9). Jāņem vērā, ka 2015.gadā ir veikti kapitālieguldījumi 216 930 tūkst. EUR. Noslēguma maksājumu 32 834 tūkst. EUR, par ES līdzfinansētiem investīciju projektiem </w:t>
            </w:r>
            <w:r w:rsidR="00AD7474" w:rsidRPr="00193FA4">
              <w:rPr>
                <w:iCs/>
              </w:rPr>
              <w:t>LDZ</w:t>
            </w:r>
            <w:r w:rsidR="00AD7474" w:rsidRPr="00193FA4">
              <w:t xml:space="preserve"> </w:t>
            </w:r>
            <w:r w:rsidR="00AD7E4D" w:rsidRPr="00193FA4">
              <w:t xml:space="preserve">saņems tikai 2016.gadā, tāpēc </w:t>
            </w:r>
            <w:r w:rsidR="00AD7474" w:rsidRPr="00193FA4">
              <w:rPr>
                <w:iCs/>
              </w:rPr>
              <w:t>LDZ</w:t>
            </w:r>
            <w:r w:rsidR="00AD7474" w:rsidRPr="00193FA4">
              <w:t xml:space="preserve"> </w:t>
            </w:r>
            <w:r w:rsidR="00AD7E4D" w:rsidRPr="00193FA4">
              <w:t>ieguldīja savus apgrozāmos finanšu līdzekļus, kā rezultātā ievērojami samazinājās naudas līdzekļu atlikums kontā un pasliktinājās likviditātes rādītāji.</w:t>
            </w:r>
          </w:p>
          <w:p w:rsidR="00C343B8" w:rsidRPr="00193FA4" w:rsidRDefault="00CA0CAF" w:rsidP="00FF4919">
            <w:pPr>
              <w:spacing w:before="120" w:line="276" w:lineRule="auto"/>
              <w:jc w:val="both"/>
            </w:pPr>
            <w:r w:rsidRPr="00193FA4">
              <w:t xml:space="preserve">2015.gadā ilgtermiņa projektiem un projektiem </w:t>
            </w:r>
            <w:r w:rsidR="00116847" w:rsidRPr="00193FA4">
              <w:br/>
            </w:r>
            <w:r w:rsidRPr="00193FA4">
              <w:t>ar ES un valsts līdzfinansējumu</w:t>
            </w:r>
            <w:r w:rsidR="00C343B8" w:rsidRPr="00193FA4">
              <w:t xml:space="preserve"> papildus jau </w:t>
            </w:r>
            <w:r w:rsidR="00116847" w:rsidRPr="00193FA4">
              <w:br/>
            </w:r>
            <w:r w:rsidR="00C343B8" w:rsidRPr="00193FA4">
              <w:t xml:space="preserve">saņemtajiem kredītiem </w:t>
            </w:r>
            <w:r w:rsidR="000821E2" w:rsidRPr="00193FA4">
              <w:t xml:space="preserve">tika piesaistīti </w:t>
            </w:r>
            <w:r w:rsidR="006A460C" w:rsidRPr="00193FA4">
              <w:t>vēl</w:t>
            </w:r>
            <w:r w:rsidRPr="00193FA4">
              <w:t xml:space="preserve"> kred</w:t>
            </w:r>
            <w:r w:rsidR="00C343B8" w:rsidRPr="00193FA4">
              <w:t>ītlīdzekļi</w:t>
            </w:r>
            <w:r w:rsidRPr="00193FA4">
              <w:t xml:space="preserve"> </w:t>
            </w:r>
            <w:r w:rsidR="00116847" w:rsidRPr="00193FA4">
              <w:br/>
            </w:r>
            <w:r w:rsidR="008006BB" w:rsidRPr="00193FA4">
              <w:t>37,</w:t>
            </w:r>
            <w:r w:rsidR="00A0403A" w:rsidRPr="00193FA4">
              <w:t>4</w:t>
            </w:r>
            <w:r w:rsidR="00116847" w:rsidRPr="00193FA4">
              <w:t> </w:t>
            </w:r>
            <w:r w:rsidRPr="00193FA4">
              <w:t>milj.</w:t>
            </w:r>
            <w:r w:rsidR="00345906" w:rsidRPr="00193FA4">
              <w:t> </w:t>
            </w:r>
            <w:r w:rsidR="00A91ACA" w:rsidRPr="00193FA4">
              <w:t>EUR</w:t>
            </w:r>
            <w:r w:rsidR="0003027F" w:rsidRPr="00193FA4">
              <w:t xml:space="preserve"> </w:t>
            </w:r>
            <w:r w:rsidRPr="00193FA4">
              <w:t>apmērā</w:t>
            </w:r>
            <w:r w:rsidR="00C343B8" w:rsidRPr="00193FA4">
              <w:t>.</w:t>
            </w:r>
            <w:r w:rsidR="00905F08" w:rsidRPr="00193FA4">
              <w:t xml:space="preserve"> 201</w:t>
            </w:r>
            <w:r w:rsidR="006D490F" w:rsidRPr="00193FA4">
              <w:t>5</w:t>
            </w:r>
            <w:r w:rsidR="00905F08" w:rsidRPr="00193FA4">
              <w:t xml:space="preserve">.gadā kopā </w:t>
            </w:r>
            <w:r w:rsidR="00880A11" w:rsidRPr="00193FA4">
              <w:t xml:space="preserve"> kapitālieguldījum</w:t>
            </w:r>
            <w:r w:rsidR="0003027F" w:rsidRPr="00193FA4">
              <w:t>os</w:t>
            </w:r>
            <w:r w:rsidR="00880A11" w:rsidRPr="00193FA4">
              <w:t xml:space="preserve">  </w:t>
            </w:r>
            <w:r w:rsidR="0003027F" w:rsidRPr="00193FA4">
              <w:t>ieguldīt</w:t>
            </w:r>
            <w:r w:rsidR="000821E2" w:rsidRPr="00193FA4">
              <w:t>i</w:t>
            </w:r>
            <w:r w:rsidR="00880A11" w:rsidRPr="00193FA4">
              <w:t xml:space="preserve"> </w:t>
            </w:r>
            <w:r w:rsidR="000821E2" w:rsidRPr="00193FA4">
              <w:t>216,9</w:t>
            </w:r>
            <w:r w:rsidR="000A3592" w:rsidRPr="00193FA4">
              <w:t xml:space="preserve"> </w:t>
            </w:r>
            <w:r w:rsidR="00880A11" w:rsidRPr="00193FA4">
              <w:t>milj</w:t>
            </w:r>
            <w:r w:rsidR="00A91ACA" w:rsidRPr="00193FA4">
              <w:t>.</w:t>
            </w:r>
            <w:r w:rsidR="00345906" w:rsidRPr="00193FA4">
              <w:t xml:space="preserve"> </w:t>
            </w:r>
            <w:r w:rsidR="00A91ACA" w:rsidRPr="00193FA4">
              <w:t>EUR</w:t>
            </w:r>
            <w:r w:rsidR="00880A11" w:rsidRPr="00193FA4">
              <w:t xml:space="preserve">  </w:t>
            </w:r>
            <w:r w:rsidR="00905F08" w:rsidRPr="00193FA4">
              <w:t>(t.sk.</w:t>
            </w:r>
            <w:r w:rsidR="007F694A" w:rsidRPr="00193FA4">
              <w:t xml:space="preserve"> realizējot </w:t>
            </w:r>
            <w:r w:rsidR="00E30E4F" w:rsidRPr="00193FA4">
              <w:t>projekt</w:t>
            </w:r>
            <w:r w:rsidR="007F694A" w:rsidRPr="00193FA4">
              <w:t>us</w:t>
            </w:r>
            <w:r w:rsidR="00905F08" w:rsidRPr="00193FA4">
              <w:t xml:space="preserve"> ar ES līdzfinansējum</w:t>
            </w:r>
            <w:r w:rsidR="00E30E4F" w:rsidRPr="00193FA4">
              <w:t xml:space="preserve">u </w:t>
            </w:r>
            <w:r w:rsidR="000821E2" w:rsidRPr="00193FA4">
              <w:t>196,7</w:t>
            </w:r>
            <w:r w:rsidR="00E30E4F" w:rsidRPr="00193FA4">
              <w:t>milj.</w:t>
            </w:r>
            <w:r w:rsidR="00345906" w:rsidRPr="00193FA4">
              <w:t xml:space="preserve"> </w:t>
            </w:r>
            <w:r w:rsidR="00E30E4F" w:rsidRPr="00193FA4">
              <w:t xml:space="preserve">EUR, </w:t>
            </w:r>
            <w:r w:rsidR="00A462E9" w:rsidRPr="00193FA4">
              <w:t xml:space="preserve"> </w:t>
            </w:r>
            <w:r w:rsidR="006A460C" w:rsidRPr="00193FA4">
              <w:t xml:space="preserve">pārējie projekti </w:t>
            </w:r>
            <w:r w:rsidR="000821E2" w:rsidRPr="00193FA4">
              <w:t>20,3</w:t>
            </w:r>
            <w:r w:rsidR="00A462E9" w:rsidRPr="00193FA4">
              <w:t>milj.</w:t>
            </w:r>
            <w:r w:rsidR="00345906" w:rsidRPr="00193FA4">
              <w:t xml:space="preserve"> </w:t>
            </w:r>
            <w:r w:rsidR="00A462E9" w:rsidRPr="00193FA4">
              <w:t>EUR)</w:t>
            </w:r>
            <w:r w:rsidR="00345906" w:rsidRPr="00193FA4">
              <w:t>.</w:t>
            </w:r>
          </w:p>
          <w:p w:rsidR="00E64135" w:rsidRPr="00193FA4" w:rsidRDefault="00E64135" w:rsidP="00FF4919">
            <w:pPr>
              <w:spacing w:before="120" w:line="276" w:lineRule="auto"/>
              <w:jc w:val="both"/>
            </w:pPr>
            <w:r w:rsidRPr="00193FA4">
              <w:t xml:space="preserve">Satiksmes ministrija ar 03.04.2013.gada vēstuli  nr.12-07.1/1419 vērsās pie </w:t>
            </w:r>
            <w:r w:rsidR="009D24C8" w:rsidRPr="00193FA4">
              <w:t>VAS</w:t>
            </w:r>
            <w:r w:rsidRPr="00193FA4">
              <w:t xml:space="preserve"> </w:t>
            </w:r>
            <w:r w:rsidR="00BB3AB2" w:rsidRPr="00193FA4">
              <w:t>„</w:t>
            </w:r>
            <w:r w:rsidRPr="00193FA4">
              <w:t xml:space="preserve">Latvijas dzelzceļš” ar aicinājumu sākt sagatavošanas darbus </w:t>
            </w:r>
            <w:r w:rsidR="00BC7B09" w:rsidRPr="00193FA4">
              <w:t xml:space="preserve">jaunu ES līdzfinansētu </w:t>
            </w:r>
            <w:r w:rsidRPr="00193FA4">
              <w:t>projektu</w:t>
            </w:r>
            <w:r w:rsidR="00BC7B09" w:rsidRPr="00193FA4">
              <w:t xml:space="preserve"> </w:t>
            </w:r>
            <w:r w:rsidRPr="00193FA4">
              <w:t xml:space="preserve"> uzsākšanai, jo Ministru </w:t>
            </w:r>
            <w:r w:rsidR="00520B55" w:rsidRPr="00193FA4">
              <w:t>k</w:t>
            </w:r>
            <w:r w:rsidRPr="00193FA4">
              <w:t>abinets 2013.gada 2.aprīļa sēdē konceptuāli atbalstīj</w:t>
            </w:r>
            <w:r w:rsidR="009D24C8" w:rsidRPr="00193FA4">
              <w:t>a</w:t>
            </w:r>
            <w:r w:rsidRPr="00193FA4">
              <w:t xml:space="preserve"> </w:t>
            </w:r>
            <w:r w:rsidR="00BC7B09" w:rsidRPr="00193FA4">
              <w:t>jaunu elektro</w:t>
            </w:r>
            <w:r w:rsidRPr="00193FA4">
              <w:t>vilcienu iegādei paredzētā finansējuma pārdali, to novirzot esošā ritošā sastāva modernizācijai un peronu rekonstrukcijai, kā arī TEN-T dzelzceļa t</w:t>
            </w:r>
            <w:r w:rsidR="00BC7B09" w:rsidRPr="00193FA4">
              <w:t>ī</w:t>
            </w:r>
            <w:r w:rsidRPr="00193FA4">
              <w:t>kl</w:t>
            </w:r>
            <w:r w:rsidR="00BC7B09" w:rsidRPr="00193FA4">
              <w:t>a</w:t>
            </w:r>
            <w:r w:rsidRPr="00193FA4">
              <w:t xml:space="preserve"> attīstībai</w:t>
            </w:r>
            <w:r w:rsidR="00BC7B09" w:rsidRPr="00193FA4">
              <w:t xml:space="preserve">. Attiecīgais MK </w:t>
            </w:r>
            <w:r w:rsidR="009D24C8" w:rsidRPr="00193FA4">
              <w:t xml:space="preserve">2013.gada 25.jūnija </w:t>
            </w:r>
            <w:r w:rsidR="00BC7B09" w:rsidRPr="00193FA4">
              <w:t xml:space="preserve">rīkojums Nr.271 </w:t>
            </w:r>
            <w:r w:rsidRPr="00193FA4">
              <w:t>"Grozījumi darbības programmas "Infrastruktūra un pakalpojumi" papildinājumā"</w:t>
            </w:r>
            <w:r w:rsidR="00BC7B09" w:rsidRPr="00193FA4">
              <w:t xml:space="preserve"> 1.4 un </w:t>
            </w:r>
            <w:r w:rsidRPr="00193FA4">
              <w:t xml:space="preserve"> 1.9.apakšpunkt</w:t>
            </w:r>
            <w:r w:rsidR="00BC7B09" w:rsidRPr="00193FA4">
              <w:t>os paredz</w:t>
            </w:r>
            <w:r w:rsidR="005D72B1" w:rsidRPr="00193FA4">
              <w:t>,</w:t>
            </w:r>
            <w:r w:rsidR="00BC7B09" w:rsidRPr="00193FA4">
              <w:t xml:space="preserve"> </w:t>
            </w:r>
            <w:r w:rsidR="00BB3AB2" w:rsidRPr="00193FA4">
              <w:t xml:space="preserve">ka </w:t>
            </w:r>
            <w:r w:rsidRPr="00193FA4">
              <w:t xml:space="preserve"> </w:t>
            </w:r>
            <w:r w:rsidR="00BB3AB2" w:rsidRPr="00193FA4">
              <w:t>f</w:t>
            </w:r>
            <w:r w:rsidRPr="00193FA4">
              <w:t>inansējums, kas atbrīvots darbības programmas "Infrastruktūra un pakalpojumi" papildinājuma 3.3.2.1.aktivitātes "Ilgtspējīga</w:t>
            </w:r>
            <w:r w:rsidR="003570CA" w:rsidRPr="00193FA4">
              <w:t>s</w:t>
            </w:r>
            <w:r w:rsidRPr="00193FA4">
              <w:t xml:space="preserve"> sabiedriskā transporta sistēmas attīstība" projekta "Rīgas piepilsētas dzelzceļa pasažieru pārvadājumu sistēmas modernizācija un dīzeļvilcienu ritošā sastāva atjaunošana" īstenošanas līguma laušanas rezultātā, var tikt novirzīts citu </w:t>
            </w:r>
            <w:r w:rsidR="009D24C8" w:rsidRPr="00193FA4">
              <w:t>ES</w:t>
            </w:r>
            <w:r w:rsidRPr="00193FA4">
              <w:t xml:space="preserve"> struktūrfondu un Kohēzijas fonda projektu īstenošanai</w:t>
            </w:r>
            <w:r w:rsidR="00BB3AB2" w:rsidRPr="00193FA4">
              <w:t>.</w:t>
            </w:r>
          </w:p>
          <w:p w:rsidR="00D151EF" w:rsidRPr="00193FA4" w:rsidRDefault="00BB3AB2" w:rsidP="00FF4919">
            <w:pPr>
              <w:spacing w:before="120" w:line="276" w:lineRule="auto"/>
              <w:jc w:val="both"/>
            </w:pPr>
            <w:r w:rsidRPr="00193FA4">
              <w:t>Tā rezultātā,</w:t>
            </w:r>
            <w:r w:rsidR="005D72B1" w:rsidRPr="00193FA4">
              <w:t xml:space="preserve"> </w:t>
            </w:r>
            <w:r w:rsidRPr="00193FA4">
              <w:t>l</w:t>
            </w:r>
            <w:r w:rsidR="00DB106F" w:rsidRPr="00193FA4">
              <w:t xml:space="preserve">ai </w:t>
            </w:r>
            <w:r w:rsidR="0092644D" w:rsidRPr="00193FA4">
              <w:t xml:space="preserve">savlaicīgi apgūtu </w:t>
            </w:r>
            <w:r w:rsidR="00DB106F" w:rsidRPr="00193FA4">
              <w:t xml:space="preserve">ES </w:t>
            </w:r>
            <w:r w:rsidR="002B6E63" w:rsidRPr="00193FA4">
              <w:t xml:space="preserve">finansējumu </w:t>
            </w:r>
            <w:r w:rsidR="00B535D4" w:rsidRPr="00193FA4">
              <w:t>investīcij</w:t>
            </w:r>
            <w:r w:rsidR="00F67D8C" w:rsidRPr="00193FA4">
              <w:t>u</w:t>
            </w:r>
            <w:r w:rsidR="00B535D4" w:rsidRPr="00193FA4">
              <w:t xml:space="preserve"> projektu realizēšanai</w:t>
            </w:r>
            <w:r w:rsidR="00DB106F" w:rsidRPr="00193FA4">
              <w:t xml:space="preserve"> </w:t>
            </w:r>
            <w:r w:rsidR="001B2EE3" w:rsidRPr="00193FA4">
              <w:t xml:space="preserve">līdz </w:t>
            </w:r>
            <w:r w:rsidR="002B6E63" w:rsidRPr="00193FA4">
              <w:t>2015.gada</w:t>
            </w:r>
            <w:r w:rsidR="001B2EE3" w:rsidRPr="00193FA4">
              <w:t xml:space="preserve"> beigām</w:t>
            </w:r>
            <w:r w:rsidR="009D24C8" w:rsidRPr="00193FA4">
              <w:t>,</w:t>
            </w:r>
            <w:r w:rsidR="001B2EE3" w:rsidRPr="00193FA4">
              <w:t xml:space="preserve"> </w:t>
            </w:r>
            <w:r w:rsidR="00480859" w:rsidRPr="00193FA4">
              <w:t>bija</w:t>
            </w:r>
            <w:r w:rsidR="001B2EE3" w:rsidRPr="00193FA4">
              <w:t xml:space="preserve"> nepieciešams</w:t>
            </w:r>
            <w:r w:rsidR="002B6E63" w:rsidRPr="00193FA4">
              <w:t xml:space="preserve"> </w:t>
            </w:r>
            <w:r w:rsidR="0092644D" w:rsidRPr="00193FA4">
              <w:t xml:space="preserve">papildus </w:t>
            </w:r>
            <w:r w:rsidR="006A4625" w:rsidRPr="00193FA4">
              <w:t xml:space="preserve">VAS „Latvijas dzelzceļš” </w:t>
            </w:r>
            <w:r w:rsidR="001F58B8" w:rsidRPr="00193FA4">
              <w:t xml:space="preserve"> līdzfinansējums </w:t>
            </w:r>
            <w:r w:rsidR="007C1964" w:rsidRPr="00193FA4">
              <w:t>29,28</w:t>
            </w:r>
            <w:r w:rsidR="009D24C8" w:rsidRPr="00193FA4">
              <w:t> </w:t>
            </w:r>
            <w:r w:rsidR="00D55579" w:rsidRPr="00193FA4">
              <w:t>milj.</w:t>
            </w:r>
            <w:r w:rsidR="009D24C8" w:rsidRPr="00193FA4">
              <w:t> </w:t>
            </w:r>
            <w:r w:rsidR="00D55579" w:rsidRPr="00193FA4">
              <w:t>EUR</w:t>
            </w:r>
            <w:r w:rsidR="001B2EE3" w:rsidRPr="00193FA4">
              <w:t xml:space="preserve"> apmērā</w:t>
            </w:r>
            <w:r w:rsidR="001F58B8" w:rsidRPr="00193FA4">
              <w:t xml:space="preserve">. </w:t>
            </w:r>
            <w:r w:rsidR="00356462" w:rsidRPr="00193FA4">
              <w:t>Š</w:t>
            </w:r>
            <w:r w:rsidR="00A07857" w:rsidRPr="00193FA4">
              <w:t>ād</w:t>
            </w:r>
            <w:r w:rsidR="00356462" w:rsidRPr="00193FA4">
              <w:t>us</w:t>
            </w:r>
            <w:r w:rsidR="00A07857" w:rsidRPr="00193FA4">
              <w:t xml:space="preserve"> ieguldījum</w:t>
            </w:r>
            <w:r w:rsidR="00356462" w:rsidRPr="00193FA4">
              <w:t>us var</w:t>
            </w:r>
            <w:r w:rsidR="00480859" w:rsidRPr="00193FA4">
              <w:t>ēja</w:t>
            </w:r>
            <w:r w:rsidR="00356462" w:rsidRPr="00193FA4">
              <w:t xml:space="preserve"> nodrošināt</w:t>
            </w:r>
            <w:r w:rsidR="00A07857" w:rsidRPr="00193FA4">
              <w:t xml:space="preserve"> ar </w:t>
            </w:r>
            <w:r w:rsidR="00D151EF" w:rsidRPr="00193FA4">
              <w:t xml:space="preserve"> </w:t>
            </w:r>
            <w:r w:rsidR="00356462" w:rsidRPr="00193FA4">
              <w:t>kredīta līdzekļu</w:t>
            </w:r>
            <w:r w:rsidR="00D151EF" w:rsidRPr="00193FA4">
              <w:t xml:space="preserve"> piesaist</w:t>
            </w:r>
            <w:r w:rsidR="00356462" w:rsidRPr="00193FA4">
              <w:t>i</w:t>
            </w:r>
            <w:r w:rsidR="00E23BC3" w:rsidRPr="00193FA4">
              <w:t xml:space="preserve">. </w:t>
            </w:r>
          </w:p>
          <w:p w:rsidR="007777BA" w:rsidRPr="00193FA4" w:rsidRDefault="00AD0B35" w:rsidP="00FF4919">
            <w:pPr>
              <w:spacing w:before="120" w:line="276" w:lineRule="auto"/>
              <w:jc w:val="both"/>
            </w:pPr>
            <w:r w:rsidRPr="00193FA4">
              <w:t xml:space="preserve">Realizējot investīciju projektus </w:t>
            </w:r>
            <w:r w:rsidR="00DA6731" w:rsidRPr="00193FA4">
              <w:t xml:space="preserve">ar </w:t>
            </w:r>
            <w:r w:rsidR="005224C7" w:rsidRPr="00193FA4">
              <w:t>ES līdzfinansējumu</w:t>
            </w:r>
            <w:r w:rsidR="00AD28C5" w:rsidRPr="00193FA4">
              <w:t>,</w:t>
            </w:r>
            <w:r w:rsidR="005224C7" w:rsidRPr="00193FA4">
              <w:t xml:space="preserve"> </w:t>
            </w:r>
            <w:r w:rsidR="00DA6731" w:rsidRPr="00193FA4">
              <w:t xml:space="preserve"> </w:t>
            </w:r>
            <w:r w:rsidR="006A4625" w:rsidRPr="00193FA4">
              <w:t xml:space="preserve">VAS „Latvijas dzelzceļš” </w:t>
            </w:r>
            <w:r w:rsidR="005224C7" w:rsidRPr="00193FA4">
              <w:t xml:space="preserve">uzņemas saistības par šo projektu realizāciju. </w:t>
            </w:r>
          </w:p>
          <w:p w:rsidR="00C44FBD" w:rsidRPr="00193FA4" w:rsidRDefault="00965B00" w:rsidP="00FF4919">
            <w:pPr>
              <w:spacing w:before="120" w:line="276" w:lineRule="auto"/>
              <w:jc w:val="both"/>
            </w:pPr>
            <w:r w:rsidRPr="00193FA4">
              <w:lastRenderedPageBreak/>
              <w:t xml:space="preserve">Izvērtējot </w:t>
            </w:r>
            <w:r w:rsidR="006A4625" w:rsidRPr="00193FA4">
              <w:t xml:space="preserve">VAS „Latvijas dzelzceļš” </w:t>
            </w:r>
            <w:r w:rsidRPr="00193FA4">
              <w:t xml:space="preserve">finanšu rādītājus jāņem vērā, ka </w:t>
            </w:r>
            <w:r w:rsidR="00F06BC9" w:rsidRPr="00193FA4">
              <w:t>tos</w:t>
            </w:r>
            <w:r w:rsidR="004B3F2C" w:rsidRPr="00193FA4">
              <w:t xml:space="preserve"> </w:t>
            </w:r>
            <w:r w:rsidR="004F4D4B" w:rsidRPr="00193FA4">
              <w:t xml:space="preserve">ietekmē arī </w:t>
            </w:r>
            <w:r w:rsidR="009D4664" w:rsidRPr="00193FA4">
              <w:t>2015</w:t>
            </w:r>
            <w:r w:rsidR="004F4D4B" w:rsidRPr="00193FA4">
              <w:t xml:space="preserve">.gadā finanšu pārskatā uzrādītie „Nākamo periodu ieņēmumi” – </w:t>
            </w:r>
            <w:r w:rsidR="009D4664" w:rsidRPr="00193FA4">
              <w:t xml:space="preserve">28,2 </w:t>
            </w:r>
            <w:r w:rsidR="00AE2D9F" w:rsidRPr="00193FA4">
              <w:t>milj.</w:t>
            </w:r>
            <w:r w:rsidR="00ED4471" w:rsidRPr="00193FA4">
              <w:t xml:space="preserve"> </w:t>
            </w:r>
            <w:r w:rsidR="00FA1ADD" w:rsidRPr="00193FA4">
              <w:t>EUR</w:t>
            </w:r>
            <w:r w:rsidR="00AE2D9F" w:rsidRPr="00193FA4">
              <w:t xml:space="preserve">, kas pēc būtības ir </w:t>
            </w:r>
            <w:r w:rsidR="009D4664" w:rsidRPr="00193FA4">
              <w:t>2015</w:t>
            </w:r>
            <w:r w:rsidR="00AE2D9F" w:rsidRPr="00193FA4">
              <w:t>.gadā ar naudas plūsmu nesaistīts ieņēmums, jo s</w:t>
            </w:r>
            <w:r w:rsidR="004F4D4B" w:rsidRPr="00193FA4">
              <w:t>askaņā ar Gada pārskatu likumu un</w:t>
            </w:r>
            <w:r w:rsidR="00ED4471" w:rsidRPr="00193FA4">
              <w:t>,</w:t>
            </w:r>
            <w:r w:rsidR="002E09E1" w:rsidRPr="00193FA4">
              <w:t xml:space="preserve"> pamatojoties uz </w:t>
            </w:r>
            <w:r w:rsidR="004F4D4B" w:rsidRPr="00193FA4">
              <w:t xml:space="preserve">MK 15.06.2004. noteikumiem Nr.537 </w:t>
            </w:r>
            <w:r w:rsidR="00ED4471" w:rsidRPr="00193FA4">
              <w:t>„</w:t>
            </w:r>
            <w:r w:rsidR="00ED4471" w:rsidRPr="00193FA4">
              <w:rPr>
                <w:bCs/>
              </w:rPr>
              <w:t>Kārtība, kādā finanšu pārskatos atspoguļojams valsts, pašvaldību, ārvalstu, Eiropas Kopienas, citu starptautisko organizāciju un institūciju finansiālais atbalsts (finanšu palīdzība), ziedojumi un dāvinājumi naudā vai natūrā”,</w:t>
            </w:r>
            <w:r w:rsidR="004F4D4B" w:rsidRPr="00193FA4">
              <w:t xml:space="preserve"> finansiālā atbalsta summa jāuzrāda bilances postenī „Nākamo periodu ieņēmumi”</w:t>
            </w:r>
            <w:r w:rsidR="009D24C8" w:rsidRPr="00193FA4">
              <w:t xml:space="preserve"> un peļņas vai zaudējumu aprēķinā ieņēmumos </w:t>
            </w:r>
            <w:r w:rsidR="004F4D4B" w:rsidRPr="00193FA4">
              <w:t xml:space="preserve"> atbilstoši pārskata gada nolietojuma un vērtības no</w:t>
            </w:r>
            <w:r w:rsidR="004B3F2C" w:rsidRPr="00193FA4">
              <w:t>rakstīšanas summai</w:t>
            </w:r>
            <w:r w:rsidR="004F4D4B" w:rsidRPr="00193FA4">
              <w:t>.</w:t>
            </w:r>
            <w:r w:rsidR="00AC5483" w:rsidRPr="00193FA4">
              <w:t xml:space="preserve"> </w:t>
            </w:r>
            <w:r w:rsidR="00ED4471" w:rsidRPr="00193FA4">
              <w:t>Turklāt</w:t>
            </w:r>
            <w:r w:rsidR="004F4D4B" w:rsidRPr="00193FA4">
              <w:t xml:space="preserve"> par ES Kohēzijas fonda līdzekļiem ieg</w:t>
            </w:r>
            <w:r w:rsidR="00ED4471" w:rsidRPr="00193FA4">
              <w:t>ādāto pamatlīdzekļu nolietojumu</w:t>
            </w:r>
            <w:r w:rsidR="004F4D4B" w:rsidRPr="00193FA4">
              <w:t xml:space="preserve"> pēc Sabiedrisko pakalpojumu regulēšanas komisijas</w:t>
            </w:r>
            <w:r w:rsidR="00D40043" w:rsidRPr="00193FA4">
              <w:t xml:space="preserve"> </w:t>
            </w:r>
            <w:r w:rsidR="00F06BC9" w:rsidRPr="00193FA4">
              <w:t>(</w:t>
            </w:r>
            <w:r w:rsidR="00520B55" w:rsidRPr="00193FA4">
              <w:t xml:space="preserve">turpmāk - </w:t>
            </w:r>
            <w:r w:rsidR="00F06BC9" w:rsidRPr="00193FA4">
              <w:t>SPRK)</w:t>
            </w:r>
            <w:r w:rsidRPr="00193FA4">
              <w:t xml:space="preserve"> </w:t>
            </w:r>
            <w:r w:rsidR="00D40043" w:rsidRPr="00193FA4">
              <w:t>noteiktās</w:t>
            </w:r>
            <w:r w:rsidR="004F4D4B" w:rsidRPr="00193FA4">
              <w:t xml:space="preserve"> metodikas, nosakot maksu  par publiskās lietošanas dzelzceļa infrastruktūras izmantošanu pārvadājumiem, neiekļauj šīs</w:t>
            </w:r>
            <w:r w:rsidR="004415D9" w:rsidRPr="00193FA4">
              <w:t xml:space="preserve"> izmaksas infrastruktūras</w:t>
            </w:r>
            <w:r w:rsidR="004F4D4B" w:rsidRPr="00193FA4">
              <w:t xml:space="preserve"> maksas aprēķināšanā</w:t>
            </w:r>
            <w:r w:rsidR="004415D9" w:rsidRPr="00193FA4">
              <w:t xml:space="preserve">, kas </w:t>
            </w:r>
            <w:r w:rsidR="009D4664" w:rsidRPr="00193FA4">
              <w:t>2015</w:t>
            </w:r>
            <w:r w:rsidR="004415D9" w:rsidRPr="00193FA4">
              <w:t xml:space="preserve">.gadā bija </w:t>
            </w:r>
            <w:r w:rsidR="009D4664" w:rsidRPr="00193FA4">
              <w:t>28,2</w:t>
            </w:r>
            <w:r w:rsidR="00F819DA" w:rsidRPr="00193FA4">
              <w:t> </w:t>
            </w:r>
            <w:r w:rsidR="004415D9" w:rsidRPr="00193FA4">
              <w:t>milj.</w:t>
            </w:r>
            <w:r w:rsidR="00F819DA" w:rsidRPr="00193FA4">
              <w:t> </w:t>
            </w:r>
            <w:r w:rsidR="004415D9" w:rsidRPr="00193FA4">
              <w:t>EUR</w:t>
            </w:r>
            <w:r w:rsidR="004F4D4B" w:rsidRPr="00193FA4">
              <w:t>. Maksājumi par publiskās lietošanas dzelzceļa infrastruktūras izmantošanu ir nozīmīga LD</w:t>
            </w:r>
            <w:r w:rsidR="00AD7474" w:rsidRPr="00193FA4">
              <w:t>Z</w:t>
            </w:r>
            <w:r w:rsidR="004F4D4B" w:rsidRPr="00193FA4">
              <w:t xml:space="preserve"> neto apgrozījuma daļa ( 2012.gadā</w:t>
            </w:r>
            <w:r w:rsidR="00ED4471" w:rsidRPr="00193FA4">
              <w:t xml:space="preserve"> -</w:t>
            </w:r>
            <w:r w:rsidR="004F4D4B" w:rsidRPr="00193FA4">
              <w:t xml:space="preserve"> 68,7%, 2013.g</w:t>
            </w:r>
            <w:r w:rsidR="009D24C8" w:rsidRPr="00193FA4">
              <w:t>adā</w:t>
            </w:r>
            <w:r w:rsidR="00ED4471" w:rsidRPr="00193FA4">
              <w:t xml:space="preserve"> –</w:t>
            </w:r>
            <w:r w:rsidR="004F4D4B" w:rsidRPr="00193FA4">
              <w:t xml:space="preserve"> </w:t>
            </w:r>
            <w:r w:rsidR="00C0561C" w:rsidRPr="00193FA4">
              <w:t>68</w:t>
            </w:r>
            <w:r w:rsidR="00ED4471" w:rsidRPr="00193FA4">
              <w:t>,</w:t>
            </w:r>
            <w:r w:rsidR="00C0561C" w:rsidRPr="00193FA4">
              <w:t>2</w:t>
            </w:r>
            <w:r w:rsidR="004F4D4B" w:rsidRPr="00193FA4">
              <w:t>%</w:t>
            </w:r>
            <w:r w:rsidR="00FA1ADD" w:rsidRPr="00193FA4">
              <w:t>, 2014.g</w:t>
            </w:r>
            <w:r w:rsidR="009D24C8" w:rsidRPr="00193FA4">
              <w:t>adā</w:t>
            </w:r>
            <w:r w:rsidR="00FA1ADD" w:rsidRPr="00193FA4">
              <w:t xml:space="preserve">  </w:t>
            </w:r>
            <w:r w:rsidR="0091176C" w:rsidRPr="00193FA4">
              <w:t>-</w:t>
            </w:r>
            <w:r w:rsidR="00B06F1C" w:rsidRPr="00193FA4">
              <w:t>69,2%</w:t>
            </w:r>
            <w:r w:rsidR="009D4664" w:rsidRPr="00193FA4">
              <w:t>, 2015.gadā – 69,3%</w:t>
            </w:r>
            <w:r w:rsidR="0091176C" w:rsidRPr="00193FA4">
              <w:t xml:space="preserve"> </w:t>
            </w:r>
            <w:r w:rsidR="004F4D4B" w:rsidRPr="00193FA4">
              <w:t xml:space="preserve">). </w:t>
            </w:r>
            <w:r w:rsidR="00C44FBD" w:rsidRPr="00193FA4">
              <w:t>Iepriekš izklāstītās ES fondu līdzekļu uzskaites kārtības rezultātā</w:t>
            </w:r>
            <w:r w:rsidR="00721FDA" w:rsidRPr="00193FA4">
              <w:t>,</w:t>
            </w:r>
            <w:r w:rsidR="00C44FBD" w:rsidRPr="00193FA4">
              <w:t xml:space="preserve"> izmantojot publiskās dzelzceļa infrastruktūras attīstībai ES fondu līdzekļus, rodas situācija, ka ilgtermiņā </w:t>
            </w:r>
            <w:r w:rsidR="00976F15" w:rsidRPr="00193FA4">
              <w:t xml:space="preserve">daļa  no </w:t>
            </w:r>
            <w:r w:rsidRPr="00193FA4">
              <w:t>saņemtie</w:t>
            </w:r>
            <w:r w:rsidR="00976F15" w:rsidRPr="00193FA4">
              <w:t>m</w:t>
            </w:r>
            <w:r w:rsidRPr="00193FA4">
              <w:t xml:space="preserve"> līdzekļi</w:t>
            </w:r>
            <w:r w:rsidR="009449C4" w:rsidRPr="00193FA4">
              <w:t>e</w:t>
            </w:r>
            <w:r w:rsidR="00976F15" w:rsidRPr="00193FA4">
              <w:t>m</w:t>
            </w:r>
            <w:r w:rsidR="00C44FBD" w:rsidRPr="00193FA4">
              <w:t xml:space="preserve"> jānovirza valsts budžetā (gan uzņēmumu ienākuma nodokļa, gan dividenžu ve</w:t>
            </w:r>
            <w:r w:rsidR="00721FDA" w:rsidRPr="00193FA4">
              <w:t xml:space="preserve">idā). </w:t>
            </w:r>
            <w:r w:rsidR="00C44FBD" w:rsidRPr="00193FA4">
              <w:t>Lai padarītu dividenžu aprēķinu saimnieciski pamatotāku, neto peļņas rādītāji būtu jākoriģē par attiecīgajā pārskata gadā atzītajiem ieņēmumiem no ES Kohēzijas fonda saņemtā līdzfinansējuma un</w:t>
            </w:r>
            <w:r w:rsidR="00721FDA" w:rsidRPr="00193FA4">
              <w:t xml:space="preserve"> par</w:t>
            </w:r>
            <w:r w:rsidR="00C44FBD" w:rsidRPr="00193FA4">
              <w:t xml:space="preserve"> ar naudas</w:t>
            </w:r>
            <w:r w:rsidR="00BE5FE0" w:rsidRPr="00193FA4">
              <w:t xml:space="preserve"> plūsmu nesaistītiem darījumiem,</w:t>
            </w:r>
            <w:r w:rsidR="00721FDA" w:rsidRPr="00193FA4">
              <w:t xml:space="preserve"> kā pamatlīdzekļu pārvērtēšana LD</w:t>
            </w:r>
            <w:r w:rsidR="00AD7474" w:rsidRPr="00193FA4">
              <w:t>Z</w:t>
            </w:r>
            <w:r w:rsidR="00C44FBD" w:rsidRPr="00193FA4">
              <w:t xml:space="preserve"> gadījumā.</w:t>
            </w:r>
          </w:p>
          <w:p w:rsidR="00184DF9" w:rsidRPr="00193FA4" w:rsidRDefault="00F06BC9" w:rsidP="00FF4919">
            <w:pPr>
              <w:pStyle w:val="BodyText"/>
              <w:spacing w:before="120" w:after="0" w:line="276" w:lineRule="auto"/>
              <w:jc w:val="both"/>
            </w:pPr>
            <w:r w:rsidRPr="00193FA4">
              <w:t>VAS</w:t>
            </w:r>
            <w:r w:rsidR="00D41FAA" w:rsidRPr="00193FA4">
              <w:t xml:space="preserve"> „Latvijas dzelzceļš” ir viens no lielākajiem Latvijas Republikas nodokļu maksātājiem</w:t>
            </w:r>
            <w:r w:rsidR="006A4625" w:rsidRPr="00193FA4">
              <w:t>:</w:t>
            </w:r>
            <w:r w:rsidR="00344461" w:rsidRPr="00193FA4">
              <w:t xml:space="preserve"> 2013.g</w:t>
            </w:r>
            <w:r w:rsidR="0019000D" w:rsidRPr="00193FA4">
              <w:t>adā</w:t>
            </w:r>
            <w:r w:rsidR="00B06F1C" w:rsidRPr="00193FA4">
              <w:t xml:space="preserve"> nodokļos samaksāti </w:t>
            </w:r>
            <w:r w:rsidR="0091176C" w:rsidRPr="00193FA4">
              <w:t>73,1</w:t>
            </w:r>
            <w:r w:rsidR="00344461" w:rsidRPr="00193FA4">
              <w:t xml:space="preserve"> milj.</w:t>
            </w:r>
            <w:r w:rsidR="00721FDA" w:rsidRPr="00193FA4">
              <w:t xml:space="preserve"> </w:t>
            </w:r>
            <w:r w:rsidR="0091176C" w:rsidRPr="00193FA4">
              <w:t xml:space="preserve">EUR, 2014.gadā </w:t>
            </w:r>
            <w:r w:rsidR="00DF02F4" w:rsidRPr="00193FA4">
              <w:t>–</w:t>
            </w:r>
            <w:r w:rsidR="0091176C" w:rsidRPr="00193FA4">
              <w:t xml:space="preserve"> </w:t>
            </w:r>
            <w:r w:rsidR="006302CE" w:rsidRPr="00193FA4">
              <w:br/>
            </w:r>
            <w:r w:rsidR="00DF02F4" w:rsidRPr="00193FA4">
              <w:t>73,</w:t>
            </w:r>
            <w:r w:rsidR="00B06F1C" w:rsidRPr="00193FA4">
              <w:t>1</w:t>
            </w:r>
            <w:r w:rsidR="00DF02F4" w:rsidRPr="00193FA4">
              <w:t xml:space="preserve"> milj.</w:t>
            </w:r>
            <w:r w:rsidR="00B06F1C" w:rsidRPr="00193FA4">
              <w:t xml:space="preserve"> </w:t>
            </w:r>
            <w:r w:rsidR="00DF02F4" w:rsidRPr="00193FA4">
              <w:t>EUR</w:t>
            </w:r>
            <w:r w:rsidR="009D4664" w:rsidRPr="00193FA4">
              <w:t xml:space="preserve">, 2015.gadā </w:t>
            </w:r>
            <w:r w:rsidR="00EF0E4D" w:rsidRPr="00193FA4">
              <w:t>–</w:t>
            </w:r>
            <w:r w:rsidR="009D4664" w:rsidRPr="00193FA4">
              <w:t xml:space="preserve"> </w:t>
            </w:r>
            <w:r w:rsidR="00EF0E4D" w:rsidRPr="00193FA4">
              <w:t>73,3 milj. EUR</w:t>
            </w:r>
            <w:r w:rsidR="00721FDA" w:rsidRPr="00193FA4">
              <w:t>.</w:t>
            </w:r>
            <w:r w:rsidR="00D41FAA" w:rsidRPr="00193FA4">
              <w:t xml:space="preserve"> </w:t>
            </w:r>
            <w:r w:rsidR="007E1E8E" w:rsidRPr="00193FA4">
              <w:t xml:space="preserve">Lai </w:t>
            </w:r>
            <w:r w:rsidRPr="00193FA4">
              <w:t xml:space="preserve">VAS „Latvijas dzelzceļš” </w:t>
            </w:r>
            <w:r w:rsidR="007E1E8E" w:rsidRPr="00193FA4">
              <w:t xml:space="preserve"> varētu sekmīgi turpināt saimniecisko darbību</w:t>
            </w:r>
            <w:r w:rsidR="0054202A" w:rsidRPr="00193FA4">
              <w:t xml:space="preserve"> </w:t>
            </w:r>
            <w:r w:rsidR="00A846C7" w:rsidRPr="00193FA4">
              <w:t xml:space="preserve">un </w:t>
            </w:r>
            <w:r w:rsidR="007E1E8E" w:rsidRPr="00193FA4">
              <w:t>piesaistīt</w:t>
            </w:r>
            <w:r w:rsidR="00CD1649" w:rsidRPr="00193FA4">
              <w:t xml:space="preserve"> nepieciešamo </w:t>
            </w:r>
            <w:r w:rsidR="007E1E8E" w:rsidRPr="00193FA4">
              <w:t xml:space="preserve">finansējumu ES </w:t>
            </w:r>
            <w:r w:rsidR="00E07926" w:rsidRPr="00193FA4">
              <w:t xml:space="preserve">projektu </w:t>
            </w:r>
            <w:r w:rsidR="007E1E8E" w:rsidRPr="00193FA4">
              <w:t>realizēšanai</w:t>
            </w:r>
            <w:r w:rsidR="0019000D" w:rsidRPr="00193FA4">
              <w:t>,</w:t>
            </w:r>
            <w:r w:rsidR="007E1E8E" w:rsidRPr="00193FA4">
              <w:t xml:space="preserve"> nepieciešams  nopelnītos finanšu līdzekļus ieguldīt </w:t>
            </w:r>
            <w:r w:rsidR="006A4625" w:rsidRPr="00193FA4">
              <w:t xml:space="preserve">VAS „Latvijas dzelzceļš” </w:t>
            </w:r>
            <w:r w:rsidR="00AD0B35" w:rsidRPr="00193FA4">
              <w:t xml:space="preserve">investīciju </w:t>
            </w:r>
            <w:r w:rsidR="007E1E8E" w:rsidRPr="00193FA4">
              <w:t xml:space="preserve">plānu </w:t>
            </w:r>
            <w:r w:rsidR="00811046" w:rsidRPr="00193FA4">
              <w:t>nodrošināšanā</w:t>
            </w:r>
            <w:r w:rsidR="007E1E8E" w:rsidRPr="00193FA4">
              <w:t xml:space="preserve">. </w:t>
            </w:r>
          </w:p>
          <w:p w:rsidR="00184DF9" w:rsidRPr="00193FA4" w:rsidRDefault="00184DF9" w:rsidP="00FF4919">
            <w:pPr>
              <w:pStyle w:val="BodyText"/>
              <w:spacing w:before="120" w:after="0" w:line="276" w:lineRule="auto"/>
              <w:jc w:val="both"/>
            </w:pPr>
            <w:r w:rsidRPr="00193FA4">
              <w:t xml:space="preserve">Izmaksājot dividendes valstij ārējos tiesību aktos paredzētajā apmērā – 90% vai 50% apmērā no tīrās peļņas, </w:t>
            </w:r>
            <w:r w:rsidRPr="00193FA4">
              <w:br/>
            </w:r>
            <w:r w:rsidRPr="00193FA4">
              <w:lastRenderedPageBreak/>
              <w:t>VAS „Latvijas dzelzceļš” nebūs spējīgs nodrošināt banku prasības attiecībā uz plānoto pašu kapitāla īpatsvaru. Bez papildu valsts garantijām ārējā finansējuma piesaiste investīciju projektu realizācijai nepieciešamajā apmērā būs apdraudēta. Būtiski samazinoties kravu pārvadājumu apjomam, var tikt apdraudēta LDZ maksātspēja un ES projektu realizēšana.</w:t>
            </w:r>
          </w:p>
          <w:p w:rsidR="00184DF9" w:rsidRPr="00193FA4" w:rsidRDefault="00184DF9" w:rsidP="00FF4919">
            <w:pPr>
              <w:pStyle w:val="BodyText"/>
              <w:spacing w:before="120" w:after="0" w:line="276" w:lineRule="auto"/>
              <w:jc w:val="both"/>
            </w:pPr>
            <w:r w:rsidRPr="00193FA4">
              <w:t>Pamatojoties uz minēto, Ministru kabineta rīkojuma projekts paredz noteikt valstij dividendēs izmaksājamo valsts akciju sabiedrības „Latvijas dzelzceļš” peļņas daļu par 2015.gadu 0% apmērā no valsts akciju sabiedrības „Latvijas dzelzceļš” tīrās peļņas, nodrošinot, ka 2015.gada tīrā peļņa tiek novirzīta uzsākto un attiecīgajā periodā plānoto publiskas lietošanas dzelzceļa infrastruktūras projektu īstenošanai.</w:t>
            </w:r>
          </w:p>
          <w:p w:rsidR="00E3015F" w:rsidRPr="00193FA4" w:rsidRDefault="00EC3287" w:rsidP="00FF4919">
            <w:pPr>
              <w:spacing w:before="120" w:line="276" w:lineRule="auto"/>
              <w:jc w:val="both"/>
            </w:pPr>
            <w:r w:rsidRPr="00EC3287">
              <w:t>Nav plānota valsts atbalsta piešķiršana</w:t>
            </w:r>
            <w:r w:rsidR="00184DF9" w:rsidRPr="00193FA4">
              <w:t>.</w:t>
            </w:r>
          </w:p>
        </w:tc>
      </w:tr>
      <w:tr w:rsidR="00FA4112" w:rsidRPr="00193FA4" w:rsidTr="00184DF9">
        <w:tc>
          <w:tcPr>
            <w:tcW w:w="521" w:type="dxa"/>
          </w:tcPr>
          <w:p w:rsidR="0082475D" w:rsidRPr="00193FA4" w:rsidRDefault="00184DF9" w:rsidP="00FF4919">
            <w:pPr>
              <w:spacing w:before="120" w:line="276" w:lineRule="auto"/>
              <w:jc w:val="center"/>
            </w:pPr>
            <w:r w:rsidRPr="00193FA4">
              <w:lastRenderedPageBreak/>
              <w:t>2</w:t>
            </w:r>
            <w:r w:rsidR="0082475D" w:rsidRPr="00193FA4">
              <w:t xml:space="preserve">. </w:t>
            </w:r>
          </w:p>
        </w:tc>
        <w:tc>
          <w:tcPr>
            <w:tcW w:w="2376" w:type="dxa"/>
          </w:tcPr>
          <w:p w:rsidR="0082475D" w:rsidRPr="00193FA4" w:rsidRDefault="0082475D" w:rsidP="00FF4919">
            <w:pPr>
              <w:spacing w:before="120" w:line="276" w:lineRule="auto"/>
            </w:pPr>
            <w:r w:rsidRPr="00193FA4">
              <w:t>Projekta izstrādē iesaistītās institūcijas</w:t>
            </w:r>
          </w:p>
        </w:tc>
        <w:tc>
          <w:tcPr>
            <w:tcW w:w="6108" w:type="dxa"/>
          </w:tcPr>
          <w:p w:rsidR="0082475D" w:rsidRPr="00193FA4" w:rsidRDefault="0082475D" w:rsidP="00FF4919">
            <w:pPr>
              <w:spacing w:before="120" w:line="276" w:lineRule="auto"/>
            </w:pPr>
            <w:r w:rsidRPr="00193FA4">
              <w:t>Satiksmes ministrija</w:t>
            </w:r>
          </w:p>
          <w:p w:rsidR="00A41BE1" w:rsidRPr="00193FA4" w:rsidRDefault="00A41BE1" w:rsidP="00FF4919">
            <w:pPr>
              <w:spacing w:before="120" w:line="276" w:lineRule="auto"/>
            </w:pPr>
            <w:r w:rsidRPr="00193FA4">
              <w:t>VAS „Latvijas dzelzceļš”</w:t>
            </w:r>
          </w:p>
        </w:tc>
      </w:tr>
      <w:tr w:rsidR="00FA4112" w:rsidRPr="00193FA4" w:rsidTr="00184DF9">
        <w:tc>
          <w:tcPr>
            <w:tcW w:w="521" w:type="dxa"/>
          </w:tcPr>
          <w:p w:rsidR="0082475D" w:rsidRPr="00193FA4" w:rsidRDefault="00184DF9" w:rsidP="00FF4919">
            <w:pPr>
              <w:spacing w:before="120" w:line="276" w:lineRule="auto"/>
              <w:jc w:val="center"/>
            </w:pPr>
            <w:r w:rsidRPr="00193FA4">
              <w:t>3</w:t>
            </w:r>
            <w:r w:rsidR="0082475D" w:rsidRPr="00193FA4">
              <w:t xml:space="preserve">. </w:t>
            </w:r>
          </w:p>
        </w:tc>
        <w:tc>
          <w:tcPr>
            <w:tcW w:w="2376" w:type="dxa"/>
          </w:tcPr>
          <w:p w:rsidR="0082475D" w:rsidRPr="00193FA4" w:rsidRDefault="0082475D" w:rsidP="00FF4919">
            <w:pPr>
              <w:spacing w:before="120" w:line="276" w:lineRule="auto"/>
            </w:pPr>
            <w:r w:rsidRPr="00193FA4">
              <w:t>Cita informācija</w:t>
            </w:r>
          </w:p>
        </w:tc>
        <w:tc>
          <w:tcPr>
            <w:tcW w:w="6108" w:type="dxa"/>
          </w:tcPr>
          <w:p w:rsidR="0082475D" w:rsidRPr="00193FA4" w:rsidRDefault="00D41FAA" w:rsidP="00FF4919">
            <w:pPr>
              <w:spacing w:before="120" w:line="276" w:lineRule="auto"/>
              <w:jc w:val="both"/>
            </w:pPr>
            <w:r w:rsidRPr="00193FA4">
              <w:t>Nav</w:t>
            </w:r>
          </w:p>
        </w:tc>
      </w:tr>
    </w:tbl>
    <w:p w:rsidR="00EC3287" w:rsidRPr="00193FA4" w:rsidRDefault="00EC3287" w:rsidP="00FF4919">
      <w:pPr>
        <w:spacing w:before="120" w:line="276" w:lineRule="auto"/>
        <w:jc w:val="both"/>
      </w:pPr>
    </w:p>
    <w:p w:rsidR="009274A2" w:rsidRPr="00193FA4" w:rsidRDefault="009274A2" w:rsidP="00FF4919">
      <w:pPr>
        <w:spacing w:before="120" w:line="276" w:lineRule="auto"/>
        <w:jc w:val="both"/>
      </w:pPr>
    </w:p>
    <w:tbl>
      <w:tblPr>
        <w:tblStyle w:val="TableGrid"/>
        <w:tblW w:w="9072" w:type="dxa"/>
        <w:tblInd w:w="108" w:type="dxa"/>
        <w:tblLook w:val="00A0" w:firstRow="1" w:lastRow="0" w:firstColumn="1" w:lastColumn="0" w:noHBand="0" w:noVBand="0"/>
      </w:tblPr>
      <w:tblGrid>
        <w:gridCol w:w="2540"/>
        <w:gridCol w:w="1416"/>
        <w:gridCol w:w="1280"/>
        <w:gridCol w:w="1261"/>
        <w:gridCol w:w="1265"/>
        <w:gridCol w:w="1310"/>
      </w:tblGrid>
      <w:tr w:rsidR="00FA4112" w:rsidRPr="00193FA4" w:rsidTr="00AA1B9B">
        <w:trPr>
          <w:trHeight w:val="652"/>
        </w:trPr>
        <w:tc>
          <w:tcPr>
            <w:tcW w:w="9072" w:type="dxa"/>
            <w:gridSpan w:val="6"/>
          </w:tcPr>
          <w:p w:rsidR="006E0B3D" w:rsidRPr="00193FA4" w:rsidRDefault="006E0B3D" w:rsidP="00FF4919">
            <w:pPr>
              <w:spacing w:before="120"/>
              <w:jc w:val="center"/>
              <w:rPr>
                <w:b/>
                <w:bCs/>
              </w:rPr>
            </w:pPr>
            <w:r w:rsidRPr="00193FA4">
              <w:rPr>
                <w:b/>
                <w:bCs/>
              </w:rPr>
              <w:t>III. Tiesību akta projekta ietekme uz valsts budžetu un pašvaldību budžetiem</w:t>
            </w:r>
          </w:p>
        </w:tc>
      </w:tr>
      <w:tr w:rsidR="00FA4112" w:rsidRPr="00193FA4" w:rsidTr="00AA1B9B">
        <w:tc>
          <w:tcPr>
            <w:tcW w:w="2540" w:type="dxa"/>
            <w:vMerge w:val="restart"/>
          </w:tcPr>
          <w:p w:rsidR="00402722" w:rsidRPr="00193FA4" w:rsidRDefault="00402722" w:rsidP="00FF4919">
            <w:pPr>
              <w:spacing w:before="120"/>
              <w:jc w:val="center"/>
              <w:rPr>
                <w:b/>
              </w:rPr>
            </w:pPr>
            <w:r w:rsidRPr="00193FA4">
              <w:rPr>
                <w:b/>
              </w:rPr>
              <w:t> </w:t>
            </w:r>
            <w:r w:rsidRPr="00193FA4">
              <w:rPr>
                <w:b/>
                <w:bCs/>
              </w:rPr>
              <w:t>Rādītāji</w:t>
            </w:r>
          </w:p>
        </w:tc>
        <w:tc>
          <w:tcPr>
            <w:tcW w:w="2696" w:type="dxa"/>
            <w:gridSpan w:val="2"/>
            <w:vMerge w:val="restart"/>
          </w:tcPr>
          <w:p w:rsidR="00402722" w:rsidRPr="00193FA4" w:rsidRDefault="00FD7E1A" w:rsidP="00FF4919">
            <w:pPr>
              <w:spacing w:before="120"/>
              <w:jc w:val="center"/>
              <w:rPr>
                <w:b/>
              </w:rPr>
            </w:pPr>
            <w:r w:rsidRPr="00193FA4">
              <w:rPr>
                <w:b/>
                <w:bCs/>
              </w:rPr>
              <w:t>201</w:t>
            </w:r>
            <w:r w:rsidR="00756450" w:rsidRPr="00193FA4">
              <w:rPr>
                <w:b/>
                <w:bCs/>
              </w:rPr>
              <w:t>6</w:t>
            </w:r>
          </w:p>
        </w:tc>
        <w:tc>
          <w:tcPr>
            <w:tcW w:w="3836" w:type="dxa"/>
            <w:gridSpan w:val="3"/>
          </w:tcPr>
          <w:p w:rsidR="00402722" w:rsidRPr="00193FA4" w:rsidRDefault="00402722" w:rsidP="00FF4919">
            <w:pPr>
              <w:spacing w:before="120"/>
              <w:jc w:val="center"/>
              <w:rPr>
                <w:b/>
              </w:rPr>
            </w:pPr>
            <w:r w:rsidRPr="00193FA4">
              <w:rPr>
                <w:b/>
              </w:rPr>
              <w:t xml:space="preserve"> Turpmākie trīs gadi (tūkst. </w:t>
            </w:r>
            <w:proofErr w:type="spellStart"/>
            <w:r w:rsidR="00756450" w:rsidRPr="00193FA4">
              <w:rPr>
                <w:b/>
              </w:rPr>
              <w:t>euro</w:t>
            </w:r>
            <w:proofErr w:type="spellEnd"/>
            <w:r w:rsidRPr="00193FA4">
              <w:rPr>
                <w:b/>
              </w:rPr>
              <w:t>)</w:t>
            </w:r>
          </w:p>
        </w:tc>
      </w:tr>
      <w:tr w:rsidR="00FA4112" w:rsidRPr="00193FA4" w:rsidTr="00AA1B9B">
        <w:tc>
          <w:tcPr>
            <w:tcW w:w="2540" w:type="dxa"/>
            <w:vMerge/>
          </w:tcPr>
          <w:p w:rsidR="00402722" w:rsidRPr="00193FA4" w:rsidRDefault="00402722" w:rsidP="00FF4919">
            <w:pPr>
              <w:spacing w:before="120"/>
            </w:pPr>
          </w:p>
        </w:tc>
        <w:tc>
          <w:tcPr>
            <w:tcW w:w="0" w:type="auto"/>
            <w:gridSpan w:val="2"/>
            <w:vMerge/>
          </w:tcPr>
          <w:p w:rsidR="00402722" w:rsidRPr="00193FA4" w:rsidRDefault="00402722" w:rsidP="00FF4919">
            <w:pPr>
              <w:spacing w:before="120"/>
            </w:pPr>
          </w:p>
        </w:tc>
        <w:tc>
          <w:tcPr>
            <w:tcW w:w="1261" w:type="dxa"/>
          </w:tcPr>
          <w:p w:rsidR="00402722" w:rsidRPr="00193FA4" w:rsidRDefault="00FD7E1A" w:rsidP="00FF4919">
            <w:pPr>
              <w:spacing w:before="120"/>
              <w:jc w:val="center"/>
              <w:rPr>
                <w:b/>
                <w:bCs/>
              </w:rPr>
            </w:pPr>
            <w:r w:rsidRPr="00193FA4">
              <w:rPr>
                <w:b/>
                <w:bCs/>
              </w:rPr>
              <w:t>201</w:t>
            </w:r>
            <w:r w:rsidR="00756450" w:rsidRPr="00193FA4">
              <w:rPr>
                <w:b/>
                <w:bCs/>
              </w:rPr>
              <w:t>7</w:t>
            </w:r>
          </w:p>
        </w:tc>
        <w:tc>
          <w:tcPr>
            <w:tcW w:w="1265" w:type="dxa"/>
          </w:tcPr>
          <w:p w:rsidR="00402722" w:rsidRPr="00193FA4" w:rsidRDefault="00FD7E1A" w:rsidP="00FF4919">
            <w:pPr>
              <w:spacing w:before="120"/>
              <w:jc w:val="center"/>
              <w:rPr>
                <w:b/>
                <w:bCs/>
              </w:rPr>
            </w:pPr>
            <w:r w:rsidRPr="00193FA4">
              <w:rPr>
                <w:b/>
                <w:bCs/>
              </w:rPr>
              <w:t>201</w:t>
            </w:r>
            <w:r w:rsidR="00756450" w:rsidRPr="00193FA4">
              <w:rPr>
                <w:b/>
                <w:bCs/>
              </w:rPr>
              <w:t>8</w:t>
            </w:r>
          </w:p>
        </w:tc>
        <w:tc>
          <w:tcPr>
            <w:tcW w:w="1310" w:type="dxa"/>
          </w:tcPr>
          <w:p w:rsidR="00402722" w:rsidRPr="00193FA4" w:rsidRDefault="00FD7E1A" w:rsidP="00FF4919">
            <w:pPr>
              <w:spacing w:before="120"/>
              <w:jc w:val="center"/>
              <w:rPr>
                <w:b/>
                <w:bCs/>
              </w:rPr>
            </w:pPr>
            <w:r w:rsidRPr="00193FA4">
              <w:rPr>
                <w:b/>
                <w:bCs/>
              </w:rPr>
              <w:t>201</w:t>
            </w:r>
            <w:r w:rsidR="00756450" w:rsidRPr="00193FA4">
              <w:rPr>
                <w:b/>
                <w:bCs/>
              </w:rPr>
              <w:t>9</w:t>
            </w:r>
          </w:p>
        </w:tc>
      </w:tr>
      <w:tr w:rsidR="00FA4112" w:rsidRPr="00193FA4" w:rsidTr="00AA1B9B">
        <w:tc>
          <w:tcPr>
            <w:tcW w:w="2540" w:type="dxa"/>
            <w:vMerge/>
          </w:tcPr>
          <w:p w:rsidR="006E0B3D" w:rsidRPr="00193FA4" w:rsidRDefault="006E0B3D" w:rsidP="00FF4919">
            <w:pPr>
              <w:spacing w:before="120"/>
            </w:pPr>
          </w:p>
        </w:tc>
        <w:tc>
          <w:tcPr>
            <w:tcW w:w="1416" w:type="dxa"/>
          </w:tcPr>
          <w:p w:rsidR="006E0B3D" w:rsidRPr="00193FA4" w:rsidRDefault="006E0B3D" w:rsidP="00FF4919">
            <w:pPr>
              <w:spacing w:before="120"/>
              <w:jc w:val="center"/>
            </w:pPr>
            <w:r w:rsidRPr="00193FA4">
              <w:t> Saskaņā ar valsts budžetu kārtējam gadam</w:t>
            </w:r>
          </w:p>
        </w:tc>
        <w:tc>
          <w:tcPr>
            <w:tcW w:w="1280" w:type="dxa"/>
          </w:tcPr>
          <w:p w:rsidR="006E0B3D" w:rsidRPr="00193FA4" w:rsidRDefault="006E0B3D" w:rsidP="00FF4919">
            <w:pPr>
              <w:spacing w:before="120"/>
              <w:jc w:val="center"/>
            </w:pPr>
            <w:r w:rsidRPr="00193FA4">
              <w:t> Izmaiņas kārtējā gadā, salīdzinot ar budžetu kārtējam gadam</w:t>
            </w:r>
          </w:p>
        </w:tc>
        <w:tc>
          <w:tcPr>
            <w:tcW w:w="1261" w:type="dxa"/>
          </w:tcPr>
          <w:p w:rsidR="006E0B3D" w:rsidRPr="00193FA4" w:rsidRDefault="006E0B3D" w:rsidP="00FF4919">
            <w:pPr>
              <w:spacing w:before="120"/>
              <w:jc w:val="center"/>
            </w:pPr>
            <w:r w:rsidRPr="00193FA4">
              <w:t> Izmaiņas, salīdzinot ar kārtējo (n) gadu</w:t>
            </w:r>
          </w:p>
        </w:tc>
        <w:tc>
          <w:tcPr>
            <w:tcW w:w="1265" w:type="dxa"/>
          </w:tcPr>
          <w:p w:rsidR="006E0B3D" w:rsidRPr="00193FA4" w:rsidRDefault="006E0B3D" w:rsidP="00FF4919">
            <w:pPr>
              <w:spacing w:before="120"/>
              <w:jc w:val="center"/>
            </w:pPr>
            <w:r w:rsidRPr="00193FA4">
              <w:t> Izmaiņas, salīdzinot ar kārtējo (n) gadu</w:t>
            </w:r>
          </w:p>
        </w:tc>
        <w:tc>
          <w:tcPr>
            <w:tcW w:w="1310" w:type="dxa"/>
          </w:tcPr>
          <w:p w:rsidR="006E0B3D" w:rsidRPr="00193FA4" w:rsidRDefault="006E0B3D" w:rsidP="00FF4919">
            <w:pPr>
              <w:spacing w:before="120"/>
              <w:jc w:val="center"/>
            </w:pPr>
            <w:r w:rsidRPr="00193FA4">
              <w:t> Izmaiņas, salīdzinot ar kārtējo (n) gadu</w:t>
            </w:r>
          </w:p>
        </w:tc>
      </w:tr>
      <w:tr w:rsidR="00FA4112" w:rsidRPr="00193FA4" w:rsidTr="00AA1B9B">
        <w:tc>
          <w:tcPr>
            <w:tcW w:w="2540" w:type="dxa"/>
          </w:tcPr>
          <w:p w:rsidR="006E0B3D" w:rsidRPr="00193FA4" w:rsidRDefault="006E0B3D" w:rsidP="00FF4919">
            <w:pPr>
              <w:spacing w:before="120"/>
              <w:jc w:val="center"/>
            </w:pPr>
            <w:r w:rsidRPr="00193FA4">
              <w:t> 1</w:t>
            </w:r>
          </w:p>
        </w:tc>
        <w:tc>
          <w:tcPr>
            <w:tcW w:w="1416" w:type="dxa"/>
          </w:tcPr>
          <w:p w:rsidR="006E0B3D" w:rsidRPr="00193FA4" w:rsidRDefault="006E0B3D" w:rsidP="00FF4919">
            <w:pPr>
              <w:spacing w:before="120"/>
              <w:jc w:val="center"/>
            </w:pPr>
            <w:r w:rsidRPr="00193FA4">
              <w:t> 2</w:t>
            </w:r>
          </w:p>
        </w:tc>
        <w:tc>
          <w:tcPr>
            <w:tcW w:w="1280" w:type="dxa"/>
          </w:tcPr>
          <w:p w:rsidR="006E0B3D" w:rsidRPr="00193FA4" w:rsidRDefault="006E0B3D" w:rsidP="00FF4919">
            <w:pPr>
              <w:spacing w:before="120"/>
              <w:jc w:val="center"/>
            </w:pPr>
            <w:r w:rsidRPr="00193FA4">
              <w:t> 3</w:t>
            </w:r>
          </w:p>
        </w:tc>
        <w:tc>
          <w:tcPr>
            <w:tcW w:w="1261" w:type="dxa"/>
          </w:tcPr>
          <w:p w:rsidR="006E0B3D" w:rsidRPr="00193FA4" w:rsidRDefault="006E0B3D" w:rsidP="00FF4919">
            <w:pPr>
              <w:spacing w:before="120"/>
              <w:jc w:val="center"/>
            </w:pPr>
            <w:r w:rsidRPr="00193FA4">
              <w:t> 4</w:t>
            </w:r>
          </w:p>
        </w:tc>
        <w:tc>
          <w:tcPr>
            <w:tcW w:w="1265" w:type="dxa"/>
          </w:tcPr>
          <w:p w:rsidR="006E0B3D" w:rsidRPr="00193FA4" w:rsidRDefault="006E0B3D" w:rsidP="00FF4919">
            <w:pPr>
              <w:spacing w:before="120"/>
              <w:jc w:val="center"/>
            </w:pPr>
            <w:r w:rsidRPr="00193FA4">
              <w:t> 5</w:t>
            </w:r>
          </w:p>
        </w:tc>
        <w:tc>
          <w:tcPr>
            <w:tcW w:w="1310" w:type="dxa"/>
          </w:tcPr>
          <w:p w:rsidR="006E0B3D" w:rsidRPr="00193FA4" w:rsidRDefault="006E0B3D" w:rsidP="00FF4919">
            <w:pPr>
              <w:spacing w:before="120"/>
              <w:jc w:val="center"/>
            </w:pPr>
            <w:r w:rsidRPr="00193FA4">
              <w:t> 6</w:t>
            </w:r>
          </w:p>
        </w:tc>
      </w:tr>
      <w:tr w:rsidR="00FA4112" w:rsidRPr="00193FA4" w:rsidTr="00AA1B9B">
        <w:tc>
          <w:tcPr>
            <w:tcW w:w="2540" w:type="dxa"/>
          </w:tcPr>
          <w:p w:rsidR="00525458" w:rsidRPr="00193FA4" w:rsidRDefault="00525458" w:rsidP="00FF4919">
            <w:pPr>
              <w:spacing w:before="120"/>
              <w:ind w:left="127"/>
              <w:jc w:val="both"/>
            </w:pPr>
            <w:r w:rsidRPr="00193FA4">
              <w:t> 1. Budžeta ieņēmumi:</w:t>
            </w:r>
          </w:p>
        </w:tc>
        <w:tc>
          <w:tcPr>
            <w:tcW w:w="1416" w:type="dxa"/>
          </w:tcPr>
          <w:p w:rsidR="00525458" w:rsidRPr="00193FA4" w:rsidRDefault="00D2005A" w:rsidP="00FF4919">
            <w:pPr>
              <w:spacing w:before="120"/>
              <w:jc w:val="center"/>
            </w:pPr>
            <w:r w:rsidRPr="00193FA4">
              <w:t>157 549 627</w:t>
            </w:r>
          </w:p>
        </w:tc>
        <w:tc>
          <w:tcPr>
            <w:tcW w:w="1280" w:type="dxa"/>
          </w:tcPr>
          <w:p w:rsidR="00525458" w:rsidRPr="00193FA4" w:rsidRDefault="00D2005A" w:rsidP="00FF4919">
            <w:pPr>
              <w:spacing w:before="120"/>
              <w:jc w:val="center"/>
            </w:pPr>
            <w:r w:rsidRPr="00193FA4">
              <w:t>-1 860 471</w:t>
            </w:r>
          </w:p>
        </w:tc>
        <w:tc>
          <w:tcPr>
            <w:tcW w:w="1261" w:type="dxa"/>
          </w:tcPr>
          <w:p w:rsidR="00525458" w:rsidRPr="00193FA4" w:rsidRDefault="00525458" w:rsidP="00FF4919">
            <w:pPr>
              <w:spacing w:before="120"/>
              <w:jc w:val="center"/>
            </w:pPr>
            <w:r w:rsidRPr="00193FA4">
              <w:t>-</w:t>
            </w:r>
          </w:p>
        </w:tc>
        <w:tc>
          <w:tcPr>
            <w:tcW w:w="1265" w:type="dxa"/>
          </w:tcPr>
          <w:p w:rsidR="00525458" w:rsidRPr="00193FA4" w:rsidRDefault="00525458" w:rsidP="00FF4919">
            <w:pPr>
              <w:spacing w:before="120"/>
              <w:jc w:val="center"/>
            </w:pPr>
            <w:r w:rsidRPr="00193FA4">
              <w:t>-</w:t>
            </w:r>
          </w:p>
        </w:tc>
        <w:tc>
          <w:tcPr>
            <w:tcW w:w="1310" w:type="dxa"/>
          </w:tcPr>
          <w:p w:rsidR="00525458" w:rsidRPr="00193FA4" w:rsidRDefault="00525458" w:rsidP="00FF4919">
            <w:pPr>
              <w:spacing w:before="120"/>
              <w:jc w:val="center"/>
            </w:pPr>
            <w:r w:rsidRPr="00193FA4">
              <w:t>-</w:t>
            </w:r>
          </w:p>
        </w:tc>
      </w:tr>
      <w:tr w:rsidR="00FA4112" w:rsidRPr="00193FA4" w:rsidTr="00AA1B9B">
        <w:tc>
          <w:tcPr>
            <w:tcW w:w="2540" w:type="dxa"/>
          </w:tcPr>
          <w:p w:rsidR="00525458" w:rsidRPr="00193FA4" w:rsidRDefault="00525458" w:rsidP="00FF4919">
            <w:pPr>
              <w:numPr>
                <w:ilvl w:val="1"/>
                <w:numId w:val="8"/>
              </w:numPr>
              <w:spacing w:before="120"/>
              <w:ind w:left="127" w:firstLine="0"/>
              <w:jc w:val="both"/>
            </w:pPr>
            <w:r w:rsidRPr="00193FA4">
              <w:t>valsts pamatbudžets, tai skaitā      ieņēmumi       no   maksas       pakalpojumiem un citi pašu ieņēmumi</w:t>
            </w:r>
          </w:p>
        </w:tc>
        <w:tc>
          <w:tcPr>
            <w:tcW w:w="1416" w:type="dxa"/>
          </w:tcPr>
          <w:p w:rsidR="00525458" w:rsidRPr="00193FA4" w:rsidRDefault="00D2005A" w:rsidP="00FF4919">
            <w:pPr>
              <w:spacing w:before="120"/>
              <w:jc w:val="center"/>
            </w:pPr>
            <w:r w:rsidRPr="00193FA4">
              <w:t>157 549 627</w:t>
            </w:r>
          </w:p>
        </w:tc>
        <w:tc>
          <w:tcPr>
            <w:tcW w:w="1280" w:type="dxa"/>
          </w:tcPr>
          <w:p w:rsidR="00525458" w:rsidRPr="00193FA4" w:rsidRDefault="00D2005A" w:rsidP="00FF4919">
            <w:pPr>
              <w:spacing w:before="120"/>
              <w:ind w:left="8"/>
              <w:jc w:val="center"/>
            </w:pPr>
            <w:r w:rsidRPr="00193FA4">
              <w:t>-1 860 471</w:t>
            </w:r>
          </w:p>
        </w:tc>
        <w:tc>
          <w:tcPr>
            <w:tcW w:w="1261" w:type="dxa"/>
          </w:tcPr>
          <w:p w:rsidR="00525458" w:rsidRPr="00193FA4" w:rsidRDefault="00525458" w:rsidP="00FF4919">
            <w:pPr>
              <w:spacing w:before="120"/>
              <w:jc w:val="center"/>
            </w:pPr>
            <w:r w:rsidRPr="00193FA4">
              <w:t>-</w:t>
            </w:r>
          </w:p>
        </w:tc>
        <w:tc>
          <w:tcPr>
            <w:tcW w:w="1265" w:type="dxa"/>
          </w:tcPr>
          <w:p w:rsidR="00525458" w:rsidRPr="00193FA4" w:rsidRDefault="00525458" w:rsidP="00FF4919">
            <w:pPr>
              <w:spacing w:before="120"/>
              <w:jc w:val="center"/>
            </w:pPr>
            <w:r w:rsidRPr="00193FA4">
              <w:t>-</w:t>
            </w:r>
          </w:p>
        </w:tc>
        <w:tc>
          <w:tcPr>
            <w:tcW w:w="1310" w:type="dxa"/>
          </w:tcPr>
          <w:p w:rsidR="00525458" w:rsidRPr="00193FA4" w:rsidRDefault="00525458" w:rsidP="00FF4919">
            <w:pPr>
              <w:spacing w:before="120"/>
              <w:jc w:val="center"/>
            </w:pPr>
            <w:r w:rsidRPr="00193FA4">
              <w:t>-</w:t>
            </w:r>
          </w:p>
        </w:tc>
      </w:tr>
      <w:tr w:rsidR="00FA4112" w:rsidRPr="00193FA4" w:rsidTr="00AA1B9B">
        <w:tc>
          <w:tcPr>
            <w:tcW w:w="2540" w:type="dxa"/>
          </w:tcPr>
          <w:p w:rsidR="00525458" w:rsidRPr="00193FA4" w:rsidRDefault="00525458" w:rsidP="00FF4919">
            <w:pPr>
              <w:spacing w:before="120"/>
              <w:ind w:left="127"/>
              <w:jc w:val="both"/>
            </w:pPr>
            <w:r w:rsidRPr="00193FA4">
              <w:t> 1.2. valsts speciālais budžets</w:t>
            </w:r>
          </w:p>
        </w:tc>
        <w:tc>
          <w:tcPr>
            <w:tcW w:w="1416" w:type="dxa"/>
          </w:tcPr>
          <w:p w:rsidR="00525458" w:rsidRPr="00193FA4" w:rsidRDefault="00525458" w:rsidP="00FF4919">
            <w:pPr>
              <w:spacing w:before="120"/>
              <w:jc w:val="center"/>
            </w:pPr>
            <w:r w:rsidRPr="00193FA4">
              <w:t>0</w:t>
            </w:r>
          </w:p>
        </w:tc>
        <w:tc>
          <w:tcPr>
            <w:tcW w:w="1280" w:type="dxa"/>
          </w:tcPr>
          <w:p w:rsidR="00525458" w:rsidRPr="00193FA4" w:rsidRDefault="00525458" w:rsidP="00FF4919">
            <w:pPr>
              <w:spacing w:before="120"/>
              <w:jc w:val="center"/>
            </w:pPr>
            <w:r w:rsidRPr="00193FA4">
              <w:t>0</w:t>
            </w:r>
          </w:p>
        </w:tc>
        <w:tc>
          <w:tcPr>
            <w:tcW w:w="1261" w:type="dxa"/>
          </w:tcPr>
          <w:p w:rsidR="00525458" w:rsidRPr="00193FA4" w:rsidRDefault="00525458" w:rsidP="00FF4919">
            <w:pPr>
              <w:spacing w:before="120"/>
              <w:jc w:val="center"/>
            </w:pPr>
            <w:r w:rsidRPr="00193FA4">
              <w:t>-</w:t>
            </w:r>
          </w:p>
        </w:tc>
        <w:tc>
          <w:tcPr>
            <w:tcW w:w="1265" w:type="dxa"/>
          </w:tcPr>
          <w:p w:rsidR="00525458" w:rsidRPr="00193FA4" w:rsidRDefault="00525458" w:rsidP="00FF4919">
            <w:pPr>
              <w:spacing w:before="120"/>
              <w:jc w:val="center"/>
            </w:pPr>
            <w:r w:rsidRPr="00193FA4">
              <w:t>-</w:t>
            </w:r>
          </w:p>
        </w:tc>
        <w:tc>
          <w:tcPr>
            <w:tcW w:w="1310" w:type="dxa"/>
          </w:tcPr>
          <w:p w:rsidR="00525458" w:rsidRPr="00193FA4" w:rsidRDefault="00525458" w:rsidP="00FF4919">
            <w:pPr>
              <w:spacing w:before="120"/>
              <w:jc w:val="center"/>
            </w:pPr>
            <w:r w:rsidRPr="00193FA4">
              <w:t>-</w:t>
            </w:r>
          </w:p>
        </w:tc>
      </w:tr>
      <w:tr w:rsidR="00FA4112" w:rsidRPr="00193FA4" w:rsidTr="00AA1B9B">
        <w:tc>
          <w:tcPr>
            <w:tcW w:w="2540" w:type="dxa"/>
          </w:tcPr>
          <w:p w:rsidR="00525458" w:rsidRPr="00193FA4" w:rsidRDefault="00525458" w:rsidP="00FF4919">
            <w:pPr>
              <w:spacing w:before="120"/>
            </w:pPr>
            <w:r w:rsidRPr="00193FA4">
              <w:t> 1.3. pašvaldību budžets</w:t>
            </w:r>
          </w:p>
        </w:tc>
        <w:tc>
          <w:tcPr>
            <w:tcW w:w="1416" w:type="dxa"/>
          </w:tcPr>
          <w:p w:rsidR="00525458" w:rsidRPr="00193FA4" w:rsidRDefault="00525458" w:rsidP="00FF4919">
            <w:pPr>
              <w:spacing w:before="120"/>
              <w:jc w:val="center"/>
            </w:pPr>
            <w:r w:rsidRPr="00193FA4">
              <w:t>0</w:t>
            </w:r>
          </w:p>
        </w:tc>
        <w:tc>
          <w:tcPr>
            <w:tcW w:w="1280" w:type="dxa"/>
          </w:tcPr>
          <w:p w:rsidR="00525458" w:rsidRPr="00193FA4" w:rsidRDefault="00525458" w:rsidP="00FF4919">
            <w:pPr>
              <w:spacing w:before="120"/>
              <w:jc w:val="center"/>
            </w:pPr>
            <w:r w:rsidRPr="00193FA4">
              <w:t>0</w:t>
            </w:r>
          </w:p>
        </w:tc>
        <w:tc>
          <w:tcPr>
            <w:tcW w:w="1261" w:type="dxa"/>
          </w:tcPr>
          <w:p w:rsidR="00525458" w:rsidRPr="00193FA4" w:rsidRDefault="00525458" w:rsidP="00FF4919">
            <w:pPr>
              <w:spacing w:before="120"/>
              <w:jc w:val="center"/>
            </w:pPr>
            <w:r w:rsidRPr="00193FA4">
              <w:t>-</w:t>
            </w:r>
          </w:p>
        </w:tc>
        <w:tc>
          <w:tcPr>
            <w:tcW w:w="1265" w:type="dxa"/>
          </w:tcPr>
          <w:p w:rsidR="00525458" w:rsidRPr="00193FA4" w:rsidRDefault="00525458" w:rsidP="00FF4919">
            <w:pPr>
              <w:spacing w:before="120"/>
              <w:jc w:val="center"/>
            </w:pPr>
            <w:r w:rsidRPr="00193FA4">
              <w:t>-</w:t>
            </w:r>
          </w:p>
        </w:tc>
        <w:tc>
          <w:tcPr>
            <w:tcW w:w="1310" w:type="dxa"/>
          </w:tcPr>
          <w:p w:rsidR="00525458" w:rsidRPr="00193FA4" w:rsidRDefault="00525458" w:rsidP="00FF4919">
            <w:pPr>
              <w:spacing w:before="120"/>
              <w:jc w:val="center"/>
            </w:pPr>
            <w:r w:rsidRPr="00193FA4">
              <w:t>-</w:t>
            </w:r>
          </w:p>
        </w:tc>
      </w:tr>
      <w:tr w:rsidR="00FA4112" w:rsidRPr="00193FA4" w:rsidTr="00AA1B9B">
        <w:tc>
          <w:tcPr>
            <w:tcW w:w="2540" w:type="dxa"/>
          </w:tcPr>
          <w:p w:rsidR="00525458" w:rsidRPr="00193FA4" w:rsidRDefault="00525458" w:rsidP="00FF4919">
            <w:pPr>
              <w:spacing w:before="120"/>
            </w:pPr>
            <w:r w:rsidRPr="00193FA4">
              <w:lastRenderedPageBreak/>
              <w:t> 2. Budžeta izdevumi:</w:t>
            </w:r>
          </w:p>
        </w:tc>
        <w:tc>
          <w:tcPr>
            <w:tcW w:w="1416" w:type="dxa"/>
          </w:tcPr>
          <w:p w:rsidR="00525458" w:rsidRPr="00193FA4" w:rsidRDefault="00525458" w:rsidP="00FF4919">
            <w:pPr>
              <w:spacing w:before="120"/>
              <w:jc w:val="center"/>
            </w:pPr>
            <w:r w:rsidRPr="00193FA4">
              <w:t>0</w:t>
            </w:r>
          </w:p>
        </w:tc>
        <w:tc>
          <w:tcPr>
            <w:tcW w:w="1280" w:type="dxa"/>
          </w:tcPr>
          <w:p w:rsidR="00525458" w:rsidRPr="00193FA4" w:rsidRDefault="00525458" w:rsidP="00FF4919">
            <w:pPr>
              <w:spacing w:before="120"/>
              <w:jc w:val="center"/>
            </w:pPr>
            <w:r w:rsidRPr="00193FA4">
              <w:t>0</w:t>
            </w:r>
          </w:p>
        </w:tc>
        <w:tc>
          <w:tcPr>
            <w:tcW w:w="1261" w:type="dxa"/>
          </w:tcPr>
          <w:p w:rsidR="00525458" w:rsidRPr="00193FA4" w:rsidRDefault="00525458" w:rsidP="00FF4919">
            <w:pPr>
              <w:spacing w:before="120"/>
              <w:jc w:val="center"/>
            </w:pPr>
            <w:r w:rsidRPr="00193FA4">
              <w:t>-</w:t>
            </w:r>
          </w:p>
        </w:tc>
        <w:tc>
          <w:tcPr>
            <w:tcW w:w="1265" w:type="dxa"/>
          </w:tcPr>
          <w:p w:rsidR="00525458" w:rsidRPr="00193FA4" w:rsidRDefault="00525458" w:rsidP="00FF4919">
            <w:pPr>
              <w:spacing w:before="120"/>
              <w:jc w:val="center"/>
            </w:pPr>
            <w:r w:rsidRPr="00193FA4">
              <w:t>-</w:t>
            </w:r>
          </w:p>
        </w:tc>
        <w:tc>
          <w:tcPr>
            <w:tcW w:w="1310" w:type="dxa"/>
          </w:tcPr>
          <w:p w:rsidR="00525458" w:rsidRPr="00193FA4" w:rsidRDefault="00525458" w:rsidP="00FF4919">
            <w:pPr>
              <w:spacing w:before="120"/>
              <w:jc w:val="center"/>
            </w:pPr>
            <w:r w:rsidRPr="00193FA4">
              <w:t>-</w:t>
            </w:r>
          </w:p>
        </w:tc>
      </w:tr>
      <w:tr w:rsidR="00FA4112" w:rsidRPr="00193FA4" w:rsidTr="00AA1B9B">
        <w:tc>
          <w:tcPr>
            <w:tcW w:w="2540" w:type="dxa"/>
          </w:tcPr>
          <w:p w:rsidR="00525458" w:rsidRPr="00193FA4" w:rsidRDefault="00525458" w:rsidP="00FF4919">
            <w:pPr>
              <w:spacing w:before="120"/>
            </w:pPr>
            <w:r w:rsidRPr="00193FA4">
              <w:t> 2.1. valsts pamatbudžets</w:t>
            </w:r>
          </w:p>
        </w:tc>
        <w:tc>
          <w:tcPr>
            <w:tcW w:w="1416" w:type="dxa"/>
          </w:tcPr>
          <w:p w:rsidR="00525458" w:rsidRPr="00193FA4" w:rsidRDefault="00D2005A" w:rsidP="00FF4919">
            <w:pPr>
              <w:spacing w:before="120"/>
              <w:jc w:val="center"/>
            </w:pPr>
            <w:r w:rsidRPr="00193FA4">
              <w:t>157 549 627</w:t>
            </w:r>
          </w:p>
        </w:tc>
        <w:tc>
          <w:tcPr>
            <w:tcW w:w="1280" w:type="dxa"/>
          </w:tcPr>
          <w:p w:rsidR="00525458" w:rsidRPr="00193FA4" w:rsidRDefault="006D3AB5" w:rsidP="00FF4919">
            <w:pPr>
              <w:spacing w:before="120"/>
              <w:jc w:val="center"/>
            </w:pPr>
            <w:r w:rsidRPr="00193FA4">
              <w:t>0</w:t>
            </w:r>
          </w:p>
        </w:tc>
        <w:tc>
          <w:tcPr>
            <w:tcW w:w="1261" w:type="dxa"/>
          </w:tcPr>
          <w:p w:rsidR="00525458" w:rsidRPr="00193FA4" w:rsidRDefault="00525458" w:rsidP="00FF4919">
            <w:pPr>
              <w:spacing w:before="120"/>
              <w:jc w:val="center"/>
            </w:pPr>
            <w:r w:rsidRPr="00193FA4">
              <w:t>-</w:t>
            </w:r>
          </w:p>
        </w:tc>
        <w:tc>
          <w:tcPr>
            <w:tcW w:w="1265" w:type="dxa"/>
          </w:tcPr>
          <w:p w:rsidR="00525458" w:rsidRPr="00193FA4" w:rsidRDefault="00525458" w:rsidP="00FF4919">
            <w:pPr>
              <w:spacing w:before="120"/>
              <w:jc w:val="center"/>
            </w:pPr>
            <w:r w:rsidRPr="00193FA4">
              <w:t>-</w:t>
            </w:r>
          </w:p>
        </w:tc>
        <w:tc>
          <w:tcPr>
            <w:tcW w:w="1310" w:type="dxa"/>
          </w:tcPr>
          <w:p w:rsidR="00525458" w:rsidRPr="00193FA4" w:rsidRDefault="00525458" w:rsidP="00FF4919">
            <w:pPr>
              <w:spacing w:before="120"/>
              <w:jc w:val="center"/>
            </w:pPr>
            <w:r w:rsidRPr="00193FA4">
              <w:t>-</w:t>
            </w:r>
          </w:p>
        </w:tc>
      </w:tr>
      <w:tr w:rsidR="00FA4112" w:rsidRPr="00193FA4" w:rsidTr="00AA1B9B">
        <w:tc>
          <w:tcPr>
            <w:tcW w:w="2540" w:type="dxa"/>
          </w:tcPr>
          <w:p w:rsidR="00525458" w:rsidRPr="00193FA4" w:rsidRDefault="00525458" w:rsidP="00FF4919">
            <w:pPr>
              <w:spacing w:before="120"/>
            </w:pPr>
            <w:r w:rsidRPr="00193FA4">
              <w:t> 2.2. valsts speciālais budžets</w:t>
            </w:r>
          </w:p>
        </w:tc>
        <w:tc>
          <w:tcPr>
            <w:tcW w:w="1416" w:type="dxa"/>
          </w:tcPr>
          <w:p w:rsidR="00525458" w:rsidRPr="00193FA4" w:rsidRDefault="00525458" w:rsidP="00FF4919">
            <w:pPr>
              <w:spacing w:before="120"/>
              <w:jc w:val="center"/>
            </w:pPr>
            <w:r w:rsidRPr="00193FA4">
              <w:t>0</w:t>
            </w:r>
          </w:p>
        </w:tc>
        <w:tc>
          <w:tcPr>
            <w:tcW w:w="1280" w:type="dxa"/>
          </w:tcPr>
          <w:p w:rsidR="00525458" w:rsidRPr="00193FA4" w:rsidRDefault="00525458" w:rsidP="00FF4919">
            <w:pPr>
              <w:spacing w:before="120"/>
              <w:jc w:val="center"/>
            </w:pPr>
            <w:r w:rsidRPr="00193FA4">
              <w:t>0</w:t>
            </w:r>
          </w:p>
        </w:tc>
        <w:tc>
          <w:tcPr>
            <w:tcW w:w="1261" w:type="dxa"/>
          </w:tcPr>
          <w:p w:rsidR="00525458" w:rsidRPr="00193FA4" w:rsidRDefault="00525458" w:rsidP="00FF4919">
            <w:pPr>
              <w:spacing w:before="120"/>
              <w:jc w:val="center"/>
            </w:pPr>
            <w:r w:rsidRPr="00193FA4">
              <w:t>-</w:t>
            </w:r>
          </w:p>
        </w:tc>
        <w:tc>
          <w:tcPr>
            <w:tcW w:w="1265" w:type="dxa"/>
          </w:tcPr>
          <w:p w:rsidR="00525458" w:rsidRPr="00193FA4" w:rsidRDefault="00525458" w:rsidP="00FF4919">
            <w:pPr>
              <w:spacing w:before="120"/>
              <w:jc w:val="center"/>
            </w:pPr>
            <w:r w:rsidRPr="00193FA4">
              <w:t>-</w:t>
            </w:r>
          </w:p>
        </w:tc>
        <w:tc>
          <w:tcPr>
            <w:tcW w:w="1310" w:type="dxa"/>
          </w:tcPr>
          <w:p w:rsidR="00525458" w:rsidRPr="00193FA4" w:rsidRDefault="00525458" w:rsidP="00FF4919">
            <w:pPr>
              <w:spacing w:before="120"/>
              <w:jc w:val="center"/>
            </w:pPr>
            <w:r w:rsidRPr="00193FA4">
              <w:t>-</w:t>
            </w:r>
          </w:p>
        </w:tc>
      </w:tr>
      <w:tr w:rsidR="00FA4112" w:rsidRPr="00193FA4" w:rsidTr="00AA1B9B">
        <w:tc>
          <w:tcPr>
            <w:tcW w:w="2540" w:type="dxa"/>
          </w:tcPr>
          <w:p w:rsidR="00525458" w:rsidRPr="00193FA4" w:rsidRDefault="00525458" w:rsidP="00FF4919">
            <w:pPr>
              <w:spacing w:before="120"/>
            </w:pPr>
            <w:r w:rsidRPr="00193FA4">
              <w:t> 2.3. pašvaldību budžets</w:t>
            </w:r>
          </w:p>
        </w:tc>
        <w:tc>
          <w:tcPr>
            <w:tcW w:w="1416" w:type="dxa"/>
          </w:tcPr>
          <w:p w:rsidR="00525458" w:rsidRPr="00193FA4" w:rsidRDefault="00525458" w:rsidP="00FF4919">
            <w:pPr>
              <w:spacing w:before="120"/>
              <w:jc w:val="center"/>
            </w:pPr>
            <w:r w:rsidRPr="00193FA4">
              <w:t>0</w:t>
            </w:r>
          </w:p>
        </w:tc>
        <w:tc>
          <w:tcPr>
            <w:tcW w:w="1280" w:type="dxa"/>
          </w:tcPr>
          <w:p w:rsidR="00525458" w:rsidRPr="00193FA4" w:rsidRDefault="00525458" w:rsidP="00FF4919">
            <w:pPr>
              <w:spacing w:before="120"/>
              <w:jc w:val="center"/>
            </w:pPr>
            <w:r w:rsidRPr="00193FA4">
              <w:t>0</w:t>
            </w:r>
          </w:p>
        </w:tc>
        <w:tc>
          <w:tcPr>
            <w:tcW w:w="1261" w:type="dxa"/>
          </w:tcPr>
          <w:p w:rsidR="00525458" w:rsidRPr="00193FA4" w:rsidRDefault="00525458" w:rsidP="00FF4919">
            <w:pPr>
              <w:spacing w:before="120"/>
              <w:jc w:val="center"/>
            </w:pPr>
            <w:r w:rsidRPr="00193FA4">
              <w:t>-</w:t>
            </w:r>
          </w:p>
        </w:tc>
        <w:tc>
          <w:tcPr>
            <w:tcW w:w="1265" w:type="dxa"/>
          </w:tcPr>
          <w:p w:rsidR="00525458" w:rsidRPr="00193FA4" w:rsidRDefault="00525458" w:rsidP="00FF4919">
            <w:pPr>
              <w:spacing w:before="120"/>
              <w:jc w:val="center"/>
            </w:pPr>
            <w:r w:rsidRPr="00193FA4">
              <w:t>-</w:t>
            </w:r>
          </w:p>
        </w:tc>
        <w:tc>
          <w:tcPr>
            <w:tcW w:w="1310" w:type="dxa"/>
          </w:tcPr>
          <w:p w:rsidR="00525458" w:rsidRPr="00193FA4" w:rsidRDefault="00525458" w:rsidP="00FF4919">
            <w:pPr>
              <w:spacing w:before="120"/>
              <w:jc w:val="center"/>
            </w:pPr>
            <w:r w:rsidRPr="00193FA4">
              <w:t>-</w:t>
            </w:r>
          </w:p>
        </w:tc>
      </w:tr>
      <w:tr w:rsidR="00FA4112" w:rsidRPr="00193FA4" w:rsidTr="00AA1B9B">
        <w:tc>
          <w:tcPr>
            <w:tcW w:w="2540" w:type="dxa"/>
          </w:tcPr>
          <w:p w:rsidR="00525458" w:rsidRPr="00193FA4" w:rsidRDefault="00525458" w:rsidP="00FF4919">
            <w:pPr>
              <w:spacing w:before="120"/>
            </w:pPr>
            <w:r w:rsidRPr="00193FA4">
              <w:t> 3. Finansiālā ietekme:</w:t>
            </w:r>
          </w:p>
        </w:tc>
        <w:tc>
          <w:tcPr>
            <w:tcW w:w="1416" w:type="dxa"/>
          </w:tcPr>
          <w:p w:rsidR="00525458" w:rsidRPr="00193FA4" w:rsidRDefault="00525458" w:rsidP="00FF4919">
            <w:pPr>
              <w:spacing w:before="120"/>
              <w:jc w:val="center"/>
            </w:pPr>
            <w:r w:rsidRPr="00193FA4">
              <w:t>0</w:t>
            </w:r>
          </w:p>
        </w:tc>
        <w:tc>
          <w:tcPr>
            <w:tcW w:w="1280" w:type="dxa"/>
          </w:tcPr>
          <w:p w:rsidR="00525458" w:rsidRPr="00193FA4" w:rsidRDefault="00525458" w:rsidP="00FF4919">
            <w:pPr>
              <w:spacing w:before="120"/>
              <w:jc w:val="center"/>
            </w:pPr>
            <w:r w:rsidRPr="00193FA4">
              <w:t>0</w:t>
            </w:r>
          </w:p>
        </w:tc>
        <w:tc>
          <w:tcPr>
            <w:tcW w:w="1261" w:type="dxa"/>
          </w:tcPr>
          <w:p w:rsidR="00525458" w:rsidRPr="00193FA4" w:rsidRDefault="00525458" w:rsidP="00FF4919">
            <w:pPr>
              <w:spacing w:before="120"/>
              <w:jc w:val="center"/>
            </w:pPr>
            <w:r w:rsidRPr="00193FA4">
              <w:t>-</w:t>
            </w:r>
          </w:p>
        </w:tc>
        <w:tc>
          <w:tcPr>
            <w:tcW w:w="1265" w:type="dxa"/>
          </w:tcPr>
          <w:p w:rsidR="00525458" w:rsidRPr="00193FA4" w:rsidRDefault="00525458" w:rsidP="00FF4919">
            <w:pPr>
              <w:spacing w:before="120"/>
              <w:jc w:val="center"/>
            </w:pPr>
            <w:r w:rsidRPr="00193FA4">
              <w:t>-</w:t>
            </w:r>
          </w:p>
        </w:tc>
        <w:tc>
          <w:tcPr>
            <w:tcW w:w="1310" w:type="dxa"/>
          </w:tcPr>
          <w:p w:rsidR="00525458" w:rsidRPr="00193FA4" w:rsidRDefault="00525458" w:rsidP="00FF4919">
            <w:pPr>
              <w:spacing w:before="120"/>
              <w:jc w:val="center"/>
            </w:pPr>
            <w:r w:rsidRPr="00193FA4">
              <w:t>-</w:t>
            </w:r>
          </w:p>
        </w:tc>
      </w:tr>
      <w:tr w:rsidR="00FA4112" w:rsidRPr="00193FA4" w:rsidTr="00AA1B9B">
        <w:tc>
          <w:tcPr>
            <w:tcW w:w="2540" w:type="dxa"/>
          </w:tcPr>
          <w:p w:rsidR="00525458" w:rsidRPr="00193FA4" w:rsidRDefault="00525458" w:rsidP="00FF4919">
            <w:pPr>
              <w:spacing w:before="120"/>
            </w:pPr>
            <w:r w:rsidRPr="00193FA4">
              <w:t> 3.1. valsts pamatbudžets</w:t>
            </w:r>
          </w:p>
        </w:tc>
        <w:tc>
          <w:tcPr>
            <w:tcW w:w="1416" w:type="dxa"/>
          </w:tcPr>
          <w:p w:rsidR="00525458" w:rsidRPr="00193FA4" w:rsidRDefault="00525458" w:rsidP="00FF4919">
            <w:pPr>
              <w:spacing w:before="120"/>
              <w:jc w:val="center"/>
            </w:pPr>
            <w:r w:rsidRPr="00193FA4">
              <w:t>0</w:t>
            </w:r>
          </w:p>
        </w:tc>
        <w:tc>
          <w:tcPr>
            <w:tcW w:w="1280" w:type="dxa"/>
          </w:tcPr>
          <w:p w:rsidR="00525458" w:rsidRPr="00193FA4" w:rsidRDefault="00D2005A" w:rsidP="00FF4919">
            <w:pPr>
              <w:spacing w:before="120"/>
              <w:ind w:left="8"/>
              <w:jc w:val="center"/>
            </w:pPr>
            <w:r w:rsidRPr="00193FA4">
              <w:t>-1 860 471</w:t>
            </w:r>
          </w:p>
        </w:tc>
        <w:tc>
          <w:tcPr>
            <w:tcW w:w="1261" w:type="dxa"/>
          </w:tcPr>
          <w:p w:rsidR="00525458" w:rsidRPr="00193FA4" w:rsidRDefault="00525458" w:rsidP="00FF4919">
            <w:pPr>
              <w:spacing w:before="120"/>
              <w:jc w:val="center"/>
            </w:pPr>
            <w:r w:rsidRPr="00193FA4">
              <w:t>-</w:t>
            </w:r>
          </w:p>
        </w:tc>
        <w:tc>
          <w:tcPr>
            <w:tcW w:w="1265" w:type="dxa"/>
          </w:tcPr>
          <w:p w:rsidR="00525458" w:rsidRPr="00193FA4" w:rsidRDefault="00525458" w:rsidP="00FF4919">
            <w:pPr>
              <w:spacing w:before="120"/>
              <w:jc w:val="center"/>
            </w:pPr>
            <w:r w:rsidRPr="00193FA4">
              <w:t>-</w:t>
            </w:r>
          </w:p>
        </w:tc>
        <w:tc>
          <w:tcPr>
            <w:tcW w:w="1310" w:type="dxa"/>
          </w:tcPr>
          <w:p w:rsidR="00525458" w:rsidRPr="00193FA4" w:rsidRDefault="00525458" w:rsidP="00FF4919">
            <w:pPr>
              <w:spacing w:before="120"/>
              <w:jc w:val="center"/>
            </w:pPr>
            <w:r w:rsidRPr="00193FA4">
              <w:t>-</w:t>
            </w:r>
          </w:p>
        </w:tc>
      </w:tr>
      <w:tr w:rsidR="00FA4112" w:rsidRPr="00193FA4" w:rsidTr="00AA1B9B">
        <w:tc>
          <w:tcPr>
            <w:tcW w:w="2540" w:type="dxa"/>
          </w:tcPr>
          <w:p w:rsidR="00525458" w:rsidRPr="00193FA4" w:rsidRDefault="00525458" w:rsidP="00FF4919">
            <w:pPr>
              <w:spacing w:before="120"/>
            </w:pPr>
            <w:r w:rsidRPr="00193FA4">
              <w:t> 3.2. speciālais budžets</w:t>
            </w:r>
          </w:p>
        </w:tc>
        <w:tc>
          <w:tcPr>
            <w:tcW w:w="1416" w:type="dxa"/>
          </w:tcPr>
          <w:p w:rsidR="00525458" w:rsidRPr="00193FA4" w:rsidRDefault="00525458" w:rsidP="00FF4919">
            <w:pPr>
              <w:spacing w:before="120"/>
              <w:jc w:val="center"/>
            </w:pPr>
            <w:r w:rsidRPr="00193FA4">
              <w:t>0</w:t>
            </w:r>
          </w:p>
        </w:tc>
        <w:tc>
          <w:tcPr>
            <w:tcW w:w="1280" w:type="dxa"/>
          </w:tcPr>
          <w:p w:rsidR="00525458" w:rsidRPr="00193FA4" w:rsidRDefault="00525458" w:rsidP="00FF4919">
            <w:pPr>
              <w:spacing w:before="120"/>
              <w:jc w:val="center"/>
            </w:pPr>
            <w:r w:rsidRPr="00193FA4">
              <w:t>0</w:t>
            </w:r>
          </w:p>
        </w:tc>
        <w:tc>
          <w:tcPr>
            <w:tcW w:w="1261" w:type="dxa"/>
          </w:tcPr>
          <w:p w:rsidR="00525458" w:rsidRPr="00193FA4" w:rsidRDefault="00525458" w:rsidP="00FF4919">
            <w:pPr>
              <w:spacing w:before="120"/>
              <w:jc w:val="center"/>
            </w:pPr>
            <w:r w:rsidRPr="00193FA4">
              <w:t>-</w:t>
            </w:r>
          </w:p>
        </w:tc>
        <w:tc>
          <w:tcPr>
            <w:tcW w:w="1265" w:type="dxa"/>
          </w:tcPr>
          <w:p w:rsidR="00525458" w:rsidRPr="00193FA4" w:rsidRDefault="00525458" w:rsidP="00FF4919">
            <w:pPr>
              <w:spacing w:before="120"/>
              <w:jc w:val="center"/>
            </w:pPr>
            <w:r w:rsidRPr="00193FA4">
              <w:t>-</w:t>
            </w:r>
          </w:p>
        </w:tc>
        <w:tc>
          <w:tcPr>
            <w:tcW w:w="1310" w:type="dxa"/>
          </w:tcPr>
          <w:p w:rsidR="00525458" w:rsidRPr="00193FA4" w:rsidRDefault="00525458" w:rsidP="00FF4919">
            <w:pPr>
              <w:spacing w:before="120"/>
              <w:jc w:val="center"/>
            </w:pPr>
            <w:r w:rsidRPr="00193FA4">
              <w:t>-</w:t>
            </w:r>
          </w:p>
        </w:tc>
      </w:tr>
      <w:tr w:rsidR="00FA4112" w:rsidRPr="00193FA4" w:rsidTr="00AA1B9B">
        <w:tc>
          <w:tcPr>
            <w:tcW w:w="2540" w:type="dxa"/>
          </w:tcPr>
          <w:p w:rsidR="00525458" w:rsidRPr="00193FA4" w:rsidRDefault="00525458" w:rsidP="00FF4919">
            <w:pPr>
              <w:spacing w:before="120"/>
            </w:pPr>
            <w:r w:rsidRPr="00193FA4">
              <w:t> 3.3. pašvaldību budžets</w:t>
            </w:r>
          </w:p>
        </w:tc>
        <w:tc>
          <w:tcPr>
            <w:tcW w:w="1416" w:type="dxa"/>
          </w:tcPr>
          <w:p w:rsidR="00525458" w:rsidRPr="00193FA4" w:rsidRDefault="00525458" w:rsidP="00FF4919">
            <w:pPr>
              <w:spacing w:before="120"/>
              <w:jc w:val="center"/>
            </w:pPr>
            <w:r w:rsidRPr="00193FA4">
              <w:t>0</w:t>
            </w:r>
          </w:p>
        </w:tc>
        <w:tc>
          <w:tcPr>
            <w:tcW w:w="1280" w:type="dxa"/>
          </w:tcPr>
          <w:p w:rsidR="00525458" w:rsidRPr="00193FA4" w:rsidRDefault="00525458" w:rsidP="00FF4919">
            <w:pPr>
              <w:spacing w:before="120"/>
              <w:jc w:val="center"/>
            </w:pPr>
            <w:r w:rsidRPr="00193FA4">
              <w:t>0</w:t>
            </w:r>
          </w:p>
        </w:tc>
        <w:tc>
          <w:tcPr>
            <w:tcW w:w="1261" w:type="dxa"/>
          </w:tcPr>
          <w:p w:rsidR="00525458" w:rsidRPr="00193FA4" w:rsidRDefault="00525458" w:rsidP="00FF4919">
            <w:pPr>
              <w:spacing w:before="120"/>
              <w:jc w:val="center"/>
            </w:pPr>
            <w:r w:rsidRPr="00193FA4">
              <w:t>-</w:t>
            </w:r>
          </w:p>
        </w:tc>
        <w:tc>
          <w:tcPr>
            <w:tcW w:w="1265" w:type="dxa"/>
          </w:tcPr>
          <w:p w:rsidR="00525458" w:rsidRPr="00193FA4" w:rsidRDefault="00525458" w:rsidP="00FF4919">
            <w:pPr>
              <w:spacing w:before="120"/>
              <w:jc w:val="center"/>
            </w:pPr>
            <w:r w:rsidRPr="00193FA4">
              <w:t>-</w:t>
            </w:r>
          </w:p>
        </w:tc>
        <w:tc>
          <w:tcPr>
            <w:tcW w:w="1310" w:type="dxa"/>
          </w:tcPr>
          <w:p w:rsidR="00525458" w:rsidRPr="00193FA4" w:rsidRDefault="00525458" w:rsidP="00FF4919">
            <w:pPr>
              <w:spacing w:before="120"/>
              <w:jc w:val="center"/>
            </w:pPr>
            <w:r w:rsidRPr="00193FA4">
              <w:t>-</w:t>
            </w:r>
          </w:p>
        </w:tc>
      </w:tr>
      <w:tr w:rsidR="00FA4112" w:rsidRPr="00193FA4" w:rsidTr="00AA1B9B">
        <w:tc>
          <w:tcPr>
            <w:tcW w:w="2540" w:type="dxa"/>
            <w:vMerge w:val="restart"/>
          </w:tcPr>
          <w:p w:rsidR="00525458" w:rsidRPr="00193FA4" w:rsidRDefault="00525458" w:rsidP="00FF4919">
            <w:pPr>
              <w:spacing w:before="120"/>
            </w:pPr>
            <w:r w:rsidRPr="00193FA4">
              <w:t> 4. Finanšu līdzekļi papildu izde</w:t>
            </w:r>
            <w:r w:rsidRPr="00193FA4">
              <w:softHyphen/>
              <w:t>vumu finansēšanai (kompensējošu izdevumu samazinājumu norāda ar "+" zīmi)</w:t>
            </w:r>
          </w:p>
        </w:tc>
        <w:tc>
          <w:tcPr>
            <w:tcW w:w="1416" w:type="dxa"/>
            <w:vMerge w:val="restart"/>
          </w:tcPr>
          <w:p w:rsidR="00525458" w:rsidRPr="00193FA4" w:rsidRDefault="00525458" w:rsidP="00FF4919">
            <w:pPr>
              <w:spacing w:before="120"/>
              <w:jc w:val="center"/>
            </w:pPr>
            <w:r w:rsidRPr="00193FA4">
              <w:t>X</w:t>
            </w:r>
          </w:p>
        </w:tc>
        <w:tc>
          <w:tcPr>
            <w:tcW w:w="1280" w:type="dxa"/>
          </w:tcPr>
          <w:p w:rsidR="00525458" w:rsidRPr="00193FA4" w:rsidRDefault="00525458" w:rsidP="00FF4919">
            <w:pPr>
              <w:spacing w:before="120"/>
              <w:jc w:val="center"/>
            </w:pPr>
            <w:r w:rsidRPr="00193FA4">
              <w:t>0</w:t>
            </w:r>
          </w:p>
        </w:tc>
        <w:tc>
          <w:tcPr>
            <w:tcW w:w="1261" w:type="dxa"/>
          </w:tcPr>
          <w:p w:rsidR="00525458" w:rsidRPr="00193FA4" w:rsidRDefault="00525458" w:rsidP="00FF4919">
            <w:pPr>
              <w:spacing w:before="120"/>
              <w:jc w:val="center"/>
            </w:pPr>
            <w:r w:rsidRPr="00193FA4">
              <w:t>-</w:t>
            </w:r>
          </w:p>
        </w:tc>
        <w:tc>
          <w:tcPr>
            <w:tcW w:w="1265" w:type="dxa"/>
          </w:tcPr>
          <w:p w:rsidR="00525458" w:rsidRPr="00193FA4" w:rsidRDefault="00525458" w:rsidP="00FF4919">
            <w:pPr>
              <w:spacing w:before="120"/>
              <w:jc w:val="center"/>
            </w:pPr>
            <w:r w:rsidRPr="00193FA4">
              <w:t>-</w:t>
            </w:r>
          </w:p>
        </w:tc>
        <w:tc>
          <w:tcPr>
            <w:tcW w:w="1310" w:type="dxa"/>
          </w:tcPr>
          <w:p w:rsidR="00525458" w:rsidRPr="00193FA4" w:rsidRDefault="00525458" w:rsidP="00FF4919">
            <w:pPr>
              <w:spacing w:before="120"/>
              <w:jc w:val="center"/>
            </w:pPr>
            <w:r w:rsidRPr="00193FA4">
              <w:t>-</w:t>
            </w:r>
          </w:p>
        </w:tc>
      </w:tr>
      <w:tr w:rsidR="00FA4112" w:rsidRPr="00193FA4" w:rsidTr="00AA1B9B">
        <w:tc>
          <w:tcPr>
            <w:tcW w:w="2540" w:type="dxa"/>
            <w:vMerge/>
          </w:tcPr>
          <w:p w:rsidR="00525458" w:rsidRPr="00193FA4" w:rsidRDefault="00525458" w:rsidP="00FF4919">
            <w:pPr>
              <w:spacing w:before="120"/>
            </w:pPr>
          </w:p>
        </w:tc>
        <w:tc>
          <w:tcPr>
            <w:tcW w:w="0" w:type="auto"/>
            <w:vMerge/>
          </w:tcPr>
          <w:p w:rsidR="00525458" w:rsidRPr="00193FA4" w:rsidRDefault="00525458" w:rsidP="00FF4919">
            <w:pPr>
              <w:spacing w:before="120"/>
              <w:jc w:val="center"/>
            </w:pPr>
          </w:p>
        </w:tc>
        <w:tc>
          <w:tcPr>
            <w:tcW w:w="1280" w:type="dxa"/>
          </w:tcPr>
          <w:p w:rsidR="00525458" w:rsidRPr="00193FA4" w:rsidRDefault="00525458" w:rsidP="00FF4919">
            <w:pPr>
              <w:spacing w:before="120"/>
              <w:jc w:val="center"/>
            </w:pPr>
            <w:r w:rsidRPr="00193FA4">
              <w:t>0</w:t>
            </w:r>
          </w:p>
        </w:tc>
        <w:tc>
          <w:tcPr>
            <w:tcW w:w="1261" w:type="dxa"/>
          </w:tcPr>
          <w:p w:rsidR="00525458" w:rsidRPr="00193FA4" w:rsidRDefault="00525458" w:rsidP="00FF4919">
            <w:pPr>
              <w:spacing w:before="120"/>
              <w:jc w:val="center"/>
            </w:pPr>
            <w:r w:rsidRPr="00193FA4">
              <w:t>-</w:t>
            </w:r>
          </w:p>
        </w:tc>
        <w:tc>
          <w:tcPr>
            <w:tcW w:w="1265" w:type="dxa"/>
          </w:tcPr>
          <w:p w:rsidR="00525458" w:rsidRPr="00193FA4" w:rsidRDefault="00525458" w:rsidP="00FF4919">
            <w:pPr>
              <w:spacing w:before="120"/>
              <w:jc w:val="center"/>
            </w:pPr>
            <w:r w:rsidRPr="00193FA4">
              <w:t>-</w:t>
            </w:r>
          </w:p>
        </w:tc>
        <w:tc>
          <w:tcPr>
            <w:tcW w:w="1310" w:type="dxa"/>
          </w:tcPr>
          <w:p w:rsidR="00525458" w:rsidRPr="00193FA4" w:rsidRDefault="00525458" w:rsidP="00FF4919">
            <w:pPr>
              <w:spacing w:before="120"/>
              <w:jc w:val="center"/>
            </w:pPr>
            <w:r w:rsidRPr="00193FA4">
              <w:t>-</w:t>
            </w:r>
          </w:p>
        </w:tc>
      </w:tr>
      <w:tr w:rsidR="00FA4112" w:rsidRPr="00193FA4" w:rsidTr="00AA1B9B">
        <w:tc>
          <w:tcPr>
            <w:tcW w:w="2540" w:type="dxa"/>
            <w:vMerge/>
          </w:tcPr>
          <w:p w:rsidR="00525458" w:rsidRPr="00193FA4" w:rsidRDefault="00525458" w:rsidP="00FF4919">
            <w:pPr>
              <w:spacing w:before="120"/>
            </w:pPr>
          </w:p>
        </w:tc>
        <w:tc>
          <w:tcPr>
            <w:tcW w:w="0" w:type="auto"/>
            <w:vMerge/>
          </w:tcPr>
          <w:p w:rsidR="00525458" w:rsidRPr="00193FA4" w:rsidRDefault="00525458" w:rsidP="00FF4919">
            <w:pPr>
              <w:spacing w:before="120"/>
              <w:jc w:val="center"/>
            </w:pPr>
          </w:p>
        </w:tc>
        <w:tc>
          <w:tcPr>
            <w:tcW w:w="1280" w:type="dxa"/>
          </w:tcPr>
          <w:p w:rsidR="00525458" w:rsidRPr="00193FA4" w:rsidRDefault="00525458" w:rsidP="00FF4919">
            <w:pPr>
              <w:spacing w:before="120"/>
              <w:jc w:val="center"/>
            </w:pPr>
            <w:r w:rsidRPr="00193FA4">
              <w:t>0</w:t>
            </w:r>
          </w:p>
        </w:tc>
        <w:tc>
          <w:tcPr>
            <w:tcW w:w="1261" w:type="dxa"/>
          </w:tcPr>
          <w:p w:rsidR="00525458" w:rsidRPr="00193FA4" w:rsidRDefault="00525458" w:rsidP="00FF4919">
            <w:pPr>
              <w:spacing w:before="120"/>
              <w:jc w:val="center"/>
            </w:pPr>
            <w:r w:rsidRPr="00193FA4">
              <w:t>-</w:t>
            </w:r>
          </w:p>
        </w:tc>
        <w:tc>
          <w:tcPr>
            <w:tcW w:w="1265" w:type="dxa"/>
          </w:tcPr>
          <w:p w:rsidR="00525458" w:rsidRPr="00193FA4" w:rsidRDefault="00525458" w:rsidP="00FF4919">
            <w:pPr>
              <w:spacing w:before="120"/>
              <w:jc w:val="center"/>
            </w:pPr>
            <w:r w:rsidRPr="00193FA4">
              <w:t>-</w:t>
            </w:r>
          </w:p>
        </w:tc>
        <w:tc>
          <w:tcPr>
            <w:tcW w:w="1310" w:type="dxa"/>
          </w:tcPr>
          <w:p w:rsidR="00525458" w:rsidRPr="00193FA4" w:rsidRDefault="00525458" w:rsidP="00FF4919">
            <w:pPr>
              <w:spacing w:before="120"/>
              <w:jc w:val="center"/>
            </w:pPr>
            <w:r w:rsidRPr="00193FA4">
              <w:t>-</w:t>
            </w:r>
          </w:p>
        </w:tc>
      </w:tr>
      <w:tr w:rsidR="00FA4112" w:rsidRPr="00193FA4" w:rsidTr="00AA1B9B">
        <w:tc>
          <w:tcPr>
            <w:tcW w:w="2540" w:type="dxa"/>
          </w:tcPr>
          <w:p w:rsidR="00525458" w:rsidRPr="00193FA4" w:rsidRDefault="00525458" w:rsidP="00FF4919">
            <w:pPr>
              <w:spacing w:before="120"/>
            </w:pPr>
            <w:r w:rsidRPr="00193FA4">
              <w:t> 5. Precizēta finansiālā ietekme:</w:t>
            </w:r>
          </w:p>
        </w:tc>
        <w:tc>
          <w:tcPr>
            <w:tcW w:w="1416" w:type="dxa"/>
            <w:vMerge w:val="restart"/>
          </w:tcPr>
          <w:p w:rsidR="00525458" w:rsidRPr="00193FA4" w:rsidRDefault="00525458" w:rsidP="00FF4919">
            <w:pPr>
              <w:spacing w:before="120"/>
              <w:jc w:val="center"/>
            </w:pPr>
            <w:r w:rsidRPr="00193FA4">
              <w:t>X</w:t>
            </w:r>
          </w:p>
        </w:tc>
        <w:tc>
          <w:tcPr>
            <w:tcW w:w="1280" w:type="dxa"/>
          </w:tcPr>
          <w:p w:rsidR="00525458" w:rsidRPr="00193FA4" w:rsidRDefault="00525458" w:rsidP="00FF4919">
            <w:pPr>
              <w:spacing w:before="120"/>
              <w:jc w:val="center"/>
            </w:pPr>
            <w:r w:rsidRPr="00193FA4">
              <w:t>0</w:t>
            </w:r>
          </w:p>
        </w:tc>
        <w:tc>
          <w:tcPr>
            <w:tcW w:w="1261" w:type="dxa"/>
          </w:tcPr>
          <w:p w:rsidR="00525458" w:rsidRPr="00193FA4" w:rsidRDefault="00525458" w:rsidP="00FF4919">
            <w:pPr>
              <w:spacing w:before="120"/>
              <w:jc w:val="center"/>
            </w:pPr>
            <w:r w:rsidRPr="00193FA4">
              <w:t>-</w:t>
            </w:r>
          </w:p>
        </w:tc>
        <w:tc>
          <w:tcPr>
            <w:tcW w:w="1265" w:type="dxa"/>
          </w:tcPr>
          <w:p w:rsidR="00525458" w:rsidRPr="00193FA4" w:rsidRDefault="00525458" w:rsidP="00FF4919">
            <w:pPr>
              <w:spacing w:before="120"/>
              <w:jc w:val="center"/>
            </w:pPr>
            <w:r w:rsidRPr="00193FA4">
              <w:t>-</w:t>
            </w:r>
          </w:p>
        </w:tc>
        <w:tc>
          <w:tcPr>
            <w:tcW w:w="1310" w:type="dxa"/>
          </w:tcPr>
          <w:p w:rsidR="00525458" w:rsidRPr="00193FA4" w:rsidRDefault="00525458" w:rsidP="00FF4919">
            <w:pPr>
              <w:spacing w:before="120"/>
              <w:jc w:val="center"/>
            </w:pPr>
            <w:r w:rsidRPr="00193FA4">
              <w:t>-</w:t>
            </w:r>
          </w:p>
        </w:tc>
      </w:tr>
      <w:tr w:rsidR="00FA4112" w:rsidRPr="00193FA4" w:rsidTr="00AA1B9B">
        <w:tc>
          <w:tcPr>
            <w:tcW w:w="2540" w:type="dxa"/>
          </w:tcPr>
          <w:p w:rsidR="00525458" w:rsidRPr="00193FA4" w:rsidRDefault="00525458" w:rsidP="00FF4919">
            <w:pPr>
              <w:spacing w:before="120"/>
            </w:pPr>
            <w:r w:rsidRPr="00193FA4">
              <w:t> 5.1. valsts pamatbudžets</w:t>
            </w:r>
          </w:p>
        </w:tc>
        <w:tc>
          <w:tcPr>
            <w:tcW w:w="0" w:type="auto"/>
            <w:vMerge/>
          </w:tcPr>
          <w:p w:rsidR="00525458" w:rsidRPr="00193FA4" w:rsidRDefault="00525458" w:rsidP="00FF4919">
            <w:pPr>
              <w:spacing w:before="120"/>
              <w:jc w:val="center"/>
            </w:pPr>
          </w:p>
        </w:tc>
        <w:tc>
          <w:tcPr>
            <w:tcW w:w="1280" w:type="dxa"/>
          </w:tcPr>
          <w:p w:rsidR="00525458" w:rsidRPr="00193FA4" w:rsidRDefault="00525458" w:rsidP="00FF4919">
            <w:pPr>
              <w:spacing w:before="120"/>
              <w:jc w:val="center"/>
            </w:pPr>
            <w:r w:rsidRPr="00193FA4">
              <w:t>0</w:t>
            </w:r>
          </w:p>
        </w:tc>
        <w:tc>
          <w:tcPr>
            <w:tcW w:w="1261" w:type="dxa"/>
          </w:tcPr>
          <w:p w:rsidR="00525458" w:rsidRPr="00193FA4" w:rsidRDefault="00525458" w:rsidP="00FF4919">
            <w:pPr>
              <w:spacing w:before="120"/>
              <w:jc w:val="center"/>
            </w:pPr>
            <w:r w:rsidRPr="00193FA4">
              <w:t>-</w:t>
            </w:r>
          </w:p>
        </w:tc>
        <w:tc>
          <w:tcPr>
            <w:tcW w:w="1265" w:type="dxa"/>
          </w:tcPr>
          <w:p w:rsidR="00525458" w:rsidRPr="00193FA4" w:rsidRDefault="00525458" w:rsidP="00FF4919">
            <w:pPr>
              <w:spacing w:before="120"/>
              <w:jc w:val="center"/>
            </w:pPr>
            <w:r w:rsidRPr="00193FA4">
              <w:t>-</w:t>
            </w:r>
          </w:p>
        </w:tc>
        <w:tc>
          <w:tcPr>
            <w:tcW w:w="1310" w:type="dxa"/>
          </w:tcPr>
          <w:p w:rsidR="00525458" w:rsidRPr="00193FA4" w:rsidRDefault="00525458" w:rsidP="00FF4919">
            <w:pPr>
              <w:spacing w:before="120"/>
              <w:jc w:val="center"/>
            </w:pPr>
            <w:r w:rsidRPr="00193FA4">
              <w:t>-</w:t>
            </w:r>
          </w:p>
        </w:tc>
      </w:tr>
      <w:tr w:rsidR="00FA4112" w:rsidRPr="00193FA4" w:rsidTr="00AA1B9B">
        <w:tc>
          <w:tcPr>
            <w:tcW w:w="2540" w:type="dxa"/>
          </w:tcPr>
          <w:p w:rsidR="00525458" w:rsidRPr="00193FA4" w:rsidRDefault="00525458" w:rsidP="00FF4919">
            <w:pPr>
              <w:spacing w:before="120"/>
            </w:pPr>
            <w:r w:rsidRPr="00193FA4">
              <w:t> 5.2. speciālais budžets</w:t>
            </w:r>
          </w:p>
        </w:tc>
        <w:tc>
          <w:tcPr>
            <w:tcW w:w="0" w:type="auto"/>
            <w:vMerge/>
          </w:tcPr>
          <w:p w:rsidR="00525458" w:rsidRPr="00193FA4" w:rsidRDefault="00525458" w:rsidP="00FF4919">
            <w:pPr>
              <w:spacing w:before="120"/>
              <w:jc w:val="center"/>
            </w:pPr>
          </w:p>
        </w:tc>
        <w:tc>
          <w:tcPr>
            <w:tcW w:w="1280" w:type="dxa"/>
          </w:tcPr>
          <w:p w:rsidR="00525458" w:rsidRPr="00193FA4" w:rsidRDefault="00525458" w:rsidP="00FF4919">
            <w:pPr>
              <w:spacing w:before="120"/>
              <w:jc w:val="center"/>
            </w:pPr>
            <w:r w:rsidRPr="00193FA4">
              <w:t>0</w:t>
            </w:r>
          </w:p>
        </w:tc>
        <w:tc>
          <w:tcPr>
            <w:tcW w:w="1261" w:type="dxa"/>
          </w:tcPr>
          <w:p w:rsidR="00525458" w:rsidRPr="00193FA4" w:rsidRDefault="00525458" w:rsidP="00FF4919">
            <w:pPr>
              <w:spacing w:before="120"/>
              <w:jc w:val="center"/>
            </w:pPr>
            <w:r w:rsidRPr="00193FA4">
              <w:t>-</w:t>
            </w:r>
          </w:p>
        </w:tc>
        <w:tc>
          <w:tcPr>
            <w:tcW w:w="1265" w:type="dxa"/>
          </w:tcPr>
          <w:p w:rsidR="00525458" w:rsidRPr="00193FA4" w:rsidRDefault="00525458" w:rsidP="00FF4919">
            <w:pPr>
              <w:spacing w:before="120"/>
              <w:jc w:val="center"/>
            </w:pPr>
            <w:r w:rsidRPr="00193FA4">
              <w:t>-</w:t>
            </w:r>
          </w:p>
        </w:tc>
        <w:tc>
          <w:tcPr>
            <w:tcW w:w="1310" w:type="dxa"/>
          </w:tcPr>
          <w:p w:rsidR="00525458" w:rsidRPr="00193FA4" w:rsidRDefault="00525458" w:rsidP="00FF4919">
            <w:pPr>
              <w:spacing w:before="120"/>
              <w:jc w:val="center"/>
            </w:pPr>
            <w:r w:rsidRPr="00193FA4">
              <w:t>-</w:t>
            </w:r>
          </w:p>
        </w:tc>
      </w:tr>
      <w:tr w:rsidR="00FA4112" w:rsidRPr="00193FA4" w:rsidTr="00AA1B9B">
        <w:tc>
          <w:tcPr>
            <w:tcW w:w="2540" w:type="dxa"/>
          </w:tcPr>
          <w:p w:rsidR="00525458" w:rsidRPr="00193FA4" w:rsidRDefault="00525458" w:rsidP="00FF4919">
            <w:pPr>
              <w:spacing w:before="120"/>
            </w:pPr>
            <w:r w:rsidRPr="00193FA4">
              <w:t> 5.3. pašvaldību budžets</w:t>
            </w:r>
          </w:p>
        </w:tc>
        <w:tc>
          <w:tcPr>
            <w:tcW w:w="0" w:type="auto"/>
            <w:vMerge/>
          </w:tcPr>
          <w:p w:rsidR="00525458" w:rsidRPr="00193FA4" w:rsidRDefault="00525458" w:rsidP="00FF4919">
            <w:pPr>
              <w:spacing w:before="120"/>
              <w:jc w:val="center"/>
            </w:pPr>
          </w:p>
        </w:tc>
        <w:tc>
          <w:tcPr>
            <w:tcW w:w="1280" w:type="dxa"/>
          </w:tcPr>
          <w:p w:rsidR="00525458" w:rsidRPr="00193FA4" w:rsidRDefault="00525458" w:rsidP="00FF4919">
            <w:pPr>
              <w:spacing w:before="120"/>
              <w:jc w:val="center"/>
            </w:pPr>
            <w:r w:rsidRPr="00193FA4">
              <w:t>0</w:t>
            </w:r>
          </w:p>
        </w:tc>
        <w:tc>
          <w:tcPr>
            <w:tcW w:w="1261" w:type="dxa"/>
          </w:tcPr>
          <w:p w:rsidR="00525458" w:rsidRPr="00193FA4" w:rsidRDefault="00525458" w:rsidP="00FF4919">
            <w:pPr>
              <w:spacing w:before="120"/>
              <w:jc w:val="center"/>
            </w:pPr>
            <w:r w:rsidRPr="00193FA4">
              <w:t>-</w:t>
            </w:r>
          </w:p>
        </w:tc>
        <w:tc>
          <w:tcPr>
            <w:tcW w:w="1265" w:type="dxa"/>
          </w:tcPr>
          <w:p w:rsidR="00525458" w:rsidRPr="00193FA4" w:rsidRDefault="00525458" w:rsidP="00FF4919">
            <w:pPr>
              <w:spacing w:before="120"/>
              <w:jc w:val="center"/>
            </w:pPr>
            <w:r w:rsidRPr="00193FA4">
              <w:t>-</w:t>
            </w:r>
          </w:p>
        </w:tc>
        <w:tc>
          <w:tcPr>
            <w:tcW w:w="1310" w:type="dxa"/>
          </w:tcPr>
          <w:p w:rsidR="00525458" w:rsidRPr="00193FA4" w:rsidRDefault="00525458" w:rsidP="00FF4919">
            <w:pPr>
              <w:spacing w:before="120"/>
              <w:jc w:val="center"/>
            </w:pPr>
            <w:r w:rsidRPr="00193FA4">
              <w:t>-</w:t>
            </w:r>
          </w:p>
        </w:tc>
      </w:tr>
      <w:tr w:rsidR="00FA4112" w:rsidRPr="00193FA4" w:rsidTr="00AA1B9B">
        <w:tc>
          <w:tcPr>
            <w:tcW w:w="2540" w:type="dxa"/>
          </w:tcPr>
          <w:p w:rsidR="00525458" w:rsidRPr="00193FA4" w:rsidRDefault="00525458" w:rsidP="00FF4919">
            <w:pPr>
              <w:spacing w:before="120"/>
            </w:pPr>
            <w:r w:rsidRPr="00193FA4">
              <w:t> 6. Detalizēts ieņēmumu un izdevu</w:t>
            </w:r>
            <w:r w:rsidRPr="00193FA4">
              <w:softHyphen/>
              <w:t>mu aprēķins (ja nepieciešams, detalizētu ieņēmumu un izdevumu aprēķinu var pievienot anotācijas pielikumā):</w:t>
            </w:r>
          </w:p>
        </w:tc>
        <w:tc>
          <w:tcPr>
            <w:tcW w:w="6532" w:type="dxa"/>
            <w:gridSpan w:val="5"/>
            <w:vMerge w:val="restart"/>
          </w:tcPr>
          <w:p w:rsidR="00525458" w:rsidRPr="00193FA4" w:rsidRDefault="00525458" w:rsidP="00FF4919">
            <w:pPr>
              <w:spacing w:before="120"/>
              <w:jc w:val="both"/>
            </w:pPr>
            <w:r w:rsidRPr="00193FA4">
              <w:t>  Nav attiecināms</w:t>
            </w:r>
          </w:p>
        </w:tc>
      </w:tr>
      <w:tr w:rsidR="00FA4112" w:rsidRPr="00193FA4" w:rsidTr="00AA1B9B">
        <w:tc>
          <w:tcPr>
            <w:tcW w:w="2540" w:type="dxa"/>
          </w:tcPr>
          <w:p w:rsidR="00525458" w:rsidRPr="00193FA4" w:rsidRDefault="00525458" w:rsidP="00FF4919">
            <w:pPr>
              <w:spacing w:before="120"/>
            </w:pPr>
            <w:r w:rsidRPr="00193FA4">
              <w:t> 6.1. detalizēts ieņēmumu aprēķins</w:t>
            </w:r>
          </w:p>
        </w:tc>
        <w:tc>
          <w:tcPr>
            <w:tcW w:w="6532" w:type="dxa"/>
            <w:gridSpan w:val="5"/>
            <w:vMerge/>
          </w:tcPr>
          <w:p w:rsidR="00525458" w:rsidRPr="00193FA4" w:rsidRDefault="00525458" w:rsidP="00FF4919">
            <w:pPr>
              <w:spacing w:before="120"/>
            </w:pPr>
          </w:p>
        </w:tc>
      </w:tr>
      <w:tr w:rsidR="00FA4112" w:rsidRPr="00193FA4" w:rsidTr="00AA1B9B">
        <w:tc>
          <w:tcPr>
            <w:tcW w:w="2540" w:type="dxa"/>
          </w:tcPr>
          <w:p w:rsidR="00525458" w:rsidRPr="00193FA4" w:rsidRDefault="00525458" w:rsidP="00FF4919">
            <w:pPr>
              <w:spacing w:before="120"/>
            </w:pPr>
            <w:r w:rsidRPr="00193FA4">
              <w:t> 6.2. detalizēts izdevumu aprēķins</w:t>
            </w:r>
          </w:p>
        </w:tc>
        <w:tc>
          <w:tcPr>
            <w:tcW w:w="6532" w:type="dxa"/>
            <w:gridSpan w:val="5"/>
            <w:vMerge/>
          </w:tcPr>
          <w:p w:rsidR="00525458" w:rsidRPr="00193FA4" w:rsidRDefault="00525458" w:rsidP="00FF4919">
            <w:pPr>
              <w:spacing w:before="120"/>
            </w:pPr>
          </w:p>
        </w:tc>
      </w:tr>
      <w:tr w:rsidR="00FA4112" w:rsidRPr="00193FA4" w:rsidTr="00AA1B9B">
        <w:tc>
          <w:tcPr>
            <w:tcW w:w="2540" w:type="dxa"/>
          </w:tcPr>
          <w:p w:rsidR="00525458" w:rsidRPr="00193FA4" w:rsidRDefault="00525458" w:rsidP="00FF4919">
            <w:pPr>
              <w:spacing w:before="120"/>
            </w:pPr>
            <w:r w:rsidRPr="00193FA4">
              <w:t> 7. Cita informācija</w:t>
            </w:r>
          </w:p>
        </w:tc>
        <w:tc>
          <w:tcPr>
            <w:tcW w:w="6532" w:type="dxa"/>
            <w:gridSpan w:val="5"/>
          </w:tcPr>
          <w:p w:rsidR="00525458" w:rsidRPr="00193FA4" w:rsidRDefault="00196B11" w:rsidP="00FF4919">
            <w:pPr>
              <w:spacing w:before="120"/>
            </w:pPr>
            <w:r w:rsidRPr="00193FA4">
              <w:rPr>
                <w:iCs/>
              </w:rPr>
              <w:t xml:space="preserve"> </w:t>
            </w:r>
            <w:r w:rsidR="00D2005A" w:rsidRPr="00193FA4">
              <w:rPr>
                <w:iCs/>
              </w:rPr>
              <w:t>Nav</w:t>
            </w:r>
          </w:p>
        </w:tc>
      </w:tr>
    </w:tbl>
    <w:p w:rsidR="00305D5F" w:rsidRDefault="00305D5F" w:rsidP="00FF4919">
      <w:pPr>
        <w:spacing w:before="120"/>
      </w:pPr>
    </w:p>
    <w:p w:rsidR="00EC3287" w:rsidRPr="00193FA4" w:rsidRDefault="00EC3287" w:rsidP="00FF4919">
      <w:pPr>
        <w:spacing w:before="120"/>
      </w:pPr>
    </w:p>
    <w:tbl>
      <w:tblPr>
        <w:tblW w:w="907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67"/>
        <w:gridCol w:w="3970"/>
        <w:gridCol w:w="4535"/>
      </w:tblGrid>
      <w:tr w:rsidR="00FA4112" w:rsidRPr="00193FA4">
        <w:tc>
          <w:tcPr>
            <w:tcW w:w="9072" w:type="dxa"/>
            <w:gridSpan w:val="3"/>
            <w:tcBorders>
              <w:top w:val="single" w:sz="4" w:space="0" w:color="auto"/>
            </w:tcBorders>
          </w:tcPr>
          <w:p w:rsidR="006E0B3D" w:rsidRPr="00193FA4" w:rsidRDefault="006E0B3D" w:rsidP="00FF4919">
            <w:pPr>
              <w:pStyle w:val="naisnod"/>
              <w:spacing w:before="120" w:after="0"/>
              <w:ind w:left="57" w:right="57"/>
            </w:pPr>
            <w:r w:rsidRPr="00193FA4">
              <w:t>VII. Tiesību akta projekta izpildes nodrošināšana un tās ietekme uz institūcijām</w:t>
            </w:r>
          </w:p>
        </w:tc>
      </w:tr>
      <w:tr w:rsidR="00FA4112" w:rsidRPr="00193FA4">
        <w:trPr>
          <w:trHeight w:val="427"/>
        </w:trPr>
        <w:tc>
          <w:tcPr>
            <w:tcW w:w="567" w:type="dxa"/>
          </w:tcPr>
          <w:p w:rsidR="006E0B3D" w:rsidRPr="00193FA4" w:rsidRDefault="006E0B3D" w:rsidP="00FF4919">
            <w:pPr>
              <w:pStyle w:val="naisnod"/>
              <w:spacing w:before="120" w:after="0"/>
              <w:ind w:left="57" w:right="57"/>
              <w:jc w:val="left"/>
              <w:rPr>
                <w:b w:val="0"/>
              </w:rPr>
            </w:pPr>
            <w:r w:rsidRPr="00193FA4">
              <w:rPr>
                <w:b w:val="0"/>
              </w:rPr>
              <w:t>1.</w:t>
            </w:r>
          </w:p>
        </w:tc>
        <w:tc>
          <w:tcPr>
            <w:tcW w:w="3970" w:type="dxa"/>
          </w:tcPr>
          <w:p w:rsidR="006E0B3D" w:rsidRPr="00193FA4" w:rsidRDefault="006E0B3D" w:rsidP="00FF4919">
            <w:pPr>
              <w:pStyle w:val="naisf"/>
              <w:spacing w:before="120" w:after="0"/>
              <w:ind w:left="57" w:right="57" w:firstLine="0"/>
              <w:jc w:val="left"/>
            </w:pPr>
            <w:r w:rsidRPr="00193FA4">
              <w:t xml:space="preserve">Projekta izpildē iesaistītās institūcijas </w:t>
            </w:r>
          </w:p>
        </w:tc>
        <w:tc>
          <w:tcPr>
            <w:tcW w:w="4535" w:type="dxa"/>
          </w:tcPr>
          <w:p w:rsidR="006E0B3D" w:rsidRPr="00193FA4" w:rsidRDefault="006E0B3D" w:rsidP="00FF4919">
            <w:pPr>
              <w:pStyle w:val="naisnod"/>
              <w:spacing w:before="120" w:after="0"/>
              <w:ind w:left="57" w:right="57"/>
              <w:jc w:val="left"/>
              <w:rPr>
                <w:b w:val="0"/>
                <w:iCs/>
              </w:rPr>
            </w:pPr>
            <w:r w:rsidRPr="00193FA4">
              <w:rPr>
                <w:b w:val="0"/>
                <w:iCs/>
              </w:rPr>
              <w:t>Valsts akciju sabiedrība „Latvijas dzelzceļš”</w:t>
            </w:r>
            <w:r w:rsidR="00D46252" w:rsidRPr="00193FA4">
              <w:rPr>
                <w:b w:val="0"/>
                <w:iCs/>
              </w:rPr>
              <w:t xml:space="preserve"> </w:t>
            </w:r>
          </w:p>
        </w:tc>
      </w:tr>
      <w:tr w:rsidR="00FA4112" w:rsidRPr="00193FA4">
        <w:trPr>
          <w:trHeight w:val="463"/>
        </w:trPr>
        <w:tc>
          <w:tcPr>
            <w:tcW w:w="567" w:type="dxa"/>
          </w:tcPr>
          <w:p w:rsidR="006E0B3D" w:rsidRPr="00193FA4" w:rsidRDefault="006E0B3D" w:rsidP="00FF4919">
            <w:pPr>
              <w:pStyle w:val="naisnod"/>
              <w:spacing w:before="120" w:after="0"/>
              <w:ind w:left="57" w:right="57"/>
              <w:jc w:val="left"/>
              <w:rPr>
                <w:b w:val="0"/>
                <w:bCs w:val="0"/>
              </w:rPr>
            </w:pPr>
            <w:r w:rsidRPr="00193FA4">
              <w:rPr>
                <w:b w:val="0"/>
                <w:bCs w:val="0"/>
              </w:rPr>
              <w:lastRenderedPageBreak/>
              <w:t>2.</w:t>
            </w:r>
          </w:p>
        </w:tc>
        <w:tc>
          <w:tcPr>
            <w:tcW w:w="3970" w:type="dxa"/>
          </w:tcPr>
          <w:p w:rsidR="00184DF9" w:rsidRPr="00193FA4" w:rsidRDefault="00184DF9" w:rsidP="00FF4919">
            <w:r w:rsidRPr="00193FA4">
              <w:t xml:space="preserve">Projekta izpildes ietekme uz pārvaldes funkcijām un institucionālo struktūru. </w:t>
            </w:r>
          </w:p>
          <w:p w:rsidR="00184DF9" w:rsidRPr="00193FA4" w:rsidRDefault="00184DF9" w:rsidP="00FF4919">
            <w:pPr>
              <w:spacing w:before="100" w:beforeAutospacing="1" w:after="100" w:afterAutospacing="1"/>
            </w:pPr>
            <w:r w:rsidRPr="00193FA4">
              <w:t>Jaunu institūciju izveide, esošu institūciju likvidācija vai reorganizācija, to ietekme uz institūcijas cilvēkresursiem</w:t>
            </w:r>
          </w:p>
          <w:p w:rsidR="006E0B3D" w:rsidRPr="00193FA4" w:rsidRDefault="006E0B3D" w:rsidP="00FF4919">
            <w:pPr>
              <w:pStyle w:val="naisf"/>
              <w:spacing w:before="120" w:after="0"/>
              <w:ind w:left="57" w:right="57" w:firstLine="0"/>
              <w:jc w:val="left"/>
            </w:pPr>
          </w:p>
        </w:tc>
        <w:tc>
          <w:tcPr>
            <w:tcW w:w="4535" w:type="dxa"/>
          </w:tcPr>
          <w:p w:rsidR="006E0B3D" w:rsidRPr="00193FA4" w:rsidRDefault="006E0B3D" w:rsidP="00FF4919">
            <w:pPr>
              <w:pStyle w:val="naisnod"/>
              <w:spacing w:before="120" w:after="0"/>
              <w:ind w:left="57" w:right="57"/>
              <w:jc w:val="both"/>
              <w:rPr>
                <w:b w:val="0"/>
              </w:rPr>
            </w:pPr>
            <w:r w:rsidRPr="00193FA4">
              <w:rPr>
                <w:b w:val="0"/>
                <w:iCs/>
              </w:rPr>
              <w:t>Nav attiecināms.</w:t>
            </w:r>
          </w:p>
        </w:tc>
      </w:tr>
      <w:tr w:rsidR="00FA4112" w:rsidRPr="00193FA4">
        <w:trPr>
          <w:trHeight w:val="476"/>
        </w:trPr>
        <w:tc>
          <w:tcPr>
            <w:tcW w:w="567" w:type="dxa"/>
          </w:tcPr>
          <w:p w:rsidR="006E0B3D" w:rsidRPr="00193FA4" w:rsidRDefault="00184DF9" w:rsidP="00FF4919">
            <w:pPr>
              <w:pStyle w:val="naiskr"/>
              <w:spacing w:before="120" w:beforeAutospacing="0" w:after="0" w:afterAutospacing="0"/>
              <w:ind w:left="57" w:right="57"/>
            </w:pPr>
            <w:r w:rsidRPr="00193FA4">
              <w:t>3</w:t>
            </w:r>
            <w:r w:rsidR="006E0B3D" w:rsidRPr="00193FA4">
              <w:t>.</w:t>
            </w:r>
          </w:p>
        </w:tc>
        <w:tc>
          <w:tcPr>
            <w:tcW w:w="3970" w:type="dxa"/>
          </w:tcPr>
          <w:p w:rsidR="006E0B3D" w:rsidRPr="00193FA4" w:rsidRDefault="006E0B3D" w:rsidP="00FF4919">
            <w:pPr>
              <w:pStyle w:val="naiskr"/>
              <w:spacing w:before="120" w:beforeAutospacing="0" w:after="0" w:afterAutospacing="0"/>
              <w:ind w:left="57" w:right="57"/>
            </w:pPr>
            <w:r w:rsidRPr="00193FA4">
              <w:t>Cita informācija</w:t>
            </w:r>
          </w:p>
        </w:tc>
        <w:tc>
          <w:tcPr>
            <w:tcW w:w="4535" w:type="dxa"/>
          </w:tcPr>
          <w:p w:rsidR="006E0B3D" w:rsidRPr="00193FA4" w:rsidRDefault="006E0B3D" w:rsidP="00FF4919">
            <w:pPr>
              <w:pStyle w:val="naiskr"/>
              <w:spacing w:before="120" w:beforeAutospacing="0" w:after="0" w:afterAutospacing="0"/>
              <w:ind w:left="57" w:right="57"/>
            </w:pPr>
            <w:r w:rsidRPr="00193FA4">
              <w:t>Nav.</w:t>
            </w:r>
          </w:p>
        </w:tc>
      </w:tr>
    </w:tbl>
    <w:p w:rsidR="006E0B3D" w:rsidRPr="00193FA4" w:rsidRDefault="006E0B3D" w:rsidP="00EC3287">
      <w:pPr>
        <w:spacing w:before="120" w:line="276" w:lineRule="auto"/>
        <w:ind w:firstLine="709"/>
      </w:pPr>
      <w:r w:rsidRPr="00193FA4">
        <w:t>Anotācijas II, IV, V</w:t>
      </w:r>
      <w:r w:rsidR="00525458" w:rsidRPr="00193FA4">
        <w:t xml:space="preserve"> un</w:t>
      </w:r>
      <w:r w:rsidRPr="00193FA4">
        <w:t xml:space="preserve"> VI sadaļa – </w:t>
      </w:r>
      <w:r w:rsidR="00525458" w:rsidRPr="00193FA4">
        <w:t>projekts šīs jomas neskar.</w:t>
      </w:r>
    </w:p>
    <w:p w:rsidR="00493295" w:rsidRPr="00193FA4" w:rsidRDefault="00493295" w:rsidP="00FF4919">
      <w:pPr>
        <w:pStyle w:val="naisf"/>
        <w:spacing w:before="120" w:after="0" w:line="276" w:lineRule="auto"/>
        <w:ind w:firstLine="0"/>
      </w:pPr>
    </w:p>
    <w:p w:rsidR="00A67525" w:rsidRPr="00193FA4" w:rsidRDefault="00A67525" w:rsidP="00FF4919">
      <w:pPr>
        <w:pStyle w:val="naisf"/>
        <w:spacing w:before="120" w:after="0" w:line="276" w:lineRule="auto"/>
        <w:ind w:firstLine="0"/>
      </w:pPr>
      <w:r w:rsidRPr="00193FA4">
        <w:t>Satiksmes ministrs</w:t>
      </w:r>
      <w:r w:rsidRPr="00193FA4">
        <w:tab/>
      </w:r>
      <w:r w:rsidRPr="00193FA4">
        <w:tab/>
      </w:r>
      <w:r w:rsidRPr="00193FA4">
        <w:tab/>
      </w:r>
      <w:r w:rsidRPr="00193FA4">
        <w:tab/>
      </w:r>
      <w:r w:rsidR="006F2E43" w:rsidRPr="00193FA4">
        <w:tab/>
      </w:r>
      <w:r w:rsidR="00F805C8" w:rsidRPr="00193FA4">
        <w:tab/>
      </w:r>
      <w:r w:rsidR="00F805C8" w:rsidRPr="00193FA4">
        <w:tab/>
      </w:r>
      <w:r w:rsidR="00EC3287">
        <w:tab/>
      </w:r>
      <w:r w:rsidR="00FA4112" w:rsidRPr="00193FA4">
        <w:t xml:space="preserve">U. </w:t>
      </w:r>
      <w:proofErr w:type="spellStart"/>
      <w:r w:rsidR="00FA4112" w:rsidRPr="00193FA4">
        <w:t>Augulis</w:t>
      </w:r>
      <w:proofErr w:type="spellEnd"/>
    </w:p>
    <w:p w:rsidR="00525458" w:rsidRDefault="00525458" w:rsidP="00FF4919">
      <w:pPr>
        <w:pStyle w:val="naisf"/>
        <w:spacing w:before="120" w:after="0" w:line="276" w:lineRule="auto"/>
        <w:ind w:firstLine="0"/>
      </w:pPr>
    </w:p>
    <w:p w:rsidR="00EC3287" w:rsidRPr="00193FA4" w:rsidRDefault="00EC3287" w:rsidP="00FF4919">
      <w:pPr>
        <w:pStyle w:val="naisf"/>
        <w:spacing w:before="120" w:after="0" w:line="276" w:lineRule="auto"/>
        <w:ind w:firstLine="0"/>
      </w:pPr>
    </w:p>
    <w:p w:rsidR="00EC3287" w:rsidRDefault="00DF5F8E" w:rsidP="00EC3287">
      <w:pPr>
        <w:spacing w:line="276" w:lineRule="auto"/>
        <w:jc w:val="both"/>
      </w:pPr>
      <w:r w:rsidRPr="00193FA4">
        <w:t>Vizē: Valsts sekretār</w:t>
      </w:r>
      <w:r w:rsidR="00EC3287">
        <w:t>a vietā</w:t>
      </w:r>
    </w:p>
    <w:p w:rsidR="00ED069A" w:rsidRPr="00193FA4" w:rsidRDefault="005C0748" w:rsidP="00EC3287">
      <w:pPr>
        <w:spacing w:line="276" w:lineRule="auto"/>
        <w:jc w:val="both"/>
      </w:pPr>
      <w:r>
        <w:t>valsts sekretāra vietniece</w:t>
      </w:r>
      <w:r w:rsidR="002D5F36" w:rsidRPr="00193FA4">
        <w:tab/>
      </w:r>
      <w:r w:rsidR="00DF5F8E" w:rsidRPr="00193FA4">
        <w:tab/>
      </w:r>
      <w:r w:rsidR="00DF5F8E" w:rsidRPr="00193FA4">
        <w:tab/>
      </w:r>
      <w:r w:rsidR="00DF5F8E" w:rsidRPr="00193FA4">
        <w:tab/>
      </w:r>
      <w:r w:rsidR="00DF5F8E" w:rsidRPr="00193FA4">
        <w:tab/>
      </w:r>
      <w:r w:rsidR="00AA1B9B" w:rsidRPr="00193FA4">
        <w:tab/>
      </w:r>
      <w:r w:rsidR="00DF5F8E" w:rsidRPr="00193FA4">
        <w:tab/>
      </w:r>
      <w:r>
        <w:t>I</w:t>
      </w:r>
      <w:r w:rsidR="00EC3287">
        <w:t xml:space="preserve">. </w:t>
      </w:r>
      <w:r>
        <w:t>Aleksandroviča</w:t>
      </w:r>
      <w:bookmarkStart w:id="0" w:name="_GoBack"/>
      <w:bookmarkEnd w:id="0"/>
    </w:p>
    <w:p w:rsidR="00FA3FDB" w:rsidRPr="00193FA4" w:rsidRDefault="00FA3FDB" w:rsidP="00FF4919">
      <w:pPr>
        <w:spacing w:before="120" w:line="276" w:lineRule="auto"/>
        <w:jc w:val="both"/>
        <w:rPr>
          <w:lang w:val="pl-PL"/>
        </w:rPr>
      </w:pPr>
    </w:p>
    <w:p w:rsidR="00AA1B9B" w:rsidRPr="00193FA4" w:rsidRDefault="00AA1B9B" w:rsidP="00FF4919">
      <w:pPr>
        <w:spacing w:before="120" w:line="276" w:lineRule="auto"/>
        <w:jc w:val="both"/>
        <w:rPr>
          <w:lang w:val="pl-PL"/>
        </w:rPr>
      </w:pPr>
    </w:p>
    <w:p w:rsidR="00AA1B9B" w:rsidRPr="00193FA4" w:rsidRDefault="00EC3287" w:rsidP="00FF4919">
      <w:pPr>
        <w:spacing w:line="276" w:lineRule="auto"/>
        <w:ind w:right="-341"/>
        <w:rPr>
          <w:sz w:val="20"/>
          <w:szCs w:val="20"/>
        </w:rPr>
      </w:pPr>
      <w:r>
        <w:rPr>
          <w:sz w:val="20"/>
          <w:szCs w:val="20"/>
        </w:rPr>
        <w:t>09</w:t>
      </w:r>
      <w:r w:rsidR="00AA1B9B" w:rsidRPr="00193FA4">
        <w:rPr>
          <w:sz w:val="20"/>
          <w:szCs w:val="20"/>
        </w:rPr>
        <w:t>.</w:t>
      </w:r>
      <w:r>
        <w:rPr>
          <w:sz w:val="20"/>
          <w:szCs w:val="20"/>
        </w:rPr>
        <w:t>06</w:t>
      </w:r>
      <w:r w:rsidR="00AA1B9B" w:rsidRPr="00193FA4">
        <w:rPr>
          <w:sz w:val="20"/>
          <w:szCs w:val="20"/>
        </w:rPr>
        <w:t xml:space="preserve">.2016. </w:t>
      </w:r>
      <w:r w:rsidR="005C0748">
        <w:rPr>
          <w:sz w:val="20"/>
          <w:szCs w:val="20"/>
        </w:rPr>
        <w:t>15</w:t>
      </w:r>
      <w:r w:rsidR="00AA1B9B" w:rsidRPr="00193FA4">
        <w:rPr>
          <w:sz w:val="20"/>
          <w:szCs w:val="20"/>
        </w:rPr>
        <w:t>:</w:t>
      </w:r>
      <w:r w:rsidR="005C0748">
        <w:rPr>
          <w:sz w:val="20"/>
          <w:szCs w:val="20"/>
        </w:rPr>
        <w:t>40</w:t>
      </w:r>
    </w:p>
    <w:p w:rsidR="00AA1B9B" w:rsidRPr="00193FA4" w:rsidRDefault="005C0748" w:rsidP="00FF4919">
      <w:pPr>
        <w:spacing w:line="276" w:lineRule="auto"/>
        <w:ind w:right="-341"/>
        <w:rPr>
          <w:sz w:val="20"/>
          <w:szCs w:val="20"/>
        </w:rPr>
      </w:pPr>
      <w:r>
        <w:rPr>
          <w:sz w:val="20"/>
          <w:szCs w:val="20"/>
        </w:rPr>
        <w:t>1877</w:t>
      </w:r>
    </w:p>
    <w:p w:rsidR="00AA1B9B" w:rsidRPr="00193FA4" w:rsidRDefault="00AA1B9B" w:rsidP="00FF4919">
      <w:pPr>
        <w:spacing w:line="276" w:lineRule="auto"/>
        <w:rPr>
          <w:sz w:val="20"/>
          <w:szCs w:val="20"/>
        </w:rPr>
      </w:pPr>
      <w:r w:rsidRPr="00193FA4">
        <w:rPr>
          <w:sz w:val="20"/>
          <w:szCs w:val="20"/>
        </w:rPr>
        <w:t>Strauta, 67028349</w:t>
      </w:r>
    </w:p>
    <w:p w:rsidR="006E422B" w:rsidRPr="00193FA4" w:rsidRDefault="00AA1B9B" w:rsidP="00FF4919">
      <w:pPr>
        <w:spacing w:line="276" w:lineRule="auto"/>
        <w:rPr>
          <w:sz w:val="20"/>
          <w:szCs w:val="20"/>
        </w:rPr>
      </w:pPr>
      <w:r w:rsidRPr="00193FA4">
        <w:rPr>
          <w:sz w:val="20"/>
          <w:szCs w:val="20"/>
        </w:rPr>
        <w:t>Inga.Strauta@sam.gov.lv</w:t>
      </w:r>
    </w:p>
    <w:sectPr w:rsidR="006E422B" w:rsidRPr="00193FA4" w:rsidSect="00AA1B9B">
      <w:headerReference w:type="even" r:id="rId17"/>
      <w:headerReference w:type="default" r:id="rId18"/>
      <w:footerReference w:type="default" r:id="rId19"/>
      <w:footerReference w:type="first" r:id="rId20"/>
      <w:pgSz w:w="11906" w:h="16838"/>
      <w:pgMar w:top="1134" w:right="1134" w:bottom="1134" w:left="1701" w:header="709"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41C" w:rsidRDefault="00DE241C">
      <w:r>
        <w:separator/>
      </w:r>
    </w:p>
  </w:endnote>
  <w:endnote w:type="continuationSeparator" w:id="0">
    <w:p w:rsidR="00DE241C" w:rsidRDefault="00DE2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B9B" w:rsidRPr="004C6A9D" w:rsidRDefault="00EC3287" w:rsidP="00AA1B9B">
    <w:pPr>
      <w:spacing w:before="120"/>
      <w:jc w:val="both"/>
      <w:rPr>
        <w:sz w:val="20"/>
        <w:szCs w:val="20"/>
      </w:rPr>
    </w:pPr>
    <w:r w:rsidRPr="004C6A9D">
      <w:rPr>
        <w:sz w:val="20"/>
        <w:szCs w:val="20"/>
      </w:rPr>
      <w:t>SAM</w:t>
    </w:r>
    <w:r>
      <w:rPr>
        <w:sz w:val="20"/>
        <w:szCs w:val="20"/>
      </w:rPr>
      <w:t>a</w:t>
    </w:r>
    <w:r w:rsidRPr="004C6A9D">
      <w:rPr>
        <w:sz w:val="20"/>
        <w:szCs w:val="20"/>
      </w:rPr>
      <w:t xml:space="preserve">not_240516_LDZdivid; Ministru kabineta rīkojuma projekta “Par atšķirīgu dividendēs izmaksājamo valsts akciju sabiedrības "Latvijas dzelzceļš" peļņas daļu par 2015.gadu” sākotnējās ietekmes novērtējuma </w:t>
    </w:r>
    <w:smartTag w:uri="schemas-tilde-lv/tildestengine" w:element="veidnes">
      <w:smartTagPr>
        <w:attr w:name="id" w:val="-1"/>
        <w:attr w:name="baseform" w:val="ziņojums"/>
        <w:attr w:name="text" w:val="ziņojums"/>
      </w:smartTagPr>
      <w:r w:rsidRPr="004C6A9D">
        <w:rPr>
          <w:sz w:val="20"/>
          <w:szCs w:val="20"/>
        </w:rPr>
        <w:t>ziņojums</w:t>
      </w:r>
    </w:smartTag>
    <w:r w:rsidRPr="004C6A9D">
      <w:rPr>
        <w:sz w:val="20"/>
        <w:szCs w:val="20"/>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B9B" w:rsidRPr="004C6A9D" w:rsidRDefault="00AA1B9B" w:rsidP="00AA1B9B">
    <w:pPr>
      <w:spacing w:before="120"/>
      <w:jc w:val="both"/>
      <w:rPr>
        <w:sz w:val="20"/>
        <w:szCs w:val="20"/>
      </w:rPr>
    </w:pPr>
    <w:r w:rsidRPr="004C6A9D">
      <w:rPr>
        <w:sz w:val="20"/>
        <w:szCs w:val="20"/>
      </w:rPr>
      <w:t>SAM</w:t>
    </w:r>
    <w:r w:rsidR="00EC3287">
      <w:rPr>
        <w:sz w:val="20"/>
        <w:szCs w:val="20"/>
      </w:rPr>
      <w:t>a</w:t>
    </w:r>
    <w:r w:rsidRPr="004C6A9D">
      <w:rPr>
        <w:sz w:val="20"/>
        <w:szCs w:val="20"/>
      </w:rPr>
      <w:t xml:space="preserve">not_240516_LDZdivid; Ministru kabineta rīkojuma projekta “Par atšķirīgu dividendēs izmaksājamo valsts akciju sabiedrības "Latvijas dzelzceļš" peļņas daļu par 2015.gadu” sākotnējās ietekmes novērtējuma </w:t>
    </w:r>
    <w:smartTag w:uri="schemas-tilde-lv/tildestengine" w:element="veidnes">
      <w:smartTagPr>
        <w:attr w:name="id" w:val="-1"/>
        <w:attr w:name="baseform" w:val="ziņojums"/>
        <w:attr w:name="text" w:val="ziņojums"/>
      </w:smartTagPr>
      <w:r w:rsidRPr="004C6A9D">
        <w:rPr>
          <w:sz w:val="20"/>
          <w:szCs w:val="20"/>
        </w:rPr>
        <w:t>ziņojums</w:t>
      </w:r>
    </w:smartTag>
    <w:r w:rsidRPr="004C6A9D">
      <w:rPr>
        <w:sz w:val="20"/>
        <w:szCs w:val="20"/>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41C" w:rsidRDefault="00DE241C">
      <w:r>
        <w:separator/>
      </w:r>
    </w:p>
  </w:footnote>
  <w:footnote w:type="continuationSeparator" w:id="0">
    <w:p w:rsidR="00DE241C" w:rsidRDefault="00DE24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C68" w:rsidRDefault="00BB3C68" w:rsidP="00B54BB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B3C68" w:rsidRDefault="00BB3C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C68" w:rsidRDefault="00BB3C68" w:rsidP="00B54BB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C0748">
      <w:rPr>
        <w:rStyle w:val="PageNumber"/>
        <w:noProof/>
      </w:rPr>
      <w:t>8</w:t>
    </w:r>
    <w:r>
      <w:rPr>
        <w:rStyle w:val="PageNumber"/>
      </w:rPr>
      <w:fldChar w:fldCharType="end"/>
    </w:r>
  </w:p>
  <w:p w:rsidR="00BB3C68" w:rsidRDefault="00BB3C68" w:rsidP="001E3F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448EF"/>
    <w:multiLevelType w:val="hybridMultilevel"/>
    <w:tmpl w:val="F4C01494"/>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06D53794"/>
    <w:multiLevelType w:val="hybridMultilevel"/>
    <w:tmpl w:val="50AC2C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B7263D"/>
    <w:multiLevelType w:val="hybridMultilevel"/>
    <w:tmpl w:val="9FDEA6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7F0281"/>
    <w:multiLevelType w:val="hybridMultilevel"/>
    <w:tmpl w:val="8A602F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281600AC"/>
    <w:multiLevelType w:val="hybridMultilevel"/>
    <w:tmpl w:val="A0185C04"/>
    <w:lvl w:ilvl="0" w:tplc="E2985DDE">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5">
    <w:nsid w:val="294C1595"/>
    <w:multiLevelType w:val="hybridMultilevel"/>
    <w:tmpl w:val="6F56CB8C"/>
    <w:lvl w:ilvl="0" w:tplc="04260001">
      <w:start w:val="1"/>
      <w:numFmt w:val="bullet"/>
      <w:lvlText w:val=""/>
      <w:lvlJc w:val="left"/>
      <w:pPr>
        <w:ind w:left="1446" w:hanging="360"/>
      </w:pPr>
      <w:rPr>
        <w:rFonts w:ascii="Symbol" w:hAnsi="Symbol" w:hint="default"/>
      </w:rPr>
    </w:lvl>
    <w:lvl w:ilvl="1" w:tplc="04260003" w:tentative="1">
      <w:start w:val="1"/>
      <w:numFmt w:val="bullet"/>
      <w:lvlText w:val="o"/>
      <w:lvlJc w:val="left"/>
      <w:pPr>
        <w:ind w:left="2166" w:hanging="360"/>
      </w:pPr>
      <w:rPr>
        <w:rFonts w:ascii="Courier New" w:hAnsi="Courier New" w:cs="Courier New" w:hint="default"/>
      </w:rPr>
    </w:lvl>
    <w:lvl w:ilvl="2" w:tplc="04260005" w:tentative="1">
      <w:start w:val="1"/>
      <w:numFmt w:val="bullet"/>
      <w:lvlText w:val=""/>
      <w:lvlJc w:val="left"/>
      <w:pPr>
        <w:ind w:left="2886" w:hanging="360"/>
      </w:pPr>
      <w:rPr>
        <w:rFonts w:ascii="Wingdings" w:hAnsi="Wingdings" w:hint="default"/>
      </w:rPr>
    </w:lvl>
    <w:lvl w:ilvl="3" w:tplc="04260001" w:tentative="1">
      <w:start w:val="1"/>
      <w:numFmt w:val="bullet"/>
      <w:lvlText w:val=""/>
      <w:lvlJc w:val="left"/>
      <w:pPr>
        <w:ind w:left="3606" w:hanging="360"/>
      </w:pPr>
      <w:rPr>
        <w:rFonts w:ascii="Symbol" w:hAnsi="Symbol" w:hint="default"/>
      </w:rPr>
    </w:lvl>
    <w:lvl w:ilvl="4" w:tplc="04260003" w:tentative="1">
      <w:start w:val="1"/>
      <w:numFmt w:val="bullet"/>
      <w:lvlText w:val="o"/>
      <w:lvlJc w:val="left"/>
      <w:pPr>
        <w:ind w:left="4326" w:hanging="360"/>
      </w:pPr>
      <w:rPr>
        <w:rFonts w:ascii="Courier New" w:hAnsi="Courier New" w:cs="Courier New" w:hint="default"/>
      </w:rPr>
    </w:lvl>
    <w:lvl w:ilvl="5" w:tplc="04260005" w:tentative="1">
      <w:start w:val="1"/>
      <w:numFmt w:val="bullet"/>
      <w:lvlText w:val=""/>
      <w:lvlJc w:val="left"/>
      <w:pPr>
        <w:ind w:left="5046" w:hanging="360"/>
      </w:pPr>
      <w:rPr>
        <w:rFonts w:ascii="Wingdings" w:hAnsi="Wingdings" w:hint="default"/>
      </w:rPr>
    </w:lvl>
    <w:lvl w:ilvl="6" w:tplc="04260001" w:tentative="1">
      <w:start w:val="1"/>
      <w:numFmt w:val="bullet"/>
      <w:lvlText w:val=""/>
      <w:lvlJc w:val="left"/>
      <w:pPr>
        <w:ind w:left="5766" w:hanging="360"/>
      </w:pPr>
      <w:rPr>
        <w:rFonts w:ascii="Symbol" w:hAnsi="Symbol" w:hint="default"/>
      </w:rPr>
    </w:lvl>
    <w:lvl w:ilvl="7" w:tplc="04260003" w:tentative="1">
      <w:start w:val="1"/>
      <w:numFmt w:val="bullet"/>
      <w:lvlText w:val="o"/>
      <w:lvlJc w:val="left"/>
      <w:pPr>
        <w:ind w:left="6486" w:hanging="360"/>
      </w:pPr>
      <w:rPr>
        <w:rFonts w:ascii="Courier New" w:hAnsi="Courier New" w:cs="Courier New" w:hint="default"/>
      </w:rPr>
    </w:lvl>
    <w:lvl w:ilvl="8" w:tplc="04260005" w:tentative="1">
      <w:start w:val="1"/>
      <w:numFmt w:val="bullet"/>
      <w:lvlText w:val=""/>
      <w:lvlJc w:val="left"/>
      <w:pPr>
        <w:ind w:left="7206" w:hanging="360"/>
      </w:pPr>
      <w:rPr>
        <w:rFonts w:ascii="Wingdings" w:hAnsi="Wingdings" w:hint="default"/>
      </w:rPr>
    </w:lvl>
  </w:abstractNum>
  <w:abstractNum w:abstractNumId="6">
    <w:nsid w:val="29765810"/>
    <w:multiLevelType w:val="hybridMultilevel"/>
    <w:tmpl w:val="5F603B46"/>
    <w:lvl w:ilvl="0" w:tplc="56FA26E4">
      <w:start w:val="3"/>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7">
    <w:nsid w:val="2E8571C9"/>
    <w:multiLevelType w:val="hybridMultilevel"/>
    <w:tmpl w:val="1450C7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2EA76FFA"/>
    <w:multiLevelType w:val="hybridMultilevel"/>
    <w:tmpl w:val="A07EA9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9B06C2"/>
    <w:multiLevelType w:val="hybridMultilevel"/>
    <w:tmpl w:val="047C5338"/>
    <w:lvl w:ilvl="0" w:tplc="0C8E1D58">
      <w:start w:val="201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53F64F35"/>
    <w:multiLevelType w:val="hybridMultilevel"/>
    <w:tmpl w:val="556C91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0E2444"/>
    <w:multiLevelType w:val="hybridMultilevel"/>
    <w:tmpl w:val="58EE14F2"/>
    <w:lvl w:ilvl="0" w:tplc="04260011">
      <w:start w:val="1"/>
      <w:numFmt w:val="decimal"/>
      <w:lvlText w:val="%1)"/>
      <w:lvlJc w:val="left"/>
      <w:pPr>
        <w:tabs>
          <w:tab w:val="num" w:pos="360"/>
        </w:tabs>
        <w:ind w:left="360" w:hanging="360"/>
      </w:pPr>
      <w:rPr>
        <w:rFonts w:hint="default"/>
      </w:r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2">
    <w:nsid w:val="56140B4A"/>
    <w:multiLevelType w:val="hybridMultilevel"/>
    <w:tmpl w:val="2050DF8E"/>
    <w:lvl w:ilvl="0" w:tplc="DD06C81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09E6B4D"/>
    <w:multiLevelType w:val="hybridMultilevel"/>
    <w:tmpl w:val="C64E5198"/>
    <w:lvl w:ilvl="0" w:tplc="9FBC6568">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nsid w:val="68C47919"/>
    <w:multiLevelType w:val="multilevel"/>
    <w:tmpl w:val="2E24666E"/>
    <w:lvl w:ilvl="0">
      <w:start w:val="1"/>
      <w:numFmt w:val="decimal"/>
      <w:lvlText w:val="%1."/>
      <w:lvlJc w:val="left"/>
      <w:pPr>
        <w:ind w:left="420" w:hanging="420"/>
      </w:pPr>
      <w:rPr>
        <w:rFonts w:hint="default"/>
      </w:rPr>
    </w:lvl>
    <w:lvl w:ilvl="1">
      <w:start w:val="1"/>
      <w:numFmt w:val="decimal"/>
      <w:lvlText w:val="%1.%2."/>
      <w:lvlJc w:val="left"/>
      <w:pPr>
        <w:ind w:left="465" w:hanging="42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15">
    <w:nsid w:val="700F34E9"/>
    <w:multiLevelType w:val="hybridMultilevel"/>
    <w:tmpl w:val="14D20F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7A0F67B0"/>
    <w:multiLevelType w:val="hybridMultilevel"/>
    <w:tmpl w:val="534E4102"/>
    <w:lvl w:ilvl="0" w:tplc="7242B17C">
      <w:start w:val="14"/>
      <w:numFmt w:val="bullet"/>
      <w:lvlText w:val="-"/>
      <w:lvlJc w:val="left"/>
      <w:pPr>
        <w:tabs>
          <w:tab w:val="num" w:pos="1125"/>
        </w:tabs>
        <w:ind w:left="1125" w:hanging="360"/>
      </w:pPr>
      <w:rPr>
        <w:rFonts w:ascii="Times New Roman" w:eastAsia="Times New Roman" w:hAnsi="Times New Roman" w:cs="Times New Roman" w:hint="default"/>
      </w:rPr>
    </w:lvl>
    <w:lvl w:ilvl="1" w:tplc="04260003" w:tentative="1">
      <w:start w:val="1"/>
      <w:numFmt w:val="bullet"/>
      <w:lvlText w:val="o"/>
      <w:lvlJc w:val="left"/>
      <w:pPr>
        <w:tabs>
          <w:tab w:val="num" w:pos="1845"/>
        </w:tabs>
        <w:ind w:left="1845" w:hanging="360"/>
      </w:pPr>
      <w:rPr>
        <w:rFonts w:ascii="Courier New" w:hAnsi="Courier New" w:cs="Courier New" w:hint="default"/>
      </w:rPr>
    </w:lvl>
    <w:lvl w:ilvl="2" w:tplc="04260005" w:tentative="1">
      <w:start w:val="1"/>
      <w:numFmt w:val="bullet"/>
      <w:lvlText w:val=""/>
      <w:lvlJc w:val="left"/>
      <w:pPr>
        <w:tabs>
          <w:tab w:val="num" w:pos="2565"/>
        </w:tabs>
        <w:ind w:left="2565" w:hanging="360"/>
      </w:pPr>
      <w:rPr>
        <w:rFonts w:ascii="Wingdings" w:hAnsi="Wingdings" w:hint="default"/>
      </w:rPr>
    </w:lvl>
    <w:lvl w:ilvl="3" w:tplc="04260001" w:tentative="1">
      <w:start w:val="1"/>
      <w:numFmt w:val="bullet"/>
      <w:lvlText w:val=""/>
      <w:lvlJc w:val="left"/>
      <w:pPr>
        <w:tabs>
          <w:tab w:val="num" w:pos="3285"/>
        </w:tabs>
        <w:ind w:left="3285" w:hanging="360"/>
      </w:pPr>
      <w:rPr>
        <w:rFonts w:ascii="Symbol" w:hAnsi="Symbol" w:hint="default"/>
      </w:rPr>
    </w:lvl>
    <w:lvl w:ilvl="4" w:tplc="04260003" w:tentative="1">
      <w:start w:val="1"/>
      <w:numFmt w:val="bullet"/>
      <w:lvlText w:val="o"/>
      <w:lvlJc w:val="left"/>
      <w:pPr>
        <w:tabs>
          <w:tab w:val="num" w:pos="4005"/>
        </w:tabs>
        <w:ind w:left="4005" w:hanging="360"/>
      </w:pPr>
      <w:rPr>
        <w:rFonts w:ascii="Courier New" w:hAnsi="Courier New" w:cs="Courier New" w:hint="default"/>
      </w:rPr>
    </w:lvl>
    <w:lvl w:ilvl="5" w:tplc="04260005" w:tentative="1">
      <w:start w:val="1"/>
      <w:numFmt w:val="bullet"/>
      <w:lvlText w:val=""/>
      <w:lvlJc w:val="left"/>
      <w:pPr>
        <w:tabs>
          <w:tab w:val="num" w:pos="4725"/>
        </w:tabs>
        <w:ind w:left="4725" w:hanging="360"/>
      </w:pPr>
      <w:rPr>
        <w:rFonts w:ascii="Wingdings" w:hAnsi="Wingdings" w:hint="default"/>
      </w:rPr>
    </w:lvl>
    <w:lvl w:ilvl="6" w:tplc="04260001" w:tentative="1">
      <w:start w:val="1"/>
      <w:numFmt w:val="bullet"/>
      <w:lvlText w:val=""/>
      <w:lvlJc w:val="left"/>
      <w:pPr>
        <w:tabs>
          <w:tab w:val="num" w:pos="5445"/>
        </w:tabs>
        <w:ind w:left="5445" w:hanging="360"/>
      </w:pPr>
      <w:rPr>
        <w:rFonts w:ascii="Symbol" w:hAnsi="Symbol" w:hint="default"/>
      </w:rPr>
    </w:lvl>
    <w:lvl w:ilvl="7" w:tplc="04260003" w:tentative="1">
      <w:start w:val="1"/>
      <w:numFmt w:val="bullet"/>
      <w:lvlText w:val="o"/>
      <w:lvlJc w:val="left"/>
      <w:pPr>
        <w:tabs>
          <w:tab w:val="num" w:pos="6165"/>
        </w:tabs>
        <w:ind w:left="6165" w:hanging="360"/>
      </w:pPr>
      <w:rPr>
        <w:rFonts w:ascii="Courier New" w:hAnsi="Courier New" w:cs="Courier New" w:hint="default"/>
      </w:rPr>
    </w:lvl>
    <w:lvl w:ilvl="8" w:tplc="04260005" w:tentative="1">
      <w:start w:val="1"/>
      <w:numFmt w:val="bullet"/>
      <w:lvlText w:val=""/>
      <w:lvlJc w:val="left"/>
      <w:pPr>
        <w:tabs>
          <w:tab w:val="num" w:pos="6885"/>
        </w:tabs>
        <w:ind w:left="6885" w:hanging="360"/>
      </w:pPr>
      <w:rPr>
        <w:rFonts w:ascii="Wingdings" w:hAnsi="Wingdings" w:hint="default"/>
      </w:rPr>
    </w:lvl>
  </w:abstractNum>
  <w:num w:numId="1">
    <w:abstractNumId w:val="0"/>
  </w:num>
  <w:num w:numId="2">
    <w:abstractNumId w:val="11"/>
  </w:num>
  <w:num w:numId="3">
    <w:abstractNumId w:val="16"/>
  </w:num>
  <w:num w:numId="4">
    <w:abstractNumId w:val="4"/>
  </w:num>
  <w:num w:numId="5">
    <w:abstractNumId w:val="6"/>
  </w:num>
  <w:num w:numId="6">
    <w:abstractNumId w:val="7"/>
  </w:num>
  <w:num w:numId="7">
    <w:abstractNumId w:val="15"/>
  </w:num>
  <w:num w:numId="8">
    <w:abstractNumId w:val="14"/>
  </w:num>
  <w:num w:numId="9">
    <w:abstractNumId w:val="5"/>
  </w:num>
  <w:num w:numId="10">
    <w:abstractNumId w:val="3"/>
  </w:num>
  <w:num w:numId="11">
    <w:abstractNumId w:val="9"/>
  </w:num>
  <w:num w:numId="12">
    <w:abstractNumId w:val="1"/>
  </w:num>
  <w:num w:numId="13">
    <w:abstractNumId w:val="10"/>
  </w:num>
  <w:num w:numId="14">
    <w:abstractNumId w:val="2"/>
  </w:num>
  <w:num w:numId="15">
    <w:abstractNumId w:val="12"/>
  </w:num>
  <w:num w:numId="16">
    <w:abstractNumId w:val="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
  <w:drawingGridVerticalSpacing w:val="181"/>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1EB"/>
    <w:rsid w:val="00002F16"/>
    <w:rsid w:val="000107F2"/>
    <w:rsid w:val="00010C45"/>
    <w:rsid w:val="00013219"/>
    <w:rsid w:val="00020536"/>
    <w:rsid w:val="00020BD9"/>
    <w:rsid w:val="00021831"/>
    <w:rsid w:val="00024629"/>
    <w:rsid w:val="0003027F"/>
    <w:rsid w:val="000307A2"/>
    <w:rsid w:val="0003587D"/>
    <w:rsid w:val="000377C1"/>
    <w:rsid w:val="000416B7"/>
    <w:rsid w:val="00041B66"/>
    <w:rsid w:val="000438FA"/>
    <w:rsid w:val="00044678"/>
    <w:rsid w:val="00051E98"/>
    <w:rsid w:val="0005263B"/>
    <w:rsid w:val="00055FF7"/>
    <w:rsid w:val="000575CA"/>
    <w:rsid w:val="0006004F"/>
    <w:rsid w:val="000610AF"/>
    <w:rsid w:val="00061409"/>
    <w:rsid w:val="00061B7D"/>
    <w:rsid w:val="00062AAE"/>
    <w:rsid w:val="0006317B"/>
    <w:rsid w:val="00071A6A"/>
    <w:rsid w:val="0007626E"/>
    <w:rsid w:val="00082055"/>
    <w:rsid w:val="0008210E"/>
    <w:rsid w:val="000821E2"/>
    <w:rsid w:val="0008370D"/>
    <w:rsid w:val="000860A6"/>
    <w:rsid w:val="00086EBD"/>
    <w:rsid w:val="00090538"/>
    <w:rsid w:val="00090A02"/>
    <w:rsid w:val="00091203"/>
    <w:rsid w:val="00092FD8"/>
    <w:rsid w:val="00093C51"/>
    <w:rsid w:val="0009552D"/>
    <w:rsid w:val="000963BA"/>
    <w:rsid w:val="000A00FA"/>
    <w:rsid w:val="000A08C0"/>
    <w:rsid w:val="000A2365"/>
    <w:rsid w:val="000A3592"/>
    <w:rsid w:val="000A3E52"/>
    <w:rsid w:val="000B0210"/>
    <w:rsid w:val="000B4AC1"/>
    <w:rsid w:val="000C0F07"/>
    <w:rsid w:val="000C1251"/>
    <w:rsid w:val="000C40C5"/>
    <w:rsid w:val="000C7567"/>
    <w:rsid w:val="000C77DA"/>
    <w:rsid w:val="000D075F"/>
    <w:rsid w:val="000D14CE"/>
    <w:rsid w:val="000D186A"/>
    <w:rsid w:val="000D1A22"/>
    <w:rsid w:val="000D21C0"/>
    <w:rsid w:val="000D4E1E"/>
    <w:rsid w:val="000D5543"/>
    <w:rsid w:val="000D5D73"/>
    <w:rsid w:val="000D6077"/>
    <w:rsid w:val="000D613F"/>
    <w:rsid w:val="000E0BC2"/>
    <w:rsid w:val="000E12F3"/>
    <w:rsid w:val="000E1A93"/>
    <w:rsid w:val="000E2039"/>
    <w:rsid w:val="000E4AFC"/>
    <w:rsid w:val="000E4EB2"/>
    <w:rsid w:val="000E742F"/>
    <w:rsid w:val="000F2335"/>
    <w:rsid w:val="000F33CB"/>
    <w:rsid w:val="000F3BF6"/>
    <w:rsid w:val="000F49B4"/>
    <w:rsid w:val="000F6BD7"/>
    <w:rsid w:val="0010317E"/>
    <w:rsid w:val="001042BD"/>
    <w:rsid w:val="00104D2A"/>
    <w:rsid w:val="001069E1"/>
    <w:rsid w:val="001138D3"/>
    <w:rsid w:val="00114337"/>
    <w:rsid w:val="00116847"/>
    <w:rsid w:val="001230EB"/>
    <w:rsid w:val="00123224"/>
    <w:rsid w:val="00123790"/>
    <w:rsid w:val="00124661"/>
    <w:rsid w:val="001247F9"/>
    <w:rsid w:val="00125D3D"/>
    <w:rsid w:val="00126B97"/>
    <w:rsid w:val="0012755D"/>
    <w:rsid w:val="00127A34"/>
    <w:rsid w:val="00131A34"/>
    <w:rsid w:val="001334EA"/>
    <w:rsid w:val="001344DF"/>
    <w:rsid w:val="001354B8"/>
    <w:rsid w:val="00136C4A"/>
    <w:rsid w:val="001411EE"/>
    <w:rsid w:val="00143CAC"/>
    <w:rsid w:val="00146138"/>
    <w:rsid w:val="0014652A"/>
    <w:rsid w:val="00147453"/>
    <w:rsid w:val="00152767"/>
    <w:rsid w:val="00154EF9"/>
    <w:rsid w:val="00156E1E"/>
    <w:rsid w:val="00161239"/>
    <w:rsid w:val="0016556D"/>
    <w:rsid w:val="00170087"/>
    <w:rsid w:val="0017191A"/>
    <w:rsid w:val="00175EA1"/>
    <w:rsid w:val="0017609E"/>
    <w:rsid w:val="001806AF"/>
    <w:rsid w:val="00182C64"/>
    <w:rsid w:val="0018311F"/>
    <w:rsid w:val="00184DF9"/>
    <w:rsid w:val="00187B8A"/>
    <w:rsid w:val="00187CEF"/>
    <w:rsid w:val="0019000D"/>
    <w:rsid w:val="001929F2"/>
    <w:rsid w:val="00193EB8"/>
    <w:rsid w:val="00193FA4"/>
    <w:rsid w:val="00196B11"/>
    <w:rsid w:val="001A0473"/>
    <w:rsid w:val="001A1533"/>
    <w:rsid w:val="001A4818"/>
    <w:rsid w:val="001A4E5B"/>
    <w:rsid w:val="001A5958"/>
    <w:rsid w:val="001A5CEF"/>
    <w:rsid w:val="001A6D04"/>
    <w:rsid w:val="001B1117"/>
    <w:rsid w:val="001B1AF8"/>
    <w:rsid w:val="001B1D6B"/>
    <w:rsid w:val="001B2EE3"/>
    <w:rsid w:val="001B3212"/>
    <w:rsid w:val="001B62A1"/>
    <w:rsid w:val="001B77E0"/>
    <w:rsid w:val="001C036A"/>
    <w:rsid w:val="001C3693"/>
    <w:rsid w:val="001C642C"/>
    <w:rsid w:val="001C71A2"/>
    <w:rsid w:val="001D2385"/>
    <w:rsid w:val="001D403E"/>
    <w:rsid w:val="001D5135"/>
    <w:rsid w:val="001D57F8"/>
    <w:rsid w:val="001D5FDD"/>
    <w:rsid w:val="001D6AF3"/>
    <w:rsid w:val="001D7BA8"/>
    <w:rsid w:val="001E32EA"/>
    <w:rsid w:val="001E3FDC"/>
    <w:rsid w:val="001E5188"/>
    <w:rsid w:val="001F0BAD"/>
    <w:rsid w:val="001F58B8"/>
    <w:rsid w:val="001F5BF9"/>
    <w:rsid w:val="00203788"/>
    <w:rsid w:val="00207A0C"/>
    <w:rsid w:val="00207CBE"/>
    <w:rsid w:val="002144C6"/>
    <w:rsid w:val="00214B00"/>
    <w:rsid w:val="00216597"/>
    <w:rsid w:val="0021731E"/>
    <w:rsid w:val="002202DC"/>
    <w:rsid w:val="00220DE4"/>
    <w:rsid w:val="0022210C"/>
    <w:rsid w:val="00222C3C"/>
    <w:rsid w:val="002234A5"/>
    <w:rsid w:val="00230DBF"/>
    <w:rsid w:val="00234018"/>
    <w:rsid w:val="0023401C"/>
    <w:rsid w:val="00234A8E"/>
    <w:rsid w:val="00235042"/>
    <w:rsid w:val="0023615D"/>
    <w:rsid w:val="002437F9"/>
    <w:rsid w:val="00243960"/>
    <w:rsid w:val="00244B26"/>
    <w:rsid w:val="0024719E"/>
    <w:rsid w:val="00250DD0"/>
    <w:rsid w:val="002635A5"/>
    <w:rsid w:val="002653B1"/>
    <w:rsid w:val="0026683B"/>
    <w:rsid w:val="0026745C"/>
    <w:rsid w:val="0027265A"/>
    <w:rsid w:val="002736D2"/>
    <w:rsid w:val="00273A27"/>
    <w:rsid w:val="00276360"/>
    <w:rsid w:val="0027713B"/>
    <w:rsid w:val="002805C2"/>
    <w:rsid w:val="0028109C"/>
    <w:rsid w:val="00290BF9"/>
    <w:rsid w:val="002918BC"/>
    <w:rsid w:val="002936EE"/>
    <w:rsid w:val="00293F7E"/>
    <w:rsid w:val="00295C71"/>
    <w:rsid w:val="002A08BB"/>
    <w:rsid w:val="002A2EC4"/>
    <w:rsid w:val="002A3B66"/>
    <w:rsid w:val="002A462D"/>
    <w:rsid w:val="002A6B53"/>
    <w:rsid w:val="002A6B67"/>
    <w:rsid w:val="002B1AE2"/>
    <w:rsid w:val="002B2A1C"/>
    <w:rsid w:val="002B492E"/>
    <w:rsid w:val="002B5EE6"/>
    <w:rsid w:val="002B603D"/>
    <w:rsid w:val="002B6E63"/>
    <w:rsid w:val="002B7ACC"/>
    <w:rsid w:val="002C0254"/>
    <w:rsid w:val="002C087F"/>
    <w:rsid w:val="002C2D2C"/>
    <w:rsid w:val="002C33C6"/>
    <w:rsid w:val="002C39D0"/>
    <w:rsid w:val="002C40F8"/>
    <w:rsid w:val="002C415B"/>
    <w:rsid w:val="002C48C8"/>
    <w:rsid w:val="002C50EC"/>
    <w:rsid w:val="002C7161"/>
    <w:rsid w:val="002D2A67"/>
    <w:rsid w:val="002D2E6E"/>
    <w:rsid w:val="002D5812"/>
    <w:rsid w:val="002D5F36"/>
    <w:rsid w:val="002D7BB6"/>
    <w:rsid w:val="002E09E1"/>
    <w:rsid w:val="002E1117"/>
    <w:rsid w:val="002E25D5"/>
    <w:rsid w:val="002E361F"/>
    <w:rsid w:val="002E6902"/>
    <w:rsid w:val="002F314B"/>
    <w:rsid w:val="002F453C"/>
    <w:rsid w:val="002F5055"/>
    <w:rsid w:val="002F5D38"/>
    <w:rsid w:val="002F7B5E"/>
    <w:rsid w:val="00300ED0"/>
    <w:rsid w:val="0030112E"/>
    <w:rsid w:val="00302238"/>
    <w:rsid w:val="00303A73"/>
    <w:rsid w:val="00304A68"/>
    <w:rsid w:val="00305D5F"/>
    <w:rsid w:val="00307AAA"/>
    <w:rsid w:val="003123B6"/>
    <w:rsid w:val="003130FD"/>
    <w:rsid w:val="00313282"/>
    <w:rsid w:val="00314C5D"/>
    <w:rsid w:val="0031742B"/>
    <w:rsid w:val="0032178D"/>
    <w:rsid w:val="003227C7"/>
    <w:rsid w:val="0032337D"/>
    <w:rsid w:val="00325A66"/>
    <w:rsid w:val="00326A53"/>
    <w:rsid w:val="003273AF"/>
    <w:rsid w:val="00327C0A"/>
    <w:rsid w:val="0033166F"/>
    <w:rsid w:val="0033168B"/>
    <w:rsid w:val="00333CAB"/>
    <w:rsid w:val="003344FD"/>
    <w:rsid w:val="00340295"/>
    <w:rsid w:val="003408A6"/>
    <w:rsid w:val="00344461"/>
    <w:rsid w:val="00345906"/>
    <w:rsid w:val="00345E32"/>
    <w:rsid w:val="003503AA"/>
    <w:rsid w:val="00350D7A"/>
    <w:rsid w:val="00350EE0"/>
    <w:rsid w:val="0035178D"/>
    <w:rsid w:val="003529A2"/>
    <w:rsid w:val="00355419"/>
    <w:rsid w:val="003563CE"/>
    <w:rsid w:val="00356462"/>
    <w:rsid w:val="003570CA"/>
    <w:rsid w:val="00357442"/>
    <w:rsid w:val="0035772C"/>
    <w:rsid w:val="00360FA3"/>
    <w:rsid w:val="00362AB5"/>
    <w:rsid w:val="003668AB"/>
    <w:rsid w:val="00372FE5"/>
    <w:rsid w:val="003800E6"/>
    <w:rsid w:val="003933A8"/>
    <w:rsid w:val="00394D82"/>
    <w:rsid w:val="00394DF1"/>
    <w:rsid w:val="00395975"/>
    <w:rsid w:val="00396FA3"/>
    <w:rsid w:val="00397C1F"/>
    <w:rsid w:val="003A1D83"/>
    <w:rsid w:val="003A4EAB"/>
    <w:rsid w:val="003A5048"/>
    <w:rsid w:val="003A50C0"/>
    <w:rsid w:val="003A6B97"/>
    <w:rsid w:val="003B4069"/>
    <w:rsid w:val="003B55CE"/>
    <w:rsid w:val="003B740C"/>
    <w:rsid w:val="003D07E5"/>
    <w:rsid w:val="003D3A84"/>
    <w:rsid w:val="003D5653"/>
    <w:rsid w:val="003D69D9"/>
    <w:rsid w:val="003D7B53"/>
    <w:rsid w:val="003E1259"/>
    <w:rsid w:val="003E18A7"/>
    <w:rsid w:val="003E2051"/>
    <w:rsid w:val="003F7212"/>
    <w:rsid w:val="004004DF"/>
    <w:rsid w:val="00402722"/>
    <w:rsid w:val="00410D48"/>
    <w:rsid w:val="004126C2"/>
    <w:rsid w:val="004155AF"/>
    <w:rsid w:val="0041582E"/>
    <w:rsid w:val="0042161A"/>
    <w:rsid w:val="00423855"/>
    <w:rsid w:val="00423F61"/>
    <w:rsid w:val="004252BD"/>
    <w:rsid w:val="004275BF"/>
    <w:rsid w:val="004279E7"/>
    <w:rsid w:val="0043122D"/>
    <w:rsid w:val="00434A43"/>
    <w:rsid w:val="00435652"/>
    <w:rsid w:val="00435782"/>
    <w:rsid w:val="0043580E"/>
    <w:rsid w:val="00436F6F"/>
    <w:rsid w:val="0044094F"/>
    <w:rsid w:val="004415D9"/>
    <w:rsid w:val="004436C2"/>
    <w:rsid w:val="00450AD2"/>
    <w:rsid w:val="00451389"/>
    <w:rsid w:val="00451B7C"/>
    <w:rsid w:val="004522C5"/>
    <w:rsid w:val="00454471"/>
    <w:rsid w:val="00456B47"/>
    <w:rsid w:val="0046192F"/>
    <w:rsid w:val="00464A39"/>
    <w:rsid w:val="00464DBE"/>
    <w:rsid w:val="00471216"/>
    <w:rsid w:val="00471490"/>
    <w:rsid w:val="0047213C"/>
    <w:rsid w:val="0047534F"/>
    <w:rsid w:val="0048053D"/>
    <w:rsid w:val="00480859"/>
    <w:rsid w:val="00481903"/>
    <w:rsid w:val="0048275F"/>
    <w:rsid w:val="004833F0"/>
    <w:rsid w:val="00490B60"/>
    <w:rsid w:val="004910BC"/>
    <w:rsid w:val="00493295"/>
    <w:rsid w:val="00496AE0"/>
    <w:rsid w:val="00496BF5"/>
    <w:rsid w:val="0049790C"/>
    <w:rsid w:val="004A0580"/>
    <w:rsid w:val="004A233C"/>
    <w:rsid w:val="004B374D"/>
    <w:rsid w:val="004B3C97"/>
    <w:rsid w:val="004B3F2C"/>
    <w:rsid w:val="004C0046"/>
    <w:rsid w:val="004C0483"/>
    <w:rsid w:val="004C0991"/>
    <w:rsid w:val="004C2F71"/>
    <w:rsid w:val="004C3F12"/>
    <w:rsid w:val="004C5941"/>
    <w:rsid w:val="004C66B8"/>
    <w:rsid w:val="004C6A9D"/>
    <w:rsid w:val="004C6EE7"/>
    <w:rsid w:val="004D2B14"/>
    <w:rsid w:val="004E0271"/>
    <w:rsid w:val="004E4635"/>
    <w:rsid w:val="004E584A"/>
    <w:rsid w:val="004E7252"/>
    <w:rsid w:val="004E7CAD"/>
    <w:rsid w:val="004F0DCE"/>
    <w:rsid w:val="004F0FBD"/>
    <w:rsid w:val="004F476B"/>
    <w:rsid w:val="004F4D4B"/>
    <w:rsid w:val="004F4FD2"/>
    <w:rsid w:val="0050155A"/>
    <w:rsid w:val="00503CF7"/>
    <w:rsid w:val="005040D6"/>
    <w:rsid w:val="005112AF"/>
    <w:rsid w:val="00514499"/>
    <w:rsid w:val="005158FA"/>
    <w:rsid w:val="00517614"/>
    <w:rsid w:val="005176F8"/>
    <w:rsid w:val="00517B0D"/>
    <w:rsid w:val="00520B55"/>
    <w:rsid w:val="005224C7"/>
    <w:rsid w:val="00523C00"/>
    <w:rsid w:val="00525458"/>
    <w:rsid w:val="0052545B"/>
    <w:rsid w:val="0052620D"/>
    <w:rsid w:val="00526873"/>
    <w:rsid w:val="00527763"/>
    <w:rsid w:val="00530648"/>
    <w:rsid w:val="00531281"/>
    <w:rsid w:val="00532514"/>
    <w:rsid w:val="005334FF"/>
    <w:rsid w:val="00533B8C"/>
    <w:rsid w:val="0053411A"/>
    <w:rsid w:val="00535711"/>
    <w:rsid w:val="00535F5B"/>
    <w:rsid w:val="005407AA"/>
    <w:rsid w:val="0054202A"/>
    <w:rsid w:val="00544601"/>
    <w:rsid w:val="005455BD"/>
    <w:rsid w:val="005511D7"/>
    <w:rsid w:val="00553038"/>
    <w:rsid w:val="00553DC2"/>
    <w:rsid w:val="0055474B"/>
    <w:rsid w:val="00556B11"/>
    <w:rsid w:val="00556BBD"/>
    <w:rsid w:val="005576B6"/>
    <w:rsid w:val="00564A9A"/>
    <w:rsid w:val="00565743"/>
    <w:rsid w:val="00570E58"/>
    <w:rsid w:val="0057107E"/>
    <w:rsid w:val="00572723"/>
    <w:rsid w:val="005734BE"/>
    <w:rsid w:val="005735E2"/>
    <w:rsid w:val="005737F4"/>
    <w:rsid w:val="00574382"/>
    <w:rsid w:val="00576E02"/>
    <w:rsid w:val="005772AE"/>
    <w:rsid w:val="00581C4A"/>
    <w:rsid w:val="00583AF9"/>
    <w:rsid w:val="005858D4"/>
    <w:rsid w:val="00586BF9"/>
    <w:rsid w:val="00587144"/>
    <w:rsid w:val="00587D98"/>
    <w:rsid w:val="00594A06"/>
    <w:rsid w:val="00596359"/>
    <w:rsid w:val="005A0804"/>
    <w:rsid w:val="005A252D"/>
    <w:rsid w:val="005A3262"/>
    <w:rsid w:val="005A6B90"/>
    <w:rsid w:val="005A6EED"/>
    <w:rsid w:val="005A7144"/>
    <w:rsid w:val="005A7E73"/>
    <w:rsid w:val="005B0F63"/>
    <w:rsid w:val="005B1153"/>
    <w:rsid w:val="005B179C"/>
    <w:rsid w:val="005B2577"/>
    <w:rsid w:val="005C0748"/>
    <w:rsid w:val="005C6EE5"/>
    <w:rsid w:val="005C757B"/>
    <w:rsid w:val="005C76E3"/>
    <w:rsid w:val="005D1402"/>
    <w:rsid w:val="005D5DC7"/>
    <w:rsid w:val="005D7006"/>
    <w:rsid w:val="005D72B1"/>
    <w:rsid w:val="005D766F"/>
    <w:rsid w:val="005D7CA8"/>
    <w:rsid w:val="005D7E75"/>
    <w:rsid w:val="005E1F84"/>
    <w:rsid w:val="005E406C"/>
    <w:rsid w:val="005E45EF"/>
    <w:rsid w:val="005E4D6B"/>
    <w:rsid w:val="005E5535"/>
    <w:rsid w:val="005E66BB"/>
    <w:rsid w:val="005E72DA"/>
    <w:rsid w:val="005F053D"/>
    <w:rsid w:val="005F1CEA"/>
    <w:rsid w:val="005F54B0"/>
    <w:rsid w:val="005F758C"/>
    <w:rsid w:val="0060233E"/>
    <w:rsid w:val="0060289C"/>
    <w:rsid w:val="00604B36"/>
    <w:rsid w:val="00604C50"/>
    <w:rsid w:val="0060577E"/>
    <w:rsid w:val="006078DE"/>
    <w:rsid w:val="00620119"/>
    <w:rsid w:val="00620691"/>
    <w:rsid w:val="0062084B"/>
    <w:rsid w:val="0062208D"/>
    <w:rsid w:val="00622D1E"/>
    <w:rsid w:val="006261AE"/>
    <w:rsid w:val="00627036"/>
    <w:rsid w:val="00627064"/>
    <w:rsid w:val="006302CE"/>
    <w:rsid w:val="006337B8"/>
    <w:rsid w:val="006366F2"/>
    <w:rsid w:val="006444EB"/>
    <w:rsid w:val="00644B63"/>
    <w:rsid w:val="00644EAA"/>
    <w:rsid w:val="006450AA"/>
    <w:rsid w:val="006466C8"/>
    <w:rsid w:val="0064775B"/>
    <w:rsid w:val="0065475E"/>
    <w:rsid w:val="00655B1B"/>
    <w:rsid w:val="00662250"/>
    <w:rsid w:val="00665D2E"/>
    <w:rsid w:val="006702DA"/>
    <w:rsid w:val="00670956"/>
    <w:rsid w:val="006716D4"/>
    <w:rsid w:val="006746CD"/>
    <w:rsid w:val="00674B9E"/>
    <w:rsid w:val="006755BA"/>
    <w:rsid w:val="00675D7A"/>
    <w:rsid w:val="006766AB"/>
    <w:rsid w:val="006820EA"/>
    <w:rsid w:val="0068303F"/>
    <w:rsid w:val="006843CD"/>
    <w:rsid w:val="00687537"/>
    <w:rsid w:val="00687C96"/>
    <w:rsid w:val="00693E65"/>
    <w:rsid w:val="0069499C"/>
    <w:rsid w:val="006A323A"/>
    <w:rsid w:val="006A460C"/>
    <w:rsid w:val="006A4625"/>
    <w:rsid w:val="006A554A"/>
    <w:rsid w:val="006B083E"/>
    <w:rsid w:val="006B1096"/>
    <w:rsid w:val="006B1511"/>
    <w:rsid w:val="006B359B"/>
    <w:rsid w:val="006B5122"/>
    <w:rsid w:val="006B6CBD"/>
    <w:rsid w:val="006B7C76"/>
    <w:rsid w:val="006C02C4"/>
    <w:rsid w:val="006C07A2"/>
    <w:rsid w:val="006C2318"/>
    <w:rsid w:val="006C4E20"/>
    <w:rsid w:val="006C522F"/>
    <w:rsid w:val="006C631D"/>
    <w:rsid w:val="006C756B"/>
    <w:rsid w:val="006D0C11"/>
    <w:rsid w:val="006D0F93"/>
    <w:rsid w:val="006D25B7"/>
    <w:rsid w:val="006D2A62"/>
    <w:rsid w:val="006D3AB5"/>
    <w:rsid w:val="006D3B93"/>
    <w:rsid w:val="006D409B"/>
    <w:rsid w:val="006D490F"/>
    <w:rsid w:val="006D58BC"/>
    <w:rsid w:val="006E0B3D"/>
    <w:rsid w:val="006E1CDD"/>
    <w:rsid w:val="006E2453"/>
    <w:rsid w:val="006E28DA"/>
    <w:rsid w:val="006E3E98"/>
    <w:rsid w:val="006E422B"/>
    <w:rsid w:val="006E639B"/>
    <w:rsid w:val="006F0DAA"/>
    <w:rsid w:val="006F284A"/>
    <w:rsid w:val="006F2E43"/>
    <w:rsid w:val="006F665C"/>
    <w:rsid w:val="006F78E0"/>
    <w:rsid w:val="007012B5"/>
    <w:rsid w:val="007030E6"/>
    <w:rsid w:val="00703127"/>
    <w:rsid w:val="007031FC"/>
    <w:rsid w:val="007033F9"/>
    <w:rsid w:val="0070411E"/>
    <w:rsid w:val="00705CCC"/>
    <w:rsid w:val="00706C11"/>
    <w:rsid w:val="00707012"/>
    <w:rsid w:val="00714174"/>
    <w:rsid w:val="0071468A"/>
    <w:rsid w:val="00715732"/>
    <w:rsid w:val="0072021C"/>
    <w:rsid w:val="00721FDA"/>
    <w:rsid w:val="00723B8C"/>
    <w:rsid w:val="00726829"/>
    <w:rsid w:val="00726858"/>
    <w:rsid w:val="0072777E"/>
    <w:rsid w:val="00730952"/>
    <w:rsid w:val="007312B9"/>
    <w:rsid w:val="00741723"/>
    <w:rsid w:val="0074270C"/>
    <w:rsid w:val="00747D67"/>
    <w:rsid w:val="00752624"/>
    <w:rsid w:val="00753471"/>
    <w:rsid w:val="00754486"/>
    <w:rsid w:val="00756450"/>
    <w:rsid w:val="00757B53"/>
    <w:rsid w:val="007622C8"/>
    <w:rsid w:val="00765EBE"/>
    <w:rsid w:val="00766807"/>
    <w:rsid w:val="007677E3"/>
    <w:rsid w:val="00767D37"/>
    <w:rsid w:val="00770EA8"/>
    <w:rsid w:val="00770FB3"/>
    <w:rsid w:val="00775219"/>
    <w:rsid w:val="007777BA"/>
    <w:rsid w:val="00786E51"/>
    <w:rsid w:val="00787B01"/>
    <w:rsid w:val="00794445"/>
    <w:rsid w:val="007949A4"/>
    <w:rsid w:val="0079554C"/>
    <w:rsid w:val="007A165C"/>
    <w:rsid w:val="007A193D"/>
    <w:rsid w:val="007A43EB"/>
    <w:rsid w:val="007B094D"/>
    <w:rsid w:val="007B29AC"/>
    <w:rsid w:val="007B3B43"/>
    <w:rsid w:val="007C1845"/>
    <w:rsid w:val="007C1964"/>
    <w:rsid w:val="007C1B98"/>
    <w:rsid w:val="007C25C7"/>
    <w:rsid w:val="007C288D"/>
    <w:rsid w:val="007C2C9B"/>
    <w:rsid w:val="007C7542"/>
    <w:rsid w:val="007D1362"/>
    <w:rsid w:val="007D31C2"/>
    <w:rsid w:val="007D6C9E"/>
    <w:rsid w:val="007D70CC"/>
    <w:rsid w:val="007E1E8E"/>
    <w:rsid w:val="007E2DF6"/>
    <w:rsid w:val="007F5BF0"/>
    <w:rsid w:val="007F694A"/>
    <w:rsid w:val="008006BB"/>
    <w:rsid w:val="008012E3"/>
    <w:rsid w:val="008025E7"/>
    <w:rsid w:val="00805E3B"/>
    <w:rsid w:val="008069FC"/>
    <w:rsid w:val="008070B4"/>
    <w:rsid w:val="00810CAD"/>
    <w:rsid w:val="00811046"/>
    <w:rsid w:val="008127A5"/>
    <w:rsid w:val="00813A26"/>
    <w:rsid w:val="008150E7"/>
    <w:rsid w:val="00815332"/>
    <w:rsid w:val="00817335"/>
    <w:rsid w:val="0082389F"/>
    <w:rsid w:val="008241AA"/>
    <w:rsid w:val="0082475D"/>
    <w:rsid w:val="008252ED"/>
    <w:rsid w:val="00826AA2"/>
    <w:rsid w:val="00826B5B"/>
    <w:rsid w:val="00827893"/>
    <w:rsid w:val="00831CD0"/>
    <w:rsid w:val="008328D9"/>
    <w:rsid w:val="00832CC7"/>
    <w:rsid w:val="008332B2"/>
    <w:rsid w:val="00834DA9"/>
    <w:rsid w:val="008368D9"/>
    <w:rsid w:val="0084500A"/>
    <w:rsid w:val="008504B5"/>
    <w:rsid w:val="00850CD4"/>
    <w:rsid w:val="00850DBB"/>
    <w:rsid w:val="00853021"/>
    <w:rsid w:val="0085326D"/>
    <w:rsid w:val="00855EB4"/>
    <w:rsid w:val="008568E8"/>
    <w:rsid w:val="008574EF"/>
    <w:rsid w:val="00857624"/>
    <w:rsid w:val="0087170D"/>
    <w:rsid w:val="0087217B"/>
    <w:rsid w:val="008732D5"/>
    <w:rsid w:val="00873B5F"/>
    <w:rsid w:val="00874CCE"/>
    <w:rsid w:val="00876C02"/>
    <w:rsid w:val="00880A11"/>
    <w:rsid w:val="0088157C"/>
    <w:rsid w:val="00883E50"/>
    <w:rsid w:val="008850EF"/>
    <w:rsid w:val="00890178"/>
    <w:rsid w:val="00890954"/>
    <w:rsid w:val="00893185"/>
    <w:rsid w:val="00895724"/>
    <w:rsid w:val="008A45D7"/>
    <w:rsid w:val="008A5555"/>
    <w:rsid w:val="008A6C6A"/>
    <w:rsid w:val="008B4176"/>
    <w:rsid w:val="008B4E45"/>
    <w:rsid w:val="008B7EE0"/>
    <w:rsid w:val="008C1223"/>
    <w:rsid w:val="008C27CB"/>
    <w:rsid w:val="008C33AB"/>
    <w:rsid w:val="008C4024"/>
    <w:rsid w:val="008C42FA"/>
    <w:rsid w:val="008C494A"/>
    <w:rsid w:val="008C5256"/>
    <w:rsid w:val="008C7F04"/>
    <w:rsid w:val="008D19E6"/>
    <w:rsid w:val="008D78A4"/>
    <w:rsid w:val="008E051D"/>
    <w:rsid w:val="008E3A0B"/>
    <w:rsid w:val="008E5615"/>
    <w:rsid w:val="008E5688"/>
    <w:rsid w:val="008E6AD4"/>
    <w:rsid w:val="008E6E18"/>
    <w:rsid w:val="008E73E5"/>
    <w:rsid w:val="008E78C0"/>
    <w:rsid w:val="008F28B7"/>
    <w:rsid w:val="008F35E0"/>
    <w:rsid w:val="008F3FA2"/>
    <w:rsid w:val="008F5302"/>
    <w:rsid w:val="008F6578"/>
    <w:rsid w:val="008F67B7"/>
    <w:rsid w:val="008F6F9A"/>
    <w:rsid w:val="008F71B4"/>
    <w:rsid w:val="00902C98"/>
    <w:rsid w:val="00904C6F"/>
    <w:rsid w:val="0090593D"/>
    <w:rsid w:val="00905F08"/>
    <w:rsid w:val="009061CB"/>
    <w:rsid w:val="00907CC6"/>
    <w:rsid w:val="00910716"/>
    <w:rsid w:val="0091176C"/>
    <w:rsid w:val="0091312A"/>
    <w:rsid w:val="0091358F"/>
    <w:rsid w:val="00915D97"/>
    <w:rsid w:val="00917B7A"/>
    <w:rsid w:val="00922130"/>
    <w:rsid w:val="00922CFA"/>
    <w:rsid w:val="0092644D"/>
    <w:rsid w:val="00926F0A"/>
    <w:rsid w:val="009274A2"/>
    <w:rsid w:val="0093279B"/>
    <w:rsid w:val="00935223"/>
    <w:rsid w:val="00935703"/>
    <w:rsid w:val="0093589A"/>
    <w:rsid w:val="00936E09"/>
    <w:rsid w:val="00937357"/>
    <w:rsid w:val="00937543"/>
    <w:rsid w:val="00940E31"/>
    <w:rsid w:val="0094128F"/>
    <w:rsid w:val="00941985"/>
    <w:rsid w:val="00943046"/>
    <w:rsid w:val="0094344C"/>
    <w:rsid w:val="00943920"/>
    <w:rsid w:val="009449C4"/>
    <w:rsid w:val="00945217"/>
    <w:rsid w:val="009562D1"/>
    <w:rsid w:val="00960638"/>
    <w:rsid w:val="009619A1"/>
    <w:rsid w:val="00965313"/>
    <w:rsid w:val="009653C4"/>
    <w:rsid w:val="00965B00"/>
    <w:rsid w:val="00965E34"/>
    <w:rsid w:val="0097072A"/>
    <w:rsid w:val="009734B0"/>
    <w:rsid w:val="00974363"/>
    <w:rsid w:val="00974D3B"/>
    <w:rsid w:val="00976F15"/>
    <w:rsid w:val="00977BA2"/>
    <w:rsid w:val="00982808"/>
    <w:rsid w:val="009856BF"/>
    <w:rsid w:val="00985A8E"/>
    <w:rsid w:val="00985F19"/>
    <w:rsid w:val="0098674F"/>
    <w:rsid w:val="00990CA9"/>
    <w:rsid w:val="0099114A"/>
    <w:rsid w:val="00991187"/>
    <w:rsid w:val="0099289C"/>
    <w:rsid w:val="009930DC"/>
    <w:rsid w:val="00993314"/>
    <w:rsid w:val="00994733"/>
    <w:rsid w:val="009A13FA"/>
    <w:rsid w:val="009A1C96"/>
    <w:rsid w:val="009A22F7"/>
    <w:rsid w:val="009A379C"/>
    <w:rsid w:val="009A7805"/>
    <w:rsid w:val="009A7F38"/>
    <w:rsid w:val="009B13C1"/>
    <w:rsid w:val="009B17D3"/>
    <w:rsid w:val="009B228E"/>
    <w:rsid w:val="009B59F7"/>
    <w:rsid w:val="009B666D"/>
    <w:rsid w:val="009B67F2"/>
    <w:rsid w:val="009C1DC8"/>
    <w:rsid w:val="009C20CD"/>
    <w:rsid w:val="009C2A57"/>
    <w:rsid w:val="009C4A4D"/>
    <w:rsid w:val="009C5108"/>
    <w:rsid w:val="009C5CC3"/>
    <w:rsid w:val="009D1502"/>
    <w:rsid w:val="009D2376"/>
    <w:rsid w:val="009D24C8"/>
    <w:rsid w:val="009D287F"/>
    <w:rsid w:val="009D3B0D"/>
    <w:rsid w:val="009D4664"/>
    <w:rsid w:val="009D513F"/>
    <w:rsid w:val="009D79F9"/>
    <w:rsid w:val="009E091B"/>
    <w:rsid w:val="009E15E9"/>
    <w:rsid w:val="009E1812"/>
    <w:rsid w:val="009E787E"/>
    <w:rsid w:val="009F02FE"/>
    <w:rsid w:val="009F2B48"/>
    <w:rsid w:val="009F2B9D"/>
    <w:rsid w:val="009F3177"/>
    <w:rsid w:val="009F5C4A"/>
    <w:rsid w:val="009F769B"/>
    <w:rsid w:val="00A01CAE"/>
    <w:rsid w:val="00A02B7D"/>
    <w:rsid w:val="00A0403A"/>
    <w:rsid w:val="00A07857"/>
    <w:rsid w:val="00A106EB"/>
    <w:rsid w:val="00A1091E"/>
    <w:rsid w:val="00A12281"/>
    <w:rsid w:val="00A1302A"/>
    <w:rsid w:val="00A16177"/>
    <w:rsid w:val="00A230E0"/>
    <w:rsid w:val="00A25454"/>
    <w:rsid w:val="00A30231"/>
    <w:rsid w:val="00A361C4"/>
    <w:rsid w:val="00A41BE1"/>
    <w:rsid w:val="00A462E9"/>
    <w:rsid w:val="00A46515"/>
    <w:rsid w:val="00A472AE"/>
    <w:rsid w:val="00A506D2"/>
    <w:rsid w:val="00A51D3A"/>
    <w:rsid w:val="00A546EB"/>
    <w:rsid w:val="00A567A6"/>
    <w:rsid w:val="00A63896"/>
    <w:rsid w:val="00A638A1"/>
    <w:rsid w:val="00A64714"/>
    <w:rsid w:val="00A64F62"/>
    <w:rsid w:val="00A657C4"/>
    <w:rsid w:val="00A67525"/>
    <w:rsid w:val="00A7007D"/>
    <w:rsid w:val="00A70166"/>
    <w:rsid w:val="00A7284F"/>
    <w:rsid w:val="00A73630"/>
    <w:rsid w:val="00A7457E"/>
    <w:rsid w:val="00A76436"/>
    <w:rsid w:val="00A7702F"/>
    <w:rsid w:val="00A83171"/>
    <w:rsid w:val="00A838FD"/>
    <w:rsid w:val="00A846C7"/>
    <w:rsid w:val="00A911EB"/>
    <w:rsid w:val="00A91ACA"/>
    <w:rsid w:val="00A9268F"/>
    <w:rsid w:val="00A929BE"/>
    <w:rsid w:val="00A92D54"/>
    <w:rsid w:val="00A9316F"/>
    <w:rsid w:val="00A9321E"/>
    <w:rsid w:val="00A959C8"/>
    <w:rsid w:val="00AA1B9B"/>
    <w:rsid w:val="00AA3656"/>
    <w:rsid w:val="00AA4D0C"/>
    <w:rsid w:val="00AB0943"/>
    <w:rsid w:val="00AB0A16"/>
    <w:rsid w:val="00AB31C1"/>
    <w:rsid w:val="00AB4F87"/>
    <w:rsid w:val="00AB59B0"/>
    <w:rsid w:val="00AB6C7F"/>
    <w:rsid w:val="00AC025C"/>
    <w:rsid w:val="00AC026B"/>
    <w:rsid w:val="00AC2015"/>
    <w:rsid w:val="00AC209F"/>
    <w:rsid w:val="00AC377B"/>
    <w:rsid w:val="00AC4207"/>
    <w:rsid w:val="00AC4605"/>
    <w:rsid w:val="00AC4BBD"/>
    <w:rsid w:val="00AC5483"/>
    <w:rsid w:val="00AC5619"/>
    <w:rsid w:val="00AC5CAE"/>
    <w:rsid w:val="00AC5CC6"/>
    <w:rsid w:val="00AD0B35"/>
    <w:rsid w:val="00AD1A71"/>
    <w:rsid w:val="00AD28C5"/>
    <w:rsid w:val="00AD2DA9"/>
    <w:rsid w:val="00AD3588"/>
    <w:rsid w:val="00AD4CCA"/>
    <w:rsid w:val="00AD5274"/>
    <w:rsid w:val="00AD608E"/>
    <w:rsid w:val="00AD651C"/>
    <w:rsid w:val="00AD7474"/>
    <w:rsid w:val="00AD7E4D"/>
    <w:rsid w:val="00AE0E1F"/>
    <w:rsid w:val="00AE2D9F"/>
    <w:rsid w:val="00AE3529"/>
    <w:rsid w:val="00AE4622"/>
    <w:rsid w:val="00AE4906"/>
    <w:rsid w:val="00AF50A5"/>
    <w:rsid w:val="00AF5943"/>
    <w:rsid w:val="00AF5F36"/>
    <w:rsid w:val="00AF6365"/>
    <w:rsid w:val="00AF7EB0"/>
    <w:rsid w:val="00B0067F"/>
    <w:rsid w:val="00B0141E"/>
    <w:rsid w:val="00B020F5"/>
    <w:rsid w:val="00B021BC"/>
    <w:rsid w:val="00B03116"/>
    <w:rsid w:val="00B06F1C"/>
    <w:rsid w:val="00B07547"/>
    <w:rsid w:val="00B10919"/>
    <w:rsid w:val="00B12D5B"/>
    <w:rsid w:val="00B14EBF"/>
    <w:rsid w:val="00B15E77"/>
    <w:rsid w:val="00B237CC"/>
    <w:rsid w:val="00B23BB9"/>
    <w:rsid w:val="00B27923"/>
    <w:rsid w:val="00B27A60"/>
    <w:rsid w:val="00B324C9"/>
    <w:rsid w:val="00B34A17"/>
    <w:rsid w:val="00B40864"/>
    <w:rsid w:val="00B42F29"/>
    <w:rsid w:val="00B43AB8"/>
    <w:rsid w:val="00B461F2"/>
    <w:rsid w:val="00B4656B"/>
    <w:rsid w:val="00B4694E"/>
    <w:rsid w:val="00B4713A"/>
    <w:rsid w:val="00B4790F"/>
    <w:rsid w:val="00B47C78"/>
    <w:rsid w:val="00B51FE6"/>
    <w:rsid w:val="00B52A73"/>
    <w:rsid w:val="00B535D4"/>
    <w:rsid w:val="00B53990"/>
    <w:rsid w:val="00B53EBE"/>
    <w:rsid w:val="00B54BB1"/>
    <w:rsid w:val="00B65D99"/>
    <w:rsid w:val="00B661B6"/>
    <w:rsid w:val="00B6688D"/>
    <w:rsid w:val="00B66EA8"/>
    <w:rsid w:val="00B70236"/>
    <w:rsid w:val="00B75326"/>
    <w:rsid w:val="00B75759"/>
    <w:rsid w:val="00B77D3D"/>
    <w:rsid w:val="00B80357"/>
    <w:rsid w:val="00B80B4B"/>
    <w:rsid w:val="00B80D78"/>
    <w:rsid w:val="00B8464E"/>
    <w:rsid w:val="00B90E6D"/>
    <w:rsid w:val="00B95EB2"/>
    <w:rsid w:val="00B96AB7"/>
    <w:rsid w:val="00BA0550"/>
    <w:rsid w:val="00BA2627"/>
    <w:rsid w:val="00BA6323"/>
    <w:rsid w:val="00BB05E1"/>
    <w:rsid w:val="00BB1348"/>
    <w:rsid w:val="00BB3AB2"/>
    <w:rsid w:val="00BB3C68"/>
    <w:rsid w:val="00BB4432"/>
    <w:rsid w:val="00BB75DA"/>
    <w:rsid w:val="00BC19F4"/>
    <w:rsid w:val="00BC7B09"/>
    <w:rsid w:val="00BD4FFB"/>
    <w:rsid w:val="00BD5A0E"/>
    <w:rsid w:val="00BD675C"/>
    <w:rsid w:val="00BD7E02"/>
    <w:rsid w:val="00BE0253"/>
    <w:rsid w:val="00BE079E"/>
    <w:rsid w:val="00BE0E8A"/>
    <w:rsid w:val="00BE13C9"/>
    <w:rsid w:val="00BE2F4A"/>
    <w:rsid w:val="00BE2F50"/>
    <w:rsid w:val="00BE30C9"/>
    <w:rsid w:val="00BE3117"/>
    <w:rsid w:val="00BE349F"/>
    <w:rsid w:val="00BE486A"/>
    <w:rsid w:val="00BE5FE0"/>
    <w:rsid w:val="00BF25F7"/>
    <w:rsid w:val="00BF5932"/>
    <w:rsid w:val="00BF7606"/>
    <w:rsid w:val="00C00B12"/>
    <w:rsid w:val="00C0549C"/>
    <w:rsid w:val="00C0561C"/>
    <w:rsid w:val="00C12405"/>
    <w:rsid w:val="00C14176"/>
    <w:rsid w:val="00C14845"/>
    <w:rsid w:val="00C164FF"/>
    <w:rsid w:val="00C21322"/>
    <w:rsid w:val="00C22965"/>
    <w:rsid w:val="00C23DA0"/>
    <w:rsid w:val="00C25A74"/>
    <w:rsid w:val="00C32E54"/>
    <w:rsid w:val="00C33A2D"/>
    <w:rsid w:val="00C343B8"/>
    <w:rsid w:val="00C3579F"/>
    <w:rsid w:val="00C35B49"/>
    <w:rsid w:val="00C3608D"/>
    <w:rsid w:val="00C366FF"/>
    <w:rsid w:val="00C368AE"/>
    <w:rsid w:val="00C3738E"/>
    <w:rsid w:val="00C40BC9"/>
    <w:rsid w:val="00C41A91"/>
    <w:rsid w:val="00C44FBD"/>
    <w:rsid w:val="00C45A05"/>
    <w:rsid w:val="00C47EAE"/>
    <w:rsid w:val="00C50917"/>
    <w:rsid w:val="00C51231"/>
    <w:rsid w:val="00C5213A"/>
    <w:rsid w:val="00C5424B"/>
    <w:rsid w:val="00C56BFE"/>
    <w:rsid w:val="00C60BE4"/>
    <w:rsid w:val="00C618C3"/>
    <w:rsid w:val="00C61C40"/>
    <w:rsid w:val="00C64D46"/>
    <w:rsid w:val="00C7150B"/>
    <w:rsid w:val="00C72D72"/>
    <w:rsid w:val="00C74D40"/>
    <w:rsid w:val="00C76D1C"/>
    <w:rsid w:val="00C8010B"/>
    <w:rsid w:val="00C80203"/>
    <w:rsid w:val="00C8034F"/>
    <w:rsid w:val="00C81C7E"/>
    <w:rsid w:val="00C84B73"/>
    <w:rsid w:val="00C85F86"/>
    <w:rsid w:val="00C875FA"/>
    <w:rsid w:val="00C90459"/>
    <w:rsid w:val="00C90A93"/>
    <w:rsid w:val="00C915BB"/>
    <w:rsid w:val="00C91DC2"/>
    <w:rsid w:val="00C9718D"/>
    <w:rsid w:val="00C972BC"/>
    <w:rsid w:val="00CA0CAF"/>
    <w:rsid w:val="00CA1070"/>
    <w:rsid w:val="00CA4D2C"/>
    <w:rsid w:val="00CA709A"/>
    <w:rsid w:val="00CB2D8E"/>
    <w:rsid w:val="00CB4118"/>
    <w:rsid w:val="00CB4251"/>
    <w:rsid w:val="00CB6AF7"/>
    <w:rsid w:val="00CB7546"/>
    <w:rsid w:val="00CC125C"/>
    <w:rsid w:val="00CC1FAB"/>
    <w:rsid w:val="00CC3D65"/>
    <w:rsid w:val="00CC5EC5"/>
    <w:rsid w:val="00CD0A9E"/>
    <w:rsid w:val="00CD1649"/>
    <w:rsid w:val="00CD2F35"/>
    <w:rsid w:val="00CD3A13"/>
    <w:rsid w:val="00CD43A9"/>
    <w:rsid w:val="00CD5A97"/>
    <w:rsid w:val="00CD70BC"/>
    <w:rsid w:val="00CD72E7"/>
    <w:rsid w:val="00CE0D73"/>
    <w:rsid w:val="00CE35C5"/>
    <w:rsid w:val="00CE7C57"/>
    <w:rsid w:val="00CF0CB7"/>
    <w:rsid w:val="00CF1358"/>
    <w:rsid w:val="00CF256A"/>
    <w:rsid w:val="00CF3AE6"/>
    <w:rsid w:val="00CF61EA"/>
    <w:rsid w:val="00CF6598"/>
    <w:rsid w:val="00CF6640"/>
    <w:rsid w:val="00CF7E38"/>
    <w:rsid w:val="00D01B7A"/>
    <w:rsid w:val="00D04C83"/>
    <w:rsid w:val="00D0762E"/>
    <w:rsid w:val="00D10B13"/>
    <w:rsid w:val="00D110C3"/>
    <w:rsid w:val="00D151EF"/>
    <w:rsid w:val="00D2005A"/>
    <w:rsid w:val="00D22995"/>
    <w:rsid w:val="00D23734"/>
    <w:rsid w:val="00D24017"/>
    <w:rsid w:val="00D325F7"/>
    <w:rsid w:val="00D36073"/>
    <w:rsid w:val="00D379D7"/>
    <w:rsid w:val="00D37DC1"/>
    <w:rsid w:val="00D40043"/>
    <w:rsid w:val="00D417AD"/>
    <w:rsid w:val="00D41FAA"/>
    <w:rsid w:val="00D42A36"/>
    <w:rsid w:val="00D42F7F"/>
    <w:rsid w:val="00D43B79"/>
    <w:rsid w:val="00D449D1"/>
    <w:rsid w:val="00D46252"/>
    <w:rsid w:val="00D46A03"/>
    <w:rsid w:val="00D46D11"/>
    <w:rsid w:val="00D54FDA"/>
    <w:rsid w:val="00D55579"/>
    <w:rsid w:val="00D56BDF"/>
    <w:rsid w:val="00D619AA"/>
    <w:rsid w:val="00D62241"/>
    <w:rsid w:val="00D67C88"/>
    <w:rsid w:val="00D71562"/>
    <w:rsid w:val="00D74629"/>
    <w:rsid w:val="00D754B4"/>
    <w:rsid w:val="00D775C9"/>
    <w:rsid w:val="00D775EB"/>
    <w:rsid w:val="00D82466"/>
    <w:rsid w:val="00D847F9"/>
    <w:rsid w:val="00D84E4B"/>
    <w:rsid w:val="00D85F43"/>
    <w:rsid w:val="00D90273"/>
    <w:rsid w:val="00D91D6D"/>
    <w:rsid w:val="00D9399E"/>
    <w:rsid w:val="00D93F54"/>
    <w:rsid w:val="00D94A4E"/>
    <w:rsid w:val="00D97D49"/>
    <w:rsid w:val="00DA0F18"/>
    <w:rsid w:val="00DA3165"/>
    <w:rsid w:val="00DA44F5"/>
    <w:rsid w:val="00DA6731"/>
    <w:rsid w:val="00DA67B1"/>
    <w:rsid w:val="00DA769A"/>
    <w:rsid w:val="00DB106F"/>
    <w:rsid w:val="00DB3560"/>
    <w:rsid w:val="00DB4732"/>
    <w:rsid w:val="00DB552F"/>
    <w:rsid w:val="00DC1956"/>
    <w:rsid w:val="00DC6418"/>
    <w:rsid w:val="00DC79C7"/>
    <w:rsid w:val="00DD1A1D"/>
    <w:rsid w:val="00DD22DC"/>
    <w:rsid w:val="00DD2948"/>
    <w:rsid w:val="00DE241C"/>
    <w:rsid w:val="00DE35BF"/>
    <w:rsid w:val="00DE5DD9"/>
    <w:rsid w:val="00DE5EA9"/>
    <w:rsid w:val="00DE7E7F"/>
    <w:rsid w:val="00DE7E8B"/>
    <w:rsid w:val="00DF02F4"/>
    <w:rsid w:val="00DF094E"/>
    <w:rsid w:val="00DF23DD"/>
    <w:rsid w:val="00DF4528"/>
    <w:rsid w:val="00DF5F8E"/>
    <w:rsid w:val="00DF69D1"/>
    <w:rsid w:val="00DF7322"/>
    <w:rsid w:val="00DF7B65"/>
    <w:rsid w:val="00E0439E"/>
    <w:rsid w:val="00E0504C"/>
    <w:rsid w:val="00E07926"/>
    <w:rsid w:val="00E13273"/>
    <w:rsid w:val="00E13E37"/>
    <w:rsid w:val="00E148B5"/>
    <w:rsid w:val="00E15B5E"/>
    <w:rsid w:val="00E222B5"/>
    <w:rsid w:val="00E233CB"/>
    <w:rsid w:val="00E23BC3"/>
    <w:rsid w:val="00E25001"/>
    <w:rsid w:val="00E264D1"/>
    <w:rsid w:val="00E264F2"/>
    <w:rsid w:val="00E26817"/>
    <w:rsid w:val="00E26E3C"/>
    <w:rsid w:val="00E276C4"/>
    <w:rsid w:val="00E3015F"/>
    <w:rsid w:val="00E30171"/>
    <w:rsid w:val="00E30639"/>
    <w:rsid w:val="00E30E4F"/>
    <w:rsid w:val="00E328A7"/>
    <w:rsid w:val="00E347B7"/>
    <w:rsid w:val="00E44CAE"/>
    <w:rsid w:val="00E47194"/>
    <w:rsid w:val="00E507E2"/>
    <w:rsid w:val="00E54F8C"/>
    <w:rsid w:val="00E57D07"/>
    <w:rsid w:val="00E60BF5"/>
    <w:rsid w:val="00E60F6C"/>
    <w:rsid w:val="00E64135"/>
    <w:rsid w:val="00E67893"/>
    <w:rsid w:val="00E70276"/>
    <w:rsid w:val="00E71FF8"/>
    <w:rsid w:val="00E7425C"/>
    <w:rsid w:val="00E74BED"/>
    <w:rsid w:val="00E77806"/>
    <w:rsid w:val="00E806D0"/>
    <w:rsid w:val="00E847BA"/>
    <w:rsid w:val="00E85102"/>
    <w:rsid w:val="00E852CC"/>
    <w:rsid w:val="00E85360"/>
    <w:rsid w:val="00E867CD"/>
    <w:rsid w:val="00E937DD"/>
    <w:rsid w:val="00E939D5"/>
    <w:rsid w:val="00E97077"/>
    <w:rsid w:val="00EA6A2E"/>
    <w:rsid w:val="00EB09DE"/>
    <w:rsid w:val="00EB1DFE"/>
    <w:rsid w:val="00EB2AE0"/>
    <w:rsid w:val="00EB3E94"/>
    <w:rsid w:val="00EB5D70"/>
    <w:rsid w:val="00EB78F0"/>
    <w:rsid w:val="00EC3287"/>
    <w:rsid w:val="00ED0580"/>
    <w:rsid w:val="00ED069A"/>
    <w:rsid w:val="00ED19E7"/>
    <w:rsid w:val="00ED1F78"/>
    <w:rsid w:val="00ED3689"/>
    <w:rsid w:val="00ED4471"/>
    <w:rsid w:val="00ED46E9"/>
    <w:rsid w:val="00ED499F"/>
    <w:rsid w:val="00EE35AC"/>
    <w:rsid w:val="00EE7486"/>
    <w:rsid w:val="00EF01F6"/>
    <w:rsid w:val="00EF0E4D"/>
    <w:rsid w:val="00EF14D4"/>
    <w:rsid w:val="00EF201A"/>
    <w:rsid w:val="00EF21EC"/>
    <w:rsid w:val="00EF2214"/>
    <w:rsid w:val="00EF485D"/>
    <w:rsid w:val="00EF7B94"/>
    <w:rsid w:val="00F00CB1"/>
    <w:rsid w:val="00F00FA0"/>
    <w:rsid w:val="00F01C57"/>
    <w:rsid w:val="00F02259"/>
    <w:rsid w:val="00F022CD"/>
    <w:rsid w:val="00F0626E"/>
    <w:rsid w:val="00F06BC9"/>
    <w:rsid w:val="00F06E1B"/>
    <w:rsid w:val="00F10C2D"/>
    <w:rsid w:val="00F121C4"/>
    <w:rsid w:val="00F12406"/>
    <w:rsid w:val="00F13D21"/>
    <w:rsid w:val="00F143E5"/>
    <w:rsid w:val="00F1592A"/>
    <w:rsid w:val="00F15D90"/>
    <w:rsid w:val="00F15DA4"/>
    <w:rsid w:val="00F20B8F"/>
    <w:rsid w:val="00F22606"/>
    <w:rsid w:val="00F24D3E"/>
    <w:rsid w:val="00F27EC9"/>
    <w:rsid w:val="00F351A7"/>
    <w:rsid w:val="00F351BA"/>
    <w:rsid w:val="00F36DA5"/>
    <w:rsid w:val="00F54A8E"/>
    <w:rsid w:val="00F556FF"/>
    <w:rsid w:val="00F55D46"/>
    <w:rsid w:val="00F577CC"/>
    <w:rsid w:val="00F605EA"/>
    <w:rsid w:val="00F61BE1"/>
    <w:rsid w:val="00F6314A"/>
    <w:rsid w:val="00F631B6"/>
    <w:rsid w:val="00F66D55"/>
    <w:rsid w:val="00F6772D"/>
    <w:rsid w:val="00F67D8C"/>
    <w:rsid w:val="00F70ABB"/>
    <w:rsid w:val="00F715DD"/>
    <w:rsid w:val="00F71AAB"/>
    <w:rsid w:val="00F805C8"/>
    <w:rsid w:val="00F818F5"/>
    <w:rsid w:val="00F819DA"/>
    <w:rsid w:val="00F864D1"/>
    <w:rsid w:val="00F9195C"/>
    <w:rsid w:val="00F92184"/>
    <w:rsid w:val="00F925F0"/>
    <w:rsid w:val="00F9261A"/>
    <w:rsid w:val="00F92886"/>
    <w:rsid w:val="00F954F4"/>
    <w:rsid w:val="00F96344"/>
    <w:rsid w:val="00F963ED"/>
    <w:rsid w:val="00F97259"/>
    <w:rsid w:val="00F976BF"/>
    <w:rsid w:val="00FA0BD1"/>
    <w:rsid w:val="00FA1ADD"/>
    <w:rsid w:val="00FA1F54"/>
    <w:rsid w:val="00FA22BA"/>
    <w:rsid w:val="00FA3FDB"/>
    <w:rsid w:val="00FA4083"/>
    <w:rsid w:val="00FA4112"/>
    <w:rsid w:val="00FA4BF4"/>
    <w:rsid w:val="00FA4D1F"/>
    <w:rsid w:val="00FA5CF5"/>
    <w:rsid w:val="00FA5FDD"/>
    <w:rsid w:val="00FA6D9E"/>
    <w:rsid w:val="00FA7004"/>
    <w:rsid w:val="00FB06F3"/>
    <w:rsid w:val="00FB095B"/>
    <w:rsid w:val="00FB1B59"/>
    <w:rsid w:val="00FB5A8C"/>
    <w:rsid w:val="00FB7178"/>
    <w:rsid w:val="00FC4800"/>
    <w:rsid w:val="00FC48FE"/>
    <w:rsid w:val="00FC5333"/>
    <w:rsid w:val="00FC7730"/>
    <w:rsid w:val="00FC7C16"/>
    <w:rsid w:val="00FD1F11"/>
    <w:rsid w:val="00FD42A8"/>
    <w:rsid w:val="00FD7E1A"/>
    <w:rsid w:val="00FE3F4A"/>
    <w:rsid w:val="00FE7C88"/>
    <w:rsid w:val="00FF0574"/>
    <w:rsid w:val="00FF0CF6"/>
    <w:rsid w:val="00FF11BD"/>
    <w:rsid w:val="00FF4919"/>
    <w:rsid w:val="00FF75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A1C"/>
    <w:rPr>
      <w:sz w:val="24"/>
      <w:szCs w:val="24"/>
    </w:rPr>
  </w:style>
  <w:style w:type="paragraph" w:styleId="Heading2">
    <w:name w:val="heading 2"/>
    <w:basedOn w:val="Normal"/>
    <w:next w:val="Normal"/>
    <w:qFormat/>
    <w:rsid w:val="009C2A57"/>
    <w:pPr>
      <w:keepNext/>
      <w:jc w:val="center"/>
      <w:outlineLvl w:val="1"/>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A911EB"/>
    <w:pPr>
      <w:spacing w:before="100" w:beforeAutospacing="1" w:after="100" w:afterAutospacing="1"/>
    </w:pPr>
  </w:style>
  <w:style w:type="table" w:styleId="TableGrid">
    <w:name w:val="Table Grid"/>
    <w:basedOn w:val="TableNormal"/>
    <w:rsid w:val="00A91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D186A"/>
    <w:rPr>
      <w:rFonts w:ascii="Tahoma" w:hAnsi="Tahoma" w:cs="Tahoma"/>
      <w:sz w:val="16"/>
      <w:szCs w:val="16"/>
    </w:rPr>
  </w:style>
  <w:style w:type="paragraph" w:styleId="FootnoteText">
    <w:name w:val="footnote text"/>
    <w:basedOn w:val="Normal"/>
    <w:semiHidden/>
    <w:rsid w:val="001D7BA8"/>
    <w:rPr>
      <w:sz w:val="20"/>
      <w:szCs w:val="20"/>
    </w:rPr>
  </w:style>
  <w:style w:type="character" w:styleId="FootnoteReference">
    <w:name w:val="footnote reference"/>
    <w:semiHidden/>
    <w:rsid w:val="001D7BA8"/>
    <w:rPr>
      <w:vertAlign w:val="superscript"/>
    </w:rPr>
  </w:style>
  <w:style w:type="paragraph" w:styleId="Header">
    <w:name w:val="header"/>
    <w:basedOn w:val="Normal"/>
    <w:rsid w:val="001D7BA8"/>
    <w:pPr>
      <w:tabs>
        <w:tab w:val="center" w:pos="4153"/>
        <w:tab w:val="right" w:pos="8306"/>
      </w:tabs>
    </w:pPr>
  </w:style>
  <w:style w:type="paragraph" w:styleId="Footer">
    <w:name w:val="footer"/>
    <w:basedOn w:val="Normal"/>
    <w:rsid w:val="001D7BA8"/>
    <w:pPr>
      <w:tabs>
        <w:tab w:val="center" w:pos="4153"/>
        <w:tab w:val="right" w:pos="8306"/>
      </w:tabs>
    </w:pPr>
  </w:style>
  <w:style w:type="character" w:styleId="Hyperlink">
    <w:name w:val="Hyperlink"/>
    <w:rsid w:val="00013219"/>
    <w:rPr>
      <w:color w:val="0000FF"/>
      <w:u w:val="single"/>
    </w:rPr>
  </w:style>
  <w:style w:type="character" w:styleId="PageNumber">
    <w:name w:val="page number"/>
    <w:basedOn w:val="DefaultParagraphFont"/>
    <w:rsid w:val="00D90273"/>
  </w:style>
  <w:style w:type="paragraph" w:customStyle="1" w:styleId="naisf">
    <w:name w:val="naisf"/>
    <w:basedOn w:val="Normal"/>
    <w:rsid w:val="009C2A57"/>
    <w:pPr>
      <w:spacing w:before="75" w:after="75"/>
      <w:ind w:firstLine="375"/>
      <w:jc w:val="both"/>
    </w:pPr>
  </w:style>
  <w:style w:type="paragraph" w:styleId="NormalWeb">
    <w:name w:val="Normal (Web)"/>
    <w:basedOn w:val="Normal"/>
    <w:rsid w:val="009C2A57"/>
    <w:pPr>
      <w:spacing w:before="100" w:beforeAutospacing="1" w:after="100" w:afterAutospacing="1"/>
    </w:pPr>
  </w:style>
  <w:style w:type="paragraph" w:customStyle="1" w:styleId="naisc">
    <w:name w:val="naisc"/>
    <w:basedOn w:val="Normal"/>
    <w:rsid w:val="009C2A57"/>
    <w:pPr>
      <w:spacing w:before="450" w:after="300"/>
      <w:jc w:val="center"/>
    </w:pPr>
    <w:rPr>
      <w:sz w:val="26"/>
      <w:szCs w:val="26"/>
    </w:rPr>
  </w:style>
  <w:style w:type="paragraph" w:customStyle="1" w:styleId="NormalWeb8">
    <w:name w:val="Normal (Web)8"/>
    <w:basedOn w:val="Normal"/>
    <w:rsid w:val="00CA4D2C"/>
    <w:pPr>
      <w:spacing w:before="75" w:after="75"/>
      <w:ind w:left="225" w:right="225"/>
    </w:pPr>
    <w:rPr>
      <w:sz w:val="22"/>
      <w:szCs w:val="22"/>
    </w:rPr>
  </w:style>
  <w:style w:type="paragraph" w:customStyle="1" w:styleId="naislab">
    <w:name w:val="naislab"/>
    <w:basedOn w:val="Normal"/>
    <w:rsid w:val="00CA4D2C"/>
    <w:pPr>
      <w:spacing w:before="75" w:after="75"/>
      <w:jc w:val="right"/>
    </w:pPr>
  </w:style>
  <w:style w:type="character" w:styleId="CommentReference">
    <w:name w:val="annotation reference"/>
    <w:semiHidden/>
    <w:rsid w:val="001230EB"/>
    <w:rPr>
      <w:sz w:val="16"/>
      <w:szCs w:val="16"/>
    </w:rPr>
  </w:style>
  <w:style w:type="paragraph" w:styleId="CommentText">
    <w:name w:val="annotation text"/>
    <w:basedOn w:val="Normal"/>
    <w:link w:val="CommentTextChar"/>
    <w:semiHidden/>
    <w:rsid w:val="001230EB"/>
    <w:rPr>
      <w:sz w:val="20"/>
      <w:szCs w:val="20"/>
    </w:rPr>
  </w:style>
  <w:style w:type="paragraph" w:styleId="CommentSubject">
    <w:name w:val="annotation subject"/>
    <w:basedOn w:val="CommentText"/>
    <w:next w:val="CommentText"/>
    <w:semiHidden/>
    <w:rsid w:val="001230EB"/>
    <w:rPr>
      <w:b/>
      <w:bCs/>
    </w:rPr>
  </w:style>
  <w:style w:type="paragraph" w:styleId="ListParagraph">
    <w:name w:val="List Paragraph"/>
    <w:basedOn w:val="Normal"/>
    <w:uiPriority w:val="34"/>
    <w:qFormat/>
    <w:rsid w:val="00A67525"/>
    <w:pPr>
      <w:ind w:left="720"/>
      <w:contextualSpacing/>
    </w:pPr>
    <w:rPr>
      <w:rFonts w:eastAsia="Calibri"/>
      <w:sz w:val="28"/>
      <w:szCs w:val="20"/>
    </w:rPr>
  </w:style>
  <w:style w:type="paragraph" w:styleId="BodyText2">
    <w:name w:val="Body Text 2"/>
    <w:basedOn w:val="Normal"/>
    <w:rsid w:val="00273A27"/>
    <w:pPr>
      <w:jc w:val="both"/>
    </w:pPr>
    <w:rPr>
      <w:sz w:val="28"/>
      <w:szCs w:val="20"/>
      <w:lang w:eastAsia="en-US"/>
    </w:rPr>
  </w:style>
  <w:style w:type="paragraph" w:styleId="DocumentMap">
    <w:name w:val="Document Map"/>
    <w:basedOn w:val="Normal"/>
    <w:semiHidden/>
    <w:rsid w:val="0031742B"/>
    <w:pPr>
      <w:shd w:val="clear" w:color="auto" w:fill="000080"/>
    </w:pPr>
    <w:rPr>
      <w:rFonts w:ascii="Tahoma" w:hAnsi="Tahoma" w:cs="Tahoma"/>
      <w:sz w:val="20"/>
      <w:szCs w:val="20"/>
    </w:rPr>
  </w:style>
  <w:style w:type="paragraph" w:styleId="BodyText">
    <w:name w:val="Body Text"/>
    <w:basedOn w:val="Normal"/>
    <w:rsid w:val="00E47194"/>
    <w:pPr>
      <w:spacing w:after="120"/>
    </w:pPr>
  </w:style>
  <w:style w:type="paragraph" w:styleId="BodyTextIndent3">
    <w:name w:val="Body Text Indent 3"/>
    <w:basedOn w:val="Normal"/>
    <w:rsid w:val="0082475D"/>
    <w:pPr>
      <w:spacing w:after="120"/>
      <w:ind w:left="283"/>
    </w:pPr>
    <w:rPr>
      <w:sz w:val="16"/>
      <w:szCs w:val="16"/>
    </w:rPr>
  </w:style>
  <w:style w:type="paragraph" w:customStyle="1" w:styleId="naisnod">
    <w:name w:val="naisnod"/>
    <w:basedOn w:val="Normal"/>
    <w:rsid w:val="006E0B3D"/>
    <w:pPr>
      <w:spacing w:before="150" w:after="150"/>
      <w:jc w:val="center"/>
    </w:pPr>
    <w:rPr>
      <w:b/>
      <w:bCs/>
    </w:rPr>
  </w:style>
  <w:style w:type="paragraph" w:styleId="BodyTextIndent2">
    <w:name w:val="Body Text Indent 2"/>
    <w:basedOn w:val="Normal"/>
    <w:link w:val="BodyTextIndent2Char"/>
    <w:rsid w:val="00436F6F"/>
    <w:pPr>
      <w:spacing w:after="120" w:line="480" w:lineRule="auto"/>
      <w:ind w:left="283"/>
    </w:pPr>
    <w:rPr>
      <w:lang w:val="x-none" w:eastAsia="x-none"/>
    </w:rPr>
  </w:style>
  <w:style w:type="character" w:customStyle="1" w:styleId="BodyTextIndent2Char">
    <w:name w:val="Body Text Indent 2 Char"/>
    <w:link w:val="BodyTextIndent2"/>
    <w:rsid w:val="00436F6F"/>
    <w:rPr>
      <w:sz w:val="24"/>
      <w:szCs w:val="24"/>
    </w:rPr>
  </w:style>
  <w:style w:type="character" w:customStyle="1" w:styleId="CommentTextChar">
    <w:name w:val="Comment Text Char"/>
    <w:link w:val="CommentText"/>
    <w:semiHidden/>
    <w:rsid w:val="00DF7B65"/>
    <w:rPr>
      <w:lang w:val="lv-LV" w:eastAsia="lv-LV"/>
    </w:rPr>
  </w:style>
  <w:style w:type="paragraph" w:styleId="Revision">
    <w:name w:val="Revision"/>
    <w:hidden/>
    <w:uiPriority w:val="99"/>
    <w:semiHidden/>
    <w:rsid w:val="00024629"/>
    <w:rPr>
      <w:sz w:val="24"/>
      <w:szCs w:val="24"/>
    </w:rPr>
  </w:style>
  <w:style w:type="paragraph" w:customStyle="1" w:styleId="Stilsparskats">
    <w:name w:val="Stils_parskats"/>
    <w:basedOn w:val="Normal"/>
    <w:autoRedefine/>
    <w:qFormat/>
    <w:rsid w:val="00C40BC9"/>
    <w:pPr>
      <w:spacing w:after="120"/>
      <w:ind w:firstLine="564"/>
      <w:jc w:val="both"/>
    </w:pPr>
    <w:rPr>
      <w:sz w:val="26"/>
      <w:szCs w:val="26"/>
    </w:rPr>
  </w:style>
  <w:style w:type="paragraph" w:customStyle="1" w:styleId="tv2132">
    <w:name w:val="tv2132"/>
    <w:basedOn w:val="Normal"/>
    <w:rsid w:val="002F453C"/>
    <w:pPr>
      <w:spacing w:line="360" w:lineRule="auto"/>
      <w:ind w:firstLine="300"/>
    </w:pPr>
    <w:rPr>
      <w:color w:val="414142"/>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A1C"/>
    <w:rPr>
      <w:sz w:val="24"/>
      <w:szCs w:val="24"/>
    </w:rPr>
  </w:style>
  <w:style w:type="paragraph" w:styleId="Heading2">
    <w:name w:val="heading 2"/>
    <w:basedOn w:val="Normal"/>
    <w:next w:val="Normal"/>
    <w:qFormat/>
    <w:rsid w:val="009C2A57"/>
    <w:pPr>
      <w:keepNext/>
      <w:jc w:val="center"/>
      <w:outlineLvl w:val="1"/>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A911EB"/>
    <w:pPr>
      <w:spacing w:before="100" w:beforeAutospacing="1" w:after="100" w:afterAutospacing="1"/>
    </w:pPr>
  </w:style>
  <w:style w:type="table" w:styleId="TableGrid">
    <w:name w:val="Table Grid"/>
    <w:basedOn w:val="TableNormal"/>
    <w:rsid w:val="00A91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D186A"/>
    <w:rPr>
      <w:rFonts w:ascii="Tahoma" w:hAnsi="Tahoma" w:cs="Tahoma"/>
      <w:sz w:val="16"/>
      <w:szCs w:val="16"/>
    </w:rPr>
  </w:style>
  <w:style w:type="paragraph" w:styleId="FootnoteText">
    <w:name w:val="footnote text"/>
    <w:basedOn w:val="Normal"/>
    <w:semiHidden/>
    <w:rsid w:val="001D7BA8"/>
    <w:rPr>
      <w:sz w:val="20"/>
      <w:szCs w:val="20"/>
    </w:rPr>
  </w:style>
  <w:style w:type="character" w:styleId="FootnoteReference">
    <w:name w:val="footnote reference"/>
    <w:semiHidden/>
    <w:rsid w:val="001D7BA8"/>
    <w:rPr>
      <w:vertAlign w:val="superscript"/>
    </w:rPr>
  </w:style>
  <w:style w:type="paragraph" w:styleId="Header">
    <w:name w:val="header"/>
    <w:basedOn w:val="Normal"/>
    <w:rsid w:val="001D7BA8"/>
    <w:pPr>
      <w:tabs>
        <w:tab w:val="center" w:pos="4153"/>
        <w:tab w:val="right" w:pos="8306"/>
      </w:tabs>
    </w:pPr>
  </w:style>
  <w:style w:type="paragraph" w:styleId="Footer">
    <w:name w:val="footer"/>
    <w:basedOn w:val="Normal"/>
    <w:rsid w:val="001D7BA8"/>
    <w:pPr>
      <w:tabs>
        <w:tab w:val="center" w:pos="4153"/>
        <w:tab w:val="right" w:pos="8306"/>
      </w:tabs>
    </w:pPr>
  </w:style>
  <w:style w:type="character" w:styleId="Hyperlink">
    <w:name w:val="Hyperlink"/>
    <w:rsid w:val="00013219"/>
    <w:rPr>
      <w:color w:val="0000FF"/>
      <w:u w:val="single"/>
    </w:rPr>
  </w:style>
  <w:style w:type="character" w:styleId="PageNumber">
    <w:name w:val="page number"/>
    <w:basedOn w:val="DefaultParagraphFont"/>
    <w:rsid w:val="00D90273"/>
  </w:style>
  <w:style w:type="paragraph" w:customStyle="1" w:styleId="naisf">
    <w:name w:val="naisf"/>
    <w:basedOn w:val="Normal"/>
    <w:rsid w:val="009C2A57"/>
    <w:pPr>
      <w:spacing w:before="75" w:after="75"/>
      <w:ind w:firstLine="375"/>
      <w:jc w:val="both"/>
    </w:pPr>
  </w:style>
  <w:style w:type="paragraph" w:styleId="NormalWeb">
    <w:name w:val="Normal (Web)"/>
    <w:basedOn w:val="Normal"/>
    <w:rsid w:val="009C2A57"/>
    <w:pPr>
      <w:spacing w:before="100" w:beforeAutospacing="1" w:after="100" w:afterAutospacing="1"/>
    </w:pPr>
  </w:style>
  <w:style w:type="paragraph" w:customStyle="1" w:styleId="naisc">
    <w:name w:val="naisc"/>
    <w:basedOn w:val="Normal"/>
    <w:rsid w:val="009C2A57"/>
    <w:pPr>
      <w:spacing w:before="450" w:after="300"/>
      <w:jc w:val="center"/>
    </w:pPr>
    <w:rPr>
      <w:sz w:val="26"/>
      <w:szCs w:val="26"/>
    </w:rPr>
  </w:style>
  <w:style w:type="paragraph" w:customStyle="1" w:styleId="NormalWeb8">
    <w:name w:val="Normal (Web)8"/>
    <w:basedOn w:val="Normal"/>
    <w:rsid w:val="00CA4D2C"/>
    <w:pPr>
      <w:spacing w:before="75" w:after="75"/>
      <w:ind w:left="225" w:right="225"/>
    </w:pPr>
    <w:rPr>
      <w:sz w:val="22"/>
      <w:szCs w:val="22"/>
    </w:rPr>
  </w:style>
  <w:style w:type="paragraph" w:customStyle="1" w:styleId="naislab">
    <w:name w:val="naislab"/>
    <w:basedOn w:val="Normal"/>
    <w:rsid w:val="00CA4D2C"/>
    <w:pPr>
      <w:spacing w:before="75" w:after="75"/>
      <w:jc w:val="right"/>
    </w:pPr>
  </w:style>
  <w:style w:type="character" w:styleId="CommentReference">
    <w:name w:val="annotation reference"/>
    <w:semiHidden/>
    <w:rsid w:val="001230EB"/>
    <w:rPr>
      <w:sz w:val="16"/>
      <w:szCs w:val="16"/>
    </w:rPr>
  </w:style>
  <w:style w:type="paragraph" w:styleId="CommentText">
    <w:name w:val="annotation text"/>
    <w:basedOn w:val="Normal"/>
    <w:link w:val="CommentTextChar"/>
    <w:semiHidden/>
    <w:rsid w:val="001230EB"/>
    <w:rPr>
      <w:sz w:val="20"/>
      <w:szCs w:val="20"/>
    </w:rPr>
  </w:style>
  <w:style w:type="paragraph" w:styleId="CommentSubject">
    <w:name w:val="annotation subject"/>
    <w:basedOn w:val="CommentText"/>
    <w:next w:val="CommentText"/>
    <w:semiHidden/>
    <w:rsid w:val="001230EB"/>
    <w:rPr>
      <w:b/>
      <w:bCs/>
    </w:rPr>
  </w:style>
  <w:style w:type="paragraph" w:styleId="ListParagraph">
    <w:name w:val="List Paragraph"/>
    <w:basedOn w:val="Normal"/>
    <w:uiPriority w:val="34"/>
    <w:qFormat/>
    <w:rsid w:val="00A67525"/>
    <w:pPr>
      <w:ind w:left="720"/>
      <w:contextualSpacing/>
    </w:pPr>
    <w:rPr>
      <w:rFonts w:eastAsia="Calibri"/>
      <w:sz w:val="28"/>
      <w:szCs w:val="20"/>
    </w:rPr>
  </w:style>
  <w:style w:type="paragraph" w:styleId="BodyText2">
    <w:name w:val="Body Text 2"/>
    <w:basedOn w:val="Normal"/>
    <w:rsid w:val="00273A27"/>
    <w:pPr>
      <w:jc w:val="both"/>
    </w:pPr>
    <w:rPr>
      <w:sz w:val="28"/>
      <w:szCs w:val="20"/>
      <w:lang w:eastAsia="en-US"/>
    </w:rPr>
  </w:style>
  <w:style w:type="paragraph" w:styleId="DocumentMap">
    <w:name w:val="Document Map"/>
    <w:basedOn w:val="Normal"/>
    <w:semiHidden/>
    <w:rsid w:val="0031742B"/>
    <w:pPr>
      <w:shd w:val="clear" w:color="auto" w:fill="000080"/>
    </w:pPr>
    <w:rPr>
      <w:rFonts w:ascii="Tahoma" w:hAnsi="Tahoma" w:cs="Tahoma"/>
      <w:sz w:val="20"/>
      <w:szCs w:val="20"/>
    </w:rPr>
  </w:style>
  <w:style w:type="paragraph" w:styleId="BodyText">
    <w:name w:val="Body Text"/>
    <w:basedOn w:val="Normal"/>
    <w:rsid w:val="00E47194"/>
    <w:pPr>
      <w:spacing w:after="120"/>
    </w:pPr>
  </w:style>
  <w:style w:type="paragraph" w:styleId="BodyTextIndent3">
    <w:name w:val="Body Text Indent 3"/>
    <w:basedOn w:val="Normal"/>
    <w:rsid w:val="0082475D"/>
    <w:pPr>
      <w:spacing w:after="120"/>
      <w:ind w:left="283"/>
    </w:pPr>
    <w:rPr>
      <w:sz w:val="16"/>
      <w:szCs w:val="16"/>
    </w:rPr>
  </w:style>
  <w:style w:type="paragraph" w:customStyle="1" w:styleId="naisnod">
    <w:name w:val="naisnod"/>
    <w:basedOn w:val="Normal"/>
    <w:rsid w:val="006E0B3D"/>
    <w:pPr>
      <w:spacing w:before="150" w:after="150"/>
      <w:jc w:val="center"/>
    </w:pPr>
    <w:rPr>
      <w:b/>
      <w:bCs/>
    </w:rPr>
  </w:style>
  <w:style w:type="paragraph" w:styleId="BodyTextIndent2">
    <w:name w:val="Body Text Indent 2"/>
    <w:basedOn w:val="Normal"/>
    <w:link w:val="BodyTextIndent2Char"/>
    <w:rsid w:val="00436F6F"/>
    <w:pPr>
      <w:spacing w:after="120" w:line="480" w:lineRule="auto"/>
      <w:ind w:left="283"/>
    </w:pPr>
    <w:rPr>
      <w:lang w:val="x-none" w:eastAsia="x-none"/>
    </w:rPr>
  </w:style>
  <w:style w:type="character" w:customStyle="1" w:styleId="BodyTextIndent2Char">
    <w:name w:val="Body Text Indent 2 Char"/>
    <w:link w:val="BodyTextIndent2"/>
    <w:rsid w:val="00436F6F"/>
    <w:rPr>
      <w:sz w:val="24"/>
      <w:szCs w:val="24"/>
    </w:rPr>
  </w:style>
  <w:style w:type="character" w:customStyle="1" w:styleId="CommentTextChar">
    <w:name w:val="Comment Text Char"/>
    <w:link w:val="CommentText"/>
    <w:semiHidden/>
    <w:rsid w:val="00DF7B65"/>
    <w:rPr>
      <w:lang w:val="lv-LV" w:eastAsia="lv-LV"/>
    </w:rPr>
  </w:style>
  <w:style w:type="paragraph" w:styleId="Revision">
    <w:name w:val="Revision"/>
    <w:hidden/>
    <w:uiPriority w:val="99"/>
    <w:semiHidden/>
    <w:rsid w:val="00024629"/>
    <w:rPr>
      <w:sz w:val="24"/>
      <w:szCs w:val="24"/>
    </w:rPr>
  </w:style>
  <w:style w:type="paragraph" w:customStyle="1" w:styleId="Stilsparskats">
    <w:name w:val="Stils_parskats"/>
    <w:basedOn w:val="Normal"/>
    <w:autoRedefine/>
    <w:qFormat/>
    <w:rsid w:val="00C40BC9"/>
    <w:pPr>
      <w:spacing w:after="120"/>
      <w:ind w:firstLine="564"/>
      <w:jc w:val="both"/>
    </w:pPr>
    <w:rPr>
      <w:sz w:val="26"/>
      <w:szCs w:val="26"/>
    </w:rPr>
  </w:style>
  <w:style w:type="paragraph" w:customStyle="1" w:styleId="tv2132">
    <w:name w:val="tv2132"/>
    <w:basedOn w:val="Normal"/>
    <w:rsid w:val="002F453C"/>
    <w:pPr>
      <w:spacing w:line="360" w:lineRule="auto"/>
      <w:ind w:firstLine="300"/>
    </w:pPr>
    <w:rPr>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59144">
      <w:bodyDiv w:val="1"/>
      <w:marLeft w:val="0"/>
      <w:marRight w:val="0"/>
      <w:marTop w:val="0"/>
      <w:marBottom w:val="0"/>
      <w:divBdr>
        <w:top w:val="none" w:sz="0" w:space="0" w:color="auto"/>
        <w:left w:val="none" w:sz="0" w:space="0" w:color="auto"/>
        <w:bottom w:val="none" w:sz="0" w:space="0" w:color="auto"/>
        <w:right w:val="none" w:sz="0" w:space="0" w:color="auto"/>
      </w:divBdr>
      <w:divsChild>
        <w:div w:id="715927986">
          <w:marLeft w:val="0"/>
          <w:marRight w:val="0"/>
          <w:marTop w:val="0"/>
          <w:marBottom w:val="0"/>
          <w:divBdr>
            <w:top w:val="none" w:sz="0" w:space="0" w:color="auto"/>
            <w:left w:val="none" w:sz="0" w:space="0" w:color="auto"/>
            <w:bottom w:val="none" w:sz="0" w:space="0" w:color="auto"/>
            <w:right w:val="none" w:sz="0" w:space="0" w:color="auto"/>
          </w:divBdr>
          <w:divsChild>
            <w:div w:id="39791234">
              <w:marLeft w:val="0"/>
              <w:marRight w:val="0"/>
              <w:marTop w:val="0"/>
              <w:marBottom w:val="0"/>
              <w:divBdr>
                <w:top w:val="none" w:sz="0" w:space="0" w:color="auto"/>
                <w:left w:val="none" w:sz="0" w:space="0" w:color="auto"/>
                <w:bottom w:val="none" w:sz="0" w:space="0" w:color="auto"/>
                <w:right w:val="none" w:sz="0" w:space="0" w:color="auto"/>
              </w:divBdr>
            </w:div>
            <w:div w:id="140784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838140">
      <w:bodyDiv w:val="1"/>
      <w:marLeft w:val="0"/>
      <w:marRight w:val="0"/>
      <w:marTop w:val="0"/>
      <w:marBottom w:val="0"/>
      <w:divBdr>
        <w:top w:val="none" w:sz="0" w:space="0" w:color="auto"/>
        <w:left w:val="none" w:sz="0" w:space="0" w:color="auto"/>
        <w:bottom w:val="none" w:sz="0" w:space="0" w:color="auto"/>
        <w:right w:val="none" w:sz="0" w:space="0" w:color="auto"/>
      </w:divBdr>
    </w:div>
    <w:div w:id="483008958">
      <w:bodyDiv w:val="1"/>
      <w:marLeft w:val="0"/>
      <w:marRight w:val="0"/>
      <w:marTop w:val="0"/>
      <w:marBottom w:val="0"/>
      <w:divBdr>
        <w:top w:val="none" w:sz="0" w:space="0" w:color="auto"/>
        <w:left w:val="none" w:sz="0" w:space="0" w:color="auto"/>
        <w:bottom w:val="none" w:sz="0" w:space="0" w:color="auto"/>
        <w:right w:val="none" w:sz="0" w:space="0" w:color="auto"/>
      </w:divBdr>
    </w:div>
    <w:div w:id="550389767">
      <w:bodyDiv w:val="1"/>
      <w:marLeft w:val="0"/>
      <w:marRight w:val="0"/>
      <w:marTop w:val="0"/>
      <w:marBottom w:val="0"/>
      <w:divBdr>
        <w:top w:val="none" w:sz="0" w:space="0" w:color="auto"/>
        <w:left w:val="none" w:sz="0" w:space="0" w:color="auto"/>
        <w:bottom w:val="none" w:sz="0" w:space="0" w:color="auto"/>
        <w:right w:val="none" w:sz="0" w:space="0" w:color="auto"/>
      </w:divBdr>
      <w:divsChild>
        <w:div w:id="1701778591">
          <w:marLeft w:val="0"/>
          <w:marRight w:val="0"/>
          <w:marTop w:val="0"/>
          <w:marBottom w:val="0"/>
          <w:divBdr>
            <w:top w:val="none" w:sz="0" w:space="0" w:color="auto"/>
            <w:left w:val="none" w:sz="0" w:space="0" w:color="auto"/>
            <w:bottom w:val="none" w:sz="0" w:space="0" w:color="auto"/>
            <w:right w:val="none" w:sz="0" w:space="0" w:color="auto"/>
          </w:divBdr>
          <w:divsChild>
            <w:div w:id="1737315066">
              <w:marLeft w:val="0"/>
              <w:marRight w:val="0"/>
              <w:marTop w:val="0"/>
              <w:marBottom w:val="0"/>
              <w:divBdr>
                <w:top w:val="none" w:sz="0" w:space="0" w:color="auto"/>
                <w:left w:val="none" w:sz="0" w:space="0" w:color="auto"/>
                <w:bottom w:val="none" w:sz="0" w:space="0" w:color="auto"/>
                <w:right w:val="none" w:sz="0" w:space="0" w:color="auto"/>
              </w:divBdr>
              <w:divsChild>
                <w:div w:id="1178036080">
                  <w:marLeft w:val="0"/>
                  <w:marRight w:val="0"/>
                  <w:marTop w:val="0"/>
                  <w:marBottom w:val="0"/>
                  <w:divBdr>
                    <w:top w:val="none" w:sz="0" w:space="0" w:color="auto"/>
                    <w:left w:val="none" w:sz="0" w:space="0" w:color="auto"/>
                    <w:bottom w:val="none" w:sz="0" w:space="0" w:color="auto"/>
                    <w:right w:val="none" w:sz="0" w:space="0" w:color="auto"/>
                  </w:divBdr>
                  <w:divsChild>
                    <w:div w:id="1725637663">
                      <w:marLeft w:val="0"/>
                      <w:marRight w:val="0"/>
                      <w:marTop w:val="0"/>
                      <w:marBottom w:val="0"/>
                      <w:divBdr>
                        <w:top w:val="none" w:sz="0" w:space="0" w:color="auto"/>
                        <w:left w:val="none" w:sz="0" w:space="0" w:color="auto"/>
                        <w:bottom w:val="none" w:sz="0" w:space="0" w:color="auto"/>
                        <w:right w:val="none" w:sz="0" w:space="0" w:color="auto"/>
                      </w:divBdr>
                      <w:divsChild>
                        <w:div w:id="1472868498">
                          <w:marLeft w:val="0"/>
                          <w:marRight w:val="0"/>
                          <w:marTop w:val="0"/>
                          <w:marBottom w:val="0"/>
                          <w:divBdr>
                            <w:top w:val="none" w:sz="0" w:space="0" w:color="auto"/>
                            <w:left w:val="none" w:sz="0" w:space="0" w:color="auto"/>
                            <w:bottom w:val="none" w:sz="0" w:space="0" w:color="auto"/>
                            <w:right w:val="none" w:sz="0" w:space="0" w:color="auto"/>
                          </w:divBdr>
                          <w:divsChild>
                            <w:div w:id="30659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092118">
      <w:bodyDiv w:val="1"/>
      <w:marLeft w:val="0"/>
      <w:marRight w:val="0"/>
      <w:marTop w:val="0"/>
      <w:marBottom w:val="0"/>
      <w:divBdr>
        <w:top w:val="none" w:sz="0" w:space="0" w:color="auto"/>
        <w:left w:val="none" w:sz="0" w:space="0" w:color="auto"/>
        <w:bottom w:val="none" w:sz="0" w:space="0" w:color="auto"/>
        <w:right w:val="none" w:sz="0" w:space="0" w:color="auto"/>
      </w:divBdr>
      <w:divsChild>
        <w:div w:id="2034111730">
          <w:marLeft w:val="0"/>
          <w:marRight w:val="0"/>
          <w:marTop w:val="0"/>
          <w:marBottom w:val="0"/>
          <w:divBdr>
            <w:top w:val="none" w:sz="0" w:space="0" w:color="auto"/>
            <w:left w:val="none" w:sz="0" w:space="0" w:color="auto"/>
            <w:bottom w:val="none" w:sz="0" w:space="0" w:color="auto"/>
            <w:right w:val="none" w:sz="0" w:space="0" w:color="auto"/>
          </w:divBdr>
          <w:divsChild>
            <w:div w:id="671682424">
              <w:marLeft w:val="0"/>
              <w:marRight w:val="0"/>
              <w:marTop w:val="0"/>
              <w:marBottom w:val="0"/>
              <w:divBdr>
                <w:top w:val="none" w:sz="0" w:space="0" w:color="auto"/>
                <w:left w:val="none" w:sz="0" w:space="0" w:color="auto"/>
                <w:bottom w:val="none" w:sz="0" w:space="0" w:color="auto"/>
                <w:right w:val="none" w:sz="0" w:space="0" w:color="auto"/>
              </w:divBdr>
              <w:divsChild>
                <w:div w:id="830025078">
                  <w:marLeft w:val="0"/>
                  <w:marRight w:val="0"/>
                  <w:marTop w:val="0"/>
                  <w:marBottom w:val="0"/>
                  <w:divBdr>
                    <w:top w:val="none" w:sz="0" w:space="0" w:color="auto"/>
                    <w:left w:val="none" w:sz="0" w:space="0" w:color="auto"/>
                    <w:bottom w:val="none" w:sz="0" w:space="0" w:color="auto"/>
                    <w:right w:val="none" w:sz="0" w:space="0" w:color="auto"/>
                  </w:divBdr>
                  <w:divsChild>
                    <w:div w:id="1756704843">
                      <w:marLeft w:val="0"/>
                      <w:marRight w:val="0"/>
                      <w:marTop w:val="0"/>
                      <w:marBottom w:val="0"/>
                      <w:divBdr>
                        <w:top w:val="none" w:sz="0" w:space="0" w:color="auto"/>
                        <w:left w:val="none" w:sz="0" w:space="0" w:color="auto"/>
                        <w:bottom w:val="none" w:sz="0" w:space="0" w:color="auto"/>
                        <w:right w:val="none" w:sz="0" w:space="0" w:color="auto"/>
                      </w:divBdr>
                      <w:divsChild>
                        <w:div w:id="874930729">
                          <w:marLeft w:val="0"/>
                          <w:marRight w:val="0"/>
                          <w:marTop w:val="0"/>
                          <w:marBottom w:val="0"/>
                          <w:divBdr>
                            <w:top w:val="none" w:sz="0" w:space="0" w:color="auto"/>
                            <w:left w:val="none" w:sz="0" w:space="0" w:color="auto"/>
                            <w:bottom w:val="none" w:sz="0" w:space="0" w:color="auto"/>
                            <w:right w:val="none" w:sz="0" w:space="0" w:color="auto"/>
                          </w:divBdr>
                          <w:divsChild>
                            <w:div w:id="1307010303">
                              <w:marLeft w:val="0"/>
                              <w:marRight w:val="0"/>
                              <w:marTop w:val="0"/>
                              <w:marBottom w:val="0"/>
                              <w:divBdr>
                                <w:top w:val="none" w:sz="0" w:space="0" w:color="auto"/>
                                <w:left w:val="none" w:sz="0" w:space="0" w:color="auto"/>
                                <w:bottom w:val="none" w:sz="0" w:space="0" w:color="auto"/>
                                <w:right w:val="none" w:sz="0" w:space="0" w:color="auto"/>
                              </w:divBdr>
                              <w:divsChild>
                                <w:div w:id="125002878">
                                  <w:marLeft w:val="0"/>
                                  <w:marRight w:val="0"/>
                                  <w:marTop w:val="0"/>
                                  <w:marBottom w:val="0"/>
                                  <w:divBdr>
                                    <w:top w:val="none" w:sz="0" w:space="0" w:color="auto"/>
                                    <w:left w:val="none" w:sz="0" w:space="0" w:color="auto"/>
                                    <w:bottom w:val="none" w:sz="0" w:space="0" w:color="auto"/>
                                    <w:right w:val="none" w:sz="0" w:space="0" w:color="auto"/>
                                  </w:divBdr>
                                </w:div>
                                <w:div w:id="195841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089750">
                          <w:marLeft w:val="0"/>
                          <w:marRight w:val="0"/>
                          <w:marTop w:val="0"/>
                          <w:marBottom w:val="0"/>
                          <w:divBdr>
                            <w:top w:val="none" w:sz="0" w:space="0" w:color="auto"/>
                            <w:left w:val="none" w:sz="0" w:space="0" w:color="auto"/>
                            <w:bottom w:val="none" w:sz="0" w:space="0" w:color="auto"/>
                            <w:right w:val="none" w:sz="0" w:space="0" w:color="auto"/>
                          </w:divBdr>
                          <w:divsChild>
                            <w:div w:id="553931260">
                              <w:marLeft w:val="0"/>
                              <w:marRight w:val="0"/>
                              <w:marTop w:val="0"/>
                              <w:marBottom w:val="0"/>
                              <w:divBdr>
                                <w:top w:val="none" w:sz="0" w:space="0" w:color="auto"/>
                                <w:left w:val="none" w:sz="0" w:space="0" w:color="auto"/>
                                <w:bottom w:val="none" w:sz="0" w:space="0" w:color="auto"/>
                                <w:right w:val="none" w:sz="0" w:space="0" w:color="auto"/>
                              </w:divBdr>
                            </w:div>
                            <w:div w:id="998579290">
                              <w:marLeft w:val="0"/>
                              <w:marRight w:val="0"/>
                              <w:marTop w:val="0"/>
                              <w:marBottom w:val="0"/>
                              <w:divBdr>
                                <w:top w:val="none" w:sz="0" w:space="0" w:color="auto"/>
                                <w:left w:val="none" w:sz="0" w:space="0" w:color="auto"/>
                                <w:bottom w:val="none" w:sz="0" w:space="0" w:color="auto"/>
                                <w:right w:val="none" w:sz="0" w:space="0" w:color="auto"/>
                              </w:divBdr>
                              <w:divsChild>
                                <w:div w:id="888221254">
                                  <w:marLeft w:val="0"/>
                                  <w:marRight w:val="0"/>
                                  <w:marTop w:val="0"/>
                                  <w:marBottom w:val="0"/>
                                  <w:divBdr>
                                    <w:top w:val="none" w:sz="0" w:space="0" w:color="auto"/>
                                    <w:left w:val="none" w:sz="0" w:space="0" w:color="auto"/>
                                    <w:bottom w:val="none" w:sz="0" w:space="0" w:color="auto"/>
                                    <w:right w:val="none" w:sz="0" w:space="0" w:color="auto"/>
                                  </w:divBdr>
                                  <w:divsChild>
                                    <w:div w:id="933132678">
                                      <w:marLeft w:val="0"/>
                                      <w:marRight w:val="0"/>
                                      <w:marTop w:val="0"/>
                                      <w:marBottom w:val="0"/>
                                      <w:divBdr>
                                        <w:top w:val="none" w:sz="0" w:space="0" w:color="auto"/>
                                        <w:left w:val="none" w:sz="0" w:space="0" w:color="auto"/>
                                        <w:bottom w:val="none" w:sz="0" w:space="0" w:color="auto"/>
                                        <w:right w:val="none" w:sz="0" w:space="0" w:color="auto"/>
                                      </w:divBdr>
                                      <w:divsChild>
                                        <w:div w:id="1246765897">
                                          <w:marLeft w:val="0"/>
                                          <w:marRight w:val="0"/>
                                          <w:marTop w:val="0"/>
                                          <w:marBottom w:val="0"/>
                                          <w:divBdr>
                                            <w:top w:val="none" w:sz="0" w:space="0" w:color="auto"/>
                                            <w:left w:val="none" w:sz="0" w:space="0" w:color="auto"/>
                                            <w:bottom w:val="none" w:sz="0" w:space="0" w:color="auto"/>
                                            <w:right w:val="none" w:sz="0" w:space="0" w:color="auto"/>
                                          </w:divBdr>
                                          <w:divsChild>
                                            <w:div w:id="34078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064878">
                                      <w:marLeft w:val="0"/>
                                      <w:marRight w:val="0"/>
                                      <w:marTop w:val="0"/>
                                      <w:marBottom w:val="0"/>
                                      <w:divBdr>
                                        <w:top w:val="none" w:sz="0" w:space="0" w:color="auto"/>
                                        <w:left w:val="none" w:sz="0" w:space="0" w:color="auto"/>
                                        <w:bottom w:val="none" w:sz="0" w:space="0" w:color="auto"/>
                                        <w:right w:val="none" w:sz="0" w:space="0" w:color="auto"/>
                                      </w:divBdr>
                                      <w:divsChild>
                                        <w:div w:id="1041322699">
                                          <w:marLeft w:val="0"/>
                                          <w:marRight w:val="0"/>
                                          <w:marTop w:val="63"/>
                                          <w:marBottom w:val="125"/>
                                          <w:divBdr>
                                            <w:top w:val="none" w:sz="0" w:space="0" w:color="auto"/>
                                            <w:left w:val="none" w:sz="0" w:space="0" w:color="auto"/>
                                            <w:bottom w:val="none" w:sz="0" w:space="0" w:color="auto"/>
                                            <w:right w:val="none" w:sz="0" w:space="0" w:color="auto"/>
                                          </w:divBdr>
                                          <w:divsChild>
                                            <w:div w:id="2072775512">
                                              <w:marLeft w:val="38"/>
                                              <w:marRight w:val="0"/>
                                              <w:marTop w:val="0"/>
                                              <w:marBottom w:val="38"/>
                                              <w:divBdr>
                                                <w:top w:val="none" w:sz="0" w:space="0" w:color="auto"/>
                                                <w:left w:val="none" w:sz="0" w:space="0" w:color="auto"/>
                                                <w:bottom w:val="none" w:sz="0" w:space="0" w:color="auto"/>
                                                <w:right w:val="none" w:sz="0" w:space="0" w:color="auto"/>
                                              </w:divBdr>
                                            </w:div>
                                          </w:divsChild>
                                        </w:div>
                                        <w:div w:id="114565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933591">
                              <w:marLeft w:val="0"/>
                              <w:marRight w:val="0"/>
                              <w:marTop w:val="0"/>
                              <w:marBottom w:val="0"/>
                              <w:divBdr>
                                <w:top w:val="none" w:sz="0" w:space="0" w:color="auto"/>
                                <w:left w:val="none" w:sz="0" w:space="0" w:color="auto"/>
                                <w:bottom w:val="none" w:sz="0" w:space="0" w:color="auto"/>
                                <w:right w:val="none" w:sz="0" w:space="0" w:color="auto"/>
                              </w:divBdr>
                              <w:divsChild>
                                <w:div w:id="902253409">
                                  <w:marLeft w:val="0"/>
                                  <w:marRight w:val="0"/>
                                  <w:marTop w:val="0"/>
                                  <w:marBottom w:val="0"/>
                                  <w:divBdr>
                                    <w:top w:val="none" w:sz="0" w:space="0" w:color="auto"/>
                                    <w:left w:val="none" w:sz="0" w:space="0" w:color="auto"/>
                                    <w:bottom w:val="none" w:sz="0" w:space="0" w:color="auto"/>
                                    <w:right w:val="none" w:sz="0" w:space="0" w:color="auto"/>
                                  </w:divBdr>
                                  <w:divsChild>
                                    <w:div w:id="29690615">
                                      <w:marLeft w:val="0"/>
                                      <w:marRight w:val="0"/>
                                      <w:marTop w:val="0"/>
                                      <w:marBottom w:val="0"/>
                                      <w:divBdr>
                                        <w:top w:val="none" w:sz="0" w:space="0" w:color="auto"/>
                                        <w:left w:val="none" w:sz="0" w:space="0" w:color="auto"/>
                                        <w:bottom w:val="none" w:sz="0" w:space="0" w:color="auto"/>
                                        <w:right w:val="none" w:sz="0" w:space="0" w:color="auto"/>
                                      </w:divBdr>
                                      <w:divsChild>
                                        <w:div w:id="9791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7849801">
      <w:bodyDiv w:val="1"/>
      <w:marLeft w:val="0"/>
      <w:marRight w:val="0"/>
      <w:marTop w:val="0"/>
      <w:marBottom w:val="0"/>
      <w:divBdr>
        <w:top w:val="none" w:sz="0" w:space="0" w:color="auto"/>
        <w:left w:val="none" w:sz="0" w:space="0" w:color="auto"/>
        <w:bottom w:val="none" w:sz="0" w:space="0" w:color="auto"/>
        <w:right w:val="none" w:sz="0" w:space="0" w:color="auto"/>
      </w:divBdr>
      <w:divsChild>
        <w:div w:id="1329670985">
          <w:marLeft w:val="0"/>
          <w:marRight w:val="0"/>
          <w:marTop w:val="0"/>
          <w:marBottom w:val="0"/>
          <w:divBdr>
            <w:top w:val="none" w:sz="0" w:space="0" w:color="auto"/>
            <w:left w:val="none" w:sz="0" w:space="0" w:color="auto"/>
            <w:bottom w:val="none" w:sz="0" w:space="0" w:color="auto"/>
            <w:right w:val="none" w:sz="0" w:space="0" w:color="auto"/>
          </w:divBdr>
        </w:div>
      </w:divsChild>
    </w:div>
    <w:div w:id="1237203598">
      <w:bodyDiv w:val="1"/>
      <w:marLeft w:val="0"/>
      <w:marRight w:val="0"/>
      <w:marTop w:val="0"/>
      <w:marBottom w:val="0"/>
      <w:divBdr>
        <w:top w:val="none" w:sz="0" w:space="0" w:color="auto"/>
        <w:left w:val="none" w:sz="0" w:space="0" w:color="auto"/>
        <w:bottom w:val="none" w:sz="0" w:space="0" w:color="auto"/>
        <w:right w:val="none" w:sz="0" w:space="0" w:color="auto"/>
      </w:divBdr>
    </w:div>
    <w:div w:id="1785298700">
      <w:bodyDiv w:val="1"/>
      <w:marLeft w:val="0"/>
      <w:marRight w:val="0"/>
      <w:marTop w:val="0"/>
      <w:marBottom w:val="0"/>
      <w:divBdr>
        <w:top w:val="none" w:sz="0" w:space="0" w:color="auto"/>
        <w:left w:val="none" w:sz="0" w:space="0" w:color="auto"/>
        <w:bottom w:val="none" w:sz="0" w:space="0" w:color="auto"/>
        <w:right w:val="none" w:sz="0" w:space="0" w:color="auto"/>
      </w:divBdr>
      <w:divsChild>
        <w:div w:id="1884903456">
          <w:marLeft w:val="0"/>
          <w:marRight w:val="0"/>
          <w:marTop w:val="0"/>
          <w:marBottom w:val="0"/>
          <w:divBdr>
            <w:top w:val="none" w:sz="0" w:space="0" w:color="auto"/>
            <w:left w:val="none" w:sz="0" w:space="0" w:color="auto"/>
            <w:bottom w:val="none" w:sz="0" w:space="0" w:color="auto"/>
            <w:right w:val="none" w:sz="0" w:space="0" w:color="auto"/>
          </w:divBdr>
        </w:div>
      </w:divsChild>
    </w:div>
    <w:div w:id="195475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likumi.lv/doc.php?id=269907"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likumi.lv/ta/id/278921-kartiba-kada-valsts-kapitalsabiedribas-un-publiski-privatas-kapitalsabiedribas-kuras-valsts-ir-dalibnieks-akcionar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likumi.lv/doc.php?id=269907"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likumi.lv/ta/id/269907-publiskas-personas-kapitala-dalu-un-kapitalsabiedribu-parvaldibas-likums" TargetMode="External"/><Relationship Id="rId5" Type="http://schemas.microsoft.com/office/2007/relationships/stylesWithEffects" Target="stylesWithEffects.xml"/><Relationship Id="rId15" Type="http://schemas.openxmlformats.org/officeDocument/2006/relationships/hyperlink" Target="http://likumi.lv/ta/id/269907-publiskas-personas-kapitala-dalu-un-kapitalsabiedribu-parvaldibas-likums" TargetMode="External"/><Relationship Id="rId10" Type="http://schemas.openxmlformats.org/officeDocument/2006/relationships/hyperlink" Target="http://likumi.lv/ta/id/278921-kartiba-kada-valsts-kapitalsabiedribas-un-publiski-privatas-kapitalsabiedribas-kuras-valsts-ir-dalibnieks-akcionars"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likumi.lv/ta/id/269907-publiskas-personas-kapitala-dalu-un-kapitalsabiedribu-parvaldibas-likum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9156F-1AF0-4FAC-83C2-8302CA8CA982}">
  <ds:schemaRefs>
    <ds:schemaRef ds:uri="http://schemas.openxmlformats.org/officeDocument/2006/bibliography"/>
  </ds:schemaRefs>
</ds:datastoreItem>
</file>

<file path=customXml/itemProps2.xml><?xml version="1.0" encoding="utf-8"?>
<ds:datastoreItem xmlns:ds="http://schemas.openxmlformats.org/officeDocument/2006/customXml" ds:itemID="{9C071C8F-3A5E-4BA7-8B42-A9366E9DE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1877</Words>
  <Characters>13857</Characters>
  <Application>Microsoft Office Word</Application>
  <DocSecurity>4</DocSecurity>
  <Lines>115</Lines>
  <Paragraphs>31</Paragraphs>
  <ScaleCrop>false</ScaleCrop>
  <HeadingPairs>
    <vt:vector size="2" baseType="variant">
      <vt:variant>
        <vt:lpstr>Title</vt:lpstr>
      </vt:variant>
      <vt:variant>
        <vt:i4>1</vt:i4>
      </vt:variant>
    </vt:vector>
  </HeadingPairs>
  <TitlesOfParts>
    <vt:vector size="1" baseType="lpstr">
      <vt:lpstr>Ministru kabineta rīkojuma projekta “Par atšķirīgu dividendēs izmaksājamo valsts akciju sabiedrības "Latvijas dzelzceļš" peļņas daļu par 2015.gadu” sākotnējās ietekmes novērtējuma ziņojums (anotācija)</vt:lpstr>
    </vt:vector>
  </TitlesOfParts>
  <Company>Satiksmes ministrija</Company>
  <LinksUpToDate>false</LinksUpToDate>
  <CharactersWithSpaces>15703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atšķirīgu dividendēs izmaksājamo valsts akciju sabiedrības "Latvijas dzelzceļš" peļņas daļu par 2015.gadu” sākotnējās ietekmes novērtējuma ziņojums (anotācija)</dc:title>
  <dc:subject>anotācija</dc:subject>
  <dc:creator>L</dc:creator>
  <cp:lastModifiedBy>L</cp:lastModifiedBy>
  <cp:revision>2</cp:revision>
  <cp:lastPrinted>2016-04-13T09:22:00Z</cp:lastPrinted>
  <dcterms:created xsi:type="dcterms:W3CDTF">2016-06-09T12:41:00Z</dcterms:created>
  <dcterms:modified xsi:type="dcterms:W3CDTF">2016-06-09T12:41:00Z</dcterms:modified>
</cp:coreProperties>
</file>