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01461" w14:textId="36EC6719" w:rsidR="00951F69" w:rsidRDefault="00951F69" w:rsidP="00B4517B">
      <w:pPr>
        <w:pStyle w:val="BodyText"/>
        <w:jc w:val="center"/>
        <w:rPr>
          <w:b/>
        </w:rPr>
      </w:pPr>
      <w:r w:rsidRPr="00B96555">
        <w:rPr>
          <w:b/>
        </w:rPr>
        <w:t>Ministru kabineta noteikum</w:t>
      </w:r>
      <w:r w:rsidR="008B1E31">
        <w:rPr>
          <w:b/>
        </w:rPr>
        <w:t>u projekta</w:t>
      </w:r>
      <w:r w:rsidRPr="00B96555">
        <w:rPr>
          <w:b/>
        </w:rPr>
        <w:t xml:space="preserve"> „</w:t>
      </w:r>
      <w:r w:rsidR="004442C6" w:rsidRPr="004442C6">
        <w:rPr>
          <w:szCs w:val="24"/>
        </w:rPr>
        <w:t xml:space="preserve"> </w:t>
      </w:r>
      <w:r w:rsidR="004442C6" w:rsidRPr="004442C6">
        <w:rPr>
          <w:b/>
          <w:szCs w:val="24"/>
        </w:rPr>
        <w:t>Valsts vides dienesta lēmumu par atļauju ievest atkritumus reģenerācijai un lēmumu par atkritumu ievešanas aizliegumu pieņemšanas kārtība</w:t>
      </w:r>
      <w:r w:rsidRPr="00B96555">
        <w:rPr>
          <w:b/>
        </w:rPr>
        <w:t>”</w:t>
      </w:r>
      <w:r w:rsidR="00A9681C">
        <w:rPr>
          <w:b/>
        </w:rPr>
        <w:t xml:space="preserve"> </w:t>
      </w:r>
      <w:r w:rsidR="00A9681C" w:rsidRPr="00B96555">
        <w:rPr>
          <w:b/>
        </w:rPr>
        <w:t xml:space="preserve">sākotnējās ietekmes novērtējuma ziņojums (anotācija) </w:t>
      </w:r>
    </w:p>
    <w:p w14:paraId="229B7058" w14:textId="77777777" w:rsidR="00C72DBF" w:rsidRDefault="00C72DBF" w:rsidP="00A9681C">
      <w:pPr>
        <w:pStyle w:val="BodyText"/>
        <w:jc w:val="center"/>
        <w:rPr>
          <w:b/>
        </w:rPr>
      </w:pPr>
    </w:p>
    <w:p w14:paraId="4031B40A" w14:textId="77777777" w:rsidR="00C72DBF" w:rsidRDefault="00C72DBF" w:rsidP="00A9681C">
      <w:pPr>
        <w:pStyle w:val="BodyText"/>
        <w:jc w:val="center"/>
        <w:rPr>
          <w:b/>
        </w:rPr>
      </w:pPr>
    </w:p>
    <w:tbl>
      <w:tblPr>
        <w:tblStyle w:val="TableGrid"/>
        <w:tblW w:w="9356" w:type="dxa"/>
        <w:tblInd w:w="-147" w:type="dxa"/>
        <w:tblLayout w:type="fixed"/>
        <w:tblLook w:val="04A0" w:firstRow="1" w:lastRow="0" w:firstColumn="1" w:lastColumn="0" w:noHBand="0" w:noVBand="1"/>
      </w:tblPr>
      <w:tblGrid>
        <w:gridCol w:w="426"/>
        <w:gridCol w:w="1984"/>
        <w:gridCol w:w="6946"/>
      </w:tblGrid>
      <w:tr w:rsidR="00C72DBF" w14:paraId="2250E4B8" w14:textId="77777777" w:rsidTr="00C4614E">
        <w:tc>
          <w:tcPr>
            <w:tcW w:w="9356" w:type="dxa"/>
            <w:gridSpan w:val="3"/>
          </w:tcPr>
          <w:p w14:paraId="4C959A65" w14:textId="63EBFBC5" w:rsidR="00C72DBF" w:rsidRDefault="00C72DBF" w:rsidP="00A9681C">
            <w:pPr>
              <w:pStyle w:val="BodyText"/>
              <w:jc w:val="center"/>
              <w:rPr>
                <w:b/>
                <w:szCs w:val="24"/>
              </w:rPr>
            </w:pPr>
            <w:r>
              <w:rPr>
                <w:b/>
                <w:bCs/>
              </w:rPr>
              <w:t>I. Tiesību akta projekta izstrādes nepieciešamība</w:t>
            </w:r>
          </w:p>
        </w:tc>
      </w:tr>
      <w:tr w:rsidR="00C72DBF" w14:paraId="25118E65" w14:textId="77777777" w:rsidTr="00C4614E">
        <w:tc>
          <w:tcPr>
            <w:tcW w:w="426" w:type="dxa"/>
          </w:tcPr>
          <w:p w14:paraId="14631A06" w14:textId="6F26979E" w:rsidR="00C72DBF" w:rsidRPr="00C72DBF" w:rsidRDefault="00C72DBF" w:rsidP="00C72DBF">
            <w:pPr>
              <w:pStyle w:val="BodyText"/>
              <w:jc w:val="both"/>
              <w:rPr>
                <w:szCs w:val="24"/>
              </w:rPr>
            </w:pPr>
            <w:r w:rsidRPr="00C72DBF">
              <w:rPr>
                <w:szCs w:val="24"/>
              </w:rPr>
              <w:t>1.</w:t>
            </w:r>
          </w:p>
        </w:tc>
        <w:tc>
          <w:tcPr>
            <w:tcW w:w="1984" w:type="dxa"/>
          </w:tcPr>
          <w:p w14:paraId="38EA0DFB" w14:textId="6349E6E6" w:rsidR="00C72DBF" w:rsidRDefault="00C72DBF" w:rsidP="00C72DBF">
            <w:pPr>
              <w:pStyle w:val="BodyText"/>
              <w:jc w:val="both"/>
              <w:rPr>
                <w:b/>
                <w:szCs w:val="24"/>
              </w:rPr>
            </w:pPr>
            <w:r>
              <w:t>Pamatojums</w:t>
            </w:r>
          </w:p>
        </w:tc>
        <w:tc>
          <w:tcPr>
            <w:tcW w:w="6946" w:type="dxa"/>
          </w:tcPr>
          <w:p w14:paraId="062719B3" w14:textId="51B3E69F" w:rsidR="00C72DBF" w:rsidRDefault="00C72DBF" w:rsidP="00CD61D6">
            <w:pPr>
              <w:pStyle w:val="BodyText"/>
              <w:jc w:val="both"/>
              <w:rPr>
                <w:b/>
                <w:szCs w:val="24"/>
              </w:rPr>
            </w:pPr>
            <w:r w:rsidRPr="00CE01B4">
              <w:t xml:space="preserve">Ministru kabineta noteikumu </w:t>
            </w:r>
            <w:r w:rsidRPr="00CB5AA9">
              <w:t xml:space="preserve">projekts </w:t>
            </w:r>
            <w:r w:rsidRPr="00B96555">
              <w:t>„</w:t>
            </w:r>
            <w:r w:rsidR="00CD61D6" w:rsidRPr="004442C6">
              <w:rPr>
                <w:szCs w:val="24"/>
              </w:rPr>
              <w:t xml:space="preserve"> Valsts vides dienesta lēmumu par atļauju ievest atkritumus reģenerācijai un lēmumu par atkritumu ievešanas aizliegumu pieņemšanas kārtība</w:t>
            </w:r>
            <w:r w:rsidRPr="00B96555">
              <w:t>”</w:t>
            </w:r>
            <w:r>
              <w:t xml:space="preserve"> (turpmāk – noteikumu projekts) ir sagatavots saskaņā ar At</w:t>
            </w:r>
            <w:r w:rsidR="00DB7DCB">
              <w:t>kritumu apsaimniekošanas likuma</w:t>
            </w:r>
            <w:r w:rsidR="00DE03CE">
              <w:t xml:space="preserve"> (turpmāk – Likums) 42.</w:t>
            </w:r>
            <w:r>
              <w:t>panta ceturto daļu.</w:t>
            </w:r>
          </w:p>
        </w:tc>
      </w:tr>
      <w:tr w:rsidR="00C72DBF" w14:paraId="39F1F071" w14:textId="77777777" w:rsidTr="00C4614E">
        <w:tc>
          <w:tcPr>
            <w:tcW w:w="426" w:type="dxa"/>
          </w:tcPr>
          <w:p w14:paraId="2D906C2B" w14:textId="0865E8C2" w:rsidR="00C72DBF" w:rsidRPr="00C72DBF" w:rsidRDefault="00C72DBF" w:rsidP="00C72DBF">
            <w:pPr>
              <w:pStyle w:val="BodyText"/>
              <w:jc w:val="center"/>
              <w:rPr>
                <w:szCs w:val="24"/>
              </w:rPr>
            </w:pPr>
            <w:r w:rsidRPr="00C72DBF">
              <w:rPr>
                <w:szCs w:val="24"/>
              </w:rPr>
              <w:t>2.</w:t>
            </w:r>
          </w:p>
        </w:tc>
        <w:tc>
          <w:tcPr>
            <w:tcW w:w="1984" w:type="dxa"/>
          </w:tcPr>
          <w:p w14:paraId="18927F4C" w14:textId="410B22FC" w:rsidR="00C72DBF" w:rsidRDefault="00C72DBF" w:rsidP="00C72DBF">
            <w:pPr>
              <w:pStyle w:val="BodyText"/>
              <w:jc w:val="both"/>
              <w:rPr>
                <w:b/>
                <w:szCs w:val="24"/>
              </w:rPr>
            </w:pPr>
            <w:r>
              <w:t>Pašreizējā situācija un problēmas, kuru risināšanai tiesību akta projekts izstrādāts, tiesiskā regulējuma mērķis un būtība</w:t>
            </w:r>
          </w:p>
        </w:tc>
        <w:tc>
          <w:tcPr>
            <w:tcW w:w="6946" w:type="dxa"/>
          </w:tcPr>
          <w:p w14:paraId="78FAC53A" w14:textId="135F551A" w:rsidR="00C72DBF" w:rsidRDefault="00C72DBF" w:rsidP="00C72DBF">
            <w:pPr>
              <w:spacing w:before="20" w:after="20"/>
              <w:jc w:val="both"/>
            </w:pPr>
            <w:r>
              <w:t>Likuma 42.panta trešā daļa paredz, ka atkritumus reģenerācijai vai sadedzināšanai, ja sadedzināšana klasificējama kā atkritumu reģenerācija, ir atļauts ievest tikai tādā gadījumā, ja valsts teritorijā darbojas atkritumu reģenerācijas iekārtas, kurām ir atbilstoša jauda un kuru īpašnieks ir saņēmis atļauju attiecīgo atkritumu reģenerācijai, un atkritumu ievešanas rezultātā netiek apdraudēta atkritumu apsaimniekošanas valsts plāna vai reģionālajos plānos noteiktā Latvijas teritorijā radīto atkritumu apstrāde un reģenerācija. Savukārt Likuma 42.panta ceturtā daļa nosaka</w:t>
            </w:r>
            <w:r w:rsidR="004314F9">
              <w:t xml:space="preserve"> to</w:t>
            </w:r>
            <w:r>
              <w:t xml:space="preserve">, ka Valsts vides dienests (turpmāk – VVD) pieņem lēmumu par atkritumu ievešanas aizliegumu, ja konstatē, ka netiek ievēroti šā panta trešās daļas nosacījumi. VVD pirms attiecīgo atkritumu ievešanas izvērtē atkritumu sadedzināšanas iekārtas jaudu un plānoto sadedzināmo atkritumu apjomu un veidu, ņemot vērā informāciju par to valsts teritorijā radīto sadzīves atkritumu daudzumu, kuri ir piemēroti sadedzināšanai attiecīgajās sadedzināšanas iekārtās atbilstoši šo iekārtu darbībai izsniegtajai A vai B kategorijas piesārņojošās darbības atļaujai. </w:t>
            </w:r>
            <w:r w:rsidR="000F6D1F">
              <w:t xml:space="preserve">VVD pilda </w:t>
            </w:r>
            <w:r w:rsidR="000F6D1F" w:rsidRPr="000F6D1F">
              <w:t>Eiropas Parlamenta un Padomes 2006.gada 14.jūnija regulai (EK) Nr.1013/2006 par atkritumu sūtījumiem (turpmāk – regula Nr.1013/2006) minētos kompetentās iestādes un korespondenta pienākumus un izsniedz apstiprinājumu vai piekrišanu atkritumu pārrobežu pārvadājumiem (sk.tabulu):</w:t>
            </w:r>
          </w:p>
          <w:p w14:paraId="5FEB5A9D" w14:textId="77777777" w:rsidR="00FE6B91" w:rsidRPr="000F6D1F" w:rsidRDefault="00FE6B91" w:rsidP="00C72DBF">
            <w:pPr>
              <w:spacing w:before="20" w:after="20"/>
              <w:jc w:val="both"/>
            </w:pPr>
          </w:p>
          <w:p w14:paraId="1E435B95" w14:textId="77777777" w:rsidR="000F6D1F" w:rsidRPr="00FE6B91" w:rsidRDefault="000F6D1F" w:rsidP="000F6D1F">
            <w:pPr>
              <w:spacing w:before="20" w:after="20"/>
              <w:jc w:val="both"/>
            </w:pPr>
            <w:r w:rsidRPr="00FE6B91">
              <w:t>Tabula. Informācija par Valsts vides dienesta izsniegtajām atļaujām un pieņemtajiem lēmumiem par atteikumu atkritumu ievešanai Latvijā</w:t>
            </w:r>
          </w:p>
          <w:tbl>
            <w:tblPr>
              <w:tblW w:w="6545" w:type="dxa"/>
              <w:tblLayout w:type="fixed"/>
              <w:tblCellMar>
                <w:left w:w="0" w:type="dxa"/>
                <w:right w:w="0" w:type="dxa"/>
              </w:tblCellMar>
              <w:tblLook w:val="04A0" w:firstRow="1" w:lastRow="0" w:firstColumn="1" w:lastColumn="0" w:noHBand="0" w:noVBand="1"/>
            </w:tblPr>
            <w:tblGrid>
              <w:gridCol w:w="960"/>
              <w:gridCol w:w="2324"/>
              <w:gridCol w:w="3261"/>
            </w:tblGrid>
            <w:tr w:rsidR="000F6D1F" w14:paraId="47F240AA" w14:textId="77777777" w:rsidTr="009E478B">
              <w:trPr>
                <w:trHeight w:val="945"/>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1D32B5" w14:textId="77777777" w:rsidR="000F6D1F" w:rsidRPr="00FE6B91" w:rsidRDefault="000F6D1F" w:rsidP="000F6D1F">
                  <w:pPr>
                    <w:jc w:val="center"/>
                    <w:rPr>
                      <w:bCs/>
                      <w:color w:val="000000"/>
                    </w:rPr>
                  </w:pPr>
                  <w:r w:rsidRPr="00FE6B91">
                    <w:rPr>
                      <w:bCs/>
                      <w:color w:val="000000"/>
                    </w:rPr>
                    <w:t>Gads</w:t>
                  </w:r>
                </w:p>
              </w:tc>
              <w:tc>
                <w:tcPr>
                  <w:tcW w:w="232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2EF97D" w14:textId="77777777" w:rsidR="000F6D1F" w:rsidRPr="00FE6B91" w:rsidRDefault="000F6D1F" w:rsidP="000F6D1F">
                  <w:pPr>
                    <w:jc w:val="center"/>
                    <w:rPr>
                      <w:bCs/>
                      <w:color w:val="000000"/>
                    </w:rPr>
                  </w:pPr>
                  <w:r w:rsidRPr="00FE6B91">
                    <w:rPr>
                      <w:bCs/>
                      <w:color w:val="000000"/>
                    </w:rPr>
                    <w:t>Atkritumu pārrobežu sūtījumu saskaņotie paziņojumi/izsniegtās atļaujas atkritumu ievešanai Latvijā</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25D892" w14:textId="77777777" w:rsidR="000F6D1F" w:rsidRPr="00FE6B91" w:rsidRDefault="000F6D1F" w:rsidP="000F6D1F">
                  <w:pPr>
                    <w:jc w:val="center"/>
                    <w:rPr>
                      <w:bCs/>
                      <w:color w:val="000000"/>
                    </w:rPr>
                  </w:pPr>
                  <w:r w:rsidRPr="00FE6B91">
                    <w:rPr>
                      <w:bCs/>
                      <w:color w:val="000000"/>
                    </w:rPr>
                    <w:t xml:space="preserve">Pieņemtie lēmumi par atteikumu atkritumu ievešanai Latvijā </w:t>
                  </w:r>
                  <w:r w:rsidRPr="00FE6B91">
                    <w:t>, kas minēti Regulas (EK) Nr. 1013/2006 3.panta 1.punktā</w:t>
                  </w:r>
                </w:p>
              </w:tc>
            </w:tr>
            <w:tr w:rsidR="000F6D1F" w14:paraId="7B0F7B7C" w14:textId="77777777" w:rsidTr="009E478B">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A79BB1" w14:textId="77777777" w:rsidR="000F6D1F" w:rsidRDefault="000F6D1F" w:rsidP="000F6D1F">
                  <w:pPr>
                    <w:jc w:val="center"/>
                    <w:rPr>
                      <w:color w:val="000000"/>
                    </w:rPr>
                  </w:pPr>
                  <w:r>
                    <w:rPr>
                      <w:color w:val="000000"/>
                    </w:rPr>
                    <w:t>2013</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00C9849" w14:textId="77777777" w:rsidR="000F6D1F" w:rsidRDefault="000F6D1F" w:rsidP="000F6D1F">
                  <w:pPr>
                    <w:jc w:val="center"/>
                    <w:rPr>
                      <w:color w:val="000000"/>
                    </w:rPr>
                  </w:pPr>
                  <w:r>
                    <w:rPr>
                      <w:color w:val="000000"/>
                    </w:rPr>
                    <w:t>23</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3B1132" w14:textId="77777777" w:rsidR="000F6D1F" w:rsidRDefault="000F6D1F" w:rsidP="000F6D1F">
                  <w:pPr>
                    <w:jc w:val="center"/>
                    <w:rPr>
                      <w:color w:val="000000"/>
                    </w:rPr>
                  </w:pPr>
                  <w:r>
                    <w:rPr>
                      <w:color w:val="000000"/>
                    </w:rPr>
                    <w:t>2</w:t>
                  </w:r>
                </w:p>
              </w:tc>
            </w:tr>
            <w:tr w:rsidR="000F6D1F" w14:paraId="339EDDB2" w14:textId="77777777" w:rsidTr="009E478B">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C013976" w14:textId="77777777" w:rsidR="000F6D1F" w:rsidRDefault="000F6D1F" w:rsidP="000F6D1F">
                  <w:pPr>
                    <w:jc w:val="center"/>
                    <w:rPr>
                      <w:color w:val="000000"/>
                    </w:rPr>
                  </w:pPr>
                  <w:r>
                    <w:rPr>
                      <w:color w:val="000000"/>
                    </w:rPr>
                    <w:t>2014</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062F9E" w14:textId="77777777" w:rsidR="000F6D1F" w:rsidRDefault="000F6D1F" w:rsidP="000F6D1F">
                  <w:pPr>
                    <w:jc w:val="center"/>
                    <w:rPr>
                      <w:color w:val="000000"/>
                    </w:rPr>
                  </w:pPr>
                  <w:r>
                    <w:rPr>
                      <w:color w:val="000000"/>
                    </w:rPr>
                    <w:t>24</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5DB2BD" w14:textId="77777777" w:rsidR="000F6D1F" w:rsidRDefault="000F6D1F" w:rsidP="000F6D1F">
                  <w:pPr>
                    <w:jc w:val="center"/>
                    <w:rPr>
                      <w:color w:val="000000"/>
                    </w:rPr>
                  </w:pPr>
                  <w:r>
                    <w:rPr>
                      <w:color w:val="000000"/>
                    </w:rPr>
                    <w:t>2</w:t>
                  </w:r>
                </w:p>
              </w:tc>
            </w:tr>
            <w:tr w:rsidR="000F6D1F" w14:paraId="39A2907E" w14:textId="77777777" w:rsidTr="009E478B">
              <w:trPr>
                <w:trHeight w:val="31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0ABB1C1" w14:textId="77777777" w:rsidR="000F6D1F" w:rsidRDefault="000F6D1F" w:rsidP="000F6D1F">
                  <w:pPr>
                    <w:jc w:val="center"/>
                    <w:rPr>
                      <w:color w:val="000000"/>
                    </w:rPr>
                  </w:pPr>
                  <w:r>
                    <w:rPr>
                      <w:color w:val="000000"/>
                    </w:rPr>
                    <w:t>2015</w:t>
                  </w:r>
                </w:p>
              </w:tc>
              <w:tc>
                <w:tcPr>
                  <w:tcW w:w="232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CF2CE2" w14:textId="77777777" w:rsidR="000F6D1F" w:rsidRDefault="000F6D1F" w:rsidP="000F6D1F">
                  <w:pPr>
                    <w:jc w:val="center"/>
                    <w:rPr>
                      <w:color w:val="000000"/>
                    </w:rPr>
                  </w:pPr>
                  <w:r>
                    <w:rPr>
                      <w:color w:val="000000"/>
                    </w:rPr>
                    <w:t>21</w:t>
                  </w:r>
                </w:p>
              </w:tc>
              <w:tc>
                <w:tcPr>
                  <w:tcW w:w="32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F97FA3" w14:textId="77777777" w:rsidR="000F6D1F" w:rsidRDefault="000F6D1F" w:rsidP="000F6D1F">
                  <w:pPr>
                    <w:jc w:val="center"/>
                    <w:rPr>
                      <w:color w:val="000000"/>
                    </w:rPr>
                  </w:pPr>
                  <w:r>
                    <w:rPr>
                      <w:color w:val="000000"/>
                    </w:rPr>
                    <w:t>0</w:t>
                  </w:r>
                </w:p>
              </w:tc>
            </w:tr>
          </w:tbl>
          <w:p w14:paraId="2C8E0A6A" w14:textId="77777777" w:rsidR="000F6D1F" w:rsidRDefault="000F6D1F" w:rsidP="000F6D1F">
            <w:pPr>
              <w:pStyle w:val="BodyText"/>
              <w:rPr>
                <w:i/>
                <w:sz w:val="20"/>
              </w:rPr>
            </w:pPr>
            <w:r w:rsidRPr="00C72DBF">
              <w:rPr>
                <w:i/>
                <w:sz w:val="20"/>
              </w:rPr>
              <w:t>Datu avots: Valsts vides dienests</w:t>
            </w:r>
          </w:p>
          <w:p w14:paraId="4B5081DD" w14:textId="77777777" w:rsidR="000F6D1F" w:rsidRDefault="000F6D1F" w:rsidP="00C72DBF">
            <w:pPr>
              <w:spacing w:before="20" w:after="20"/>
              <w:jc w:val="both"/>
            </w:pPr>
          </w:p>
          <w:p w14:paraId="476D2E57" w14:textId="6EEA8D42" w:rsidR="00C72DBF" w:rsidRPr="000F6D1F" w:rsidRDefault="00C72DBF" w:rsidP="00C72DBF">
            <w:pPr>
              <w:spacing w:before="20" w:after="20"/>
              <w:jc w:val="both"/>
              <w:rPr>
                <w:sz w:val="22"/>
              </w:rPr>
            </w:pPr>
            <w:r>
              <w:t>Šobrīd</w:t>
            </w:r>
            <w:r w:rsidR="00704F0E">
              <w:t xml:space="preserve"> </w:t>
            </w:r>
            <w:r>
              <w:t>normatīvajos aktos</w:t>
            </w:r>
            <w:r w:rsidR="00DB7DCB">
              <w:t xml:space="preserve"> nav noteikta kārtība, kādā</w:t>
            </w:r>
            <w:r w:rsidR="000F6D1F" w:rsidRPr="002F1200">
              <w:rPr>
                <w:sz w:val="28"/>
                <w:szCs w:val="28"/>
              </w:rPr>
              <w:t xml:space="preserve"> </w:t>
            </w:r>
            <w:r w:rsidR="000F6D1F" w:rsidRPr="000F6D1F">
              <w:rPr>
                <w:szCs w:val="28"/>
              </w:rPr>
              <w:t>Valsts vides dienests pieņem lēmumu par atļauju ievest atkritumus reģenerācijai un lēmumu par atkritumu ievešanas aizliegumu</w:t>
            </w:r>
            <w:r w:rsidRPr="000F6D1F">
              <w:rPr>
                <w:sz w:val="22"/>
              </w:rPr>
              <w:t xml:space="preserve">. </w:t>
            </w:r>
          </w:p>
          <w:p w14:paraId="4297AB94" w14:textId="77777777" w:rsidR="00C72DBF" w:rsidRDefault="00C72DBF" w:rsidP="00C72DBF">
            <w:pPr>
              <w:spacing w:before="20" w:after="20"/>
              <w:jc w:val="both"/>
            </w:pPr>
          </w:p>
          <w:p w14:paraId="4F9E1CCA" w14:textId="554D87F6" w:rsidR="00C72DBF" w:rsidRPr="00230D00" w:rsidRDefault="00230D00" w:rsidP="00C72DBF">
            <w:pPr>
              <w:pStyle w:val="BodyText"/>
              <w:jc w:val="both"/>
              <w:rPr>
                <w:sz w:val="22"/>
                <w:szCs w:val="24"/>
              </w:rPr>
            </w:pPr>
            <w:r w:rsidRPr="00230D00">
              <w:rPr>
                <w:szCs w:val="28"/>
              </w:rPr>
              <w:t>Noteikumu projekts attiecas uz regula</w:t>
            </w:r>
            <w:r>
              <w:rPr>
                <w:szCs w:val="28"/>
              </w:rPr>
              <w:t>s Nr.1013/2006</w:t>
            </w:r>
            <w:r w:rsidRPr="00230D00">
              <w:rPr>
                <w:szCs w:val="28"/>
              </w:rPr>
              <w:t xml:space="preserve"> 3.panta 1.punktā minēto atkritumu sūtījumiem. </w:t>
            </w:r>
            <w:r w:rsidR="00C72DBF" w:rsidRPr="00230D00">
              <w:rPr>
                <w:sz w:val="22"/>
                <w:szCs w:val="24"/>
              </w:rPr>
              <w:t xml:space="preserve"> </w:t>
            </w:r>
            <w:r>
              <w:rPr>
                <w:szCs w:val="24"/>
              </w:rPr>
              <w:t>N</w:t>
            </w:r>
            <w:r w:rsidR="00C72DBF">
              <w:rPr>
                <w:szCs w:val="24"/>
              </w:rPr>
              <w:t>oteikumu projekts, pa</w:t>
            </w:r>
            <w:r w:rsidR="00C72DBF" w:rsidRPr="004D4CA8">
              <w:rPr>
                <w:szCs w:val="24"/>
              </w:rPr>
              <w:t xml:space="preserve">matojoties uz </w:t>
            </w:r>
            <w:r w:rsidR="00C72DBF">
              <w:rPr>
                <w:szCs w:val="24"/>
              </w:rPr>
              <w:t>L</w:t>
            </w:r>
            <w:r w:rsidR="00C72DBF" w:rsidRPr="004D4CA8">
              <w:rPr>
                <w:szCs w:val="24"/>
              </w:rPr>
              <w:t xml:space="preserve">ikuma 42.panta trešajā un ceturtajā daļā minētās informācijas izvērtējumu, </w:t>
            </w:r>
            <w:r w:rsidR="00C72DBF">
              <w:rPr>
                <w:szCs w:val="24"/>
              </w:rPr>
              <w:t xml:space="preserve">nosaka to, ka </w:t>
            </w:r>
            <w:r w:rsidRPr="00230D00">
              <w:rPr>
                <w:rFonts w:eastAsiaTheme="minorHAnsi"/>
                <w:szCs w:val="28"/>
              </w:rPr>
              <w:t>Valsts vides dienests pieņem lēmumu par atļauju ievest atkritumus reģenerācijai un izsniedz piekrišanu atbilstoši regulas Nr.1013/2006 9.pantam,</w:t>
            </w:r>
            <w:r w:rsidRPr="00230D00">
              <w:rPr>
                <w:rFonts w:asciiTheme="minorHAnsi" w:eastAsiaTheme="minorHAnsi" w:hAnsiTheme="minorHAnsi" w:cstheme="minorBidi"/>
                <w:szCs w:val="28"/>
              </w:rPr>
              <w:t xml:space="preserve"> </w:t>
            </w:r>
            <w:r w:rsidRPr="00230D00">
              <w:rPr>
                <w:szCs w:val="28"/>
              </w:rPr>
              <w:t>pamatojoties uz regulas Nr.1013/2006 4.pantā minētājā paziņojumā sniegto informāciju un tā atbilstību Atkritumu apsaimniekošanas likuma 42.panta trešajai un ceturtajai daļai, ja atkritumi tiek sūtīti reģenerācijai iekārtās, kuru darbībai atbilstoši normatīvajiem aktiem par piesārņojumu ir izsniegta atļauja A vai B kategorijas piesārņojošas darbības veikšanai, kurā ir norādīta atbilstoša atkritumu reģenerācijas darbība saskaņā ar normatīvajiem aktiem par atkritumu reģenerācijas un apglabāšanas ve</w:t>
            </w:r>
            <w:r w:rsidR="00027E00">
              <w:rPr>
                <w:szCs w:val="28"/>
              </w:rPr>
              <w:t>i</w:t>
            </w:r>
            <w:r w:rsidRPr="00230D00">
              <w:rPr>
                <w:szCs w:val="28"/>
              </w:rPr>
              <w:t>diem</w:t>
            </w:r>
            <w:r>
              <w:rPr>
                <w:szCs w:val="28"/>
              </w:rPr>
              <w:t xml:space="preserve">. </w:t>
            </w:r>
          </w:p>
          <w:p w14:paraId="7FC34AEB" w14:textId="77777777" w:rsidR="00C72DBF" w:rsidRDefault="00C72DBF" w:rsidP="00C72DBF">
            <w:pPr>
              <w:pStyle w:val="BodyText"/>
              <w:jc w:val="both"/>
              <w:rPr>
                <w:szCs w:val="24"/>
              </w:rPr>
            </w:pPr>
            <w:r>
              <w:rPr>
                <w:szCs w:val="24"/>
              </w:rPr>
              <w:t xml:space="preserve">Noteikumu projekts paredz, ka </w:t>
            </w:r>
            <w:r w:rsidRPr="004D4CA8">
              <w:rPr>
                <w:szCs w:val="24"/>
              </w:rPr>
              <w:t>V</w:t>
            </w:r>
            <w:r>
              <w:rPr>
                <w:szCs w:val="24"/>
              </w:rPr>
              <w:t xml:space="preserve">VD </w:t>
            </w:r>
            <w:r w:rsidRPr="004D4CA8">
              <w:rPr>
                <w:szCs w:val="24"/>
              </w:rPr>
              <w:t xml:space="preserve">pieņem lēmumu par atļauju ievest atkritumus reģenerācijai vai pieņem lēmumu par atteikumu ievest atkritumus reģenerācijai regulas Nr.1013/2006 9.pantā noteiktajā termiņā. </w:t>
            </w:r>
          </w:p>
          <w:p w14:paraId="28B5D2DA" w14:textId="77777777" w:rsidR="000F6D1F" w:rsidRDefault="000F6D1F" w:rsidP="00C72DBF">
            <w:pPr>
              <w:pStyle w:val="BodyText"/>
              <w:jc w:val="both"/>
              <w:rPr>
                <w:szCs w:val="24"/>
              </w:rPr>
            </w:pPr>
          </w:p>
          <w:p w14:paraId="1A575A07" w14:textId="53276098" w:rsidR="000F6D1F" w:rsidRPr="00FE6B91" w:rsidRDefault="000F6D1F" w:rsidP="00AE76B6">
            <w:pPr>
              <w:pStyle w:val="BodyText"/>
              <w:jc w:val="both"/>
              <w:rPr>
                <w:szCs w:val="24"/>
              </w:rPr>
            </w:pPr>
            <w:r w:rsidRPr="00FE6B91">
              <w:rPr>
                <w:szCs w:val="24"/>
              </w:rPr>
              <w:t>Vides aizsardzības un reģionālās attīstības ministrija (turpmāk – VARAM), sagatavojot noteikumu projektu, ir izvērtējusi, vai noteikumu projektā nav iekļaujamas citas normas, kas noteiktu lēmuma pieņemšanas kārtību (nedublējot Regulā Nr.1013/2006 noteikto), lai noteikumu projektā ietvertais regulējums būtu skaidrs un pilnīgs, piemēram, kāda persona iesniedz iesniegumu, kas ir lēmuma adresāts, prasības papildus informācijas pieprasīšanai atbilstoši Regulas Nr.1013/2006 4.panta 3.punktam utt. Pamatojoties uz veikto izvērtējumu, VARAM secināja, ka Regulas Nr.1013/2006 prasības ir pietiekami detālas, Regulā N</w:t>
            </w:r>
            <w:r w:rsidR="00244411">
              <w:rPr>
                <w:szCs w:val="24"/>
              </w:rPr>
              <w:t>r.1013/2006 ir noteiktas konkrētas</w:t>
            </w:r>
            <w:r w:rsidRPr="00FE6B91">
              <w:rPr>
                <w:szCs w:val="24"/>
              </w:rPr>
              <w:t xml:space="preserve"> pras</w:t>
            </w:r>
            <w:r w:rsidR="0027330B" w:rsidRPr="00FE6B91">
              <w:rPr>
                <w:szCs w:val="24"/>
              </w:rPr>
              <w:t xml:space="preserve">ības ar atkritumu sūtījumu norisi saistīto lēmumu pieņemšanai un saturam, kā arī noteikti iemesli negatīva administratīvā lēmuma pieņemšanai, kā arī noteikts papildus iesniedzamās informācijas apjoms, </w:t>
            </w:r>
            <w:r w:rsidR="00AE76B6" w:rsidRPr="00FE6B91">
              <w:rPr>
                <w:szCs w:val="24"/>
              </w:rPr>
              <w:t xml:space="preserve">kuru kompetentās iestādes var pieprasīt, tāpēc noteikumu projektā nebūtu nepieciešams iekļaut citas normas. </w:t>
            </w:r>
          </w:p>
          <w:p w14:paraId="472A39A3" w14:textId="01F1BD70" w:rsidR="00AE76B6" w:rsidRPr="00AE76B6" w:rsidRDefault="00AE76B6" w:rsidP="00AE76B6">
            <w:pPr>
              <w:pStyle w:val="BodyText"/>
              <w:jc w:val="both"/>
              <w:rPr>
                <w:szCs w:val="24"/>
              </w:rPr>
            </w:pPr>
            <w:r w:rsidRPr="00FE6B91">
              <w:t xml:space="preserve">VARAM arī ir izvērtējusi iespēju noteikumu projektā ietverto regulējumu iekļaut kādos jau spēkā esošos attiecīgās jomas Ministru kabineta noteikumos, lai izvairītos no tā, ka vienas jomas regulējums ir sadrumstalots pa vairākiem Ministru kabineta noteikumiem.  Veiktā izvērtējuma rezultātā VARAM secināja, </w:t>
            </w:r>
            <w:r w:rsidRPr="00FE6B91">
              <w:rPr>
                <w:szCs w:val="24"/>
              </w:rPr>
              <w:t>pašreiz nav iespējams noteikumu projektā ietverto regulējumu iekļaut kādos jau spēkā esošos Ministru kabineta noteikumos atkritumu apsaimniekošanas jomā.</w:t>
            </w:r>
          </w:p>
        </w:tc>
      </w:tr>
      <w:tr w:rsidR="00C72DBF" w14:paraId="20AA51EF" w14:textId="77777777" w:rsidTr="00C4614E">
        <w:tc>
          <w:tcPr>
            <w:tcW w:w="426" w:type="dxa"/>
          </w:tcPr>
          <w:p w14:paraId="11A1EACE" w14:textId="6A92D6B2" w:rsidR="00C72DBF" w:rsidRPr="00C72DBF" w:rsidRDefault="00C72DBF" w:rsidP="00C72DBF">
            <w:pPr>
              <w:pStyle w:val="BodyText"/>
              <w:jc w:val="center"/>
              <w:rPr>
                <w:szCs w:val="24"/>
              </w:rPr>
            </w:pPr>
            <w:r w:rsidRPr="00C72DBF">
              <w:rPr>
                <w:szCs w:val="24"/>
              </w:rPr>
              <w:t>3.</w:t>
            </w:r>
          </w:p>
        </w:tc>
        <w:tc>
          <w:tcPr>
            <w:tcW w:w="1984" w:type="dxa"/>
          </w:tcPr>
          <w:p w14:paraId="0BB9ACD1" w14:textId="3D39FB75" w:rsidR="00C72DBF" w:rsidRPr="00C72DBF" w:rsidRDefault="00C72DBF" w:rsidP="00C72DBF">
            <w:pPr>
              <w:pStyle w:val="naiskr"/>
              <w:spacing w:before="20" w:after="20"/>
            </w:pPr>
            <w:r w:rsidRPr="00EC7832">
              <w:t xml:space="preserve">Projekta izstrādē iesaistītās </w:t>
            </w:r>
            <w:r>
              <w:t>institūcijas</w:t>
            </w:r>
          </w:p>
        </w:tc>
        <w:tc>
          <w:tcPr>
            <w:tcW w:w="6946" w:type="dxa"/>
          </w:tcPr>
          <w:p w14:paraId="6D278871" w14:textId="001B5AA4" w:rsidR="00C72DBF" w:rsidRDefault="000F6D1F" w:rsidP="000F6D1F">
            <w:pPr>
              <w:pStyle w:val="BodyText"/>
              <w:rPr>
                <w:b/>
                <w:szCs w:val="24"/>
              </w:rPr>
            </w:pPr>
            <w:r>
              <w:t>VARAM</w:t>
            </w:r>
            <w:r w:rsidR="00150034">
              <w:t xml:space="preserve">, </w:t>
            </w:r>
            <w:r>
              <w:t>VVD</w:t>
            </w:r>
          </w:p>
        </w:tc>
      </w:tr>
      <w:tr w:rsidR="00C72DBF" w14:paraId="1E84F691" w14:textId="77777777" w:rsidTr="00C4614E">
        <w:tc>
          <w:tcPr>
            <w:tcW w:w="426" w:type="dxa"/>
          </w:tcPr>
          <w:p w14:paraId="41161378" w14:textId="5AF2B1F0" w:rsidR="00C72DBF" w:rsidRPr="00C72DBF" w:rsidRDefault="00C72DBF" w:rsidP="00C72DBF">
            <w:pPr>
              <w:pStyle w:val="BodyText"/>
              <w:jc w:val="both"/>
              <w:rPr>
                <w:szCs w:val="24"/>
              </w:rPr>
            </w:pPr>
            <w:r w:rsidRPr="00C72DBF">
              <w:rPr>
                <w:szCs w:val="24"/>
              </w:rPr>
              <w:t>4.</w:t>
            </w:r>
          </w:p>
        </w:tc>
        <w:tc>
          <w:tcPr>
            <w:tcW w:w="1984" w:type="dxa"/>
          </w:tcPr>
          <w:p w14:paraId="06F5ADAD" w14:textId="19082139" w:rsidR="00C72DBF" w:rsidRDefault="00C72DBF" w:rsidP="00C72DBF">
            <w:pPr>
              <w:pStyle w:val="BodyText"/>
              <w:jc w:val="both"/>
              <w:rPr>
                <w:b/>
                <w:szCs w:val="24"/>
              </w:rPr>
            </w:pPr>
            <w:r>
              <w:t>Cita informācija</w:t>
            </w:r>
          </w:p>
        </w:tc>
        <w:tc>
          <w:tcPr>
            <w:tcW w:w="6946" w:type="dxa"/>
          </w:tcPr>
          <w:p w14:paraId="2FBCF439" w14:textId="77777777" w:rsidR="00C72DBF" w:rsidRDefault="00C72DBF" w:rsidP="00C72DBF">
            <w:pPr>
              <w:pStyle w:val="BodyText"/>
              <w:jc w:val="both"/>
              <w:rPr>
                <w:szCs w:val="24"/>
              </w:rPr>
            </w:pPr>
            <w:r>
              <w:rPr>
                <w:szCs w:val="24"/>
              </w:rPr>
              <w:t>Nav</w:t>
            </w:r>
          </w:p>
          <w:p w14:paraId="1A14797A" w14:textId="77777777" w:rsidR="00C72DBF" w:rsidRDefault="00C72DBF" w:rsidP="00C72DBF">
            <w:pPr>
              <w:pStyle w:val="BodyText"/>
              <w:jc w:val="both"/>
              <w:rPr>
                <w:b/>
                <w:szCs w:val="24"/>
              </w:rPr>
            </w:pPr>
          </w:p>
        </w:tc>
      </w:tr>
    </w:tbl>
    <w:p w14:paraId="5140A868" w14:textId="77777777" w:rsidR="00C72DBF" w:rsidRPr="00A9681C" w:rsidRDefault="00C72DBF" w:rsidP="00A9681C">
      <w:pPr>
        <w:pStyle w:val="BodyText"/>
        <w:jc w:val="center"/>
        <w:rPr>
          <w:b/>
          <w:szCs w:val="24"/>
        </w:rPr>
      </w:pPr>
    </w:p>
    <w:p w14:paraId="306A9CD0" w14:textId="77777777" w:rsidR="004D4CA8" w:rsidRPr="00951F69" w:rsidRDefault="004D4CA8" w:rsidP="00951F69">
      <w:pPr>
        <w:pStyle w:val="BodyText"/>
        <w:jc w:val="center"/>
        <w:rPr>
          <w:b/>
          <w:szCs w:val="24"/>
        </w:rPr>
      </w:pPr>
    </w:p>
    <w:tbl>
      <w:tblPr>
        <w:tblStyle w:val="TableGrid"/>
        <w:tblW w:w="9356" w:type="dxa"/>
        <w:tblInd w:w="-147" w:type="dxa"/>
        <w:tblLook w:val="04A0" w:firstRow="1" w:lastRow="0" w:firstColumn="1" w:lastColumn="0" w:noHBand="0" w:noVBand="1"/>
      </w:tblPr>
      <w:tblGrid>
        <w:gridCol w:w="426"/>
        <w:gridCol w:w="2005"/>
        <w:gridCol w:w="6925"/>
      </w:tblGrid>
      <w:tr w:rsidR="00C72DBF" w14:paraId="756E6136" w14:textId="77777777" w:rsidTr="00C72DBF">
        <w:tc>
          <w:tcPr>
            <w:tcW w:w="9356" w:type="dxa"/>
            <w:gridSpan w:val="3"/>
          </w:tcPr>
          <w:p w14:paraId="3316314F" w14:textId="26A35BC8" w:rsidR="00C72DBF" w:rsidRPr="00C72DBF" w:rsidRDefault="00C72DBF" w:rsidP="00C72DBF">
            <w:pPr>
              <w:pStyle w:val="naisf"/>
              <w:spacing w:before="0" w:after="0"/>
              <w:ind w:firstLine="0"/>
              <w:jc w:val="center"/>
              <w:rPr>
                <w:b/>
              </w:rPr>
            </w:pPr>
            <w:r w:rsidRPr="00C72DBF">
              <w:rPr>
                <w:b/>
              </w:rPr>
              <w:t>II. Tiesību akta projekta ietekme uz sabiedrību, tautsaimniecības attīstību un administratīvo slogu</w:t>
            </w:r>
          </w:p>
        </w:tc>
      </w:tr>
      <w:tr w:rsidR="00C72DBF" w14:paraId="10CD50E2" w14:textId="77777777" w:rsidTr="00EC7292">
        <w:tc>
          <w:tcPr>
            <w:tcW w:w="426" w:type="dxa"/>
          </w:tcPr>
          <w:p w14:paraId="269459B1" w14:textId="6404C3AC" w:rsidR="00C72DBF" w:rsidRDefault="00C72DBF" w:rsidP="00C72DBF">
            <w:pPr>
              <w:pStyle w:val="naisf"/>
              <w:spacing w:before="0" w:after="0"/>
              <w:ind w:firstLine="0"/>
            </w:pPr>
            <w:r>
              <w:t>1.</w:t>
            </w:r>
          </w:p>
        </w:tc>
        <w:tc>
          <w:tcPr>
            <w:tcW w:w="2005" w:type="dxa"/>
          </w:tcPr>
          <w:p w14:paraId="114484AC" w14:textId="77777777" w:rsidR="00C72DBF" w:rsidRDefault="00C72DBF" w:rsidP="00C72DBF">
            <w:pPr>
              <w:pStyle w:val="naiskr"/>
              <w:spacing w:before="20" w:after="20"/>
              <w:jc w:val="both"/>
            </w:pPr>
            <w:r w:rsidRPr="005F6894">
              <w:t xml:space="preserve">Sabiedrības mērķgrupas, </w:t>
            </w:r>
          </w:p>
          <w:p w14:paraId="2441A58F" w14:textId="0CA2845E" w:rsidR="00C72DBF" w:rsidRDefault="00C72DBF" w:rsidP="00C72DBF">
            <w:pPr>
              <w:pStyle w:val="naisf"/>
              <w:spacing w:before="0" w:after="0"/>
              <w:ind w:firstLine="0"/>
            </w:pPr>
            <w:r w:rsidRPr="005F6894">
              <w:t>kuras tiesiskais regulējums ietekmē vai varētu ietekmēt</w:t>
            </w:r>
          </w:p>
        </w:tc>
        <w:tc>
          <w:tcPr>
            <w:tcW w:w="6925" w:type="dxa"/>
          </w:tcPr>
          <w:p w14:paraId="51BCC15F" w14:textId="6F2AB303" w:rsidR="00C72DBF" w:rsidRDefault="00C72DBF" w:rsidP="00C72DBF">
            <w:pPr>
              <w:pStyle w:val="naiskr"/>
              <w:spacing w:before="20" w:after="20"/>
              <w:jc w:val="both"/>
            </w:pPr>
            <w:r>
              <w:t xml:space="preserve">Atkritumu reģenerācijas iekārtu operatori. Atkritumu apsaimniekošanas komersanti, kuri ieved Latvijā atkritumus reģenerācijai. </w:t>
            </w:r>
          </w:p>
          <w:p w14:paraId="057912A7" w14:textId="51532E54" w:rsidR="00C72DBF" w:rsidRDefault="00C72DBF" w:rsidP="00C72DBF">
            <w:pPr>
              <w:pStyle w:val="naisf"/>
              <w:spacing w:before="0" w:after="0"/>
              <w:ind w:firstLine="0"/>
            </w:pPr>
            <w:r>
              <w:t xml:space="preserve">Atkritumu radītāji.  </w:t>
            </w:r>
          </w:p>
        </w:tc>
      </w:tr>
      <w:tr w:rsidR="00C72DBF" w14:paraId="6442D8A2" w14:textId="77777777" w:rsidTr="00EC7292">
        <w:tc>
          <w:tcPr>
            <w:tcW w:w="426" w:type="dxa"/>
          </w:tcPr>
          <w:p w14:paraId="2FA4BB21" w14:textId="25D38A48" w:rsidR="00C72DBF" w:rsidRDefault="00C72DBF" w:rsidP="00C72DBF">
            <w:pPr>
              <w:pStyle w:val="naisf"/>
              <w:spacing w:before="0" w:after="0"/>
              <w:ind w:firstLine="0"/>
            </w:pPr>
            <w:r>
              <w:t>2.</w:t>
            </w:r>
          </w:p>
        </w:tc>
        <w:tc>
          <w:tcPr>
            <w:tcW w:w="2005" w:type="dxa"/>
          </w:tcPr>
          <w:p w14:paraId="5DABB056" w14:textId="65D24253" w:rsidR="00C72DBF" w:rsidRPr="00677E9D" w:rsidRDefault="00C72DBF" w:rsidP="00677E9D">
            <w:pPr>
              <w:pStyle w:val="naiskr"/>
              <w:spacing w:before="20" w:after="20"/>
              <w:jc w:val="both"/>
              <w:rPr>
                <w:rFonts w:ascii="Arial" w:hAnsi="Arial" w:cs="Arial"/>
                <w:color w:val="414142"/>
                <w:sz w:val="20"/>
                <w:szCs w:val="20"/>
                <w:shd w:val="clear" w:color="auto" w:fill="FFFFFF"/>
              </w:rPr>
            </w:pPr>
            <w:r w:rsidRPr="006B1707">
              <w:t>Tiesiskā regulējuma ietekme uz tautsaimniecību un administratīvo slogu</w:t>
            </w:r>
          </w:p>
        </w:tc>
        <w:tc>
          <w:tcPr>
            <w:tcW w:w="6925" w:type="dxa"/>
          </w:tcPr>
          <w:p w14:paraId="1E98BACC" w14:textId="2C6A4015" w:rsidR="00C72DBF" w:rsidRDefault="00C72DBF" w:rsidP="00C72DBF">
            <w:pPr>
              <w:pStyle w:val="naisf"/>
              <w:spacing w:before="0" w:after="0"/>
              <w:ind w:firstLine="0"/>
            </w:pPr>
            <w:r>
              <w:t xml:space="preserve">Noteikumu projekts neparedz ieviest jaunas administratīvās procedūras. Sabiedrības grupām un institūcijām projekta tiesiskais regulējums nemaina tiesības un pienākumus, kā arī veicamās darbības. </w:t>
            </w:r>
          </w:p>
        </w:tc>
      </w:tr>
      <w:tr w:rsidR="00C72DBF" w14:paraId="0A325133" w14:textId="77777777" w:rsidTr="00EC7292">
        <w:tc>
          <w:tcPr>
            <w:tcW w:w="426" w:type="dxa"/>
          </w:tcPr>
          <w:p w14:paraId="737DA55A" w14:textId="3F6CBC1B" w:rsidR="00C72DBF" w:rsidRDefault="00C72DBF" w:rsidP="00C72DBF">
            <w:pPr>
              <w:pStyle w:val="naisf"/>
              <w:spacing w:before="0" w:after="0"/>
              <w:ind w:firstLine="0"/>
            </w:pPr>
            <w:r>
              <w:t>3.</w:t>
            </w:r>
          </w:p>
        </w:tc>
        <w:tc>
          <w:tcPr>
            <w:tcW w:w="2005" w:type="dxa"/>
          </w:tcPr>
          <w:p w14:paraId="363D5A1E" w14:textId="0BDC3F90" w:rsidR="00C72DBF" w:rsidRDefault="00C72DBF" w:rsidP="00C72DBF">
            <w:pPr>
              <w:pStyle w:val="naisf"/>
              <w:spacing w:before="0" w:after="0"/>
              <w:ind w:firstLine="0"/>
            </w:pPr>
            <w:r>
              <w:t>Administratīvo izmaksu monetārs novērtējums</w:t>
            </w:r>
          </w:p>
        </w:tc>
        <w:tc>
          <w:tcPr>
            <w:tcW w:w="6925" w:type="dxa"/>
          </w:tcPr>
          <w:p w14:paraId="6AB70471" w14:textId="22EDAC12" w:rsidR="00C72DBF" w:rsidRDefault="001525D0" w:rsidP="00C72DBF">
            <w:pPr>
              <w:pStyle w:val="naisf"/>
              <w:spacing w:before="0" w:after="0"/>
              <w:ind w:firstLine="0"/>
            </w:pPr>
            <w:r>
              <w:t xml:space="preserve"> Projekts šo jomu neskar</w:t>
            </w:r>
          </w:p>
        </w:tc>
      </w:tr>
      <w:tr w:rsidR="00C72DBF" w14:paraId="1C9BBDD7" w14:textId="77777777" w:rsidTr="00EC7292">
        <w:tc>
          <w:tcPr>
            <w:tcW w:w="426" w:type="dxa"/>
          </w:tcPr>
          <w:p w14:paraId="4761C574" w14:textId="49792A61" w:rsidR="00C72DBF" w:rsidRPr="0076463B" w:rsidRDefault="00C72DBF" w:rsidP="00C72DBF">
            <w:pPr>
              <w:pStyle w:val="naisf"/>
              <w:spacing w:before="0" w:after="0"/>
              <w:ind w:firstLine="0"/>
            </w:pPr>
            <w:r w:rsidRPr="0076463B">
              <w:t>4.</w:t>
            </w:r>
          </w:p>
        </w:tc>
        <w:tc>
          <w:tcPr>
            <w:tcW w:w="2005" w:type="dxa"/>
          </w:tcPr>
          <w:p w14:paraId="0CE0C843" w14:textId="43E259D7" w:rsidR="00C72DBF" w:rsidRDefault="00C72DBF" w:rsidP="00C72DBF">
            <w:pPr>
              <w:pStyle w:val="naisf"/>
              <w:spacing w:before="0" w:after="0"/>
              <w:ind w:firstLine="0"/>
            </w:pPr>
            <w:r>
              <w:t> Cita</w:t>
            </w:r>
            <w:r w:rsidRPr="0076463B">
              <w:t xml:space="preserve"> informācija</w:t>
            </w:r>
          </w:p>
        </w:tc>
        <w:tc>
          <w:tcPr>
            <w:tcW w:w="6925" w:type="dxa"/>
          </w:tcPr>
          <w:p w14:paraId="266F7301" w14:textId="5D9D5842" w:rsidR="00C72DBF" w:rsidRPr="0076463B" w:rsidRDefault="00C72DBF" w:rsidP="00C72DBF">
            <w:pPr>
              <w:pStyle w:val="naisf"/>
              <w:spacing w:before="0" w:after="0"/>
              <w:ind w:firstLine="0"/>
            </w:pPr>
            <w:r>
              <w:t> Nav</w:t>
            </w:r>
          </w:p>
        </w:tc>
      </w:tr>
    </w:tbl>
    <w:p w14:paraId="38C23823" w14:textId="77777777" w:rsidR="00951F69" w:rsidRDefault="00951F69" w:rsidP="00C72DBF">
      <w:pPr>
        <w:pStyle w:val="naisc"/>
        <w:spacing w:before="0" w:after="0"/>
        <w:jc w:val="left"/>
      </w:pPr>
    </w:p>
    <w:p w14:paraId="0DF06937" w14:textId="77777777" w:rsidR="00951F69" w:rsidRDefault="00951F69" w:rsidP="00951F69">
      <w:pPr>
        <w:pStyle w:val="naisc"/>
        <w:spacing w:before="0" w:after="0"/>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84"/>
        <w:gridCol w:w="6946"/>
      </w:tblGrid>
      <w:tr w:rsidR="00951F69" w14:paraId="53B33915" w14:textId="77777777" w:rsidTr="00C4614E">
        <w:tc>
          <w:tcPr>
            <w:tcW w:w="9356" w:type="dxa"/>
            <w:gridSpan w:val="3"/>
          </w:tcPr>
          <w:p w14:paraId="5B0115EE" w14:textId="77777777" w:rsidR="00951F69" w:rsidRPr="00A613AB" w:rsidRDefault="00951F69" w:rsidP="00A9681C">
            <w:pPr>
              <w:pStyle w:val="naisnod"/>
              <w:spacing w:before="0" w:after="0"/>
            </w:pPr>
            <w:r w:rsidRPr="008B1E31">
              <w:t>IV. Tiesību akta projekta ietekme uz spēkā esošo tiesību normu sistēmu</w:t>
            </w:r>
          </w:p>
        </w:tc>
      </w:tr>
      <w:tr w:rsidR="00951F69" w:rsidRPr="002F1307" w14:paraId="6795D6F9" w14:textId="77777777" w:rsidTr="00C4614E">
        <w:tc>
          <w:tcPr>
            <w:tcW w:w="426" w:type="dxa"/>
          </w:tcPr>
          <w:p w14:paraId="1DA1AA81" w14:textId="77777777" w:rsidR="00951F69" w:rsidRPr="002F1307" w:rsidRDefault="00951F69" w:rsidP="00A9681C">
            <w:pPr>
              <w:pStyle w:val="naiskr"/>
              <w:tabs>
                <w:tab w:val="left" w:pos="2628"/>
              </w:tabs>
              <w:spacing w:before="0" w:after="0"/>
              <w:jc w:val="both"/>
            </w:pPr>
            <w:r w:rsidRPr="002F1307">
              <w:t>1.</w:t>
            </w:r>
          </w:p>
        </w:tc>
        <w:tc>
          <w:tcPr>
            <w:tcW w:w="1984" w:type="dxa"/>
          </w:tcPr>
          <w:p w14:paraId="5E16E277" w14:textId="77777777" w:rsidR="00951F69" w:rsidRPr="002F1307" w:rsidRDefault="00951F69" w:rsidP="00A9681C">
            <w:pPr>
              <w:pStyle w:val="naiskr"/>
              <w:tabs>
                <w:tab w:val="left" w:pos="2628"/>
              </w:tabs>
              <w:spacing w:before="0" w:after="0"/>
              <w:jc w:val="both"/>
            </w:pPr>
            <w:r w:rsidRPr="002F1307">
              <w:t>Nepieciešamie saistītie tiesību aktu projekti</w:t>
            </w:r>
          </w:p>
        </w:tc>
        <w:tc>
          <w:tcPr>
            <w:tcW w:w="6946" w:type="dxa"/>
          </w:tcPr>
          <w:p w14:paraId="2EFAD3A3" w14:textId="7B6CBD0C" w:rsidR="00951F69" w:rsidRPr="002F1307" w:rsidRDefault="004D515D" w:rsidP="00A9681C">
            <w:pPr>
              <w:pStyle w:val="naisf"/>
              <w:spacing w:before="0" w:after="0"/>
              <w:ind w:firstLine="0"/>
            </w:pPr>
            <w:r w:rsidRPr="00A613AB">
              <w:t xml:space="preserve">Nepieciešams izdarīt grozījumus </w:t>
            </w:r>
            <w:r>
              <w:t>L</w:t>
            </w:r>
            <w:r w:rsidRPr="00A613AB">
              <w:t>ikumā, nosakot kārtību, kādā var apstrīdēt un pārsūdzēt V</w:t>
            </w:r>
            <w:r>
              <w:t xml:space="preserve">VD </w:t>
            </w:r>
            <w:r w:rsidRPr="00BC7024">
              <w:t xml:space="preserve">pieņemtos lēmumus par atļauju ievest atkritumus reģenerācijai vai par atteikumu izsniegt minēto atļauju. Minētos grozījumus ir paredzēts iekļaut likumprojektā “Grozījumi Atkritumu apsaimniekošanas likumā” (VSS-78), kurš tika izsludināts Valsts sekretāru sanāksmē 2016.gada 28.janvārī. </w:t>
            </w:r>
          </w:p>
        </w:tc>
      </w:tr>
      <w:tr w:rsidR="004779F5" w:rsidRPr="002F1307" w14:paraId="23C30C59" w14:textId="77777777" w:rsidTr="00C4614E">
        <w:tc>
          <w:tcPr>
            <w:tcW w:w="426" w:type="dxa"/>
          </w:tcPr>
          <w:p w14:paraId="7A650896" w14:textId="77777777" w:rsidR="004779F5" w:rsidRPr="002F1307" w:rsidRDefault="004779F5" w:rsidP="00A9681C">
            <w:pPr>
              <w:pStyle w:val="naiskr"/>
              <w:tabs>
                <w:tab w:val="left" w:pos="2628"/>
              </w:tabs>
              <w:spacing w:before="0" w:after="0"/>
              <w:jc w:val="both"/>
            </w:pPr>
            <w:r>
              <w:t>2.</w:t>
            </w:r>
          </w:p>
        </w:tc>
        <w:tc>
          <w:tcPr>
            <w:tcW w:w="1984" w:type="dxa"/>
          </w:tcPr>
          <w:p w14:paraId="1107658C" w14:textId="77777777" w:rsidR="004779F5" w:rsidRPr="002F1307" w:rsidRDefault="004779F5" w:rsidP="00A9681C">
            <w:pPr>
              <w:pStyle w:val="naiskr"/>
              <w:tabs>
                <w:tab w:val="left" w:pos="2628"/>
              </w:tabs>
              <w:spacing w:before="0" w:after="0"/>
              <w:jc w:val="both"/>
            </w:pPr>
            <w:r w:rsidRPr="004779F5">
              <w:t>Atbildīgā institūcija</w:t>
            </w:r>
          </w:p>
        </w:tc>
        <w:tc>
          <w:tcPr>
            <w:tcW w:w="6946" w:type="dxa"/>
          </w:tcPr>
          <w:p w14:paraId="63CF537F" w14:textId="76A42745" w:rsidR="004779F5" w:rsidRDefault="0047630B" w:rsidP="00A9681C">
            <w:pPr>
              <w:pStyle w:val="naisf"/>
              <w:spacing w:before="0" w:after="0"/>
              <w:ind w:firstLine="0"/>
            </w:pPr>
            <w:r>
              <w:t>VARAM</w:t>
            </w:r>
          </w:p>
        </w:tc>
      </w:tr>
      <w:tr w:rsidR="00951F69" w:rsidRPr="002F1307" w14:paraId="01B11469" w14:textId="77777777" w:rsidTr="00C4614E">
        <w:tc>
          <w:tcPr>
            <w:tcW w:w="426" w:type="dxa"/>
          </w:tcPr>
          <w:p w14:paraId="0CBD8AAD" w14:textId="592761DA" w:rsidR="00951F69" w:rsidRPr="002F1307" w:rsidRDefault="004779F5" w:rsidP="00A9681C">
            <w:pPr>
              <w:pStyle w:val="naiskr"/>
              <w:tabs>
                <w:tab w:val="left" w:pos="2628"/>
              </w:tabs>
              <w:spacing w:before="0" w:after="0"/>
              <w:jc w:val="both"/>
            </w:pPr>
            <w:r>
              <w:t>3</w:t>
            </w:r>
            <w:r w:rsidR="00951F69" w:rsidRPr="002F1307">
              <w:t>.</w:t>
            </w:r>
          </w:p>
        </w:tc>
        <w:tc>
          <w:tcPr>
            <w:tcW w:w="1984" w:type="dxa"/>
          </w:tcPr>
          <w:p w14:paraId="5E7DC83E" w14:textId="77777777" w:rsidR="00951F69" w:rsidRPr="002F1307" w:rsidRDefault="00951F69" w:rsidP="00A9681C">
            <w:pPr>
              <w:pStyle w:val="naiskr"/>
              <w:tabs>
                <w:tab w:val="left" w:pos="2628"/>
              </w:tabs>
              <w:spacing w:before="0" w:after="0"/>
              <w:jc w:val="both"/>
            </w:pPr>
            <w:r w:rsidRPr="002F1307">
              <w:t>Cita informācija</w:t>
            </w:r>
          </w:p>
        </w:tc>
        <w:tc>
          <w:tcPr>
            <w:tcW w:w="6946" w:type="dxa"/>
          </w:tcPr>
          <w:p w14:paraId="1A77D19C" w14:textId="19DE7A7C" w:rsidR="00951F69" w:rsidRPr="006D4758" w:rsidRDefault="004D515D" w:rsidP="006D4758">
            <w:pPr>
              <w:jc w:val="both"/>
            </w:pPr>
            <w:r>
              <w:t xml:space="preserve">Nav. </w:t>
            </w:r>
          </w:p>
        </w:tc>
      </w:tr>
    </w:tbl>
    <w:p w14:paraId="101F4DE9" w14:textId="77777777" w:rsidR="00C72DBF" w:rsidRDefault="00C72DBF" w:rsidP="00951F69">
      <w:pPr>
        <w:pStyle w:val="naisc"/>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296"/>
        <w:gridCol w:w="6577"/>
      </w:tblGrid>
      <w:tr w:rsidR="00FF091E" w:rsidRPr="000B7CDC" w14:paraId="027B38AE" w14:textId="77777777" w:rsidTr="00EB1289">
        <w:trPr>
          <w:jc w:val="center"/>
        </w:trPr>
        <w:tc>
          <w:tcPr>
            <w:tcW w:w="9396" w:type="dxa"/>
            <w:gridSpan w:val="3"/>
          </w:tcPr>
          <w:p w14:paraId="7405181E" w14:textId="77777777" w:rsidR="00FF091E" w:rsidRPr="000B7CDC" w:rsidRDefault="00FF091E" w:rsidP="00EB1289">
            <w:pPr>
              <w:pStyle w:val="naisnod"/>
              <w:spacing w:before="0" w:after="0"/>
            </w:pPr>
            <w:r w:rsidRPr="000B7CDC">
              <w:t>V. Tiesību akta projekta atbilstība Latvijas Republikas starptautiskajām saistībām</w:t>
            </w:r>
          </w:p>
        </w:tc>
      </w:tr>
      <w:tr w:rsidR="00FF091E" w:rsidRPr="000B7CDC" w14:paraId="6265898B" w14:textId="77777777" w:rsidTr="00EB1289">
        <w:trPr>
          <w:jc w:val="center"/>
        </w:trPr>
        <w:tc>
          <w:tcPr>
            <w:tcW w:w="523" w:type="dxa"/>
          </w:tcPr>
          <w:p w14:paraId="4C3A0F67" w14:textId="77777777" w:rsidR="00FF091E" w:rsidRPr="000B7CDC" w:rsidRDefault="00FF091E" w:rsidP="00EB1289">
            <w:pPr>
              <w:pStyle w:val="naiskr"/>
              <w:tabs>
                <w:tab w:val="left" w:pos="2628"/>
              </w:tabs>
              <w:spacing w:before="0" w:after="0"/>
              <w:jc w:val="both"/>
            </w:pPr>
            <w:r w:rsidRPr="000B7CDC">
              <w:t>1.</w:t>
            </w:r>
          </w:p>
        </w:tc>
        <w:tc>
          <w:tcPr>
            <w:tcW w:w="2296" w:type="dxa"/>
          </w:tcPr>
          <w:p w14:paraId="6A6DB1FE" w14:textId="77777777" w:rsidR="00FF091E" w:rsidRPr="000B7CDC" w:rsidRDefault="00FF091E" w:rsidP="00EB1289">
            <w:pPr>
              <w:pStyle w:val="naiskr"/>
              <w:tabs>
                <w:tab w:val="left" w:pos="2628"/>
              </w:tabs>
              <w:spacing w:before="0" w:after="0"/>
              <w:jc w:val="both"/>
            </w:pPr>
            <w:r w:rsidRPr="000B7CDC">
              <w:t>Saistības pret Eiropas Savienību</w:t>
            </w:r>
          </w:p>
        </w:tc>
        <w:tc>
          <w:tcPr>
            <w:tcW w:w="6577" w:type="dxa"/>
          </w:tcPr>
          <w:p w14:paraId="28FBE3F9" w14:textId="70100FD8" w:rsidR="00FF091E" w:rsidRPr="000B7CDC" w:rsidRDefault="00FF091E" w:rsidP="00EB1289">
            <w:pPr>
              <w:pStyle w:val="naisc"/>
              <w:spacing w:before="0" w:after="0"/>
              <w:jc w:val="both"/>
              <w:rPr>
                <w:i/>
                <w:iCs/>
              </w:rPr>
            </w:pPr>
            <w:r w:rsidRPr="000B7CDC">
              <w:t xml:space="preserve"> </w:t>
            </w:r>
            <w:r w:rsidR="006C77A4">
              <w:t>Regula Nr.1013/2006 (</w:t>
            </w:r>
            <w:r w:rsidR="006C77A4" w:rsidRPr="006C77A4">
              <w:rPr>
                <w:i/>
              </w:rPr>
              <w:t>OV L 190, 12.7.2006., 1. lpp.</w:t>
            </w:r>
            <w:r w:rsidR="006C77A4">
              <w:t>)</w:t>
            </w:r>
            <w:bookmarkStart w:id="0" w:name="_GoBack"/>
            <w:bookmarkEnd w:id="0"/>
          </w:p>
        </w:tc>
      </w:tr>
      <w:tr w:rsidR="00FF091E" w:rsidRPr="000B7CDC" w14:paraId="1387E1C7" w14:textId="77777777" w:rsidTr="00EB1289">
        <w:trPr>
          <w:jc w:val="center"/>
        </w:trPr>
        <w:tc>
          <w:tcPr>
            <w:tcW w:w="523" w:type="dxa"/>
          </w:tcPr>
          <w:p w14:paraId="6C5A7B46" w14:textId="77777777" w:rsidR="00FF091E" w:rsidRPr="000B7CDC" w:rsidRDefault="00FF091E" w:rsidP="00EB1289">
            <w:pPr>
              <w:pStyle w:val="naiskr"/>
              <w:tabs>
                <w:tab w:val="left" w:pos="2628"/>
              </w:tabs>
              <w:spacing w:before="0" w:after="0"/>
              <w:jc w:val="both"/>
            </w:pPr>
            <w:r w:rsidRPr="000B7CDC">
              <w:t>2.</w:t>
            </w:r>
          </w:p>
        </w:tc>
        <w:tc>
          <w:tcPr>
            <w:tcW w:w="2296" w:type="dxa"/>
          </w:tcPr>
          <w:p w14:paraId="66382E34" w14:textId="77777777" w:rsidR="00FF091E" w:rsidRPr="000B7CDC" w:rsidRDefault="00FF091E" w:rsidP="00EB1289">
            <w:pPr>
              <w:pStyle w:val="naiskr"/>
              <w:tabs>
                <w:tab w:val="left" w:pos="2628"/>
              </w:tabs>
              <w:spacing w:before="0" w:after="0"/>
              <w:jc w:val="both"/>
            </w:pPr>
            <w:r w:rsidRPr="000B7CDC">
              <w:t>Citas starptautiskās saistības</w:t>
            </w:r>
          </w:p>
        </w:tc>
        <w:tc>
          <w:tcPr>
            <w:tcW w:w="6577" w:type="dxa"/>
          </w:tcPr>
          <w:p w14:paraId="145171D0" w14:textId="426F9459" w:rsidR="00FF091E" w:rsidRPr="000B7CDC" w:rsidRDefault="002A095D" w:rsidP="00EB1289">
            <w:pPr>
              <w:pStyle w:val="naiskr"/>
              <w:tabs>
                <w:tab w:val="left" w:pos="2628"/>
              </w:tabs>
              <w:spacing w:before="0" w:after="0"/>
              <w:jc w:val="both"/>
            </w:pPr>
            <w:r>
              <w:t>Bāzeles Konvencija par kontroli pār kaitīgo atkritumu robežšķērsojošo transportēšanu un to aizvākšanu</w:t>
            </w:r>
          </w:p>
        </w:tc>
      </w:tr>
      <w:tr w:rsidR="00FF091E" w:rsidRPr="000B7CDC" w14:paraId="2C70C750" w14:textId="77777777" w:rsidTr="00EB1289">
        <w:trPr>
          <w:jc w:val="center"/>
        </w:trPr>
        <w:tc>
          <w:tcPr>
            <w:tcW w:w="523" w:type="dxa"/>
          </w:tcPr>
          <w:p w14:paraId="5EED3F05" w14:textId="77777777" w:rsidR="00FF091E" w:rsidRPr="000B7CDC" w:rsidRDefault="00FF091E" w:rsidP="00EB1289">
            <w:pPr>
              <w:pStyle w:val="naiskr"/>
              <w:tabs>
                <w:tab w:val="left" w:pos="2628"/>
              </w:tabs>
              <w:spacing w:before="0" w:after="0"/>
              <w:jc w:val="both"/>
            </w:pPr>
            <w:r w:rsidRPr="000B7CDC">
              <w:t>3.</w:t>
            </w:r>
          </w:p>
        </w:tc>
        <w:tc>
          <w:tcPr>
            <w:tcW w:w="2296" w:type="dxa"/>
          </w:tcPr>
          <w:p w14:paraId="4E9797B4" w14:textId="77777777" w:rsidR="00FF091E" w:rsidRPr="000B7CDC" w:rsidRDefault="00FF091E" w:rsidP="00EB1289">
            <w:pPr>
              <w:pStyle w:val="naiskr"/>
              <w:tabs>
                <w:tab w:val="left" w:pos="2628"/>
              </w:tabs>
              <w:spacing w:before="0" w:after="0"/>
              <w:jc w:val="both"/>
            </w:pPr>
            <w:r w:rsidRPr="000B7CDC">
              <w:t>Cita informācija</w:t>
            </w:r>
          </w:p>
        </w:tc>
        <w:tc>
          <w:tcPr>
            <w:tcW w:w="6577" w:type="dxa"/>
          </w:tcPr>
          <w:p w14:paraId="28A3BC05" w14:textId="77777777" w:rsidR="00FF091E" w:rsidRPr="000B7CDC" w:rsidRDefault="00FF091E" w:rsidP="00EB1289">
            <w:pPr>
              <w:pStyle w:val="naiskr"/>
              <w:tabs>
                <w:tab w:val="left" w:pos="2628"/>
              </w:tabs>
              <w:spacing w:before="0" w:after="0"/>
              <w:jc w:val="both"/>
            </w:pPr>
            <w:r w:rsidRPr="000B7CDC">
              <w:t>Nav.</w:t>
            </w:r>
          </w:p>
        </w:tc>
      </w:tr>
    </w:tbl>
    <w:p w14:paraId="7D9B0414" w14:textId="77777777" w:rsidR="00FF091E" w:rsidRPr="000B7CDC" w:rsidRDefault="00FF091E" w:rsidP="00FF091E">
      <w:pPr>
        <w:pStyle w:val="naisf"/>
        <w:spacing w:before="0" w:after="0"/>
        <w:ind w:firstLine="0"/>
      </w:pP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07"/>
        <w:gridCol w:w="2977"/>
        <w:gridCol w:w="1559"/>
        <w:gridCol w:w="2175"/>
      </w:tblGrid>
      <w:tr w:rsidR="00FF091E" w:rsidRPr="000B7CDC" w14:paraId="2171AC6A" w14:textId="77777777" w:rsidTr="0022596F">
        <w:trPr>
          <w:trHeight w:val="523"/>
          <w:jc w:val="center"/>
        </w:trPr>
        <w:tc>
          <w:tcPr>
            <w:tcW w:w="9318" w:type="dxa"/>
            <w:gridSpan w:val="4"/>
            <w:vAlign w:val="center"/>
          </w:tcPr>
          <w:p w14:paraId="3EF86010" w14:textId="77777777" w:rsidR="00FF091E" w:rsidRPr="000B7CDC" w:rsidRDefault="00FF091E" w:rsidP="00EB1289">
            <w:pPr>
              <w:pStyle w:val="naisnod"/>
              <w:spacing w:before="0" w:after="0"/>
            </w:pPr>
            <w:r w:rsidRPr="000B7CDC">
              <w:t>1.tabula</w:t>
            </w:r>
          </w:p>
          <w:p w14:paraId="598A15C2" w14:textId="77777777" w:rsidR="00FF091E" w:rsidRPr="000B7CDC" w:rsidRDefault="00FF091E" w:rsidP="00EB1289">
            <w:pPr>
              <w:pStyle w:val="naisnod"/>
              <w:spacing w:before="0" w:after="0"/>
              <w:rPr>
                <w:i/>
              </w:rPr>
            </w:pPr>
            <w:r w:rsidRPr="000B7CDC">
              <w:t>Tiesību akta projekta atbilstība ES tiesību aktiem</w:t>
            </w:r>
          </w:p>
        </w:tc>
      </w:tr>
      <w:tr w:rsidR="00FF091E" w:rsidRPr="000B7CDC" w14:paraId="52454A54" w14:textId="77777777" w:rsidTr="0022596F">
        <w:trPr>
          <w:trHeight w:val="1252"/>
          <w:jc w:val="center"/>
        </w:trPr>
        <w:tc>
          <w:tcPr>
            <w:tcW w:w="2607" w:type="dxa"/>
            <w:vAlign w:val="center"/>
          </w:tcPr>
          <w:p w14:paraId="20F0186E" w14:textId="77777777" w:rsidR="00FF091E" w:rsidRPr="000B7CDC" w:rsidRDefault="00FF091E" w:rsidP="00EB1289">
            <w:pPr>
              <w:pStyle w:val="naiskr"/>
              <w:spacing w:before="0" w:after="0"/>
              <w:ind w:hanging="10"/>
              <w:jc w:val="both"/>
            </w:pPr>
            <w:r w:rsidRPr="000B7CDC">
              <w:t>Attiecīgā ES tiesību akta datums, numurs un nosaukums</w:t>
            </w:r>
          </w:p>
        </w:tc>
        <w:tc>
          <w:tcPr>
            <w:tcW w:w="6711" w:type="dxa"/>
            <w:gridSpan w:val="3"/>
            <w:vAlign w:val="center"/>
          </w:tcPr>
          <w:p w14:paraId="35E5F719" w14:textId="43096855" w:rsidR="00FF091E" w:rsidRPr="000B7CDC" w:rsidRDefault="002A095D" w:rsidP="00EB1289">
            <w:pPr>
              <w:pStyle w:val="naisc"/>
              <w:spacing w:before="0" w:after="0"/>
              <w:jc w:val="both"/>
            </w:pPr>
            <w:r>
              <w:t>Regula Nr.1013/2006 (</w:t>
            </w:r>
            <w:r w:rsidRPr="006C77A4">
              <w:rPr>
                <w:i/>
              </w:rPr>
              <w:t>OV L 190, 12.7.2006., 1. lpp.</w:t>
            </w:r>
            <w:r>
              <w:t>)</w:t>
            </w:r>
          </w:p>
        </w:tc>
      </w:tr>
      <w:tr w:rsidR="00FF091E" w:rsidRPr="000B7CDC" w14:paraId="34728277" w14:textId="77777777" w:rsidTr="0022596F">
        <w:trPr>
          <w:trHeight w:val="165"/>
          <w:jc w:val="center"/>
        </w:trPr>
        <w:tc>
          <w:tcPr>
            <w:tcW w:w="2607" w:type="dxa"/>
            <w:vAlign w:val="center"/>
          </w:tcPr>
          <w:p w14:paraId="474166F6" w14:textId="77777777" w:rsidR="00FF091E" w:rsidRPr="000B7CDC" w:rsidRDefault="00FF091E" w:rsidP="00EB1289">
            <w:pPr>
              <w:pStyle w:val="naiskr"/>
              <w:spacing w:before="0" w:after="0"/>
              <w:jc w:val="both"/>
            </w:pPr>
            <w:r w:rsidRPr="000B7CDC">
              <w:t>A</w:t>
            </w:r>
          </w:p>
        </w:tc>
        <w:tc>
          <w:tcPr>
            <w:tcW w:w="2977" w:type="dxa"/>
            <w:vAlign w:val="center"/>
          </w:tcPr>
          <w:p w14:paraId="3317BB2B" w14:textId="77777777" w:rsidR="00FF091E" w:rsidRPr="000B7CDC" w:rsidRDefault="00FF091E" w:rsidP="00EB1289">
            <w:pPr>
              <w:pStyle w:val="naiskr"/>
              <w:spacing w:before="0" w:after="0"/>
              <w:jc w:val="both"/>
            </w:pPr>
            <w:r w:rsidRPr="000B7CDC">
              <w:t>B</w:t>
            </w:r>
          </w:p>
        </w:tc>
        <w:tc>
          <w:tcPr>
            <w:tcW w:w="1559" w:type="dxa"/>
            <w:vAlign w:val="center"/>
          </w:tcPr>
          <w:p w14:paraId="30742542" w14:textId="77777777" w:rsidR="00FF091E" w:rsidRPr="000B7CDC" w:rsidRDefault="00FF091E" w:rsidP="00EB1289">
            <w:pPr>
              <w:pStyle w:val="naiskr"/>
              <w:spacing w:before="0" w:after="0"/>
              <w:jc w:val="both"/>
            </w:pPr>
            <w:r w:rsidRPr="000B7CDC">
              <w:t>C</w:t>
            </w:r>
          </w:p>
        </w:tc>
        <w:tc>
          <w:tcPr>
            <w:tcW w:w="2175" w:type="dxa"/>
            <w:vAlign w:val="center"/>
          </w:tcPr>
          <w:p w14:paraId="72C61723" w14:textId="77777777" w:rsidR="00FF091E" w:rsidRPr="000B7CDC" w:rsidRDefault="00FF091E" w:rsidP="00EB1289">
            <w:pPr>
              <w:pStyle w:val="naiskr"/>
              <w:spacing w:before="0" w:after="0"/>
              <w:jc w:val="both"/>
            </w:pPr>
            <w:r w:rsidRPr="000B7CDC">
              <w:t>D</w:t>
            </w:r>
          </w:p>
        </w:tc>
      </w:tr>
      <w:tr w:rsidR="00FF091E" w:rsidRPr="000B7CDC" w14:paraId="379795AA" w14:textId="77777777" w:rsidTr="0022596F">
        <w:trPr>
          <w:trHeight w:val="410"/>
          <w:jc w:val="center"/>
        </w:trPr>
        <w:tc>
          <w:tcPr>
            <w:tcW w:w="2607" w:type="dxa"/>
          </w:tcPr>
          <w:p w14:paraId="2803E6AC" w14:textId="7207449D" w:rsidR="00FF091E" w:rsidRPr="000B7CDC" w:rsidRDefault="002A095D" w:rsidP="00EB1289">
            <w:pPr>
              <w:pStyle w:val="naiskr"/>
              <w:spacing w:before="0" w:after="0"/>
              <w:jc w:val="both"/>
            </w:pPr>
            <w:r>
              <w:t>3.panta 1.punkts</w:t>
            </w:r>
          </w:p>
        </w:tc>
        <w:tc>
          <w:tcPr>
            <w:tcW w:w="2977" w:type="dxa"/>
          </w:tcPr>
          <w:p w14:paraId="19999982" w14:textId="57B03986" w:rsidR="00FF091E" w:rsidRPr="000B7CDC" w:rsidRDefault="0012477B" w:rsidP="002A095D">
            <w:r>
              <w:t>2.punkts</w:t>
            </w:r>
          </w:p>
        </w:tc>
        <w:tc>
          <w:tcPr>
            <w:tcW w:w="1559" w:type="dxa"/>
          </w:tcPr>
          <w:p w14:paraId="34A2D277" w14:textId="5AF01EF5" w:rsidR="00FF091E" w:rsidRPr="000B7CDC" w:rsidRDefault="0012477B" w:rsidP="00EB1289">
            <w:pPr>
              <w:pStyle w:val="naiskr"/>
              <w:spacing w:before="0" w:after="0"/>
              <w:jc w:val="both"/>
            </w:pPr>
            <w:r>
              <w:t>Atbilst pilnībā</w:t>
            </w:r>
          </w:p>
        </w:tc>
        <w:tc>
          <w:tcPr>
            <w:tcW w:w="2175" w:type="dxa"/>
          </w:tcPr>
          <w:p w14:paraId="6570E895" w14:textId="50192BB5" w:rsidR="00FF091E" w:rsidRPr="000B7CDC" w:rsidRDefault="0012477B" w:rsidP="00EB1289">
            <w:pPr>
              <w:pStyle w:val="naiskr"/>
              <w:spacing w:before="0" w:after="0"/>
              <w:jc w:val="both"/>
            </w:pPr>
            <w:r>
              <w:t>Netiek noteiktas stingrākas prasības.</w:t>
            </w:r>
          </w:p>
        </w:tc>
      </w:tr>
      <w:tr w:rsidR="0012477B" w:rsidRPr="000B7CDC" w14:paraId="56BED906" w14:textId="77777777" w:rsidTr="0022596F">
        <w:trPr>
          <w:trHeight w:val="410"/>
          <w:jc w:val="center"/>
        </w:trPr>
        <w:tc>
          <w:tcPr>
            <w:tcW w:w="2607" w:type="dxa"/>
          </w:tcPr>
          <w:p w14:paraId="4D55660F" w14:textId="5BD5024D" w:rsidR="0012477B" w:rsidRPr="000B7CDC" w:rsidRDefault="0012477B" w:rsidP="0012477B">
            <w:pPr>
              <w:pStyle w:val="naiskr"/>
              <w:spacing w:before="0" w:after="0"/>
              <w:jc w:val="both"/>
            </w:pPr>
            <w:r>
              <w:t>4.pants</w:t>
            </w:r>
          </w:p>
        </w:tc>
        <w:tc>
          <w:tcPr>
            <w:tcW w:w="2977" w:type="dxa"/>
          </w:tcPr>
          <w:p w14:paraId="60393C57" w14:textId="70AE9931" w:rsidR="0012477B" w:rsidRPr="000B7CDC" w:rsidRDefault="0012477B" w:rsidP="0012477B">
            <w:pPr>
              <w:pStyle w:val="naiskr"/>
              <w:spacing w:before="0" w:after="0"/>
              <w:jc w:val="both"/>
            </w:pPr>
            <w:r>
              <w:t>3.punkts</w:t>
            </w:r>
          </w:p>
        </w:tc>
        <w:tc>
          <w:tcPr>
            <w:tcW w:w="1559" w:type="dxa"/>
          </w:tcPr>
          <w:p w14:paraId="0ECCCF38" w14:textId="7524A233" w:rsidR="0012477B" w:rsidRPr="0012477B" w:rsidRDefault="0012477B" w:rsidP="0012477B">
            <w:pPr>
              <w:pStyle w:val="naiskr"/>
              <w:spacing w:before="0" w:after="0"/>
              <w:jc w:val="both"/>
              <w:rPr>
                <w:b/>
              </w:rPr>
            </w:pPr>
            <w:r>
              <w:t>Atbilst pilnībā</w:t>
            </w:r>
          </w:p>
        </w:tc>
        <w:tc>
          <w:tcPr>
            <w:tcW w:w="2175" w:type="dxa"/>
          </w:tcPr>
          <w:p w14:paraId="62364340" w14:textId="196F7E82" w:rsidR="0012477B" w:rsidRPr="000B7CDC" w:rsidRDefault="0012477B" w:rsidP="0012477B">
            <w:pPr>
              <w:pStyle w:val="naiskr"/>
              <w:spacing w:before="0" w:after="0"/>
              <w:jc w:val="both"/>
            </w:pPr>
            <w:r>
              <w:t>Netiek noteiktas stingrākas prasības.</w:t>
            </w:r>
          </w:p>
        </w:tc>
      </w:tr>
      <w:tr w:rsidR="0012477B" w:rsidRPr="000B7CDC" w14:paraId="1A9DF558" w14:textId="77777777" w:rsidTr="0022596F">
        <w:trPr>
          <w:trHeight w:val="410"/>
          <w:jc w:val="center"/>
        </w:trPr>
        <w:tc>
          <w:tcPr>
            <w:tcW w:w="2607" w:type="dxa"/>
          </w:tcPr>
          <w:p w14:paraId="72988ECC" w14:textId="2CD3E2CA" w:rsidR="0012477B" w:rsidRPr="000B7CDC" w:rsidRDefault="0012477B" w:rsidP="0012477B">
            <w:pPr>
              <w:pStyle w:val="naiskr"/>
              <w:spacing w:before="0" w:after="0"/>
              <w:jc w:val="both"/>
            </w:pPr>
            <w:r>
              <w:t>9.panta 1.punkts</w:t>
            </w:r>
          </w:p>
        </w:tc>
        <w:tc>
          <w:tcPr>
            <w:tcW w:w="2977" w:type="dxa"/>
          </w:tcPr>
          <w:p w14:paraId="7C8CE9F2" w14:textId="7537CFDA" w:rsidR="0012477B" w:rsidRPr="000B7CDC" w:rsidRDefault="0012477B" w:rsidP="0012477B">
            <w:r>
              <w:t>3.punkts</w:t>
            </w:r>
          </w:p>
        </w:tc>
        <w:tc>
          <w:tcPr>
            <w:tcW w:w="1559" w:type="dxa"/>
          </w:tcPr>
          <w:p w14:paraId="44F7EBBD" w14:textId="0F8CD369" w:rsidR="0012477B" w:rsidRPr="000B7CDC" w:rsidRDefault="0012477B" w:rsidP="0012477B">
            <w:pPr>
              <w:pStyle w:val="naiskr"/>
              <w:spacing w:before="0" w:after="0"/>
              <w:jc w:val="both"/>
            </w:pPr>
            <w:r>
              <w:t>Atbilst pilnībā</w:t>
            </w:r>
          </w:p>
        </w:tc>
        <w:tc>
          <w:tcPr>
            <w:tcW w:w="2175" w:type="dxa"/>
          </w:tcPr>
          <w:p w14:paraId="761B9131" w14:textId="2897180C" w:rsidR="0012477B" w:rsidRPr="000B7CDC" w:rsidRDefault="0012477B" w:rsidP="0012477B">
            <w:pPr>
              <w:pStyle w:val="naiskr"/>
              <w:spacing w:before="0" w:after="0"/>
              <w:jc w:val="both"/>
            </w:pPr>
            <w:r>
              <w:t>Netiek noteiktas stingrākas prasības.</w:t>
            </w:r>
          </w:p>
        </w:tc>
      </w:tr>
    </w:tbl>
    <w:p w14:paraId="4B3641E8" w14:textId="77777777" w:rsidR="00FF091E" w:rsidRDefault="00FF091E" w:rsidP="0022596F">
      <w:pPr>
        <w:pStyle w:val="naisf"/>
        <w:spacing w:before="0" w:after="0"/>
        <w:ind w:firstLine="0"/>
      </w:pPr>
    </w:p>
    <w:tbl>
      <w:tblPr>
        <w:tblStyle w:val="TableGrid"/>
        <w:tblW w:w="9356" w:type="dxa"/>
        <w:tblInd w:w="-147" w:type="dxa"/>
        <w:tblLook w:val="04A0" w:firstRow="1" w:lastRow="0" w:firstColumn="1" w:lastColumn="0" w:noHBand="0" w:noVBand="1"/>
      </w:tblPr>
      <w:tblGrid>
        <w:gridCol w:w="6186"/>
        <w:gridCol w:w="3170"/>
      </w:tblGrid>
      <w:tr w:rsidR="0022596F" w14:paraId="0371AEB2" w14:textId="77777777" w:rsidTr="0022596F">
        <w:tc>
          <w:tcPr>
            <w:tcW w:w="6186" w:type="dxa"/>
          </w:tcPr>
          <w:p w14:paraId="4CB6E0B1" w14:textId="77777777" w:rsidR="0022596F" w:rsidRPr="000B7CDC" w:rsidRDefault="0022596F" w:rsidP="0022596F">
            <w:pPr>
              <w:pStyle w:val="naiskr"/>
              <w:spacing w:before="0" w:after="0"/>
              <w:jc w:val="both"/>
            </w:pPr>
            <w:r w:rsidRPr="000B7CDC">
              <w:t>Kā ir izmantota ES tiesību aktā paredzētā rīcības brīvība dalībvalstij pārņemt vai ieviest noteiktas ES tiesību akta normas.</w:t>
            </w:r>
          </w:p>
          <w:p w14:paraId="4C18549D" w14:textId="1ED6D007" w:rsidR="0022596F" w:rsidRDefault="0022596F" w:rsidP="0022596F">
            <w:pPr>
              <w:pStyle w:val="naisf"/>
              <w:spacing w:before="0" w:after="0"/>
              <w:ind w:firstLine="0"/>
            </w:pPr>
            <w:r w:rsidRPr="000B7CDC">
              <w:t>Kādēļ?</w:t>
            </w:r>
          </w:p>
        </w:tc>
        <w:tc>
          <w:tcPr>
            <w:tcW w:w="3170" w:type="dxa"/>
          </w:tcPr>
          <w:p w14:paraId="3FCBAB26" w14:textId="269FDEDD" w:rsidR="0022596F" w:rsidRDefault="0022596F" w:rsidP="0022596F">
            <w:pPr>
              <w:pStyle w:val="naisf"/>
              <w:spacing w:before="0" w:after="0"/>
              <w:ind w:firstLine="0"/>
            </w:pPr>
            <w:r w:rsidRPr="000B7CDC">
              <w:t>Ar noteikumu projektu transponējamās tiesību normas neparedz rīcības brīvību dalībvalstīm.</w:t>
            </w:r>
          </w:p>
        </w:tc>
      </w:tr>
      <w:tr w:rsidR="0022596F" w14:paraId="30D67055" w14:textId="77777777" w:rsidTr="0022596F">
        <w:tc>
          <w:tcPr>
            <w:tcW w:w="6186" w:type="dxa"/>
          </w:tcPr>
          <w:p w14:paraId="3B4786A1" w14:textId="1A1D83CB" w:rsidR="0022596F" w:rsidRDefault="0022596F" w:rsidP="0022596F">
            <w:pPr>
              <w:pStyle w:val="naisf"/>
              <w:spacing w:before="0" w:after="0"/>
              <w:ind w:firstLine="0"/>
            </w:pPr>
            <w:r w:rsidRPr="000B7CD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170" w:type="dxa"/>
          </w:tcPr>
          <w:p w14:paraId="48CE63C6" w14:textId="26A24EF9" w:rsidR="0022596F" w:rsidRDefault="0022596F" w:rsidP="0022596F">
            <w:pPr>
              <w:pStyle w:val="naisf"/>
              <w:spacing w:before="0" w:after="0"/>
              <w:ind w:firstLine="0"/>
            </w:pPr>
            <w:r>
              <w:t>Projekts šo jomu neskar.</w:t>
            </w:r>
          </w:p>
        </w:tc>
      </w:tr>
      <w:tr w:rsidR="0022596F" w14:paraId="7277C76C" w14:textId="77777777" w:rsidTr="0022596F">
        <w:tc>
          <w:tcPr>
            <w:tcW w:w="6186" w:type="dxa"/>
          </w:tcPr>
          <w:p w14:paraId="2DA038B5" w14:textId="12537453" w:rsidR="0022596F" w:rsidRDefault="0022596F" w:rsidP="0022596F">
            <w:pPr>
              <w:pStyle w:val="naisf"/>
              <w:spacing w:before="0" w:after="0"/>
              <w:ind w:firstLine="0"/>
            </w:pPr>
            <w:r>
              <w:t>Cita informācija</w:t>
            </w:r>
          </w:p>
        </w:tc>
        <w:tc>
          <w:tcPr>
            <w:tcW w:w="3170" w:type="dxa"/>
          </w:tcPr>
          <w:p w14:paraId="4ABA91CA" w14:textId="2E635A70" w:rsidR="0022596F" w:rsidRDefault="008002FE" w:rsidP="008002FE">
            <w:pPr>
              <w:pStyle w:val="NormalWeb"/>
            </w:pPr>
            <w:r>
              <w:t>Līguma par Eiropas Savienības darbību 288. pants nosaka, ka regulas ir vispārpiemērojamas. Tās uzliek saistības kopumā un ir tieši piemērojamas visās dalībvalstīs.</w:t>
            </w:r>
          </w:p>
        </w:tc>
      </w:tr>
    </w:tbl>
    <w:p w14:paraId="2845D4C7" w14:textId="77777777" w:rsidR="0022596F" w:rsidRDefault="0022596F" w:rsidP="0022596F">
      <w:pPr>
        <w:pStyle w:val="naisf"/>
        <w:spacing w:before="0" w:after="0"/>
        <w:ind w:firstLine="0"/>
      </w:pPr>
    </w:p>
    <w:tbl>
      <w:tblPr>
        <w:tblStyle w:val="TableGrid"/>
        <w:tblW w:w="0" w:type="auto"/>
        <w:tblLook w:val="04A0" w:firstRow="1" w:lastRow="0" w:firstColumn="1" w:lastColumn="0" w:noHBand="0" w:noVBand="1"/>
      </w:tblPr>
      <w:tblGrid>
        <w:gridCol w:w="2264"/>
        <w:gridCol w:w="2693"/>
        <w:gridCol w:w="1837"/>
        <w:gridCol w:w="2265"/>
      </w:tblGrid>
      <w:tr w:rsidR="002F581C" w14:paraId="3DA6896C" w14:textId="77777777" w:rsidTr="007D2B10">
        <w:tc>
          <w:tcPr>
            <w:tcW w:w="9059" w:type="dxa"/>
            <w:gridSpan w:val="4"/>
          </w:tcPr>
          <w:p w14:paraId="34D8D0B8" w14:textId="77777777" w:rsidR="002F581C" w:rsidRPr="000B7CDC" w:rsidRDefault="002F581C" w:rsidP="002F581C">
            <w:pPr>
              <w:pStyle w:val="naisnod"/>
              <w:spacing w:before="0" w:after="0"/>
            </w:pPr>
            <w:r w:rsidRPr="000B7CDC">
              <w:t> 2.tabula</w:t>
            </w:r>
          </w:p>
          <w:p w14:paraId="7CCBEF0B" w14:textId="77777777" w:rsidR="002F581C" w:rsidRPr="000B7CDC" w:rsidRDefault="002F581C" w:rsidP="002F581C">
            <w:pPr>
              <w:pStyle w:val="naisnod"/>
              <w:spacing w:before="0" w:after="0"/>
            </w:pPr>
            <w:r w:rsidRPr="000B7CDC">
              <w:t>Ar tiesību akta projektu uzņemtās saistības, kas izriet no starptautiskajiem tiesību aktiem vai starptautiskas institūcijas vai organizācijas dokumentiem</w:t>
            </w:r>
          </w:p>
          <w:p w14:paraId="369E6EC9" w14:textId="77777777" w:rsidR="002F581C" w:rsidRDefault="002F581C" w:rsidP="002F581C">
            <w:pPr>
              <w:pStyle w:val="naisnod"/>
              <w:spacing w:before="0" w:after="0"/>
            </w:pPr>
            <w:r w:rsidRPr="000B7CDC">
              <w:t>Pasākumi šo saistību izpildei</w:t>
            </w:r>
          </w:p>
          <w:p w14:paraId="597020C8" w14:textId="77777777" w:rsidR="002F581C" w:rsidRDefault="002F581C" w:rsidP="0022596F">
            <w:pPr>
              <w:pStyle w:val="naisf"/>
              <w:spacing w:before="0" w:after="0"/>
              <w:ind w:firstLine="0"/>
            </w:pPr>
          </w:p>
        </w:tc>
      </w:tr>
      <w:tr w:rsidR="002F581C" w14:paraId="481731F3" w14:textId="77777777" w:rsidTr="002F581C">
        <w:tc>
          <w:tcPr>
            <w:tcW w:w="4957" w:type="dxa"/>
            <w:gridSpan w:val="2"/>
          </w:tcPr>
          <w:p w14:paraId="38F2DC3C" w14:textId="348EE590" w:rsidR="002F581C" w:rsidRDefault="002F581C" w:rsidP="0022596F">
            <w:pPr>
              <w:pStyle w:val="naisf"/>
              <w:spacing w:before="0" w:after="0"/>
              <w:ind w:firstLine="0"/>
            </w:pPr>
            <w:r>
              <w:t>Attiecīgā starptautiskā tiesību akta vai starptautiskas institūcijas vai organizācijas dokumenta (turpmāk – starptautiskais dokuments) datums, numurs un nosaukums</w:t>
            </w:r>
          </w:p>
        </w:tc>
        <w:tc>
          <w:tcPr>
            <w:tcW w:w="4102" w:type="dxa"/>
            <w:gridSpan w:val="2"/>
          </w:tcPr>
          <w:p w14:paraId="50EA504B" w14:textId="5C9BFA24" w:rsidR="002F581C" w:rsidRDefault="002F581C" w:rsidP="0022596F">
            <w:pPr>
              <w:pStyle w:val="naisf"/>
              <w:spacing w:before="0" w:after="0"/>
              <w:ind w:firstLine="0"/>
            </w:pPr>
            <w:r>
              <w:t>Bāzeles Konvencija par kontroli pār kaitīgo atkritumu robežšķērsojošo transportēšanu un to aizvākšanu (pieņemta 1989.gada 22.martā, stājās spēkā 1992.gada 18.jūlijā</w:t>
            </w:r>
          </w:p>
        </w:tc>
      </w:tr>
      <w:tr w:rsidR="002F581C" w14:paraId="445F31CE" w14:textId="77777777" w:rsidTr="0006248C">
        <w:trPr>
          <w:trHeight w:val="562"/>
        </w:trPr>
        <w:tc>
          <w:tcPr>
            <w:tcW w:w="2264" w:type="dxa"/>
          </w:tcPr>
          <w:p w14:paraId="3CE415EA" w14:textId="4BF0D780" w:rsidR="002F581C" w:rsidRDefault="002F581C" w:rsidP="0022596F">
            <w:pPr>
              <w:pStyle w:val="naisf"/>
              <w:spacing w:before="0" w:after="0"/>
              <w:ind w:firstLine="0"/>
            </w:pPr>
            <w:r>
              <w:t>9.pants</w:t>
            </w:r>
          </w:p>
        </w:tc>
        <w:tc>
          <w:tcPr>
            <w:tcW w:w="4530" w:type="dxa"/>
            <w:gridSpan w:val="2"/>
          </w:tcPr>
          <w:p w14:paraId="72859C6E" w14:textId="718823C9" w:rsidR="002F581C" w:rsidRDefault="002F581C" w:rsidP="0022596F">
            <w:pPr>
              <w:pStyle w:val="naisf"/>
              <w:spacing w:before="0" w:after="0"/>
              <w:ind w:firstLine="0"/>
            </w:pPr>
            <w:r>
              <w:t>3.punkts</w:t>
            </w:r>
          </w:p>
        </w:tc>
        <w:tc>
          <w:tcPr>
            <w:tcW w:w="2265" w:type="dxa"/>
          </w:tcPr>
          <w:p w14:paraId="0ACF0E2B" w14:textId="7184ACAA" w:rsidR="002F581C" w:rsidRDefault="002F581C" w:rsidP="0022596F">
            <w:pPr>
              <w:pStyle w:val="naisf"/>
              <w:spacing w:before="0" w:after="0"/>
              <w:ind w:firstLine="0"/>
            </w:pPr>
            <w:r>
              <w:t>Saistības izpildītas pilnībā.</w:t>
            </w:r>
          </w:p>
        </w:tc>
      </w:tr>
      <w:tr w:rsidR="002F581C" w14:paraId="3DB2BBA7" w14:textId="77777777" w:rsidTr="004C0E79">
        <w:trPr>
          <w:trHeight w:val="562"/>
        </w:trPr>
        <w:tc>
          <w:tcPr>
            <w:tcW w:w="2264" w:type="dxa"/>
          </w:tcPr>
          <w:p w14:paraId="1B6E4857" w14:textId="5CA1F7DD" w:rsidR="002F581C" w:rsidRDefault="002F581C" w:rsidP="0022596F">
            <w:pPr>
              <w:pStyle w:val="naisf"/>
              <w:spacing w:before="0" w:after="0"/>
              <w:ind w:firstLine="0"/>
            </w:pPr>
            <w:r>
              <w:t>Vai starptautiskajā dokumentā paredzētās saistības nav pretrunā ar jau esošajām Latvijas Republikas starptautiskajām saistībām</w:t>
            </w:r>
          </w:p>
        </w:tc>
        <w:tc>
          <w:tcPr>
            <w:tcW w:w="6795" w:type="dxa"/>
            <w:gridSpan w:val="3"/>
          </w:tcPr>
          <w:p w14:paraId="75AE6056" w14:textId="4CAED0B8" w:rsidR="002F581C" w:rsidRDefault="002F581C" w:rsidP="0022596F">
            <w:pPr>
              <w:pStyle w:val="naisf"/>
              <w:spacing w:before="0" w:after="0"/>
              <w:ind w:firstLine="0"/>
            </w:pPr>
            <w:r>
              <w:t>Nav.</w:t>
            </w:r>
          </w:p>
        </w:tc>
      </w:tr>
      <w:tr w:rsidR="002F581C" w14:paraId="3C2F658C" w14:textId="77777777" w:rsidTr="004C0E79">
        <w:trPr>
          <w:trHeight w:val="562"/>
        </w:trPr>
        <w:tc>
          <w:tcPr>
            <w:tcW w:w="2264" w:type="dxa"/>
          </w:tcPr>
          <w:p w14:paraId="0BA77B52" w14:textId="26D3F25D" w:rsidR="002F581C" w:rsidRDefault="002F581C" w:rsidP="0022596F">
            <w:pPr>
              <w:pStyle w:val="naisf"/>
              <w:spacing w:before="0" w:after="0"/>
              <w:ind w:firstLine="0"/>
            </w:pPr>
            <w:r>
              <w:t>Cita informācija</w:t>
            </w:r>
          </w:p>
        </w:tc>
        <w:tc>
          <w:tcPr>
            <w:tcW w:w="6795" w:type="dxa"/>
            <w:gridSpan w:val="3"/>
          </w:tcPr>
          <w:p w14:paraId="0C76A375" w14:textId="77777777" w:rsidR="002F581C" w:rsidRDefault="00E81AF0" w:rsidP="0022596F">
            <w:pPr>
              <w:pStyle w:val="naisf"/>
              <w:spacing w:before="0" w:after="0"/>
              <w:ind w:firstLine="0"/>
            </w:pPr>
            <w:r>
              <w:t xml:space="preserve">Atkritumu apsaimniekošanas likuma 42.panta pirmā daļa  nosaka, ka bīstamo atkritumu eksportēšana reģenerācijai vai apglabāšanai uz valstīm, kas pievienojušās 1989.gada 22.marta </w:t>
            </w:r>
            <w:r w:rsidR="002F581C">
              <w:t>Bāzeles Konvencija par kontroli pār kaitīgo atkritumu robežšķērsojošo transportēšanu un to aizvākšanu</w:t>
            </w:r>
            <w:r>
              <w:t xml:space="preserve">, ir atļauta, ievērojot minētajā konvencijā noteikto procedūru. </w:t>
            </w:r>
          </w:p>
          <w:p w14:paraId="3332BAA7" w14:textId="3990AFD0" w:rsidR="00E81AF0" w:rsidRDefault="00E81AF0" w:rsidP="0022596F">
            <w:pPr>
              <w:pStyle w:val="naisf"/>
              <w:spacing w:before="0" w:after="0"/>
              <w:ind w:firstLine="0"/>
            </w:pPr>
            <w:r>
              <w:t xml:space="preserve">1989.gada 22.marta Bāzeles Konvencija par kontroli pār kaitīgo atkritumu robežšķērsojošo transportēšanu un to aizvākšanu ir ietvertas Regulā Nr.1013/2006. </w:t>
            </w:r>
          </w:p>
        </w:tc>
      </w:tr>
    </w:tbl>
    <w:p w14:paraId="209DC7A4" w14:textId="77777777" w:rsidR="00FF091E" w:rsidRDefault="00FF091E" w:rsidP="002F581C">
      <w:pPr>
        <w:pStyle w:val="naisc"/>
        <w:jc w:val="left"/>
      </w:pPr>
    </w:p>
    <w:tbl>
      <w:tblPr>
        <w:tblStyle w:val="TableGrid"/>
        <w:tblW w:w="9356" w:type="dxa"/>
        <w:tblInd w:w="-147" w:type="dxa"/>
        <w:tblLayout w:type="fixed"/>
        <w:tblLook w:val="04A0" w:firstRow="1" w:lastRow="0" w:firstColumn="1" w:lastColumn="0" w:noHBand="0" w:noVBand="1"/>
      </w:tblPr>
      <w:tblGrid>
        <w:gridCol w:w="426"/>
        <w:gridCol w:w="1984"/>
        <w:gridCol w:w="6946"/>
      </w:tblGrid>
      <w:tr w:rsidR="00C72DBF" w14:paraId="347504A7" w14:textId="77777777" w:rsidTr="00C4614E">
        <w:tc>
          <w:tcPr>
            <w:tcW w:w="9356" w:type="dxa"/>
            <w:gridSpan w:val="3"/>
          </w:tcPr>
          <w:p w14:paraId="56C73CD1" w14:textId="386BA218" w:rsidR="00C72DBF" w:rsidRDefault="00C72DBF" w:rsidP="00C72DBF">
            <w:pPr>
              <w:pStyle w:val="naisc"/>
              <w:spacing w:before="0" w:after="0"/>
            </w:pPr>
            <w:r w:rsidRPr="008B1E31">
              <w:rPr>
                <w:b/>
                <w:bCs/>
              </w:rPr>
              <w:t> VI. Sabiedrības līdzdalība un komunikācijas aktivitātes</w:t>
            </w:r>
          </w:p>
        </w:tc>
      </w:tr>
      <w:tr w:rsidR="00C72DBF" w14:paraId="3213252F" w14:textId="77777777" w:rsidTr="00C4614E">
        <w:tc>
          <w:tcPr>
            <w:tcW w:w="426" w:type="dxa"/>
          </w:tcPr>
          <w:p w14:paraId="084055A2" w14:textId="4860B23B" w:rsidR="00C72DBF" w:rsidRDefault="00C72DBF" w:rsidP="00C72DBF">
            <w:pPr>
              <w:pStyle w:val="naisc"/>
              <w:spacing w:before="0" w:after="0"/>
            </w:pPr>
            <w:r>
              <w:t>1.</w:t>
            </w:r>
          </w:p>
        </w:tc>
        <w:tc>
          <w:tcPr>
            <w:tcW w:w="1984" w:type="dxa"/>
          </w:tcPr>
          <w:p w14:paraId="2721EEF6" w14:textId="1D43F1CD" w:rsidR="00C72DBF" w:rsidRDefault="00C72DBF" w:rsidP="00C72DBF">
            <w:pPr>
              <w:pStyle w:val="naisc"/>
              <w:spacing w:before="0" w:after="0"/>
              <w:jc w:val="both"/>
            </w:pPr>
            <w:r w:rsidRPr="008B1E31">
              <w:t>Plānotās sabiedrības līdzdalības un komunikācijas aktivitātes saistībā ar projektu</w:t>
            </w:r>
          </w:p>
        </w:tc>
        <w:tc>
          <w:tcPr>
            <w:tcW w:w="6946" w:type="dxa"/>
          </w:tcPr>
          <w:p w14:paraId="5BD9154D" w14:textId="020F8A5A" w:rsidR="00C72DBF" w:rsidRDefault="00C72DBF" w:rsidP="00C72DBF">
            <w:pPr>
              <w:pStyle w:val="naisc"/>
              <w:spacing w:before="0" w:after="0"/>
              <w:jc w:val="both"/>
            </w:pPr>
            <w:r w:rsidRPr="008B1E31">
              <w:rPr>
                <w:iCs/>
              </w:rPr>
              <w:t>No</w:t>
            </w:r>
            <w:r>
              <w:rPr>
                <w:iCs/>
              </w:rPr>
              <w:t>teikumu</w:t>
            </w:r>
            <w:r w:rsidR="0047630B">
              <w:rPr>
                <w:iCs/>
              </w:rPr>
              <w:t xml:space="preserve"> projekts publicēts VARAM</w:t>
            </w:r>
            <w:r w:rsidRPr="008B1E31">
              <w:rPr>
                <w:iCs/>
              </w:rPr>
              <w:t xml:space="preserve"> tīmekļa vietnē (</w:t>
            </w:r>
            <w:hyperlink r:id="rId8" w:history="1">
              <w:r w:rsidRPr="008B1E31">
                <w:rPr>
                  <w:rStyle w:val="Hyperlink"/>
                  <w:iCs/>
                  <w:color w:val="auto"/>
                </w:rPr>
                <w:t>www.varam.gov.lv</w:t>
              </w:r>
            </w:hyperlink>
            <w:r w:rsidRPr="008B1E31">
              <w:rPr>
                <w:iCs/>
              </w:rPr>
              <w:t>) publiskai sabiedriskai apspriešanai no 2016.gada 19.februāra līdz 2016.gada 4.martam. Minētajā laika posmā notika arī konsul</w:t>
            </w:r>
            <w:r w:rsidR="0047630B">
              <w:rPr>
                <w:iCs/>
              </w:rPr>
              <w:t>tācijas ar VVD</w:t>
            </w:r>
            <w:r w:rsidRPr="008B1E31">
              <w:rPr>
                <w:iCs/>
              </w:rPr>
              <w:t xml:space="preserve">.   </w:t>
            </w:r>
          </w:p>
        </w:tc>
      </w:tr>
      <w:tr w:rsidR="00C72DBF" w14:paraId="228E4E5B" w14:textId="77777777" w:rsidTr="00C4614E">
        <w:tc>
          <w:tcPr>
            <w:tcW w:w="426" w:type="dxa"/>
          </w:tcPr>
          <w:p w14:paraId="7D62BA85" w14:textId="40A24B9D" w:rsidR="00C72DBF" w:rsidRDefault="00C72DBF" w:rsidP="00C72DBF">
            <w:pPr>
              <w:pStyle w:val="naisc"/>
              <w:spacing w:before="0" w:after="0"/>
            </w:pPr>
            <w:r>
              <w:t>2.</w:t>
            </w:r>
          </w:p>
        </w:tc>
        <w:tc>
          <w:tcPr>
            <w:tcW w:w="1984" w:type="dxa"/>
          </w:tcPr>
          <w:p w14:paraId="4F9A756E" w14:textId="72354A2E" w:rsidR="00C72DBF" w:rsidRDefault="00C72DBF" w:rsidP="00C72DBF">
            <w:pPr>
              <w:pStyle w:val="naisc"/>
              <w:spacing w:before="0" w:after="0"/>
              <w:jc w:val="both"/>
            </w:pPr>
            <w:r w:rsidRPr="008B1E31">
              <w:t>Sabiedrības līdzdalība projekta izstrādē</w:t>
            </w:r>
          </w:p>
        </w:tc>
        <w:tc>
          <w:tcPr>
            <w:tcW w:w="6946" w:type="dxa"/>
          </w:tcPr>
          <w:p w14:paraId="7397D333" w14:textId="652DC3C0" w:rsidR="00C72DBF" w:rsidRDefault="00C72DBF" w:rsidP="00C72DBF">
            <w:pPr>
              <w:pStyle w:val="naisc"/>
              <w:spacing w:before="0" w:after="0"/>
              <w:jc w:val="both"/>
            </w:pPr>
            <w:r>
              <w:t xml:space="preserve">Tika saņemti komentāri no </w:t>
            </w:r>
            <w:r w:rsidR="0047630B">
              <w:t>VVD</w:t>
            </w:r>
            <w:r>
              <w:t>. Citu sabiedrības mērķgrupu</w:t>
            </w:r>
            <w:r w:rsidRPr="008B1E31">
              <w:t xml:space="preserve"> komentāri nav saņemti. </w:t>
            </w:r>
          </w:p>
        </w:tc>
      </w:tr>
      <w:tr w:rsidR="00C72DBF" w14:paraId="5A365BEA" w14:textId="77777777" w:rsidTr="00C4614E">
        <w:tc>
          <w:tcPr>
            <w:tcW w:w="426" w:type="dxa"/>
          </w:tcPr>
          <w:p w14:paraId="2386395E" w14:textId="2D3B9922" w:rsidR="00C72DBF" w:rsidRDefault="00C72DBF" w:rsidP="00C72DBF">
            <w:pPr>
              <w:pStyle w:val="naisc"/>
              <w:spacing w:before="0" w:after="0"/>
            </w:pPr>
            <w:r>
              <w:t>3.</w:t>
            </w:r>
          </w:p>
        </w:tc>
        <w:tc>
          <w:tcPr>
            <w:tcW w:w="1984" w:type="dxa"/>
          </w:tcPr>
          <w:p w14:paraId="6F5394F3" w14:textId="32942CC3" w:rsidR="00C72DBF" w:rsidRDefault="00C72DBF" w:rsidP="00C72DBF">
            <w:pPr>
              <w:pStyle w:val="naisc"/>
              <w:spacing w:before="0" w:after="0"/>
              <w:jc w:val="both"/>
            </w:pPr>
            <w:r w:rsidRPr="008B1E31">
              <w:t>Sabiedrības līdzdalības rezultāti</w:t>
            </w:r>
          </w:p>
        </w:tc>
        <w:tc>
          <w:tcPr>
            <w:tcW w:w="6946" w:type="dxa"/>
          </w:tcPr>
          <w:p w14:paraId="6C2D50CB" w14:textId="5FE937B2" w:rsidR="00C72DBF" w:rsidRPr="008B1E31" w:rsidRDefault="0047630B" w:rsidP="00C72DBF">
            <w:pPr>
              <w:pStyle w:val="naiskr"/>
              <w:spacing w:before="20" w:after="20"/>
              <w:jc w:val="both"/>
            </w:pPr>
            <w:r>
              <w:t>Saņemtie VVD</w:t>
            </w:r>
            <w:r w:rsidR="00C72DBF">
              <w:t xml:space="preserve"> komentāri ir iestrādāti noteikumu projektā. </w:t>
            </w:r>
          </w:p>
          <w:p w14:paraId="74862B41" w14:textId="77777777" w:rsidR="00C72DBF" w:rsidRDefault="00C72DBF" w:rsidP="00C72DBF">
            <w:pPr>
              <w:pStyle w:val="naisc"/>
              <w:spacing w:before="0" w:after="0"/>
              <w:jc w:val="both"/>
            </w:pPr>
          </w:p>
        </w:tc>
      </w:tr>
      <w:tr w:rsidR="00C72DBF" w14:paraId="747623EA" w14:textId="77777777" w:rsidTr="00C4614E">
        <w:tc>
          <w:tcPr>
            <w:tcW w:w="426" w:type="dxa"/>
          </w:tcPr>
          <w:p w14:paraId="72711139" w14:textId="626E71AF" w:rsidR="00C72DBF" w:rsidRDefault="00C72DBF" w:rsidP="00C72DBF">
            <w:pPr>
              <w:pStyle w:val="naisc"/>
              <w:spacing w:before="0" w:after="0"/>
            </w:pPr>
            <w:r>
              <w:t>4.</w:t>
            </w:r>
          </w:p>
        </w:tc>
        <w:tc>
          <w:tcPr>
            <w:tcW w:w="1984" w:type="dxa"/>
          </w:tcPr>
          <w:p w14:paraId="76AEA327" w14:textId="086812F9" w:rsidR="00C72DBF" w:rsidRDefault="00C72DBF" w:rsidP="00C72DBF">
            <w:pPr>
              <w:pStyle w:val="naisc"/>
              <w:spacing w:before="0" w:after="0"/>
              <w:jc w:val="both"/>
            </w:pPr>
            <w:r w:rsidRPr="008B1E31">
              <w:t>Cita informācija</w:t>
            </w:r>
          </w:p>
        </w:tc>
        <w:tc>
          <w:tcPr>
            <w:tcW w:w="6946" w:type="dxa"/>
          </w:tcPr>
          <w:p w14:paraId="24B5FB4B" w14:textId="5D2DAB7B" w:rsidR="00C72DBF" w:rsidRDefault="0047630B" w:rsidP="00C72DBF">
            <w:pPr>
              <w:pStyle w:val="naisc"/>
              <w:spacing w:before="0" w:after="0"/>
              <w:jc w:val="both"/>
            </w:pPr>
            <w:r>
              <w:t>Nav</w:t>
            </w:r>
          </w:p>
        </w:tc>
      </w:tr>
    </w:tbl>
    <w:p w14:paraId="328FEC74" w14:textId="4C85CE70" w:rsidR="00951F69" w:rsidRDefault="00951F69" w:rsidP="00DB7DCB">
      <w:pPr>
        <w:pStyle w:val="naisc"/>
        <w:contextualSpacing/>
        <w:jc w:val="left"/>
      </w:pPr>
    </w:p>
    <w:p w14:paraId="2417A220" w14:textId="77777777" w:rsidR="00571157" w:rsidRDefault="00571157" w:rsidP="00951F69">
      <w:pPr>
        <w:pStyle w:val="naisf"/>
        <w:spacing w:before="0" w:after="0"/>
        <w:ind w:firstLine="0"/>
      </w:pPr>
    </w:p>
    <w:tbl>
      <w:tblPr>
        <w:tblW w:w="5167"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7"/>
        <w:gridCol w:w="1985"/>
        <w:gridCol w:w="6943"/>
      </w:tblGrid>
      <w:tr w:rsidR="00571157" w:rsidRPr="00571157" w14:paraId="2A119D83" w14:textId="77777777" w:rsidTr="00C4614E">
        <w:trPr>
          <w:trHeight w:val="37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F383BC" w14:textId="77777777" w:rsidR="00571157" w:rsidRPr="00571157" w:rsidRDefault="00571157" w:rsidP="00571157">
            <w:pPr>
              <w:spacing w:before="100" w:beforeAutospacing="1" w:after="100" w:afterAutospacing="1" w:line="293" w:lineRule="atLeast"/>
              <w:jc w:val="center"/>
              <w:rPr>
                <w:rFonts w:ascii="Arial" w:hAnsi="Arial" w:cs="Arial"/>
                <w:b/>
                <w:bCs/>
                <w:color w:val="414142"/>
                <w:sz w:val="20"/>
                <w:szCs w:val="20"/>
              </w:rPr>
            </w:pPr>
            <w:r w:rsidRPr="00571157">
              <w:rPr>
                <w:b/>
                <w:bCs/>
              </w:rPr>
              <w:t>VII. Tiesību akta projekta izpildes nodrošināšana un tās ietekme uz institūcijām</w:t>
            </w:r>
          </w:p>
        </w:tc>
      </w:tr>
      <w:tr w:rsidR="008B1E31" w:rsidRPr="008B1E31" w14:paraId="2DF2EDBB" w14:textId="77777777" w:rsidTr="00C4614E">
        <w:trPr>
          <w:trHeight w:val="42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00D478BF" w14:textId="77777777" w:rsidR="00571157" w:rsidRPr="008B1E31" w:rsidRDefault="00571157" w:rsidP="00571157">
            <w:r w:rsidRPr="008B1E31">
              <w:t>1.</w:t>
            </w:r>
          </w:p>
        </w:tc>
        <w:tc>
          <w:tcPr>
            <w:tcW w:w="1061" w:type="pct"/>
            <w:tcBorders>
              <w:top w:val="outset" w:sz="6" w:space="0" w:color="414142"/>
              <w:left w:val="outset" w:sz="6" w:space="0" w:color="414142"/>
              <w:bottom w:val="outset" w:sz="6" w:space="0" w:color="414142"/>
              <w:right w:val="outset" w:sz="6" w:space="0" w:color="414142"/>
            </w:tcBorders>
            <w:shd w:val="clear" w:color="auto" w:fill="FFFFFF"/>
            <w:hideMark/>
          </w:tcPr>
          <w:p w14:paraId="7228D5CE" w14:textId="77777777" w:rsidR="00571157" w:rsidRPr="008B1E31" w:rsidRDefault="00571157" w:rsidP="00571157">
            <w:r w:rsidRPr="008B1E31">
              <w:t>Projekta izpildē iesaistītās institūcijas</w:t>
            </w:r>
          </w:p>
        </w:tc>
        <w:tc>
          <w:tcPr>
            <w:tcW w:w="3712" w:type="pct"/>
            <w:tcBorders>
              <w:top w:val="outset" w:sz="6" w:space="0" w:color="414142"/>
              <w:left w:val="outset" w:sz="6" w:space="0" w:color="414142"/>
              <w:bottom w:val="outset" w:sz="6" w:space="0" w:color="414142"/>
              <w:right w:val="outset" w:sz="6" w:space="0" w:color="414142"/>
            </w:tcBorders>
            <w:shd w:val="clear" w:color="auto" w:fill="FFFFFF"/>
            <w:hideMark/>
          </w:tcPr>
          <w:p w14:paraId="239F364D" w14:textId="0F53D0D6" w:rsidR="00571157" w:rsidRPr="008B1E31" w:rsidRDefault="0047630B" w:rsidP="00A95AB2">
            <w:r>
              <w:t>VVD</w:t>
            </w:r>
          </w:p>
        </w:tc>
      </w:tr>
      <w:tr w:rsidR="008B1E31" w:rsidRPr="008B1E31" w14:paraId="1CFB57A5" w14:textId="77777777" w:rsidTr="00C4614E">
        <w:trPr>
          <w:trHeight w:val="45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5B96FCE4" w14:textId="77777777" w:rsidR="00571157" w:rsidRPr="008B1E31" w:rsidRDefault="00571157" w:rsidP="00571157">
            <w:r w:rsidRPr="008B1E31">
              <w:t>2.</w:t>
            </w:r>
          </w:p>
        </w:tc>
        <w:tc>
          <w:tcPr>
            <w:tcW w:w="1061" w:type="pct"/>
            <w:tcBorders>
              <w:top w:val="outset" w:sz="6" w:space="0" w:color="414142"/>
              <w:left w:val="outset" w:sz="6" w:space="0" w:color="414142"/>
              <w:bottom w:val="outset" w:sz="6" w:space="0" w:color="414142"/>
              <w:right w:val="outset" w:sz="6" w:space="0" w:color="414142"/>
            </w:tcBorders>
            <w:shd w:val="clear" w:color="auto" w:fill="FFFFFF"/>
            <w:hideMark/>
          </w:tcPr>
          <w:p w14:paraId="4A70AE7D" w14:textId="77777777" w:rsidR="00571157" w:rsidRPr="008B1E31" w:rsidRDefault="00571157" w:rsidP="00571157">
            <w:r w:rsidRPr="008B1E31">
              <w:t>Projekta izpildes ietekme uz pārvaldes funkcijām un institucionālo struktūru.</w:t>
            </w:r>
          </w:p>
          <w:p w14:paraId="5FE2CE52" w14:textId="77777777" w:rsidR="00571157" w:rsidRPr="008B1E31" w:rsidRDefault="00571157" w:rsidP="00571157">
            <w:pPr>
              <w:spacing w:before="100" w:beforeAutospacing="1" w:after="100" w:afterAutospacing="1" w:line="293" w:lineRule="atLeast"/>
            </w:pPr>
            <w:r w:rsidRPr="008B1E31">
              <w:t>Jaunu institūciju izveide, esošu institūciju likvidācija vai reorganizācija, to ietekme uz institūcijas cilvēkresursiem</w:t>
            </w:r>
          </w:p>
        </w:tc>
        <w:tc>
          <w:tcPr>
            <w:tcW w:w="3712" w:type="pct"/>
            <w:tcBorders>
              <w:top w:val="outset" w:sz="6" w:space="0" w:color="414142"/>
              <w:left w:val="outset" w:sz="6" w:space="0" w:color="414142"/>
              <w:bottom w:val="outset" w:sz="6" w:space="0" w:color="414142"/>
              <w:right w:val="outset" w:sz="6" w:space="0" w:color="414142"/>
            </w:tcBorders>
            <w:shd w:val="clear" w:color="auto" w:fill="FFFFFF"/>
            <w:hideMark/>
          </w:tcPr>
          <w:p w14:paraId="1B12029F" w14:textId="5733ADB0" w:rsidR="0046134F" w:rsidRPr="008B1E31" w:rsidRDefault="0046134F" w:rsidP="00DB7DCB">
            <w:pPr>
              <w:jc w:val="both"/>
            </w:pPr>
            <w:r>
              <w:t>Noteikumu</w:t>
            </w:r>
            <w:r w:rsidRPr="00836D9F">
              <w:t xml:space="preserve"> projekts neparedz jaunu valsts pārvaldes institūciju izveidi. </w:t>
            </w:r>
            <w:r>
              <w:t>Noteikumu</w:t>
            </w:r>
            <w:r w:rsidRPr="00836D9F">
              <w:t xml:space="preserve"> projekts neparedz esošo valsts pārvaldes institūciju likvidāciju vai reorganizāciju.</w:t>
            </w:r>
          </w:p>
        </w:tc>
      </w:tr>
      <w:tr w:rsidR="00571157" w:rsidRPr="00571157" w14:paraId="19C64B81" w14:textId="77777777" w:rsidTr="00C4614E">
        <w:trPr>
          <w:trHeight w:val="390"/>
        </w:trPr>
        <w:tc>
          <w:tcPr>
            <w:tcW w:w="228" w:type="pct"/>
            <w:tcBorders>
              <w:top w:val="outset" w:sz="6" w:space="0" w:color="414142"/>
              <w:left w:val="outset" w:sz="6" w:space="0" w:color="414142"/>
              <w:bottom w:val="outset" w:sz="6" w:space="0" w:color="414142"/>
              <w:right w:val="outset" w:sz="6" w:space="0" w:color="414142"/>
            </w:tcBorders>
            <w:shd w:val="clear" w:color="auto" w:fill="FFFFFF"/>
            <w:hideMark/>
          </w:tcPr>
          <w:p w14:paraId="715E0C29" w14:textId="77777777" w:rsidR="00571157" w:rsidRPr="0047630B" w:rsidRDefault="00571157" w:rsidP="00571157">
            <w:r w:rsidRPr="0047630B">
              <w:t>3.</w:t>
            </w:r>
          </w:p>
        </w:tc>
        <w:tc>
          <w:tcPr>
            <w:tcW w:w="1061" w:type="pct"/>
            <w:tcBorders>
              <w:top w:val="outset" w:sz="6" w:space="0" w:color="414142"/>
              <w:left w:val="outset" w:sz="6" w:space="0" w:color="414142"/>
              <w:bottom w:val="outset" w:sz="6" w:space="0" w:color="414142"/>
              <w:right w:val="outset" w:sz="6" w:space="0" w:color="414142"/>
            </w:tcBorders>
            <w:shd w:val="clear" w:color="auto" w:fill="FFFFFF"/>
            <w:hideMark/>
          </w:tcPr>
          <w:p w14:paraId="40057C14" w14:textId="77777777" w:rsidR="00571157" w:rsidRPr="0047630B" w:rsidRDefault="00571157" w:rsidP="00571157">
            <w:r w:rsidRPr="0047630B">
              <w:t>Cita informācija</w:t>
            </w:r>
          </w:p>
        </w:tc>
        <w:tc>
          <w:tcPr>
            <w:tcW w:w="3712" w:type="pct"/>
            <w:tcBorders>
              <w:top w:val="outset" w:sz="6" w:space="0" w:color="414142"/>
              <w:left w:val="outset" w:sz="6" w:space="0" w:color="414142"/>
              <w:bottom w:val="outset" w:sz="6" w:space="0" w:color="414142"/>
              <w:right w:val="outset" w:sz="6" w:space="0" w:color="414142"/>
            </w:tcBorders>
            <w:shd w:val="clear" w:color="auto" w:fill="FFFFFF"/>
            <w:hideMark/>
          </w:tcPr>
          <w:p w14:paraId="1CAFA7D5" w14:textId="38ACB689" w:rsidR="00571157" w:rsidRPr="0047630B" w:rsidRDefault="004A663B" w:rsidP="00571157">
            <w:pPr>
              <w:spacing w:before="100" w:beforeAutospacing="1" w:after="100" w:afterAutospacing="1" w:line="293" w:lineRule="atLeast"/>
            </w:pPr>
            <w:r w:rsidRPr="0047630B">
              <w:t>Nav.</w:t>
            </w:r>
          </w:p>
        </w:tc>
      </w:tr>
    </w:tbl>
    <w:p w14:paraId="4070C609" w14:textId="77777777" w:rsidR="00571157" w:rsidRDefault="00571157" w:rsidP="00951F69">
      <w:pPr>
        <w:pStyle w:val="naisf"/>
        <w:spacing w:before="0" w:after="0"/>
        <w:ind w:firstLine="0"/>
      </w:pPr>
    </w:p>
    <w:p w14:paraId="602B1A92" w14:textId="77777777" w:rsidR="0047630B" w:rsidRDefault="0047630B" w:rsidP="00951F69">
      <w:pPr>
        <w:pStyle w:val="naisf"/>
        <w:spacing w:before="0" w:after="0"/>
        <w:rPr>
          <w:i/>
        </w:rPr>
      </w:pPr>
    </w:p>
    <w:p w14:paraId="70A73FAF" w14:textId="77777777" w:rsidR="0047630B" w:rsidRDefault="0047630B" w:rsidP="00951F69">
      <w:pPr>
        <w:pStyle w:val="naisf"/>
        <w:spacing w:before="0" w:after="0"/>
        <w:rPr>
          <w:i/>
        </w:rPr>
      </w:pPr>
    </w:p>
    <w:p w14:paraId="566EF249" w14:textId="41EF9E6E" w:rsidR="00951F69" w:rsidRDefault="00951F69" w:rsidP="00951F69">
      <w:pPr>
        <w:pStyle w:val="naisf"/>
        <w:spacing w:before="0" w:after="0"/>
        <w:rPr>
          <w:i/>
        </w:rPr>
      </w:pPr>
      <w:r w:rsidRPr="008F51B1">
        <w:rPr>
          <w:i/>
        </w:rPr>
        <w:t>Anotācijas</w:t>
      </w:r>
      <w:r w:rsidR="00FF091E">
        <w:rPr>
          <w:i/>
        </w:rPr>
        <w:t xml:space="preserve"> III</w:t>
      </w:r>
      <w:r w:rsidRPr="008F51B1">
        <w:rPr>
          <w:i/>
        </w:rPr>
        <w:t xml:space="preserve"> sadaļa – </w:t>
      </w:r>
      <w:r>
        <w:rPr>
          <w:i/>
        </w:rPr>
        <w:t>projekts šīs jomas neskar</w:t>
      </w:r>
    </w:p>
    <w:p w14:paraId="7951B3AE" w14:textId="77777777" w:rsidR="00951F69" w:rsidRDefault="00951F69" w:rsidP="00951F69">
      <w:pPr>
        <w:pStyle w:val="naisf"/>
        <w:spacing w:before="0" w:after="0"/>
        <w:ind w:firstLine="0"/>
      </w:pPr>
    </w:p>
    <w:p w14:paraId="4E672042" w14:textId="77777777" w:rsidR="00951F69" w:rsidRPr="00913623" w:rsidRDefault="00951F69" w:rsidP="00951F69">
      <w:pPr>
        <w:pStyle w:val="naisf"/>
        <w:spacing w:before="0" w:after="0"/>
        <w:ind w:firstLine="0"/>
      </w:pPr>
      <w:r w:rsidRPr="00913623">
        <w:t xml:space="preserve">Vides aizsardzības un </w:t>
      </w:r>
    </w:p>
    <w:p w14:paraId="654D5C2A" w14:textId="34FD5E33" w:rsidR="00951F69" w:rsidRPr="00913623" w:rsidRDefault="00951F69" w:rsidP="00951F69">
      <w:pPr>
        <w:pStyle w:val="naisf"/>
        <w:spacing w:before="0" w:after="0"/>
        <w:ind w:firstLine="0"/>
      </w:pPr>
      <w:r w:rsidRPr="00913623">
        <w:t xml:space="preserve">reģionālās attīstības ministrs </w:t>
      </w:r>
      <w:r w:rsidRPr="00913623">
        <w:tab/>
      </w:r>
      <w:r w:rsidRPr="00913623">
        <w:tab/>
      </w:r>
      <w:r w:rsidRPr="00913623">
        <w:tab/>
      </w:r>
      <w:r w:rsidRPr="00913623">
        <w:tab/>
      </w:r>
      <w:r>
        <w:tab/>
      </w:r>
      <w:r w:rsidRPr="00913623">
        <w:tab/>
      </w:r>
      <w:r w:rsidR="00F83A6A">
        <w:t xml:space="preserve">          </w:t>
      </w:r>
      <w:r>
        <w:t>K.Gerhards</w:t>
      </w:r>
    </w:p>
    <w:p w14:paraId="17B86961" w14:textId="77777777" w:rsidR="00951F69" w:rsidRDefault="00951F69" w:rsidP="00951F69">
      <w:pPr>
        <w:jc w:val="both"/>
      </w:pPr>
    </w:p>
    <w:p w14:paraId="080F9FCC" w14:textId="77777777" w:rsidR="00DB7DCB" w:rsidRPr="00913623" w:rsidRDefault="00DB7DCB" w:rsidP="00951F69">
      <w:pPr>
        <w:jc w:val="both"/>
      </w:pPr>
    </w:p>
    <w:p w14:paraId="18AF7439" w14:textId="77777777" w:rsidR="00951F69" w:rsidRPr="00913623" w:rsidRDefault="00951F69" w:rsidP="00951F69">
      <w:pPr>
        <w:jc w:val="both"/>
      </w:pPr>
      <w:r w:rsidRPr="00913623">
        <w:t xml:space="preserve">Vīza: </w:t>
      </w:r>
    </w:p>
    <w:p w14:paraId="1E0A7B36" w14:textId="77139D9F" w:rsidR="00951F69" w:rsidRPr="00913623" w:rsidRDefault="004D4CA8" w:rsidP="00951F69">
      <w:pPr>
        <w:jc w:val="both"/>
      </w:pPr>
      <w:r>
        <w:t>Valsts sekretārs</w:t>
      </w:r>
      <w:r>
        <w:tab/>
      </w:r>
      <w:r>
        <w:tab/>
      </w:r>
      <w:r>
        <w:tab/>
      </w:r>
      <w:r>
        <w:tab/>
      </w:r>
      <w:r>
        <w:tab/>
      </w:r>
      <w:r>
        <w:tab/>
      </w:r>
      <w:r>
        <w:tab/>
      </w:r>
      <w:r w:rsidR="00F83A6A">
        <w:t xml:space="preserve">          </w:t>
      </w:r>
      <w:r>
        <w:t>R.Muciņš</w:t>
      </w:r>
    </w:p>
    <w:p w14:paraId="13258B8E" w14:textId="77777777" w:rsidR="00951F69" w:rsidRDefault="00951F69" w:rsidP="00951F69">
      <w:pPr>
        <w:pStyle w:val="naisf"/>
        <w:spacing w:before="0" w:after="0"/>
        <w:ind w:firstLine="0"/>
        <w:rPr>
          <w:sz w:val="20"/>
          <w:szCs w:val="20"/>
        </w:rPr>
      </w:pPr>
    </w:p>
    <w:p w14:paraId="22677E43" w14:textId="77777777" w:rsidR="00951F69" w:rsidRPr="00160EBA" w:rsidRDefault="00951F69" w:rsidP="00951F69">
      <w:pPr>
        <w:pStyle w:val="naisf"/>
        <w:spacing w:before="0" w:after="0"/>
        <w:ind w:firstLine="0"/>
        <w:rPr>
          <w:sz w:val="20"/>
          <w:szCs w:val="20"/>
        </w:rPr>
      </w:pPr>
    </w:p>
    <w:p w14:paraId="7763823D" w14:textId="25F34A82" w:rsidR="00951F69" w:rsidRPr="000A3ED5" w:rsidRDefault="00FE6B91" w:rsidP="00951F69">
      <w:pPr>
        <w:jc w:val="both"/>
        <w:rPr>
          <w:sz w:val="20"/>
          <w:szCs w:val="20"/>
        </w:rPr>
      </w:pPr>
      <w:r>
        <w:rPr>
          <w:sz w:val="20"/>
          <w:szCs w:val="20"/>
        </w:rPr>
        <w:t>03.05</w:t>
      </w:r>
      <w:r w:rsidR="00951F69" w:rsidRPr="000A3ED5">
        <w:rPr>
          <w:sz w:val="20"/>
          <w:szCs w:val="20"/>
        </w:rPr>
        <w:t>.2016. 10:00</w:t>
      </w:r>
    </w:p>
    <w:p w14:paraId="3F885D50" w14:textId="38653096" w:rsidR="00951F69" w:rsidRPr="0046549D" w:rsidRDefault="00FE6B91" w:rsidP="00951F69">
      <w:pPr>
        <w:jc w:val="both"/>
        <w:rPr>
          <w:sz w:val="20"/>
          <w:szCs w:val="20"/>
        </w:rPr>
      </w:pPr>
      <w:r>
        <w:rPr>
          <w:sz w:val="20"/>
          <w:szCs w:val="20"/>
        </w:rPr>
        <w:t>1295</w:t>
      </w:r>
    </w:p>
    <w:p w14:paraId="6D70A957" w14:textId="77777777" w:rsidR="00951F69" w:rsidRPr="0046549D" w:rsidRDefault="00951F69" w:rsidP="00951F69">
      <w:pPr>
        <w:jc w:val="both"/>
        <w:rPr>
          <w:sz w:val="20"/>
          <w:szCs w:val="20"/>
        </w:rPr>
      </w:pPr>
      <w:r>
        <w:rPr>
          <w:sz w:val="20"/>
          <w:szCs w:val="20"/>
        </w:rPr>
        <w:t>I.Donina</w:t>
      </w:r>
    </w:p>
    <w:p w14:paraId="161D624C" w14:textId="77777777" w:rsidR="000D6C3A" w:rsidRPr="00A27E6D" w:rsidRDefault="00951F69" w:rsidP="00A27E6D">
      <w:pPr>
        <w:jc w:val="both"/>
        <w:rPr>
          <w:sz w:val="20"/>
          <w:szCs w:val="20"/>
        </w:rPr>
      </w:pPr>
      <w:r>
        <w:rPr>
          <w:sz w:val="20"/>
          <w:szCs w:val="20"/>
        </w:rPr>
        <w:t>67026515</w:t>
      </w:r>
      <w:r w:rsidRPr="0046549D">
        <w:rPr>
          <w:sz w:val="20"/>
          <w:szCs w:val="20"/>
        </w:rPr>
        <w:t xml:space="preserve">; </w:t>
      </w:r>
      <w:hyperlink r:id="rId9" w:history="1">
        <w:r w:rsidRPr="00EC7FB5">
          <w:rPr>
            <w:rStyle w:val="Hyperlink"/>
            <w:sz w:val="20"/>
            <w:szCs w:val="20"/>
          </w:rPr>
          <w:t>ilze.donina@varam.gov.lv</w:t>
        </w:r>
      </w:hyperlink>
      <w:r w:rsidRPr="0046549D">
        <w:rPr>
          <w:sz w:val="20"/>
          <w:szCs w:val="20"/>
        </w:rPr>
        <w:t xml:space="preserve"> </w:t>
      </w:r>
    </w:p>
    <w:sectPr w:rsidR="000D6C3A" w:rsidRPr="00A27E6D" w:rsidSect="00A9681C">
      <w:headerReference w:type="even" r:id="rId10"/>
      <w:headerReference w:type="default" r:id="rId11"/>
      <w:footerReference w:type="default" r:id="rId12"/>
      <w:footerReference w:type="first" r:id="rId13"/>
      <w:pgSz w:w="11906" w:h="16838" w:code="9"/>
      <w:pgMar w:top="1411" w:right="1138" w:bottom="1138" w:left="1699"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811EE" w14:textId="77777777" w:rsidR="00E65BDF" w:rsidRDefault="00E65BDF" w:rsidP="004E0DFC">
      <w:r>
        <w:separator/>
      </w:r>
    </w:p>
  </w:endnote>
  <w:endnote w:type="continuationSeparator" w:id="0">
    <w:p w14:paraId="32FA74DC" w14:textId="77777777" w:rsidR="00E65BDF" w:rsidRDefault="00E65BDF" w:rsidP="004E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4F205" w14:textId="517B7881" w:rsidR="004442C6" w:rsidRPr="004442C6" w:rsidRDefault="00FE6B91" w:rsidP="004442C6">
    <w:pPr>
      <w:pStyle w:val="BodyText"/>
      <w:jc w:val="both"/>
      <w:rPr>
        <w:szCs w:val="24"/>
      </w:rPr>
    </w:pPr>
    <w:r>
      <w:rPr>
        <w:szCs w:val="24"/>
      </w:rPr>
      <w:t>VARAMAnot_0305</w:t>
    </w:r>
    <w:r w:rsidR="004442C6" w:rsidRPr="004442C6">
      <w:rPr>
        <w:szCs w:val="24"/>
      </w:rPr>
      <w:t>16_ievesana; Ministr</w:t>
    </w:r>
    <w:r w:rsidR="0047630B">
      <w:rPr>
        <w:szCs w:val="24"/>
      </w:rPr>
      <w:t>u kabineta noteikumu projekta „</w:t>
    </w:r>
    <w:r w:rsidR="004442C6" w:rsidRPr="004442C6">
      <w:rPr>
        <w:szCs w:val="24"/>
      </w:rPr>
      <w:t>Valsts vides dienesta lēmumu par atļauju ievest atkritumus reģenerācijai un lēmumu par atkritumu ievešanas aizliegumu pieņemšanas kārtība” sākotnējās ietekmes novērtējuma ziņojums (anotācija)</w:t>
    </w:r>
  </w:p>
  <w:p w14:paraId="75597680" w14:textId="77777777" w:rsidR="00A9681C" w:rsidRPr="004D2702" w:rsidRDefault="00A9681C" w:rsidP="00A9681C">
    <w:pP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EAFCC" w14:textId="029DE8C8" w:rsidR="004E0DFC" w:rsidRPr="004442C6" w:rsidRDefault="002726DA" w:rsidP="008B1E31">
    <w:pPr>
      <w:pStyle w:val="BodyText"/>
      <w:jc w:val="both"/>
      <w:rPr>
        <w:szCs w:val="24"/>
      </w:rPr>
    </w:pPr>
    <w:r w:rsidRPr="004442C6">
      <w:rPr>
        <w:szCs w:val="24"/>
      </w:rPr>
      <w:t>V</w:t>
    </w:r>
    <w:r w:rsidR="00FE6B91">
      <w:rPr>
        <w:szCs w:val="24"/>
      </w:rPr>
      <w:t>ARAMAnot_0305</w:t>
    </w:r>
    <w:r w:rsidRPr="004442C6">
      <w:rPr>
        <w:szCs w:val="24"/>
      </w:rPr>
      <w:t>16_</w:t>
    </w:r>
    <w:r w:rsidR="004E0DFC" w:rsidRPr="004442C6">
      <w:rPr>
        <w:szCs w:val="24"/>
      </w:rPr>
      <w:t>ievesana</w:t>
    </w:r>
    <w:r w:rsidRPr="004442C6">
      <w:rPr>
        <w:szCs w:val="24"/>
      </w:rPr>
      <w:t xml:space="preserve">; </w:t>
    </w:r>
    <w:r w:rsidR="004E0DFC" w:rsidRPr="004442C6">
      <w:rPr>
        <w:szCs w:val="24"/>
      </w:rPr>
      <w:t>Ministru kabineta noteikum</w:t>
    </w:r>
    <w:r w:rsidR="00704F0E" w:rsidRPr="004442C6">
      <w:rPr>
        <w:szCs w:val="24"/>
      </w:rPr>
      <w:t>u projekta</w:t>
    </w:r>
    <w:r w:rsidR="00027E00" w:rsidRPr="004442C6">
      <w:rPr>
        <w:szCs w:val="24"/>
      </w:rPr>
      <w:t xml:space="preserve"> </w:t>
    </w:r>
    <w:r w:rsidR="004E0DFC" w:rsidRPr="004442C6">
      <w:rPr>
        <w:szCs w:val="24"/>
      </w:rPr>
      <w:t>„</w:t>
    </w:r>
    <w:r w:rsidR="004442C6" w:rsidRPr="004442C6">
      <w:rPr>
        <w:szCs w:val="24"/>
      </w:rPr>
      <w:t>Valsts vides dienesta lēmumu par atļauju ievest atkritumus reģenerācijai un lēmumu par atkritumu ievešanas aizliegumu pieņemšanas kārtība</w:t>
    </w:r>
    <w:r w:rsidR="004E0DFC" w:rsidRPr="004442C6">
      <w:rPr>
        <w:szCs w:val="24"/>
      </w:rPr>
      <w:t>”</w:t>
    </w:r>
    <w:r w:rsidR="00704F0E" w:rsidRPr="004442C6">
      <w:rPr>
        <w:szCs w:val="24"/>
      </w:rPr>
      <w:t xml:space="preserve"> sākotnējās ietekmes novērtējuma ziņojums (anotācija)</w:t>
    </w:r>
  </w:p>
  <w:p w14:paraId="012B1EA6" w14:textId="77777777" w:rsidR="00A9681C" w:rsidRPr="004E0DFC" w:rsidRDefault="00A9681C" w:rsidP="004E0D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88B8C" w14:textId="77777777" w:rsidR="00E65BDF" w:rsidRDefault="00E65BDF" w:rsidP="004E0DFC">
      <w:r>
        <w:separator/>
      </w:r>
    </w:p>
  </w:footnote>
  <w:footnote w:type="continuationSeparator" w:id="0">
    <w:p w14:paraId="761B0CEF" w14:textId="77777777" w:rsidR="00E65BDF" w:rsidRDefault="00E65BDF" w:rsidP="004E0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E1B89" w14:textId="77777777" w:rsidR="00A9681C" w:rsidRDefault="002726DA" w:rsidP="00A968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C330FD" w14:textId="77777777" w:rsidR="00A9681C" w:rsidRDefault="00A9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F4D1" w14:textId="77777777" w:rsidR="00A9681C" w:rsidRDefault="002726DA" w:rsidP="00A9681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01B9">
      <w:rPr>
        <w:rStyle w:val="PageNumber"/>
        <w:noProof/>
      </w:rPr>
      <w:t>5</w:t>
    </w:r>
    <w:r>
      <w:rPr>
        <w:rStyle w:val="PageNumber"/>
      </w:rPr>
      <w:fldChar w:fldCharType="end"/>
    </w:r>
  </w:p>
  <w:p w14:paraId="5308B6AA" w14:textId="77777777" w:rsidR="00A9681C" w:rsidRPr="008B1E31" w:rsidRDefault="00A9681C">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F5FCD"/>
    <w:multiLevelType w:val="hybridMultilevel"/>
    <w:tmpl w:val="C908C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55AE5"/>
    <w:multiLevelType w:val="hybridMultilevel"/>
    <w:tmpl w:val="3C6C795E"/>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F16615"/>
    <w:multiLevelType w:val="hybridMultilevel"/>
    <w:tmpl w:val="84D8C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4"/>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F69"/>
    <w:rsid w:val="000268E1"/>
    <w:rsid w:val="00027E00"/>
    <w:rsid w:val="00042F52"/>
    <w:rsid w:val="000A3ED5"/>
    <w:rsid w:val="000D6C3A"/>
    <w:rsid w:val="000F6D1F"/>
    <w:rsid w:val="0012477B"/>
    <w:rsid w:val="00150034"/>
    <w:rsid w:val="001525D0"/>
    <w:rsid w:val="0022596F"/>
    <w:rsid w:val="002277FA"/>
    <w:rsid w:val="00230D00"/>
    <w:rsid w:val="00244411"/>
    <w:rsid w:val="002561AE"/>
    <w:rsid w:val="002726DA"/>
    <w:rsid w:val="0027330B"/>
    <w:rsid w:val="002A095D"/>
    <w:rsid w:val="002A2E14"/>
    <w:rsid w:val="002F581C"/>
    <w:rsid w:val="003950AB"/>
    <w:rsid w:val="003B10FD"/>
    <w:rsid w:val="003B2603"/>
    <w:rsid w:val="003C1288"/>
    <w:rsid w:val="003C35F0"/>
    <w:rsid w:val="004314F9"/>
    <w:rsid w:val="004442C6"/>
    <w:rsid w:val="0046134F"/>
    <w:rsid w:val="0047630B"/>
    <w:rsid w:val="004779F5"/>
    <w:rsid w:val="004A663B"/>
    <w:rsid w:val="004A6B7D"/>
    <w:rsid w:val="004D4CA8"/>
    <w:rsid w:val="004D515D"/>
    <w:rsid w:val="004E0DFC"/>
    <w:rsid w:val="00571157"/>
    <w:rsid w:val="005B24A6"/>
    <w:rsid w:val="005B2F52"/>
    <w:rsid w:val="005F032C"/>
    <w:rsid w:val="006659B8"/>
    <w:rsid w:val="00677E9D"/>
    <w:rsid w:val="006B1707"/>
    <w:rsid w:val="006C77A4"/>
    <w:rsid w:val="006D4758"/>
    <w:rsid w:val="00704F0E"/>
    <w:rsid w:val="00714B63"/>
    <w:rsid w:val="0074363F"/>
    <w:rsid w:val="0076463B"/>
    <w:rsid w:val="007D5D79"/>
    <w:rsid w:val="007E0F59"/>
    <w:rsid w:val="008002FE"/>
    <w:rsid w:val="00845F90"/>
    <w:rsid w:val="00895282"/>
    <w:rsid w:val="008B1E31"/>
    <w:rsid w:val="008F485B"/>
    <w:rsid w:val="009210A1"/>
    <w:rsid w:val="00951F69"/>
    <w:rsid w:val="00955F65"/>
    <w:rsid w:val="0097798B"/>
    <w:rsid w:val="009A01B9"/>
    <w:rsid w:val="009C1647"/>
    <w:rsid w:val="009E7635"/>
    <w:rsid w:val="00A269D6"/>
    <w:rsid w:val="00A27E6D"/>
    <w:rsid w:val="00A40702"/>
    <w:rsid w:val="00A47872"/>
    <w:rsid w:val="00A47AC8"/>
    <w:rsid w:val="00A55608"/>
    <w:rsid w:val="00A613AB"/>
    <w:rsid w:val="00A649C7"/>
    <w:rsid w:val="00A72A1D"/>
    <w:rsid w:val="00A8191C"/>
    <w:rsid w:val="00A95AB2"/>
    <w:rsid w:val="00A9681C"/>
    <w:rsid w:val="00AA2456"/>
    <w:rsid w:val="00AC59D3"/>
    <w:rsid w:val="00AE4288"/>
    <w:rsid w:val="00AE76B6"/>
    <w:rsid w:val="00B07442"/>
    <w:rsid w:val="00B43744"/>
    <w:rsid w:val="00B4517B"/>
    <w:rsid w:val="00BB3F3B"/>
    <w:rsid w:val="00BC7024"/>
    <w:rsid w:val="00BD0E5F"/>
    <w:rsid w:val="00C02F5F"/>
    <w:rsid w:val="00C12DA7"/>
    <w:rsid w:val="00C23009"/>
    <w:rsid w:val="00C41AC4"/>
    <w:rsid w:val="00C4614E"/>
    <w:rsid w:val="00C72DBF"/>
    <w:rsid w:val="00C97760"/>
    <w:rsid w:val="00CD61D6"/>
    <w:rsid w:val="00D2795F"/>
    <w:rsid w:val="00DB7DCB"/>
    <w:rsid w:val="00DE03CE"/>
    <w:rsid w:val="00DE77F8"/>
    <w:rsid w:val="00DF4406"/>
    <w:rsid w:val="00E375CD"/>
    <w:rsid w:val="00E37883"/>
    <w:rsid w:val="00E65BDF"/>
    <w:rsid w:val="00E81AF0"/>
    <w:rsid w:val="00EB3361"/>
    <w:rsid w:val="00EC7292"/>
    <w:rsid w:val="00EC7832"/>
    <w:rsid w:val="00EE1B9B"/>
    <w:rsid w:val="00F0281E"/>
    <w:rsid w:val="00F1366C"/>
    <w:rsid w:val="00F33140"/>
    <w:rsid w:val="00F71BE9"/>
    <w:rsid w:val="00F83A6A"/>
    <w:rsid w:val="00FD531A"/>
    <w:rsid w:val="00FE6B91"/>
    <w:rsid w:val="00FF0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61A8"/>
  <w15:chartTrackingRefBased/>
  <w15:docId w15:val="{A2467596-718E-406A-A854-F7AB7DF8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F6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951F69"/>
    <w:pPr>
      <w:spacing w:before="150" w:after="150"/>
      <w:jc w:val="center"/>
    </w:pPr>
    <w:rPr>
      <w:b/>
      <w:bCs/>
    </w:rPr>
  </w:style>
  <w:style w:type="paragraph" w:customStyle="1" w:styleId="naisf">
    <w:name w:val="naisf"/>
    <w:basedOn w:val="Normal"/>
    <w:rsid w:val="00951F69"/>
    <w:pPr>
      <w:spacing w:before="75" w:after="75"/>
      <w:ind w:firstLine="375"/>
      <w:jc w:val="both"/>
    </w:pPr>
  </w:style>
  <w:style w:type="paragraph" w:customStyle="1" w:styleId="naislab">
    <w:name w:val="naislab"/>
    <w:basedOn w:val="Normal"/>
    <w:rsid w:val="00951F69"/>
    <w:pPr>
      <w:spacing w:before="75" w:after="75"/>
      <w:jc w:val="right"/>
    </w:pPr>
  </w:style>
  <w:style w:type="paragraph" w:customStyle="1" w:styleId="naiskr">
    <w:name w:val="naiskr"/>
    <w:basedOn w:val="Normal"/>
    <w:rsid w:val="00951F69"/>
    <w:pPr>
      <w:spacing w:before="75" w:after="75"/>
    </w:pPr>
  </w:style>
  <w:style w:type="paragraph" w:customStyle="1" w:styleId="naisc">
    <w:name w:val="naisc"/>
    <w:basedOn w:val="Normal"/>
    <w:rsid w:val="00951F69"/>
    <w:pPr>
      <w:spacing w:before="75" w:after="75"/>
      <w:jc w:val="center"/>
    </w:pPr>
  </w:style>
  <w:style w:type="character" w:styleId="Hyperlink">
    <w:name w:val="Hyperlink"/>
    <w:rsid w:val="00951F69"/>
    <w:rPr>
      <w:color w:val="0000FF"/>
      <w:u w:val="single"/>
    </w:rPr>
  </w:style>
  <w:style w:type="paragraph" w:styleId="Header">
    <w:name w:val="header"/>
    <w:basedOn w:val="Normal"/>
    <w:link w:val="HeaderChar"/>
    <w:rsid w:val="00951F69"/>
    <w:pPr>
      <w:tabs>
        <w:tab w:val="center" w:pos="4153"/>
        <w:tab w:val="right" w:pos="8306"/>
      </w:tabs>
    </w:pPr>
  </w:style>
  <w:style w:type="character" w:customStyle="1" w:styleId="HeaderChar">
    <w:name w:val="Header Char"/>
    <w:basedOn w:val="DefaultParagraphFont"/>
    <w:link w:val="Header"/>
    <w:rsid w:val="00951F69"/>
    <w:rPr>
      <w:rFonts w:ascii="Times New Roman" w:eastAsia="Times New Roman" w:hAnsi="Times New Roman" w:cs="Times New Roman"/>
      <w:sz w:val="24"/>
      <w:szCs w:val="24"/>
      <w:lang w:eastAsia="lv-LV"/>
    </w:rPr>
  </w:style>
  <w:style w:type="paragraph" w:styleId="Footer">
    <w:name w:val="footer"/>
    <w:basedOn w:val="Normal"/>
    <w:link w:val="FooterChar"/>
    <w:rsid w:val="00951F69"/>
    <w:pPr>
      <w:tabs>
        <w:tab w:val="center" w:pos="4153"/>
        <w:tab w:val="right" w:pos="8306"/>
      </w:tabs>
    </w:pPr>
  </w:style>
  <w:style w:type="character" w:customStyle="1" w:styleId="FooterChar">
    <w:name w:val="Footer Char"/>
    <w:basedOn w:val="DefaultParagraphFont"/>
    <w:link w:val="Footer"/>
    <w:rsid w:val="00951F69"/>
    <w:rPr>
      <w:rFonts w:ascii="Times New Roman" w:eastAsia="Times New Roman" w:hAnsi="Times New Roman" w:cs="Times New Roman"/>
      <w:sz w:val="24"/>
      <w:szCs w:val="24"/>
      <w:lang w:eastAsia="lv-LV"/>
    </w:rPr>
  </w:style>
  <w:style w:type="character" w:styleId="PageNumber">
    <w:name w:val="page number"/>
    <w:basedOn w:val="DefaultParagraphFont"/>
    <w:rsid w:val="00951F69"/>
  </w:style>
  <w:style w:type="paragraph" w:styleId="ListParagraph">
    <w:name w:val="List Paragraph"/>
    <w:basedOn w:val="Normal"/>
    <w:link w:val="ListParagraphChar"/>
    <w:uiPriority w:val="34"/>
    <w:qFormat/>
    <w:rsid w:val="00951F69"/>
    <w:pPr>
      <w:ind w:left="720"/>
      <w:contextualSpacing/>
    </w:pPr>
  </w:style>
  <w:style w:type="paragraph" w:styleId="BodyText">
    <w:name w:val="Body Text"/>
    <w:basedOn w:val="Normal"/>
    <w:link w:val="BodyTextChar"/>
    <w:semiHidden/>
    <w:rsid w:val="00951F69"/>
    <w:rPr>
      <w:szCs w:val="20"/>
      <w:lang w:eastAsia="en-US"/>
    </w:rPr>
  </w:style>
  <w:style w:type="character" w:customStyle="1" w:styleId="BodyTextChar">
    <w:name w:val="Body Text Char"/>
    <w:basedOn w:val="DefaultParagraphFont"/>
    <w:link w:val="BodyText"/>
    <w:semiHidden/>
    <w:rsid w:val="00951F69"/>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71BE9"/>
    <w:rPr>
      <w:sz w:val="16"/>
      <w:szCs w:val="16"/>
    </w:rPr>
  </w:style>
  <w:style w:type="paragraph" w:styleId="CommentText">
    <w:name w:val="annotation text"/>
    <w:basedOn w:val="Normal"/>
    <w:link w:val="CommentTextChar"/>
    <w:uiPriority w:val="99"/>
    <w:semiHidden/>
    <w:unhideWhenUsed/>
    <w:rsid w:val="00F71BE9"/>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71BE9"/>
    <w:rPr>
      <w:sz w:val="20"/>
      <w:szCs w:val="20"/>
    </w:rPr>
  </w:style>
  <w:style w:type="paragraph" w:styleId="BalloonText">
    <w:name w:val="Balloon Text"/>
    <w:basedOn w:val="Normal"/>
    <w:link w:val="BalloonTextChar"/>
    <w:uiPriority w:val="99"/>
    <w:semiHidden/>
    <w:unhideWhenUsed/>
    <w:rsid w:val="00F71B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BE9"/>
    <w:rPr>
      <w:rFonts w:ascii="Segoe UI" w:eastAsia="Times New Roman" w:hAnsi="Segoe UI" w:cs="Segoe UI"/>
      <w:sz w:val="18"/>
      <w:szCs w:val="18"/>
      <w:lang w:eastAsia="lv-LV"/>
    </w:rPr>
  </w:style>
  <w:style w:type="paragraph" w:styleId="CommentSubject">
    <w:name w:val="annotation subject"/>
    <w:basedOn w:val="CommentText"/>
    <w:next w:val="CommentText"/>
    <w:link w:val="CommentSubjectChar"/>
    <w:uiPriority w:val="99"/>
    <w:semiHidden/>
    <w:unhideWhenUsed/>
    <w:rsid w:val="006B1707"/>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6B1707"/>
    <w:rPr>
      <w:rFonts w:ascii="Times New Roman" w:eastAsia="Times New Roman" w:hAnsi="Times New Roman" w:cs="Times New Roman"/>
      <w:b/>
      <w:bCs/>
      <w:sz w:val="20"/>
      <w:szCs w:val="20"/>
      <w:lang w:eastAsia="lv-LV"/>
    </w:rPr>
  </w:style>
  <w:style w:type="paragraph" w:customStyle="1" w:styleId="tv213">
    <w:name w:val="tv213"/>
    <w:basedOn w:val="Normal"/>
    <w:rsid w:val="004779F5"/>
    <w:pPr>
      <w:spacing w:before="100" w:beforeAutospacing="1" w:after="100" w:afterAutospacing="1"/>
    </w:pPr>
  </w:style>
  <w:style w:type="table" w:styleId="TableGrid">
    <w:name w:val="Table Grid"/>
    <w:basedOn w:val="TableNormal"/>
    <w:uiPriority w:val="39"/>
    <w:rsid w:val="00C72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F091E"/>
    <w:rPr>
      <w:i/>
      <w:iCs/>
    </w:rPr>
  </w:style>
  <w:style w:type="character" w:styleId="Strong">
    <w:name w:val="Strong"/>
    <w:uiPriority w:val="22"/>
    <w:qFormat/>
    <w:rsid w:val="00FF091E"/>
    <w:rPr>
      <w:b/>
      <w:bCs/>
    </w:rPr>
  </w:style>
  <w:style w:type="character" w:customStyle="1" w:styleId="ListParagraphChar">
    <w:name w:val="List Paragraph Char"/>
    <w:link w:val="ListParagraph"/>
    <w:uiPriority w:val="34"/>
    <w:rsid w:val="000F6D1F"/>
    <w:rPr>
      <w:rFonts w:ascii="Times New Roman" w:eastAsia="Times New Roman" w:hAnsi="Times New Roman" w:cs="Times New Roman"/>
      <w:sz w:val="24"/>
      <w:szCs w:val="24"/>
      <w:lang w:eastAsia="lv-LV"/>
    </w:rPr>
  </w:style>
  <w:style w:type="paragraph" w:customStyle="1" w:styleId="tvhtml">
    <w:name w:val="tv_html"/>
    <w:basedOn w:val="Normal"/>
    <w:rsid w:val="002A095D"/>
    <w:pPr>
      <w:spacing w:before="100" w:beforeAutospacing="1" w:after="100" w:afterAutospacing="1"/>
    </w:pPr>
  </w:style>
  <w:style w:type="paragraph" w:styleId="NormalWeb">
    <w:name w:val="Normal (Web)"/>
    <w:basedOn w:val="Normal"/>
    <w:uiPriority w:val="99"/>
    <w:unhideWhenUsed/>
    <w:rsid w:val="008002F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0851">
      <w:bodyDiv w:val="1"/>
      <w:marLeft w:val="0"/>
      <w:marRight w:val="0"/>
      <w:marTop w:val="0"/>
      <w:marBottom w:val="0"/>
      <w:divBdr>
        <w:top w:val="none" w:sz="0" w:space="0" w:color="auto"/>
        <w:left w:val="none" w:sz="0" w:space="0" w:color="auto"/>
        <w:bottom w:val="none" w:sz="0" w:space="0" w:color="auto"/>
        <w:right w:val="none" w:sz="0" w:space="0" w:color="auto"/>
      </w:divBdr>
    </w:div>
    <w:div w:id="430661431">
      <w:bodyDiv w:val="1"/>
      <w:marLeft w:val="0"/>
      <w:marRight w:val="0"/>
      <w:marTop w:val="0"/>
      <w:marBottom w:val="0"/>
      <w:divBdr>
        <w:top w:val="none" w:sz="0" w:space="0" w:color="auto"/>
        <w:left w:val="none" w:sz="0" w:space="0" w:color="auto"/>
        <w:bottom w:val="none" w:sz="0" w:space="0" w:color="auto"/>
        <w:right w:val="none" w:sz="0" w:space="0" w:color="auto"/>
      </w:divBdr>
    </w:div>
    <w:div w:id="993340585">
      <w:bodyDiv w:val="1"/>
      <w:marLeft w:val="0"/>
      <w:marRight w:val="0"/>
      <w:marTop w:val="0"/>
      <w:marBottom w:val="0"/>
      <w:divBdr>
        <w:top w:val="none" w:sz="0" w:space="0" w:color="auto"/>
        <w:left w:val="none" w:sz="0" w:space="0" w:color="auto"/>
        <w:bottom w:val="none" w:sz="0" w:space="0" w:color="auto"/>
        <w:right w:val="none" w:sz="0" w:space="0" w:color="auto"/>
      </w:divBdr>
    </w:div>
    <w:div w:id="1230460092">
      <w:bodyDiv w:val="1"/>
      <w:marLeft w:val="0"/>
      <w:marRight w:val="0"/>
      <w:marTop w:val="0"/>
      <w:marBottom w:val="0"/>
      <w:divBdr>
        <w:top w:val="none" w:sz="0" w:space="0" w:color="auto"/>
        <w:left w:val="none" w:sz="0" w:space="0" w:color="auto"/>
        <w:bottom w:val="none" w:sz="0" w:space="0" w:color="auto"/>
        <w:right w:val="none" w:sz="0" w:space="0" w:color="auto"/>
      </w:divBdr>
    </w:div>
    <w:div w:id="1484392815">
      <w:bodyDiv w:val="1"/>
      <w:marLeft w:val="0"/>
      <w:marRight w:val="0"/>
      <w:marTop w:val="0"/>
      <w:marBottom w:val="0"/>
      <w:divBdr>
        <w:top w:val="none" w:sz="0" w:space="0" w:color="auto"/>
        <w:left w:val="none" w:sz="0" w:space="0" w:color="auto"/>
        <w:bottom w:val="none" w:sz="0" w:space="0" w:color="auto"/>
        <w:right w:val="none" w:sz="0" w:space="0" w:color="auto"/>
      </w:divBdr>
    </w:div>
    <w:div w:id="163224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ze.donina@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9BF73-3658-4563-A76E-CCA4F521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1274</Words>
  <Characters>9247</Characters>
  <Application>Microsoft Office Word</Application>
  <DocSecurity>0</DocSecurity>
  <Lines>351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c:creator>
  <cp:keywords/>
  <dc:description/>
  <cp:lastModifiedBy>Marta Ošleja</cp:lastModifiedBy>
  <cp:revision>8</cp:revision>
  <cp:lastPrinted>2016-03-17T08:42:00Z</cp:lastPrinted>
  <dcterms:created xsi:type="dcterms:W3CDTF">2016-05-03T06:59:00Z</dcterms:created>
  <dcterms:modified xsi:type="dcterms:W3CDTF">2016-05-16T12:29:00Z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