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90" w:rsidRPr="000A6F10" w:rsidRDefault="00872F90" w:rsidP="00B03E0D">
      <w:pPr>
        <w:ind w:right="-360"/>
        <w:jc w:val="right"/>
        <w:rPr>
          <w:rFonts w:eastAsia="Times New Roman" w:cs="Times New Roman"/>
          <w:bCs/>
          <w:i/>
          <w:sz w:val="28"/>
          <w:szCs w:val="24"/>
          <w:lang w:eastAsia="lv-LV"/>
        </w:rPr>
      </w:pPr>
      <w:r w:rsidRPr="000A6F10">
        <w:rPr>
          <w:rFonts w:eastAsia="Times New Roman" w:cs="Times New Roman"/>
          <w:bCs/>
          <w:i/>
          <w:sz w:val="28"/>
          <w:szCs w:val="24"/>
          <w:lang w:eastAsia="lv-LV"/>
        </w:rPr>
        <w:t xml:space="preserve">Projekts </w:t>
      </w:r>
    </w:p>
    <w:p w:rsidR="00B03E0D" w:rsidRPr="000A6F10" w:rsidRDefault="00B03E0D" w:rsidP="00B03E0D">
      <w:pPr>
        <w:ind w:right="-360"/>
        <w:jc w:val="right"/>
        <w:rPr>
          <w:rFonts w:eastAsia="Times New Roman" w:cs="Times New Roman"/>
          <w:bCs/>
          <w:i/>
          <w:sz w:val="28"/>
          <w:szCs w:val="24"/>
          <w:lang w:eastAsia="lv-LV"/>
        </w:rPr>
      </w:pPr>
    </w:p>
    <w:p w:rsidR="000F0747" w:rsidRPr="000A6F10" w:rsidRDefault="000F0747" w:rsidP="00B03E0D">
      <w:pPr>
        <w:ind w:right="-360"/>
        <w:jc w:val="right"/>
        <w:rPr>
          <w:rFonts w:eastAsia="Times New Roman" w:cs="Times New Roman"/>
          <w:bCs/>
          <w:i/>
          <w:sz w:val="28"/>
          <w:szCs w:val="24"/>
          <w:lang w:eastAsia="lv-LV"/>
        </w:rPr>
      </w:pPr>
    </w:p>
    <w:p w:rsidR="0088048C" w:rsidRPr="000A6F10" w:rsidRDefault="00D90B13" w:rsidP="002A223C">
      <w:pPr>
        <w:tabs>
          <w:tab w:val="left" w:pos="90"/>
          <w:tab w:val="left" w:pos="360"/>
        </w:tabs>
        <w:ind w:left="-540" w:firstLine="720"/>
        <w:jc w:val="center"/>
        <w:rPr>
          <w:rFonts w:eastAsia="Times New Roman" w:cs="Times New Roman"/>
          <w:b/>
          <w:bCs/>
          <w:sz w:val="28"/>
          <w:szCs w:val="24"/>
          <w:lang w:eastAsia="lv-LV"/>
        </w:rPr>
      </w:pPr>
      <w:bookmarkStart w:id="0" w:name="OLE_LINK4"/>
      <w:bookmarkStart w:id="1" w:name="OLE_LINK5"/>
      <w:r w:rsidRPr="000A6F10">
        <w:rPr>
          <w:rFonts w:eastAsia="Times New Roman" w:cs="Times New Roman"/>
          <w:b/>
          <w:bCs/>
          <w:sz w:val="28"/>
          <w:szCs w:val="24"/>
          <w:lang w:eastAsia="lv-LV"/>
        </w:rPr>
        <w:t>Likumprojekta "</w:t>
      </w:r>
      <w:r w:rsidR="008E7752" w:rsidRPr="000A6F10">
        <w:rPr>
          <w:rFonts w:eastAsia="Times New Roman" w:cs="Times New Roman"/>
          <w:b/>
          <w:bCs/>
          <w:sz w:val="28"/>
          <w:szCs w:val="24"/>
          <w:lang w:eastAsia="lv-LV"/>
        </w:rPr>
        <w:t>Grozījums</w:t>
      </w:r>
      <w:r w:rsidR="0088048C" w:rsidRPr="000A6F10">
        <w:rPr>
          <w:rFonts w:eastAsia="Times New Roman" w:cs="Times New Roman"/>
          <w:b/>
          <w:bCs/>
          <w:sz w:val="28"/>
          <w:szCs w:val="24"/>
          <w:lang w:eastAsia="lv-LV"/>
        </w:rPr>
        <w:t xml:space="preserve"> </w:t>
      </w:r>
      <w:r w:rsidR="00C776BF" w:rsidRPr="000A6F10">
        <w:rPr>
          <w:rFonts w:eastAsia="Times New Roman" w:cs="Times New Roman"/>
          <w:b/>
          <w:bCs/>
          <w:sz w:val="28"/>
          <w:szCs w:val="24"/>
          <w:lang w:eastAsia="lv-LV"/>
        </w:rPr>
        <w:t>Bērnu tiesību aizsardzības likumā</w:t>
      </w:r>
      <w:r w:rsidRPr="000A6F10">
        <w:rPr>
          <w:rFonts w:eastAsia="Times New Roman" w:cs="Times New Roman"/>
          <w:b/>
          <w:bCs/>
          <w:sz w:val="28"/>
          <w:szCs w:val="24"/>
          <w:lang w:eastAsia="lv-LV"/>
        </w:rPr>
        <w:t>"</w:t>
      </w:r>
      <w:r w:rsidR="0088048C" w:rsidRPr="000A6F10">
        <w:rPr>
          <w:rFonts w:eastAsia="Times New Roman" w:cs="Times New Roman"/>
          <w:b/>
          <w:bCs/>
          <w:sz w:val="28"/>
          <w:szCs w:val="24"/>
          <w:lang w:eastAsia="lv-LV"/>
        </w:rPr>
        <w:t xml:space="preserve"> sākotnējās ietekmes novērtējuma ziņojums (anotācija)</w:t>
      </w:r>
    </w:p>
    <w:bookmarkEnd w:id="0"/>
    <w:bookmarkEnd w:id="1"/>
    <w:p w:rsidR="0088048C" w:rsidRPr="000A6F10" w:rsidRDefault="0088048C" w:rsidP="00E831DD">
      <w:pPr>
        <w:ind w:left="360" w:right="-360" w:hanging="360"/>
        <w:jc w:val="center"/>
        <w:rPr>
          <w:rFonts w:eastAsia="Times New Roman" w:cs="Times New Roman"/>
          <w:b/>
          <w:bCs/>
          <w:sz w:val="28"/>
          <w:szCs w:val="24"/>
          <w:lang w:eastAsia="lv-LV"/>
        </w:rPr>
      </w:pPr>
    </w:p>
    <w:tbl>
      <w:tblPr>
        <w:tblW w:w="528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6"/>
        <w:gridCol w:w="2149"/>
        <w:gridCol w:w="6125"/>
      </w:tblGrid>
      <w:tr w:rsidR="0088048C" w:rsidRPr="000A6F10" w:rsidTr="002A223C">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8048C" w:rsidRPr="000A6F10" w:rsidRDefault="0088048C" w:rsidP="00F43717">
            <w:pPr>
              <w:rPr>
                <w:rFonts w:eastAsia="Times New Roman" w:cs="Times New Roman"/>
                <w:sz w:val="28"/>
                <w:szCs w:val="24"/>
                <w:lang w:eastAsia="lv-LV"/>
              </w:rPr>
            </w:pPr>
            <w:r w:rsidRPr="000A6F10">
              <w:rPr>
                <w:rFonts w:eastAsia="Times New Roman" w:cs="Times New Roman"/>
                <w:bCs/>
                <w:sz w:val="28"/>
                <w:szCs w:val="24"/>
                <w:lang w:eastAsia="lv-LV"/>
              </w:rPr>
              <w:t>I. Tiesību akta projekta izstrādes nepieciešamība</w:t>
            </w:r>
          </w:p>
        </w:tc>
      </w:tr>
      <w:tr w:rsidR="0088048C" w:rsidRPr="000A6F10" w:rsidTr="000A6F10">
        <w:trPr>
          <w:trHeight w:val="405"/>
        </w:trPr>
        <w:tc>
          <w:tcPr>
            <w:tcW w:w="310" w:type="pct"/>
            <w:tcBorders>
              <w:top w:val="outset" w:sz="6" w:space="0" w:color="auto"/>
              <w:left w:val="outset" w:sz="6" w:space="0" w:color="auto"/>
              <w:bottom w:val="outset" w:sz="6" w:space="0" w:color="auto"/>
              <w:right w:val="outset" w:sz="6" w:space="0" w:color="auto"/>
            </w:tcBorders>
            <w:hideMark/>
          </w:tcPr>
          <w:p w:rsidR="0088048C" w:rsidRPr="000A6F10" w:rsidRDefault="0088048C">
            <w:pPr>
              <w:jc w:val="center"/>
              <w:rPr>
                <w:rFonts w:eastAsia="Times New Roman" w:cs="Times New Roman"/>
                <w:sz w:val="28"/>
                <w:szCs w:val="24"/>
                <w:lang w:eastAsia="lv-LV"/>
              </w:rPr>
            </w:pPr>
            <w:r w:rsidRPr="000A6F10">
              <w:rPr>
                <w:rFonts w:eastAsia="Times New Roman" w:cs="Times New Roman"/>
                <w:sz w:val="28"/>
                <w:szCs w:val="24"/>
                <w:lang w:eastAsia="lv-LV"/>
              </w:rPr>
              <w:t>1.</w:t>
            </w:r>
          </w:p>
        </w:tc>
        <w:tc>
          <w:tcPr>
            <w:tcW w:w="1218" w:type="pct"/>
            <w:tcBorders>
              <w:top w:val="outset" w:sz="6" w:space="0" w:color="auto"/>
              <w:left w:val="outset" w:sz="6" w:space="0" w:color="auto"/>
              <w:bottom w:val="outset" w:sz="6" w:space="0" w:color="auto"/>
              <w:right w:val="outset" w:sz="6" w:space="0" w:color="auto"/>
            </w:tcBorders>
            <w:hideMark/>
          </w:tcPr>
          <w:p w:rsidR="0088048C" w:rsidRPr="000A6F10" w:rsidRDefault="0088048C">
            <w:pPr>
              <w:rPr>
                <w:rFonts w:eastAsia="Times New Roman" w:cs="Times New Roman"/>
                <w:sz w:val="28"/>
                <w:szCs w:val="24"/>
                <w:lang w:eastAsia="lv-LV"/>
              </w:rPr>
            </w:pPr>
            <w:r w:rsidRPr="000A6F10">
              <w:rPr>
                <w:rFonts w:eastAsia="Times New Roman" w:cs="Times New Roman"/>
                <w:sz w:val="28"/>
                <w:szCs w:val="24"/>
                <w:lang w:eastAsia="lv-LV"/>
              </w:rPr>
              <w:t>Pamatojums</w:t>
            </w:r>
          </w:p>
        </w:tc>
        <w:tc>
          <w:tcPr>
            <w:tcW w:w="3473" w:type="pct"/>
            <w:tcBorders>
              <w:top w:val="outset" w:sz="6" w:space="0" w:color="auto"/>
              <w:left w:val="outset" w:sz="6" w:space="0" w:color="auto"/>
              <w:bottom w:val="outset" w:sz="6" w:space="0" w:color="auto"/>
              <w:right w:val="outset" w:sz="6" w:space="0" w:color="auto"/>
            </w:tcBorders>
            <w:hideMark/>
          </w:tcPr>
          <w:p w:rsidR="0008665D" w:rsidRDefault="00591F88" w:rsidP="0008665D">
            <w:pPr>
              <w:ind w:right="140"/>
              <w:jc w:val="both"/>
              <w:rPr>
                <w:rFonts w:cs="Times New Roman"/>
                <w:color w:val="000000"/>
                <w:sz w:val="28"/>
                <w:szCs w:val="24"/>
                <w:shd w:val="clear" w:color="auto" w:fill="FFFFFF"/>
              </w:rPr>
            </w:pPr>
            <w:r w:rsidRPr="000A6F10">
              <w:rPr>
                <w:rFonts w:cs="Times New Roman"/>
                <w:color w:val="000000"/>
                <w:sz w:val="28"/>
                <w:szCs w:val="24"/>
                <w:shd w:val="clear" w:color="auto" w:fill="FFFFFF"/>
              </w:rPr>
              <w:t>Likumprojekts</w:t>
            </w:r>
            <w:r w:rsidR="00D90B13" w:rsidRPr="000A6F10">
              <w:rPr>
                <w:rFonts w:cs="Times New Roman"/>
                <w:color w:val="000000"/>
                <w:sz w:val="28"/>
                <w:szCs w:val="24"/>
                <w:shd w:val="clear" w:color="auto" w:fill="FFFFFF"/>
              </w:rPr>
              <w:t xml:space="preserve"> "</w:t>
            </w:r>
            <w:r w:rsidR="008E7752" w:rsidRPr="000A6F10">
              <w:rPr>
                <w:rFonts w:cs="Times New Roman"/>
                <w:color w:val="000000"/>
                <w:sz w:val="28"/>
                <w:szCs w:val="24"/>
                <w:shd w:val="clear" w:color="auto" w:fill="FFFFFF"/>
              </w:rPr>
              <w:t>Grozījums</w:t>
            </w:r>
            <w:r w:rsidR="007A3B57" w:rsidRPr="000A6F10">
              <w:rPr>
                <w:rFonts w:cs="Times New Roman"/>
                <w:color w:val="000000"/>
                <w:sz w:val="28"/>
                <w:szCs w:val="24"/>
                <w:shd w:val="clear" w:color="auto" w:fill="FFFFFF"/>
              </w:rPr>
              <w:t xml:space="preserve"> Bē</w:t>
            </w:r>
            <w:r w:rsidR="00D90B13" w:rsidRPr="000A6F10">
              <w:rPr>
                <w:rFonts w:cs="Times New Roman"/>
                <w:color w:val="000000"/>
                <w:sz w:val="28"/>
                <w:szCs w:val="24"/>
                <w:shd w:val="clear" w:color="auto" w:fill="FFFFFF"/>
              </w:rPr>
              <w:t>rnu tiesību aizsardzības likumā"</w:t>
            </w:r>
            <w:r w:rsidR="007A3B57" w:rsidRPr="000A6F10">
              <w:rPr>
                <w:rFonts w:cs="Times New Roman"/>
                <w:color w:val="000000"/>
                <w:sz w:val="28"/>
                <w:szCs w:val="24"/>
                <w:shd w:val="clear" w:color="auto" w:fill="FFFFFF"/>
              </w:rPr>
              <w:t xml:space="preserve"> </w:t>
            </w:r>
            <w:r w:rsidR="00E86604" w:rsidRPr="000A6F10">
              <w:rPr>
                <w:rFonts w:cs="Times New Roman"/>
                <w:color w:val="000000"/>
                <w:sz w:val="28"/>
                <w:szCs w:val="24"/>
                <w:shd w:val="clear" w:color="auto" w:fill="FFFFFF"/>
              </w:rPr>
              <w:t>izstrādāt</w:t>
            </w:r>
            <w:r w:rsidRPr="000A6F10">
              <w:rPr>
                <w:rFonts w:cs="Times New Roman"/>
                <w:color w:val="000000"/>
                <w:sz w:val="28"/>
                <w:szCs w:val="24"/>
                <w:shd w:val="clear" w:color="auto" w:fill="FFFFFF"/>
              </w:rPr>
              <w:t>s saskaņā ar</w:t>
            </w:r>
            <w:r w:rsidR="0008665D">
              <w:rPr>
                <w:rFonts w:cs="Times New Roman"/>
                <w:color w:val="000000"/>
                <w:sz w:val="28"/>
                <w:szCs w:val="24"/>
                <w:shd w:val="clear" w:color="auto" w:fill="FFFFFF"/>
              </w:rPr>
              <w:t>:</w:t>
            </w:r>
            <w:r w:rsidR="00AD6578" w:rsidRPr="000A6F10">
              <w:rPr>
                <w:rFonts w:cs="Times New Roman"/>
                <w:color w:val="000000"/>
                <w:sz w:val="28"/>
                <w:szCs w:val="24"/>
                <w:shd w:val="clear" w:color="auto" w:fill="FFFFFF"/>
              </w:rPr>
              <w:t xml:space="preserve"> </w:t>
            </w:r>
          </w:p>
          <w:p w:rsidR="0008665D" w:rsidRPr="0008665D" w:rsidRDefault="0008665D" w:rsidP="0008665D">
            <w:pPr>
              <w:ind w:right="140"/>
              <w:jc w:val="both"/>
              <w:rPr>
                <w:rFonts w:cs="Times New Roman"/>
                <w:color w:val="000000"/>
                <w:sz w:val="28"/>
                <w:szCs w:val="24"/>
                <w:shd w:val="clear" w:color="auto" w:fill="FFFFFF"/>
              </w:rPr>
            </w:pPr>
            <w:r>
              <w:rPr>
                <w:rFonts w:cs="Times New Roman"/>
                <w:color w:val="000000"/>
                <w:sz w:val="28"/>
                <w:szCs w:val="24"/>
                <w:shd w:val="clear" w:color="auto" w:fill="FFFFFF"/>
              </w:rPr>
              <w:t xml:space="preserve">1) </w:t>
            </w:r>
            <w:r w:rsidR="007A3B57" w:rsidRPr="000A6F10">
              <w:rPr>
                <w:rFonts w:cs="Times New Roman"/>
                <w:color w:val="000000"/>
                <w:sz w:val="28"/>
                <w:szCs w:val="24"/>
                <w:shd w:val="clear" w:color="auto" w:fill="FFFFFF"/>
              </w:rPr>
              <w:t xml:space="preserve">Ministru kabineta 2015.gada 8.decembra sēdes protokola Nr.66 37.§ </w:t>
            </w:r>
            <w:r w:rsidR="00D90B13" w:rsidRPr="000A6F10">
              <w:rPr>
                <w:rFonts w:cs="Times New Roman"/>
                <w:i/>
                <w:color w:val="000000"/>
                <w:sz w:val="28"/>
                <w:szCs w:val="24"/>
                <w:shd w:val="clear" w:color="auto" w:fill="FFFFFF"/>
              </w:rPr>
              <w:t>"Likumprojekts "</w:t>
            </w:r>
            <w:r w:rsidR="007A3B57" w:rsidRPr="000A6F10">
              <w:rPr>
                <w:rFonts w:cs="Times New Roman"/>
                <w:i/>
                <w:color w:val="000000"/>
                <w:sz w:val="28"/>
                <w:szCs w:val="24"/>
                <w:shd w:val="clear" w:color="auto" w:fill="FFFFFF"/>
              </w:rPr>
              <w:t>Tabakas izstrādājumu, augu smēķēšanas produktu, elektronisko smēķēšanas ierīču un to šķidrumu aprites likums</w:t>
            </w:r>
            <w:r w:rsidR="00D90B13" w:rsidRPr="000A6F10">
              <w:rPr>
                <w:rFonts w:cs="Times New Roman"/>
                <w:i/>
                <w:color w:val="000000"/>
                <w:sz w:val="28"/>
                <w:szCs w:val="24"/>
                <w:shd w:val="clear" w:color="auto" w:fill="FFFFFF"/>
              </w:rPr>
              <w:t>""</w:t>
            </w:r>
            <w:r w:rsidR="00E86604" w:rsidRPr="000A6F10">
              <w:rPr>
                <w:rFonts w:cs="Times New Roman"/>
                <w:color w:val="000000"/>
                <w:sz w:val="28"/>
                <w:szCs w:val="24"/>
                <w:shd w:val="clear" w:color="auto" w:fill="FFFFFF"/>
              </w:rPr>
              <w:t xml:space="preserve"> </w:t>
            </w:r>
            <w:r w:rsidR="007A3B57" w:rsidRPr="000A6F10">
              <w:rPr>
                <w:rFonts w:cs="Times New Roman"/>
                <w:color w:val="000000"/>
                <w:sz w:val="28"/>
                <w:szCs w:val="24"/>
                <w:shd w:val="clear" w:color="auto" w:fill="FFFFFF"/>
              </w:rPr>
              <w:t>(TA-2143) (turpmāk</w:t>
            </w:r>
            <w:r w:rsidR="00E12D33">
              <w:rPr>
                <w:rFonts w:cs="Times New Roman"/>
                <w:color w:val="000000"/>
                <w:sz w:val="28"/>
                <w:szCs w:val="24"/>
                <w:shd w:val="clear" w:color="auto" w:fill="FFFFFF"/>
              </w:rPr>
              <w:t xml:space="preserve"> – </w:t>
            </w:r>
            <w:r w:rsidR="007A3B57" w:rsidRPr="000A6F10">
              <w:rPr>
                <w:rFonts w:cs="Times New Roman"/>
                <w:color w:val="000000"/>
                <w:sz w:val="28"/>
                <w:szCs w:val="24"/>
                <w:shd w:val="clear" w:color="auto" w:fill="FFFFFF"/>
              </w:rPr>
              <w:t xml:space="preserve">MK </w:t>
            </w:r>
            <w:r w:rsidR="001727FC" w:rsidRPr="000A6F10">
              <w:rPr>
                <w:rFonts w:cs="Times New Roman"/>
                <w:color w:val="000000"/>
                <w:sz w:val="28"/>
                <w:szCs w:val="24"/>
                <w:shd w:val="clear" w:color="auto" w:fill="FFFFFF"/>
              </w:rPr>
              <w:t>0</w:t>
            </w:r>
            <w:r w:rsidR="007A3B57" w:rsidRPr="000A6F10">
              <w:rPr>
                <w:rFonts w:cs="Times New Roman"/>
                <w:color w:val="000000"/>
                <w:sz w:val="28"/>
                <w:szCs w:val="24"/>
                <w:shd w:val="clear" w:color="auto" w:fill="FFFFFF"/>
              </w:rPr>
              <w:t>8.12.2015. pro</w:t>
            </w:r>
            <w:r w:rsidR="001727FC" w:rsidRPr="000A6F10">
              <w:rPr>
                <w:rFonts w:cs="Times New Roman"/>
                <w:color w:val="000000"/>
                <w:sz w:val="28"/>
                <w:szCs w:val="24"/>
                <w:shd w:val="clear" w:color="auto" w:fill="FFFFFF"/>
              </w:rPr>
              <w:t>tokols)</w:t>
            </w:r>
            <w:r w:rsidR="00695990" w:rsidRPr="000A6F10">
              <w:rPr>
                <w:rFonts w:cs="Times New Roman"/>
                <w:color w:val="000000"/>
                <w:sz w:val="28"/>
                <w:szCs w:val="24"/>
                <w:shd w:val="clear" w:color="auto" w:fill="FFFFFF"/>
              </w:rPr>
              <w:t xml:space="preserve"> 5.punktu</w:t>
            </w:r>
            <w:r>
              <w:rPr>
                <w:rStyle w:val="FootnoteReference"/>
                <w:sz w:val="28"/>
                <w:szCs w:val="28"/>
              </w:rPr>
              <w:footnoteReference w:id="1"/>
            </w:r>
            <w:r>
              <w:rPr>
                <w:rFonts w:cs="Times New Roman"/>
                <w:color w:val="000000"/>
                <w:sz w:val="28"/>
                <w:szCs w:val="24"/>
                <w:shd w:val="clear" w:color="auto" w:fill="FFFFFF"/>
              </w:rPr>
              <w:t>;</w:t>
            </w:r>
          </w:p>
          <w:p w:rsidR="0008665D" w:rsidRPr="000A6F10" w:rsidRDefault="0008665D" w:rsidP="0008665D">
            <w:pPr>
              <w:ind w:right="140"/>
              <w:jc w:val="both"/>
              <w:rPr>
                <w:rFonts w:cs="Times New Roman"/>
                <w:color w:val="000000"/>
                <w:sz w:val="28"/>
                <w:szCs w:val="24"/>
                <w:shd w:val="clear" w:color="auto" w:fill="FFFFFF"/>
              </w:rPr>
            </w:pPr>
            <w:r>
              <w:rPr>
                <w:sz w:val="28"/>
                <w:szCs w:val="28"/>
              </w:rPr>
              <w:t xml:space="preserve">2) </w:t>
            </w:r>
            <w:r w:rsidR="00E12D33">
              <w:rPr>
                <w:sz w:val="28"/>
                <w:szCs w:val="28"/>
              </w:rPr>
              <w:t>2016.gada 1.</w:t>
            </w:r>
            <w:r w:rsidRPr="000C2477">
              <w:rPr>
                <w:sz w:val="28"/>
                <w:szCs w:val="28"/>
              </w:rPr>
              <w:t>marta Minis</w:t>
            </w:r>
            <w:r w:rsidR="00E12D33">
              <w:rPr>
                <w:sz w:val="28"/>
                <w:szCs w:val="28"/>
              </w:rPr>
              <w:t xml:space="preserve">tru kabineta </w:t>
            </w:r>
            <w:proofErr w:type="spellStart"/>
            <w:r w:rsidR="00E12D33">
              <w:rPr>
                <w:sz w:val="28"/>
                <w:szCs w:val="28"/>
              </w:rPr>
              <w:t>protokollēmuma</w:t>
            </w:r>
            <w:proofErr w:type="spellEnd"/>
            <w:r w:rsidR="00E12D33">
              <w:rPr>
                <w:sz w:val="28"/>
                <w:szCs w:val="28"/>
              </w:rPr>
              <w:t xml:space="preserve"> Nr.</w:t>
            </w:r>
            <w:r w:rsidRPr="000C2477">
              <w:rPr>
                <w:sz w:val="28"/>
                <w:szCs w:val="28"/>
              </w:rPr>
              <w:t>10 58.§</w:t>
            </w:r>
            <w:r>
              <w:rPr>
                <w:sz w:val="28"/>
                <w:szCs w:val="28"/>
              </w:rPr>
              <w:t xml:space="preserve"> </w:t>
            </w:r>
            <w:r w:rsidRPr="000C2477">
              <w:rPr>
                <w:sz w:val="28"/>
                <w:szCs w:val="28"/>
              </w:rPr>
              <w:t>"Informatīvais ziņojums "Par Latvijas kā Eiropas Savienības dalībvalsts saistību izpildi laika periodā līdz 2016.gada 31.augustam un par ierosinātajām (turpinātajām) pārkāpuma procedūru lietām pret Latviju laika periodā līdz 2016.gada 1.februārim"" (TA–295-IP)</w:t>
            </w:r>
            <w:r w:rsidR="00E12D33">
              <w:rPr>
                <w:sz w:val="28"/>
                <w:szCs w:val="28"/>
              </w:rPr>
              <w:t xml:space="preserve"> 9.</w:t>
            </w:r>
            <w:r>
              <w:rPr>
                <w:sz w:val="28"/>
                <w:szCs w:val="28"/>
              </w:rPr>
              <w:t>punktu (attiecībā uz veselības ministram uzdotajiem uzdevumiem).</w:t>
            </w:r>
          </w:p>
        </w:tc>
      </w:tr>
      <w:tr w:rsidR="0088048C" w:rsidRPr="000A6F10" w:rsidTr="000A6F10">
        <w:trPr>
          <w:trHeight w:val="465"/>
        </w:trPr>
        <w:tc>
          <w:tcPr>
            <w:tcW w:w="310" w:type="pct"/>
            <w:tcBorders>
              <w:top w:val="outset" w:sz="6" w:space="0" w:color="auto"/>
              <w:left w:val="outset" w:sz="6" w:space="0" w:color="auto"/>
              <w:bottom w:val="outset" w:sz="6" w:space="0" w:color="auto"/>
              <w:right w:val="outset" w:sz="6" w:space="0" w:color="auto"/>
            </w:tcBorders>
            <w:hideMark/>
          </w:tcPr>
          <w:p w:rsidR="0088048C" w:rsidRPr="000A6F10" w:rsidRDefault="0088048C">
            <w:pPr>
              <w:spacing w:before="75" w:after="75"/>
              <w:jc w:val="center"/>
              <w:rPr>
                <w:rFonts w:eastAsia="Times New Roman" w:cs="Times New Roman"/>
                <w:sz w:val="28"/>
                <w:szCs w:val="24"/>
                <w:lang w:eastAsia="lv-LV"/>
              </w:rPr>
            </w:pPr>
            <w:r w:rsidRPr="000A6F10">
              <w:rPr>
                <w:rFonts w:eastAsia="Times New Roman" w:cs="Times New Roman"/>
                <w:sz w:val="28"/>
                <w:szCs w:val="24"/>
                <w:lang w:eastAsia="lv-LV"/>
              </w:rPr>
              <w:t>2.</w:t>
            </w:r>
          </w:p>
        </w:tc>
        <w:tc>
          <w:tcPr>
            <w:tcW w:w="1218" w:type="pct"/>
            <w:tcBorders>
              <w:top w:val="outset" w:sz="6" w:space="0" w:color="auto"/>
              <w:left w:val="outset" w:sz="6" w:space="0" w:color="auto"/>
              <w:bottom w:val="outset" w:sz="6" w:space="0" w:color="auto"/>
              <w:right w:val="outset" w:sz="6" w:space="0" w:color="auto"/>
            </w:tcBorders>
            <w:hideMark/>
          </w:tcPr>
          <w:p w:rsidR="0088048C" w:rsidRPr="000A6F10" w:rsidRDefault="0088048C">
            <w:pPr>
              <w:rPr>
                <w:rFonts w:eastAsia="Times New Roman" w:cs="Times New Roman"/>
                <w:sz w:val="28"/>
                <w:szCs w:val="24"/>
                <w:lang w:eastAsia="lv-LV"/>
              </w:rPr>
            </w:pPr>
            <w:r w:rsidRPr="000A6F10">
              <w:rPr>
                <w:rFonts w:eastAsia="Times New Roman" w:cs="Times New Roman"/>
                <w:sz w:val="28"/>
                <w:szCs w:val="24"/>
                <w:lang w:eastAsia="lv-LV"/>
              </w:rPr>
              <w:t>Pašreizējā situācija un problēmas, kuru risināšanai tiesību akta projekts izstrādāts, tiesiskā regulējuma mērķis un būtība</w:t>
            </w:r>
          </w:p>
        </w:tc>
        <w:tc>
          <w:tcPr>
            <w:tcW w:w="3473" w:type="pct"/>
            <w:tcBorders>
              <w:top w:val="outset" w:sz="6" w:space="0" w:color="auto"/>
              <w:left w:val="outset" w:sz="6" w:space="0" w:color="auto"/>
              <w:bottom w:val="outset" w:sz="6" w:space="0" w:color="auto"/>
              <w:right w:val="outset" w:sz="6" w:space="0" w:color="auto"/>
            </w:tcBorders>
            <w:hideMark/>
          </w:tcPr>
          <w:p w:rsidR="00673C1A" w:rsidRPr="000A6F10" w:rsidRDefault="00E86604" w:rsidP="00872F90">
            <w:pPr>
              <w:ind w:right="140"/>
              <w:jc w:val="both"/>
              <w:rPr>
                <w:rFonts w:cs="Times New Roman"/>
                <w:color w:val="000000"/>
                <w:sz w:val="28"/>
                <w:szCs w:val="24"/>
                <w:shd w:val="clear" w:color="auto" w:fill="FFFFFF"/>
              </w:rPr>
            </w:pPr>
            <w:r w:rsidRPr="000A6F10">
              <w:rPr>
                <w:rFonts w:cs="Times New Roman"/>
                <w:color w:val="000000"/>
                <w:sz w:val="28"/>
                <w:szCs w:val="24"/>
                <w:shd w:val="clear" w:color="auto" w:fill="FFFFFF"/>
              </w:rPr>
              <w:t>S</w:t>
            </w:r>
            <w:r w:rsidR="006A12D6" w:rsidRPr="000A6F10">
              <w:rPr>
                <w:rFonts w:cs="Times New Roman"/>
                <w:color w:val="000000"/>
                <w:sz w:val="28"/>
                <w:szCs w:val="24"/>
                <w:shd w:val="clear" w:color="auto" w:fill="FFFFFF"/>
              </w:rPr>
              <w:t>askaņā ar MK 08.12.2015. protokolu Veselības ministrijai</w:t>
            </w:r>
            <w:r w:rsidRPr="000A6F10">
              <w:rPr>
                <w:rFonts w:cs="Times New Roman"/>
                <w:color w:val="000000"/>
                <w:sz w:val="28"/>
                <w:szCs w:val="24"/>
                <w:shd w:val="clear" w:color="auto" w:fill="FFFFFF"/>
              </w:rPr>
              <w:t xml:space="preserve"> noteikts pienākums sagatavot</w:t>
            </w:r>
            <w:r w:rsidR="006A12D6" w:rsidRPr="000A6F10">
              <w:rPr>
                <w:rFonts w:cs="Times New Roman"/>
                <w:color w:val="000000"/>
                <w:sz w:val="28"/>
                <w:szCs w:val="24"/>
                <w:shd w:val="clear" w:color="auto" w:fill="FFFFFF"/>
              </w:rPr>
              <w:t xml:space="preserve"> un veselības ministram iesniegt no</w:t>
            </w:r>
            <w:r w:rsidR="00192720" w:rsidRPr="000A6F10">
              <w:rPr>
                <w:rFonts w:cs="Times New Roman"/>
                <w:color w:val="000000"/>
                <w:sz w:val="28"/>
                <w:szCs w:val="24"/>
                <w:shd w:val="clear" w:color="auto" w:fill="FFFFFF"/>
              </w:rPr>
              <w:t>teikt</w:t>
            </w:r>
            <w:r w:rsidRPr="000A6F10">
              <w:rPr>
                <w:rFonts w:cs="Times New Roman"/>
                <w:color w:val="000000"/>
                <w:sz w:val="28"/>
                <w:szCs w:val="24"/>
                <w:shd w:val="clear" w:color="auto" w:fill="FFFFFF"/>
              </w:rPr>
              <w:t>aj</w:t>
            </w:r>
            <w:r w:rsidR="00192720" w:rsidRPr="000A6F10">
              <w:rPr>
                <w:rFonts w:cs="Times New Roman"/>
                <w:color w:val="000000"/>
                <w:sz w:val="28"/>
                <w:szCs w:val="24"/>
                <w:shd w:val="clear" w:color="auto" w:fill="FFFFFF"/>
              </w:rPr>
              <w:t>ā kārtībā Ministru kabinetā</w:t>
            </w:r>
            <w:r w:rsidR="006A12D6" w:rsidRPr="000A6F10">
              <w:rPr>
                <w:rFonts w:cs="Times New Roman"/>
                <w:color w:val="000000"/>
                <w:sz w:val="28"/>
                <w:szCs w:val="24"/>
                <w:shd w:val="clear" w:color="auto" w:fill="FFFFFF"/>
              </w:rPr>
              <w:t xml:space="preserve"> grozījumus </w:t>
            </w:r>
            <w:r w:rsidR="00FC0091" w:rsidRPr="000A6F10">
              <w:rPr>
                <w:rFonts w:cs="Times New Roman"/>
                <w:color w:val="000000"/>
                <w:sz w:val="28"/>
                <w:szCs w:val="24"/>
                <w:shd w:val="clear" w:color="auto" w:fill="FFFFFF"/>
              </w:rPr>
              <w:t>Bērnu tiesību aizsardzības likumā (turpmāk</w:t>
            </w:r>
            <w:r w:rsidR="00E12D33">
              <w:rPr>
                <w:rFonts w:cs="Times New Roman"/>
                <w:color w:val="000000"/>
                <w:sz w:val="28"/>
                <w:szCs w:val="24"/>
                <w:shd w:val="clear" w:color="auto" w:fill="FFFFFF"/>
              </w:rPr>
              <w:t xml:space="preserve"> –</w:t>
            </w:r>
            <w:r w:rsidR="00FC0091" w:rsidRPr="000A6F10">
              <w:rPr>
                <w:rFonts w:cs="Times New Roman"/>
                <w:color w:val="000000"/>
                <w:sz w:val="28"/>
                <w:szCs w:val="24"/>
                <w:shd w:val="clear" w:color="auto" w:fill="FFFFFF"/>
              </w:rPr>
              <w:t xml:space="preserve"> BTAL)</w:t>
            </w:r>
            <w:r w:rsidR="003412A4" w:rsidRPr="000A6F10">
              <w:rPr>
                <w:rFonts w:cs="Times New Roman"/>
                <w:color w:val="000000"/>
                <w:sz w:val="28"/>
                <w:szCs w:val="24"/>
                <w:shd w:val="clear" w:color="auto" w:fill="FFFFFF"/>
              </w:rPr>
              <w:t>.</w:t>
            </w:r>
          </w:p>
          <w:p w:rsidR="004E33AA" w:rsidRPr="000A6F10" w:rsidRDefault="00D73331" w:rsidP="00872F90">
            <w:pPr>
              <w:ind w:right="140"/>
              <w:jc w:val="both"/>
              <w:rPr>
                <w:rFonts w:cs="Times New Roman"/>
                <w:color w:val="000000"/>
                <w:sz w:val="28"/>
                <w:szCs w:val="24"/>
                <w:shd w:val="clear" w:color="auto" w:fill="FFFFFF"/>
              </w:rPr>
            </w:pPr>
            <w:r w:rsidRPr="000A6F10">
              <w:rPr>
                <w:rFonts w:cs="Times New Roman"/>
                <w:color w:val="000000"/>
                <w:sz w:val="28"/>
                <w:szCs w:val="24"/>
                <w:shd w:val="clear" w:color="auto" w:fill="FFFFFF"/>
              </w:rPr>
              <w:t xml:space="preserve">Atbilstoši </w:t>
            </w:r>
            <w:r w:rsidR="00192720" w:rsidRPr="000A6F10">
              <w:rPr>
                <w:rFonts w:cs="Times New Roman"/>
                <w:color w:val="000000"/>
                <w:sz w:val="28"/>
                <w:szCs w:val="24"/>
                <w:shd w:val="clear" w:color="auto" w:fill="FFFFFF"/>
              </w:rPr>
              <w:t>BTAL</w:t>
            </w:r>
            <w:r w:rsidRPr="000A6F10">
              <w:rPr>
                <w:rFonts w:cs="Times New Roman"/>
                <w:color w:val="000000"/>
                <w:sz w:val="28"/>
                <w:szCs w:val="24"/>
                <w:shd w:val="clear" w:color="auto" w:fill="FFFFFF"/>
              </w:rPr>
              <w:t xml:space="preserve"> 48.pantam</w:t>
            </w:r>
            <w:r w:rsidR="009F3995" w:rsidRPr="000A6F10">
              <w:rPr>
                <w:rFonts w:cs="Times New Roman"/>
                <w:color w:val="000000"/>
                <w:sz w:val="28"/>
                <w:szCs w:val="24"/>
                <w:shd w:val="clear" w:color="auto" w:fill="FFFFFF"/>
              </w:rPr>
              <w:t xml:space="preserve"> b</w:t>
            </w:r>
            <w:r w:rsidR="00FD2265" w:rsidRPr="000A6F10">
              <w:rPr>
                <w:rFonts w:cs="Times New Roman"/>
                <w:color w:val="000000"/>
                <w:sz w:val="28"/>
                <w:szCs w:val="24"/>
                <w:shd w:val="clear" w:color="auto" w:fill="FFFFFF"/>
              </w:rPr>
              <w:t>ērns</w:t>
            </w:r>
            <w:r w:rsidR="009F3995" w:rsidRPr="000A6F10">
              <w:rPr>
                <w:rFonts w:cs="Times New Roman"/>
                <w:color w:val="000000"/>
                <w:sz w:val="28"/>
                <w:szCs w:val="24"/>
                <w:shd w:val="clear" w:color="auto" w:fill="FFFFFF"/>
              </w:rPr>
              <w:t xml:space="preserve"> nedrīkst smēķēt un lietot alkoholiskos dzērienus, </w:t>
            </w:r>
            <w:r w:rsidR="00E86604" w:rsidRPr="000A6F10">
              <w:rPr>
                <w:rFonts w:cs="Times New Roman"/>
                <w:color w:val="000000"/>
                <w:sz w:val="28"/>
                <w:szCs w:val="24"/>
                <w:shd w:val="clear" w:color="auto" w:fill="FFFFFF"/>
              </w:rPr>
              <w:t>bērnu</w:t>
            </w:r>
            <w:r w:rsidRPr="000A6F10">
              <w:rPr>
                <w:rFonts w:cs="Times New Roman"/>
                <w:color w:val="000000"/>
                <w:sz w:val="28"/>
                <w:szCs w:val="24"/>
                <w:shd w:val="clear" w:color="auto" w:fill="FFFFFF"/>
              </w:rPr>
              <w:t xml:space="preserve"> aizliegts pakļaut alkoholisko dzērienu un tabakas dūmu ietekmei,</w:t>
            </w:r>
            <w:r w:rsidR="00E86604" w:rsidRPr="000A6F10">
              <w:rPr>
                <w:rFonts w:cs="Times New Roman"/>
                <w:color w:val="000000"/>
                <w:sz w:val="28"/>
                <w:szCs w:val="24"/>
                <w:shd w:val="clear" w:color="auto" w:fill="FFFFFF"/>
              </w:rPr>
              <w:t xml:space="preserve"> aizliegts</w:t>
            </w:r>
            <w:r w:rsidRPr="000A6F10">
              <w:rPr>
                <w:rFonts w:cs="Times New Roman"/>
                <w:color w:val="000000"/>
                <w:sz w:val="28"/>
                <w:szCs w:val="24"/>
                <w:shd w:val="clear" w:color="auto" w:fill="FFFFFF"/>
              </w:rPr>
              <w:t xml:space="preserve"> pārdod bērnam alkoholiskos dzērienus un tabakas izstrādājumus,</w:t>
            </w:r>
            <w:r w:rsidR="009F3995" w:rsidRPr="000A6F10">
              <w:rPr>
                <w:rFonts w:cs="Times New Roman"/>
                <w:color w:val="000000"/>
                <w:sz w:val="28"/>
                <w:szCs w:val="24"/>
                <w:shd w:val="clear" w:color="auto" w:fill="FFFFFF"/>
              </w:rPr>
              <w:t xml:space="preserve"> </w:t>
            </w:r>
            <w:r w:rsidR="00E86604" w:rsidRPr="000A6F10">
              <w:rPr>
                <w:rFonts w:cs="Times New Roman"/>
                <w:color w:val="000000"/>
                <w:sz w:val="28"/>
                <w:szCs w:val="24"/>
                <w:shd w:val="clear" w:color="auto" w:fill="FFFFFF"/>
              </w:rPr>
              <w:t>un</w:t>
            </w:r>
            <w:r w:rsidRPr="000A6F10">
              <w:rPr>
                <w:rFonts w:cs="Times New Roman"/>
                <w:color w:val="000000"/>
                <w:sz w:val="28"/>
                <w:szCs w:val="24"/>
                <w:shd w:val="clear" w:color="auto" w:fill="FFFFFF"/>
              </w:rPr>
              <w:t xml:space="preserve"> </w:t>
            </w:r>
            <w:r w:rsidR="009F3995" w:rsidRPr="000A6F10">
              <w:rPr>
                <w:rFonts w:cs="Times New Roman"/>
                <w:color w:val="000000"/>
                <w:sz w:val="28"/>
                <w:szCs w:val="24"/>
                <w:shd w:val="clear" w:color="auto" w:fill="FFFFFF"/>
              </w:rPr>
              <w:t>bērnam ir aizliegts strādāt darbus, kas tieši saistīti ar tabakas izstrādājumu, alkoholisko dzērienu ražošanu, izmēģināšanu, glabāšanu, lietošanu, tirdzniecību</w:t>
            </w:r>
            <w:r w:rsidR="00214CFD" w:rsidRPr="000A6F10">
              <w:rPr>
                <w:rFonts w:cs="Times New Roman"/>
                <w:color w:val="000000"/>
                <w:sz w:val="28"/>
                <w:szCs w:val="24"/>
                <w:shd w:val="clear" w:color="auto" w:fill="FFFFFF"/>
              </w:rPr>
              <w:t xml:space="preserve"> vai </w:t>
            </w:r>
            <w:r w:rsidR="00214CFD" w:rsidRPr="000A6F10">
              <w:rPr>
                <w:rFonts w:cs="Times New Roman"/>
                <w:color w:val="000000"/>
                <w:sz w:val="28"/>
                <w:szCs w:val="24"/>
                <w:shd w:val="clear" w:color="auto" w:fill="FFFFFF"/>
              </w:rPr>
              <w:lastRenderedPageBreak/>
              <w:t xml:space="preserve">reklāmu. </w:t>
            </w:r>
          </w:p>
          <w:p w:rsidR="002544AE" w:rsidRPr="000A6F10" w:rsidRDefault="005D254C" w:rsidP="00872F90">
            <w:pPr>
              <w:ind w:right="140"/>
              <w:jc w:val="both"/>
              <w:rPr>
                <w:rFonts w:cs="Times New Roman"/>
                <w:color w:val="000000"/>
                <w:sz w:val="28"/>
                <w:szCs w:val="24"/>
                <w:shd w:val="clear" w:color="auto" w:fill="FFFFFF"/>
              </w:rPr>
            </w:pPr>
            <w:r w:rsidRPr="000A6F10">
              <w:rPr>
                <w:rFonts w:cs="Times New Roman"/>
                <w:color w:val="000000"/>
                <w:sz w:val="28"/>
                <w:szCs w:val="24"/>
                <w:shd w:val="clear" w:color="auto" w:fill="FFFFFF"/>
              </w:rPr>
              <w:t>Ņ</w:t>
            </w:r>
            <w:r w:rsidR="00A27DEF" w:rsidRPr="000A6F10">
              <w:rPr>
                <w:rFonts w:cs="Times New Roman"/>
                <w:color w:val="000000"/>
                <w:sz w:val="28"/>
                <w:szCs w:val="24"/>
                <w:shd w:val="clear" w:color="auto" w:fill="FFFFFF"/>
              </w:rPr>
              <w:t>emot vērā</w:t>
            </w:r>
            <w:r w:rsidR="005928CA" w:rsidRPr="000A6F10">
              <w:rPr>
                <w:rFonts w:cs="Times New Roman"/>
                <w:color w:val="000000"/>
                <w:sz w:val="28"/>
                <w:szCs w:val="24"/>
                <w:shd w:val="clear" w:color="auto" w:fill="FFFFFF"/>
              </w:rPr>
              <w:t xml:space="preserve"> </w:t>
            </w:r>
            <w:r w:rsidR="00A27DEF" w:rsidRPr="000A6F10">
              <w:rPr>
                <w:rFonts w:cs="Times New Roman"/>
                <w:color w:val="000000"/>
                <w:sz w:val="28"/>
                <w:szCs w:val="24"/>
                <w:shd w:val="clear" w:color="auto" w:fill="FFFFFF"/>
              </w:rPr>
              <w:t>tir</w:t>
            </w:r>
            <w:r w:rsidR="001847CF" w:rsidRPr="000A6F10">
              <w:rPr>
                <w:rFonts w:cs="Times New Roman"/>
                <w:color w:val="000000"/>
                <w:sz w:val="28"/>
                <w:szCs w:val="24"/>
                <w:shd w:val="clear" w:color="auto" w:fill="FFFFFF"/>
              </w:rPr>
              <w:t>gus piedāvājum</w:t>
            </w:r>
            <w:r w:rsidR="00921C7D" w:rsidRPr="000A6F10">
              <w:rPr>
                <w:rFonts w:cs="Times New Roman"/>
                <w:color w:val="000000"/>
                <w:sz w:val="28"/>
                <w:szCs w:val="24"/>
                <w:shd w:val="clear" w:color="auto" w:fill="FFFFFF"/>
              </w:rPr>
              <w:t>a</w:t>
            </w:r>
            <w:r w:rsidR="00FD2265" w:rsidRPr="000A6F10">
              <w:rPr>
                <w:rFonts w:cs="Times New Roman"/>
                <w:color w:val="000000"/>
                <w:sz w:val="28"/>
                <w:szCs w:val="24"/>
                <w:shd w:val="clear" w:color="auto" w:fill="FFFFFF"/>
              </w:rPr>
              <w:t xml:space="preserve"> nepārtrauktu</w:t>
            </w:r>
            <w:r w:rsidR="009D4562" w:rsidRPr="000A6F10">
              <w:rPr>
                <w:rFonts w:cs="Times New Roman"/>
                <w:color w:val="000000"/>
                <w:sz w:val="28"/>
                <w:szCs w:val="24"/>
                <w:shd w:val="clear" w:color="auto" w:fill="FFFFFF"/>
              </w:rPr>
              <w:t xml:space="preserve"> paplašinājumu,</w:t>
            </w:r>
            <w:r w:rsidR="00FD2265" w:rsidRPr="000A6F10">
              <w:rPr>
                <w:rFonts w:cs="Times New Roman"/>
                <w:color w:val="000000"/>
                <w:sz w:val="28"/>
                <w:szCs w:val="24"/>
                <w:shd w:val="clear" w:color="auto" w:fill="FFFFFF"/>
              </w:rPr>
              <w:t xml:space="preserve"> sabiedrībai, t.sk. bērniem, kļūst pieejami arvien</w:t>
            </w:r>
            <w:r w:rsidR="007B273F" w:rsidRPr="000A6F10">
              <w:rPr>
                <w:rFonts w:cs="Times New Roman"/>
                <w:color w:val="000000"/>
                <w:sz w:val="28"/>
                <w:szCs w:val="24"/>
                <w:shd w:val="clear" w:color="auto" w:fill="FFFFFF"/>
              </w:rPr>
              <w:t xml:space="preserve"> jauni</w:t>
            </w:r>
            <w:r w:rsidR="00FD2265" w:rsidRPr="000A6F10">
              <w:rPr>
                <w:rFonts w:cs="Times New Roman"/>
                <w:color w:val="000000"/>
                <w:sz w:val="28"/>
                <w:szCs w:val="24"/>
                <w:shd w:val="clear" w:color="auto" w:fill="FFFFFF"/>
              </w:rPr>
              <w:t xml:space="preserve"> smēķēšanas produkti un ierīces,</w:t>
            </w:r>
            <w:r w:rsidR="00192720" w:rsidRPr="000A6F10">
              <w:rPr>
                <w:rFonts w:cs="Times New Roman"/>
                <w:color w:val="000000"/>
                <w:sz w:val="28"/>
                <w:szCs w:val="24"/>
                <w:shd w:val="clear" w:color="auto" w:fill="FFFFFF"/>
              </w:rPr>
              <w:t xml:space="preserve"> kuru darbības princips un izskats faktiski neatšķiras no smēķēšanai paredzētiem tabakas izstrādājumiem, tomēr to sastāvā var arī nebūt tabaka</w:t>
            </w:r>
            <w:r w:rsidR="000D31DF" w:rsidRPr="000A6F10">
              <w:rPr>
                <w:rFonts w:cs="Times New Roman"/>
                <w:color w:val="000000"/>
                <w:sz w:val="28"/>
                <w:szCs w:val="24"/>
                <w:shd w:val="clear" w:color="auto" w:fill="FFFFFF"/>
              </w:rPr>
              <w:t>,</w:t>
            </w:r>
            <w:r w:rsidR="00192720" w:rsidRPr="000A6F10">
              <w:rPr>
                <w:rFonts w:cs="Times New Roman"/>
                <w:color w:val="000000"/>
                <w:sz w:val="28"/>
                <w:szCs w:val="24"/>
                <w:shd w:val="clear" w:color="auto" w:fill="FFFFFF"/>
              </w:rPr>
              <w:t xml:space="preserve"> un tādējādi tie nav uzskatāmi par tabakas izstrādājumiem un uz tiem neattiecas spēkā esošais regulējums.</w:t>
            </w:r>
          </w:p>
          <w:p w:rsidR="00DB6EE4" w:rsidRPr="000A6F10" w:rsidRDefault="002544AE" w:rsidP="00872F90">
            <w:pPr>
              <w:ind w:right="140"/>
              <w:jc w:val="both"/>
              <w:rPr>
                <w:sz w:val="28"/>
                <w:szCs w:val="24"/>
              </w:rPr>
            </w:pPr>
            <w:r w:rsidRPr="000A6F10">
              <w:rPr>
                <w:rFonts w:cs="Times New Roman"/>
                <w:color w:val="000000"/>
                <w:sz w:val="28"/>
                <w:szCs w:val="24"/>
                <w:shd w:val="clear" w:color="auto" w:fill="FFFFFF"/>
              </w:rPr>
              <w:t>Tabakas izstrādājumu, augu smēķēšanas produktu, elektronisko smēķēšanas ierīču un to šķidrumu aprites likum</w:t>
            </w:r>
            <w:r w:rsidR="00262520" w:rsidRPr="000A6F10">
              <w:rPr>
                <w:rFonts w:cs="Times New Roman"/>
                <w:color w:val="000000"/>
                <w:sz w:val="28"/>
                <w:szCs w:val="24"/>
                <w:shd w:val="clear" w:color="auto" w:fill="FFFFFF"/>
              </w:rPr>
              <w:t>a</w:t>
            </w:r>
            <w:r w:rsidR="001E4B28" w:rsidRPr="000A6F10">
              <w:rPr>
                <w:rStyle w:val="FootnoteReference"/>
                <w:rFonts w:cs="Times New Roman"/>
                <w:color w:val="000000"/>
                <w:sz w:val="28"/>
                <w:szCs w:val="24"/>
                <w:shd w:val="clear" w:color="auto" w:fill="FFFFFF"/>
              </w:rPr>
              <w:t xml:space="preserve"> </w:t>
            </w:r>
            <w:r w:rsidR="00DF2221" w:rsidRPr="000A6F10">
              <w:rPr>
                <w:rFonts w:cs="Times New Roman"/>
                <w:color w:val="000000"/>
                <w:sz w:val="28"/>
                <w:szCs w:val="24"/>
                <w:shd w:val="clear" w:color="auto" w:fill="FFFFFF"/>
              </w:rPr>
              <w:t>(turpmāk</w:t>
            </w:r>
            <w:r w:rsidR="00E12D33">
              <w:rPr>
                <w:rFonts w:cs="Times New Roman"/>
                <w:color w:val="000000"/>
                <w:sz w:val="28"/>
                <w:szCs w:val="24"/>
                <w:shd w:val="clear" w:color="auto" w:fill="FFFFFF"/>
              </w:rPr>
              <w:t xml:space="preserve"> – </w:t>
            </w:r>
            <w:r w:rsidR="00DB6EE4" w:rsidRPr="000A6F10">
              <w:rPr>
                <w:rFonts w:cs="Times New Roman"/>
                <w:color w:val="000000"/>
                <w:sz w:val="28"/>
                <w:szCs w:val="24"/>
                <w:shd w:val="clear" w:color="auto" w:fill="FFFFFF"/>
              </w:rPr>
              <w:t xml:space="preserve">tabakas </w:t>
            </w:r>
            <w:r w:rsidR="00DF2221" w:rsidRPr="000A6F10">
              <w:rPr>
                <w:rFonts w:cs="Times New Roman"/>
                <w:color w:val="000000"/>
                <w:sz w:val="28"/>
                <w:szCs w:val="24"/>
                <w:shd w:val="clear" w:color="auto" w:fill="FFFFFF"/>
              </w:rPr>
              <w:t>likums)</w:t>
            </w:r>
            <w:r w:rsidRPr="000A6F10">
              <w:rPr>
                <w:rFonts w:cs="Times New Roman"/>
                <w:color w:val="000000"/>
                <w:sz w:val="28"/>
                <w:szCs w:val="24"/>
                <w:shd w:val="clear" w:color="auto" w:fill="FFFFFF"/>
              </w:rPr>
              <w:t xml:space="preserve"> 1.panta 26.punktā definēts termi</w:t>
            </w:r>
            <w:r w:rsidR="003412A4" w:rsidRPr="000A6F10">
              <w:rPr>
                <w:rFonts w:cs="Times New Roman"/>
                <w:color w:val="000000"/>
                <w:sz w:val="28"/>
                <w:szCs w:val="24"/>
                <w:shd w:val="clear" w:color="auto" w:fill="FFFFFF"/>
              </w:rPr>
              <w:t>ns</w:t>
            </w:r>
            <w:r w:rsidRPr="000A6F10">
              <w:rPr>
                <w:rFonts w:cs="Times New Roman"/>
                <w:color w:val="000000"/>
                <w:sz w:val="28"/>
                <w:szCs w:val="24"/>
                <w:shd w:val="clear" w:color="auto" w:fill="FFFFFF"/>
              </w:rPr>
              <w:t xml:space="preserve"> "smēķēšana", kas aptver tabakas izstrādājumu, augu s</w:t>
            </w:r>
            <w:r w:rsidR="0008665D">
              <w:rPr>
                <w:rFonts w:cs="Times New Roman"/>
                <w:color w:val="000000"/>
                <w:sz w:val="28"/>
                <w:szCs w:val="24"/>
                <w:shd w:val="clear" w:color="auto" w:fill="FFFFFF"/>
              </w:rPr>
              <w:t xml:space="preserve">mēķēšanas produktu, </w:t>
            </w:r>
            <w:proofErr w:type="spellStart"/>
            <w:r w:rsidR="0008665D">
              <w:rPr>
                <w:rFonts w:cs="Times New Roman"/>
                <w:color w:val="000000"/>
                <w:sz w:val="28"/>
                <w:szCs w:val="24"/>
                <w:shd w:val="clear" w:color="auto" w:fill="FFFFFF"/>
              </w:rPr>
              <w:t>jaunieviestu</w:t>
            </w:r>
            <w:proofErr w:type="spellEnd"/>
            <w:r w:rsidRPr="000A6F10">
              <w:rPr>
                <w:rFonts w:cs="Times New Roman"/>
                <w:color w:val="000000"/>
                <w:sz w:val="28"/>
                <w:szCs w:val="24"/>
                <w:shd w:val="clear" w:color="auto" w:fill="FFFFFF"/>
              </w:rPr>
              <w:t xml:space="preserve"> tabakas izstrādājumu un elektronisko </w:t>
            </w:r>
            <w:r w:rsidR="00E12D33">
              <w:rPr>
                <w:rFonts w:cs="Times New Roman"/>
                <w:color w:val="000000"/>
                <w:sz w:val="28"/>
                <w:szCs w:val="24"/>
                <w:shd w:val="clear" w:color="auto" w:fill="FFFFFF"/>
              </w:rPr>
              <w:t>smēķēšanas ierīču</w:t>
            </w:r>
            <w:r w:rsidRPr="000A6F10">
              <w:rPr>
                <w:rFonts w:cs="Times New Roman"/>
                <w:color w:val="000000"/>
                <w:sz w:val="28"/>
                <w:szCs w:val="24"/>
                <w:shd w:val="clear" w:color="auto" w:fill="FFFFFF"/>
              </w:rPr>
              <w:t xml:space="preserve"> lietošanu. </w:t>
            </w:r>
            <w:r w:rsidR="00203806" w:rsidRPr="000A6F10">
              <w:rPr>
                <w:rFonts w:cs="Times New Roman"/>
                <w:color w:val="000000"/>
                <w:sz w:val="28"/>
                <w:szCs w:val="24"/>
                <w:shd w:val="clear" w:color="auto" w:fill="FFFFFF"/>
              </w:rPr>
              <w:t>Tabakas l</w:t>
            </w:r>
            <w:r w:rsidR="00DF2221" w:rsidRPr="000A6F10">
              <w:rPr>
                <w:rFonts w:cs="Times New Roman"/>
                <w:color w:val="000000"/>
                <w:sz w:val="28"/>
                <w:szCs w:val="24"/>
                <w:shd w:val="clear" w:color="auto" w:fill="FFFFFF"/>
              </w:rPr>
              <w:t xml:space="preserve">ikuma 10.panta otrās daļas 1.punkts nosaka, ka smēķēt bērna klātbūtnē ir aizliegts, </w:t>
            </w:r>
            <w:r w:rsidR="0008665D">
              <w:rPr>
                <w:rFonts w:cs="Times New Roman"/>
                <w:color w:val="000000"/>
                <w:sz w:val="28"/>
                <w:szCs w:val="24"/>
                <w:shd w:val="clear" w:color="auto" w:fill="FFFFFF"/>
              </w:rPr>
              <w:t>kā</w:t>
            </w:r>
            <w:r w:rsidR="007604F2" w:rsidRPr="000A6F10">
              <w:rPr>
                <w:rFonts w:cs="Times New Roman"/>
                <w:color w:val="000000"/>
                <w:sz w:val="28"/>
                <w:szCs w:val="24"/>
                <w:shd w:val="clear" w:color="auto" w:fill="FFFFFF"/>
              </w:rPr>
              <w:t xml:space="preserve"> arī</w:t>
            </w:r>
            <w:r w:rsidR="00DB6EE4" w:rsidRPr="000A6F10">
              <w:rPr>
                <w:rFonts w:cs="Times New Roman"/>
                <w:color w:val="000000"/>
                <w:sz w:val="28"/>
                <w:szCs w:val="24"/>
                <w:shd w:val="clear" w:color="auto" w:fill="FFFFFF"/>
              </w:rPr>
              <w:t xml:space="preserve"> tabakas</w:t>
            </w:r>
            <w:r w:rsidR="00DF2221" w:rsidRPr="000A6F10">
              <w:rPr>
                <w:rFonts w:cs="Times New Roman"/>
                <w:color w:val="000000"/>
                <w:sz w:val="28"/>
                <w:szCs w:val="24"/>
                <w:shd w:val="clear" w:color="auto" w:fill="FFFFFF"/>
              </w:rPr>
              <w:t xml:space="preserve"> likuma 10.panta otrās daļas 13.punktā ir noteikts, ka smēķēt ir aizliegts bērnu atpūtas un rotaļu laukumos. Ņemot vērā augstāk minēto, BTAL 48.panta pirmā daļa ir papildināma, nosakot, ka </w:t>
            </w:r>
            <w:r w:rsidR="00DF2221" w:rsidRPr="000A6F10">
              <w:rPr>
                <w:sz w:val="28"/>
                <w:szCs w:val="24"/>
              </w:rPr>
              <w:t>bērns nedrīkst atrasties smēķēšanai paredzētu tabakas izstrādājumu vai augu smēķēšanas produktu dūmu vai elektronisko smēķēšanas ierīču tvaika ietekmē, un bērna klātbūtnē nedrīkst smēķēt, lai nodrošinātu bērnam no smēķēšanai paredzētu tabakas izstrādājumu vai augu smēķēšanas produktu dūmiem vai elektronisko smēķēšanas ierīču tvaika brīvu vidi.</w:t>
            </w:r>
            <w:r w:rsidR="00107A02" w:rsidRPr="000A6F10">
              <w:rPr>
                <w:sz w:val="28"/>
                <w:szCs w:val="24"/>
              </w:rPr>
              <w:t xml:space="preserve"> </w:t>
            </w:r>
          </w:p>
          <w:p w:rsidR="002544AE" w:rsidRPr="000A6F10" w:rsidRDefault="00107A02" w:rsidP="00872F90">
            <w:pPr>
              <w:ind w:right="140"/>
              <w:jc w:val="both"/>
              <w:rPr>
                <w:sz w:val="28"/>
                <w:szCs w:val="24"/>
              </w:rPr>
            </w:pPr>
            <w:r w:rsidRPr="000A6F10">
              <w:rPr>
                <w:sz w:val="28"/>
                <w:szCs w:val="24"/>
              </w:rPr>
              <w:t xml:space="preserve">Tāpat arī ir papildināma BTAL 48.panta otrā daļa, </w:t>
            </w:r>
            <w:r w:rsidR="007604F2" w:rsidRPr="000A6F10">
              <w:rPr>
                <w:sz w:val="28"/>
                <w:szCs w:val="24"/>
              </w:rPr>
              <w:t xml:space="preserve">paplašinot ierobežojumus attiecībā uz bērnu </w:t>
            </w:r>
            <w:r w:rsidR="0008665D">
              <w:rPr>
                <w:sz w:val="28"/>
                <w:szCs w:val="24"/>
              </w:rPr>
              <w:t>nodarbinātību</w:t>
            </w:r>
            <w:r w:rsidRPr="000A6F10">
              <w:rPr>
                <w:sz w:val="28"/>
                <w:szCs w:val="24"/>
              </w:rPr>
              <w:t>,</w:t>
            </w:r>
            <w:r w:rsidR="007604F2" w:rsidRPr="000A6F10">
              <w:rPr>
                <w:sz w:val="28"/>
                <w:szCs w:val="24"/>
              </w:rPr>
              <w:t xml:space="preserve"> nosakot,</w:t>
            </w:r>
            <w:r w:rsidRPr="000A6F10">
              <w:rPr>
                <w:sz w:val="28"/>
                <w:szCs w:val="24"/>
              </w:rPr>
              <w:t xml:space="preserve"> ka bērnam ir aizliegts strādāt darbus, kas tieši saistīti ar tabakas izstrādājumu, augu smēķēšanas produktu, elektronisko smēķēšanas ierīču vai to uzpildes tvertņu ražošanu, izmēģināšanu, glabāšanu, lietošanu, kā arī tirdzniecību vai reklāmu.</w:t>
            </w:r>
          </w:p>
          <w:p w:rsidR="007604F2" w:rsidRPr="000A6F10" w:rsidRDefault="00233F88" w:rsidP="00872F90">
            <w:pPr>
              <w:ind w:right="140"/>
              <w:jc w:val="both"/>
              <w:rPr>
                <w:sz w:val="28"/>
                <w:szCs w:val="24"/>
              </w:rPr>
            </w:pPr>
            <w:r w:rsidRPr="000A6F10">
              <w:rPr>
                <w:sz w:val="28"/>
                <w:szCs w:val="24"/>
              </w:rPr>
              <w:t xml:space="preserve">BTAL 48.panta ceturtā daļa nosaka, ka par bērna iesaistīšanu alkoholisko dzērienu lietošanā vai </w:t>
            </w:r>
            <w:r w:rsidRPr="000A6F10">
              <w:rPr>
                <w:sz w:val="28"/>
                <w:szCs w:val="24"/>
              </w:rPr>
              <w:lastRenderedPageBreak/>
              <w:t>smēķēšanā vainīgās personas saucamas pie likumā noteiktās atbildības.</w:t>
            </w:r>
            <w:r w:rsidR="00262520" w:rsidRPr="000A6F10">
              <w:rPr>
                <w:sz w:val="28"/>
                <w:szCs w:val="24"/>
              </w:rPr>
              <w:t xml:space="preserve"> Saskaņā ar</w:t>
            </w:r>
            <w:r w:rsidRPr="000A6F10">
              <w:rPr>
                <w:sz w:val="28"/>
                <w:szCs w:val="24"/>
              </w:rPr>
              <w:t xml:space="preserve"> BTAL 48.</w:t>
            </w:r>
            <w:r w:rsidR="00262520" w:rsidRPr="000A6F10">
              <w:rPr>
                <w:sz w:val="28"/>
                <w:szCs w:val="24"/>
              </w:rPr>
              <w:t>panta ceturtās daļas spēkā esošo redakciju</w:t>
            </w:r>
            <w:r w:rsidRPr="000A6F10">
              <w:rPr>
                <w:sz w:val="28"/>
                <w:szCs w:val="24"/>
              </w:rPr>
              <w:t xml:space="preserve"> par bērna iesaistīšanu smēķēšanā uzskatāma tabakas izstrādājumu nodošana bērna rīcībā. Ņemot vērā</w:t>
            </w:r>
            <w:r w:rsidR="00DB6EE4" w:rsidRPr="000A6F10">
              <w:rPr>
                <w:sz w:val="28"/>
                <w:szCs w:val="24"/>
              </w:rPr>
              <w:t xml:space="preserve"> tabakas</w:t>
            </w:r>
            <w:r w:rsidRPr="000A6F10">
              <w:rPr>
                <w:sz w:val="28"/>
                <w:szCs w:val="24"/>
              </w:rPr>
              <w:t xml:space="preserve"> likuma 1.panta 26.punktā noteikto smēķēšanas definīciju, BTAL 48.panta ceturtā daļa ir papildināma, nosakot, ka par bērna iesaistīšanu smēķēšanā uzskatāma tabakas izstrādājumu, augu smēķēšanas produktu, elektronisk</w:t>
            </w:r>
            <w:r w:rsidR="00BE274D" w:rsidRPr="000A6F10">
              <w:rPr>
                <w:sz w:val="28"/>
                <w:szCs w:val="24"/>
              </w:rPr>
              <w:t>o</w:t>
            </w:r>
            <w:r w:rsidRPr="000A6F10">
              <w:rPr>
                <w:sz w:val="28"/>
                <w:szCs w:val="24"/>
              </w:rPr>
              <w:t xml:space="preserve"> smēķēšanas ierīču vai to uzpildes tvertņu nodošana bērna rīcībā.</w:t>
            </w:r>
          </w:p>
          <w:p w:rsidR="00875585" w:rsidRPr="000A6F10" w:rsidRDefault="00875585" w:rsidP="00872F90">
            <w:pPr>
              <w:ind w:right="140"/>
              <w:jc w:val="both"/>
              <w:rPr>
                <w:sz w:val="28"/>
                <w:szCs w:val="24"/>
              </w:rPr>
            </w:pPr>
            <w:r w:rsidRPr="000A6F10">
              <w:rPr>
                <w:sz w:val="28"/>
                <w:szCs w:val="24"/>
              </w:rPr>
              <w:t>Ministru kabineta 2009.gada 3.februāra noteikumu Nr.108 "Normatīvo aktu projekt</w:t>
            </w:r>
            <w:r w:rsidR="00E12D33">
              <w:rPr>
                <w:sz w:val="28"/>
                <w:szCs w:val="24"/>
              </w:rPr>
              <w:t>u sagatavošanas noteikumi" 3.2.</w:t>
            </w:r>
            <w:r w:rsidRPr="000A6F10">
              <w:rPr>
                <w:sz w:val="28"/>
                <w:szCs w:val="24"/>
              </w:rPr>
              <w:t>apakšpunkts no</w:t>
            </w:r>
            <w:r w:rsidR="00EB0F59" w:rsidRPr="000A6F10">
              <w:rPr>
                <w:sz w:val="28"/>
                <w:szCs w:val="24"/>
              </w:rPr>
              <w:t>saka</w:t>
            </w:r>
            <w:r w:rsidRPr="000A6F10">
              <w:rPr>
                <w:sz w:val="28"/>
                <w:szCs w:val="24"/>
              </w:rPr>
              <w:t xml:space="preserve">, ka normatīvā akta projektā neietver normas, kas dublē tāda paša juridiskā spēka normatīvā akta tiesību normās ietverto normatīvo regulējumu. </w:t>
            </w:r>
            <w:r w:rsidR="00C243A2" w:rsidRPr="000A6F10">
              <w:rPr>
                <w:sz w:val="28"/>
                <w:szCs w:val="24"/>
              </w:rPr>
              <w:t>Alkoholisko dzērienu aprites likuma 6.panta otrā daļa no</w:t>
            </w:r>
            <w:r w:rsidR="00325423" w:rsidRPr="000A6F10">
              <w:rPr>
                <w:sz w:val="28"/>
                <w:szCs w:val="24"/>
              </w:rPr>
              <w:t>saka</w:t>
            </w:r>
            <w:r w:rsidR="00C243A2" w:rsidRPr="000A6F10">
              <w:rPr>
                <w:sz w:val="28"/>
                <w:szCs w:val="24"/>
              </w:rPr>
              <w:t xml:space="preserve">, ka alkoholiskos dzērienus aizliegts pārdot personām, kuras ir jaunākas par 18 gadiem, un šīs personas nedrīkst tos iegādāties. Savukārt </w:t>
            </w:r>
            <w:r w:rsidR="00203806" w:rsidRPr="000A6F10">
              <w:rPr>
                <w:sz w:val="28"/>
                <w:szCs w:val="24"/>
              </w:rPr>
              <w:t xml:space="preserve">tabakas </w:t>
            </w:r>
            <w:r w:rsidR="00C243A2" w:rsidRPr="000A6F10">
              <w:rPr>
                <w:sz w:val="28"/>
                <w:szCs w:val="24"/>
              </w:rPr>
              <w:t>likuma 8.panta trešā daļa nosaka, ka tabakas izstrādājumus, augu smēķēšanas produktus, elektroniskās smēķēšanās ierīces un to elektronisko smēķēšanas ierīču uzpildes tvertnes aizliegts pārdot personām, kuras ir jaunākas par 18 gadiem, un šīs personas nedrīkst tos iegādāties. Ņemot vērā augstāk minēto, likumprojekts paredz izslēgt 48.panta trešo daļu, lai nedublētu normatīvā akta tiesību normās ietverto normatīvo regulējumu.</w:t>
            </w:r>
          </w:p>
          <w:p w:rsidR="002F0C6A" w:rsidRPr="004F77F9" w:rsidRDefault="00C74F44" w:rsidP="00872F90">
            <w:pPr>
              <w:ind w:right="140"/>
              <w:jc w:val="both"/>
              <w:rPr>
                <w:sz w:val="28"/>
                <w:szCs w:val="24"/>
              </w:rPr>
            </w:pPr>
            <w:r w:rsidRPr="004F77F9">
              <w:rPr>
                <w:sz w:val="28"/>
                <w:szCs w:val="24"/>
              </w:rPr>
              <w:t xml:space="preserve">BTAL 48.panta ceturtā daļa nosaka, ka par bērna iesaistīšanu smēķēšanā vainīgās personas saucamas pie likumā noteiktās atbildības, par bērna iesaistīšanu smēķēšanā uzskatot  tabakas izstrādājumu nodošanu bērna rīcībā. </w:t>
            </w:r>
            <w:r w:rsidR="002F0C6A" w:rsidRPr="004F77F9">
              <w:rPr>
                <w:sz w:val="28"/>
              </w:rPr>
              <w:t>Saskaņā ar Starptautiskā jauniešu smēķēšanas pētījuma 2014.gada aptaujas datiem</w:t>
            </w:r>
            <w:r w:rsidR="00077452" w:rsidRPr="004F77F9">
              <w:rPr>
                <w:sz w:val="28"/>
              </w:rPr>
              <w:t>,</w:t>
            </w:r>
            <w:r w:rsidR="002F0C6A" w:rsidRPr="004F77F9">
              <w:rPr>
                <w:sz w:val="28"/>
                <w:szCs w:val="24"/>
              </w:rPr>
              <w:t xml:space="preserve"> </w:t>
            </w:r>
            <w:r w:rsidR="002F0C6A" w:rsidRPr="004F77F9">
              <w:rPr>
                <w:sz w:val="28"/>
              </w:rPr>
              <w:t xml:space="preserve">59,7% 13-15 </w:t>
            </w:r>
            <w:r w:rsidR="0008665D">
              <w:rPr>
                <w:sz w:val="28"/>
              </w:rPr>
              <w:t>gadus vecu</w:t>
            </w:r>
            <w:r w:rsidR="002F0C6A" w:rsidRPr="004F77F9">
              <w:rPr>
                <w:sz w:val="28"/>
              </w:rPr>
              <w:t xml:space="preserve"> skolēnu norāda, ka kādreiz ir pamēģinājuši smēķēt cigaretes, 67,9% skolēnu kādreiz ir pamēģinājuši lietot tabakas izstrādājumus,</w:t>
            </w:r>
            <w:r w:rsidR="00286B66" w:rsidRPr="004F77F9">
              <w:rPr>
                <w:sz w:val="28"/>
              </w:rPr>
              <w:t xml:space="preserve"> bet</w:t>
            </w:r>
            <w:r w:rsidR="002F0C6A" w:rsidRPr="004F77F9">
              <w:rPr>
                <w:sz w:val="28"/>
              </w:rPr>
              <w:t xml:space="preserve"> 24,7% skolēnu </w:t>
            </w:r>
            <w:r w:rsidR="002F0C6A" w:rsidRPr="004F77F9">
              <w:rPr>
                <w:sz w:val="28"/>
              </w:rPr>
              <w:lastRenderedPageBreak/>
              <w:t>jebkādus tabakas izstrādājumus</w:t>
            </w:r>
            <w:r w:rsidR="00286B66" w:rsidRPr="004F77F9">
              <w:rPr>
                <w:sz w:val="28"/>
              </w:rPr>
              <w:t xml:space="preserve"> ir lietojuši regulāri</w:t>
            </w:r>
            <w:r w:rsidR="002F0C6A" w:rsidRPr="004F77F9">
              <w:rPr>
                <w:sz w:val="28"/>
              </w:rPr>
              <w:t xml:space="preserve">. </w:t>
            </w:r>
            <w:proofErr w:type="spellStart"/>
            <w:r w:rsidR="002F0C6A" w:rsidRPr="004F77F9">
              <w:rPr>
                <w:sz w:val="28"/>
              </w:rPr>
              <w:t>Ūdenspīpi</w:t>
            </w:r>
            <w:proofErr w:type="spellEnd"/>
            <w:r w:rsidR="002F0C6A" w:rsidRPr="004F77F9">
              <w:rPr>
                <w:sz w:val="28"/>
              </w:rPr>
              <w:t xml:space="preserve"> kopumā mēģinājuši smēķēt 40,7%, savukārt elektronisko cigareti </w:t>
            </w:r>
            <w:r w:rsidR="0008665D">
              <w:rPr>
                <w:sz w:val="28"/>
              </w:rPr>
              <w:t>–</w:t>
            </w:r>
            <w:r w:rsidR="002F0C6A" w:rsidRPr="004F77F9">
              <w:rPr>
                <w:sz w:val="28"/>
              </w:rPr>
              <w:t xml:space="preserve"> 27%</w:t>
            </w:r>
            <w:r w:rsidR="00286B66" w:rsidRPr="004F77F9">
              <w:rPr>
                <w:sz w:val="28"/>
              </w:rPr>
              <w:t xml:space="preserve"> skolēnu</w:t>
            </w:r>
            <w:r w:rsidR="002F0C6A" w:rsidRPr="004F77F9">
              <w:rPr>
                <w:sz w:val="28"/>
              </w:rPr>
              <w:t xml:space="preserve">. Kopš 2011.gada būtiski ir palielinājies 14 un 15 gadus vecu zēnu īpatsvars, kuri pēdējā mēneša laikā </w:t>
            </w:r>
            <w:r w:rsidR="0008665D" w:rsidRPr="004F77F9">
              <w:rPr>
                <w:sz w:val="28"/>
              </w:rPr>
              <w:t xml:space="preserve">vismaz vienu dienu smēķējuši </w:t>
            </w:r>
            <w:r w:rsidR="002F0C6A" w:rsidRPr="004F77F9">
              <w:rPr>
                <w:sz w:val="28"/>
              </w:rPr>
              <w:t>elektronisko cigareti</w:t>
            </w:r>
            <w:r w:rsidR="0021078A" w:rsidRPr="004F77F9">
              <w:rPr>
                <w:rStyle w:val="FootnoteReference"/>
                <w:sz w:val="28"/>
              </w:rPr>
              <w:footnoteReference w:id="2"/>
            </w:r>
            <w:r w:rsidR="002F0C6A" w:rsidRPr="004F77F9">
              <w:rPr>
                <w:sz w:val="28"/>
              </w:rPr>
              <w:t xml:space="preserve">. </w:t>
            </w:r>
            <w:r w:rsidR="00067D08" w:rsidRPr="004F77F9">
              <w:rPr>
                <w:sz w:val="28"/>
              </w:rPr>
              <w:t>Ņemot vērā augstāk minētos datus, var secināt, ka jauniešiem ir relatīvi piee</w:t>
            </w:r>
            <w:r w:rsidR="0008665D">
              <w:rPr>
                <w:sz w:val="28"/>
              </w:rPr>
              <w:t>jami jaunie smēķēšanas produkti. Lai samazinātu šādu produktu pieejamību bērniem un pusaudžiem,</w:t>
            </w:r>
            <w:r w:rsidR="00067D08" w:rsidRPr="004F77F9">
              <w:rPr>
                <w:sz w:val="28"/>
              </w:rPr>
              <w:t xml:space="preserve"> </w:t>
            </w:r>
            <w:r w:rsidR="0021078A" w:rsidRPr="004F77F9">
              <w:rPr>
                <w:sz w:val="28"/>
              </w:rPr>
              <w:t xml:space="preserve">likumā </w:t>
            </w:r>
            <w:r w:rsidR="00624A97" w:rsidRPr="004F77F9">
              <w:rPr>
                <w:sz w:val="28"/>
              </w:rPr>
              <w:t>ir būtiski saglabāt definīciju, ka</w:t>
            </w:r>
            <w:r w:rsidR="0008665D">
              <w:rPr>
                <w:sz w:val="28"/>
              </w:rPr>
              <w:t xml:space="preserve"> par</w:t>
            </w:r>
            <w:r w:rsidR="00624A97" w:rsidRPr="004F77F9">
              <w:rPr>
                <w:sz w:val="28"/>
              </w:rPr>
              <w:t xml:space="preserve"> bērna iesaistīšanu smēķēšanā (par ko tiek paredzēta administratīvā atbildība) ir uzskatāma </w:t>
            </w:r>
            <w:r w:rsidR="0008665D">
              <w:rPr>
                <w:sz w:val="28"/>
              </w:rPr>
              <w:t xml:space="preserve">arī </w:t>
            </w:r>
            <w:r w:rsidR="00624A97" w:rsidRPr="004F77F9">
              <w:rPr>
                <w:sz w:val="28"/>
              </w:rPr>
              <w:t>izstrādājuma nodošana bērna rīcībā.</w:t>
            </w:r>
          </w:p>
          <w:p w:rsidR="00BE274D" w:rsidRPr="000A6F10" w:rsidRDefault="00BE274D" w:rsidP="00872F90">
            <w:pPr>
              <w:ind w:right="140"/>
              <w:jc w:val="both"/>
              <w:rPr>
                <w:sz w:val="28"/>
                <w:szCs w:val="24"/>
              </w:rPr>
            </w:pPr>
          </w:p>
          <w:p w:rsidR="00813506" w:rsidRPr="000A6F10" w:rsidRDefault="00813506" w:rsidP="00872F90">
            <w:pPr>
              <w:ind w:right="140"/>
              <w:jc w:val="both"/>
              <w:rPr>
                <w:rFonts w:cs="Times New Roman"/>
                <w:color w:val="000000"/>
                <w:sz w:val="28"/>
                <w:szCs w:val="24"/>
                <w:shd w:val="clear" w:color="auto" w:fill="FFFFFF"/>
              </w:rPr>
            </w:pPr>
            <w:r w:rsidRPr="000A6F10">
              <w:rPr>
                <w:rFonts w:cs="Times New Roman"/>
                <w:color w:val="000000"/>
                <w:sz w:val="28"/>
                <w:szCs w:val="24"/>
                <w:shd w:val="clear" w:color="auto" w:fill="FFFFFF"/>
              </w:rPr>
              <w:t>Ņemot vērā augstāk minēto, smēķēšanas ietekmes uz bērnu mazināšanai, kā arī sinhronizējot</w:t>
            </w:r>
            <w:r w:rsidR="00BE274D" w:rsidRPr="000A6F10">
              <w:rPr>
                <w:rFonts w:cs="Times New Roman"/>
                <w:color w:val="000000"/>
                <w:sz w:val="28"/>
                <w:szCs w:val="24"/>
                <w:shd w:val="clear" w:color="auto" w:fill="FFFFFF"/>
              </w:rPr>
              <w:t xml:space="preserve"> </w:t>
            </w:r>
            <w:r w:rsidR="000169DC" w:rsidRPr="000A6F10">
              <w:rPr>
                <w:rFonts w:cs="Times New Roman"/>
                <w:color w:val="000000"/>
                <w:sz w:val="28"/>
                <w:szCs w:val="24"/>
                <w:shd w:val="clear" w:color="auto" w:fill="FFFFFF"/>
              </w:rPr>
              <w:t>tabakas</w:t>
            </w:r>
            <w:r w:rsidR="00D90B13" w:rsidRPr="000A6F10">
              <w:rPr>
                <w:rFonts w:cs="Times New Roman"/>
                <w:color w:val="000000"/>
                <w:sz w:val="28"/>
                <w:szCs w:val="24"/>
                <w:shd w:val="clear" w:color="auto" w:fill="FFFFFF"/>
              </w:rPr>
              <w:t xml:space="preserve"> likum</w:t>
            </w:r>
            <w:r w:rsidR="00BE274D" w:rsidRPr="000A6F10">
              <w:rPr>
                <w:rFonts w:cs="Times New Roman"/>
                <w:color w:val="000000"/>
                <w:sz w:val="28"/>
                <w:szCs w:val="24"/>
                <w:shd w:val="clear" w:color="auto" w:fill="FFFFFF"/>
              </w:rPr>
              <w:t>ā</w:t>
            </w:r>
            <w:r w:rsidRPr="000A6F10">
              <w:rPr>
                <w:rFonts w:cs="Times New Roman"/>
                <w:color w:val="000000"/>
                <w:sz w:val="28"/>
                <w:szCs w:val="24"/>
                <w:shd w:val="clear" w:color="auto" w:fill="FFFFFF"/>
              </w:rPr>
              <w:t xml:space="preserve"> iekļauto regulējumu un </w:t>
            </w:r>
            <w:r w:rsidR="00F75C21" w:rsidRPr="000A6F10">
              <w:rPr>
                <w:rFonts w:cs="Times New Roman"/>
                <w:color w:val="000000"/>
                <w:sz w:val="28"/>
                <w:szCs w:val="24"/>
                <w:shd w:val="clear" w:color="auto" w:fill="FFFFFF"/>
              </w:rPr>
              <w:t>tajā</w:t>
            </w:r>
            <w:r w:rsidRPr="000A6F10">
              <w:rPr>
                <w:rFonts w:cs="Times New Roman"/>
                <w:color w:val="000000"/>
                <w:sz w:val="28"/>
                <w:szCs w:val="24"/>
                <w:shd w:val="clear" w:color="auto" w:fill="FFFFFF"/>
              </w:rPr>
              <w:t xml:space="preserve"> noteiktos sabiedrības veselības aizsardzības principus, nepieciešams precizēt BTAL </w:t>
            </w:r>
            <w:r w:rsidR="003B78C2" w:rsidRPr="000A6F10">
              <w:rPr>
                <w:rFonts w:cs="Times New Roman"/>
                <w:color w:val="000000"/>
                <w:sz w:val="28"/>
                <w:szCs w:val="24"/>
                <w:shd w:val="clear" w:color="auto" w:fill="FFFFFF"/>
              </w:rPr>
              <w:t>48.panta redakciju</w:t>
            </w:r>
            <w:r w:rsidR="000169DC" w:rsidRPr="000A6F10">
              <w:rPr>
                <w:rFonts w:cs="Times New Roman"/>
                <w:color w:val="000000"/>
                <w:sz w:val="28"/>
                <w:szCs w:val="24"/>
                <w:shd w:val="clear" w:color="auto" w:fill="FFFFFF"/>
              </w:rPr>
              <w:t>.</w:t>
            </w:r>
          </w:p>
          <w:p w:rsidR="00F32080" w:rsidRPr="000A6F10" w:rsidRDefault="00F32080" w:rsidP="00872F90">
            <w:pPr>
              <w:ind w:right="140"/>
              <w:jc w:val="both"/>
              <w:rPr>
                <w:rFonts w:cs="Times New Roman"/>
                <w:sz w:val="28"/>
                <w:szCs w:val="24"/>
              </w:rPr>
            </w:pPr>
          </w:p>
          <w:p w:rsidR="00813506" w:rsidRPr="000A6F10" w:rsidRDefault="00813506" w:rsidP="00872F90">
            <w:pPr>
              <w:ind w:right="140"/>
              <w:jc w:val="both"/>
              <w:rPr>
                <w:rFonts w:cs="Times New Roman"/>
                <w:sz w:val="28"/>
                <w:szCs w:val="24"/>
              </w:rPr>
            </w:pPr>
            <w:r w:rsidRPr="000A6F10">
              <w:rPr>
                <w:rFonts w:cs="Times New Roman"/>
                <w:b/>
                <w:sz w:val="28"/>
                <w:szCs w:val="24"/>
              </w:rPr>
              <w:t>Elektronisko smēķēšanas ierīču darbības principi un ietekme uz veselību.</w:t>
            </w:r>
          </w:p>
          <w:p w:rsidR="00625613" w:rsidRPr="000A6F10" w:rsidRDefault="00F57E61" w:rsidP="00625613">
            <w:pPr>
              <w:spacing w:after="150"/>
              <w:ind w:right="140"/>
              <w:jc w:val="both"/>
              <w:rPr>
                <w:rFonts w:cs="Times New Roman"/>
                <w:color w:val="000000"/>
                <w:sz w:val="28"/>
                <w:szCs w:val="24"/>
              </w:rPr>
            </w:pPr>
            <w:r w:rsidRPr="000A6F10">
              <w:rPr>
                <w:rFonts w:cs="Times New Roman"/>
                <w:color w:val="000000"/>
                <w:sz w:val="28"/>
                <w:szCs w:val="24"/>
              </w:rPr>
              <w:t>Elektronisko smēķēšanas ierīču lietošana strauji izplatās  galvenokārt bērnu un jauniešu vidū. Saskaņā ar Pasaules Veselības organizācijas Starptautiskā jauniešu smēķēšanas pētījuma Latvijā 2014.gada aptaujas datiem</w:t>
            </w:r>
            <w:r w:rsidR="0021078A" w:rsidRPr="000A6F10">
              <w:rPr>
                <w:rStyle w:val="FootnoteReference"/>
                <w:rFonts w:cs="Times New Roman"/>
                <w:color w:val="000000"/>
                <w:sz w:val="28"/>
                <w:szCs w:val="24"/>
              </w:rPr>
              <w:t>2</w:t>
            </w:r>
            <w:r w:rsidRPr="000A6F10">
              <w:rPr>
                <w:rFonts w:cs="Times New Roman"/>
                <w:color w:val="000000"/>
                <w:sz w:val="28"/>
                <w:szCs w:val="24"/>
              </w:rPr>
              <w:t xml:space="preserve"> </w:t>
            </w:r>
            <w:r w:rsidR="00625613" w:rsidRPr="000A6F10">
              <w:rPr>
                <w:sz w:val="28"/>
                <w:szCs w:val="24"/>
              </w:rPr>
              <w:t>k</w:t>
            </w:r>
            <w:r w:rsidRPr="000A6F10">
              <w:rPr>
                <w:sz w:val="28"/>
                <w:szCs w:val="24"/>
              </w:rPr>
              <w:t xml:space="preserve">opumā 27% (2011.g. – 20,2%) 13-15 gadus vecu skolēnu ir mēģinājuši smēķēt elektronisko cigareti. Pieaugot skolēnu vecumam, palielinās to skolēnu īpatsvars, kuri ir mēģinājuši smēķēt elektronisko cigareti. </w:t>
            </w:r>
          </w:p>
          <w:p w:rsidR="00F95EE1" w:rsidRPr="000A6F10" w:rsidRDefault="005717A9" w:rsidP="00872F90">
            <w:pPr>
              <w:ind w:right="140"/>
              <w:jc w:val="both"/>
              <w:rPr>
                <w:rFonts w:cs="Times New Roman"/>
                <w:bCs/>
                <w:sz w:val="28"/>
                <w:szCs w:val="24"/>
              </w:rPr>
            </w:pPr>
            <w:r w:rsidRPr="000A6F10">
              <w:rPr>
                <w:rFonts w:cs="Times New Roman"/>
                <w:bCs/>
                <w:sz w:val="28"/>
                <w:szCs w:val="24"/>
              </w:rPr>
              <w:t xml:space="preserve">Elektronisko </w:t>
            </w:r>
            <w:r w:rsidR="00E252E8" w:rsidRPr="000A6F10">
              <w:rPr>
                <w:rFonts w:cs="Times New Roman"/>
                <w:bCs/>
                <w:sz w:val="28"/>
                <w:szCs w:val="24"/>
              </w:rPr>
              <w:t>smēķēšanas ierīču</w:t>
            </w:r>
            <w:r w:rsidRPr="000A6F10">
              <w:rPr>
                <w:rFonts w:cs="Times New Roman"/>
                <w:bCs/>
                <w:sz w:val="28"/>
                <w:szCs w:val="24"/>
              </w:rPr>
              <w:t xml:space="preserve"> šķidrumā ir trīs </w:t>
            </w:r>
            <w:proofErr w:type="spellStart"/>
            <w:r w:rsidRPr="000A6F10">
              <w:rPr>
                <w:rFonts w:cs="Times New Roman"/>
                <w:bCs/>
                <w:sz w:val="28"/>
                <w:szCs w:val="24"/>
              </w:rPr>
              <w:t>pamatsastāvdaļas</w:t>
            </w:r>
            <w:proofErr w:type="spellEnd"/>
            <w:r w:rsidRPr="000A6F10">
              <w:rPr>
                <w:rFonts w:cs="Times New Roman"/>
                <w:bCs/>
                <w:sz w:val="28"/>
                <w:szCs w:val="24"/>
              </w:rPr>
              <w:t xml:space="preserve">: </w:t>
            </w:r>
            <w:r w:rsidR="007264AE" w:rsidRPr="000A6F10">
              <w:rPr>
                <w:rFonts w:cs="Times New Roman"/>
                <w:bCs/>
                <w:sz w:val="28"/>
                <w:szCs w:val="24"/>
              </w:rPr>
              <w:t>nikotīns</w:t>
            </w:r>
            <w:r w:rsidRPr="000A6F10">
              <w:rPr>
                <w:rFonts w:cs="Times New Roman"/>
                <w:bCs/>
                <w:sz w:val="28"/>
                <w:szCs w:val="24"/>
              </w:rPr>
              <w:t xml:space="preserve">, </w:t>
            </w:r>
            <w:proofErr w:type="spellStart"/>
            <w:r w:rsidRPr="000A6F10">
              <w:rPr>
                <w:rFonts w:cs="Times New Roman"/>
                <w:bCs/>
                <w:sz w:val="28"/>
                <w:szCs w:val="24"/>
              </w:rPr>
              <w:t>propilēnglikols</w:t>
            </w:r>
            <w:proofErr w:type="spellEnd"/>
            <w:r w:rsidRPr="000A6F10">
              <w:rPr>
                <w:rFonts w:cs="Times New Roman"/>
                <w:bCs/>
                <w:sz w:val="28"/>
                <w:szCs w:val="24"/>
              </w:rPr>
              <w:t xml:space="preserve"> un</w:t>
            </w:r>
            <w:r w:rsidR="007264AE" w:rsidRPr="000A6F10">
              <w:rPr>
                <w:rFonts w:cs="Times New Roman"/>
                <w:bCs/>
                <w:sz w:val="28"/>
                <w:szCs w:val="24"/>
              </w:rPr>
              <w:t xml:space="preserve"> glicerīns</w:t>
            </w:r>
            <w:r w:rsidRPr="000A6F10">
              <w:rPr>
                <w:rFonts w:cs="Times New Roman"/>
                <w:bCs/>
                <w:sz w:val="28"/>
                <w:szCs w:val="24"/>
              </w:rPr>
              <w:t>.</w:t>
            </w:r>
          </w:p>
          <w:p w:rsidR="00F95EE1" w:rsidRPr="000A6F10" w:rsidRDefault="00F95EE1" w:rsidP="00872F90">
            <w:pPr>
              <w:ind w:right="140"/>
              <w:jc w:val="both"/>
              <w:rPr>
                <w:rFonts w:cs="Times New Roman"/>
                <w:bCs/>
                <w:sz w:val="28"/>
                <w:szCs w:val="24"/>
              </w:rPr>
            </w:pPr>
            <w:r w:rsidRPr="000A6F10">
              <w:rPr>
                <w:rFonts w:cs="Times New Roman"/>
                <w:sz w:val="28"/>
                <w:szCs w:val="24"/>
              </w:rPr>
              <w:t xml:space="preserve">Nikotīns </w:t>
            </w:r>
            <w:r w:rsidRPr="000A6F10">
              <w:rPr>
                <w:rFonts w:cs="Times New Roman"/>
                <w:bCs/>
                <w:sz w:val="28"/>
                <w:szCs w:val="24"/>
              </w:rPr>
              <w:t xml:space="preserve">ir viela ar plašu ietekmi, tostarp paaugstina asinsspiedienu un </w:t>
            </w:r>
            <w:r w:rsidR="00262520" w:rsidRPr="000A6F10">
              <w:rPr>
                <w:rFonts w:cs="Times New Roman"/>
                <w:bCs/>
                <w:sz w:val="28"/>
                <w:szCs w:val="24"/>
              </w:rPr>
              <w:t>sirdsdarbības frekvenci</w:t>
            </w:r>
            <w:r w:rsidRPr="000A6F10">
              <w:rPr>
                <w:rFonts w:cs="Times New Roman"/>
                <w:bCs/>
                <w:sz w:val="28"/>
                <w:szCs w:val="24"/>
              </w:rPr>
              <w:t xml:space="preserve">, nomāc apetīti, var izraisīt sliktu dūšu un vemšanu. Ir pierādīts, ka nikotīns ir atkarību izraisoša viela. </w:t>
            </w:r>
            <w:r w:rsidRPr="000A6F10">
              <w:rPr>
                <w:rFonts w:cs="Times New Roman"/>
                <w:bCs/>
                <w:sz w:val="28"/>
                <w:szCs w:val="24"/>
              </w:rPr>
              <w:lastRenderedPageBreak/>
              <w:t>Lietojot to lielos daudzumos, nikotīns var būt bīstams dzīvībai, jo ir toksiska viela</w:t>
            </w:r>
            <w:r w:rsidR="00E12D33">
              <w:rPr>
                <w:rFonts w:cs="Times New Roman"/>
                <w:bCs/>
                <w:sz w:val="28"/>
                <w:szCs w:val="24"/>
              </w:rPr>
              <w:t xml:space="preserve"> –</w:t>
            </w:r>
            <w:r w:rsidRPr="000A6F10">
              <w:rPr>
                <w:rFonts w:cs="Times New Roman"/>
                <w:bCs/>
                <w:sz w:val="28"/>
                <w:szCs w:val="24"/>
              </w:rPr>
              <w:t xml:space="preserve"> pieaugušam cilvēkam aptuveni 50 mg nikotīna norīšana izraisa nāvi. Bērniem dzīvības apdraudējums tiek radīts jau pie 6 mg norīšanas</w:t>
            </w:r>
            <w:r w:rsidRPr="000A6F10">
              <w:rPr>
                <w:rStyle w:val="FootnoteReference"/>
                <w:rFonts w:cs="Times New Roman"/>
                <w:bCs/>
                <w:sz w:val="28"/>
                <w:szCs w:val="24"/>
              </w:rPr>
              <w:footnoteReference w:id="3"/>
            </w:r>
            <w:r w:rsidRPr="000A6F10">
              <w:rPr>
                <w:rFonts w:cs="Times New Roman"/>
                <w:bCs/>
                <w:sz w:val="28"/>
                <w:szCs w:val="24"/>
              </w:rPr>
              <w:t xml:space="preserve">. </w:t>
            </w:r>
          </w:p>
          <w:p w:rsidR="007264AE" w:rsidRPr="000A6F10" w:rsidRDefault="005717A9" w:rsidP="00872F90">
            <w:pPr>
              <w:ind w:right="140"/>
              <w:jc w:val="both"/>
              <w:rPr>
                <w:rFonts w:cs="Times New Roman"/>
                <w:sz w:val="28"/>
                <w:szCs w:val="24"/>
              </w:rPr>
            </w:pPr>
            <w:proofErr w:type="spellStart"/>
            <w:r w:rsidRPr="000A6F10">
              <w:rPr>
                <w:rFonts w:cs="Times New Roman"/>
                <w:sz w:val="28"/>
                <w:szCs w:val="24"/>
              </w:rPr>
              <w:t>Propilēnglikols</w:t>
            </w:r>
            <w:proofErr w:type="spellEnd"/>
            <w:r w:rsidRPr="000A6F10">
              <w:rPr>
                <w:rFonts w:cs="Times New Roman"/>
                <w:bCs/>
                <w:sz w:val="28"/>
                <w:szCs w:val="24"/>
              </w:rPr>
              <w:t xml:space="preserve"> ir viela, kas tiek plaši lietota kosmētikas, medicīnas un pārtikas precēs. Lai arī</w:t>
            </w:r>
            <w:r w:rsidR="00813506" w:rsidRPr="000A6F10">
              <w:rPr>
                <w:rFonts w:cs="Times New Roman"/>
                <w:bCs/>
                <w:sz w:val="28"/>
                <w:szCs w:val="24"/>
              </w:rPr>
              <w:t xml:space="preserve">  ASV Pārtikas un zāļu administrācija (</w:t>
            </w:r>
            <w:r w:rsidR="00813506" w:rsidRPr="000A6F10">
              <w:rPr>
                <w:rFonts w:cs="Times New Roman"/>
                <w:bCs/>
                <w:i/>
                <w:sz w:val="28"/>
                <w:szCs w:val="24"/>
              </w:rPr>
              <w:t xml:space="preserve">U.S. </w:t>
            </w:r>
            <w:proofErr w:type="spellStart"/>
            <w:r w:rsidR="00813506" w:rsidRPr="000A6F10">
              <w:rPr>
                <w:rFonts w:cs="Times New Roman"/>
                <w:bCs/>
                <w:i/>
                <w:sz w:val="28"/>
                <w:szCs w:val="24"/>
              </w:rPr>
              <w:t>Food</w:t>
            </w:r>
            <w:proofErr w:type="spellEnd"/>
            <w:r w:rsidR="00813506" w:rsidRPr="000A6F10">
              <w:rPr>
                <w:rFonts w:cs="Times New Roman"/>
                <w:bCs/>
                <w:i/>
                <w:sz w:val="28"/>
                <w:szCs w:val="24"/>
              </w:rPr>
              <w:t xml:space="preserve"> </w:t>
            </w:r>
            <w:proofErr w:type="spellStart"/>
            <w:r w:rsidR="00813506" w:rsidRPr="000A6F10">
              <w:rPr>
                <w:rFonts w:cs="Times New Roman"/>
                <w:bCs/>
                <w:i/>
                <w:sz w:val="28"/>
                <w:szCs w:val="24"/>
              </w:rPr>
              <w:t>and</w:t>
            </w:r>
            <w:proofErr w:type="spellEnd"/>
            <w:r w:rsidR="00813506" w:rsidRPr="000A6F10">
              <w:rPr>
                <w:rFonts w:cs="Times New Roman"/>
                <w:bCs/>
                <w:i/>
                <w:sz w:val="28"/>
                <w:szCs w:val="24"/>
              </w:rPr>
              <w:t xml:space="preserve"> </w:t>
            </w:r>
            <w:proofErr w:type="spellStart"/>
            <w:r w:rsidR="00813506" w:rsidRPr="000A6F10">
              <w:rPr>
                <w:rFonts w:cs="Times New Roman"/>
                <w:bCs/>
                <w:i/>
                <w:sz w:val="28"/>
                <w:szCs w:val="24"/>
              </w:rPr>
              <w:t>Drug</w:t>
            </w:r>
            <w:proofErr w:type="spellEnd"/>
            <w:r w:rsidR="00813506" w:rsidRPr="000A6F10">
              <w:rPr>
                <w:rFonts w:cs="Times New Roman"/>
                <w:bCs/>
                <w:i/>
                <w:sz w:val="28"/>
                <w:szCs w:val="24"/>
              </w:rPr>
              <w:t xml:space="preserve"> </w:t>
            </w:r>
            <w:proofErr w:type="spellStart"/>
            <w:r w:rsidR="00813506" w:rsidRPr="000A6F10">
              <w:rPr>
                <w:rFonts w:cs="Times New Roman"/>
                <w:bCs/>
                <w:i/>
                <w:sz w:val="28"/>
                <w:szCs w:val="24"/>
              </w:rPr>
              <w:t>Administration</w:t>
            </w:r>
            <w:proofErr w:type="spellEnd"/>
            <w:r w:rsidR="00C52A0B" w:rsidRPr="000A6F10">
              <w:rPr>
                <w:rFonts w:cs="Times New Roman"/>
                <w:bCs/>
                <w:i/>
                <w:sz w:val="28"/>
                <w:szCs w:val="24"/>
              </w:rPr>
              <w:t xml:space="preserve"> </w:t>
            </w:r>
            <w:r w:rsidR="0008665D">
              <w:rPr>
                <w:rFonts w:cs="Times New Roman"/>
                <w:bCs/>
                <w:sz w:val="28"/>
                <w:szCs w:val="24"/>
              </w:rPr>
              <w:t xml:space="preserve">(turpmāk – </w:t>
            </w:r>
            <w:r w:rsidR="00C52A0B" w:rsidRPr="000A6F10">
              <w:rPr>
                <w:rFonts w:cs="Times New Roman"/>
                <w:bCs/>
                <w:sz w:val="28"/>
                <w:szCs w:val="24"/>
              </w:rPr>
              <w:t>FDA)</w:t>
            </w:r>
            <w:r w:rsidR="0008665D">
              <w:rPr>
                <w:rFonts w:cs="Times New Roman"/>
                <w:bCs/>
                <w:sz w:val="28"/>
                <w:szCs w:val="24"/>
              </w:rPr>
              <w:t>)</w:t>
            </w:r>
            <w:r w:rsidR="00813506" w:rsidRPr="000A6F10">
              <w:rPr>
                <w:rFonts w:cs="Times New Roman"/>
                <w:bCs/>
                <w:sz w:val="28"/>
                <w:szCs w:val="24"/>
              </w:rPr>
              <w:t xml:space="preserve"> </w:t>
            </w:r>
            <w:proofErr w:type="spellStart"/>
            <w:r w:rsidRPr="000A6F10">
              <w:rPr>
                <w:rFonts w:cs="Times New Roman"/>
                <w:bCs/>
                <w:sz w:val="28"/>
                <w:szCs w:val="24"/>
              </w:rPr>
              <w:t>propilēnglikolu</w:t>
            </w:r>
            <w:proofErr w:type="spellEnd"/>
            <w:r w:rsidRPr="000A6F10">
              <w:rPr>
                <w:rFonts w:cs="Times New Roman"/>
                <w:bCs/>
                <w:sz w:val="28"/>
                <w:szCs w:val="24"/>
              </w:rPr>
              <w:t xml:space="preserve"> klasificējusi kā lietošanai salīdzinoši drošu, ja tas tiek norīts, šobrīd trūkst informācijas par ietekmi uz veselību, ja tas tiek inhalēts plaušās. Tiek ziņots, ka pat īslaicīga personas pakļaušana </w:t>
            </w:r>
            <w:proofErr w:type="spellStart"/>
            <w:r w:rsidRPr="000A6F10">
              <w:rPr>
                <w:rFonts w:cs="Times New Roman"/>
                <w:bCs/>
                <w:sz w:val="28"/>
                <w:szCs w:val="24"/>
              </w:rPr>
              <w:t>propilēnglikola</w:t>
            </w:r>
            <w:proofErr w:type="spellEnd"/>
            <w:r w:rsidRPr="000A6F10">
              <w:rPr>
                <w:rFonts w:cs="Times New Roman"/>
                <w:bCs/>
                <w:sz w:val="28"/>
                <w:szCs w:val="24"/>
              </w:rPr>
              <w:t xml:space="preserve"> ietekmei iekštelpu gaisā var izraisīt </w:t>
            </w:r>
            <w:r w:rsidR="0008665D">
              <w:rPr>
                <w:rFonts w:cs="Times New Roman"/>
                <w:bCs/>
                <w:sz w:val="28"/>
                <w:szCs w:val="24"/>
              </w:rPr>
              <w:t>acu un elpceļu kairinājumu. Tādē</w:t>
            </w:r>
            <w:r w:rsidRPr="000A6F10">
              <w:rPr>
                <w:rFonts w:cs="Times New Roman"/>
                <w:bCs/>
                <w:sz w:val="28"/>
                <w:szCs w:val="24"/>
              </w:rPr>
              <w:t xml:space="preserve">jādi tiek palielināts iekaisuma un astmas risks. Sevišķi bīstami šāda produkta lietošana varētu būt personām ar tādām elpceļu saslimšanām kā astma, hroniska </w:t>
            </w:r>
            <w:proofErr w:type="spellStart"/>
            <w:r w:rsidRPr="000A6F10">
              <w:rPr>
                <w:rFonts w:cs="Times New Roman"/>
                <w:bCs/>
                <w:sz w:val="28"/>
                <w:szCs w:val="24"/>
              </w:rPr>
              <w:t>obstruktīva</w:t>
            </w:r>
            <w:proofErr w:type="spellEnd"/>
            <w:r w:rsidRPr="000A6F10">
              <w:rPr>
                <w:rFonts w:cs="Times New Roman"/>
                <w:bCs/>
                <w:sz w:val="28"/>
                <w:szCs w:val="24"/>
              </w:rPr>
              <w:t xml:space="preserve"> plaušu slimība (HOPS), bronhīts, pneimonija</w:t>
            </w:r>
            <w:r w:rsidRPr="000A6F10">
              <w:rPr>
                <w:rStyle w:val="FootnoteReference"/>
                <w:rFonts w:cs="Times New Roman"/>
                <w:sz w:val="28"/>
                <w:szCs w:val="24"/>
              </w:rPr>
              <w:footnoteReference w:id="4"/>
            </w:r>
            <w:r w:rsidRPr="000A6F10">
              <w:rPr>
                <w:rFonts w:cs="Times New Roman"/>
                <w:sz w:val="28"/>
                <w:szCs w:val="24"/>
              </w:rPr>
              <w:t xml:space="preserve">.  </w:t>
            </w:r>
          </w:p>
          <w:p w:rsidR="00A202A7" w:rsidRPr="000A6F10" w:rsidRDefault="007264AE" w:rsidP="00872F90">
            <w:pPr>
              <w:ind w:right="140"/>
              <w:jc w:val="both"/>
              <w:rPr>
                <w:rFonts w:cs="Times New Roman"/>
                <w:bCs/>
                <w:sz w:val="28"/>
                <w:szCs w:val="24"/>
              </w:rPr>
            </w:pPr>
            <w:r w:rsidRPr="000A6F10">
              <w:rPr>
                <w:rFonts w:cs="Times New Roman"/>
                <w:bCs/>
                <w:sz w:val="28"/>
                <w:szCs w:val="24"/>
              </w:rPr>
              <w:t xml:space="preserve">Glicerīns ir plaši lietota viela pārtikas produktu, kosmētikas un farmakoloģisko preču ražošanā. Lai arī glicerīns tiek uzskatīts par nekaitīgu vielu ar zemu </w:t>
            </w:r>
            <w:proofErr w:type="spellStart"/>
            <w:r w:rsidRPr="000A6F10">
              <w:rPr>
                <w:rFonts w:cs="Times New Roman"/>
                <w:bCs/>
                <w:sz w:val="28"/>
                <w:szCs w:val="24"/>
              </w:rPr>
              <w:t>toksicitātes</w:t>
            </w:r>
            <w:proofErr w:type="spellEnd"/>
            <w:r w:rsidRPr="000A6F10">
              <w:rPr>
                <w:rFonts w:cs="Times New Roman"/>
                <w:bCs/>
                <w:sz w:val="28"/>
                <w:szCs w:val="24"/>
              </w:rPr>
              <w:t xml:space="preserve"> līmeni, ja tas tiek lietots </w:t>
            </w:r>
            <w:proofErr w:type="spellStart"/>
            <w:r w:rsidRPr="000A6F10">
              <w:rPr>
                <w:rFonts w:cs="Times New Roman"/>
                <w:bCs/>
                <w:sz w:val="28"/>
                <w:szCs w:val="24"/>
              </w:rPr>
              <w:t>orāli</w:t>
            </w:r>
            <w:proofErr w:type="spellEnd"/>
            <w:r w:rsidRPr="000A6F10">
              <w:rPr>
                <w:rFonts w:cs="Times New Roman"/>
                <w:bCs/>
                <w:sz w:val="28"/>
                <w:szCs w:val="24"/>
              </w:rPr>
              <w:t>,</w:t>
            </w:r>
            <w:r w:rsidR="007C0474" w:rsidRPr="000A6F10">
              <w:rPr>
                <w:rFonts w:cs="Times New Roman"/>
                <w:bCs/>
                <w:sz w:val="28"/>
                <w:szCs w:val="24"/>
              </w:rPr>
              <w:t xml:space="preserve"> </w:t>
            </w:r>
            <w:r w:rsidRPr="000A6F10">
              <w:rPr>
                <w:rFonts w:cs="Times New Roman"/>
                <w:bCs/>
                <w:sz w:val="28"/>
                <w:szCs w:val="24"/>
              </w:rPr>
              <w:t xml:space="preserve"> nav</w:t>
            </w:r>
            <w:r w:rsidR="00262520" w:rsidRPr="000A6F10">
              <w:rPr>
                <w:rFonts w:cs="Times New Roman"/>
                <w:bCs/>
                <w:sz w:val="28"/>
                <w:szCs w:val="24"/>
              </w:rPr>
              <w:t xml:space="preserve"> pieejama</w:t>
            </w:r>
            <w:r w:rsidRPr="000A6F10">
              <w:rPr>
                <w:rFonts w:cs="Times New Roman"/>
                <w:bCs/>
                <w:sz w:val="28"/>
                <w:szCs w:val="24"/>
              </w:rPr>
              <w:t xml:space="preserve"> pilnvērtīg</w:t>
            </w:r>
            <w:r w:rsidR="00262520" w:rsidRPr="000A6F10">
              <w:rPr>
                <w:rFonts w:cs="Times New Roman"/>
                <w:bCs/>
                <w:sz w:val="28"/>
                <w:szCs w:val="24"/>
              </w:rPr>
              <w:t>a informācija</w:t>
            </w:r>
            <w:r w:rsidRPr="000A6F10">
              <w:rPr>
                <w:rFonts w:cs="Times New Roman"/>
                <w:bCs/>
                <w:sz w:val="28"/>
                <w:szCs w:val="24"/>
              </w:rPr>
              <w:t xml:space="preserve"> par tā ietekmi uz veselību, ja tas tiek inhalēts. Kādam pacientam novērota </w:t>
            </w:r>
            <w:proofErr w:type="spellStart"/>
            <w:r w:rsidRPr="000A6F10">
              <w:rPr>
                <w:rFonts w:cs="Times New Roman"/>
                <w:bCs/>
                <w:sz w:val="28"/>
                <w:szCs w:val="24"/>
              </w:rPr>
              <w:t>lipoīdā</w:t>
            </w:r>
            <w:proofErr w:type="spellEnd"/>
            <w:r w:rsidRPr="000A6F10">
              <w:rPr>
                <w:rFonts w:cs="Times New Roman"/>
                <w:bCs/>
                <w:sz w:val="28"/>
                <w:szCs w:val="24"/>
              </w:rPr>
              <w:t xml:space="preserve"> pneimonija, ko izraisījušas uz glicerīna bāzes veidotas eļļas, kas tiek lietotas elektroniskajās </w:t>
            </w:r>
            <w:r w:rsidR="00E252E8" w:rsidRPr="000A6F10">
              <w:rPr>
                <w:rFonts w:cs="Times New Roman"/>
                <w:bCs/>
                <w:sz w:val="28"/>
                <w:szCs w:val="24"/>
              </w:rPr>
              <w:t>smēķēšanas ierīcēs</w:t>
            </w:r>
            <w:r w:rsidRPr="000A6F10">
              <w:rPr>
                <w:rFonts w:cs="Times New Roman"/>
                <w:bCs/>
                <w:sz w:val="28"/>
                <w:szCs w:val="24"/>
              </w:rPr>
              <w:t xml:space="preserve">. Pacientam simptomi izzuduši </w:t>
            </w:r>
            <w:r w:rsidR="004F55DE" w:rsidRPr="000A6F10">
              <w:rPr>
                <w:rFonts w:cs="Times New Roman"/>
                <w:bCs/>
                <w:sz w:val="28"/>
                <w:szCs w:val="24"/>
              </w:rPr>
              <w:t>līdz ar</w:t>
            </w:r>
            <w:r w:rsidRPr="000A6F10">
              <w:rPr>
                <w:rFonts w:cs="Times New Roman"/>
                <w:bCs/>
                <w:sz w:val="28"/>
                <w:szCs w:val="24"/>
              </w:rPr>
              <w:t xml:space="preserve"> elektronisko </w:t>
            </w:r>
            <w:r w:rsidR="00E252E8" w:rsidRPr="000A6F10">
              <w:rPr>
                <w:rFonts w:cs="Times New Roman"/>
                <w:bCs/>
                <w:sz w:val="28"/>
                <w:szCs w:val="24"/>
              </w:rPr>
              <w:t>smēķēšanas ierīču</w:t>
            </w:r>
            <w:r w:rsidRPr="000A6F10">
              <w:rPr>
                <w:rFonts w:cs="Times New Roman"/>
                <w:bCs/>
                <w:sz w:val="28"/>
                <w:szCs w:val="24"/>
              </w:rPr>
              <w:t xml:space="preserve"> lietošan</w:t>
            </w:r>
            <w:r w:rsidR="004F55DE" w:rsidRPr="000A6F10">
              <w:rPr>
                <w:rFonts w:cs="Times New Roman"/>
                <w:bCs/>
                <w:sz w:val="28"/>
                <w:szCs w:val="24"/>
              </w:rPr>
              <w:t>as pārtraukšanu</w:t>
            </w:r>
            <w:r w:rsidRPr="000A6F10">
              <w:rPr>
                <w:rStyle w:val="FootnoteReference"/>
                <w:rFonts w:cs="Times New Roman"/>
                <w:bCs/>
                <w:sz w:val="28"/>
                <w:szCs w:val="24"/>
              </w:rPr>
              <w:footnoteReference w:id="5"/>
            </w:r>
            <w:r w:rsidRPr="000A6F10">
              <w:rPr>
                <w:rFonts w:cs="Times New Roman"/>
                <w:bCs/>
                <w:sz w:val="28"/>
                <w:szCs w:val="24"/>
              </w:rPr>
              <w:t>.</w:t>
            </w:r>
          </w:p>
          <w:p w:rsidR="00F95EE1" w:rsidRPr="000A6F10" w:rsidRDefault="0008665D" w:rsidP="00872F90">
            <w:pPr>
              <w:ind w:right="140"/>
              <w:jc w:val="both"/>
              <w:rPr>
                <w:rFonts w:cs="Times New Roman"/>
                <w:bCs/>
                <w:sz w:val="28"/>
                <w:szCs w:val="24"/>
              </w:rPr>
            </w:pPr>
            <w:r>
              <w:rPr>
                <w:rFonts w:cs="Times New Roman"/>
                <w:bCs/>
                <w:sz w:val="28"/>
                <w:szCs w:val="24"/>
              </w:rPr>
              <w:t xml:space="preserve">Papildus </w:t>
            </w:r>
            <w:proofErr w:type="spellStart"/>
            <w:r>
              <w:rPr>
                <w:rFonts w:cs="Times New Roman"/>
                <w:bCs/>
                <w:sz w:val="28"/>
                <w:szCs w:val="24"/>
              </w:rPr>
              <w:t>pamatsastāvdaļām</w:t>
            </w:r>
            <w:proofErr w:type="spellEnd"/>
            <w:r w:rsidR="00F95EE1" w:rsidRPr="000A6F10">
              <w:rPr>
                <w:rFonts w:cs="Times New Roman"/>
                <w:bCs/>
                <w:sz w:val="28"/>
                <w:szCs w:val="24"/>
              </w:rPr>
              <w:t xml:space="preserve"> atsevišķās elektronisko </w:t>
            </w:r>
            <w:r w:rsidR="00813506" w:rsidRPr="000A6F10">
              <w:rPr>
                <w:rFonts w:cs="Times New Roman"/>
                <w:bCs/>
                <w:sz w:val="28"/>
                <w:szCs w:val="24"/>
              </w:rPr>
              <w:t>smēķēšanas ierīču</w:t>
            </w:r>
            <w:r w:rsidR="00F95EE1" w:rsidRPr="000A6F10">
              <w:rPr>
                <w:rFonts w:cs="Times New Roman"/>
                <w:bCs/>
                <w:sz w:val="28"/>
                <w:szCs w:val="24"/>
              </w:rPr>
              <w:t xml:space="preserve"> pārbaudēs ir atrastas vielas, kas ir raksturīgas tabakas izstrādājumiem. Piemēram, </w:t>
            </w:r>
            <w:proofErr w:type="spellStart"/>
            <w:r w:rsidR="00F95EE1" w:rsidRPr="000A6F10">
              <w:rPr>
                <w:rFonts w:cs="Times New Roman"/>
                <w:bCs/>
                <w:sz w:val="28"/>
                <w:szCs w:val="24"/>
              </w:rPr>
              <w:t>anabazīns</w:t>
            </w:r>
            <w:proofErr w:type="spellEnd"/>
            <w:r w:rsidR="00F95EE1" w:rsidRPr="000A6F10">
              <w:rPr>
                <w:rFonts w:cs="Times New Roman"/>
                <w:bCs/>
                <w:sz w:val="28"/>
                <w:szCs w:val="24"/>
              </w:rPr>
              <w:t xml:space="preserve"> un </w:t>
            </w:r>
            <w:proofErr w:type="spellStart"/>
            <w:r w:rsidR="00F95EE1" w:rsidRPr="000A6F10">
              <w:rPr>
                <w:rFonts w:cs="Times New Roman"/>
                <w:bCs/>
                <w:sz w:val="28"/>
                <w:szCs w:val="24"/>
              </w:rPr>
              <w:t>miosmīns</w:t>
            </w:r>
            <w:proofErr w:type="spellEnd"/>
            <w:r w:rsidR="00F95EE1" w:rsidRPr="000A6F10">
              <w:rPr>
                <w:rFonts w:cs="Times New Roman"/>
                <w:bCs/>
                <w:sz w:val="28"/>
                <w:szCs w:val="24"/>
              </w:rPr>
              <w:t xml:space="preserve">, kas ir tabakā atrodami alkaloīdi un pēc savas ķīmiskās struktūras ir līdzīgi nikotīnam. Bažas rada pārbaudēs atrastais </w:t>
            </w:r>
            <w:proofErr w:type="spellStart"/>
            <w:r w:rsidR="00F95EE1" w:rsidRPr="000A6F10">
              <w:rPr>
                <w:rFonts w:cs="Times New Roman"/>
                <w:bCs/>
                <w:sz w:val="28"/>
                <w:szCs w:val="24"/>
              </w:rPr>
              <w:t>acetaldehīds</w:t>
            </w:r>
            <w:proofErr w:type="spellEnd"/>
            <w:r w:rsidR="00F95EE1" w:rsidRPr="000A6F10">
              <w:rPr>
                <w:rFonts w:cs="Times New Roman"/>
                <w:bCs/>
                <w:sz w:val="28"/>
                <w:szCs w:val="24"/>
              </w:rPr>
              <w:t xml:space="preserve">  un formaldehīds, kas var rasties </w:t>
            </w:r>
            <w:r w:rsidR="00F95EE1" w:rsidRPr="000A6F10">
              <w:rPr>
                <w:rFonts w:cs="Times New Roman"/>
                <w:bCs/>
                <w:sz w:val="28"/>
                <w:szCs w:val="24"/>
              </w:rPr>
              <w:lastRenderedPageBreak/>
              <w:t xml:space="preserve">glicerīna un </w:t>
            </w:r>
            <w:proofErr w:type="spellStart"/>
            <w:r w:rsidR="00F95EE1" w:rsidRPr="000A6F10">
              <w:rPr>
                <w:rFonts w:cs="Times New Roman"/>
                <w:bCs/>
                <w:sz w:val="28"/>
                <w:szCs w:val="24"/>
              </w:rPr>
              <w:t>propilēnglikola</w:t>
            </w:r>
            <w:proofErr w:type="spellEnd"/>
            <w:r w:rsidR="00F95EE1" w:rsidRPr="000A6F10">
              <w:rPr>
                <w:rFonts w:cs="Times New Roman"/>
                <w:bCs/>
                <w:sz w:val="28"/>
                <w:szCs w:val="24"/>
              </w:rPr>
              <w:t xml:space="preserve"> termiskas sadalīšanās rezultātā. Formaldehīds, kas ir kancerogēna viela, ir atrasta gan elektronisko cigarešu </w:t>
            </w:r>
            <w:proofErr w:type="spellStart"/>
            <w:r w:rsidR="00F95EE1" w:rsidRPr="000A6F10">
              <w:rPr>
                <w:rFonts w:cs="Times New Roman"/>
                <w:bCs/>
                <w:sz w:val="28"/>
                <w:szCs w:val="24"/>
              </w:rPr>
              <w:t>kārtridžos</w:t>
            </w:r>
            <w:proofErr w:type="spellEnd"/>
            <w:r w:rsidR="00F95EE1" w:rsidRPr="000A6F10">
              <w:rPr>
                <w:rFonts w:cs="Times New Roman"/>
                <w:bCs/>
                <w:sz w:val="28"/>
                <w:szCs w:val="24"/>
              </w:rPr>
              <w:t xml:space="preserve">, gan izdalītajā tvaikā. Šobrīd pieejamie pētījumi liecina, ka elektronisko </w:t>
            </w:r>
            <w:r w:rsidR="00813506" w:rsidRPr="000A6F10">
              <w:rPr>
                <w:rFonts w:cs="Times New Roman"/>
                <w:bCs/>
                <w:sz w:val="28"/>
                <w:szCs w:val="24"/>
              </w:rPr>
              <w:t>smēķēšanas ierīču</w:t>
            </w:r>
            <w:r w:rsidR="00F95EE1" w:rsidRPr="000A6F10">
              <w:rPr>
                <w:rFonts w:cs="Times New Roman"/>
                <w:bCs/>
                <w:sz w:val="28"/>
                <w:szCs w:val="24"/>
              </w:rPr>
              <w:t xml:space="preserve"> izdalītajā tvaikā ir arī </w:t>
            </w:r>
            <w:proofErr w:type="spellStart"/>
            <w:r w:rsidR="00F95EE1" w:rsidRPr="000A6F10">
              <w:rPr>
                <w:rFonts w:cs="Times New Roman"/>
                <w:bCs/>
                <w:sz w:val="28"/>
                <w:szCs w:val="24"/>
              </w:rPr>
              <w:t>benzopirēns</w:t>
            </w:r>
            <w:proofErr w:type="spellEnd"/>
            <w:r w:rsidR="00F95EE1" w:rsidRPr="000A6F10">
              <w:rPr>
                <w:rFonts w:cs="Times New Roman"/>
                <w:bCs/>
                <w:sz w:val="28"/>
                <w:szCs w:val="24"/>
              </w:rPr>
              <w:t>, silikāti un dažādu metālu daļiņas. Tāpat  niķelis un hroms, kas ir kancerogēni, atrasti tādā pašā vai pat lielākā daudzumā kā tabakas izstrādājumu dūmos</w:t>
            </w:r>
            <w:r w:rsidR="00F95EE1" w:rsidRPr="000A6F10">
              <w:rPr>
                <w:rStyle w:val="FootnoteReference"/>
                <w:rFonts w:cs="Times New Roman"/>
                <w:bCs/>
                <w:sz w:val="28"/>
                <w:szCs w:val="24"/>
              </w:rPr>
              <w:footnoteReference w:id="6"/>
            </w:r>
            <w:r w:rsidR="00F95EE1" w:rsidRPr="000A6F10">
              <w:rPr>
                <w:rFonts w:cs="Times New Roman"/>
                <w:bCs/>
                <w:sz w:val="28"/>
                <w:szCs w:val="24"/>
              </w:rPr>
              <w:t xml:space="preserve">.Šīm vielām nav drošu limitu, tāpēc nevar izslēgt, ka elektroniskās </w:t>
            </w:r>
            <w:r w:rsidR="00813506" w:rsidRPr="000A6F10">
              <w:rPr>
                <w:rFonts w:cs="Times New Roman"/>
                <w:bCs/>
                <w:sz w:val="28"/>
                <w:szCs w:val="24"/>
              </w:rPr>
              <w:t>smēķēšanas ierīces</w:t>
            </w:r>
            <w:r w:rsidR="00F95EE1" w:rsidRPr="000A6F10">
              <w:rPr>
                <w:rFonts w:cs="Times New Roman"/>
                <w:bCs/>
                <w:sz w:val="28"/>
                <w:szCs w:val="24"/>
              </w:rPr>
              <w:t xml:space="preserve"> palielina arī vēža risku</w:t>
            </w:r>
            <w:r w:rsidR="00F95EE1" w:rsidRPr="000A6F10">
              <w:rPr>
                <w:rStyle w:val="FootnoteReference"/>
                <w:rFonts w:cs="Times New Roman"/>
                <w:bCs/>
                <w:sz w:val="28"/>
                <w:szCs w:val="24"/>
              </w:rPr>
              <w:footnoteReference w:id="7"/>
            </w:r>
            <w:r w:rsidR="00F95EE1" w:rsidRPr="000A6F10">
              <w:rPr>
                <w:rFonts w:cs="Times New Roman"/>
                <w:bCs/>
                <w:sz w:val="28"/>
                <w:szCs w:val="24"/>
                <w:vertAlign w:val="superscript"/>
              </w:rPr>
              <w:t>;</w:t>
            </w:r>
            <w:r w:rsidR="00F95EE1" w:rsidRPr="000A6F10">
              <w:rPr>
                <w:rStyle w:val="FootnoteReference"/>
                <w:rFonts w:cs="Times New Roman"/>
                <w:sz w:val="28"/>
                <w:szCs w:val="24"/>
              </w:rPr>
              <w:footnoteReference w:id="8"/>
            </w:r>
            <w:r w:rsidR="00F95EE1" w:rsidRPr="000A6F10">
              <w:rPr>
                <w:rFonts w:cs="Times New Roman"/>
                <w:bCs/>
                <w:sz w:val="28"/>
                <w:szCs w:val="24"/>
                <w:vertAlign w:val="superscript"/>
              </w:rPr>
              <w:t>;</w:t>
            </w:r>
            <w:r w:rsidR="00F95EE1" w:rsidRPr="000A6F10">
              <w:rPr>
                <w:rStyle w:val="FootnoteReference"/>
                <w:rFonts w:cs="Times New Roman"/>
                <w:sz w:val="28"/>
                <w:szCs w:val="24"/>
              </w:rPr>
              <w:footnoteReference w:id="9"/>
            </w:r>
            <w:r w:rsidR="00F95EE1" w:rsidRPr="000A6F10">
              <w:rPr>
                <w:rFonts w:cs="Times New Roman"/>
                <w:bCs/>
                <w:sz w:val="28"/>
                <w:szCs w:val="24"/>
              </w:rPr>
              <w:t>. Vēl kādās a</w:t>
            </w:r>
            <w:r w:rsidR="00F95EE1" w:rsidRPr="000A6F10">
              <w:rPr>
                <w:rFonts w:cs="Times New Roman"/>
                <w:sz w:val="28"/>
                <w:szCs w:val="24"/>
              </w:rPr>
              <w:t xml:space="preserve">nalīzēs secināts, ka  kādas firmas elektronisko </w:t>
            </w:r>
            <w:r w:rsidR="00813506" w:rsidRPr="000A6F10">
              <w:rPr>
                <w:rFonts w:cs="Times New Roman"/>
                <w:sz w:val="28"/>
                <w:szCs w:val="24"/>
              </w:rPr>
              <w:t>smēķēšanas ierīču</w:t>
            </w:r>
            <w:r w:rsidR="00F95EE1" w:rsidRPr="000A6F10">
              <w:rPr>
                <w:rFonts w:cs="Times New Roman"/>
                <w:sz w:val="28"/>
                <w:szCs w:val="24"/>
              </w:rPr>
              <w:t xml:space="preserve"> šķidrums satur </w:t>
            </w:r>
            <w:proofErr w:type="spellStart"/>
            <w:r w:rsidR="00F95EE1" w:rsidRPr="000A6F10">
              <w:rPr>
                <w:rFonts w:cs="Times New Roman"/>
                <w:sz w:val="28"/>
                <w:szCs w:val="24"/>
              </w:rPr>
              <w:t>erektīlās</w:t>
            </w:r>
            <w:proofErr w:type="spellEnd"/>
            <w:r w:rsidR="00F95EE1" w:rsidRPr="000A6F10">
              <w:rPr>
                <w:rFonts w:cs="Times New Roman"/>
                <w:sz w:val="28"/>
                <w:szCs w:val="24"/>
              </w:rPr>
              <w:t xml:space="preserve"> disfunkcijas medikamentā CIALIS</w:t>
            </w:r>
            <w:r w:rsidR="00F95EE1" w:rsidRPr="000A6F10">
              <w:rPr>
                <w:rFonts w:cs="Times New Roman"/>
                <w:i/>
                <w:sz w:val="28"/>
                <w:szCs w:val="24"/>
              </w:rPr>
              <w:t xml:space="preserve"> </w:t>
            </w:r>
            <w:r w:rsidR="00F95EE1" w:rsidRPr="000A6F10">
              <w:rPr>
                <w:rFonts w:cs="Times New Roman"/>
                <w:sz w:val="28"/>
                <w:szCs w:val="24"/>
              </w:rPr>
              <w:t xml:space="preserve">esošu ķīmisku savienojumu </w:t>
            </w:r>
            <w:proofErr w:type="spellStart"/>
            <w:r w:rsidR="00F95EE1" w:rsidRPr="000A6F10">
              <w:rPr>
                <w:rFonts w:cs="Times New Roman"/>
                <w:i/>
                <w:sz w:val="28"/>
                <w:szCs w:val="24"/>
              </w:rPr>
              <w:t>tadalafil</w:t>
            </w:r>
            <w:proofErr w:type="spellEnd"/>
            <w:r w:rsidR="00F95EE1" w:rsidRPr="000A6F10">
              <w:rPr>
                <w:rFonts w:cs="Times New Roman"/>
                <w:i/>
                <w:sz w:val="28"/>
                <w:szCs w:val="24"/>
              </w:rPr>
              <w:t xml:space="preserve">, </w:t>
            </w:r>
            <w:r w:rsidR="00F95EE1" w:rsidRPr="000A6F10">
              <w:rPr>
                <w:rFonts w:cs="Times New Roman"/>
                <w:sz w:val="28"/>
                <w:szCs w:val="24"/>
              </w:rPr>
              <w:t>kā arī recepšu medikamentu svara zaudēšanai</w:t>
            </w:r>
            <w:r w:rsidR="00E12D33">
              <w:rPr>
                <w:rFonts w:cs="Times New Roman"/>
                <w:sz w:val="28"/>
                <w:szCs w:val="24"/>
              </w:rPr>
              <w:t xml:space="preserve"> –</w:t>
            </w:r>
            <w:r w:rsidR="00F95EE1" w:rsidRPr="000A6F10">
              <w:rPr>
                <w:rFonts w:cs="Times New Roman"/>
                <w:sz w:val="28"/>
                <w:szCs w:val="24"/>
              </w:rPr>
              <w:t xml:space="preserve"> </w:t>
            </w:r>
            <w:proofErr w:type="spellStart"/>
            <w:r w:rsidR="00F95EE1" w:rsidRPr="000A6F10">
              <w:rPr>
                <w:rFonts w:cs="Times New Roman"/>
                <w:i/>
                <w:sz w:val="28"/>
                <w:szCs w:val="24"/>
              </w:rPr>
              <w:t>rimonabant</w:t>
            </w:r>
            <w:proofErr w:type="spellEnd"/>
            <w:r w:rsidR="00F95EE1" w:rsidRPr="000A6F10">
              <w:rPr>
                <w:rStyle w:val="FootnoteReference"/>
                <w:rFonts w:cs="Times New Roman"/>
                <w:sz w:val="28"/>
                <w:szCs w:val="24"/>
              </w:rPr>
              <w:footnoteReference w:id="10"/>
            </w:r>
            <w:r w:rsidR="00F95EE1" w:rsidRPr="000A6F10">
              <w:rPr>
                <w:rFonts w:cs="Times New Roman"/>
                <w:sz w:val="28"/>
                <w:szCs w:val="24"/>
              </w:rPr>
              <w:t xml:space="preserve">. </w:t>
            </w:r>
          </w:p>
          <w:p w:rsidR="005928CA" w:rsidRPr="000A6F10" w:rsidRDefault="00A202A7" w:rsidP="00872F90">
            <w:pPr>
              <w:ind w:right="140"/>
              <w:jc w:val="both"/>
              <w:rPr>
                <w:rFonts w:cs="Times New Roman"/>
                <w:bCs/>
                <w:sz w:val="28"/>
                <w:szCs w:val="24"/>
              </w:rPr>
            </w:pPr>
            <w:r w:rsidRPr="000A6F10">
              <w:rPr>
                <w:rFonts w:cs="Times New Roman"/>
                <w:bCs/>
                <w:sz w:val="28"/>
                <w:szCs w:val="24"/>
              </w:rPr>
              <w:t xml:space="preserve">Pamatā šobrīd pieejamajos pētījumos par elektronisko </w:t>
            </w:r>
            <w:r w:rsidR="00813506" w:rsidRPr="000A6F10">
              <w:rPr>
                <w:rFonts w:cs="Times New Roman"/>
                <w:bCs/>
                <w:sz w:val="28"/>
                <w:szCs w:val="24"/>
              </w:rPr>
              <w:t>smēķēšanas ierīču</w:t>
            </w:r>
            <w:r w:rsidRPr="000A6F10">
              <w:rPr>
                <w:rFonts w:cs="Times New Roman"/>
                <w:bCs/>
                <w:sz w:val="28"/>
                <w:szCs w:val="24"/>
              </w:rPr>
              <w:t xml:space="preserve">  ietekmi uz veselību ir vērtēta </w:t>
            </w:r>
            <w:r w:rsidR="00813506" w:rsidRPr="000A6F10">
              <w:rPr>
                <w:rFonts w:cs="Times New Roman"/>
                <w:bCs/>
                <w:sz w:val="28"/>
                <w:szCs w:val="24"/>
              </w:rPr>
              <w:t>elektronisko smēķēšanas ierīču</w:t>
            </w:r>
            <w:r w:rsidRPr="000A6F10">
              <w:rPr>
                <w:rFonts w:cs="Times New Roman"/>
                <w:bCs/>
                <w:sz w:val="28"/>
                <w:szCs w:val="24"/>
              </w:rPr>
              <w:t xml:space="preserve"> lietošanas īstermiņa ietekme, jo produkts tirgū ir salīdzinoši neilgi. Kopš 2008.gada </w:t>
            </w:r>
            <w:r w:rsidR="00C52A0B" w:rsidRPr="000A6F10">
              <w:rPr>
                <w:rFonts w:cs="Times New Roman"/>
                <w:bCs/>
                <w:sz w:val="28"/>
                <w:szCs w:val="24"/>
              </w:rPr>
              <w:t>FDA</w:t>
            </w:r>
            <w:r w:rsidRPr="000A6F10">
              <w:rPr>
                <w:rFonts w:cs="Times New Roman"/>
                <w:bCs/>
                <w:sz w:val="28"/>
                <w:szCs w:val="24"/>
              </w:rPr>
              <w:t xml:space="preserve"> ir saņēmusi 47 ziņojumus par elektronisko cigarešu lietošanas blaknēm</w:t>
            </w:r>
            <w:r w:rsidRPr="000A6F10">
              <w:rPr>
                <w:rStyle w:val="FootnoteReference"/>
                <w:rFonts w:cs="Times New Roman"/>
                <w:bCs/>
                <w:sz w:val="28"/>
                <w:szCs w:val="24"/>
              </w:rPr>
              <w:footnoteReference w:id="11"/>
            </w:r>
            <w:r w:rsidRPr="000A6F10">
              <w:rPr>
                <w:rFonts w:cs="Times New Roman"/>
                <w:bCs/>
                <w:sz w:val="28"/>
                <w:szCs w:val="24"/>
              </w:rPr>
              <w:t>. Pie konstatētajām iedarbības sekām pēc 10 minūšu ilgas smēķēšanas ir pieskaitāms klepus (ziņoja 65% aptaujāto), kakla sāpes (ziņoja 68% aptaujāto), acu kairinājums (ziņoja 24% aptaujāto),  reibonis (ziņoja 78% aptaujāto). Saņemtas arī sūdzības par sausu muti un galvassāpēm</w:t>
            </w:r>
            <w:r w:rsidRPr="000A6F10">
              <w:rPr>
                <w:rStyle w:val="FootnoteReference"/>
                <w:rFonts w:cs="Times New Roman"/>
                <w:bCs/>
                <w:sz w:val="28"/>
                <w:szCs w:val="24"/>
              </w:rPr>
              <w:footnoteReference w:id="12"/>
            </w:r>
            <w:r w:rsidRPr="000A6F10">
              <w:rPr>
                <w:rFonts w:cs="Times New Roman"/>
                <w:bCs/>
                <w:sz w:val="28"/>
                <w:szCs w:val="24"/>
                <w:vertAlign w:val="superscript"/>
              </w:rPr>
              <w:t>;</w:t>
            </w:r>
            <w:r w:rsidRPr="000A6F10">
              <w:rPr>
                <w:rStyle w:val="FootnoteReference"/>
                <w:rFonts w:cs="Times New Roman"/>
                <w:bCs/>
                <w:sz w:val="28"/>
                <w:szCs w:val="24"/>
              </w:rPr>
              <w:footnoteReference w:id="13"/>
            </w:r>
            <w:r w:rsidRPr="000A6F10">
              <w:rPr>
                <w:rFonts w:cs="Times New Roman"/>
                <w:bCs/>
                <w:sz w:val="28"/>
                <w:szCs w:val="24"/>
              </w:rPr>
              <w:t xml:space="preserve">. Turklāt </w:t>
            </w:r>
            <w:r w:rsidRPr="000A6F10">
              <w:rPr>
                <w:rFonts w:cs="Times New Roman"/>
                <w:bCs/>
                <w:sz w:val="28"/>
                <w:szCs w:val="24"/>
              </w:rPr>
              <w:lastRenderedPageBreak/>
              <w:t xml:space="preserve">pretēji ražotāju un izplatītāju paustajam, ir apliecinājums tam, ka elektroniskās </w:t>
            </w:r>
            <w:r w:rsidR="00C52A0B" w:rsidRPr="000A6F10">
              <w:rPr>
                <w:rFonts w:cs="Times New Roman"/>
                <w:bCs/>
                <w:sz w:val="28"/>
                <w:szCs w:val="24"/>
              </w:rPr>
              <w:t>smēķēšanas ierīces</w:t>
            </w:r>
            <w:r w:rsidRPr="000A6F10">
              <w:rPr>
                <w:rFonts w:cs="Times New Roman"/>
                <w:bCs/>
                <w:sz w:val="28"/>
                <w:szCs w:val="24"/>
              </w:rPr>
              <w:t xml:space="preserve"> lietošanas rezultātā vidē izdalās vielu daļiņas ar diametru 2,5 mikrometri vai mazāku (PM</w:t>
            </w:r>
            <w:r w:rsidRPr="000A6F10">
              <w:rPr>
                <w:rFonts w:cs="Times New Roman"/>
                <w:bCs/>
                <w:sz w:val="28"/>
                <w:szCs w:val="24"/>
                <w:vertAlign w:val="subscript"/>
              </w:rPr>
              <w:t>2,5</w:t>
            </w:r>
            <w:r w:rsidRPr="000A6F10">
              <w:rPr>
                <w:rFonts w:cs="Times New Roman"/>
                <w:bCs/>
                <w:sz w:val="28"/>
                <w:szCs w:val="24"/>
              </w:rPr>
              <w:t xml:space="preserve">), kas nozīmē to, ka šīs vielas viegli var iekļūt elpceļos. Līdz ar to nav iespējams izslēgt apkārtējo pakļaušanu otrreizējai dažādu vielu ieelpošanai, kas izdalās ar elektronisko </w:t>
            </w:r>
            <w:r w:rsidR="00C52A0B" w:rsidRPr="000A6F10">
              <w:rPr>
                <w:rFonts w:cs="Times New Roman"/>
                <w:bCs/>
                <w:sz w:val="28"/>
                <w:szCs w:val="24"/>
              </w:rPr>
              <w:t>smēķēšanas ierīču</w:t>
            </w:r>
            <w:r w:rsidRPr="000A6F10">
              <w:rPr>
                <w:rFonts w:cs="Times New Roman"/>
                <w:bCs/>
                <w:sz w:val="28"/>
                <w:szCs w:val="24"/>
              </w:rPr>
              <w:t xml:space="preserve"> tvaiku.</w:t>
            </w:r>
          </w:p>
        </w:tc>
      </w:tr>
      <w:tr w:rsidR="0088048C" w:rsidRPr="000A6F10" w:rsidTr="000A6F10">
        <w:trPr>
          <w:trHeight w:val="465"/>
        </w:trPr>
        <w:tc>
          <w:tcPr>
            <w:tcW w:w="310" w:type="pct"/>
            <w:tcBorders>
              <w:top w:val="outset" w:sz="6" w:space="0" w:color="auto"/>
              <w:left w:val="outset" w:sz="6" w:space="0" w:color="auto"/>
              <w:bottom w:val="outset" w:sz="6" w:space="0" w:color="auto"/>
              <w:right w:val="outset" w:sz="6" w:space="0" w:color="auto"/>
            </w:tcBorders>
            <w:hideMark/>
          </w:tcPr>
          <w:p w:rsidR="0088048C" w:rsidRPr="000A6F10" w:rsidRDefault="0088048C">
            <w:pPr>
              <w:spacing w:before="75" w:after="75"/>
              <w:jc w:val="center"/>
              <w:rPr>
                <w:rFonts w:eastAsia="Times New Roman" w:cs="Times New Roman"/>
                <w:sz w:val="28"/>
                <w:szCs w:val="24"/>
                <w:lang w:eastAsia="lv-LV"/>
              </w:rPr>
            </w:pPr>
            <w:r w:rsidRPr="000A6F10">
              <w:rPr>
                <w:rFonts w:eastAsia="Times New Roman" w:cs="Times New Roman"/>
                <w:sz w:val="28"/>
                <w:szCs w:val="24"/>
                <w:lang w:eastAsia="lv-LV"/>
              </w:rPr>
              <w:lastRenderedPageBreak/>
              <w:t>3.</w:t>
            </w:r>
          </w:p>
        </w:tc>
        <w:tc>
          <w:tcPr>
            <w:tcW w:w="1218" w:type="pct"/>
            <w:tcBorders>
              <w:top w:val="outset" w:sz="6" w:space="0" w:color="auto"/>
              <w:left w:val="outset" w:sz="6" w:space="0" w:color="auto"/>
              <w:bottom w:val="outset" w:sz="6" w:space="0" w:color="auto"/>
              <w:right w:val="outset" w:sz="6" w:space="0" w:color="auto"/>
            </w:tcBorders>
            <w:hideMark/>
          </w:tcPr>
          <w:p w:rsidR="0088048C" w:rsidRPr="000A6F10" w:rsidRDefault="0088048C">
            <w:pPr>
              <w:rPr>
                <w:rFonts w:eastAsia="Times New Roman" w:cs="Times New Roman"/>
                <w:sz w:val="28"/>
                <w:szCs w:val="24"/>
                <w:lang w:eastAsia="lv-LV"/>
              </w:rPr>
            </w:pPr>
            <w:r w:rsidRPr="000A6F10">
              <w:rPr>
                <w:rFonts w:eastAsia="Times New Roman" w:cs="Times New Roman"/>
                <w:sz w:val="28"/>
                <w:szCs w:val="24"/>
                <w:lang w:eastAsia="lv-LV"/>
              </w:rPr>
              <w:t>Projekta izstrādē iesaistītās institūcijas</w:t>
            </w:r>
          </w:p>
        </w:tc>
        <w:tc>
          <w:tcPr>
            <w:tcW w:w="3473" w:type="pct"/>
            <w:tcBorders>
              <w:top w:val="outset" w:sz="6" w:space="0" w:color="auto"/>
              <w:left w:val="outset" w:sz="6" w:space="0" w:color="auto"/>
              <w:bottom w:val="outset" w:sz="6" w:space="0" w:color="auto"/>
              <w:right w:val="outset" w:sz="6" w:space="0" w:color="auto"/>
            </w:tcBorders>
            <w:hideMark/>
          </w:tcPr>
          <w:p w:rsidR="0088048C" w:rsidRPr="000A6F10" w:rsidRDefault="0088048C" w:rsidP="00872F90">
            <w:pPr>
              <w:rPr>
                <w:rFonts w:eastAsia="Times New Roman" w:cs="Times New Roman"/>
                <w:sz w:val="28"/>
                <w:szCs w:val="24"/>
                <w:lang w:eastAsia="lv-LV"/>
              </w:rPr>
            </w:pPr>
            <w:r w:rsidRPr="000A6F10">
              <w:rPr>
                <w:rFonts w:eastAsia="Times New Roman" w:cs="Times New Roman"/>
                <w:sz w:val="28"/>
                <w:szCs w:val="24"/>
                <w:lang w:eastAsia="lv-LV"/>
              </w:rPr>
              <w:t>Veselības ministrija.</w:t>
            </w:r>
          </w:p>
        </w:tc>
      </w:tr>
      <w:tr w:rsidR="0088048C" w:rsidRPr="000A6F10" w:rsidTr="000A6F10">
        <w:tc>
          <w:tcPr>
            <w:tcW w:w="310" w:type="pct"/>
            <w:tcBorders>
              <w:top w:val="outset" w:sz="6" w:space="0" w:color="auto"/>
              <w:left w:val="outset" w:sz="6" w:space="0" w:color="auto"/>
              <w:bottom w:val="outset" w:sz="6" w:space="0" w:color="auto"/>
              <w:right w:val="outset" w:sz="6" w:space="0" w:color="auto"/>
            </w:tcBorders>
            <w:hideMark/>
          </w:tcPr>
          <w:p w:rsidR="0088048C" w:rsidRPr="000A6F10" w:rsidRDefault="0088048C">
            <w:pPr>
              <w:spacing w:before="75" w:after="75"/>
              <w:jc w:val="center"/>
              <w:rPr>
                <w:rFonts w:eastAsia="Times New Roman" w:cs="Times New Roman"/>
                <w:sz w:val="28"/>
                <w:szCs w:val="24"/>
                <w:lang w:eastAsia="lv-LV"/>
              </w:rPr>
            </w:pPr>
            <w:r w:rsidRPr="000A6F10">
              <w:rPr>
                <w:rFonts w:eastAsia="Times New Roman" w:cs="Times New Roman"/>
                <w:sz w:val="28"/>
                <w:szCs w:val="24"/>
                <w:lang w:eastAsia="lv-LV"/>
              </w:rPr>
              <w:t>4.</w:t>
            </w:r>
          </w:p>
        </w:tc>
        <w:tc>
          <w:tcPr>
            <w:tcW w:w="1218" w:type="pct"/>
            <w:tcBorders>
              <w:top w:val="outset" w:sz="6" w:space="0" w:color="auto"/>
              <w:left w:val="outset" w:sz="6" w:space="0" w:color="auto"/>
              <w:bottom w:val="outset" w:sz="6" w:space="0" w:color="auto"/>
              <w:right w:val="outset" w:sz="6" w:space="0" w:color="auto"/>
            </w:tcBorders>
            <w:hideMark/>
          </w:tcPr>
          <w:p w:rsidR="0088048C" w:rsidRPr="000A6F10" w:rsidRDefault="0088048C" w:rsidP="00834B90">
            <w:pPr>
              <w:rPr>
                <w:sz w:val="28"/>
              </w:rPr>
            </w:pPr>
            <w:r w:rsidRPr="000A6F10">
              <w:rPr>
                <w:sz w:val="28"/>
              </w:rPr>
              <w:t>Cita informācija</w:t>
            </w:r>
          </w:p>
        </w:tc>
        <w:tc>
          <w:tcPr>
            <w:tcW w:w="3473" w:type="pct"/>
            <w:tcBorders>
              <w:top w:val="outset" w:sz="6" w:space="0" w:color="auto"/>
              <w:left w:val="outset" w:sz="6" w:space="0" w:color="auto"/>
              <w:bottom w:val="outset" w:sz="6" w:space="0" w:color="auto"/>
              <w:right w:val="outset" w:sz="6" w:space="0" w:color="auto"/>
            </w:tcBorders>
            <w:hideMark/>
          </w:tcPr>
          <w:p w:rsidR="0088048C" w:rsidRPr="000A6F10" w:rsidRDefault="00AC34E2" w:rsidP="00B54157">
            <w:pPr>
              <w:jc w:val="both"/>
              <w:rPr>
                <w:sz w:val="28"/>
              </w:rPr>
            </w:pPr>
            <w:r w:rsidRPr="000A6F10">
              <w:rPr>
                <w:sz w:val="28"/>
              </w:rPr>
              <w:t>2016.gadā 10.jūnijā stājās spēkā</w:t>
            </w:r>
            <w:r w:rsidR="00433E21" w:rsidRPr="000A6F10">
              <w:rPr>
                <w:sz w:val="28"/>
              </w:rPr>
              <w:t xml:space="preserve"> grozījumi  Elektronisko plašsaziņas līdzekļu likum</w:t>
            </w:r>
            <w:r w:rsidR="00DF0B39" w:rsidRPr="000A6F10">
              <w:rPr>
                <w:sz w:val="28"/>
              </w:rPr>
              <w:t>ā</w:t>
            </w:r>
            <w:r w:rsidR="00433E21" w:rsidRPr="000A6F10">
              <w:rPr>
                <w:sz w:val="28"/>
              </w:rPr>
              <w:t>, nosakot, ka elektroniskās cigaretes un uzpildes flakonus aizliegts reklamēt audio un audiovizuālos kom</w:t>
            </w:r>
            <w:r w:rsidRPr="000A6F10">
              <w:rPr>
                <w:sz w:val="28"/>
              </w:rPr>
              <w:t>erciālos paziņojumos.</w:t>
            </w:r>
          </w:p>
        </w:tc>
      </w:tr>
    </w:tbl>
    <w:p w:rsidR="00872F90" w:rsidRPr="000A6F10" w:rsidRDefault="00872F90" w:rsidP="0088048C">
      <w:pPr>
        <w:tabs>
          <w:tab w:val="right" w:pos="9072"/>
        </w:tabs>
        <w:ind w:right="-766"/>
        <w:rPr>
          <w:rFonts w:eastAsia="Calibri" w:cs="Times New Roman"/>
          <w:sz w:val="28"/>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347"/>
        <w:gridCol w:w="5843"/>
      </w:tblGrid>
      <w:tr w:rsidR="0088048C" w:rsidRPr="000A6F10" w:rsidTr="002A223C">
        <w:trPr>
          <w:trHeight w:val="653"/>
        </w:trPr>
        <w:tc>
          <w:tcPr>
            <w:tcW w:w="8820" w:type="dxa"/>
            <w:gridSpan w:val="3"/>
            <w:tcBorders>
              <w:top w:val="single" w:sz="4" w:space="0" w:color="auto"/>
              <w:left w:val="single" w:sz="4" w:space="0" w:color="auto"/>
              <w:bottom w:val="single" w:sz="4" w:space="0" w:color="auto"/>
              <w:right w:val="single" w:sz="4" w:space="0" w:color="auto"/>
            </w:tcBorders>
            <w:hideMark/>
          </w:tcPr>
          <w:p w:rsidR="0088048C" w:rsidRPr="000A6F10" w:rsidRDefault="0088048C" w:rsidP="00F43717">
            <w:pPr>
              <w:rPr>
                <w:rFonts w:cs="Times New Roman"/>
                <w:sz w:val="28"/>
                <w:szCs w:val="24"/>
              </w:rPr>
            </w:pPr>
            <w:r w:rsidRPr="000A6F10">
              <w:rPr>
                <w:rFonts w:cs="Times New Roman"/>
                <w:bCs/>
                <w:sz w:val="28"/>
                <w:szCs w:val="24"/>
                <w:lang w:val="fi-FI"/>
              </w:rPr>
              <w:t>II. Tiesību akta projekta ietekme uz sabiedrību, tautsaimniecības attīstību un administratīvo slogu</w:t>
            </w:r>
          </w:p>
        </w:tc>
      </w:tr>
      <w:tr w:rsidR="0088048C" w:rsidRPr="000A6F10" w:rsidTr="000A6F10">
        <w:trPr>
          <w:trHeight w:val="440"/>
        </w:trPr>
        <w:tc>
          <w:tcPr>
            <w:tcW w:w="630" w:type="dxa"/>
            <w:tcBorders>
              <w:top w:val="single" w:sz="4" w:space="0" w:color="auto"/>
              <w:left w:val="single" w:sz="4" w:space="0" w:color="auto"/>
              <w:bottom w:val="single" w:sz="4" w:space="0" w:color="auto"/>
              <w:right w:val="single" w:sz="4" w:space="0" w:color="auto"/>
            </w:tcBorders>
            <w:hideMark/>
          </w:tcPr>
          <w:p w:rsidR="0088048C" w:rsidRPr="000A6F10" w:rsidRDefault="0088048C">
            <w:pPr>
              <w:rPr>
                <w:rFonts w:cs="Times New Roman"/>
                <w:sz w:val="28"/>
                <w:szCs w:val="24"/>
              </w:rPr>
            </w:pPr>
            <w:r w:rsidRPr="000A6F10">
              <w:rPr>
                <w:rFonts w:cs="Times New Roman"/>
                <w:sz w:val="28"/>
                <w:szCs w:val="24"/>
              </w:rPr>
              <w:t>1.</w:t>
            </w:r>
          </w:p>
        </w:tc>
        <w:tc>
          <w:tcPr>
            <w:tcW w:w="2347" w:type="dxa"/>
            <w:tcBorders>
              <w:top w:val="single" w:sz="4" w:space="0" w:color="auto"/>
              <w:left w:val="single" w:sz="4" w:space="0" w:color="auto"/>
              <w:bottom w:val="single" w:sz="4" w:space="0" w:color="auto"/>
              <w:right w:val="single" w:sz="4" w:space="0" w:color="auto"/>
            </w:tcBorders>
            <w:hideMark/>
          </w:tcPr>
          <w:p w:rsidR="0088048C" w:rsidRPr="000A6F10" w:rsidRDefault="0088048C">
            <w:pPr>
              <w:ind w:left="-42" w:right="-108"/>
              <w:rPr>
                <w:rFonts w:cs="Times New Roman"/>
                <w:sz w:val="28"/>
                <w:szCs w:val="24"/>
              </w:rPr>
            </w:pPr>
            <w:r w:rsidRPr="000A6F10">
              <w:rPr>
                <w:rFonts w:cs="Times New Roman"/>
                <w:sz w:val="28"/>
                <w:szCs w:val="24"/>
              </w:rPr>
              <w:t>Sabiedrības mērķgrupas, kuras tiesiskais regulējums ietekmē vai varētu ietekmēt</w:t>
            </w:r>
          </w:p>
        </w:tc>
        <w:tc>
          <w:tcPr>
            <w:tcW w:w="5843" w:type="dxa"/>
            <w:tcBorders>
              <w:top w:val="single" w:sz="4" w:space="0" w:color="auto"/>
              <w:left w:val="single" w:sz="4" w:space="0" w:color="auto"/>
              <w:bottom w:val="single" w:sz="4" w:space="0" w:color="auto"/>
              <w:right w:val="single" w:sz="4" w:space="0" w:color="auto"/>
            </w:tcBorders>
          </w:tcPr>
          <w:p w:rsidR="00A92664" w:rsidRPr="000A6F10" w:rsidRDefault="00EA3B7A" w:rsidP="00A92664">
            <w:pPr>
              <w:shd w:val="clear" w:color="auto" w:fill="FFFFFF"/>
              <w:jc w:val="both"/>
              <w:rPr>
                <w:rFonts w:eastAsia="Times New Roman" w:cs="Times New Roman"/>
                <w:color w:val="000000"/>
                <w:sz w:val="28"/>
                <w:szCs w:val="24"/>
              </w:rPr>
            </w:pPr>
            <w:r w:rsidRPr="000A6F10">
              <w:rPr>
                <w:rFonts w:eastAsia="Times New Roman" w:cs="Times New Roman"/>
                <w:color w:val="000000"/>
                <w:sz w:val="28"/>
                <w:szCs w:val="24"/>
              </w:rPr>
              <w:t>B</w:t>
            </w:r>
            <w:r w:rsidR="00EB7E05" w:rsidRPr="000A6F10">
              <w:rPr>
                <w:rFonts w:eastAsia="Times New Roman" w:cs="Times New Roman"/>
                <w:color w:val="000000"/>
                <w:sz w:val="28"/>
                <w:szCs w:val="24"/>
              </w:rPr>
              <w:t>ērni</w:t>
            </w:r>
            <w:r w:rsidR="00A92664" w:rsidRPr="000A6F10">
              <w:rPr>
                <w:rFonts w:eastAsia="Times New Roman" w:cs="Times New Roman"/>
                <w:color w:val="000000"/>
                <w:sz w:val="28"/>
                <w:szCs w:val="24"/>
              </w:rPr>
              <w:t>.</w:t>
            </w:r>
          </w:p>
          <w:p w:rsidR="00A92664" w:rsidRPr="000A6F10" w:rsidRDefault="00A92664" w:rsidP="00EA3B7A">
            <w:pPr>
              <w:shd w:val="clear" w:color="auto" w:fill="FFFFFF"/>
              <w:jc w:val="both"/>
              <w:rPr>
                <w:rFonts w:eastAsia="Times New Roman" w:cs="Times New Roman"/>
                <w:color w:val="000000"/>
                <w:sz w:val="28"/>
                <w:szCs w:val="24"/>
              </w:rPr>
            </w:pPr>
          </w:p>
        </w:tc>
      </w:tr>
      <w:tr w:rsidR="0088048C" w:rsidRPr="000A6F10" w:rsidTr="000A6F10">
        <w:trPr>
          <w:trHeight w:val="1408"/>
        </w:trPr>
        <w:tc>
          <w:tcPr>
            <w:tcW w:w="630" w:type="dxa"/>
            <w:tcBorders>
              <w:top w:val="single" w:sz="4" w:space="0" w:color="auto"/>
              <w:left w:val="single" w:sz="4" w:space="0" w:color="auto"/>
              <w:bottom w:val="single" w:sz="4" w:space="0" w:color="auto"/>
              <w:right w:val="single" w:sz="4" w:space="0" w:color="auto"/>
            </w:tcBorders>
            <w:hideMark/>
          </w:tcPr>
          <w:p w:rsidR="0088048C" w:rsidRPr="000A6F10" w:rsidRDefault="0088048C">
            <w:pPr>
              <w:rPr>
                <w:rFonts w:cs="Times New Roman"/>
                <w:sz w:val="28"/>
                <w:szCs w:val="24"/>
              </w:rPr>
            </w:pPr>
            <w:r w:rsidRPr="000A6F10">
              <w:rPr>
                <w:rFonts w:cs="Times New Roman"/>
                <w:sz w:val="28"/>
                <w:szCs w:val="24"/>
              </w:rPr>
              <w:t>2.</w:t>
            </w:r>
          </w:p>
        </w:tc>
        <w:tc>
          <w:tcPr>
            <w:tcW w:w="2347" w:type="dxa"/>
            <w:tcBorders>
              <w:top w:val="single" w:sz="4" w:space="0" w:color="auto"/>
              <w:left w:val="single" w:sz="4" w:space="0" w:color="auto"/>
              <w:bottom w:val="single" w:sz="4" w:space="0" w:color="auto"/>
              <w:right w:val="single" w:sz="4" w:space="0" w:color="auto"/>
            </w:tcBorders>
            <w:hideMark/>
          </w:tcPr>
          <w:p w:rsidR="0088048C" w:rsidRPr="000A6F10" w:rsidRDefault="0088048C">
            <w:pPr>
              <w:ind w:left="-42" w:right="-108"/>
              <w:rPr>
                <w:rFonts w:cs="Times New Roman"/>
                <w:sz w:val="28"/>
                <w:szCs w:val="24"/>
              </w:rPr>
            </w:pPr>
            <w:r w:rsidRPr="000A6F10">
              <w:rPr>
                <w:rFonts w:cs="Times New Roman"/>
                <w:sz w:val="28"/>
                <w:szCs w:val="24"/>
              </w:rPr>
              <w:t>Tiesiskā regulējuma ietekme uz tautsaimniecību un administratīvo slogu</w:t>
            </w:r>
          </w:p>
        </w:tc>
        <w:tc>
          <w:tcPr>
            <w:tcW w:w="5843" w:type="dxa"/>
            <w:tcBorders>
              <w:top w:val="single" w:sz="4" w:space="0" w:color="auto"/>
              <w:left w:val="single" w:sz="4" w:space="0" w:color="auto"/>
              <w:bottom w:val="single" w:sz="4" w:space="0" w:color="auto"/>
              <w:right w:val="single" w:sz="4" w:space="0" w:color="auto"/>
            </w:tcBorders>
            <w:hideMark/>
          </w:tcPr>
          <w:p w:rsidR="0088048C" w:rsidRPr="000A6F10" w:rsidRDefault="001203A1" w:rsidP="001203A1">
            <w:pPr>
              <w:jc w:val="both"/>
              <w:rPr>
                <w:rFonts w:cs="Times New Roman"/>
                <w:sz w:val="28"/>
                <w:szCs w:val="24"/>
              </w:rPr>
            </w:pPr>
            <w:r w:rsidRPr="000A6F10">
              <w:rPr>
                <w:rFonts w:cs="Times New Roman"/>
                <w:sz w:val="28"/>
                <w:szCs w:val="24"/>
              </w:rPr>
              <w:t>S</w:t>
            </w:r>
            <w:r w:rsidR="00283401" w:rsidRPr="000A6F10">
              <w:rPr>
                <w:rFonts w:cs="Times New Roman"/>
                <w:sz w:val="28"/>
                <w:szCs w:val="24"/>
              </w:rPr>
              <w:t>inhronizē</w:t>
            </w:r>
            <w:r w:rsidR="00115742" w:rsidRPr="000A6F10">
              <w:rPr>
                <w:rFonts w:cs="Times New Roman"/>
                <w:sz w:val="28"/>
                <w:szCs w:val="24"/>
              </w:rPr>
              <w:t>jot</w:t>
            </w:r>
            <w:r w:rsidR="00283401" w:rsidRPr="000A6F10">
              <w:rPr>
                <w:rFonts w:cs="Times New Roman"/>
                <w:sz w:val="28"/>
                <w:szCs w:val="24"/>
              </w:rPr>
              <w:t xml:space="preserve"> smēķēšanas ierobežošanas principus</w:t>
            </w:r>
            <w:r w:rsidR="00A80E29" w:rsidRPr="000A6F10">
              <w:rPr>
                <w:rFonts w:cs="Times New Roman"/>
                <w:sz w:val="28"/>
                <w:szCs w:val="24"/>
              </w:rPr>
              <w:t xml:space="preserve"> </w:t>
            </w:r>
            <w:r w:rsidR="00115742" w:rsidRPr="000A6F10">
              <w:rPr>
                <w:rFonts w:cs="Times New Roman"/>
                <w:sz w:val="28"/>
                <w:szCs w:val="24"/>
              </w:rPr>
              <w:t xml:space="preserve">un </w:t>
            </w:r>
            <w:r w:rsidR="00A80E29" w:rsidRPr="000A6F10">
              <w:rPr>
                <w:rFonts w:cs="Times New Roman"/>
                <w:sz w:val="28"/>
                <w:szCs w:val="24"/>
              </w:rPr>
              <w:t>ievērojot bērnu tiesības uz tīru, ar smēķēšanas dūmiem nepiesārņotu gaisu</w:t>
            </w:r>
            <w:r w:rsidR="00283401" w:rsidRPr="000A6F10">
              <w:rPr>
                <w:rFonts w:cs="Times New Roman"/>
                <w:sz w:val="28"/>
                <w:szCs w:val="24"/>
              </w:rPr>
              <w:t>, tādējādi</w:t>
            </w:r>
            <w:r w:rsidR="00222E4C" w:rsidRPr="000A6F10">
              <w:rPr>
                <w:rFonts w:cs="Times New Roman"/>
                <w:sz w:val="28"/>
                <w:szCs w:val="24"/>
              </w:rPr>
              <w:t xml:space="preserve"> pēc iespējas maksimāli</w:t>
            </w:r>
            <w:r w:rsidR="00283401" w:rsidRPr="000A6F10">
              <w:rPr>
                <w:rFonts w:cs="Times New Roman"/>
                <w:sz w:val="28"/>
                <w:szCs w:val="24"/>
              </w:rPr>
              <w:t xml:space="preserve"> mazinot apdraudējumu bērnu un jauniešu populācijas veselībai, </w:t>
            </w:r>
            <w:r w:rsidR="00115742" w:rsidRPr="000A6F10">
              <w:rPr>
                <w:rFonts w:cs="Times New Roman"/>
                <w:sz w:val="28"/>
                <w:szCs w:val="24"/>
              </w:rPr>
              <w:t>tiks iegūts</w:t>
            </w:r>
            <w:r w:rsidR="00283401" w:rsidRPr="000A6F10">
              <w:rPr>
                <w:rFonts w:cs="Times New Roman"/>
                <w:sz w:val="28"/>
                <w:szCs w:val="24"/>
              </w:rPr>
              <w:t>, ka kopienas līmenī, sevišķi jauniešu populācijā tiek mazināts atkarības veidošanās risks, kā arī kancerogēnu un toksisku</w:t>
            </w:r>
            <w:r w:rsidR="00DF0B39" w:rsidRPr="000A6F10">
              <w:rPr>
                <w:rFonts w:cs="Times New Roman"/>
                <w:sz w:val="28"/>
                <w:szCs w:val="24"/>
              </w:rPr>
              <w:t xml:space="preserve"> vielu papildu uzņemšanas risks. T</w:t>
            </w:r>
            <w:r w:rsidR="00283401" w:rsidRPr="000A6F10">
              <w:rPr>
                <w:rFonts w:cs="Times New Roman"/>
                <w:sz w:val="28"/>
                <w:szCs w:val="24"/>
              </w:rPr>
              <w:t>as ļaus ietaupīt veselības aprūpes finanšu resursus un ilgtermiņā pozitīvi ietekmēs valsts ekonomisko attīstību, saglabājot cilvēku veselību un darbaspējas.</w:t>
            </w:r>
            <w:r w:rsidR="00DF0B39" w:rsidRPr="000A6F10">
              <w:rPr>
                <w:rFonts w:cs="Times New Roman"/>
                <w:sz w:val="28"/>
                <w:szCs w:val="24"/>
              </w:rPr>
              <w:t xml:space="preserve"> </w:t>
            </w:r>
            <w:r w:rsidRPr="000A6F10">
              <w:rPr>
                <w:rFonts w:cs="Times New Roman"/>
                <w:sz w:val="28"/>
                <w:szCs w:val="24"/>
              </w:rPr>
              <w:t xml:space="preserve">Noteikumu projekts </w:t>
            </w:r>
            <w:r w:rsidR="00DF0B39" w:rsidRPr="000A6F10">
              <w:rPr>
                <w:rFonts w:cs="Times New Roman"/>
                <w:sz w:val="28"/>
                <w:szCs w:val="24"/>
              </w:rPr>
              <w:t>nerada</w:t>
            </w:r>
            <w:r w:rsidRPr="000A6F10">
              <w:rPr>
                <w:rFonts w:cs="Times New Roman"/>
                <w:sz w:val="28"/>
                <w:szCs w:val="24"/>
              </w:rPr>
              <w:t xml:space="preserve"> administratīvo slogu </w:t>
            </w:r>
            <w:r w:rsidRPr="000A6F10">
              <w:rPr>
                <w:rFonts w:cs="Times New Roman"/>
                <w:sz w:val="28"/>
                <w:szCs w:val="24"/>
              </w:rPr>
              <w:lastRenderedPageBreak/>
              <w:t>nevienai no iesaistītājām pusēm.</w:t>
            </w:r>
          </w:p>
        </w:tc>
      </w:tr>
      <w:tr w:rsidR="0088048C" w:rsidRPr="000A6F10" w:rsidTr="000A6F10">
        <w:trPr>
          <w:trHeight w:val="146"/>
        </w:trPr>
        <w:tc>
          <w:tcPr>
            <w:tcW w:w="630" w:type="dxa"/>
            <w:tcBorders>
              <w:top w:val="single" w:sz="4" w:space="0" w:color="auto"/>
              <w:left w:val="single" w:sz="4" w:space="0" w:color="auto"/>
              <w:bottom w:val="single" w:sz="4" w:space="0" w:color="auto"/>
              <w:right w:val="single" w:sz="4" w:space="0" w:color="auto"/>
            </w:tcBorders>
            <w:hideMark/>
          </w:tcPr>
          <w:p w:rsidR="0088048C" w:rsidRPr="000A6F10" w:rsidRDefault="0088048C">
            <w:pPr>
              <w:rPr>
                <w:rFonts w:cs="Times New Roman"/>
                <w:sz w:val="28"/>
                <w:szCs w:val="24"/>
              </w:rPr>
            </w:pPr>
            <w:r w:rsidRPr="000A6F10">
              <w:rPr>
                <w:rFonts w:cs="Times New Roman"/>
                <w:sz w:val="28"/>
                <w:szCs w:val="24"/>
              </w:rPr>
              <w:lastRenderedPageBreak/>
              <w:t>3.</w:t>
            </w:r>
          </w:p>
        </w:tc>
        <w:tc>
          <w:tcPr>
            <w:tcW w:w="2347" w:type="dxa"/>
            <w:tcBorders>
              <w:top w:val="single" w:sz="4" w:space="0" w:color="auto"/>
              <w:left w:val="single" w:sz="4" w:space="0" w:color="auto"/>
              <w:bottom w:val="single" w:sz="4" w:space="0" w:color="auto"/>
              <w:right w:val="single" w:sz="4" w:space="0" w:color="auto"/>
            </w:tcBorders>
            <w:hideMark/>
          </w:tcPr>
          <w:p w:rsidR="0088048C" w:rsidRPr="000A6F10" w:rsidRDefault="0088048C">
            <w:pPr>
              <w:ind w:left="-42" w:right="-108"/>
              <w:rPr>
                <w:rFonts w:cs="Times New Roman"/>
                <w:sz w:val="28"/>
                <w:szCs w:val="24"/>
              </w:rPr>
            </w:pPr>
            <w:r w:rsidRPr="000A6F10">
              <w:rPr>
                <w:rFonts w:cs="Times New Roman"/>
                <w:sz w:val="28"/>
                <w:szCs w:val="24"/>
              </w:rPr>
              <w:t>Administratīvo izmaksu monetārs novērtējums</w:t>
            </w:r>
          </w:p>
        </w:tc>
        <w:tc>
          <w:tcPr>
            <w:tcW w:w="5843" w:type="dxa"/>
            <w:tcBorders>
              <w:top w:val="single" w:sz="4" w:space="0" w:color="auto"/>
              <w:left w:val="single" w:sz="4" w:space="0" w:color="auto"/>
              <w:bottom w:val="single" w:sz="4" w:space="0" w:color="auto"/>
              <w:right w:val="single" w:sz="4" w:space="0" w:color="auto"/>
            </w:tcBorders>
            <w:hideMark/>
          </w:tcPr>
          <w:p w:rsidR="0088048C" w:rsidRPr="000A6F10" w:rsidRDefault="0088048C">
            <w:pPr>
              <w:jc w:val="both"/>
              <w:rPr>
                <w:rFonts w:cs="Times New Roman"/>
                <w:i/>
                <w:sz w:val="28"/>
                <w:szCs w:val="24"/>
                <w:highlight w:val="yellow"/>
              </w:rPr>
            </w:pPr>
            <w:r w:rsidRPr="000A6F10">
              <w:rPr>
                <w:rFonts w:cs="Times New Roman"/>
                <w:i/>
                <w:sz w:val="28"/>
                <w:szCs w:val="24"/>
              </w:rPr>
              <w:t>Projekts šo jomu neskar</w:t>
            </w:r>
          </w:p>
        </w:tc>
      </w:tr>
      <w:tr w:rsidR="0088048C" w:rsidRPr="000A6F10" w:rsidTr="000A6F10">
        <w:trPr>
          <w:trHeight w:val="146"/>
        </w:trPr>
        <w:tc>
          <w:tcPr>
            <w:tcW w:w="630" w:type="dxa"/>
            <w:tcBorders>
              <w:top w:val="single" w:sz="4" w:space="0" w:color="auto"/>
              <w:left w:val="single" w:sz="4" w:space="0" w:color="auto"/>
              <w:bottom w:val="single" w:sz="4" w:space="0" w:color="auto"/>
              <w:right w:val="single" w:sz="4" w:space="0" w:color="auto"/>
            </w:tcBorders>
            <w:hideMark/>
          </w:tcPr>
          <w:p w:rsidR="0088048C" w:rsidRPr="000A6F10" w:rsidRDefault="0088048C">
            <w:pPr>
              <w:rPr>
                <w:rFonts w:cs="Times New Roman"/>
                <w:sz w:val="28"/>
                <w:szCs w:val="24"/>
              </w:rPr>
            </w:pPr>
            <w:r w:rsidRPr="000A6F10">
              <w:rPr>
                <w:rFonts w:cs="Times New Roman"/>
                <w:sz w:val="28"/>
                <w:szCs w:val="24"/>
              </w:rPr>
              <w:t>4.</w:t>
            </w:r>
          </w:p>
        </w:tc>
        <w:tc>
          <w:tcPr>
            <w:tcW w:w="2347" w:type="dxa"/>
            <w:tcBorders>
              <w:top w:val="single" w:sz="4" w:space="0" w:color="auto"/>
              <w:left w:val="single" w:sz="4" w:space="0" w:color="auto"/>
              <w:bottom w:val="single" w:sz="4" w:space="0" w:color="auto"/>
              <w:right w:val="single" w:sz="4" w:space="0" w:color="auto"/>
            </w:tcBorders>
            <w:hideMark/>
          </w:tcPr>
          <w:p w:rsidR="0088048C" w:rsidRPr="000A6F10" w:rsidRDefault="0088048C">
            <w:pPr>
              <w:ind w:left="-42" w:right="-108"/>
              <w:rPr>
                <w:rFonts w:cs="Times New Roman"/>
                <w:sz w:val="28"/>
                <w:szCs w:val="24"/>
              </w:rPr>
            </w:pPr>
            <w:r w:rsidRPr="000A6F10">
              <w:rPr>
                <w:rFonts w:cs="Times New Roman"/>
                <w:sz w:val="28"/>
                <w:szCs w:val="24"/>
              </w:rPr>
              <w:t>Cita informācija</w:t>
            </w:r>
          </w:p>
        </w:tc>
        <w:tc>
          <w:tcPr>
            <w:tcW w:w="5843" w:type="dxa"/>
            <w:tcBorders>
              <w:top w:val="single" w:sz="4" w:space="0" w:color="auto"/>
              <w:left w:val="single" w:sz="4" w:space="0" w:color="auto"/>
              <w:bottom w:val="single" w:sz="4" w:space="0" w:color="auto"/>
              <w:right w:val="single" w:sz="4" w:space="0" w:color="auto"/>
            </w:tcBorders>
          </w:tcPr>
          <w:p w:rsidR="0088048C" w:rsidRPr="000A6F10" w:rsidRDefault="00FC7CD1" w:rsidP="00FC7CD1">
            <w:pPr>
              <w:jc w:val="both"/>
              <w:rPr>
                <w:rFonts w:cs="Times New Roman"/>
                <w:sz w:val="28"/>
                <w:szCs w:val="24"/>
                <w:highlight w:val="yellow"/>
              </w:rPr>
            </w:pPr>
            <w:r w:rsidRPr="000A6F10">
              <w:rPr>
                <w:rFonts w:cs="Times New Roman"/>
                <w:sz w:val="28"/>
                <w:szCs w:val="24"/>
              </w:rPr>
              <w:t>Nav</w:t>
            </w:r>
          </w:p>
        </w:tc>
      </w:tr>
    </w:tbl>
    <w:p w:rsidR="00EE411C" w:rsidRPr="000A6F10" w:rsidRDefault="00EE411C" w:rsidP="0088048C">
      <w:pPr>
        <w:tabs>
          <w:tab w:val="right" w:pos="9072"/>
        </w:tabs>
        <w:ind w:right="-766"/>
        <w:rPr>
          <w:rFonts w:eastAsia="Calibri" w:cs="Times New Roman"/>
          <w:sz w:val="28"/>
          <w:szCs w:val="24"/>
        </w:rPr>
      </w:pPr>
    </w:p>
    <w:tbl>
      <w:tblPr>
        <w:tblW w:w="51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1"/>
      </w:tblGrid>
      <w:tr w:rsidR="0070245D" w:rsidRPr="000A6F10" w:rsidTr="002A223C">
        <w:trPr>
          <w:trHeight w:val="467"/>
        </w:trPr>
        <w:tc>
          <w:tcPr>
            <w:tcW w:w="5000" w:type="pct"/>
            <w:tcBorders>
              <w:top w:val="single" w:sz="4" w:space="0" w:color="auto"/>
              <w:left w:val="single" w:sz="4" w:space="0" w:color="auto"/>
              <w:bottom w:val="single" w:sz="4" w:space="0" w:color="auto"/>
              <w:right w:val="single" w:sz="4" w:space="0" w:color="auto"/>
            </w:tcBorders>
            <w:hideMark/>
          </w:tcPr>
          <w:p w:rsidR="0070245D" w:rsidRPr="000A6F10" w:rsidRDefault="00F43717" w:rsidP="00F43717">
            <w:pPr>
              <w:ind w:left="-284" w:right="-142"/>
              <w:rPr>
                <w:rFonts w:eastAsia="Times New Roman" w:cs="Times New Roman"/>
                <w:color w:val="000000"/>
                <w:sz w:val="28"/>
                <w:szCs w:val="24"/>
                <w:lang w:eastAsia="lv-LV"/>
              </w:rPr>
            </w:pPr>
            <w:r w:rsidRPr="000A6F10">
              <w:rPr>
                <w:rFonts w:eastAsia="Times New Roman" w:cs="Times New Roman"/>
                <w:color w:val="000000"/>
                <w:sz w:val="28"/>
                <w:szCs w:val="24"/>
                <w:lang w:eastAsia="lv-LV"/>
              </w:rPr>
              <w:t xml:space="preserve">   </w:t>
            </w:r>
            <w:r w:rsidR="00571BC8" w:rsidRPr="000A6F10">
              <w:rPr>
                <w:rFonts w:eastAsia="Times New Roman" w:cs="Times New Roman"/>
                <w:color w:val="000000"/>
                <w:sz w:val="28"/>
                <w:szCs w:val="24"/>
                <w:lang w:eastAsia="lv-LV"/>
              </w:rPr>
              <w:t xml:space="preserve"> </w:t>
            </w:r>
            <w:r w:rsidRPr="000A6F10">
              <w:rPr>
                <w:rFonts w:eastAsia="Times New Roman" w:cs="Times New Roman"/>
                <w:color w:val="000000"/>
                <w:sz w:val="28"/>
                <w:szCs w:val="24"/>
                <w:lang w:eastAsia="lv-LV"/>
              </w:rPr>
              <w:t>III.</w:t>
            </w:r>
            <w:r w:rsidR="00571BC8" w:rsidRPr="000A6F10">
              <w:rPr>
                <w:rFonts w:eastAsia="Times New Roman" w:cs="Times New Roman"/>
                <w:color w:val="000000"/>
                <w:sz w:val="28"/>
                <w:szCs w:val="24"/>
                <w:lang w:eastAsia="lv-LV"/>
              </w:rPr>
              <w:t xml:space="preserve"> </w:t>
            </w:r>
            <w:r w:rsidR="0070245D" w:rsidRPr="000A6F10">
              <w:rPr>
                <w:rFonts w:eastAsia="Times New Roman" w:cs="Times New Roman"/>
                <w:color w:val="000000"/>
                <w:sz w:val="28"/>
                <w:szCs w:val="24"/>
                <w:lang w:eastAsia="lv-LV"/>
              </w:rPr>
              <w:t>Tiesību akta projekta ietekme uz valsts budžetu un pašvaldību budžetiem</w:t>
            </w:r>
          </w:p>
        </w:tc>
      </w:tr>
      <w:tr w:rsidR="0070245D" w:rsidRPr="000A6F10" w:rsidTr="002A223C">
        <w:trPr>
          <w:trHeight w:val="321"/>
        </w:trPr>
        <w:tc>
          <w:tcPr>
            <w:tcW w:w="5000" w:type="pct"/>
            <w:tcBorders>
              <w:top w:val="single" w:sz="4" w:space="0" w:color="auto"/>
              <w:left w:val="single" w:sz="4" w:space="0" w:color="auto"/>
              <w:bottom w:val="single" w:sz="4" w:space="0" w:color="auto"/>
              <w:right w:val="single" w:sz="4" w:space="0" w:color="auto"/>
            </w:tcBorders>
            <w:vAlign w:val="center"/>
            <w:hideMark/>
          </w:tcPr>
          <w:p w:rsidR="0070245D" w:rsidRPr="000A6F10" w:rsidRDefault="0070245D" w:rsidP="00FC7CD1">
            <w:pPr>
              <w:ind w:left="-284" w:right="-142"/>
              <w:jc w:val="center"/>
              <w:rPr>
                <w:rFonts w:eastAsia="Times New Roman" w:cs="Times New Roman"/>
                <w:i/>
                <w:color w:val="000000"/>
                <w:sz w:val="28"/>
                <w:szCs w:val="24"/>
                <w:lang w:eastAsia="lv-LV"/>
              </w:rPr>
            </w:pPr>
            <w:r w:rsidRPr="000A6F10">
              <w:rPr>
                <w:rFonts w:eastAsia="Times New Roman" w:cs="Times New Roman"/>
                <w:i/>
                <w:sz w:val="28"/>
                <w:szCs w:val="24"/>
                <w:lang w:eastAsia="lv-LV"/>
              </w:rPr>
              <w:t>Projekts šo jomu neskar</w:t>
            </w:r>
          </w:p>
        </w:tc>
      </w:tr>
    </w:tbl>
    <w:p w:rsidR="00EE411C" w:rsidRPr="000A6F10" w:rsidRDefault="00EE411C" w:rsidP="0088048C">
      <w:pPr>
        <w:tabs>
          <w:tab w:val="right" w:pos="9072"/>
        </w:tabs>
        <w:ind w:right="-766"/>
        <w:rPr>
          <w:rFonts w:eastAsia="Calibri" w:cs="Times New Roman"/>
          <w:sz w:val="28"/>
          <w:szCs w:val="24"/>
        </w:rPr>
      </w:pPr>
    </w:p>
    <w:tbl>
      <w:tblPr>
        <w:tblW w:w="528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16"/>
        <w:gridCol w:w="2448"/>
        <w:gridCol w:w="5955"/>
      </w:tblGrid>
      <w:tr w:rsidR="002A29D8" w:rsidRPr="000A6F10" w:rsidTr="000252B2">
        <w:trPr>
          <w:trHeight w:val="450"/>
        </w:trPr>
        <w:tc>
          <w:tcPr>
            <w:tcW w:w="5000" w:type="pct"/>
            <w:gridSpan w:val="3"/>
            <w:tcBorders>
              <w:top w:val="outset" w:sz="6" w:space="0" w:color="414142"/>
              <w:bottom w:val="outset" w:sz="6" w:space="0" w:color="414142"/>
            </w:tcBorders>
            <w:shd w:val="clear" w:color="auto" w:fill="FFFFFF"/>
            <w:vAlign w:val="center"/>
          </w:tcPr>
          <w:p w:rsidR="002A29D8" w:rsidRPr="000A6F10" w:rsidRDefault="002A29D8" w:rsidP="00C25138">
            <w:pPr>
              <w:pStyle w:val="NoSpacing"/>
              <w:jc w:val="both"/>
              <w:rPr>
                <w:sz w:val="28"/>
              </w:rPr>
            </w:pPr>
            <w:r w:rsidRPr="000A6F10">
              <w:rPr>
                <w:sz w:val="28"/>
              </w:rPr>
              <w:t>IV. Tiesību akta projekta ietekme uz spēkā esošo tiesību normu sistēmu</w:t>
            </w:r>
          </w:p>
        </w:tc>
      </w:tr>
      <w:tr w:rsidR="002A29D8" w:rsidRPr="000A6F10" w:rsidTr="000252B2">
        <w:tc>
          <w:tcPr>
            <w:tcW w:w="236" w:type="pct"/>
            <w:tcBorders>
              <w:top w:val="outset" w:sz="6" w:space="0" w:color="414142"/>
              <w:bottom w:val="outset" w:sz="6" w:space="0" w:color="414142"/>
              <w:right w:val="outset" w:sz="6" w:space="0" w:color="414142"/>
            </w:tcBorders>
            <w:shd w:val="clear" w:color="auto" w:fill="FFFFFF"/>
          </w:tcPr>
          <w:p w:rsidR="002A29D8" w:rsidRPr="000A6F10" w:rsidRDefault="002A29D8" w:rsidP="00C25138">
            <w:pPr>
              <w:pStyle w:val="NoSpacing"/>
              <w:jc w:val="both"/>
              <w:rPr>
                <w:sz w:val="28"/>
              </w:rPr>
            </w:pPr>
            <w:r w:rsidRPr="000A6F10">
              <w:rPr>
                <w:sz w:val="28"/>
              </w:rPr>
              <w:t>1.</w:t>
            </w:r>
          </w:p>
        </w:tc>
        <w:tc>
          <w:tcPr>
            <w:tcW w:w="1388" w:type="pct"/>
            <w:tcBorders>
              <w:top w:val="outset" w:sz="6" w:space="0" w:color="414142"/>
              <w:left w:val="outset" w:sz="6" w:space="0" w:color="414142"/>
              <w:bottom w:val="outset" w:sz="6" w:space="0" w:color="414142"/>
              <w:right w:val="outset" w:sz="6" w:space="0" w:color="414142"/>
            </w:tcBorders>
            <w:shd w:val="clear" w:color="auto" w:fill="FFFFFF"/>
          </w:tcPr>
          <w:p w:rsidR="002A29D8" w:rsidRPr="000A6F10" w:rsidRDefault="002A29D8" w:rsidP="00C25138">
            <w:pPr>
              <w:pStyle w:val="NoSpacing"/>
              <w:jc w:val="both"/>
              <w:rPr>
                <w:sz w:val="28"/>
              </w:rPr>
            </w:pPr>
            <w:r w:rsidRPr="000A6F10">
              <w:rPr>
                <w:sz w:val="28"/>
              </w:rPr>
              <w:t>Nepieciešamie saistītie tiesību aktu projekti</w:t>
            </w:r>
          </w:p>
        </w:tc>
        <w:tc>
          <w:tcPr>
            <w:tcW w:w="3376" w:type="pct"/>
            <w:tcBorders>
              <w:top w:val="outset" w:sz="6" w:space="0" w:color="414142"/>
              <w:left w:val="outset" w:sz="6" w:space="0" w:color="414142"/>
              <w:bottom w:val="outset" w:sz="6" w:space="0" w:color="414142"/>
            </w:tcBorders>
            <w:shd w:val="clear" w:color="auto" w:fill="FFFFFF"/>
            <w:vAlign w:val="center"/>
          </w:tcPr>
          <w:p w:rsidR="002A29D8" w:rsidRPr="000A6F10" w:rsidRDefault="002A29D8" w:rsidP="002A29D8">
            <w:pPr>
              <w:jc w:val="both"/>
              <w:rPr>
                <w:sz w:val="28"/>
                <w:szCs w:val="24"/>
              </w:rPr>
            </w:pPr>
            <w:r w:rsidRPr="000A6F10">
              <w:rPr>
                <w:sz w:val="28"/>
                <w:szCs w:val="24"/>
              </w:rPr>
              <w:t xml:space="preserve">Veselības ministrija atbilstoši </w:t>
            </w:r>
            <w:r w:rsidRPr="000A6F10">
              <w:rPr>
                <w:color w:val="000000"/>
                <w:sz w:val="28"/>
                <w:szCs w:val="24"/>
                <w:shd w:val="clear" w:color="auto" w:fill="FFFFFF"/>
              </w:rPr>
              <w:t>MK 08.12.2015. protokola</w:t>
            </w:r>
            <w:r w:rsidRPr="000A6F10">
              <w:rPr>
                <w:rStyle w:val="FootnoteReference"/>
                <w:color w:val="000000"/>
                <w:sz w:val="28"/>
                <w:szCs w:val="24"/>
                <w:shd w:val="clear" w:color="auto" w:fill="FFFFFF"/>
              </w:rPr>
              <w:t>1</w:t>
            </w:r>
            <w:r w:rsidRPr="000A6F10">
              <w:rPr>
                <w:sz w:val="28"/>
                <w:szCs w:val="24"/>
              </w:rPr>
              <w:t xml:space="preserve"> 5.punktam ir izstrādājusi grozījumu Reklāmas likumā</w:t>
            </w:r>
            <w:r w:rsidR="00921468" w:rsidRPr="000A6F10">
              <w:rPr>
                <w:sz w:val="28"/>
                <w:szCs w:val="24"/>
              </w:rPr>
              <w:t xml:space="preserve"> </w:t>
            </w:r>
            <w:r w:rsidR="00E12D33">
              <w:rPr>
                <w:sz w:val="28"/>
                <w:szCs w:val="28"/>
              </w:rPr>
              <w:t>(VSS-</w:t>
            </w:r>
            <w:r w:rsidR="00921468" w:rsidRPr="000A6F10">
              <w:rPr>
                <w:sz w:val="28"/>
                <w:szCs w:val="28"/>
              </w:rPr>
              <w:t>297, 07.04.2016., prot.Nr.14., 18.</w:t>
            </w:r>
            <w:r w:rsidR="00E12D33" w:rsidRPr="000A6F10">
              <w:rPr>
                <w:rFonts w:cs="Times New Roman"/>
                <w:sz w:val="28"/>
                <w:szCs w:val="28"/>
              </w:rPr>
              <w:t>§</w:t>
            </w:r>
            <w:r w:rsidR="00921468" w:rsidRPr="000A6F10">
              <w:rPr>
                <w:sz w:val="32"/>
                <w:szCs w:val="28"/>
              </w:rPr>
              <w:t>)</w:t>
            </w:r>
            <w:r w:rsidRPr="000A6F10">
              <w:rPr>
                <w:sz w:val="28"/>
                <w:szCs w:val="24"/>
              </w:rPr>
              <w:t>, paredzot tā 5.panta trešajā daļā noteikt, ka aizliegts izmantot bērnus alkoholisko dzērienu, tabakas izstrādājumu, augu smēķēšanas produktu, elektronisko smēķēšanas ierīču un elektronisko smēķēšanas ierīču uzpildes tvertņu reklāmā, kā arī adresēt alkoholisko dzērienu, tabakas izstrādājumu, augu smēķēšanas produktu, elektronisko smēķēšanas ierīču un elektronisko smēķēšanas ierīču uzpildes tvertņu reklāmu bērniem.</w:t>
            </w:r>
          </w:p>
          <w:p w:rsidR="002A29D8" w:rsidRPr="000A6F10" w:rsidRDefault="00262520" w:rsidP="005A52B0">
            <w:pPr>
              <w:jc w:val="both"/>
              <w:rPr>
                <w:sz w:val="28"/>
                <w:szCs w:val="24"/>
              </w:rPr>
            </w:pPr>
            <w:r w:rsidRPr="000A6F10">
              <w:rPr>
                <w:sz w:val="28"/>
                <w:szCs w:val="24"/>
              </w:rPr>
              <w:t>Tāpat izstrādāti grozījumi Latvijas A</w:t>
            </w:r>
            <w:r w:rsidR="002A29D8" w:rsidRPr="000A6F10">
              <w:rPr>
                <w:sz w:val="28"/>
                <w:szCs w:val="24"/>
              </w:rPr>
              <w:t xml:space="preserve">dministratīvo pārkāpumu kodeksā, paredzot atbildību par  pārkāpumiem attiecībā uz </w:t>
            </w:r>
            <w:r w:rsidR="00203806" w:rsidRPr="000A6F10">
              <w:rPr>
                <w:sz w:val="28"/>
                <w:szCs w:val="24"/>
              </w:rPr>
              <w:t>tabakas</w:t>
            </w:r>
            <w:r w:rsidR="002A29D8" w:rsidRPr="000A6F10">
              <w:rPr>
                <w:sz w:val="28"/>
                <w:szCs w:val="24"/>
              </w:rPr>
              <w:t xml:space="preserve"> likumā atbilstošajām normām, t.i. par bērna iesaistīšanu smēķēšanā, kā arī par augu smēķēšanas produktu, elektronisko smēķēšanas ierīču vai to uzpildes tvertņu nodošanu bērna rīcībā</w:t>
            </w:r>
            <w:r w:rsidRPr="000A6F10">
              <w:rPr>
                <w:sz w:val="28"/>
                <w:szCs w:val="24"/>
              </w:rPr>
              <w:t>.</w:t>
            </w:r>
            <w:r w:rsidR="005A52B0" w:rsidRPr="000A6F10">
              <w:rPr>
                <w:sz w:val="32"/>
              </w:rPr>
              <w:t xml:space="preserve"> </w:t>
            </w:r>
            <w:r w:rsidR="005A52B0" w:rsidRPr="000A6F10">
              <w:rPr>
                <w:sz w:val="28"/>
              </w:rPr>
              <w:t xml:space="preserve">Grozījumi Latvijas Administratīvo pārkāpumu kodeksā izskatīti Tieslietu ministrijas izveidotajā </w:t>
            </w:r>
            <w:r w:rsidR="005A52B0" w:rsidRPr="000A6F10">
              <w:rPr>
                <w:color w:val="000000"/>
                <w:sz w:val="28"/>
                <w:shd w:val="clear" w:color="auto" w:fill="FFFFFF"/>
              </w:rPr>
              <w:t>Latvijas Administratīvo pārkāpumu kodeksa</w:t>
            </w:r>
            <w:r w:rsidR="005A52B0" w:rsidRPr="000A6F10">
              <w:rPr>
                <w:sz w:val="28"/>
              </w:rPr>
              <w:t xml:space="preserve"> Pastāvīgajā darba grupā 2016.gada 16.jūnijā.</w:t>
            </w:r>
          </w:p>
        </w:tc>
      </w:tr>
      <w:tr w:rsidR="002A29D8" w:rsidRPr="000A6F10" w:rsidTr="000252B2">
        <w:tc>
          <w:tcPr>
            <w:tcW w:w="236" w:type="pct"/>
            <w:tcBorders>
              <w:top w:val="outset" w:sz="6" w:space="0" w:color="414142"/>
              <w:bottom w:val="outset" w:sz="6" w:space="0" w:color="414142"/>
              <w:right w:val="outset" w:sz="6" w:space="0" w:color="414142"/>
            </w:tcBorders>
            <w:shd w:val="clear" w:color="auto" w:fill="FFFFFF"/>
          </w:tcPr>
          <w:p w:rsidR="002A29D8" w:rsidRPr="000A6F10" w:rsidRDefault="002A29D8" w:rsidP="00C25138">
            <w:pPr>
              <w:pStyle w:val="NoSpacing"/>
              <w:jc w:val="both"/>
              <w:rPr>
                <w:sz w:val="28"/>
              </w:rPr>
            </w:pPr>
            <w:r w:rsidRPr="000A6F10">
              <w:rPr>
                <w:sz w:val="28"/>
              </w:rPr>
              <w:t>2.</w:t>
            </w:r>
          </w:p>
        </w:tc>
        <w:tc>
          <w:tcPr>
            <w:tcW w:w="1388" w:type="pct"/>
            <w:tcBorders>
              <w:top w:val="outset" w:sz="6" w:space="0" w:color="414142"/>
              <w:left w:val="outset" w:sz="6" w:space="0" w:color="414142"/>
              <w:bottom w:val="outset" w:sz="6" w:space="0" w:color="414142"/>
              <w:right w:val="outset" w:sz="6" w:space="0" w:color="414142"/>
            </w:tcBorders>
            <w:shd w:val="clear" w:color="auto" w:fill="FFFFFF"/>
          </w:tcPr>
          <w:p w:rsidR="002A29D8" w:rsidRPr="000A6F10" w:rsidRDefault="002A29D8" w:rsidP="00C25138">
            <w:pPr>
              <w:pStyle w:val="NoSpacing"/>
              <w:jc w:val="both"/>
              <w:rPr>
                <w:sz w:val="28"/>
              </w:rPr>
            </w:pPr>
            <w:r w:rsidRPr="000A6F10">
              <w:rPr>
                <w:sz w:val="28"/>
              </w:rPr>
              <w:t>Atbildīgā institūcija</w:t>
            </w:r>
          </w:p>
        </w:tc>
        <w:tc>
          <w:tcPr>
            <w:tcW w:w="3376" w:type="pct"/>
            <w:tcBorders>
              <w:top w:val="outset" w:sz="6" w:space="0" w:color="414142"/>
              <w:left w:val="outset" w:sz="6" w:space="0" w:color="414142"/>
              <w:bottom w:val="outset" w:sz="6" w:space="0" w:color="414142"/>
            </w:tcBorders>
            <w:shd w:val="clear" w:color="auto" w:fill="FFFFFF"/>
            <w:vAlign w:val="center"/>
          </w:tcPr>
          <w:p w:rsidR="002A29D8" w:rsidRPr="000A6F10" w:rsidRDefault="002A29D8" w:rsidP="00C25138">
            <w:pPr>
              <w:pStyle w:val="NoSpacing"/>
              <w:jc w:val="both"/>
              <w:rPr>
                <w:sz w:val="28"/>
              </w:rPr>
            </w:pPr>
            <w:r w:rsidRPr="000A6F10">
              <w:rPr>
                <w:sz w:val="28"/>
              </w:rPr>
              <w:t>Veselības ministrija</w:t>
            </w:r>
          </w:p>
        </w:tc>
      </w:tr>
      <w:tr w:rsidR="002A29D8" w:rsidRPr="000A6F10" w:rsidTr="000252B2">
        <w:tc>
          <w:tcPr>
            <w:tcW w:w="236" w:type="pct"/>
            <w:tcBorders>
              <w:top w:val="outset" w:sz="6" w:space="0" w:color="414142"/>
              <w:bottom w:val="outset" w:sz="6" w:space="0" w:color="414142"/>
              <w:right w:val="outset" w:sz="6" w:space="0" w:color="414142"/>
            </w:tcBorders>
            <w:shd w:val="clear" w:color="auto" w:fill="FFFFFF"/>
          </w:tcPr>
          <w:p w:rsidR="002A29D8" w:rsidRPr="000A6F10" w:rsidRDefault="002A29D8" w:rsidP="00C25138">
            <w:pPr>
              <w:pStyle w:val="NoSpacing"/>
              <w:jc w:val="both"/>
              <w:rPr>
                <w:sz w:val="28"/>
              </w:rPr>
            </w:pPr>
            <w:r w:rsidRPr="000A6F10">
              <w:rPr>
                <w:sz w:val="28"/>
              </w:rPr>
              <w:lastRenderedPageBreak/>
              <w:t>3.</w:t>
            </w:r>
          </w:p>
        </w:tc>
        <w:tc>
          <w:tcPr>
            <w:tcW w:w="1388" w:type="pct"/>
            <w:tcBorders>
              <w:top w:val="outset" w:sz="6" w:space="0" w:color="414142"/>
              <w:left w:val="outset" w:sz="6" w:space="0" w:color="414142"/>
              <w:bottom w:val="outset" w:sz="6" w:space="0" w:color="414142"/>
              <w:right w:val="outset" w:sz="6" w:space="0" w:color="414142"/>
            </w:tcBorders>
            <w:shd w:val="clear" w:color="auto" w:fill="FFFFFF"/>
          </w:tcPr>
          <w:p w:rsidR="002A29D8" w:rsidRPr="000A6F10" w:rsidRDefault="002A29D8" w:rsidP="00C25138">
            <w:pPr>
              <w:pStyle w:val="NoSpacing"/>
              <w:jc w:val="both"/>
              <w:rPr>
                <w:sz w:val="28"/>
              </w:rPr>
            </w:pPr>
            <w:r w:rsidRPr="000A6F10">
              <w:rPr>
                <w:sz w:val="28"/>
              </w:rPr>
              <w:t>Cita informācija</w:t>
            </w:r>
          </w:p>
        </w:tc>
        <w:tc>
          <w:tcPr>
            <w:tcW w:w="3376" w:type="pct"/>
            <w:tcBorders>
              <w:top w:val="outset" w:sz="6" w:space="0" w:color="414142"/>
              <w:left w:val="outset" w:sz="6" w:space="0" w:color="414142"/>
              <w:bottom w:val="outset" w:sz="6" w:space="0" w:color="414142"/>
            </w:tcBorders>
            <w:shd w:val="clear" w:color="auto" w:fill="FFFFFF"/>
          </w:tcPr>
          <w:p w:rsidR="002A29D8" w:rsidRPr="000A6F10" w:rsidRDefault="002A29D8" w:rsidP="00C25138">
            <w:pPr>
              <w:pStyle w:val="NoSpacing"/>
              <w:jc w:val="both"/>
              <w:rPr>
                <w:sz w:val="28"/>
              </w:rPr>
            </w:pPr>
            <w:r w:rsidRPr="000A6F10">
              <w:rPr>
                <w:sz w:val="28"/>
              </w:rPr>
              <w:t>Nav</w:t>
            </w:r>
          </w:p>
        </w:tc>
      </w:tr>
    </w:tbl>
    <w:p w:rsidR="00EE411C" w:rsidRPr="000A6F10" w:rsidRDefault="00EE411C" w:rsidP="0088048C">
      <w:pPr>
        <w:tabs>
          <w:tab w:val="right" w:pos="9072"/>
        </w:tabs>
        <w:ind w:right="-766"/>
        <w:rPr>
          <w:rFonts w:eastAsia="Calibri" w:cs="Times New Roman"/>
          <w:sz w:val="28"/>
          <w:szCs w:val="24"/>
        </w:rPr>
      </w:pPr>
    </w:p>
    <w:tbl>
      <w:tblPr>
        <w:tblW w:w="8820" w:type="dxa"/>
        <w:tblInd w:w="30" w:type="dxa"/>
        <w:shd w:val="clear" w:color="auto" w:fill="FFFFFF"/>
        <w:tblCellMar>
          <w:left w:w="0" w:type="dxa"/>
          <w:right w:w="0" w:type="dxa"/>
        </w:tblCellMar>
        <w:tblLook w:val="04A0"/>
      </w:tblPr>
      <w:tblGrid>
        <w:gridCol w:w="8820"/>
      </w:tblGrid>
      <w:tr w:rsidR="0088048C" w:rsidRPr="000A6F10" w:rsidTr="00571BC8">
        <w:trPr>
          <w:trHeight w:val="427"/>
        </w:trPr>
        <w:tc>
          <w:tcPr>
            <w:tcW w:w="5000"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88048C" w:rsidRPr="000A6F10" w:rsidRDefault="0088048C" w:rsidP="00F43717">
            <w:pPr>
              <w:rPr>
                <w:rFonts w:eastAsia="Times New Roman" w:cs="Times New Roman"/>
                <w:sz w:val="28"/>
                <w:szCs w:val="24"/>
              </w:rPr>
            </w:pPr>
            <w:r w:rsidRPr="000A6F10">
              <w:rPr>
                <w:rFonts w:eastAsia="Times New Roman" w:cs="Times New Roman"/>
                <w:sz w:val="28"/>
                <w:szCs w:val="24"/>
              </w:rPr>
              <w:t>V. Tiesību akta projekta atbilstība Latvijas Republikas starptautiskajām saistībām</w:t>
            </w:r>
          </w:p>
        </w:tc>
      </w:tr>
      <w:tr w:rsidR="00115742" w:rsidRPr="000A6F10" w:rsidTr="002A223C">
        <w:trPr>
          <w:trHeight w:val="356"/>
        </w:trPr>
        <w:tc>
          <w:tcPr>
            <w:tcW w:w="500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15742" w:rsidRPr="000A6F10" w:rsidRDefault="00115742" w:rsidP="00115742">
            <w:pPr>
              <w:jc w:val="center"/>
              <w:rPr>
                <w:rFonts w:eastAsia="Times New Roman" w:cs="Times New Roman"/>
                <w:i/>
                <w:sz w:val="28"/>
                <w:szCs w:val="24"/>
              </w:rPr>
            </w:pPr>
            <w:r w:rsidRPr="000A6F10">
              <w:rPr>
                <w:rFonts w:eastAsia="Times New Roman" w:cs="Times New Roman"/>
                <w:i/>
                <w:sz w:val="28"/>
                <w:szCs w:val="24"/>
              </w:rPr>
              <w:t>Projekts šo jomu neskar</w:t>
            </w:r>
          </w:p>
        </w:tc>
      </w:tr>
    </w:tbl>
    <w:p w:rsidR="0088048C" w:rsidRPr="000A6F10" w:rsidRDefault="0088048C" w:rsidP="0088048C">
      <w:pPr>
        <w:tabs>
          <w:tab w:val="right" w:pos="9072"/>
        </w:tabs>
        <w:ind w:right="-766"/>
        <w:rPr>
          <w:rFonts w:eastAsia="Calibri" w:cs="Times New Roman"/>
          <w:sz w:val="28"/>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347"/>
        <w:gridCol w:w="5843"/>
      </w:tblGrid>
      <w:tr w:rsidR="0088048C" w:rsidRPr="000A6F10" w:rsidTr="002A223C">
        <w:trPr>
          <w:trHeight w:val="335"/>
        </w:trPr>
        <w:tc>
          <w:tcPr>
            <w:tcW w:w="8820" w:type="dxa"/>
            <w:gridSpan w:val="3"/>
            <w:tcBorders>
              <w:top w:val="single" w:sz="4" w:space="0" w:color="auto"/>
              <w:left w:val="single" w:sz="4" w:space="0" w:color="auto"/>
              <w:bottom w:val="single" w:sz="4" w:space="0" w:color="auto"/>
              <w:right w:val="single" w:sz="4" w:space="0" w:color="auto"/>
            </w:tcBorders>
            <w:hideMark/>
          </w:tcPr>
          <w:p w:rsidR="0088048C" w:rsidRPr="000A6F10" w:rsidRDefault="0088048C" w:rsidP="00F43717">
            <w:pPr>
              <w:rPr>
                <w:rFonts w:cs="Times New Roman"/>
                <w:sz w:val="28"/>
                <w:szCs w:val="24"/>
              </w:rPr>
            </w:pPr>
            <w:r w:rsidRPr="000A6F10">
              <w:rPr>
                <w:rFonts w:cs="Times New Roman"/>
                <w:bCs/>
                <w:sz w:val="28"/>
                <w:szCs w:val="24"/>
              </w:rPr>
              <w:t>VI. Sabiedrības līdzdalība un komunikācijas aktivitātes</w:t>
            </w:r>
          </w:p>
        </w:tc>
      </w:tr>
      <w:tr w:rsidR="00E5617B" w:rsidRPr="000A6F10" w:rsidTr="000A6F10">
        <w:trPr>
          <w:trHeight w:val="530"/>
        </w:trPr>
        <w:tc>
          <w:tcPr>
            <w:tcW w:w="630" w:type="dxa"/>
            <w:tcBorders>
              <w:top w:val="single" w:sz="4" w:space="0" w:color="auto"/>
              <w:left w:val="single" w:sz="4" w:space="0" w:color="auto"/>
              <w:bottom w:val="single" w:sz="4" w:space="0" w:color="auto"/>
              <w:right w:val="single" w:sz="4" w:space="0" w:color="auto"/>
            </w:tcBorders>
            <w:hideMark/>
          </w:tcPr>
          <w:p w:rsidR="00E5617B" w:rsidRPr="000A6F10" w:rsidRDefault="00E5617B">
            <w:pPr>
              <w:rPr>
                <w:rFonts w:cs="Times New Roman"/>
                <w:sz w:val="28"/>
                <w:szCs w:val="24"/>
              </w:rPr>
            </w:pPr>
            <w:r w:rsidRPr="000A6F10">
              <w:rPr>
                <w:rFonts w:cs="Times New Roman"/>
                <w:sz w:val="28"/>
                <w:szCs w:val="24"/>
              </w:rPr>
              <w:t>1.</w:t>
            </w:r>
          </w:p>
        </w:tc>
        <w:tc>
          <w:tcPr>
            <w:tcW w:w="2347" w:type="dxa"/>
            <w:tcBorders>
              <w:top w:val="single" w:sz="4" w:space="0" w:color="auto"/>
              <w:left w:val="single" w:sz="4" w:space="0" w:color="auto"/>
              <w:bottom w:val="single" w:sz="4" w:space="0" w:color="auto"/>
              <w:right w:val="single" w:sz="4" w:space="0" w:color="auto"/>
            </w:tcBorders>
            <w:hideMark/>
          </w:tcPr>
          <w:p w:rsidR="00E5617B" w:rsidRPr="000A6F10" w:rsidRDefault="00E5617B">
            <w:pPr>
              <w:rPr>
                <w:rFonts w:cs="Times New Roman"/>
                <w:sz w:val="28"/>
                <w:szCs w:val="24"/>
              </w:rPr>
            </w:pPr>
            <w:r w:rsidRPr="000A6F10">
              <w:rPr>
                <w:rFonts w:cs="Times New Roman"/>
                <w:sz w:val="28"/>
                <w:szCs w:val="24"/>
              </w:rPr>
              <w:t>Plānotās sabiedrības līdzdalības un komunikācijas aktivitātes saistībā ar projektu</w:t>
            </w:r>
          </w:p>
        </w:tc>
        <w:tc>
          <w:tcPr>
            <w:tcW w:w="5843" w:type="dxa"/>
            <w:tcBorders>
              <w:top w:val="single" w:sz="4" w:space="0" w:color="auto"/>
              <w:left w:val="single" w:sz="4" w:space="0" w:color="auto"/>
              <w:bottom w:val="single" w:sz="4" w:space="0" w:color="auto"/>
              <w:right w:val="single" w:sz="4" w:space="0" w:color="auto"/>
            </w:tcBorders>
            <w:hideMark/>
          </w:tcPr>
          <w:p w:rsidR="00E5617B" w:rsidRPr="000A6F10" w:rsidRDefault="00E5617B" w:rsidP="00917634">
            <w:pPr>
              <w:tabs>
                <w:tab w:val="left" w:pos="317"/>
              </w:tabs>
              <w:jc w:val="both"/>
              <w:rPr>
                <w:rFonts w:cs="Times New Roman"/>
                <w:sz w:val="28"/>
                <w:szCs w:val="24"/>
                <w:highlight w:val="yellow"/>
              </w:rPr>
            </w:pPr>
            <w:r w:rsidRPr="000A6F10">
              <w:rPr>
                <w:rFonts w:cs="Times New Roman"/>
                <w:sz w:val="28"/>
                <w:szCs w:val="24"/>
              </w:rPr>
              <w:t>2016.gada 29.martā</w:t>
            </w:r>
            <w:r w:rsidRPr="000A6F10">
              <w:rPr>
                <w:rFonts w:cs="Times New Roman"/>
                <w:color w:val="000000"/>
                <w:sz w:val="28"/>
                <w:szCs w:val="24"/>
                <w:shd w:val="clear" w:color="auto" w:fill="FFFFFF"/>
              </w:rPr>
              <w:t xml:space="preserve"> </w:t>
            </w:r>
            <w:r w:rsidR="00917634" w:rsidRPr="000A6F10">
              <w:rPr>
                <w:rFonts w:cs="Times New Roman"/>
                <w:color w:val="000000"/>
                <w:sz w:val="28"/>
                <w:szCs w:val="24"/>
                <w:shd w:val="clear" w:color="auto" w:fill="FFFFFF"/>
              </w:rPr>
              <w:t xml:space="preserve">Veselības ministrijas mājas lapā </w:t>
            </w:r>
            <w:r w:rsidRPr="000A6F10">
              <w:rPr>
                <w:rFonts w:cs="Times New Roman"/>
                <w:color w:val="000000"/>
                <w:sz w:val="28"/>
                <w:szCs w:val="24"/>
                <w:shd w:val="clear" w:color="auto" w:fill="FFFFFF"/>
              </w:rPr>
              <w:t xml:space="preserve">tika izsludināta informācija par </w:t>
            </w:r>
            <w:r w:rsidR="00865862" w:rsidRPr="000A6F10">
              <w:rPr>
                <w:rFonts w:cs="Times New Roman"/>
                <w:color w:val="000000"/>
                <w:sz w:val="28"/>
                <w:szCs w:val="24"/>
                <w:shd w:val="clear" w:color="auto" w:fill="FFFFFF"/>
              </w:rPr>
              <w:t>sabiedriskās ap</w:t>
            </w:r>
            <w:r w:rsidRPr="000A6F10">
              <w:rPr>
                <w:rFonts w:cs="Times New Roman"/>
                <w:color w:val="000000"/>
                <w:sz w:val="28"/>
                <w:szCs w:val="24"/>
                <w:shd w:val="clear" w:color="auto" w:fill="FFFFFF"/>
              </w:rPr>
              <w:t xml:space="preserve">spriedes norisi. </w:t>
            </w:r>
          </w:p>
        </w:tc>
      </w:tr>
      <w:tr w:rsidR="00E5617B" w:rsidRPr="000A6F10" w:rsidTr="000A6F10">
        <w:trPr>
          <w:trHeight w:val="655"/>
        </w:trPr>
        <w:tc>
          <w:tcPr>
            <w:tcW w:w="630" w:type="dxa"/>
            <w:tcBorders>
              <w:top w:val="single" w:sz="4" w:space="0" w:color="auto"/>
              <w:left w:val="single" w:sz="4" w:space="0" w:color="auto"/>
              <w:bottom w:val="single" w:sz="4" w:space="0" w:color="auto"/>
              <w:right w:val="single" w:sz="4" w:space="0" w:color="auto"/>
            </w:tcBorders>
            <w:hideMark/>
          </w:tcPr>
          <w:p w:rsidR="00E5617B" w:rsidRPr="000A6F10" w:rsidRDefault="00E5617B">
            <w:pPr>
              <w:rPr>
                <w:rFonts w:cs="Times New Roman"/>
                <w:sz w:val="28"/>
                <w:szCs w:val="24"/>
              </w:rPr>
            </w:pPr>
            <w:r w:rsidRPr="000A6F10">
              <w:rPr>
                <w:rFonts w:cs="Times New Roman"/>
                <w:sz w:val="28"/>
                <w:szCs w:val="24"/>
              </w:rPr>
              <w:t>2.</w:t>
            </w:r>
          </w:p>
        </w:tc>
        <w:tc>
          <w:tcPr>
            <w:tcW w:w="2347" w:type="dxa"/>
            <w:tcBorders>
              <w:top w:val="single" w:sz="4" w:space="0" w:color="auto"/>
              <w:left w:val="single" w:sz="4" w:space="0" w:color="auto"/>
              <w:bottom w:val="single" w:sz="4" w:space="0" w:color="auto"/>
              <w:right w:val="single" w:sz="4" w:space="0" w:color="auto"/>
            </w:tcBorders>
            <w:hideMark/>
          </w:tcPr>
          <w:p w:rsidR="00E5617B" w:rsidRPr="000A6F10" w:rsidRDefault="00E5617B">
            <w:pPr>
              <w:rPr>
                <w:rFonts w:cs="Times New Roman"/>
                <w:sz w:val="28"/>
                <w:szCs w:val="24"/>
              </w:rPr>
            </w:pPr>
            <w:r w:rsidRPr="000A6F10">
              <w:rPr>
                <w:rFonts w:cs="Times New Roman"/>
                <w:sz w:val="28"/>
                <w:szCs w:val="24"/>
              </w:rPr>
              <w:t>Sabiedrības līdzdalība projekta izstrādē</w:t>
            </w:r>
          </w:p>
        </w:tc>
        <w:tc>
          <w:tcPr>
            <w:tcW w:w="5843" w:type="dxa"/>
            <w:tcBorders>
              <w:top w:val="single" w:sz="4" w:space="0" w:color="auto"/>
              <w:left w:val="single" w:sz="4" w:space="0" w:color="auto"/>
              <w:bottom w:val="single" w:sz="4" w:space="0" w:color="auto"/>
              <w:right w:val="single" w:sz="4" w:space="0" w:color="auto"/>
            </w:tcBorders>
            <w:hideMark/>
          </w:tcPr>
          <w:p w:rsidR="00E5617B" w:rsidRPr="000A6F10" w:rsidRDefault="00917634" w:rsidP="001B1460">
            <w:pPr>
              <w:tabs>
                <w:tab w:val="left" w:pos="317"/>
              </w:tabs>
              <w:jc w:val="both"/>
              <w:rPr>
                <w:rFonts w:cs="Times New Roman"/>
                <w:sz w:val="28"/>
                <w:szCs w:val="24"/>
              </w:rPr>
            </w:pPr>
            <w:r w:rsidRPr="000A6F10">
              <w:rPr>
                <w:rFonts w:cs="Times New Roman"/>
                <w:sz w:val="28"/>
                <w:szCs w:val="24"/>
              </w:rPr>
              <w:t>Ņemot vērā, ka pieteikumi sabiedriskai apspriedei un priekšlikumi netika saņemti, sabiedriskā apspriede tika atcelta</w:t>
            </w:r>
            <w:r w:rsidR="00E5617B" w:rsidRPr="000A6F10">
              <w:rPr>
                <w:rFonts w:cs="Times New Roman"/>
                <w:sz w:val="28"/>
                <w:szCs w:val="24"/>
              </w:rPr>
              <w:t>.</w:t>
            </w:r>
          </w:p>
        </w:tc>
      </w:tr>
      <w:tr w:rsidR="00E5617B" w:rsidRPr="000A6F10" w:rsidTr="000A6F10">
        <w:trPr>
          <w:trHeight w:val="655"/>
        </w:trPr>
        <w:tc>
          <w:tcPr>
            <w:tcW w:w="630" w:type="dxa"/>
            <w:tcBorders>
              <w:top w:val="single" w:sz="4" w:space="0" w:color="auto"/>
              <w:left w:val="single" w:sz="4" w:space="0" w:color="auto"/>
              <w:bottom w:val="single" w:sz="4" w:space="0" w:color="auto"/>
              <w:right w:val="single" w:sz="4" w:space="0" w:color="auto"/>
            </w:tcBorders>
            <w:hideMark/>
          </w:tcPr>
          <w:p w:rsidR="00E5617B" w:rsidRPr="000A6F10" w:rsidRDefault="00E5617B">
            <w:pPr>
              <w:rPr>
                <w:rFonts w:cs="Times New Roman"/>
                <w:sz w:val="28"/>
                <w:szCs w:val="24"/>
              </w:rPr>
            </w:pPr>
            <w:r w:rsidRPr="000A6F10">
              <w:rPr>
                <w:rFonts w:cs="Times New Roman"/>
                <w:sz w:val="28"/>
                <w:szCs w:val="24"/>
              </w:rPr>
              <w:t>3.</w:t>
            </w:r>
          </w:p>
        </w:tc>
        <w:tc>
          <w:tcPr>
            <w:tcW w:w="2347" w:type="dxa"/>
            <w:tcBorders>
              <w:top w:val="single" w:sz="4" w:space="0" w:color="auto"/>
              <w:left w:val="single" w:sz="4" w:space="0" w:color="auto"/>
              <w:bottom w:val="single" w:sz="4" w:space="0" w:color="auto"/>
              <w:right w:val="single" w:sz="4" w:space="0" w:color="auto"/>
            </w:tcBorders>
            <w:hideMark/>
          </w:tcPr>
          <w:p w:rsidR="00E5617B" w:rsidRPr="000A6F10" w:rsidRDefault="00E5617B">
            <w:pPr>
              <w:rPr>
                <w:rFonts w:cs="Times New Roman"/>
                <w:sz w:val="28"/>
                <w:szCs w:val="24"/>
              </w:rPr>
            </w:pPr>
            <w:r w:rsidRPr="000A6F10">
              <w:rPr>
                <w:rFonts w:cs="Times New Roman"/>
                <w:sz w:val="28"/>
                <w:szCs w:val="24"/>
              </w:rPr>
              <w:t>Sabiedrības līdzdalības rezultāti</w:t>
            </w:r>
          </w:p>
        </w:tc>
        <w:tc>
          <w:tcPr>
            <w:tcW w:w="5843" w:type="dxa"/>
            <w:tcBorders>
              <w:top w:val="single" w:sz="4" w:space="0" w:color="auto"/>
              <w:left w:val="single" w:sz="4" w:space="0" w:color="auto"/>
              <w:bottom w:val="single" w:sz="4" w:space="0" w:color="auto"/>
              <w:right w:val="single" w:sz="4" w:space="0" w:color="auto"/>
            </w:tcBorders>
            <w:hideMark/>
          </w:tcPr>
          <w:p w:rsidR="00E5617B" w:rsidRPr="000A6F10" w:rsidRDefault="00917634" w:rsidP="001B1460">
            <w:pPr>
              <w:tabs>
                <w:tab w:val="left" w:pos="317"/>
              </w:tabs>
              <w:jc w:val="both"/>
              <w:rPr>
                <w:rFonts w:cs="Times New Roman"/>
                <w:i/>
                <w:sz w:val="28"/>
                <w:szCs w:val="24"/>
              </w:rPr>
            </w:pPr>
            <w:r w:rsidRPr="000A6F10">
              <w:rPr>
                <w:rFonts w:cs="Times New Roman"/>
                <w:i/>
                <w:sz w:val="28"/>
                <w:szCs w:val="24"/>
              </w:rPr>
              <w:t>Projekts šo jomu neskar</w:t>
            </w:r>
          </w:p>
        </w:tc>
      </w:tr>
      <w:tr w:rsidR="00E5617B" w:rsidRPr="000A6F10" w:rsidTr="000A6F10">
        <w:trPr>
          <w:trHeight w:val="4101"/>
        </w:trPr>
        <w:tc>
          <w:tcPr>
            <w:tcW w:w="630" w:type="dxa"/>
            <w:tcBorders>
              <w:top w:val="single" w:sz="4" w:space="0" w:color="auto"/>
              <w:left w:val="single" w:sz="4" w:space="0" w:color="auto"/>
              <w:bottom w:val="single" w:sz="4" w:space="0" w:color="auto"/>
              <w:right w:val="single" w:sz="4" w:space="0" w:color="auto"/>
            </w:tcBorders>
            <w:hideMark/>
          </w:tcPr>
          <w:p w:rsidR="00E5617B" w:rsidRPr="000A6F10" w:rsidRDefault="00E5617B">
            <w:pPr>
              <w:rPr>
                <w:rFonts w:cs="Times New Roman"/>
                <w:sz w:val="28"/>
                <w:szCs w:val="24"/>
              </w:rPr>
            </w:pPr>
            <w:r w:rsidRPr="000A6F10">
              <w:rPr>
                <w:rFonts w:cs="Times New Roman"/>
                <w:sz w:val="28"/>
                <w:szCs w:val="24"/>
              </w:rPr>
              <w:t>4.</w:t>
            </w:r>
          </w:p>
        </w:tc>
        <w:tc>
          <w:tcPr>
            <w:tcW w:w="2347" w:type="dxa"/>
            <w:tcBorders>
              <w:top w:val="single" w:sz="4" w:space="0" w:color="auto"/>
              <w:left w:val="single" w:sz="4" w:space="0" w:color="auto"/>
              <w:bottom w:val="single" w:sz="4" w:space="0" w:color="auto"/>
              <w:right w:val="single" w:sz="4" w:space="0" w:color="auto"/>
            </w:tcBorders>
            <w:hideMark/>
          </w:tcPr>
          <w:p w:rsidR="00E5617B" w:rsidRPr="000A6F10" w:rsidRDefault="00E5617B">
            <w:pPr>
              <w:rPr>
                <w:rFonts w:cs="Times New Roman"/>
                <w:sz w:val="28"/>
                <w:szCs w:val="24"/>
              </w:rPr>
            </w:pPr>
            <w:r w:rsidRPr="000A6F10">
              <w:rPr>
                <w:rFonts w:cs="Times New Roman"/>
                <w:sz w:val="28"/>
                <w:szCs w:val="24"/>
              </w:rPr>
              <w:t>Cita informācija</w:t>
            </w:r>
          </w:p>
        </w:tc>
        <w:tc>
          <w:tcPr>
            <w:tcW w:w="5843" w:type="dxa"/>
            <w:tcBorders>
              <w:top w:val="single" w:sz="4" w:space="0" w:color="auto"/>
              <w:left w:val="single" w:sz="4" w:space="0" w:color="auto"/>
              <w:bottom w:val="single" w:sz="4" w:space="0" w:color="auto"/>
              <w:right w:val="single" w:sz="4" w:space="0" w:color="auto"/>
            </w:tcBorders>
            <w:hideMark/>
          </w:tcPr>
          <w:p w:rsidR="003073BE" w:rsidRPr="000A6F10" w:rsidRDefault="00E5617B" w:rsidP="00203806">
            <w:pPr>
              <w:tabs>
                <w:tab w:val="left" w:pos="317"/>
              </w:tabs>
              <w:jc w:val="both"/>
              <w:rPr>
                <w:rFonts w:cs="Times New Roman"/>
                <w:sz w:val="28"/>
                <w:szCs w:val="24"/>
              </w:rPr>
            </w:pPr>
            <w:r w:rsidRPr="000A6F10">
              <w:rPr>
                <w:rFonts w:cs="Times New Roman"/>
                <w:sz w:val="28"/>
                <w:szCs w:val="24"/>
              </w:rPr>
              <w:t>2016.gada 31.martā likumprojekts  konceptuāli atbalstīts Smēķēšanas ier</w:t>
            </w:r>
            <w:r w:rsidR="00F87F2C" w:rsidRPr="000A6F10">
              <w:rPr>
                <w:rFonts w:cs="Times New Roman"/>
                <w:sz w:val="28"/>
                <w:szCs w:val="24"/>
              </w:rPr>
              <w:t>obežošanas valsts komisijas sēdē</w:t>
            </w:r>
            <w:r w:rsidRPr="000A6F10">
              <w:rPr>
                <w:rFonts w:cs="Times New Roman"/>
                <w:sz w:val="28"/>
                <w:szCs w:val="24"/>
              </w:rPr>
              <w:t>.</w:t>
            </w:r>
            <w:r w:rsidR="008D5C30" w:rsidRPr="000A6F10">
              <w:rPr>
                <w:rFonts w:cs="Times New Roman"/>
                <w:sz w:val="28"/>
                <w:szCs w:val="24"/>
              </w:rPr>
              <w:t xml:space="preserve"> Papildus esoš</w:t>
            </w:r>
            <w:r w:rsidR="005542E7" w:rsidRPr="000A6F10">
              <w:rPr>
                <w:rFonts w:cs="Times New Roman"/>
                <w:sz w:val="28"/>
                <w:szCs w:val="24"/>
              </w:rPr>
              <w:t>aj</w:t>
            </w:r>
            <w:r w:rsidR="008D5C30" w:rsidRPr="000A6F10">
              <w:rPr>
                <w:rFonts w:cs="Times New Roman"/>
                <w:sz w:val="28"/>
                <w:szCs w:val="24"/>
              </w:rPr>
              <w:t xml:space="preserve">iem grozījumiem tika piedāvāts </w:t>
            </w:r>
            <w:r w:rsidR="003073BE" w:rsidRPr="000A6F10">
              <w:rPr>
                <w:rFonts w:cs="Times New Roman"/>
                <w:sz w:val="28"/>
                <w:szCs w:val="24"/>
              </w:rPr>
              <w:t>grozīt</w:t>
            </w:r>
            <w:r w:rsidR="008D5C30" w:rsidRPr="000A6F10">
              <w:rPr>
                <w:rFonts w:cs="Times New Roman"/>
                <w:sz w:val="28"/>
                <w:szCs w:val="24"/>
              </w:rPr>
              <w:t xml:space="preserve"> </w:t>
            </w:r>
            <w:r w:rsidR="00203806" w:rsidRPr="000A6F10">
              <w:rPr>
                <w:rFonts w:cs="Times New Roman"/>
                <w:sz w:val="28"/>
                <w:szCs w:val="24"/>
              </w:rPr>
              <w:t>BTAL</w:t>
            </w:r>
            <w:r w:rsidR="003073BE" w:rsidRPr="000A6F10">
              <w:rPr>
                <w:rFonts w:cs="Times New Roman"/>
                <w:sz w:val="28"/>
                <w:szCs w:val="24"/>
              </w:rPr>
              <w:t xml:space="preserve"> 1.panta 11.punktu, ar nolūku paplašināt spēkā esošo regulējumu, kas nosaka,</w:t>
            </w:r>
            <w:r w:rsidR="008D5C30" w:rsidRPr="000A6F10">
              <w:rPr>
                <w:rFonts w:cs="Times New Roman"/>
                <w:sz w:val="28"/>
                <w:szCs w:val="24"/>
              </w:rPr>
              <w:t xml:space="preserve"> ka </w:t>
            </w:r>
            <w:r w:rsidR="003073BE" w:rsidRPr="000A6F10">
              <w:rPr>
                <w:rFonts w:cs="Times New Roman"/>
                <w:sz w:val="28"/>
                <w:szCs w:val="24"/>
              </w:rPr>
              <w:t>bērna pakļaušana tabakas dūmu iedarbībai pieskaitāma pie fiziskas vardarbības. Grozījums būtu papildinājis spēkā esošo regulējumu, nosakot, ka fiziska vardarbība ir bērna pakļaušana smēķēšanai paredzētu tabakas izstrādājumu</w:t>
            </w:r>
            <w:r w:rsidR="003073BE" w:rsidRPr="000A6F10">
              <w:rPr>
                <w:rFonts w:cs="Times New Roman"/>
                <w:b/>
                <w:bCs/>
                <w:sz w:val="28"/>
                <w:szCs w:val="24"/>
              </w:rPr>
              <w:t xml:space="preserve"> </w:t>
            </w:r>
            <w:r w:rsidR="003073BE" w:rsidRPr="000A6F10">
              <w:rPr>
                <w:rFonts w:cs="Times New Roman"/>
                <w:sz w:val="28"/>
                <w:szCs w:val="24"/>
              </w:rPr>
              <w:t xml:space="preserve">vai augu smēķēšanas produktu dūmu, vai elektronisko smēķēšanas ierīču tvaiku iedarbībai, bet ne tikai tabakas dūmu iedarbībai. Tomēr augstāk </w:t>
            </w:r>
            <w:r w:rsidR="00BD246F" w:rsidRPr="000A6F10">
              <w:rPr>
                <w:rFonts w:cs="Times New Roman"/>
                <w:sz w:val="28"/>
                <w:szCs w:val="24"/>
              </w:rPr>
              <w:t>m</w:t>
            </w:r>
            <w:r w:rsidR="00D50B19" w:rsidRPr="000A6F10">
              <w:rPr>
                <w:rFonts w:cs="Times New Roman"/>
                <w:sz w:val="28"/>
                <w:szCs w:val="24"/>
              </w:rPr>
              <w:t>inētais priekšlikums netika</w:t>
            </w:r>
            <w:r w:rsidR="00BD246F" w:rsidRPr="000A6F10">
              <w:rPr>
                <w:rFonts w:cs="Times New Roman"/>
                <w:sz w:val="28"/>
                <w:szCs w:val="24"/>
              </w:rPr>
              <w:t xml:space="preserve"> konceptuāli</w:t>
            </w:r>
            <w:r w:rsidR="00D50B19" w:rsidRPr="000A6F10">
              <w:rPr>
                <w:rFonts w:cs="Times New Roman"/>
                <w:sz w:val="28"/>
                <w:szCs w:val="24"/>
              </w:rPr>
              <w:t xml:space="preserve"> atbalstīts Smēķēšanas ierobežošanas valsts komisijas sēdē</w:t>
            </w:r>
            <w:r w:rsidR="003073BE" w:rsidRPr="000A6F10">
              <w:rPr>
                <w:rFonts w:cs="Times New Roman"/>
                <w:sz w:val="28"/>
                <w:szCs w:val="24"/>
              </w:rPr>
              <w:t>, līdz ar to tika svītrots no likumprojekta.</w:t>
            </w:r>
          </w:p>
        </w:tc>
      </w:tr>
    </w:tbl>
    <w:p w:rsidR="0088048C" w:rsidRPr="000A6F10" w:rsidRDefault="0088048C" w:rsidP="0088048C">
      <w:pPr>
        <w:tabs>
          <w:tab w:val="right" w:pos="9072"/>
        </w:tabs>
        <w:ind w:right="-766"/>
        <w:rPr>
          <w:rFonts w:eastAsia="Calibri" w:cs="Times New Roman"/>
          <w:sz w:val="28"/>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906"/>
        <w:gridCol w:w="4284"/>
      </w:tblGrid>
      <w:tr w:rsidR="0088048C" w:rsidRPr="000A6F10" w:rsidTr="002A223C">
        <w:trPr>
          <w:trHeight w:val="661"/>
        </w:trPr>
        <w:tc>
          <w:tcPr>
            <w:tcW w:w="8820" w:type="dxa"/>
            <w:gridSpan w:val="3"/>
            <w:tcBorders>
              <w:top w:val="single" w:sz="4" w:space="0" w:color="auto"/>
              <w:left w:val="single" w:sz="4" w:space="0" w:color="auto"/>
              <w:bottom w:val="single" w:sz="4" w:space="0" w:color="auto"/>
              <w:right w:val="single" w:sz="4" w:space="0" w:color="auto"/>
            </w:tcBorders>
            <w:hideMark/>
          </w:tcPr>
          <w:p w:rsidR="0088048C" w:rsidRPr="000A6F10" w:rsidRDefault="0088048C" w:rsidP="00F43717">
            <w:pPr>
              <w:rPr>
                <w:rFonts w:cs="Times New Roman"/>
                <w:sz w:val="28"/>
                <w:szCs w:val="24"/>
              </w:rPr>
            </w:pPr>
            <w:r w:rsidRPr="000A6F10">
              <w:rPr>
                <w:rFonts w:cs="Times New Roman"/>
                <w:bCs/>
                <w:sz w:val="28"/>
                <w:szCs w:val="24"/>
              </w:rPr>
              <w:t>VII. Tiesību akta projekta izpildes nodrošināšana un tās ietekme uz institūcijām</w:t>
            </w:r>
          </w:p>
        </w:tc>
      </w:tr>
      <w:tr w:rsidR="0088048C" w:rsidRPr="000A6F10" w:rsidTr="000252B2">
        <w:trPr>
          <w:trHeight w:val="984"/>
        </w:trPr>
        <w:tc>
          <w:tcPr>
            <w:tcW w:w="630" w:type="dxa"/>
            <w:tcBorders>
              <w:top w:val="single" w:sz="4" w:space="0" w:color="auto"/>
              <w:left w:val="single" w:sz="4" w:space="0" w:color="auto"/>
              <w:bottom w:val="single" w:sz="4" w:space="0" w:color="auto"/>
              <w:right w:val="single" w:sz="4" w:space="0" w:color="auto"/>
            </w:tcBorders>
            <w:hideMark/>
          </w:tcPr>
          <w:p w:rsidR="0088048C" w:rsidRPr="000A6F10" w:rsidRDefault="0088048C">
            <w:pPr>
              <w:rPr>
                <w:rFonts w:cs="Times New Roman"/>
                <w:sz w:val="28"/>
                <w:szCs w:val="24"/>
              </w:rPr>
            </w:pPr>
            <w:r w:rsidRPr="000A6F10">
              <w:rPr>
                <w:rFonts w:cs="Times New Roman"/>
                <w:sz w:val="28"/>
                <w:szCs w:val="24"/>
              </w:rPr>
              <w:lastRenderedPageBreak/>
              <w:t>1.</w:t>
            </w:r>
          </w:p>
        </w:tc>
        <w:tc>
          <w:tcPr>
            <w:tcW w:w="3906" w:type="dxa"/>
            <w:tcBorders>
              <w:top w:val="single" w:sz="4" w:space="0" w:color="auto"/>
              <w:left w:val="single" w:sz="4" w:space="0" w:color="auto"/>
              <w:bottom w:val="single" w:sz="4" w:space="0" w:color="auto"/>
              <w:right w:val="single" w:sz="4" w:space="0" w:color="auto"/>
            </w:tcBorders>
            <w:hideMark/>
          </w:tcPr>
          <w:p w:rsidR="0088048C" w:rsidRPr="000A6F10" w:rsidRDefault="0088048C">
            <w:pPr>
              <w:rPr>
                <w:rFonts w:cs="Times New Roman"/>
                <w:sz w:val="28"/>
                <w:szCs w:val="24"/>
              </w:rPr>
            </w:pPr>
            <w:r w:rsidRPr="000A6F10">
              <w:rPr>
                <w:rFonts w:cs="Times New Roman"/>
                <w:sz w:val="28"/>
                <w:szCs w:val="24"/>
              </w:rPr>
              <w:t>Projekta izpildē iesaistītās institūcijas</w:t>
            </w:r>
          </w:p>
        </w:tc>
        <w:tc>
          <w:tcPr>
            <w:tcW w:w="4284" w:type="dxa"/>
            <w:tcBorders>
              <w:top w:val="single" w:sz="4" w:space="0" w:color="auto"/>
              <w:left w:val="single" w:sz="4" w:space="0" w:color="auto"/>
              <w:bottom w:val="single" w:sz="4" w:space="0" w:color="auto"/>
              <w:right w:val="single" w:sz="4" w:space="0" w:color="auto"/>
            </w:tcBorders>
          </w:tcPr>
          <w:p w:rsidR="0088048C" w:rsidRPr="000A6F10" w:rsidRDefault="00322819" w:rsidP="00322819">
            <w:pPr>
              <w:jc w:val="both"/>
              <w:rPr>
                <w:rFonts w:cs="Times New Roman"/>
                <w:sz w:val="28"/>
                <w:szCs w:val="24"/>
                <w:shd w:val="clear" w:color="auto" w:fill="FFFFFF"/>
              </w:rPr>
            </w:pPr>
            <w:r w:rsidRPr="000A6F10">
              <w:rPr>
                <w:rFonts w:cs="Times New Roman"/>
                <w:sz w:val="28"/>
                <w:szCs w:val="24"/>
                <w:shd w:val="clear" w:color="auto" w:fill="FFFFFF"/>
              </w:rPr>
              <w:t>Valsts bērnu tiesību aizsardzības inspekcija; valsts un pašvaldību policija.</w:t>
            </w:r>
          </w:p>
        </w:tc>
      </w:tr>
      <w:tr w:rsidR="0088048C" w:rsidRPr="000A6F10" w:rsidTr="000252B2">
        <w:trPr>
          <w:trHeight w:val="592"/>
        </w:trPr>
        <w:tc>
          <w:tcPr>
            <w:tcW w:w="630" w:type="dxa"/>
            <w:tcBorders>
              <w:top w:val="single" w:sz="4" w:space="0" w:color="auto"/>
              <w:left w:val="single" w:sz="4" w:space="0" w:color="auto"/>
              <w:bottom w:val="single" w:sz="4" w:space="0" w:color="auto"/>
              <w:right w:val="single" w:sz="4" w:space="0" w:color="auto"/>
            </w:tcBorders>
            <w:hideMark/>
          </w:tcPr>
          <w:p w:rsidR="0088048C" w:rsidRPr="000A6F10" w:rsidRDefault="0088048C">
            <w:pPr>
              <w:rPr>
                <w:rFonts w:cs="Times New Roman"/>
                <w:sz w:val="28"/>
                <w:szCs w:val="24"/>
              </w:rPr>
            </w:pPr>
            <w:r w:rsidRPr="000A6F10">
              <w:rPr>
                <w:rFonts w:cs="Times New Roman"/>
                <w:sz w:val="28"/>
                <w:szCs w:val="24"/>
              </w:rPr>
              <w:t>2.</w:t>
            </w:r>
          </w:p>
        </w:tc>
        <w:tc>
          <w:tcPr>
            <w:tcW w:w="3906" w:type="dxa"/>
            <w:tcBorders>
              <w:top w:val="single" w:sz="4" w:space="0" w:color="auto"/>
              <w:left w:val="single" w:sz="4" w:space="0" w:color="auto"/>
              <w:bottom w:val="single" w:sz="4" w:space="0" w:color="auto"/>
              <w:right w:val="single" w:sz="4" w:space="0" w:color="auto"/>
            </w:tcBorders>
            <w:hideMark/>
          </w:tcPr>
          <w:p w:rsidR="0088048C" w:rsidRPr="000A6F10" w:rsidRDefault="0088048C">
            <w:pPr>
              <w:jc w:val="both"/>
              <w:rPr>
                <w:rFonts w:cs="Times New Roman"/>
                <w:sz w:val="28"/>
                <w:szCs w:val="24"/>
              </w:rPr>
            </w:pPr>
            <w:r w:rsidRPr="000A6F10">
              <w:rPr>
                <w:rFonts w:cs="Times New Roman"/>
                <w:sz w:val="28"/>
                <w:szCs w:val="24"/>
              </w:rPr>
              <w:t>Projekta izpildes ietekme uz pārvaldes funkcijām un institucionālo struktūru. Jaunu institūciju izveide, esošo institūciju likvidācija vai reorganizācija, to ietekme uz institūcijas cilvēkresursiem</w:t>
            </w:r>
          </w:p>
        </w:tc>
        <w:tc>
          <w:tcPr>
            <w:tcW w:w="4284" w:type="dxa"/>
            <w:tcBorders>
              <w:top w:val="single" w:sz="4" w:space="0" w:color="auto"/>
              <w:left w:val="single" w:sz="4" w:space="0" w:color="auto"/>
              <w:bottom w:val="single" w:sz="4" w:space="0" w:color="auto"/>
              <w:right w:val="single" w:sz="4" w:space="0" w:color="auto"/>
            </w:tcBorders>
            <w:hideMark/>
          </w:tcPr>
          <w:p w:rsidR="0088048C" w:rsidRPr="000A6F10" w:rsidRDefault="009E02B0">
            <w:pPr>
              <w:jc w:val="both"/>
              <w:rPr>
                <w:rFonts w:cs="Times New Roman"/>
                <w:i/>
                <w:sz w:val="28"/>
                <w:szCs w:val="24"/>
                <w:highlight w:val="yellow"/>
              </w:rPr>
            </w:pPr>
            <w:r w:rsidRPr="000A6F10">
              <w:rPr>
                <w:rFonts w:cs="Times New Roman"/>
                <w:i/>
                <w:sz w:val="28"/>
                <w:szCs w:val="24"/>
              </w:rPr>
              <w:t>Projekts šo jomu neskar</w:t>
            </w:r>
          </w:p>
        </w:tc>
      </w:tr>
      <w:tr w:rsidR="0088048C" w:rsidRPr="000A6F10" w:rsidTr="000252B2">
        <w:trPr>
          <w:trHeight w:val="338"/>
        </w:trPr>
        <w:tc>
          <w:tcPr>
            <w:tcW w:w="630" w:type="dxa"/>
            <w:tcBorders>
              <w:top w:val="single" w:sz="4" w:space="0" w:color="auto"/>
              <w:left w:val="single" w:sz="4" w:space="0" w:color="auto"/>
              <w:bottom w:val="single" w:sz="4" w:space="0" w:color="auto"/>
              <w:right w:val="single" w:sz="4" w:space="0" w:color="auto"/>
            </w:tcBorders>
            <w:hideMark/>
          </w:tcPr>
          <w:p w:rsidR="0088048C" w:rsidRPr="000A6F10" w:rsidRDefault="0088048C">
            <w:pPr>
              <w:rPr>
                <w:rFonts w:cs="Times New Roman"/>
                <w:sz w:val="28"/>
                <w:szCs w:val="24"/>
              </w:rPr>
            </w:pPr>
            <w:r w:rsidRPr="000A6F10">
              <w:rPr>
                <w:rFonts w:cs="Times New Roman"/>
                <w:sz w:val="28"/>
                <w:szCs w:val="24"/>
              </w:rPr>
              <w:t>3.</w:t>
            </w:r>
          </w:p>
        </w:tc>
        <w:tc>
          <w:tcPr>
            <w:tcW w:w="3906" w:type="dxa"/>
            <w:tcBorders>
              <w:top w:val="single" w:sz="4" w:space="0" w:color="auto"/>
              <w:left w:val="single" w:sz="4" w:space="0" w:color="auto"/>
              <w:bottom w:val="single" w:sz="4" w:space="0" w:color="auto"/>
              <w:right w:val="single" w:sz="4" w:space="0" w:color="auto"/>
            </w:tcBorders>
            <w:hideMark/>
          </w:tcPr>
          <w:p w:rsidR="0088048C" w:rsidRPr="000A6F10" w:rsidRDefault="0088048C">
            <w:pPr>
              <w:rPr>
                <w:rFonts w:cs="Times New Roman"/>
                <w:sz w:val="28"/>
                <w:szCs w:val="24"/>
              </w:rPr>
            </w:pPr>
            <w:r w:rsidRPr="000A6F10">
              <w:rPr>
                <w:rFonts w:cs="Times New Roman"/>
                <w:sz w:val="28"/>
                <w:szCs w:val="24"/>
              </w:rPr>
              <w:t>Cita informācija</w:t>
            </w:r>
          </w:p>
        </w:tc>
        <w:tc>
          <w:tcPr>
            <w:tcW w:w="4284" w:type="dxa"/>
            <w:tcBorders>
              <w:top w:val="single" w:sz="4" w:space="0" w:color="auto"/>
              <w:left w:val="single" w:sz="4" w:space="0" w:color="auto"/>
              <w:bottom w:val="single" w:sz="4" w:space="0" w:color="auto"/>
              <w:right w:val="single" w:sz="4" w:space="0" w:color="auto"/>
            </w:tcBorders>
            <w:hideMark/>
          </w:tcPr>
          <w:p w:rsidR="0088048C" w:rsidRPr="000A6F10" w:rsidRDefault="0088048C">
            <w:pPr>
              <w:rPr>
                <w:rFonts w:cs="Times New Roman"/>
                <w:sz w:val="28"/>
                <w:szCs w:val="24"/>
              </w:rPr>
            </w:pPr>
            <w:r w:rsidRPr="000A6F10">
              <w:rPr>
                <w:rFonts w:cs="Times New Roman"/>
                <w:sz w:val="28"/>
                <w:szCs w:val="24"/>
              </w:rPr>
              <w:t>Nav</w:t>
            </w:r>
          </w:p>
        </w:tc>
      </w:tr>
    </w:tbl>
    <w:p w:rsidR="002A223C" w:rsidRPr="000A6F10" w:rsidRDefault="002A223C" w:rsidP="009A140A">
      <w:pPr>
        <w:tabs>
          <w:tab w:val="right" w:pos="9072"/>
        </w:tabs>
        <w:ind w:right="-766"/>
        <w:rPr>
          <w:rFonts w:eastAsia="Calibri" w:cs="Times New Roman"/>
          <w:sz w:val="28"/>
          <w:szCs w:val="24"/>
        </w:rPr>
      </w:pPr>
    </w:p>
    <w:p w:rsidR="009A140A" w:rsidRPr="000A6F10" w:rsidRDefault="009A140A" w:rsidP="009A140A">
      <w:pPr>
        <w:tabs>
          <w:tab w:val="right" w:pos="8820"/>
        </w:tabs>
        <w:ind w:right="-766"/>
        <w:rPr>
          <w:rFonts w:eastAsia="Calibri" w:cs="Times New Roman"/>
          <w:sz w:val="28"/>
          <w:szCs w:val="24"/>
        </w:rPr>
      </w:pPr>
    </w:p>
    <w:p w:rsidR="00921468" w:rsidRPr="000A6F10" w:rsidRDefault="00921468" w:rsidP="009A140A">
      <w:pPr>
        <w:tabs>
          <w:tab w:val="right" w:pos="8820"/>
        </w:tabs>
        <w:ind w:right="-766"/>
        <w:rPr>
          <w:rFonts w:eastAsia="Calibri" w:cs="Times New Roman"/>
          <w:sz w:val="28"/>
          <w:szCs w:val="24"/>
        </w:rPr>
      </w:pPr>
    </w:p>
    <w:p w:rsidR="009A140A" w:rsidRPr="000A6F10" w:rsidRDefault="0071665C" w:rsidP="00E61E0C">
      <w:pPr>
        <w:tabs>
          <w:tab w:val="right" w:pos="8820"/>
        </w:tabs>
        <w:ind w:right="-766"/>
        <w:rPr>
          <w:rFonts w:eastAsia="Calibri" w:cs="Times New Roman"/>
          <w:sz w:val="28"/>
          <w:szCs w:val="24"/>
        </w:rPr>
      </w:pPr>
      <w:r w:rsidRPr="000A6F10">
        <w:rPr>
          <w:rFonts w:eastAsia="Calibri" w:cs="Times New Roman"/>
          <w:sz w:val="28"/>
          <w:szCs w:val="24"/>
        </w:rPr>
        <w:t>Veselības ministr</w:t>
      </w:r>
      <w:r w:rsidR="00E61E0C" w:rsidRPr="000A6F10">
        <w:rPr>
          <w:rFonts w:eastAsia="Calibri" w:cs="Times New Roman"/>
          <w:sz w:val="28"/>
          <w:szCs w:val="24"/>
        </w:rPr>
        <w:t>e</w:t>
      </w:r>
      <w:r w:rsidRPr="000A6F10">
        <w:rPr>
          <w:rFonts w:eastAsia="Calibri" w:cs="Times New Roman"/>
          <w:sz w:val="28"/>
          <w:szCs w:val="24"/>
        </w:rPr>
        <w:tab/>
      </w:r>
      <w:r w:rsidR="00E61E0C" w:rsidRPr="000A6F10">
        <w:rPr>
          <w:rFonts w:eastAsia="Calibri" w:cs="Times New Roman"/>
          <w:sz w:val="28"/>
          <w:szCs w:val="24"/>
        </w:rPr>
        <w:t xml:space="preserve">Anda </w:t>
      </w:r>
      <w:proofErr w:type="spellStart"/>
      <w:r w:rsidR="00E61E0C" w:rsidRPr="000A6F10">
        <w:rPr>
          <w:rFonts w:eastAsia="Calibri" w:cs="Times New Roman"/>
          <w:sz w:val="28"/>
          <w:szCs w:val="24"/>
        </w:rPr>
        <w:t>Čakša</w:t>
      </w:r>
      <w:proofErr w:type="spellEnd"/>
    </w:p>
    <w:p w:rsidR="009A140A" w:rsidRPr="000A6F10" w:rsidRDefault="009A140A" w:rsidP="009A140A">
      <w:pPr>
        <w:tabs>
          <w:tab w:val="right" w:pos="8820"/>
        </w:tabs>
        <w:ind w:right="-766"/>
        <w:rPr>
          <w:rFonts w:eastAsia="Calibri" w:cs="Times New Roman"/>
          <w:sz w:val="28"/>
          <w:szCs w:val="24"/>
        </w:rPr>
      </w:pPr>
    </w:p>
    <w:p w:rsidR="009A140A" w:rsidRPr="000A6F10" w:rsidRDefault="0088048C" w:rsidP="009A140A">
      <w:pPr>
        <w:tabs>
          <w:tab w:val="right" w:pos="8820"/>
        </w:tabs>
        <w:ind w:right="-766"/>
        <w:rPr>
          <w:rFonts w:eastAsia="Calibri" w:cs="Times New Roman"/>
          <w:sz w:val="28"/>
          <w:szCs w:val="24"/>
        </w:rPr>
      </w:pPr>
      <w:r w:rsidRPr="000A6F10">
        <w:rPr>
          <w:rFonts w:eastAsia="Calibri" w:cs="Times New Roman"/>
          <w:sz w:val="28"/>
          <w:szCs w:val="24"/>
        </w:rPr>
        <w:tab/>
      </w:r>
    </w:p>
    <w:p w:rsidR="007874B4" w:rsidRPr="000A6F10" w:rsidRDefault="0088048C" w:rsidP="009A140A">
      <w:pPr>
        <w:tabs>
          <w:tab w:val="right" w:pos="8820"/>
        </w:tabs>
        <w:ind w:right="-1"/>
        <w:rPr>
          <w:rFonts w:eastAsia="Calibri" w:cs="Times New Roman"/>
          <w:sz w:val="28"/>
          <w:szCs w:val="24"/>
        </w:rPr>
      </w:pPr>
      <w:r w:rsidRPr="000A6F10">
        <w:rPr>
          <w:rFonts w:eastAsia="Calibri" w:cs="Times New Roman"/>
          <w:sz w:val="28"/>
          <w:szCs w:val="24"/>
        </w:rPr>
        <w:t>Vīza: Valsts sekre</w:t>
      </w:r>
      <w:r w:rsidR="00E61E0C" w:rsidRPr="000A6F10">
        <w:rPr>
          <w:rFonts w:eastAsia="Calibri" w:cs="Times New Roman"/>
          <w:sz w:val="28"/>
          <w:szCs w:val="24"/>
        </w:rPr>
        <w:t xml:space="preserve">tāra </w:t>
      </w:r>
      <w:proofErr w:type="spellStart"/>
      <w:r w:rsidR="00E61E0C" w:rsidRPr="000A6F10">
        <w:rPr>
          <w:rFonts w:eastAsia="Calibri" w:cs="Times New Roman"/>
          <w:sz w:val="28"/>
          <w:szCs w:val="24"/>
        </w:rPr>
        <w:t>p.i</w:t>
      </w:r>
      <w:proofErr w:type="spellEnd"/>
      <w:r w:rsidR="00E61E0C" w:rsidRPr="000A6F10">
        <w:rPr>
          <w:rFonts w:eastAsia="Calibri" w:cs="Times New Roman"/>
          <w:sz w:val="28"/>
          <w:szCs w:val="24"/>
        </w:rPr>
        <w:t>.</w:t>
      </w:r>
      <w:r w:rsidRPr="000A6F10">
        <w:rPr>
          <w:rFonts w:eastAsia="Calibri" w:cs="Times New Roman"/>
          <w:sz w:val="28"/>
          <w:szCs w:val="24"/>
        </w:rPr>
        <w:t xml:space="preserve">                                                </w:t>
      </w:r>
      <w:r w:rsidR="00E61E0C" w:rsidRPr="000A6F10">
        <w:rPr>
          <w:rFonts w:eastAsia="Calibri" w:cs="Times New Roman"/>
          <w:sz w:val="28"/>
          <w:szCs w:val="24"/>
        </w:rPr>
        <w:t xml:space="preserve">               </w:t>
      </w:r>
      <w:r w:rsidR="000252B2" w:rsidRPr="000A6F10">
        <w:rPr>
          <w:rFonts w:eastAsia="Calibri" w:cs="Times New Roman"/>
          <w:sz w:val="28"/>
          <w:szCs w:val="24"/>
        </w:rPr>
        <w:tab/>
      </w:r>
      <w:r w:rsidR="00E61E0C" w:rsidRPr="000A6F10">
        <w:rPr>
          <w:rFonts w:eastAsia="Calibri" w:cs="Times New Roman"/>
          <w:sz w:val="28"/>
          <w:szCs w:val="24"/>
        </w:rPr>
        <w:t xml:space="preserve">  Kārlis </w:t>
      </w:r>
      <w:proofErr w:type="spellStart"/>
      <w:r w:rsidR="00E61E0C" w:rsidRPr="000A6F10">
        <w:rPr>
          <w:rFonts w:eastAsia="Calibri" w:cs="Times New Roman"/>
          <w:sz w:val="28"/>
          <w:szCs w:val="24"/>
        </w:rPr>
        <w:t>Ketners</w:t>
      </w:r>
      <w:proofErr w:type="spellEnd"/>
    </w:p>
    <w:p w:rsidR="002A223C" w:rsidRPr="000252B2" w:rsidRDefault="002A223C" w:rsidP="0088048C">
      <w:pPr>
        <w:ind w:right="-3228"/>
        <w:rPr>
          <w:rFonts w:eastAsia="Times New Roman" w:cs="Times New Roman"/>
          <w:szCs w:val="24"/>
          <w:lang w:eastAsia="lv-LV"/>
        </w:rPr>
      </w:pPr>
    </w:p>
    <w:p w:rsidR="009A140A" w:rsidRPr="000252B2" w:rsidRDefault="009A140A" w:rsidP="0088048C">
      <w:pPr>
        <w:ind w:right="-3228"/>
        <w:rPr>
          <w:rFonts w:eastAsia="Times New Roman" w:cs="Times New Roman"/>
          <w:szCs w:val="24"/>
          <w:lang w:eastAsia="lv-LV"/>
        </w:rPr>
      </w:pPr>
    </w:p>
    <w:p w:rsidR="00F14EEE" w:rsidRPr="000252B2" w:rsidRDefault="00F14EEE" w:rsidP="0088048C">
      <w:pPr>
        <w:ind w:right="-3228"/>
        <w:rPr>
          <w:rFonts w:eastAsia="Times New Roman" w:cs="Times New Roman"/>
          <w:szCs w:val="24"/>
          <w:lang w:eastAsia="lv-LV"/>
        </w:rPr>
      </w:pPr>
    </w:p>
    <w:p w:rsidR="00223D09" w:rsidRPr="000252B2" w:rsidRDefault="00223D09" w:rsidP="0088048C">
      <w:pPr>
        <w:ind w:right="-3228"/>
        <w:rPr>
          <w:rFonts w:eastAsia="Times New Roman" w:cs="Times New Roman"/>
          <w:szCs w:val="24"/>
          <w:lang w:eastAsia="lv-LV"/>
        </w:rPr>
      </w:pPr>
    </w:p>
    <w:p w:rsidR="0088048C" w:rsidRPr="000252B2" w:rsidRDefault="009F4135" w:rsidP="0088048C">
      <w:pPr>
        <w:ind w:right="-3228"/>
        <w:rPr>
          <w:rFonts w:eastAsia="Times New Roman" w:cs="Times New Roman"/>
          <w:sz w:val="20"/>
          <w:szCs w:val="24"/>
          <w:lang w:eastAsia="lv-LV"/>
        </w:rPr>
      </w:pPr>
      <w:r>
        <w:rPr>
          <w:rFonts w:eastAsia="Times New Roman" w:cs="Times New Roman"/>
          <w:sz w:val="20"/>
          <w:szCs w:val="24"/>
          <w:lang w:eastAsia="lv-LV"/>
        </w:rPr>
        <w:t>19</w:t>
      </w:r>
      <w:r w:rsidR="009C5BD6" w:rsidRPr="000252B2">
        <w:rPr>
          <w:rFonts w:eastAsia="Times New Roman" w:cs="Times New Roman"/>
          <w:sz w:val="20"/>
          <w:szCs w:val="24"/>
          <w:lang w:eastAsia="lv-LV"/>
        </w:rPr>
        <w:t>.0</w:t>
      </w:r>
      <w:r w:rsidR="000A6F10">
        <w:rPr>
          <w:rFonts w:eastAsia="Times New Roman" w:cs="Times New Roman"/>
          <w:sz w:val="20"/>
          <w:szCs w:val="24"/>
          <w:lang w:eastAsia="lv-LV"/>
        </w:rPr>
        <w:t>7</w:t>
      </w:r>
      <w:r w:rsidR="0066337B" w:rsidRPr="000252B2">
        <w:rPr>
          <w:rFonts w:eastAsia="Times New Roman" w:cs="Times New Roman"/>
          <w:sz w:val="20"/>
          <w:szCs w:val="24"/>
          <w:lang w:eastAsia="lv-LV"/>
        </w:rPr>
        <w:t>.2016</w:t>
      </w:r>
      <w:r w:rsidR="00857C84" w:rsidRPr="000252B2">
        <w:rPr>
          <w:rFonts w:eastAsia="Times New Roman" w:cs="Times New Roman"/>
          <w:sz w:val="20"/>
          <w:szCs w:val="24"/>
          <w:lang w:eastAsia="lv-LV"/>
        </w:rPr>
        <w:t xml:space="preserve"> </w:t>
      </w:r>
      <w:r w:rsidR="00B55740">
        <w:rPr>
          <w:rFonts w:eastAsia="Times New Roman" w:cs="Times New Roman"/>
          <w:sz w:val="20"/>
          <w:szCs w:val="24"/>
          <w:lang w:eastAsia="lv-LV"/>
        </w:rPr>
        <w:t>1</w:t>
      </w:r>
      <w:r w:rsidR="004C0FCC">
        <w:rPr>
          <w:rFonts w:eastAsia="Times New Roman" w:cs="Times New Roman"/>
          <w:sz w:val="20"/>
          <w:szCs w:val="24"/>
          <w:lang w:eastAsia="lv-LV"/>
        </w:rPr>
        <w:t>3:29</w:t>
      </w:r>
    </w:p>
    <w:p w:rsidR="0088048C" w:rsidRPr="000252B2" w:rsidRDefault="009F4135" w:rsidP="0088048C">
      <w:pPr>
        <w:ind w:right="-3228"/>
        <w:rPr>
          <w:rFonts w:eastAsia="Times New Roman" w:cs="Times New Roman"/>
          <w:sz w:val="20"/>
          <w:szCs w:val="24"/>
          <w:lang w:eastAsia="lv-LV"/>
        </w:rPr>
      </w:pPr>
      <w:r>
        <w:rPr>
          <w:rFonts w:eastAsia="Times New Roman" w:cs="Times New Roman"/>
          <w:sz w:val="20"/>
          <w:szCs w:val="24"/>
          <w:lang w:eastAsia="lv-LV"/>
        </w:rPr>
        <w:t>213</w:t>
      </w:r>
      <w:r w:rsidR="00B55740">
        <w:rPr>
          <w:rFonts w:eastAsia="Times New Roman" w:cs="Times New Roman"/>
          <w:sz w:val="20"/>
          <w:szCs w:val="24"/>
          <w:lang w:eastAsia="lv-LV"/>
        </w:rPr>
        <w:t>3</w:t>
      </w:r>
    </w:p>
    <w:p w:rsidR="00872F90" w:rsidRPr="000252B2" w:rsidRDefault="004C0FCC" w:rsidP="00872F90">
      <w:pPr>
        <w:ind w:right="-3228"/>
        <w:rPr>
          <w:rFonts w:eastAsia="Times New Roman" w:cs="Times New Roman"/>
          <w:sz w:val="20"/>
          <w:szCs w:val="24"/>
          <w:lang w:eastAsia="lv-LV"/>
        </w:rPr>
      </w:pPr>
      <w:proofErr w:type="spellStart"/>
      <w:r>
        <w:rPr>
          <w:rFonts w:eastAsia="Calibri" w:cs="Times New Roman"/>
          <w:sz w:val="20"/>
          <w:szCs w:val="24"/>
        </w:rPr>
        <w:t>V</w:t>
      </w:r>
      <w:r w:rsidR="0088048C" w:rsidRPr="000252B2">
        <w:rPr>
          <w:rFonts w:eastAsia="Calibri" w:cs="Times New Roman"/>
          <w:sz w:val="20"/>
          <w:szCs w:val="24"/>
        </w:rPr>
        <w:t>.</w:t>
      </w:r>
      <w:bookmarkStart w:id="2" w:name="OLE_LINK3"/>
      <w:bookmarkStart w:id="3" w:name="OLE_LINK2"/>
      <w:r>
        <w:rPr>
          <w:rFonts w:eastAsia="Calibri" w:cs="Times New Roman"/>
          <w:sz w:val="20"/>
          <w:szCs w:val="24"/>
        </w:rPr>
        <w:t>Lūsa</w:t>
      </w:r>
      <w:proofErr w:type="spellEnd"/>
      <w:r w:rsidR="00872F90" w:rsidRPr="000252B2">
        <w:rPr>
          <w:rFonts w:eastAsia="Calibri" w:cs="Times New Roman"/>
          <w:sz w:val="20"/>
          <w:szCs w:val="24"/>
        </w:rPr>
        <w:t xml:space="preserve">, </w:t>
      </w:r>
      <w:r w:rsidR="00872F90" w:rsidRPr="000252B2">
        <w:rPr>
          <w:rFonts w:eastAsia="Times New Roman" w:cs="Times New Roman"/>
          <w:sz w:val="20"/>
          <w:szCs w:val="24"/>
          <w:lang w:eastAsia="lv-LV"/>
        </w:rPr>
        <w:t>67876</w:t>
      </w:r>
      <w:r>
        <w:rPr>
          <w:rFonts w:eastAsia="Times New Roman" w:cs="Times New Roman"/>
          <w:sz w:val="20"/>
          <w:szCs w:val="24"/>
          <w:lang w:eastAsia="lv-LV"/>
        </w:rPr>
        <w:t>099</w:t>
      </w:r>
    </w:p>
    <w:bookmarkEnd w:id="2"/>
    <w:bookmarkEnd w:id="3"/>
    <w:p w:rsidR="00313F78" w:rsidRPr="000252B2" w:rsidRDefault="004C0FCC" w:rsidP="00872F90">
      <w:pPr>
        <w:ind w:right="-3228"/>
        <w:rPr>
          <w:rFonts w:eastAsia="Times New Roman" w:cs="Times New Roman"/>
          <w:sz w:val="20"/>
          <w:szCs w:val="24"/>
          <w:lang w:eastAsia="lv-LV"/>
        </w:rPr>
      </w:pPr>
      <w:r>
        <w:rPr>
          <w:rFonts w:eastAsia="Times New Roman" w:cs="Times New Roman"/>
          <w:sz w:val="20"/>
          <w:szCs w:val="24"/>
          <w:lang w:eastAsia="lv-LV"/>
        </w:rPr>
        <w:fldChar w:fldCharType="begin"/>
      </w:r>
      <w:r>
        <w:rPr>
          <w:rFonts w:eastAsia="Times New Roman" w:cs="Times New Roman"/>
          <w:sz w:val="20"/>
          <w:szCs w:val="24"/>
          <w:lang w:eastAsia="lv-LV"/>
        </w:rPr>
        <w:instrText xml:space="preserve"> HYPERLINK "mailto:</w:instrText>
      </w:r>
      <w:r w:rsidRPr="004C0FCC">
        <w:rPr>
          <w:rFonts w:eastAsia="Times New Roman" w:cs="Times New Roman"/>
          <w:sz w:val="20"/>
          <w:szCs w:val="24"/>
          <w:lang w:eastAsia="lv-LV"/>
        </w:rPr>
        <w:instrText>vieda.lusa@vm.gov.lv</w:instrText>
      </w:r>
      <w:r>
        <w:rPr>
          <w:rFonts w:eastAsia="Times New Roman" w:cs="Times New Roman"/>
          <w:sz w:val="20"/>
          <w:szCs w:val="24"/>
          <w:lang w:eastAsia="lv-LV"/>
        </w:rPr>
        <w:instrText xml:space="preserve">" </w:instrText>
      </w:r>
      <w:r>
        <w:rPr>
          <w:rFonts w:eastAsia="Times New Roman" w:cs="Times New Roman"/>
          <w:sz w:val="20"/>
          <w:szCs w:val="24"/>
          <w:lang w:eastAsia="lv-LV"/>
        </w:rPr>
        <w:fldChar w:fldCharType="separate"/>
      </w:r>
      <w:r w:rsidRPr="0003673E">
        <w:rPr>
          <w:rStyle w:val="Hyperlink"/>
          <w:rFonts w:eastAsia="Times New Roman" w:cs="Times New Roman"/>
          <w:sz w:val="20"/>
          <w:szCs w:val="24"/>
          <w:lang w:eastAsia="lv-LV"/>
        </w:rPr>
        <w:t>vieda.lusa@vm.gov.lv</w:t>
      </w:r>
      <w:r>
        <w:rPr>
          <w:rFonts w:eastAsia="Times New Roman" w:cs="Times New Roman"/>
          <w:sz w:val="20"/>
          <w:szCs w:val="24"/>
          <w:lang w:eastAsia="lv-LV"/>
        </w:rPr>
        <w:fldChar w:fldCharType="end"/>
      </w:r>
    </w:p>
    <w:p w:rsidR="00872F90" w:rsidRPr="000252B2" w:rsidRDefault="00872F90">
      <w:pPr>
        <w:rPr>
          <w:rFonts w:eastAsia="Times New Roman" w:cs="Times New Roman"/>
          <w:sz w:val="20"/>
          <w:szCs w:val="24"/>
          <w:lang w:eastAsia="lv-LV"/>
        </w:rPr>
      </w:pPr>
      <w:r w:rsidRPr="000252B2">
        <w:rPr>
          <w:rFonts w:eastAsia="Times New Roman" w:cs="Times New Roman"/>
          <w:sz w:val="20"/>
          <w:szCs w:val="24"/>
          <w:lang w:eastAsia="lv-LV"/>
        </w:rPr>
        <w:t>A.Krūmiņa, 67876077</w:t>
      </w:r>
    </w:p>
    <w:p w:rsidR="00872F90" w:rsidRPr="000252B2" w:rsidRDefault="00EC09B5">
      <w:pPr>
        <w:rPr>
          <w:rFonts w:cs="Times New Roman"/>
          <w:sz w:val="20"/>
          <w:szCs w:val="24"/>
        </w:rPr>
      </w:pPr>
      <w:hyperlink r:id="rId8" w:history="1">
        <w:r w:rsidR="00872F90" w:rsidRPr="000252B2">
          <w:rPr>
            <w:rStyle w:val="Hyperlink"/>
            <w:rFonts w:eastAsia="Times New Roman" w:cs="Times New Roman"/>
            <w:sz w:val="20"/>
            <w:szCs w:val="24"/>
            <w:lang w:eastAsia="lv-LV"/>
          </w:rPr>
          <w:t>alise.krumina@vm.gov.lv</w:t>
        </w:r>
      </w:hyperlink>
    </w:p>
    <w:sectPr w:rsidR="00872F90" w:rsidRPr="000252B2" w:rsidSect="000F0747">
      <w:headerReference w:type="default" r:id="rId9"/>
      <w:footerReference w:type="default" r:id="rId10"/>
      <w:footerReference w:type="first" r:id="rId11"/>
      <w:pgSz w:w="12240" w:h="15840"/>
      <w:pgMar w:top="1170" w:right="1800" w:bottom="1440" w:left="2160" w:header="720" w:footer="79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33" w:rsidRDefault="00E12D33" w:rsidP="00313F78">
      <w:r>
        <w:separator/>
      </w:r>
    </w:p>
  </w:endnote>
  <w:endnote w:type="continuationSeparator" w:id="0">
    <w:p w:rsidR="00E12D33" w:rsidRDefault="00E12D33" w:rsidP="00313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33" w:rsidRPr="00354C44" w:rsidRDefault="009F4135" w:rsidP="00354C44">
    <w:pPr>
      <w:jc w:val="both"/>
      <w:rPr>
        <w:rFonts w:eastAsia="Times New Roman" w:cs="Times New Roman"/>
        <w:bCs/>
        <w:szCs w:val="28"/>
        <w:lang w:eastAsia="lv-LV"/>
      </w:rPr>
    </w:pPr>
    <w:r>
      <w:t>VMAnot_19</w:t>
    </w:r>
    <w:r w:rsidR="00E12D33">
      <w:t xml:space="preserve">0716_btal ; </w:t>
    </w:r>
    <w:r w:rsidR="00E12D33">
      <w:rPr>
        <w:rFonts w:eastAsia="Times New Roman" w:cs="Times New Roman"/>
        <w:bCs/>
        <w:szCs w:val="28"/>
        <w:lang w:eastAsia="lv-LV"/>
      </w:rPr>
      <w:t>Likumprojekta "Grozījums</w:t>
    </w:r>
    <w:r w:rsidR="00E12D33" w:rsidRPr="00550DD1">
      <w:rPr>
        <w:rFonts w:eastAsia="Times New Roman" w:cs="Times New Roman"/>
        <w:bCs/>
        <w:szCs w:val="28"/>
        <w:lang w:eastAsia="lv-LV"/>
      </w:rPr>
      <w:t xml:space="preserve"> Bērn</w:t>
    </w:r>
    <w:r w:rsidR="00E12D33">
      <w:rPr>
        <w:rFonts w:eastAsia="Times New Roman" w:cs="Times New Roman"/>
        <w:bCs/>
        <w:szCs w:val="28"/>
        <w:lang w:eastAsia="lv-LV"/>
      </w:rPr>
      <w:t>u tiesību aizsardzības likumā"</w:t>
    </w:r>
    <w:r w:rsidR="00E12D33" w:rsidRPr="00550DD1">
      <w:rPr>
        <w:rFonts w:eastAsia="Times New Roman" w:cs="Times New Roman"/>
        <w:bCs/>
        <w:szCs w:val="28"/>
        <w:lang w:eastAsia="lv-LV"/>
      </w:rPr>
      <w:t xml:space="preserve"> sākotnējās ietekmes n</w:t>
    </w:r>
    <w:r w:rsidR="00E12D33">
      <w:rPr>
        <w:rFonts w:eastAsia="Times New Roman" w:cs="Times New Roman"/>
        <w:bCs/>
        <w:szCs w:val="28"/>
        <w:lang w:eastAsia="lv-LV"/>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33" w:rsidRPr="00550DD1" w:rsidRDefault="009F4135" w:rsidP="00827C01">
    <w:pPr>
      <w:jc w:val="both"/>
      <w:rPr>
        <w:rFonts w:eastAsia="Times New Roman" w:cs="Times New Roman"/>
        <w:bCs/>
        <w:szCs w:val="28"/>
        <w:lang w:eastAsia="lv-LV"/>
      </w:rPr>
    </w:pPr>
    <w:r>
      <w:t>VMAnot_19</w:t>
    </w:r>
    <w:r w:rsidR="00E12D33">
      <w:t xml:space="preserve">0716_btal ; </w:t>
    </w:r>
    <w:r w:rsidR="00E12D33">
      <w:rPr>
        <w:rFonts w:eastAsia="Times New Roman" w:cs="Times New Roman"/>
        <w:bCs/>
        <w:szCs w:val="28"/>
        <w:lang w:eastAsia="lv-LV"/>
      </w:rPr>
      <w:t>Likumprojekta "Grozījums</w:t>
    </w:r>
    <w:r w:rsidR="00E12D33" w:rsidRPr="00550DD1">
      <w:rPr>
        <w:rFonts w:eastAsia="Times New Roman" w:cs="Times New Roman"/>
        <w:bCs/>
        <w:szCs w:val="28"/>
        <w:lang w:eastAsia="lv-LV"/>
      </w:rPr>
      <w:t xml:space="preserve"> Bērn</w:t>
    </w:r>
    <w:r w:rsidR="00E12D33">
      <w:rPr>
        <w:rFonts w:eastAsia="Times New Roman" w:cs="Times New Roman"/>
        <w:bCs/>
        <w:szCs w:val="28"/>
        <w:lang w:eastAsia="lv-LV"/>
      </w:rPr>
      <w:t>u tiesību aizsardzības likumā"</w:t>
    </w:r>
    <w:r w:rsidR="00E12D33" w:rsidRPr="00550DD1">
      <w:rPr>
        <w:rFonts w:eastAsia="Times New Roman" w:cs="Times New Roman"/>
        <w:bCs/>
        <w:szCs w:val="28"/>
        <w:lang w:eastAsia="lv-LV"/>
      </w:rPr>
      <w:t xml:space="preserve"> sākotnējās ietekmes novērtējuma ziņojums (anotācija)</w:t>
    </w:r>
  </w:p>
  <w:p w:rsidR="00E12D33" w:rsidRDefault="00E12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33" w:rsidRDefault="00E12D33" w:rsidP="00313F78">
      <w:r>
        <w:separator/>
      </w:r>
    </w:p>
  </w:footnote>
  <w:footnote w:type="continuationSeparator" w:id="0">
    <w:p w:rsidR="00E12D33" w:rsidRDefault="00E12D33" w:rsidP="00313F78">
      <w:r>
        <w:continuationSeparator/>
      </w:r>
    </w:p>
  </w:footnote>
  <w:footnote w:id="1">
    <w:p w:rsidR="00E12D33" w:rsidRPr="007746E8" w:rsidRDefault="00E12D33" w:rsidP="0008665D">
      <w:pPr>
        <w:pStyle w:val="NoSpacing"/>
        <w:jc w:val="both"/>
        <w:rPr>
          <w:sz w:val="20"/>
          <w:szCs w:val="20"/>
        </w:rPr>
      </w:pPr>
      <w:r w:rsidRPr="007746E8">
        <w:rPr>
          <w:sz w:val="20"/>
          <w:szCs w:val="20"/>
          <w:vertAlign w:val="superscript"/>
        </w:rPr>
        <w:footnoteRef/>
      </w:r>
      <w:r w:rsidRPr="007746E8">
        <w:rPr>
          <w:sz w:val="20"/>
          <w:szCs w:val="20"/>
          <w:vertAlign w:val="superscript"/>
        </w:rPr>
        <w:t xml:space="preserve"> </w:t>
      </w:r>
      <w:r w:rsidRPr="007746E8">
        <w:rPr>
          <w:sz w:val="20"/>
          <w:szCs w:val="20"/>
        </w:rPr>
        <w:t>26.04.2016. MK protokols Nr.</w:t>
      </w:r>
      <w:r>
        <w:rPr>
          <w:sz w:val="20"/>
          <w:szCs w:val="20"/>
        </w:rPr>
        <w:t xml:space="preserve"> </w:t>
      </w:r>
      <w:r w:rsidRPr="007746E8">
        <w:rPr>
          <w:sz w:val="20"/>
          <w:szCs w:val="20"/>
        </w:rPr>
        <w:t>20 19</w:t>
      </w:r>
      <w:r>
        <w:rPr>
          <w:sz w:val="20"/>
          <w:szCs w:val="20"/>
        </w:rPr>
        <w:t>.</w:t>
      </w:r>
      <w:r w:rsidRPr="007746E8">
        <w:rPr>
          <w:sz w:val="20"/>
          <w:szCs w:val="20"/>
        </w:rPr>
        <w:t>§  nosaka pagarināt uzdevuma izpildes termiņu līdz 2016.</w:t>
      </w:r>
      <w:r>
        <w:rPr>
          <w:sz w:val="20"/>
          <w:szCs w:val="20"/>
        </w:rPr>
        <w:t xml:space="preserve"> </w:t>
      </w:r>
      <w:r w:rsidRPr="007746E8">
        <w:rPr>
          <w:sz w:val="20"/>
          <w:szCs w:val="20"/>
        </w:rPr>
        <w:t>gada 30.</w:t>
      </w:r>
      <w:r>
        <w:rPr>
          <w:sz w:val="20"/>
          <w:szCs w:val="20"/>
        </w:rPr>
        <w:t xml:space="preserve"> </w:t>
      </w:r>
      <w:r w:rsidRPr="007746E8">
        <w:rPr>
          <w:sz w:val="20"/>
          <w:szCs w:val="20"/>
        </w:rPr>
        <w:t>septembrim.</w:t>
      </w:r>
    </w:p>
  </w:footnote>
  <w:footnote w:id="2">
    <w:p w:rsidR="00E12D33" w:rsidRDefault="00E12D33" w:rsidP="00FB09D0">
      <w:pPr>
        <w:pStyle w:val="FootnoteText"/>
        <w:jc w:val="both"/>
      </w:pPr>
      <w:r>
        <w:rPr>
          <w:rStyle w:val="FootnoteReference"/>
        </w:rPr>
        <w:footnoteRef/>
      </w:r>
      <w:r>
        <w:t xml:space="preserve"> Starptautiskais jauniešu smēķēšanas pētījums. 2014.gada aptauja Latvijā un tendences.</w:t>
      </w:r>
    </w:p>
  </w:footnote>
  <w:footnote w:id="3">
    <w:p w:rsidR="00E12D33" w:rsidRDefault="00E12D33" w:rsidP="00FB09D0">
      <w:pPr>
        <w:pStyle w:val="FootnoteText"/>
        <w:jc w:val="both"/>
      </w:pPr>
      <w:r>
        <w:rPr>
          <w:rStyle w:val="FootnoteReference"/>
        </w:rPr>
        <w:footnoteRef/>
      </w:r>
      <w:r>
        <w:t xml:space="preserve"> DKFZ 2013. </w:t>
      </w:r>
      <w:proofErr w:type="spellStart"/>
      <w:r>
        <w:t>Electronic</w:t>
      </w:r>
      <w:proofErr w:type="spellEnd"/>
      <w:r>
        <w:t xml:space="preserve"> </w:t>
      </w:r>
      <w:proofErr w:type="spellStart"/>
      <w:r>
        <w:t>cigarettes-</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German</w:t>
      </w:r>
      <w:proofErr w:type="spellEnd"/>
      <w:r>
        <w:t xml:space="preserve"> </w:t>
      </w:r>
      <w:proofErr w:type="spellStart"/>
      <w:r>
        <w:t>Cancer</w:t>
      </w:r>
      <w:proofErr w:type="spellEnd"/>
      <w:r>
        <w:t xml:space="preserve"> </w:t>
      </w:r>
      <w:proofErr w:type="spellStart"/>
      <w:r>
        <w:t>Research</w:t>
      </w:r>
      <w:proofErr w:type="spellEnd"/>
      <w:r>
        <w:t xml:space="preserve"> </w:t>
      </w:r>
      <w:proofErr w:type="spellStart"/>
      <w:r>
        <w:t>Center</w:t>
      </w:r>
      <w:proofErr w:type="spellEnd"/>
      <w:r>
        <w:t xml:space="preserve">. </w:t>
      </w:r>
    </w:p>
  </w:footnote>
  <w:footnote w:id="4">
    <w:p w:rsidR="00E12D33" w:rsidRDefault="00E12D33" w:rsidP="00FB09D0">
      <w:pPr>
        <w:pStyle w:val="FootnoteText"/>
        <w:jc w:val="both"/>
      </w:pPr>
      <w:r>
        <w:rPr>
          <w:rStyle w:val="FootnoteReference"/>
        </w:rPr>
        <w:footnoteRef/>
      </w:r>
      <w:r>
        <w:t xml:space="preserve"> DKFZ 2013. </w:t>
      </w:r>
      <w:proofErr w:type="spellStart"/>
      <w:r>
        <w:t>Electronic</w:t>
      </w:r>
      <w:proofErr w:type="spellEnd"/>
      <w:r>
        <w:t xml:space="preserve"> </w:t>
      </w:r>
      <w:proofErr w:type="spellStart"/>
      <w:r>
        <w:t>cigarettes-</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German</w:t>
      </w:r>
      <w:proofErr w:type="spellEnd"/>
      <w:r>
        <w:t xml:space="preserve"> </w:t>
      </w:r>
      <w:proofErr w:type="spellStart"/>
      <w:r>
        <w:t>Cancer</w:t>
      </w:r>
      <w:proofErr w:type="spellEnd"/>
      <w:r>
        <w:t xml:space="preserve"> </w:t>
      </w:r>
      <w:proofErr w:type="spellStart"/>
      <w:r>
        <w:t>Research</w:t>
      </w:r>
      <w:proofErr w:type="spellEnd"/>
      <w:r>
        <w:t xml:space="preserve"> </w:t>
      </w:r>
      <w:proofErr w:type="spellStart"/>
      <w:r>
        <w:t>Center</w:t>
      </w:r>
      <w:proofErr w:type="spellEnd"/>
      <w:r>
        <w:t xml:space="preserve">. </w:t>
      </w:r>
    </w:p>
  </w:footnote>
  <w:footnote w:id="5">
    <w:p w:rsidR="00E12D33" w:rsidRDefault="00E12D33" w:rsidP="00FB09D0">
      <w:pPr>
        <w:pStyle w:val="FootnoteText"/>
        <w:jc w:val="both"/>
      </w:pPr>
      <w:r w:rsidRPr="009C372B">
        <w:rPr>
          <w:rStyle w:val="FootnoteReference"/>
        </w:rPr>
        <w:footnoteRef/>
      </w:r>
      <w:r w:rsidRPr="009C372B">
        <w:t xml:space="preserve"> </w:t>
      </w:r>
      <w:proofErr w:type="spellStart"/>
      <w:r w:rsidRPr="009C372B">
        <w:t>McCauley</w:t>
      </w:r>
      <w:proofErr w:type="spellEnd"/>
      <w:r w:rsidRPr="009C372B">
        <w:t xml:space="preserve">, L, </w:t>
      </w:r>
      <w:proofErr w:type="spellStart"/>
      <w:r w:rsidRPr="009C372B">
        <w:t>Markin</w:t>
      </w:r>
      <w:proofErr w:type="spellEnd"/>
      <w:r w:rsidRPr="009C372B">
        <w:t xml:space="preserve"> C &amp; </w:t>
      </w:r>
      <w:proofErr w:type="spellStart"/>
      <w:r w:rsidRPr="009C372B">
        <w:t>Hsomer</w:t>
      </w:r>
      <w:proofErr w:type="spellEnd"/>
      <w:r w:rsidRPr="009C372B">
        <w:t xml:space="preserve"> D (2012) </w:t>
      </w:r>
      <w:proofErr w:type="spellStart"/>
      <w:r w:rsidRPr="009C372B">
        <w:t>An</w:t>
      </w:r>
      <w:proofErr w:type="spellEnd"/>
      <w:r w:rsidRPr="009C372B">
        <w:t xml:space="preserve"> </w:t>
      </w:r>
      <w:proofErr w:type="spellStart"/>
      <w:r w:rsidRPr="009C372B">
        <w:t>unexpected</w:t>
      </w:r>
      <w:proofErr w:type="spellEnd"/>
      <w:r w:rsidRPr="009C372B">
        <w:t xml:space="preserve"> </w:t>
      </w:r>
      <w:proofErr w:type="spellStart"/>
      <w:r w:rsidRPr="009C372B">
        <w:t>consequence</w:t>
      </w:r>
      <w:proofErr w:type="spellEnd"/>
      <w:r w:rsidRPr="009C372B">
        <w:t xml:space="preserve"> </w:t>
      </w:r>
      <w:proofErr w:type="spellStart"/>
      <w:r w:rsidRPr="009C372B">
        <w:t>of</w:t>
      </w:r>
      <w:proofErr w:type="spellEnd"/>
      <w:r w:rsidRPr="009C372B">
        <w:t xml:space="preserve"> </w:t>
      </w:r>
      <w:proofErr w:type="spellStart"/>
      <w:r w:rsidRPr="009C372B">
        <w:t>electronic</w:t>
      </w:r>
      <w:proofErr w:type="spellEnd"/>
      <w:r w:rsidRPr="009C372B">
        <w:t xml:space="preserve"> </w:t>
      </w:r>
      <w:proofErr w:type="spellStart"/>
      <w:r w:rsidRPr="009C372B">
        <w:t>cigarette</w:t>
      </w:r>
      <w:proofErr w:type="spellEnd"/>
      <w:r w:rsidRPr="009C372B">
        <w:t xml:space="preserve"> </w:t>
      </w:r>
      <w:proofErr w:type="spellStart"/>
      <w:r w:rsidRPr="009C372B">
        <w:t>use</w:t>
      </w:r>
      <w:proofErr w:type="spellEnd"/>
      <w:r w:rsidRPr="009C372B">
        <w:t xml:space="preserve">. </w:t>
      </w:r>
      <w:proofErr w:type="spellStart"/>
      <w:r w:rsidRPr="009C372B">
        <w:t>Chest</w:t>
      </w:r>
      <w:proofErr w:type="spellEnd"/>
      <w:r w:rsidRPr="009C372B">
        <w:t xml:space="preserve"> 141: 1110-1113</w:t>
      </w:r>
    </w:p>
  </w:footnote>
  <w:footnote w:id="6">
    <w:p w:rsidR="00E12D33" w:rsidRDefault="00E12D33" w:rsidP="00FB09D0">
      <w:pPr>
        <w:pStyle w:val="FootnoteText"/>
        <w:jc w:val="both"/>
      </w:pPr>
      <w:r>
        <w:rPr>
          <w:rStyle w:val="FootnoteReference"/>
        </w:rPr>
        <w:footnoteRef/>
      </w:r>
      <w:r>
        <w:t xml:space="preserve"> DKFZ 2013. </w:t>
      </w:r>
      <w:proofErr w:type="spellStart"/>
      <w:r>
        <w:t>Electronic</w:t>
      </w:r>
      <w:proofErr w:type="spellEnd"/>
      <w:r>
        <w:t xml:space="preserve"> </w:t>
      </w:r>
      <w:proofErr w:type="spellStart"/>
      <w:r>
        <w:t>cigarettes-</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German</w:t>
      </w:r>
      <w:proofErr w:type="spellEnd"/>
      <w:r>
        <w:t xml:space="preserve"> </w:t>
      </w:r>
      <w:proofErr w:type="spellStart"/>
      <w:r>
        <w:t>Cancer</w:t>
      </w:r>
      <w:proofErr w:type="spellEnd"/>
      <w:r>
        <w:t xml:space="preserve"> </w:t>
      </w:r>
      <w:proofErr w:type="spellStart"/>
      <w:r>
        <w:t>Research</w:t>
      </w:r>
      <w:proofErr w:type="spellEnd"/>
      <w:r>
        <w:t xml:space="preserve"> </w:t>
      </w:r>
      <w:proofErr w:type="spellStart"/>
      <w:r>
        <w:t>Center</w:t>
      </w:r>
      <w:proofErr w:type="spellEnd"/>
      <w:r>
        <w:t>.</w:t>
      </w:r>
    </w:p>
  </w:footnote>
  <w:footnote w:id="7">
    <w:p w:rsidR="00E12D33" w:rsidRDefault="00E12D33" w:rsidP="00FB09D0">
      <w:pPr>
        <w:pStyle w:val="FootnoteText"/>
        <w:jc w:val="both"/>
      </w:pPr>
      <w:r>
        <w:rPr>
          <w:rStyle w:val="FootnoteReference"/>
        </w:rPr>
        <w:footnoteRef/>
      </w:r>
      <w:r>
        <w:t xml:space="preserve"> DKFZ 2013. </w:t>
      </w:r>
      <w:proofErr w:type="spellStart"/>
      <w:r>
        <w:t>Electronic</w:t>
      </w:r>
      <w:proofErr w:type="spellEnd"/>
      <w:r>
        <w:t xml:space="preserve"> </w:t>
      </w:r>
      <w:proofErr w:type="spellStart"/>
      <w:r>
        <w:t>cigarettes-</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German</w:t>
      </w:r>
      <w:proofErr w:type="spellEnd"/>
      <w:r>
        <w:t xml:space="preserve"> </w:t>
      </w:r>
      <w:proofErr w:type="spellStart"/>
      <w:r>
        <w:t>Cancer</w:t>
      </w:r>
      <w:proofErr w:type="spellEnd"/>
      <w:r>
        <w:t xml:space="preserve"> </w:t>
      </w:r>
      <w:proofErr w:type="spellStart"/>
      <w:r>
        <w:t>Research</w:t>
      </w:r>
      <w:proofErr w:type="spellEnd"/>
      <w:r>
        <w:t xml:space="preserve"> </w:t>
      </w:r>
      <w:proofErr w:type="spellStart"/>
      <w:r>
        <w:t>Center</w:t>
      </w:r>
      <w:proofErr w:type="spellEnd"/>
      <w:r>
        <w:t>.</w:t>
      </w:r>
    </w:p>
  </w:footnote>
  <w:footnote w:id="8">
    <w:p w:rsidR="00E12D33" w:rsidRDefault="00E12D33" w:rsidP="00FB09D0">
      <w:pPr>
        <w:pStyle w:val="FootnoteText"/>
        <w:jc w:val="both"/>
      </w:pPr>
      <w:r>
        <w:rPr>
          <w:rStyle w:val="FootnoteReference"/>
        </w:rPr>
        <w:footnoteRef/>
      </w:r>
      <w:r>
        <w:t xml:space="preserve"> MHRA (2013) </w:t>
      </w:r>
      <w:proofErr w:type="spellStart"/>
      <w:r>
        <w:t>The</w:t>
      </w:r>
      <w:proofErr w:type="spellEnd"/>
      <w:r>
        <w:t xml:space="preserve"> </w:t>
      </w:r>
      <w:proofErr w:type="spellStart"/>
      <w:r>
        <w:t>Regulation</w:t>
      </w:r>
      <w:proofErr w:type="spellEnd"/>
      <w:r>
        <w:t xml:space="preserve"> </w:t>
      </w:r>
      <w:proofErr w:type="spellStart"/>
      <w:r>
        <w:t>of</w:t>
      </w:r>
      <w:proofErr w:type="spellEnd"/>
      <w:r>
        <w:t xml:space="preserve"> </w:t>
      </w:r>
      <w:proofErr w:type="spellStart"/>
      <w:r>
        <w:t>Nicotine</w:t>
      </w:r>
      <w:proofErr w:type="spellEnd"/>
      <w:r>
        <w:t xml:space="preserve"> </w:t>
      </w:r>
      <w:proofErr w:type="spellStart"/>
      <w:r>
        <w:t>Containing</w:t>
      </w:r>
      <w:proofErr w:type="spellEnd"/>
      <w:r>
        <w:t xml:space="preserve"> </w:t>
      </w:r>
      <w:proofErr w:type="spellStart"/>
      <w:r>
        <w:t>Products</w:t>
      </w:r>
      <w:proofErr w:type="spellEnd"/>
      <w:r>
        <w:t>.</w:t>
      </w:r>
    </w:p>
  </w:footnote>
  <w:footnote w:id="9">
    <w:p w:rsidR="00E12D33" w:rsidRPr="00640EDE" w:rsidRDefault="00E12D33" w:rsidP="00FB09D0">
      <w:pPr>
        <w:jc w:val="both"/>
        <w:rPr>
          <w:bCs/>
          <w:sz w:val="20"/>
          <w:szCs w:val="20"/>
          <w:lang w:val="en-US"/>
        </w:rPr>
      </w:pPr>
      <w:r w:rsidRPr="00640EDE">
        <w:rPr>
          <w:rStyle w:val="FootnoteReference"/>
          <w:sz w:val="20"/>
          <w:szCs w:val="20"/>
        </w:rPr>
        <w:footnoteRef/>
      </w:r>
      <w:r w:rsidRPr="00640EDE">
        <w:rPr>
          <w:sz w:val="20"/>
          <w:szCs w:val="20"/>
        </w:rPr>
        <w:t xml:space="preserve"> </w:t>
      </w:r>
      <w:r>
        <w:rPr>
          <w:sz w:val="20"/>
          <w:szCs w:val="20"/>
        </w:rPr>
        <w:t xml:space="preserve">U.S. </w:t>
      </w:r>
      <w:r w:rsidRPr="00640EDE">
        <w:rPr>
          <w:bCs/>
          <w:sz w:val="20"/>
          <w:szCs w:val="20"/>
          <w:lang w:val="en-US"/>
        </w:rPr>
        <w:t xml:space="preserve">Food and Drug Administration (FDA). 2009. Evaluation of e-cigarettes. DPARFY-09-23, 4 May. </w:t>
      </w:r>
    </w:p>
  </w:footnote>
  <w:footnote w:id="10">
    <w:p w:rsidR="00E12D33" w:rsidRPr="00640EDE" w:rsidRDefault="00E12D33" w:rsidP="00FB09D0">
      <w:pPr>
        <w:shd w:val="clear" w:color="auto" w:fill="FFFFFF"/>
        <w:jc w:val="both"/>
        <w:rPr>
          <w:sz w:val="20"/>
          <w:szCs w:val="20"/>
        </w:rPr>
      </w:pPr>
      <w:r w:rsidRPr="00640EDE">
        <w:rPr>
          <w:rStyle w:val="FootnoteReference"/>
          <w:sz w:val="20"/>
          <w:szCs w:val="20"/>
        </w:rPr>
        <w:footnoteRef/>
      </w:r>
      <w:r w:rsidRPr="00640EDE">
        <w:rPr>
          <w:sz w:val="20"/>
          <w:szCs w:val="20"/>
        </w:rPr>
        <w:t xml:space="preserve"> </w:t>
      </w:r>
      <w:proofErr w:type="spellStart"/>
      <w:r w:rsidRPr="00640EDE">
        <w:rPr>
          <w:sz w:val="20"/>
          <w:szCs w:val="20"/>
        </w:rPr>
        <w:t>Hadwiger</w:t>
      </w:r>
      <w:proofErr w:type="spellEnd"/>
      <w:r w:rsidRPr="00640EDE">
        <w:rPr>
          <w:sz w:val="20"/>
          <w:szCs w:val="20"/>
        </w:rPr>
        <w:t xml:space="preserve"> ME, </w:t>
      </w:r>
      <w:proofErr w:type="spellStart"/>
      <w:r w:rsidRPr="00640EDE">
        <w:rPr>
          <w:sz w:val="20"/>
          <w:szCs w:val="20"/>
        </w:rPr>
        <w:t>Trehy</w:t>
      </w:r>
      <w:proofErr w:type="spellEnd"/>
      <w:r w:rsidRPr="00640EDE">
        <w:rPr>
          <w:sz w:val="20"/>
          <w:szCs w:val="20"/>
        </w:rPr>
        <w:t xml:space="preserve"> ML, </w:t>
      </w:r>
      <w:proofErr w:type="spellStart"/>
      <w:r w:rsidRPr="00640EDE">
        <w:rPr>
          <w:sz w:val="20"/>
          <w:szCs w:val="20"/>
        </w:rPr>
        <w:t>Ye</w:t>
      </w:r>
      <w:proofErr w:type="spellEnd"/>
      <w:r w:rsidRPr="00640EDE">
        <w:rPr>
          <w:sz w:val="20"/>
          <w:szCs w:val="20"/>
        </w:rPr>
        <w:t xml:space="preserve"> W, </w:t>
      </w:r>
      <w:proofErr w:type="spellStart"/>
      <w:r w:rsidRPr="00640EDE">
        <w:rPr>
          <w:sz w:val="20"/>
          <w:szCs w:val="20"/>
        </w:rPr>
        <w:t>Moore</w:t>
      </w:r>
      <w:proofErr w:type="spellEnd"/>
      <w:r w:rsidRPr="00640EDE">
        <w:rPr>
          <w:sz w:val="20"/>
          <w:szCs w:val="20"/>
        </w:rPr>
        <w:t xml:space="preserve"> T, </w:t>
      </w:r>
      <w:proofErr w:type="spellStart"/>
      <w:r w:rsidRPr="00640EDE">
        <w:rPr>
          <w:sz w:val="20"/>
          <w:szCs w:val="20"/>
        </w:rPr>
        <w:t>Allgire</w:t>
      </w:r>
      <w:proofErr w:type="spellEnd"/>
      <w:r w:rsidRPr="00640EDE">
        <w:rPr>
          <w:sz w:val="20"/>
          <w:szCs w:val="20"/>
        </w:rPr>
        <w:t xml:space="preserve"> J, </w:t>
      </w:r>
      <w:proofErr w:type="spellStart"/>
      <w:r w:rsidRPr="00640EDE">
        <w:rPr>
          <w:sz w:val="20"/>
          <w:szCs w:val="20"/>
        </w:rPr>
        <w:t>Westenberger</w:t>
      </w:r>
      <w:proofErr w:type="spellEnd"/>
      <w:r w:rsidRPr="00640EDE">
        <w:rPr>
          <w:sz w:val="20"/>
          <w:szCs w:val="20"/>
        </w:rPr>
        <w:t xml:space="preserve"> </w:t>
      </w:r>
      <w:proofErr w:type="spellStart"/>
      <w:r w:rsidRPr="00640EDE">
        <w:rPr>
          <w:sz w:val="20"/>
          <w:szCs w:val="20"/>
        </w:rPr>
        <w:t>B.Identification</w:t>
      </w:r>
      <w:proofErr w:type="spellEnd"/>
      <w:r w:rsidRPr="00640EDE">
        <w:rPr>
          <w:sz w:val="20"/>
          <w:szCs w:val="20"/>
        </w:rPr>
        <w:t xml:space="preserve"> </w:t>
      </w:r>
      <w:proofErr w:type="spellStart"/>
      <w:r w:rsidRPr="00640EDE">
        <w:rPr>
          <w:sz w:val="20"/>
          <w:szCs w:val="20"/>
        </w:rPr>
        <w:t>of</w:t>
      </w:r>
      <w:proofErr w:type="spellEnd"/>
      <w:r w:rsidRPr="00640EDE">
        <w:rPr>
          <w:sz w:val="20"/>
          <w:szCs w:val="20"/>
        </w:rPr>
        <w:t xml:space="preserve"> </w:t>
      </w:r>
      <w:proofErr w:type="spellStart"/>
      <w:r w:rsidRPr="00640EDE">
        <w:rPr>
          <w:sz w:val="20"/>
          <w:szCs w:val="20"/>
        </w:rPr>
        <w:t>amino-tadalafil</w:t>
      </w:r>
      <w:proofErr w:type="spellEnd"/>
      <w:r w:rsidRPr="00640EDE">
        <w:rPr>
          <w:sz w:val="20"/>
          <w:szCs w:val="20"/>
        </w:rPr>
        <w:t xml:space="preserve"> </w:t>
      </w:r>
      <w:proofErr w:type="spellStart"/>
      <w:r w:rsidRPr="00640EDE">
        <w:rPr>
          <w:sz w:val="20"/>
          <w:szCs w:val="20"/>
        </w:rPr>
        <w:t>and</w:t>
      </w:r>
      <w:proofErr w:type="spellEnd"/>
      <w:r w:rsidRPr="00640EDE">
        <w:rPr>
          <w:sz w:val="20"/>
          <w:szCs w:val="20"/>
        </w:rPr>
        <w:t xml:space="preserve"> </w:t>
      </w:r>
      <w:proofErr w:type="spellStart"/>
      <w:r w:rsidRPr="00640EDE">
        <w:rPr>
          <w:sz w:val="20"/>
          <w:szCs w:val="20"/>
        </w:rPr>
        <w:t>rimonabant</w:t>
      </w:r>
      <w:proofErr w:type="spellEnd"/>
      <w:r w:rsidRPr="00640EDE">
        <w:rPr>
          <w:sz w:val="20"/>
          <w:szCs w:val="20"/>
        </w:rPr>
        <w:t xml:space="preserve"> </w:t>
      </w:r>
      <w:proofErr w:type="spellStart"/>
      <w:r w:rsidRPr="00640EDE">
        <w:rPr>
          <w:sz w:val="20"/>
          <w:szCs w:val="20"/>
        </w:rPr>
        <w:t>in</w:t>
      </w:r>
      <w:proofErr w:type="spellEnd"/>
      <w:r w:rsidRPr="00640EDE">
        <w:rPr>
          <w:sz w:val="20"/>
          <w:szCs w:val="20"/>
        </w:rPr>
        <w:t xml:space="preserve"> </w:t>
      </w:r>
      <w:proofErr w:type="spellStart"/>
      <w:r w:rsidRPr="00640EDE">
        <w:rPr>
          <w:sz w:val="20"/>
          <w:szCs w:val="20"/>
        </w:rPr>
        <w:t>electronic</w:t>
      </w:r>
      <w:proofErr w:type="spellEnd"/>
      <w:r w:rsidRPr="00640EDE">
        <w:rPr>
          <w:sz w:val="20"/>
          <w:szCs w:val="20"/>
        </w:rPr>
        <w:t xml:space="preserve"> </w:t>
      </w:r>
      <w:proofErr w:type="spellStart"/>
      <w:r w:rsidRPr="00640EDE">
        <w:rPr>
          <w:sz w:val="20"/>
          <w:szCs w:val="20"/>
        </w:rPr>
        <w:t>cigarette</w:t>
      </w:r>
      <w:proofErr w:type="spellEnd"/>
      <w:r w:rsidRPr="00640EDE">
        <w:rPr>
          <w:sz w:val="20"/>
          <w:szCs w:val="20"/>
        </w:rPr>
        <w:t xml:space="preserve"> </w:t>
      </w:r>
      <w:proofErr w:type="spellStart"/>
      <w:r w:rsidRPr="00640EDE">
        <w:rPr>
          <w:sz w:val="20"/>
          <w:szCs w:val="20"/>
        </w:rPr>
        <w:t>products</w:t>
      </w:r>
      <w:proofErr w:type="spellEnd"/>
      <w:r w:rsidRPr="00640EDE">
        <w:rPr>
          <w:sz w:val="20"/>
          <w:szCs w:val="20"/>
        </w:rPr>
        <w:t xml:space="preserve"> </w:t>
      </w:r>
      <w:proofErr w:type="spellStart"/>
      <w:r w:rsidRPr="00640EDE">
        <w:rPr>
          <w:sz w:val="20"/>
          <w:szCs w:val="20"/>
        </w:rPr>
        <w:t>using</w:t>
      </w:r>
      <w:proofErr w:type="spellEnd"/>
      <w:r w:rsidRPr="00640EDE">
        <w:rPr>
          <w:sz w:val="20"/>
          <w:szCs w:val="20"/>
        </w:rPr>
        <w:t xml:space="preserve"> </w:t>
      </w:r>
      <w:proofErr w:type="spellStart"/>
      <w:r w:rsidRPr="00640EDE">
        <w:rPr>
          <w:sz w:val="20"/>
          <w:szCs w:val="20"/>
        </w:rPr>
        <w:t>high</w:t>
      </w:r>
      <w:proofErr w:type="spellEnd"/>
      <w:r w:rsidRPr="00640EDE">
        <w:rPr>
          <w:sz w:val="20"/>
          <w:szCs w:val="20"/>
        </w:rPr>
        <w:t xml:space="preserve"> </w:t>
      </w:r>
      <w:proofErr w:type="spellStart"/>
      <w:r w:rsidRPr="00640EDE">
        <w:rPr>
          <w:sz w:val="20"/>
          <w:szCs w:val="20"/>
        </w:rPr>
        <w:t>pressure</w:t>
      </w:r>
      <w:proofErr w:type="spellEnd"/>
      <w:r w:rsidRPr="00640EDE">
        <w:rPr>
          <w:sz w:val="20"/>
          <w:szCs w:val="20"/>
        </w:rPr>
        <w:t xml:space="preserve"> </w:t>
      </w:r>
      <w:proofErr w:type="spellStart"/>
      <w:r w:rsidRPr="00640EDE">
        <w:rPr>
          <w:sz w:val="20"/>
          <w:szCs w:val="20"/>
        </w:rPr>
        <w:t>liquid</w:t>
      </w:r>
      <w:proofErr w:type="spellEnd"/>
      <w:r w:rsidRPr="00640EDE">
        <w:rPr>
          <w:sz w:val="20"/>
          <w:szCs w:val="20"/>
        </w:rPr>
        <w:t xml:space="preserve"> </w:t>
      </w:r>
      <w:proofErr w:type="spellStart"/>
      <w:r w:rsidRPr="00640EDE">
        <w:rPr>
          <w:sz w:val="20"/>
          <w:szCs w:val="20"/>
        </w:rPr>
        <w:t>chromatography</w:t>
      </w:r>
      <w:proofErr w:type="spellEnd"/>
      <w:r w:rsidRPr="00640EDE">
        <w:rPr>
          <w:sz w:val="20"/>
          <w:szCs w:val="20"/>
        </w:rPr>
        <w:t xml:space="preserve"> </w:t>
      </w:r>
      <w:proofErr w:type="spellStart"/>
      <w:r w:rsidRPr="00640EDE">
        <w:rPr>
          <w:sz w:val="20"/>
          <w:szCs w:val="20"/>
        </w:rPr>
        <w:t>with</w:t>
      </w:r>
      <w:proofErr w:type="spellEnd"/>
      <w:r w:rsidRPr="00640EDE">
        <w:rPr>
          <w:sz w:val="20"/>
          <w:szCs w:val="20"/>
        </w:rPr>
        <w:t xml:space="preserve"> diode </w:t>
      </w:r>
      <w:proofErr w:type="spellStart"/>
      <w:r w:rsidRPr="00640EDE">
        <w:rPr>
          <w:sz w:val="20"/>
          <w:szCs w:val="20"/>
        </w:rPr>
        <w:t>array</w:t>
      </w:r>
      <w:proofErr w:type="spellEnd"/>
      <w:r w:rsidRPr="00640EDE">
        <w:rPr>
          <w:sz w:val="20"/>
          <w:szCs w:val="20"/>
        </w:rPr>
        <w:t xml:space="preserve"> </w:t>
      </w:r>
      <w:proofErr w:type="spellStart"/>
      <w:r w:rsidRPr="00640EDE">
        <w:rPr>
          <w:sz w:val="20"/>
          <w:szCs w:val="20"/>
        </w:rPr>
        <w:t>and</w:t>
      </w:r>
      <w:proofErr w:type="spellEnd"/>
      <w:r w:rsidRPr="00640EDE">
        <w:rPr>
          <w:sz w:val="20"/>
          <w:szCs w:val="20"/>
        </w:rPr>
        <w:t xml:space="preserve"> </w:t>
      </w:r>
      <w:proofErr w:type="spellStart"/>
      <w:r w:rsidRPr="00640EDE">
        <w:rPr>
          <w:sz w:val="20"/>
          <w:szCs w:val="20"/>
        </w:rPr>
        <w:t>tandem</w:t>
      </w:r>
      <w:proofErr w:type="spellEnd"/>
      <w:r w:rsidRPr="00640EDE">
        <w:rPr>
          <w:sz w:val="20"/>
          <w:szCs w:val="20"/>
        </w:rPr>
        <w:t xml:space="preserve"> </w:t>
      </w:r>
      <w:proofErr w:type="spellStart"/>
      <w:r w:rsidRPr="00640EDE">
        <w:rPr>
          <w:sz w:val="20"/>
          <w:szCs w:val="20"/>
        </w:rPr>
        <w:t>mass</w:t>
      </w:r>
      <w:proofErr w:type="spellEnd"/>
      <w:r w:rsidRPr="00640EDE">
        <w:rPr>
          <w:sz w:val="20"/>
          <w:szCs w:val="20"/>
        </w:rPr>
        <w:t xml:space="preserve"> </w:t>
      </w:r>
      <w:proofErr w:type="spellStart"/>
      <w:r w:rsidRPr="00640EDE">
        <w:rPr>
          <w:sz w:val="20"/>
          <w:szCs w:val="20"/>
        </w:rPr>
        <w:t>spectrometric</w:t>
      </w:r>
      <w:proofErr w:type="spellEnd"/>
      <w:r w:rsidRPr="00640EDE">
        <w:rPr>
          <w:sz w:val="20"/>
          <w:szCs w:val="20"/>
        </w:rPr>
        <w:t xml:space="preserve"> </w:t>
      </w:r>
      <w:proofErr w:type="spellStart"/>
      <w:r w:rsidRPr="00640EDE">
        <w:rPr>
          <w:sz w:val="20"/>
          <w:szCs w:val="20"/>
        </w:rPr>
        <w:t>detection</w:t>
      </w:r>
      <w:proofErr w:type="spellEnd"/>
      <w:r w:rsidRPr="00640EDE">
        <w:rPr>
          <w:sz w:val="20"/>
          <w:szCs w:val="20"/>
        </w:rPr>
        <w:t>.</w:t>
      </w:r>
      <w:r>
        <w:rPr>
          <w:sz w:val="20"/>
          <w:szCs w:val="20"/>
        </w:rPr>
        <w:t xml:space="preserve"> </w:t>
      </w:r>
      <w:proofErr w:type="spellStart"/>
      <w:r w:rsidRPr="00640EDE">
        <w:rPr>
          <w:sz w:val="20"/>
          <w:szCs w:val="20"/>
        </w:rPr>
        <w:t>Journal</w:t>
      </w:r>
      <w:proofErr w:type="spellEnd"/>
      <w:r w:rsidRPr="00640EDE">
        <w:rPr>
          <w:sz w:val="20"/>
          <w:szCs w:val="20"/>
        </w:rPr>
        <w:t xml:space="preserve"> </w:t>
      </w:r>
      <w:proofErr w:type="spellStart"/>
      <w:r w:rsidRPr="00640EDE">
        <w:rPr>
          <w:sz w:val="20"/>
          <w:szCs w:val="20"/>
        </w:rPr>
        <w:t>of</w:t>
      </w:r>
      <w:proofErr w:type="spellEnd"/>
      <w:r w:rsidRPr="00640EDE">
        <w:rPr>
          <w:sz w:val="20"/>
          <w:szCs w:val="20"/>
        </w:rPr>
        <w:t xml:space="preserve"> </w:t>
      </w:r>
      <w:proofErr w:type="spellStart"/>
      <w:r w:rsidRPr="00640EDE">
        <w:rPr>
          <w:sz w:val="20"/>
          <w:szCs w:val="20"/>
        </w:rPr>
        <w:t>Chromatography</w:t>
      </w:r>
      <w:proofErr w:type="spellEnd"/>
      <w:r w:rsidRPr="00640EDE">
        <w:rPr>
          <w:sz w:val="20"/>
          <w:szCs w:val="20"/>
        </w:rPr>
        <w:t xml:space="preserve"> 2010 </w:t>
      </w:r>
      <w:proofErr w:type="spellStart"/>
      <w:r w:rsidRPr="00640EDE">
        <w:rPr>
          <w:sz w:val="20"/>
          <w:szCs w:val="20"/>
        </w:rPr>
        <w:t>Nov</w:t>
      </w:r>
      <w:proofErr w:type="spellEnd"/>
      <w:r w:rsidRPr="00640EDE">
        <w:rPr>
          <w:sz w:val="20"/>
          <w:szCs w:val="20"/>
        </w:rPr>
        <w:t xml:space="preserve"> 26;1217(48):7547-55.</w:t>
      </w:r>
    </w:p>
  </w:footnote>
  <w:footnote w:id="11">
    <w:p w:rsidR="00E12D33" w:rsidRDefault="00E12D33" w:rsidP="00FB09D0">
      <w:pPr>
        <w:pStyle w:val="FootnoteText"/>
        <w:jc w:val="both"/>
      </w:pPr>
      <w:r>
        <w:rPr>
          <w:rStyle w:val="FootnoteReference"/>
        </w:rPr>
        <w:footnoteRef/>
      </w:r>
      <w:r>
        <w:t xml:space="preserve"> DKFZ 2013. </w:t>
      </w:r>
      <w:proofErr w:type="spellStart"/>
      <w:r>
        <w:t>Electronic</w:t>
      </w:r>
      <w:proofErr w:type="spellEnd"/>
      <w:r>
        <w:t xml:space="preserve"> </w:t>
      </w:r>
      <w:proofErr w:type="spellStart"/>
      <w:r>
        <w:t>cigarettes-</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German</w:t>
      </w:r>
      <w:proofErr w:type="spellEnd"/>
      <w:r>
        <w:t xml:space="preserve"> </w:t>
      </w:r>
      <w:proofErr w:type="spellStart"/>
      <w:r>
        <w:t>Cancer</w:t>
      </w:r>
      <w:proofErr w:type="spellEnd"/>
      <w:r>
        <w:t xml:space="preserve"> </w:t>
      </w:r>
      <w:proofErr w:type="spellStart"/>
      <w:r>
        <w:t>Research</w:t>
      </w:r>
      <w:proofErr w:type="spellEnd"/>
      <w:r>
        <w:t xml:space="preserve"> </w:t>
      </w:r>
      <w:proofErr w:type="spellStart"/>
      <w:r>
        <w:t>Center</w:t>
      </w:r>
      <w:proofErr w:type="spellEnd"/>
      <w:r>
        <w:t>.</w:t>
      </w:r>
    </w:p>
  </w:footnote>
  <w:footnote w:id="12">
    <w:p w:rsidR="00E12D33" w:rsidRPr="00A059DE" w:rsidRDefault="00E12D33" w:rsidP="00FB09D0">
      <w:pPr>
        <w:jc w:val="both"/>
        <w:rPr>
          <w:bCs/>
          <w:sz w:val="20"/>
          <w:szCs w:val="20"/>
          <w:lang w:val="en-US"/>
        </w:rPr>
      </w:pPr>
      <w:r>
        <w:rPr>
          <w:rStyle w:val="FootnoteReference"/>
        </w:rPr>
        <w:footnoteRef/>
      </w:r>
      <w:r>
        <w:t xml:space="preserve"> </w:t>
      </w:r>
      <w:proofErr w:type="spellStart"/>
      <w:r w:rsidRPr="00C759B9">
        <w:rPr>
          <w:bCs/>
          <w:sz w:val="20"/>
          <w:szCs w:val="20"/>
          <w:lang w:val="en-US"/>
        </w:rPr>
        <w:t>Etter</w:t>
      </w:r>
      <w:proofErr w:type="spellEnd"/>
      <w:r w:rsidRPr="00C759B9">
        <w:rPr>
          <w:bCs/>
          <w:sz w:val="20"/>
          <w:szCs w:val="20"/>
          <w:lang w:val="en-US"/>
        </w:rPr>
        <w:t xml:space="preserve"> JF, </w:t>
      </w:r>
      <w:proofErr w:type="spellStart"/>
      <w:r w:rsidRPr="00C759B9">
        <w:rPr>
          <w:bCs/>
          <w:sz w:val="20"/>
          <w:szCs w:val="20"/>
          <w:lang w:val="en-US"/>
        </w:rPr>
        <w:t>Bullen</w:t>
      </w:r>
      <w:proofErr w:type="spellEnd"/>
      <w:r w:rsidRPr="00C759B9">
        <w:rPr>
          <w:bCs/>
          <w:sz w:val="20"/>
          <w:szCs w:val="20"/>
          <w:lang w:val="en-US"/>
        </w:rPr>
        <w:t xml:space="preserve"> C. Electronic </w:t>
      </w:r>
      <w:proofErr w:type="spellStart"/>
      <w:r w:rsidRPr="00C759B9">
        <w:rPr>
          <w:bCs/>
          <w:sz w:val="20"/>
          <w:szCs w:val="20"/>
          <w:lang w:val="en-US"/>
        </w:rPr>
        <w:t>cigarete</w:t>
      </w:r>
      <w:proofErr w:type="spellEnd"/>
      <w:r w:rsidRPr="00C759B9">
        <w:rPr>
          <w:bCs/>
          <w:sz w:val="20"/>
          <w:szCs w:val="20"/>
          <w:lang w:val="en-US"/>
        </w:rPr>
        <w:t xml:space="preserve">: users profile, utilization, satisfaction and perceived efficacy. </w:t>
      </w:r>
      <w:proofErr w:type="gramStart"/>
      <w:r w:rsidRPr="00C759B9">
        <w:rPr>
          <w:bCs/>
          <w:sz w:val="20"/>
          <w:szCs w:val="20"/>
          <w:lang w:val="en-US"/>
        </w:rPr>
        <w:t>Addiction 2011; 106: 2017-2028</w:t>
      </w:r>
      <w:r>
        <w:rPr>
          <w:bCs/>
          <w:sz w:val="20"/>
          <w:szCs w:val="20"/>
          <w:lang w:val="en-US"/>
        </w:rPr>
        <w:t xml:space="preserve">; </w:t>
      </w:r>
      <w:proofErr w:type="spellStart"/>
      <w:r w:rsidRPr="00C759B9">
        <w:rPr>
          <w:bCs/>
          <w:sz w:val="20"/>
          <w:szCs w:val="20"/>
          <w:lang w:val="en-US"/>
        </w:rPr>
        <w:t>Etter</w:t>
      </w:r>
      <w:proofErr w:type="spellEnd"/>
      <w:r w:rsidRPr="00C759B9">
        <w:rPr>
          <w:bCs/>
          <w:sz w:val="20"/>
          <w:szCs w:val="20"/>
          <w:lang w:val="en-US"/>
        </w:rPr>
        <w:t xml:space="preserve"> JF.</w:t>
      </w:r>
      <w:proofErr w:type="gramEnd"/>
      <w:r w:rsidRPr="00C759B9">
        <w:rPr>
          <w:bCs/>
          <w:sz w:val="20"/>
          <w:szCs w:val="20"/>
          <w:lang w:val="en-US"/>
        </w:rPr>
        <w:t xml:space="preserve"> Electronic </w:t>
      </w:r>
      <w:proofErr w:type="spellStart"/>
      <w:r w:rsidRPr="00C759B9">
        <w:rPr>
          <w:bCs/>
          <w:sz w:val="20"/>
          <w:szCs w:val="20"/>
          <w:lang w:val="en-US"/>
        </w:rPr>
        <w:t>cigaretes</w:t>
      </w:r>
      <w:proofErr w:type="spellEnd"/>
      <w:r w:rsidRPr="00C759B9">
        <w:rPr>
          <w:bCs/>
          <w:sz w:val="20"/>
          <w:szCs w:val="20"/>
          <w:lang w:val="en-US"/>
        </w:rPr>
        <w:t>: a survey of users. BMC Public Health 2010; 10:231.</w:t>
      </w:r>
      <w:r w:rsidRPr="00C759B9">
        <w:rPr>
          <w:sz w:val="20"/>
          <w:szCs w:val="20"/>
        </w:rPr>
        <w:t xml:space="preserve"> </w:t>
      </w:r>
      <w:hyperlink r:id="rId1" w:history="1">
        <w:proofErr w:type="gramStart"/>
        <w:r w:rsidRPr="00C759B9">
          <w:rPr>
            <w:rStyle w:val="Hyperlink"/>
            <w:bCs/>
            <w:sz w:val="20"/>
            <w:szCs w:val="20"/>
            <w:lang w:val="en-US"/>
          </w:rPr>
          <w:t>http://www.fda.gov/downloads/Drugs/ScienceResearch/UCM173250.pdf</w:t>
        </w:r>
      </w:hyperlink>
      <w:r>
        <w:t xml:space="preserve">; </w:t>
      </w:r>
      <w:r w:rsidRPr="00C759B9">
        <w:rPr>
          <w:bCs/>
          <w:sz w:val="20"/>
          <w:szCs w:val="20"/>
          <w:lang w:val="en-US"/>
        </w:rPr>
        <w:t xml:space="preserve">Siegel MB, </w:t>
      </w:r>
      <w:proofErr w:type="spellStart"/>
      <w:r w:rsidRPr="00C759B9">
        <w:rPr>
          <w:bCs/>
          <w:sz w:val="20"/>
          <w:szCs w:val="20"/>
          <w:lang w:val="en-US"/>
        </w:rPr>
        <w:t>Tanwar</w:t>
      </w:r>
      <w:proofErr w:type="spellEnd"/>
      <w:r w:rsidRPr="00C759B9">
        <w:rPr>
          <w:bCs/>
          <w:sz w:val="20"/>
          <w:szCs w:val="20"/>
          <w:lang w:val="en-US"/>
        </w:rPr>
        <w:t xml:space="preserve"> KL, Wood KS.</w:t>
      </w:r>
      <w:proofErr w:type="gramEnd"/>
      <w:r w:rsidRPr="00C759B9">
        <w:rPr>
          <w:bCs/>
          <w:sz w:val="20"/>
          <w:szCs w:val="20"/>
          <w:lang w:val="en-US"/>
        </w:rPr>
        <w:t xml:space="preserve"> Electronic </w:t>
      </w:r>
      <w:proofErr w:type="spellStart"/>
      <w:r w:rsidRPr="00C759B9">
        <w:rPr>
          <w:bCs/>
          <w:sz w:val="20"/>
          <w:szCs w:val="20"/>
          <w:lang w:val="en-US"/>
        </w:rPr>
        <w:t>cigaretes</w:t>
      </w:r>
      <w:proofErr w:type="spellEnd"/>
      <w:r w:rsidRPr="00C759B9">
        <w:rPr>
          <w:bCs/>
          <w:sz w:val="20"/>
          <w:szCs w:val="20"/>
          <w:lang w:val="en-US"/>
        </w:rPr>
        <w:t xml:space="preserve"> </w:t>
      </w:r>
      <w:proofErr w:type="gramStart"/>
      <w:r w:rsidRPr="00C759B9">
        <w:rPr>
          <w:bCs/>
          <w:sz w:val="20"/>
          <w:szCs w:val="20"/>
          <w:lang w:val="en-US"/>
        </w:rPr>
        <w:t>as a smoking-</w:t>
      </w:r>
      <w:proofErr w:type="spellStart"/>
      <w:r w:rsidRPr="00C759B9">
        <w:rPr>
          <w:bCs/>
          <w:sz w:val="20"/>
          <w:szCs w:val="20"/>
          <w:lang w:val="en-US"/>
        </w:rPr>
        <w:t>cesaation</w:t>
      </w:r>
      <w:proofErr w:type="spellEnd"/>
      <w:r w:rsidRPr="00C759B9">
        <w:rPr>
          <w:bCs/>
          <w:sz w:val="20"/>
          <w:szCs w:val="20"/>
          <w:lang w:val="en-US"/>
        </w:rPr>
        <w:t xml:space="preserve"> tool-results</w:t>
      </w:r>
      <w:proofErr w:type="gramEnd"/>
      <w:r w:rsidRPr="00C759B9">
        <w:rPr>
          <w:bCs/>
          <w:sz w:val="20"/>
          <w:szCs w:val="20"/>
          <w:lang w:val="en-US"/>
        </w:rPr>
        <w:t xml:space="preserve"> from an online survey. </w:t>
      </w:r>
      <w:proofErr w:type="gramStart"/>
      <w:r w:rsidRPr="00C759B9">
        <w:rPr>
          <w:bCs/>
          <w:sz w:val="20"/>
          <w:szCs w:val="20"/>
          <w:lang w:val="en-US"/>
        </w:rPr>
        <w:t>Am</w:t>
      </w:r>
      <w:proofErr w:type="gramEnd"/>
      <w:r>
        <w:rPr>
          <w:bCs/>
          <w:sz w:val="20"/>
          <w:szCs w:val="20"/>
          <w:lang w:val="en-US"/>
        </w:rPr>
        <w:t xml:space="preserve"> J </w:t>
      </w:r>
      <w:proofErr w:type="spellStart"/>
      <w:r>
        <w:rPr>
          <w:bCs/>
          <w:sz w:val="20"/>
          <w:szCs w:val="20"/>
          <w:lang w:val="en-US"/>
        </w:rPr>
        <w:t>Prev</w:t>
      </w:r>
      <w:proofErr w:type="spellEnd"/>
      <w:r>
        <w:rPr>
          <w:bCs/>
          <w:sz w:val="20"/>
          <w:szCs w:val="20"/>
          <w:lang w:val="en-US"/>
        </w:rPr>
        <w:t xml:space="preserve"> Med. 2011; 40: 472-475.</w:t>
      </w:r>
    </w:p>
  </w:footnote>
  <w:footnote w:id="13">
    <w:p w:rsidR="00E12D33" w:rsidRPr="005B24CC" w:rsidRDefault="00E12D33" w:rsidP="00A202A7">
      <w:pPr>
        <w:jc w:val="both"/>
        <w:rPr>
          <w:bCs/>
          <w:sz w:val="20"/>
          <w:szCs w:val="20"/>
          <w:lang w:val="en-US"/>
        </w:rPr>
      </w:pPr>
      <w:r>
        <w:rPr>
          <w:rStyle w:val="FootnoteReference"/>
        </w:rPr>
        <w:footnoteRef/>
      </w:r>
      <w:r>
        <w:t xml:space="preserve"> </w:t>
      </w:r>
      <w:r w:rsidRPr="00C759B9">
        <w:rPr>
          <w:bCs/>
          <w:sz w:val="20"/>
          <w:szCs w:val="20"/>
          <w:lang w:val="en-US"/>
        </w:rPr>
        <w:t xml:space="preserve">Siegel MB, </w:t>
      </w:r>
      <w:proofErr w:type="spellStart"/>
      <w:r w:rsidRPr="00C759B9">
        <w:rPr>
          <w:bCs/>
          <w:sz w:val="20"/>
          <w:szCs w:val="20"/>
          <w:lang w:val="en-US"/>
        </w:rPr>
        <w:t>Tanwar</w:t>
      </w:r>
      <w:proofErr w:type="spellEnd"/>
      <w:r w:rsidRPr="00C759B9">
        <w:rPr>
          <w:bCs/>
          <w:sz w:val="20"/>
          <w:szCs w:val="20"/>
          <w:lang w:val="en-US"/>
        </w:rPr>
        <w:t xml:space="preserve"> KL, Wood KS. Electronic </w:t>
      </w:r>
      <w:proofErr w:type="spellStart"/>
      <w:r w:rsidRPr="00C759B9">
        <w:rPr>
          <w:bCs/>
          <w:sz w:val="20"/>
          <w:szCs w:val="20"/>
          <w:lang w:val="en-US"/>
        </w:rPr>
        <w:t>cigaretes</w:t>
      </w:r>
      <w:proofErr w:type="spellEnd"/>
      <w:r w:rsidRPr="00C759B9">
        <w:rPr>
          <w:bCs/>
          <w:sz w:val="20"/>
          <w:szCs w:val="20"/>
          <w:lang w:val="en-US"/>
        </w:rPr>
        <w:t xml:space="preserve"> </w:t>
      </w:r>
      <w:proofErr w:type="gramStart"/>
      <w:r w:rsidRPr="00C759B9">
        <w:rPr>
          <w:bCs/>
          <w:sz w:val="20"/>
          <w:szCs w:val="20"/>
          <w:lang w:val="en-US"/>
        </w:rPr>
        <w:t>as a smoking-</w:t>
      </w:r>
      <w:proofErr w:type="spellStart"/>
      <w:r w:rsidRPr="00C759B9">
        <w:rPr>
          <w:bCs/>
          <w:sz w:val="20"/>
          <w:szCs w:val="20"/>
          <w:lang w:val="en-US"/>
        </w:rPr>
        <w:t>cesaation</w:t>
      </w:r>
      <w:proofErr w:type="spellEnd"/>
      <w:r w:rsidRPr="00C759B9">
        <w:rPr>
          <w:bCs/>
          <w:sz w:val="20"/>
          <w:szCs w:val="20"/>
          <w:lang w:val="en-US"/>
        </w:rPr>
        <w:t xml:space="preserve"> tool-results</w:t>
      </w:r>
      <w:proofErr w:type="gramEnd"/>
      <w:r w:rsidRPr="00C759B9">
        <w:rPr>
          <w:bCs/>
          <w:sz w:val="20"/>
          <w:szCs w:val="20"/>
          <w:lang w:val="en-US"/>
        </w:rPr>
        <w:t xml:space="preserve"> from an online survey. </w:t>
      </w:r>
      <w:proofErr w:type="gramStart"/>
      <w:r w:rsidRPr="00C759B9">
        <w:rPr>
          <w:bCs/>
          <w:sz w:val="20"/>
          <w:szCs w:val="20"/>
          <w:lang w:val="en-US"/>
        </w:rPr>
        <w:t>Am</w:t>
      </w:r>
      <w:proofErr w:type="gramEnd"/>
      <w:r>
        <w:rPr>
          <w:bCs/>
          <w:sz w:val="20"/>
          <w:szCs w:val="20"/>
          <w:lang w:val="en-US"/>
        </w:rPr>
        <w:t xml:space="preserve"> J </w:t>
      </w:r>
      <w:proofErr w:type="spellStart"/>
      <w:r>
        <w:rPr>
          <w:bCs/>
          <w:sz w:val="20"/>
          <w:szCs w:val="20"/>
          <w:lang w:val="en-US"/>
        </w:rPr>
        <w:t>Prev</w:t>
      </w:r>
      <w:proofErr w:type="spellEnd"/>
      <w:r>
        <w:rPr>
          <w:bCs/>
          <w:sz w:val="20"/>
          <w:szCs w:val="20"/>
          <w:lang w:val="en-US"/>
        </w:rPr>
        <w:t xml:space="preserve"> Med. 2011; 40: 472-475.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6243"/>
      <w:docPartObj>
        <w:docPartGallery w:val="Page Numbers (Top of Page)"/>
        <w:docPartUnique/>
      </w:docPartObj>
    </w:sdtPr>
    <w:sdtContent>
      <w:p w:rsidR="00E12D33" w:rsidRDefault="00EC09B5" w:rsidP="002F2193">
        <w:pPr>
          <w:pStyle w:val="Header"/>
          <w:jc w:val="center"/>
        </w:pPr>
        <w:fldSimple w:instr=" PAGE   \* MERGEFORMAT ">
          <w:r w:rsidR="00A9163C">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63C9"/>
    <w:multiLevelType w:val="hybridMultilevel"/>
    <w:tmpl w:val="CE82F3A2"/>
    <w:lvl w:ilvl="0" w:tplc="04090011">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8048C"/>
    <w:rsid w:val="00004294"/>
    <w:rsid w:val="000169DC"/>
    <w:rsid w:val="00020F02"/>
    <w:rsid w:val="000252B2"/>
    <w:rsid w:val="000272C9"/>
    <w:rsid w:val="00036ECA"/>
    <w:rsid w:val="00047072"/>
    <w:rsid w:val="00050EBB"/>
    <w:rsid w:val="00057BB7"/>
    <w:rsid w:val="00061253"/>
    <w:rsid w:val="00067D08"/>
    <w:rsid w:val="00077452"/>
    <w:rsid w:val="0008665D"/>
    <w:rsid w:val="00090284"/>
    <w:rsid w:val="000A6F10"/>
    <w:rsid w:val="000C78E8"/>
    <w:rsid w:val="000D31DF"/>
    <w:rsid w:val="000E2493"/>
    <w:rsid w:val="000E3895"/>
    <w:rsid w:val="000F0747"/>
    <w:rsid w:val="00107A02"/>
    <w:rsid w:val="00110029"/>
    <w:rsid w:val="00115742"/>
    <w:rsid w:val="001203A1"/>
    <w:rsid w:val="001232A5"/>
    <w:rsid w:val="00130A64"/>
    <w:rsid w:val="00132EBE"/>
    <w:rsid w:val="001427FF"/>
    <w:rsid w:val="00146120"/>
    <w:rsid w:val="00160421"/>
    <w:rsid w:val="001727FC"/>
    <w:rsid w:val="001777E0"/>
    <w:rsid w:val="001847CF"/>
    <w:rsid w:val="00192267"/>
    <w:rsid w:val="00192720"/>
    <w:rsid w:val="001A6BF3"/>
    <w:rsid w:val="001B1460"/>
    <w:rsid w:val="001C2BA2"/>
    <w:rsid w:val="001E035D"/>
    <w:rsid w:val="001E4B28"/>
    <w:rsid w:val="001E50B1"/>
    <w:rsid w:val="001F6225"/>
    <w:rsid w:val="00203806"/>
    <w:rsid w:val="002057B1"/>
    <w:rsid w:val="0021078A"/>
    <w:rsid w:val="00214CFD"/>
    <w:rsid w:val="002207A1"/>
    <w:rsid w:val="00222E4C"/>
    <w:rsid w:val="00223D09"/>
    <w:rsid w:val="00233F88"/>
    <w:rsid w:val="002360E1"/>
    <w:rsid w:val="00245A7F"/>
    <w:rsid w:val="002544AE"/>
    <w:rsid w:val="00255E05"/>
    <w:rsid w:val="002561FA"/>
    <w:rsid w:val="00262520"/>
    <w:rsid w:val="002812BE"/>
    <w:rsid w:val="0028338D"/>
    <w:rsid w:val="00283401"/>
    <w:rsid w:val="00286B66"/>
    <w:rsid w:val="002A223C"/>
    <w:rsid w:val="002A29D8"/>
    <w:rsid w:val="002C0D67"/>
    <w:rsid w:val="002D5552"/>
    <w:rsid w:val="002E73D2"/>
    <w:rsid w:val="002F0C6A"/>
    <w:rsid w:val="002F2193"/>
    <w:rsid w:val="00300CE3"/>
    <w:rsid w:val="003073BE"/>
    <w:rsid w:val="00313F78"/>
    <w:rsid w:val="00322819"/>
    <w:rsid w:val="00325423"/>
    <w:rsid w:val="003412A4"/>
    <w:rsid w:val="0034795A"/>
    <w:rsid w:val="00354BCE"/>
    <w:rsid w:val="00354C44"/>
    <w:rsid w:val="00356733"/>
    <w:rsid w:val="003708DC"/>
    <w:rsid w:val="00372EEA"/>
    <w:rsid w:val="00373810"/>
    <w:rsid w:val="003A1913"/>
    <w:rsid w:val="003A2484"/>
    <w:rsid w:val="003A3A56"/>
    <w:rsid w:val="003B78C2"/>
    <w:rsid w:val="003C02F8"/>
    <w:rsid w:val="003C6DC1"/>
    <w:rsid w:val="003D746C"/>
    <w:rsid w:val="003E7AD4"/>
    <w:rsid w:val="003F1C60"/>
    <w:rsid w:val="003F3A3C"/>
    <w:rsid w:val="00400C80"/>
    <w:rsid w:val="00404928"/>
    <w:rsid w:val="00412D8F"/>
    <w:rsid w:val="0042042B"/>
    <w:rsid w:val="00433E21"/>
    <w:rsid w:val="00456BE3"/>
    <w:rsid w:val="00481A13"/>
    <w:rsid w:val="00482DF5"/>
    <w:rsid w:val="00482FAE"/>
    <w:rsid w:val="004C0FCC"/>
    <w:rsid w:val="004C2B03"/>
    <w:rsid w:val="004E33AA"/>
    <w:rsid w:val="004F55DE"/>
    <w:rsid w:val="004F77F9"/>
    <w:rsid w:val="0050721E"/>
    <w:rsid w:val="00510083"/>
    <w:rsid w:val="00516AEC"/>
    <w:rsid w:val="00550DD1"/>
    <w:rsid w:val="005542E7"/>
    <w:rsid w:val="00563668"/>
    <w:rsid w:val="005717A9"/>
    <w:rsid w:val="00571BC8"/>
    <w:rsid w:val="00572F0D"/>
    <w:rsid w:val="00591F88"/>
    <w:rsid w:val="005928CA"/>
    <w:rsid w:val="005A4310"/>
    <w:rsid w:val="005A52B0"/>
    <w:rsid w:val="005B6651"/>
    <w:rsid w:val="005C4A5F"/>
    <w:rsid w:val="005C5EE6"/>
    <w:rsid w:val="005D254C"/>
    <w:rsid w:val="005D2A64"/>
    <w:rsid w:val="005D6F77"/>
    <w:rsid w:val="005F1229"/>
    <w:rsid w:val="005F1F90"/>
    <w:rsid w:val="00602358"/>
    <w:rsid w:val="00604400"/>
    <w:rsid w:val="00611413"/>
    <w:rsid w:val="006231D7"/>
    <w:rsid w:val="00624A97"/>
    <w:rsid w:val="00625613"/>
    <w:rsid w:val="00627096"/>
    <w:rsid w:val="0063643A"/>
    <w:rsid w:val="00647ECB"/>
    <w:rsid w:val="006504DB"/>
    <w:rsid w:val="00654352"/>
    <w:rsid w:val="006620A7"/>
    <w:rsid w:val="0066337B"/>
    <w:rsid w:val="00673C1A"/>
    <w:rsid w:val="00674438"/>
    <w:rsid w:val="00683F5B"/>
    <w:rsid w:val="00695990"/>
    <w:rsid w:val="006A12D6"/>
    <w:rsid w:val="006C246D"/>
    <w:rsid w:val="006D157F"/>
    <w:rsid w:val="006F60F3"/>
    <w:rsid w:val="0070245D"/>
    <w:rsid w:val="00704465"/>
    <w:rsid w:val="0071665C"/>
    <w:rsid w:val="0072421D"/>
    <w:rsid w:val="007254BC"/>
    <w:rsid w:val="007264AE"/>
    <w:rsid w:val="00731E50"/>
    <w:rsid w:val="00745A93"/>
    <w:rsid w:val="00750856"/>
    <w:rsid w:val="007604F2"/>
    <w:rsid w:val="007642CB"/>
    <w:rsid w:val="007647B4"/>
    <w:rsid w:val="00771785"/>
    <w:rsid w:val="00783BA7"/>
    <w:rsid w:val="00786F7D"/>
    <w:rsid w:val="007874B4"/>
    <w:rsid w:val="0079790B"/>
    <w:rsid w:val="007A1034"/>
    <w:rsid w:val="007A3B57"/>
    <w:rsid w:val="007B273F"/>
    <w:rsid w:val="007B586D"/>
    <w:rsid w:val="007C0474"/>
    <w:rsid w:val="007C3A4D"/>
    <w:rsid w:val="007C54F8"/>
    <w:rsid w:val="007D47B3"/>
    <w:rsid w:val="007E210C"/>
    <w:rsid w:val="00802365"/>
    <w:rsid w:val="0080252C"/>
    <w:rsid w:val="00813506"/>
    <w:rsid w:val="00827C01"/>
    <w:rsid w:val="00834B90"/>
    <w:rsid w:val="00845F12"/>
    <w:rsid w:val="00855065"/>
    <w:rsid w:val="00857C84"/>
    <w:rsid w:val="00865862"/>
    <w:rsid w:val="00872F90"/>
    <w:rsid w:val="00875585"/>
    <w:rsid w:val="0088048C"/>
    <w:rsid w:val="00882479"/>
    <w:rsid w:val="00892617"/>
    <w:rsid w:val="00893D24"/>
    <w:rsid w:val="00894952"/>
    <w:rsid w:val="0089533F"/>
    <w:rsid w:val="008A4D7C"/>
    <w:rsid w:val="008B4144"/>
    <w:rsid w:val="008B45FD"/>
    <w:rsid w:val="008C5717"/>
    <w:rsid w:val="008D5C30"/>
    <w:rsid w:val="008D5FAC"/>
    <w:rsid w:val="008E554B"/>
    <w:rsid w:val="008E644B"/>
    <w:rsid w:val="008E7752"/>
    <w:rsid w:val="008F0101"/>
    <w:rsid w:val="009066BD"/>
    <w:rsid w:val="00917634"/>
    <w:rsid w:val="00917804"/>
    <w:rsid w:val="00921468"/>
    <w:rsid w:val="00921C7D"/>
    <w:rsid w:val="00935FF6"/>
    <w:rsid w:val="00941617"/>
    <w:rsid w:val="009445D1"/>
    <w:rsid w:val="0095350C"/>
    <w:rsid w:val="00961D82"/>
    <w:rsid w:val="00962301"/>
    <w:rsid w:val="00981EFE"/>
    <w:rsid w:val="00981F02"/>
    <w:rsid w:val="009910BA"/>
    <w:rsid w:val="009A140A"/>
    <w:rsid w:val="009A28E7"/>
    <w:rsid w:val="009A795F"/>
    <w:rsid w:val="009B4CF2"/>
    <w:rsid w:val="009C591D"/>
    <w:rsid w:val="009C5A6C"/>
    <w:rsid w:val="009C5BD6"/>
    <w:rsid w:val="009C7BEA"/>
    <w:rsid w:val="009D36C1"/>
    <w:rsid w:val="009D4562"/>
    <w:rsid w:val="009D755C"/>
    <w:rsid w:val="009E02B0"/>
    <w:rsid w:val="009E0BB9"/>
    <w:rsid w:val="009E27BE"/>
    <w:rsid w:val="009E6B8B"/>
    <w:rsid w:val="009F3995"/>
    <w:rsid w:val="009F4135"/>
    <w:rsid w:val="00A069FF"/>
    <w:rsid w:val="00A11674"/>
    <w:rsid w:val="00A13204"/>
    <w:rsid w:val="00A202A7"/>
    <w:rsid w:val="00A205F6"/>
    <w:rsid w:val="00A23351"/>
    <w:rsid w:val="00A27DEF"/>
    <w:rsid w:val="00A63646"/>
    <w:rsid w:val="00A63F7B"/>
    <w:rsid w:val="00A80E29"/>
    <w:rsid w:val="00A9163C"/>
    <w:rsid w:val="00A92664"/>
    <w:rsid w:val="00AC34E2"/>
    <w:rsid w:val="00AD6578"/>
    <w:rsid w:val="00AE121F"/>
    <w:rsid w:val="00AE5DCF"/>
    <w:rsid w:val="00B020DF"/>
    <w:rsid w:val="00B03E0D"/>
    <w:rsid w:val="00B130BA"/>
    <w:rsid w:val="00B2775F"/>
    <w:rsid w:val="00B374F1"/>
    <w:rsid w:val="00B37D6F"/>
    <w:rsid w:val="00B54157"/>
    <w:rsid w:val="00B5546C"/>
    <w:rsid w:val="00B55740"/>
    <w:rsid w:val="00B72EAF"/>
    <w:rsid w:val="00BA5261"/>
    <w:rsid w:val="00BB25DC"/>
    <w:rsid w:val="00BD246F"/>
    <w:rsid w:val="00BD4BCA"/>
    <w:rsid w:val="00BE274D"/>
    <w:rsid w:val="00C17767"/>
    <w:rsid w:val="00C2148E"/>
    <w:rsid w:val="00C243A2"/>
    <w:rsid w:val="00C25138"/>
    <w:rsid w:val="00C3528F"/>
    <w:rsid w:val="00C47CAD"/>
    <w:rsid w:val="00C52A0B"/>
    <w:rsid w:val="00C57A54"/>
    <w:rsid w:val="00C62379"/>
    <w:rsid w:val="00C634B2"/>
    <w:rsid w:val="00C63EEB"/>
    <w:rsid w:val="00C74F44"/>
    <w:rsid w:val="00C776BF"/>
    <w:rsid w:val="00C96AB1"/>
    <w:rsid w:val="00CA3D94"/>
    <w:rsid w:val="00CA4477"/>
    <w:rsid w:val="00CA5570"/>
    <w:rsid w:val="00CC1BBF"/>
    <w:rsid w:val="00CF4921"/>
    <w:rsid w:val="00D04E9F"/>
    <w:rsid w:val="00D13100"/>
    <w:rsid w:val="00D161BA"/>
    <w:rsid w:val="00D50B19"/>
    <w:rsid w:val="00D53596"/>
    <w:rsid w:val="00D53873"/>
    <w:rsid w:val="00D639DB"/>
    <w:rsid w:val="00D73331"/>
    <w:rsid w:val="00D90B13"/>
    <w:rsid w:val="00D91911"/>
    <w:rsid w:val="00D93E59"/>
    <w:rsid w:val="00DB6EE4"/>
    <w:rsid w:val="00DC7AE2"/>
    <w:rsid w:val="00DD7F50"/>
    <w:rsid w:val="00DF079B"/>
    <w:rsid w:val="00DF0B39"/>
    <w:rsid w:val="00DF2221"/>
    <w:rsid w:val="00E0426D"/>
    <w:rsid w:val="00E06C7F"/>
    <w:rsid w:val="00E12D33"/>
    <w:rsid w:val="00E14E4B"/>
    <w:rsid w:val="00E216DF"/>
    <w:rsid w:val="00E252E8"/>
    <w:rsid w:val="00E508E6"/>
    <w:rsid w:val="00E531B9"/>
    <w:rsid w:val="00E5617B"/>
    <w:rsid w:val="00E61E0C"/>
    <w:rsid w:val="00E831DD"/>
    <w:rsid w:val="00E86501"/>
    <w:rsid w:val="00E86604"/>
    <w:rsid w:val="00E94024"/>
    <w:rsid w:val="00EA3B7A"/>
    <w:rsid w:val="00EB0F59"/>
    <w:rsid w:val="00EB7E05"/>
    <w:rsid w:val="00EC09B5"/>
    <w:rsid w:val="00EE411C"/>
    <w:rsid w:val="00F05039"/>
    <w:rsid w:val="00F1438A"/>
    <w:rsid w:val="00F14EEE"/>
    <w:rsid w:val="00F176C0"/>
    <w:rsid w:val="00F32080"/>
    <w:rsid w:val="00F43717"/>
    <w:rsid w:val="00F52E95"/>
    <w:rsid w:val="00F565E4"/>
    <w:rsid w:val="00F57E61"/>
    <w:rsid w:val="00F75C21"/>
    <w:rsid w:val="00F7669F"/>
    <w:rsid w:val="00F87538"/>
    <w:rsid w:val="00F87F2C"/>
    <w:rsid w:val="00F94E3D"/>
    <w:rsid w:val="00F95EE1"/>
    <w:rsid w:val="00F9794C"/>
    <w:rsid w:val="00FB09D0"/>
    <w:rsid w:val="00FC0091"/>
    <w:rsid w:val="00FC3B44"/>
    <w:rsid w:val="00FC7CD1"/>
    <w:rsid w:val="00FD2265"/>
    <w:rsid w:val="00FE07F1"/>
    <w:rsid w:val="00FE484E"/>
    <w:rsid w:val="00FE4C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8C"/>
    <w:pPr>
      <w:spacing w:after="0" w:line="240" w:lineRule="auto"/>
    </w:pPr>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48C"/>
    <w:pPr>
      <w:spacing w:before="75" w:after="75"/>
    </w:pPr>
    <w:rPr>
      <w:rFonts w:eastAsia="Times New Roman" w:cs="Times New Roman"/>
      <w:szCs w:val="24"/>
      <w:lang w:eastAsia="lv-LV"/>
    </w:rPr>
  </w:style>
  <w:style w:type="character" w:customStyle="1" w:styleId="apple-converted-space">
    <w:name w:val="apple-converted-space"/>
    <w:basedOn w:val="DefaultParagraphFont"/>
    <w:rsid w:val="0088048C"/>
  </w:style>
  <w:style w:type="paragraph" w:customStyle="1" w:styleId="naiskr">
    <w:name w:val="naiskr"/>
    <w:basedOn w:val="Normal"/>
    <w:rsid w:val="00313F78"/>
    <w:pPr>
      <w:spacing w:before="75" w:after="75"/>
    </w:pPr>
    <w:rPr>
      <w:rFonts w:eastAsia="Times New Roman" w:cs="Times New Roman"/>
      <w:szCs w:val="24"/>
      <w:lang w:eastAsia="lv-LV"/>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rsid w:val="00313F78"/>
    <w:rPr>
      <w:rFonts w:eastAsia="Times New Roman" w:cs="Times New Roman"/>
      <w:sz w:val="20"/>
      <w:szCs w:val="20"/>
      <w:lang w:eastAsia="lv-LV"/>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313F78"/>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Footnote symbol,ftref"/>
    <w:uiPriority w:val="99"/>
    <w:rsid w:val="00313F78"/>
    <w:rPr>
      <w:vertAlign w:val="superscript"/>
    </w:rPr>
  </w:style>
  <w:style w:type="character" w:styleId="Hyperlink">
    <w:name w:val="Hyperlink"/>
    <w:rsid w:val="00313F78"/>
    <w:rPr>
      <w:color w:val="0000FF"/>
      <w:u w:val="single"/>
    </w:rPr>
  </w:style>
  <w:style w:type="paragraph" w:customStyle="1" w:styleId="Default">
    <w:name w:val="Default"/>
    <w:rsid w:val="00313F78"/>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550DD1"/>
    <w:pPr>
      <w:tabs>
        <w:tab w:val="center" w:pos="4320"/>
        <w:tab w:val="right" w:pos="8640"/>
      </w:tabs>
    </w:pPr>
  </w:style>
  <w:style w:type="character" w:customStyle="1" w:styleId="HeaderChar">
    <w:name w:val="Header Char"/>
    <w:basedOn w:val="DefaultParagraphFont"/>
    <w:link w:val="Header"/>
    <w:uiPriority w:val="99"/>
    <w:rsid w:val="00550DD1"/>
    <w:rPr>
      <w:rFonts w:ascii="Times New Roman" w:hAnsi="Times New Roman"/>
      <w:sz w:val="24"/>
      <w:lang w:val="lv-LV"/>
    </w:rPr>
  </w:style>
  <w:style w:type="paragraph" w:styleId="Footer">
    <w:name w:val="footer"/>
    <w:basedOn w:val="Normal"/>
    <w:link w:val="FooterChar"/>
    <w:uiPriority w:val="99"/>
    <w:semiHidden/>
    <w:unhideWhenUsed/>
    <w:rsid w:val="00550DD1"/>
    <w:pPr>
      <w:tabs>
        <w:tab w:val="center" w:pos="4320"/>
        <w:tab w:val="right" w:pos="8640"/>
      </w:tabs>
    </w:pPr>
  </w:style>
  <w:style w:type="character" w:customStyle="1" w:styleId="FooterChar">
    <w:name w:val="Footer Char"/>
    <w:basedOn w:val="DefaultParagraphFont"/>
    <w:link w:val="Footer"/>
    <w:uiPriority w:val="99"/>
    <w:semiHidden/>
    <w:rsid w:val="00550DD1"/>
    <w:rPr>
      <w:rFonts w:ascii="Times New Roman" w:hAnsi="Times New Roman"/>
      <w:sz w:val="24"/>
      <w:lang w:val="lv-LV"/>
    </w:rPr>
  </w:style>
  <w:style w:type="paragraph" w:styleId="ListParagraph">
    <w:name w:val="List Paragraph"/>
    <w:basedOn w:val="Normal"/>
    <w:uiPriority w:val="34"/>
    <w:qFormat/>
    <w:rsid w:val="007A3B57"/>
    <w:pPr>
      <w:ind w:left="720"/>
      <w:contextualSpacing/>
    </w:pPr>
  </w:style>
  <w:style w:type="paragraph" w:styleId="NoSpacing">
    <w:name w:val="No Spacing"/>
    <w:link w:val="NoSpacingChar"/>
    <w:uiPriority w:val="99"/>
    <w:qFormat/>
    <w:rsid w:val="00591F88"/>
    <w:pPr>
      <w:spacing w:after="0"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basedOn w:val="DefaultParagraphFont"/>
    <w:link w:val="NoSpacing"/>
    <w:uiPriority w:val="99"/>
    <w:rsid w:val="00591F88"/>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322819"/>
    <w:rPr>
      <w:i/>
      <w:iCs/>
    </w:rPr>
  </w:style>
  <w:style w:type="paragraph" w:styleId="BalloonText">
    <w:name w:val="Balloon Text"/>
    <w:basedOn w:val="Normal"/>
    <w:link w:val="BalloonTextChar"/>
    <w:uiPriority w:val="99"/>
    <w:semiHidden/>
    <w:unhideWhenUsed/>
    <w:rsid w:val="00115742"/>
    <w:rPr>
      <w:rFonts w:ascii="Tahoma" w:hAnsi="Tahoma" w:cs="Tahoma"/>
      <w:sz w:val="16"/>
      <w:szCs w:val="16"/>
    </w:rPr>
  </w:style>
  <w:style w:type="character" w:customStyle="1" w:styleId="BalloonTextChar">
    <w:name w:val="Balloon Text Char"/>
    <w:basedOn w:val="DefaultParagraphFont"/>
    <w:link w:val="BalloonText"/>
    <w:uiPriority w:val="99"/>
    <w:semiHidden/>
    <w:rsid w:val="00115742"/>
    <w:rPr>
      <w:rFonts w:ascii="Tahoma" w:hAnsi="Tahoma" w:cs="Tahoma"/>
      <w:sz w:val="16"/>
      <w:szCs w:val="16"/>
      <w:lang w:val="lv-LV"/>
    </w:rPr>
  </w:style>
  <w:style w:type="character" w:styleId="CommentReference">
    <w:name w:val="annotation reference"/>
    <w:basedOn w:val="DefaultParagraphFont"/>
    <w:uiPriority w:val="99"/>
    <w:semiHidden/>
    <w:unhideWhenUsed/>
    <w:rsid w:val="009066BD"/>
    <w:rPr>
      <w:sz w:val="16"/>
      <w:szCs w:val="16"/>
    </w:rPr>
  </w:style>
  <w:style w:type="paragraph" w:styleId="CommentText">
    <w:name w:val="annotation text"/>
    <w:basedOn w:val="Normal"/>
    <w:link w:val="CommentTextChar"/>
    <w:uiPriority w:val="99"/>
    <w:semiHidden/>
    <w:unhideWhenUsed/>
    <w:rsid w:val="009066BD"/>
    <w:rPr>
      <w:sz w:val="20"/>
      <w:szCs w:val="20"/>
    </w:rPr>
  </w:style>
  <w:style w:type="character" w:customStyle="1" w:styleId="CommentTextChar">
    <w:name w:val="Comment Text Char"/>
    <w:basedOn w:val="DefaultParagraphFont"/>
    <w:link w:val="CommentText"/>
    <w:uiPriority w:val="99"/>
    <w:semiHidden/>
    <w:rsid w:val="009066BD"/>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9066BD"/>
    <w:rPr>
      <w:b/>
      <w:bCs/>
    </w:rPr>
  </w:style>
  <w:style w:type="character" w:customStyle="1" w:styleId="CommentSubjectChar">
    <w:name w:val="Comment Subject Char"/>
    <w:basedOn w:val="CommentTextChar"/>
    <w:link w:val="CommentSubject"/>
    <w:uiPriority w:val="99"/>
    <w:semiHidden/>
    <w:rsid w:val="009066BD"/>
    <w:rPr>
      <w:b/>
      <w:bCs/>
    </w:rPr>
  </w:style>
</w:styles>
</file>

<file path=word/webSettings.xml><?xml version="1.0" encoding="utf-8"?>
<w:webSettings xmlns:r="http://schemas.openxmlformats.org/officeDocument/2006/relationships" xmlns:w="http://schemas.openxmlformats.org/wordprocessingml/2006/main">
  <w:divs>
    <w:div w:id="1956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e.krumi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da.gov/downloads/Drugs/ScienceResearch/UCM1732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BC5A-6609-4F47-9573-D2B1FA3D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Likumprojekta „Grozījums Bērnu tiesību aizsardzības likumā” sākotnējās ietekmes novērtējuma ziņojums (anotācija)</vt:lpstr>
    </vt:vector>
  </TitlesOfParts>
  <Company>Veselības ministrija</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Bērnu tiesību aizsardzības likumā” sākotnējās ietekmes novērtējuma ziņojums (anotācija)</dc:title>
  <dc:subject>Anotācija</dc:subject>
  <dc:creator>Vieda Lūsa; Alise Krūmiņa</dc:creator>
  <dc:description>67876099, vieda.lusa@vm.gov.lv 
67876077, alise.krumina@vm.gov.lv</dc:description>
  <cp:lastModifiedBy>vlusa</cp:lastModifiedBy>
  <cp:revision>10</cp:revision>
  <cp:lastPrinted>2016-03-31T11:00:00Z</cp:lastPrinted>
  <dcterms:created xsi:type="dcterms:W3CDTF">2016-07-08T12:12:00Z</dcterms:created>
  <dcterms:modified xsi:type="dcterms:W3CDTF">2016-07-19T10:29:00Z</dcterms:modified>
</cp:coreProperties>
</file>