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9B47D3">
        <w:rPr>
          <w:rFonts w:eastAsia="Times New Roman" w:cs="Times New Roman"/>
          <w:b/>
          <w:bCs/>
          <w:szCs w:val="26"/>
          <w:lang w:eastAsia="lv-LV"/>
        </w:rPr>
        <w:t>"</w:t>
      </w:r>
      <w:r w:rsidRPr="004F4C11">
        <w:rPr>
          <w:rFonts w:eastAsia="Times New Roman" w:cs="Times New Roman"/>
          <w:b/>
          <w:bCs/>
          <w:szCs w:val="26"/>
          <w:lang w:eastAsia="lv-LV"/>
        </w:rPr>
        <w:t xml:space="preserve">Grozījumi Ministru kabineta 2013.gada 17.decembra noteikumos Nr.1529 </w:t>
      </w:r>
      <w:r w:rsidR="009B47D3">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9B47D3">
        <w:rPr>
          <w:rFonts w:eastAsia="Times New Roman" w:cs="Times New Roman"/>
          <w:b/>
          <w:bCs/>
          <w:szCs w:val="26"/>
          <w:lang w:eastAsia="lv-LV"/>
        </w:rPr>
        <w:t>"</w:t>
      </w:r>
      <w:r w:rsidR="00E1330C">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993C26" w:rsidRDefault="00993C26" w:rsidP="00993C26">
      <w:pPr>
        <w:jc w:val="center"/>
      </w:pPr>
    </w:p>
    <w:tbl>
      <w:tblPr>
        <w:tblW w:w="495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8"/>
        <w:gridCol w:w="1810"/>
        <w:gridCol w:w="6892"/>
      </w:tblGrid>
      <w:tr w:rsidR="00993C26" w:rsidRPr="004F4C11" w:rsidTr="00796158">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993C26" w:rsidRPr="002757B9" w:rsidTr="00796158">
        <w:trPr>
          <w:trHeight w:val="405"/>
        </w:trPr>
        <w:tc>
          <w:tcPr>
            <w:tcW w:w="187"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100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12" w:type="pct"/>
            <w:tcBorders>
              <w:top w:val="outset" w:sz="6" w:space="0" w:color="auto"/>
              <w:left w:val="outset" w:sz="6" w:space="0" w:color="auto"/>
              <w:bottom w:val="outset" w:sz="6" w:space="0" w:color="auto"/>
              <w:right w:val="outset" w:sz="6" w:space="0" w:color="auto"/>
            </w:tcBorders>
            <w:hideMark/>
          </w:tcPr>
          <w:p w:rsidR="004603E9" w:rsidRDefault="004603E9" w:rsidP="004603E9">
            <w:pPr>
              <w:ind w:firstLine="336"/>
              <w:contextualSpacing/>
              <w:jc w:val="both"/>
              <w:rPr>
                <w:rFonts w:cs="Times New Roman"/>
              </w:rPr>
            </w:pPr>
            <w:r w:rsidRPr="00803F40">
              <w:t>Mini</w:t>
            </w:r>
            <w:r w:rsidR="00700C52">
              <w:t>stru kabineta noteikumu projekts</w:t>
            </w:r>
            <w:r w:rsidRPr="00803F40">
              <w:t xml:space="preserve"> </w:t>
            </w:r>
            <w:r w:rsidR="009B47D3">
              <w:t>"</w:t>
            </w:r>
            <w:r w:rsidRPr="00803F40">
              <w:t xml:space="preserve">Grozījumi Ministru kabineta 2013.gada 17.decembra noteikumos Nr.1529 </w:t>
            </w:r>
            <w:r w:rsidR="009B47D3">
              <w:t>"</w:t>
            </w:r>
            <w:r w:rsidRPr="00803F40">
              <w:t>Veselības aprūpes organizēšanas un finansēšanas kārtība</w:t>
            </w:r>
            <w:r w:rsidR="009B47D3">
              <w:t>"</w:t>
            </w:r>
            <w:r w:rsidRPr="00803F40">
              <w:t xml:space="preserve"> (turpmāk – noteikumu projekts)</w:t>
            </w:r>
            <w:r>
              <w:t xml:space="preserve"> izstrādāts pamatojoties uz: </w:t>
            </w:r>
          </w:p>
          <w:p w:rsidR="00993C26" w:rsidRPr="004603E9" w:rsidRDefault="00993C26" w:rsidP="004603E9">
            <w:pPr>
              <w:pStyle w:val="ListParagraph"/>
              <w:numPr>
                <w:ilvl w:val="0"/>
                <w:numId w:val="1"/>
              </w:numPr>
              <w:rPr>
                <w:rFonts w:cs="Times New Roman"/>
              </w:rPr>
            </w:pPr>
            <w:r w:rsidRPr="004603E9">
              <w:rPr>
                <w:rFonts w:cs="Times New Roman"/>
              </w:rPr>
              <w:t>Ārstni</w:t>
            </w:r>
            <w:r w:rsidR="004603E9">
              <w:rPr>
                <w:rFonts w:cs="Times New Roman"/>
              </w:rPr>
              <w:t>ecības likuma 4.panta pirm</w:t>
            </w:r>
            <w:r w:rsidR="005E5CF1">
              <w:rPr>
                <w:rFonts w:cs="Times New Roman"/>
              </w:rPr>
              <w:t>o</w:t>
            </w:r>
            <w:r w:rsidR="004603E9">
              <w:rPr>
                <w:rFonts w:cs="Times New Roman"/>
              </w:rPr>
              <w:t xml:space="preserve"> daļu;</w:t>
            </w:r>
          </w:p>
          <w:p w:rsidR="00004067" w:rsidRPr="004603E9" w:rsidRDefault="00700C52" w:rsidP="004603E9">
            <w:pPr>
              <w:pStyle w:val="ListParagraph"/>
              <w:numPr>
                <w:ilvl w:val="0"/>
                <w:numId w:val="1"/>
              </w:numPr>
              <w:rPr>
                <w:rFonts w:cs="Times New Roman"/>
              </w:rPr>
            </w:pPr>
            <w:r>
              <w:rPr>
                <w:rFonts w:cs="Times New Roman"/>
              </w:rPr>
              <w:t>Likuma</w:t>
            </w:r>
            <w:r w:rsidR="004603E9">
              <w:rPr>
                <w:rFonts w:cs="Times New Roman"/>
              </w:rPr>
              <w:t xml:space="preserve"> </w:t>
            </w:r>
            <w:r w:rsidR="00004067" w:rsidRPr="004603E9">
              <w:rPr>
                <w:rFonts w:cs="Times New Roman"/>
              </w:rPr>
              <w:t>"Par valsts budžetu 2016.gadam" 66.pant</w:t>
            </w:r>
            <w:r w:rsidR="004603E9">
              <w:rPr>
                <w:rFonts w:cs="Times New Roman"/>
              </w:rPr>
              <w:t>u.</w:t>
            </w:r>
          </w:p>
        </w:tc>
      </w:tr>
      <w:tr w:rsidR="00993C26" w:rsidRPr="002757B9" w:rsidTr="00796158">
        <w:trPr>
          <w:trHeight w:val="465"/>
        </w:trPr>
        <w:tc>
          <w:tcPr>
            <w:tcW w:w="187"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1001"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993C26" w:rsidRPr="002757B9" w:rsidRDefault="00993C26" w:rsidP="00685C6C">
            <w:pPr>
              <w:contextualSpacing/>
              <w:rPr>
                <w:rFonts w:eastAsia="Times New Roman" w:cs="Times New Roman"/>
                <w:szCs w:val="24"/>
                <w:lang w:eastAsia="lv-LV"/>
              </w:rPr>
            </w:pPr>
          </w:p>
        </w:tc>
        <w:tc>
          <w:tcPr>
            <w:tcW w:w="3812" w:type="pct"/>
            <w:tcBorders>
              <w:top w:val="outset" w:sz="6" w:space="0" w:color="auto"/>
              <w:left w:val="outset" w:sz="6" w:space="0" w:color="auto"/>
              <w:bottom w:val="outset" w:sz="6" w:space="0" w:color="auto"/>
              <w:right w:val="outset" w:sz="6" w:space="0" w:color="auto"/>
            </w:tcBorders>
            <w:hideMark/>
          </w:tcPr>
          <w:p w:rsidR="00E63CC4" w:rsidRPr="00803F40" w:rsidRDefault="00E63CC4" w:rsidP="00E63CC4">
            <w:pPr>
              <w:ind w:firstLine="252"/>
              <w:contextualSpacing/>
              <w:jc w:val="both"/>
            </w:pPr>
            <w:r w:rsidRPr="00803F40">
              <w:t xml:space="preserve">Kārtību, kādā iedzīvotāji saņem valsts apmaksātos veselības aprūpes pakalpojumus nosaka Ministru kabineta 2013.gada 17.decembra noteikumi Nr.1529 </w:t>
            </w:r>
            <w:r>
              <w:t>"</w:t>
            </w:r>
            <w:r w:rsidRPr="00803F40">
              <w:t>Veselības aprūpes organizēšanas un finansēšanas kārtība</w:t>
            </w:r>
            <w:r>
              <w:t>"</w:t>
            </w:r>
            <w:r w:rsidRPr="00803F40">
              <w:rPr>
                <w:bCs/>
              </w:rPr>
              <w:t xml:space="preserve"> (turpmāk – noteikumi).</w:t>
            </w:r>
            <w:r w:rsidRPr="00803F40">
              <w:t xml:space="preserve"> </w:t>
            </w:r>
          </w:p>
          <w:p w:rsidR="00E63CC4" w:rsidRDefault="00E63CC4" w:rsidP="00E63CC4">
            <w:pPr>
              <w:ind w:firstLine="252"/>
              <w:contextualSpacing/>
              <w:jc w:val="both"/>
            </w:pPr>
            <w:r w:rsidRPr="00803F40">
              <w:t>Veselības ministrija noteiktā kārtībā ir sagatavojusi Minist</w:t>
            </w:r>
            <w:r>
              <w:t xml:space="preserve">ru kabineta noteikumu projektu </w:t>
            </w:r>
            <w:r w:rsidRPr="00803F40">
              <w:t>ar mērķi pilnveidot noteikumos iekļautās normas atbilstoši ekonomiskai un finanšu situācijai, kā arī ņemot vērā iestāžu izteiktos priekšlikumus veselības aprūpes nozarē. Noteikumu projektā ietverti šādi grozījumi</w:t>
            </w:r>
            <w:r>
              <w:t xml:space="preserve"> noteikumos</w:t>
            </w:r>
            <w:r w:rsidRPr="00803F40">
              <w:t>:</w:t>
            </w:r>
          </w:p>
          <w:p w:rsidR="00E63CC4" w:rsidRPr="00741E15" w:rsidRDefault="00E63CC4" w:rsidP="00E63CC4">
            <w:pPr>
              <w:ind w:firstLine="252"/>
              <w:contextualSpacing/>
              <w:jc w:val="both"/>
              <w:rPr>
                <w:color w:val="000000"/>
              </w:rPr>
            </w:pPr>
            <w:r w:rsidRPr="008702F2">
              <w:t>Noteikumi 2015.gada 22.decembrī ar Ministru kabineta noteikumiem Nr.802 "Grozījumi Ministru kabineta 2013.gada 17.decembra noteikumos Nr.1529 "Veselības aprūpes organizēšanas un finansēšanas kārtība" (turpmāk – 2015.gada grozījumi) tika papildināti ar 130.</w:t>
            </w:r>
            <w:r w:rsidRPr="008702F2">
              <w:rPr>
                <w:vertAlign w:val="superscript"/>
              </w:rPr>
              <w:t>1</w:t>
            </w:r>
            <w:r w:rsidRPr="008702F2">
              <w:t xml:space="preserve"> punktu, kas paredz personu plānvei</w:t>
            </w:r>
            <w:r>
              <w:t>da veselības aprūpes pakalpojumu ārstniecības</w:t>
            </w:r>
            <w:r w:rsidRPr="008702F2">
              <w:t xml:space="preserve"> iestādē saņemšanas secību. Atbilstoši 2015.gada grozījumu 358.punktam norma s</w:t>
            </w:r>
            <w:r>
              <w:t>tājas spēkā 2016.gada 1.jūlijā.</w:t>
            </w:r>
            <w:r>
              <w:rPr>
                <w:color w:val="000000"/>
              </w:rPr>
              <w:t xml:space="preserve"> Uzsākot sagatavošanos, lai nodrošinātu normatīvo aktu izpildi, kā arī turpinot diskusijas ar nozares profesionāļiem par efektīvāko risinājumu plānveida veselības aprūpes pakalpojumu nodrošināšanai, tika konstatētas, ka apstiprinātajā regulējumā nepieciešami precizējumi. Ņemot vērā, ka vairākkārtīgu diskusiju rezultātā ar nozares speciālistiem netika panākta vienošanās par labāko risinājumu, tiek virzīts priekšlikums, kas paredz, ka normu par veselības aprūpes pakalpojumu saņemšanas plānošanu pēc noteiktiem kritērijiem atcelt un turpināt darbu pie minētās jomas pilnveidošanas. </w:t>
            </w:r>
          </w:p>
          <w:p w:rsidR="00E63CC4" w:rsidRPr="00504B0F" w:rsidRDefault="00E63CC4" w:rsidP="00E63CC4">
            <w:pPr>
              <w:jc w:val="both"/>
              <w:rPr>
                <w:rFonts w:cs="Times New Roman"/>
                <w:color w:val="000000"/>
                <w:szCs w:val="24"/>
              </w:rPr>
            </w:pPr>
            <w:r w:rsidRPr="00504B0F">
              <w:rPr>
                <w:rFonts w:cs="Times New Roman"/>
                <w:color w:val="000000"/>
                <w:szCs w:val="24"/>
              </w:rPr>
              <w:t xml:space="preserve">Spēkā esošais normatīvais regulējums jau paredz no 2016.gada 1.jūlija aknu transplantācijas veikšanu un apmaksu pilngadīgām personām. </w:t>
            </w:r>
          </w:p>
          <w:p w:rsidR="00E63CC4" w:rsidRPr="00504B0F" w:rsidRDefault="00E63CC4" w:rsidP="00E63CC4">
            <w:pPr>
              <w:jc w:val="both"/>
              <w:rPr>
                <w:rFonts w:cs="Times New Roman"/>
                <w:color w:val="000000"/>
                <w:szCs w:val="24"/>
              </w:rPr>
            </w:pPr>
            <w:r>
              <w:rPr>
                <w:rFonts w:cs="Times New Roman"/>
                <w:color w:val="000000"/>
                <w:szCs w:val="24"/>
              </w:rPr>
              <w:t xml:space="preserve">   </w:t>
            </w:r>
            <w:r w:rsidRPr="00504B0F">
              <w:rPr>
                <w:rFonts w:cs="Times New Roman"/>
                <w:color w:val="000000"/>
                <w:szCs w:val="24"/>
              </w:rPr>
              <w:t>Aknu transplantācijas pakalpojuma sniegšanas uzsākšanai notika konsultācijas ar pakalpojumu sniedzējiem, kuri aknu transplantācijas pakalpojuma sniegšanu var nodrošināt, un, ņemot vērā sniegto informāciju par sagatavošanos pakalpojuma sniegšanas uzsākšanai norisi un neplānotiem sarežģījumiem, kas būtiski ietekmē pakalpojumu sniegšanu, tika sniegts priekšlikums pagarināt periodu, kurā tiek nodrošināta sagatavošanās valsts apmaksātas aknu transplantācijas pakalpojumu sniegšanas uzsākšanai.</w:t>
            </w:r>
          </w:p>
          <w:p w:rsidR="00E63CC4" w:rsidRPr="00504B0F" w:rsidRDefault="00E63CC4" w:rsidP="000F32C1">
            <w:pPr>
              <w:pStyle w:val="naisf"/>
              <w:spacing w:before="0" w:after="0"/>
              <w:ind w:firstLine="249"/>
              <w:rPr>
                <w:szCs w:val="28"/>
              </w:rPr>
            </w:pPr>
            <w:r w:rsidRPr="00504B0F">
              <w:rPr>
                <w:szCs w:val="28"/>
              </w:rPr>
              <w:t xml:space="preserve">Noteikumu projekts paredz mainīt minētā veselības aprūpes pakalpojuma ieviešanas datumu, to pārliekot uz 2017.gada 1.janvāri. </w:t>
            </w:r>
          </w:p>
          <w:p w:rsidR="006F3D55" w:rsidRPr="00E63CC4" w:rsidRDefault="00E63CC4" w:rsidP="00E63CC4">
            <w:pPr>
              <w:jc w:val="both"/>
              <w:rPr>
                <w:rFonts w:cs="Times New Roman"/>
                <w:szCs w:val="24"/>
              </w:rPr>
            </w:pPr>
            <w:r w:rsidRPr="00504B0F">
              <w:rPr>
                <w:rFonts w:cs="Times New Roman"/>
                <w:color w:val="000000"/>
                <w:szCs w:val="24"/>
              </w:rPr>
              <w:lastRenderedPageBreak/>
              <w:t>Personām līdz 18 gadu vecumam aknu transplantācija tiks nodrošināta līdzšinējā kārtībā un apjomā.</w:t>
            </w:r>
          </w:p>
        </w:tc>
      </w:tr>
      <w:tr w:rsidR="00993C26" w:rsidRPr="006D1F1C" w:rsidTr="00796158">
        <w:trPr>
          <w:trHeight w:val="465"/>
        </w:trPr>
        <w:tc>
          <w:tcPr>
            <w:tcW w:w="187"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100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12" w:type="pct"/>
            <w:tcBorders>
              <w:top w:val="outset" w:sz="6" w:space="0" w:color="auto"/>
              <w:left w:val="outset" w:sz="6" w:space="0" w:color="auto"/>
              <w:bottom w:val="outset" w:sz="6" w:space="0" w:color="auto"/>
              <w:right w:val="outset" w:sz="6" w:space="0" w:color="auto"/>
            </w:tcBorders>
            <w:hideMark/>
          </w:tcPr>
          <w:p w:rsidR="00993C26" w:rsidRPr="003C6024" w:rsidRDefault="00993C26" w:rsidP="006C57F9">
            <w:pPr>
              <w:contextualSpacing/>
              <w:jc w:val="both"/>
              <w:rPr>
                <w:rFonts w:eastAsia="Times New Roman" w:cs="Times New Roman"/>
                <w:szCs w:val="24"/>
                <w:lang w:eastAsia="lv-LV"/>
              </w:rPr>
            </w:pPr>
            <w:r w:rsidRPr="006C57F9">
              <w:rPr>
                <w:rFonts w:eastAsia="Times New Roman" w:cs="Times New Roman"/>
                <w:szCs w:val="24"/>
                <w:lang w:eastAsia="lv-LV"/>
              </w:rPr>
              <w:t>Nacionālais veselības di</w:t>
            </w:r>
            <w:r w:rsidR="003C6024" w:rsidRPr="006C57F9">
              <w:rPr>
                <w:rFonts w:eastAsia="Times New Roman" w:cs="Times New Roman"/>
                <w:szCs w:val="24"/>
                <w:lang w:eastAsia="lv-LV"/>
              </w:rPr>
              <w:t>enests</w:t>
            </w:r>
            <w:r w:rsidR="008702F2">
              <w:rPr>
                <w:rFonts w:eastAsia="Times New Roman" w:cs="Times New Roman"/>
                <w:szCs w:val="24"/>
                <w:lang w:eastAsia="lv-LV"/>
              </w:rPr>
              <w:t>, VSI</w:t>
            </w:r>
            <w:r w:rsidR="00700C52">
              <w:rPr>
                <w:rFonts w:eastAsia="Times New Roman" w:cs="Times New Roman"/>
                <w:szCs w:val="24"/>
                <w:lang w:eastAsia="lv-LV"/>
              </w:rPr>
              <w:t>A</w:t>
            </w:r>
            <w:r w:rsidR="008702F2">
              <w:rPr>
                <w:rFonts w:eastAsia="Times New Roman" w:cs="Times New Roman"/>
                <w:szCs w:val="24"/>
                <w:lang w:eastAsia="lv-LV"/>
              </w:rPr>
              <w:t xml:space="preserve"> "Bērnu klīniskā universitātes slimnīca".</w:t>
            </w:r>
          </w:p>
        </w:tc>
      </w:tr>
      <w:tr w:rsidR="00993C26" w:rsidRPr="006D1F1C" w:rsidTr="00796158">
        <w:tc>
          <w:tcPr>
            <w:tcW w:w="187"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100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12"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pStyle w:val="NormalWeb"/>
              <w:contextualSpacing/>
              <w:jc w:val="both"/>
            </w:pPr>
            <w:r>
              <w:t>Nav</w:t>
            </w:r>
            <w:r w:rsidR="006C70D3">
              <w:t>.</w:t>
            </w:r>
          </w:p>
        </w:tc>
      </w:tr>
    </w:tbl>
    <w:p w:rsidR="001C7DC4" w:rsidRDefault="001C7DC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2236"/>
        <w:gridCol w:w="6394"/>
      </w:tblGrid>
      <w:tr w:rsidR="00DC27EA" w:rsidRPr="004A371C" w:rsidTr="00C421D8">
        <w:tc>
          <w:tcPr>
            <w:tcW w:w="5000" w:type="pct"/>
            <w:gridSpan w:val="3"/>
          </w:tcPr>
          <w:p w:rsidR="00DC27EA" w:rsidRPr="004A371C" w:rsidRDefault="00DC27EA" w:rsidP="004213D9">
            <w:pPr>
              <w:jc w:val="center"/>
            </w:pPr>
            <w:r w:rsidRPr="004A371C">
              <w:rPr>
                <w:b/>
                <w:bCs/>
                <w:lang w:val="fi-FI"/>
              </w:rPr>
              <w:t>II. Tiesību akta projekta ietekme uz sabiedrību, tautsaimniecības attīstību un administratīvo slogu</w:t>
            </w:r>
          </w:p>
        </w:tc>
      </w:tr>
      <w:tr w:rsidR="00DC27EA" w:rsidRPr="004A371C" w:rsidTr="00C421D8">
        <w:tc>
          <w:tcPr>
            <w:tcW w:w="230" w:type="pct"/>
          </w:tcPr>
          <w:p w:rsidR="00DC27EA" w:rsidRPr="004A371C" w:rsidRDefault="00DC27EA" w:rsidP="004213D9">
            <w:r w:rsidRPr="004A371C">
              <w:t>1.</w:t>
            </w:r>
          </w:p>
        </w:tc>
        <w:tc>
          <w:tcPr>
            <w:tcW w:w="1236" w:type="pct"/>
          </w:tcPr>
          <w:p w:rsidR="00DC27EA" w:rsidRPr="004A371C" w:rsidRDefault="00DC27EA" w:rsidP="004213D9">
            <w:pPr>
              <w:ind w:left="-42" w:right="-108"/>
            </w:pPr>
            <w:r w:rsidRPr="004A371C">
              <w:t>Sabiedrības mērķgrupas, kuras tiesiskais regulējums ietekmē vai varētu ietekmēt</w:t>
            </w:r>
          </w:p>
        </w:tc>
        <w:tc>
          <w:tcPr>
            <w:tcW w:w="3534" w:type="pct"/>
          </w:tcPr>
          <w:p w:rsidR="00DC27EA" w:rsidRPr="004A371C" w:rsidRDefault="00DC27EA" w:rsidP="003F165E">
            <w:pPr>
              <w:jc w:val="both"/>
              <w:rPr>
                <w:i/>
              </w:rPr>
            </w:pPr>
            <w:r w:rsidRPr="004A371C">
              <w:t>Noteikumu projektā ietvertie normu grozījumi attiecas uz visiem valsts budžeta apmaksāto veselības aprūpes pakalpojumu sniedzējiem un saņēmējiem.</w:t>
            </w:r>
          </w:p>
        </w:tc>
      </w:tr>
      <w:tr w:rsidR="00DC27EA" w:rsidRPr="004A371C" w:rsidTr="00C421D8">
        <w:tc>
          <w:tcPr>
            <w:tcW w:w="230" w:type="pct"/>
          </w:tcPr>
          <w:p w:rsidR="00DC27EA" w:rsidRPr="004A371C" w:rsidRDefault="00DC27EA" w:rsidP="004213D9">
            <w:r w:rsidRPr="004A371C">
              <w:t>2.</w:t>
            </w:r>
          </w:p>
        </w:tc>
        <w:tc>
          <w:tcPr>
            <w:tcW w:w="1236" w:type="pct"/>
          </w:tcPr>
          <w:p w:rsidR="00DC27EA" w:rsidRPr="004A371C" w:rsidRDefault="00DC27EA" w:rsidP="004213D9">
            <w:pPr>
              <w:ind w:left="-42" w:right="-108"/>
            </w:pPr>
            <w:r w:rsidRPr="004A371C">
              <w:t>Tiesiskā regulējuma ietekme uz tautsaimniecību un administratīvo slogu</w:t>
            </w:r>
          </w:p>
        </w:tc>
        <w:tc>
          <w:tcPr>
            <w:tcW w:w="3534" w:type="pct"/>
          </w:tcPr>
          <w:p w:rsidR="00DC27EA" w:rsidRPr="004A371C" w:rsidRDefault="00220DA9" w:rsidP="005E5CF1">
            <w:pPr>
              <w:jc w:val="both"/>
              <w:rPr>
                <w:color w:val="000000" w:themeColor="text1"/>
              </w:rPr>
            </w:pPr>
            <w:r w:rsidRPr="004A371C">
              <w:rPr>
                <w:color w:val="000000" w:themeColor="text1"/>
              </w:rPr>
              <w:t>Nav.</w:t>
            </w:r>
          </w:p>
        </w:tc>
      </w:tr>
      <w:tr w:rsidR="00DC27EA" w:rsidRPr="004A371C" w:rsidTr="00C421D8">
        <w:tc>
          <w:tcPr>
            <w:tcW w:w="230" w:type="pct"/>
          </w:tcPr>
          <w:p w:rsidR="00DC27EA" w:rsidRPr="004A371C" w:rsidRDefault="00DC27EA" w:rsidP="004213D9">
            <w:r w:rsidRPr="004A371C">
              <w:t>3.</w:t>
            </w:r>
          </w:p>
        </w:tc>
        <w:tc>
          <w:tcPr>
            <w:tcW w:w="1236" w:type="pct"/>
          </w:tcPr>
          <w:p w:rsidR="00DC27EA" w:rsidRPr="004A371C" w:rsidRDefault="00DC27EA" w:rsidP="004213D9">
            <w:pPr>
              <w:ind w:left="-42" w:right="-108"/>
            </w:pPr>
            <w:r w:rsidRPr="004A371C">
              <w:t>Administratīvo izmaksu monetārs novērtējums</w:t>
            </w:r>
          </w:p>
        </w:tc>
        <w:tc>
          <w:tcPr>
            <w:tcW w:w="3534" w:type="pct"/>
          </w:tcPr>
          <w:p w:rsidR="00416A21" w:rsidRPr="004A371C" w:rsidRDefault="00220DA9" w:rsidP="00220DA9">
            <w:pPr>
              <w:jc w:val="both"/>
            </w:pPr>
            <w:r w:rsidRPr="004A371C">
              <w:t>Nav.</w:t>
            </w:r>
          </w:p>
        </w:tc>
      </w:tr>
      <w:tr w:rsidR="00DC27EA" w:rsidRPr="004A371C" w:rsidTr="00C421D8">
        <w:tc>
          <w:tcPr>
            <w:tcW w:w="230" w:type="pct"/>
          </w:tcPr>
          <w:p w:rsidR="00DC27EA" w:rsidRPr="004A371C" w:rsidRDefault="00DC27EA" w:rsidP="004213D9">
            <w:r w:rsidRPr="004A371C">
              <w:t>4.</w:t>
            </w:r>
          </w:p>
        </w:tc>
        <w:tc>
          <w:tcPr>
            <w:tcW w:w="1236" w:type="pct"/>
          </w:tcPr>
          <w:p w:rsidR="00DC27EA" w:rsidRPr="004A371C" w:rsidRDefault="00DC27EA" w:rsidP="004213D9">
            <w:pPr>
              <w:ind w:left="-42" w:right="-108"/>
            </w:pPr>
            <w:r w:rsidRPr="004A371C">
              <w:t>Cita informācija</w:t>
            </w:r>
          </w:p>
        </w:tc>
        <w:tc>
          <w:tcPr>
            <w:tcW w:w="3534" w:type="pct"/>
          </w:tcPr>
          <w:p w:rsidR="00DC27EA" w:rsidRPr="004A371C" w:rsidRDefault="00DC27EA" w:rsidP="004213D9">
            <w:pPr>
              <w:jc w:val="both"/>
            </w:pPr>
            <w:r w:rsidRPr="004A371C">
              <w:t>Nav.</w:t>
            </w:r>
          </w:p>
        </w:tc>
      </w:tr>
    </w:tbl>
    <w:p w:rsidR="00DC27EA" w:rsidRDefault="00DC27EA" w:rsidP="00C421D8">
      <w:pPr>
        <w:ind w:right="-143"/>
      </w:pPr>
    </w:p>
    <w:p w:rsidR="00700C52" w:rsidRDefault="00700C52" w:rsidP="00C421D8">
      <w:pPr>
        <w:ind w:right="-143"/>
      </w:pPr>
    </w:p>
    <w:p w:rsidR="00700C52" w:rsidRDefault="00700C52" w:rsidP="00C421D8">
      <w:pPr>
        <w:ind w:right="-143"/>
      </w:pPr>
    </w:p>
    <w:p w:rsidR="00700C52" w:rsidRPr="004A371C" w:rsidRDefault="00700C52" w:rsidP="00C421D8">
      <w:pPr>
        <w:ind w:right="-143"/>
      </w:pPr>
    </w:p>
    <w:tbl>
      <w:tblPr>
        <w:tblW w:w="4956" w:type="pct"/>
        <w:jc w:val="center"/>
        <w:tblInd w:w="2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53"/>
        <w:gridCol w:w="1570"/>
        <w:gridCol w:w="1684"/>
        <w:gridCol w:w="1318"/>
        <w:gridCol w:w="1330"/>
        <w:gridCol w:w="1596"/>
      </w:tblGrid>
      <w:tr w:rsidR="004325FC" w:rsidRPr="004A371C" w:rsidTr="00C421D8">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4325FC" w:rsidRPr="004A371C" w:rsidRDefault="004325FC" w:rsidP="004325FC">
            <w:pPr>
              <w:spacing w:before="75" w:after="75"/>
              <w:jc w:val="center"/>
              <w:rPr>
                <w:rFonts w:eastAsia="Times New Roman" w:cs="Times New Roman"/>
                <w:szCs w:val="24"/>
                <w:lang w:eastAsia="lv-LV"/>
              </w:rPr>
            </w:pPr>
            <w:r w:rsidRPr="004A371C">
              <w:rPr>
                <w:rFonts w:eastAsia="Times New Roman" w:cs="Times New Roman"/>
                <w:b/>
                <w:bCs/>
                <w:szCs w:val="24"/>
                <w:lang w:eastAsia="lv-LV"/>
              </w:rPr>
              <w:t>III. Tiesību akta projekta ietekme uz valsts budžetu un pašvaldību budžetiem</w:t>
            </w:r>
          </w:p>
        </w:tc>
      </w:tr>
      <w:tr w:rsidR="004325FC" w:rsidRPr="004A371C" w:rsidTr="00C421D8">
        <w:trPr>
          <w:jc w:val="center"/>
        </w:trPr>
        <w:tc>
          <w:tcPr>
            <w:tcW w:w="820" w:type="pct"/>
            <w:vMerge w:val="restar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b/>
                <w:bCs/>
                <w:szCs w:val="24"/>
                <w:lang w:eastAsia="lv-LV"/>
              </w:rPr>
              <w:t>Rādītāji</w:t>
            </w:r>
          </w:p>
        </w:tc>
        <w:tc>
          <w:tcPr>
            <w:tcW w:w="181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b/>
                <w:bCs/>
                <w:szCs w:val="24"/>
                <w:lang w:eastAsia="lv-LV"/>
              </w:rPr>
              <w:t>2016. gads</w:t>
            </w:r>
          </w:p>
        </w:tc>
        <w:tc>
          <w:tcPr>
            <w:tcW w:w="2367" w:type="pct"/>
            <w:gridSpan w:val="3"/>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Cs w:val="24"/>
                <w:lang w:eastAsia="lv-LV"/>
              </w:rPr>
            </w:pPr>
            <w:r w:rsidRPr="004A371C">
              <w:rPr>
                <w:rFonts w:eastAsia="Times New Roman" w:cs="Times New Roman"/>
                <w:szCs w:val="24"/>
                <w:lang w:eastAsia="lv-LV"/>
              </w:rPr>
              <w:t>Turpmākie trīs gadi (</w:t>
            </w:r>
            <w:proofErr w:type="spellStart"/>
            <w:r w:rsidRPr="004A371C">
              <w:rPr>
                <w:rFonts w:eastAsia="Times New Roman" w:cs="Times New Roman"/>
                <w:i/>
                <w:szCs w:val="24"/>
                <w:lang w:eastAsia="lv-LV"/>
              </w:rPr>
              <w:t>euro</w:t>
            </w:r>
            <w:proofErr w:type="spellEnd"/>
            <w:r w:rsidRPr="004A371C">
              <w:rPr>
                <w:rFonts w:eastAsia="Times New Roman" w:cs="Times New Roman"/>
                <w:szCs w:val="24"/>
                <w:lang w:eastAsia="lv-LV"/>
              </w:rPr>
              <w:t>)</w:t>
            </w:r>
          </w:p>
        </w:tc>
      </w:tr>
      <w:tr w:rsidR="00C421D8" w:rsidRPr="004A371C" w:rsidTr="00C421D8">
        <w:trPr>
          <w:jc w:val="center"/>
        </w:trPr>
        <w:tc>
          <w:tcPr>
            <w:tcW w:w="820" w:type="pct"/>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c>
          <w:tcPr>
            <w:tcW w:w="1813" w:type="pct"/>
            <w:gridSpan w:val="2"/>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c>
          <w:tcPr>
            <w:tcW w:w="736"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b/>
                <w:bCs/>
                <w:szCs w:val="24"/>
                <w:lang w:eastAsia="lv-LV"/>
              </w:rPr>
              <w:t>2017</w:t>
            </w:r>
          </w:p>
        </w:tc>
        <w:tc>
          <w:tcPr>
            <w:tcW w:w="742"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b/>
                <w:bCs/>
                <w:szCs w:val="24"/>
                <w:lang w:eastAsia="lv-LV"/>
              </w:rPr>
              <w:t>2018</w:t>
            </w:r>
          </w:p>
        </w:tc>
        <w:tc>
          <w:tcPr>
            <w:tcW w:w="889"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b/>
                <w:bCs/>
                <w:szCs w:val="24"/>
                <w:lang w:eastAsia="lv-LV"/>
              </w:rPr>
              <w:t>2019</w:t>
            </w:r>
          </w:p>
        </w:tc>
      </w:tr>
      <w:tr w:rsidR="00C421D8" w:rsidRPr="004A371C" w:rsidTr="00C421D8">
        <w:trPr>
          <w:jc w:val="center"/>
        </w:trPr>
        <w:tc>
          <w:tcPr>
            <w:tcW w:w="820" w:type="pct"/>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szCs w:val="24"/>
                <w:lang w:eastAsia="lv-LV"/>
              </w:rPr>
              <w:t>saskaņā ar valsts budžetu kārtējam gadam*</w:t>
            </w:r>
          </w:p>
        </w:tc>
        <w:tc>
          <w:tcPr>
            <w:tcW w:w="938"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szCs w:val="24"/>
                <w:lang w:eastAsia="lv-LV"/>
              </w:rPr>
              <w:t>izmaiņas kārtējā gadā, salīdzinot ar valsts budžetu kārtējam gadam</w:t>
            </w:r>
          </w:p>
        </w:tc>
        <w:tc>
          <w:tcPr>
            <w:tcW w:w="736"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szCs w:val="24"/>
                <w:lang w:eastAsia="lv-LV"/>
              </w:rPr>
              <w:t>izmaiņas, salīdzinot ar kārtējo (n) gadu</w:t>
            </w:r>
          </w:p>
        </w:tc>
        <w:tc>
          <w:tcPr>
            <w:tcW w:w="742"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szCs w:val="24"/>
                <w:lang w:eastAsia="lv-LV"/>
              </w:rPr>
              <w:t>izmaiņas, salīdzinot ar kārtējo (n) gadu</w:t>
            </w:r>
          </w:p>
        </w:tc>
        <w:tc>
          <w:tcPr>
            <w:tcW w:w="889"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rPr>
                <w:rFonts w:eastAsia="Times New Roman" w:cs="Times New Roman"/>
                <w:szCs w:val="24"/>
                <w:lang w:eastAsia="lv-LV"/>
              </w:rPr>
            </w:pPr>
            <w:r w:rsidRPr="004A371C">
              <w:rPr>
                <w:rFonts w:eastAsia="Times New Roman" w:cs="Times New Roman"/>
                <w:szCs w:val="24"/>
                <w:lang w:eastAsia="lv-LV"/>
              </w:rPr>
              <w:t>izmaiņas, salīdzinot ar kārtējo (n) gadu</w:t>
            </w:r>
          </w:p>
        </w:tc>
      </w:tr>
      <w:tr w:rsidR="00C421D8" w:rsidRPr="004A371C" w:rsidTr="00C421D8">
        <w:trPr>
          <w:trHeight w:val="346"/>
          <w:jc w:val="center"/>
        </w:trPr>
        <w:tc>
          <w:tcPr>
            <w:tcW w:w="820"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1</w:t>
            </w:r>
          </w:p>
        </w:tc>
        <w:tc>
          <w:tcPr>
            <w:tcW w:w="875"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2</w:t>
            </w:r>
          </w:p>
        </w:tc>
        <w:tc>
          <w:tcPr>
            <w:tcW w:w="938"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3</w:t>
            </w:r>
          </w:p>
        </w:tc>
        <w:tc>
          <w:tcPr>
            <w:tcW w:w="736"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4</w:t>
            </w:r>
          </w:p>
        </w:tc>
        <w:tc>
          <w:tcPr>
            <w:tcW w:w="742"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5</w:t>
            </w:r>
          </w:p>
        </w:tc>
        <w:tc>
          <w:tcPr>
            <w:tcW w:w="889" w:type="pc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spacing w:before="75" w:after="75"/>
              <w:jc w:val="center"/>
              <w:rPr>
                <w:rFonts w:eastAsia="Times New Roman" w:cs="Times New Roman"/>
                <w:sz w:val="20"/>
                <w:szCs w:val="20"/>
                <w:lang w:eastAsia="lv-LV"/>
              </w:rPr>
            </w:pPr>
            <w:r w:rsidRPr="004A371C">
              <w:rPr>
                <w:rFonts w:eastAsia="Times New Roman" w:cs="Times New Roman"/>
                <w:sz w:val="20"/>
                <w:szCs w:val="20"/>
                <w:lang w:eastAsia="lv-LV"/>
              </w:rPr>
              <w:t>6</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b/>
                <w:bCs/>
                <w:szCs w:val="24"/>
              </w:rPr>
            </w:pPr>
            <w:r w:rsidRPr="004A371C">
              <w:rPr>
                <w:rFonts w:cs="Times New Roman"/>
                <w:b/>
                <w:bCs/>
              </w:rPr>
              <w:t>1. Budžeta ieņēmumi:</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b/>
                <w:lang w:eastAsia="lv-LV"/>
              </w:rPr>
            </w:pPr>
            <w:r w:rsidRPr="004A371C">
              <w:rPr>
                <w:rFonts w:eastAsia="Times New Roman" w:cs="Times New Roman"/>
                <w:b/>
                <w:color w:val="000000"/>
                <w:shd w:val="clear" w:color="auto" w:fill="FFFFFF"/>
                <w:lang w:eastAsia="lv-LV" w:bidi="lv-LV"/>
              </w:rPr>
              <w:t>517 132 911</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b/>
                <w:lang w:eastAsia="lv-LV"/>
              </w:rPr>
            </w:pPr>
            <w:r w:rsidRPr="004A371C">
              <w:rPr>
                <w:rFonts w:eastAsia="Times New Roman" w:cs="Times New Roman"/>
                <w:b/>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b/>
                <w:lang w:eastAsia="lv-LV"/>
              </w:rPr>
            </w:pPr>
            <w:r w:rsidRPr="004A371C">
              <w:rPr>
                <w:rFonts w:eastAsia="Times New Roman" w:cs="Times New Roman"/>
                <w:b/>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b/>
                <w:lang w:eastAsia="lv-LV"/>
              </w:rPr>
            </w:pPr>
            <w:r w:rsidRPr="004A371C">
              <w:rPr>
                <w:rFonts w:eastAsia="Times New Roman" w:cs="Times New Roman"/>
                <w:b/>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b/>
                <w:lang w:eastAsia="lv-LV"/>
              </w:rPr>
            </w:pPr>
            <w:r w:rsidRPr="004A371C">
              <w:rPr>
                <w:rFonts w:eastAsia="Times New Roman" w:cs="Times New Roman"/>
                <w:b/>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szCs w:val="24"/>
              </w:rPr>
            </w:pPr>
            <w:r w:rsidRPr="004A371C">
              <w:rPr>
                <w:rFonts w:cs="Times New Roman"/>
              </w:rPr>
              <w:t xml:space="preserve">1.1. valsts pamatbudžets, tai skaitā ieņēmumi no maksas pakalpojumiem un citi pašu </w:t>
            </w:r>
            <w:r w:rsidRPr="004A371C">
              <w:rPr>
                <w:rFonts w:cs="Times New Roman"/>
              </w:rPr>
              <w:lastRenderedPageBreak/>
              <w:t>ieņēmumi</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color w:val="000000"/>
                <w:shd w:val="clear" w:color="auto" w:fill="FFFFFF"/>
                <w:lang w:eastAsia="lv-LV" w:bidi="lv-LV"/>
              </w:rPr>
              <w:lastRenderedPageBreak/>
              <w:t>517 132 911</w:t>
            </w:r>
          </w:p>
          <w:p w:rsidR="004325FC" w:rsidRPr="004A371C" w:rsidRDefault="004325FC" w:rsidP="004325FC">
            <w:pPr>
              <w:rPr>
                <w:rFonts w:eastAsia="Times New Roman" w:cs="Times New Roman"/>
                <w:lang w:eastAsia="lv-LV"/>
              </w:rPr>
            </w:pPr>
          </w:p>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1 087 074</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szCs w:val="24"/>
              </w:rPr>
            </w:pPr>
            <w:r w:rsidRPr="004A371C">
              <w:rPr>
                <w:rFonts w:cs="Times New Roman"/>
              </w:rPr>
              <w:lastRenderedPageBreak/>
              <w:t>1.2. valsts speciālais budžets</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szCs w:val="24"/>
              </w:rPr>
            </w:pPr>
            <w:r w:rsidRPr="004A371C">
              <w:rPr>
                <w:rFonts w:cs="Times New Roman"/>
              </w:rPr>
              <w:t>1.3. pašvaldību budžets</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lang w:eastAsia="lv-LV"/>
              </w:rPr>
            </w:pPr>
            <w:r w:rsidRPr="004A371C">
              <w:rPr>
                <w:rFonts w:eastAsia="Times New Roman" w:cs="Times New Roman"/>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b/>
                <w:bCs/>
                <w:szCs w:val="24"/>
              </w:rPr>
            </w:pPr>
            <w:r w:rsidRPr="004A371C">
              <w:rPr>
                <w:rFonts w:cs="Times New Roman"/>
                <w:b/>
                <w:bCs/>
              </w:rPr>
              <w:t>2. Budžeta izdevumi:</w:t>
            </w:r>
          </w:p>
        </w:tc>
        <w:tc>
          <w:tcPr>
            <w:tcW w:w="875"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b/>
                <w:lang w:eastAsia="lv-LV"/>
              </w:rPr>
            </w:pPr>
            <w:r w:rsidRPr="004A371C">
              <w:rPr>
                <w:rFonts w:eastAsia="Times New Roman" w:cs="Times New Roman"/>
                <w:b/>
                <w:sz w:val="22"/>
                <w:lang w:eastAsia="lv-LV"/>
              </w:rPr>
              <w:t>517 654 346</w:t>
            </w:r>
          </w:p>
        </w:tc>
        <w:tc>
          <w:tcPr>
            <w:tcW w:w="938"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b/>
                <w:lang w:eastAsia="lv-LV"/>
              </w:rPr>
            </w:pPr>
            <w:r w:rsidRPr="004A371C">
              <w:rPr>
                <w:rFonts w:eastAsia="Times New Roman" w:cs="Times New Roman"/>
                <w:b/>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sidP="004325FC">
            <w:pPr>
              <w:rPr>
                <w:rFonts w:eastAsia="Times New Roman" w:cs="Times New Roman"/>
                <w:b/>
                <w:lang w:eastAsia="lv-LV"/>
              </w:rPr>
            </w:pPr>
            <w:r w:rsidRPr="004A371C">
              <w:rPr>
                <w:rFonts w:eastAsia="Times New Roman" w:cs="Times New Roman"/>
                <w:b/>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 w:rsidRPr="004A371C">
              <w:rPr>
                <w:rFonts w:eastAsia="Times New Roman" w:cs="Times New Roman"/>
                <w:b/>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 w:rsidRPr="004A371C">
              <w:rPr>
                <w:rFonts w:eastAsia="Times New Roman" w:cs="Times New Roman"/>
                <w:b/>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szCs w:val="24"/>
              </w:rPr>
            </w:pPr>
            <w:r w:rsidRPr="004A371C">
              <w:rPr>
                <w:rFonts w:cs="Times New Roman"/>
              </w:rPr>
              <w:t>2.1. valsts pamatbudžets</w:t>
            </w:r>
          </w:p>
        </w:tc>
        <w:tc>
          <w:tcPr>
            <w:tcW w:w="875"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lang w:eastAsia="lv-LV"/>
              </w:rPr>
            </w:pPr>
            <w:r w:rsidRPr="004A371C">
              <w:rPr>
                <w:rFonts w:eastAsia="Times New Roman" w:cs="Times New Roman"/>
                <w:sz w:val="22"/>
                <w:lang w:eastAsia="lv-LV"/>
              </w:rPr>
              <w:t>517 654 346</w:t>
            </w:r>
          </w:p>
        </w:tc>
        <w:tc>
          <w:tcPr>
            <w:tcW w:w="938"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lang w:eastAsia="lv-LV"/>
              </w:rPr>
            </w:pPr>
            <w:r w:rsidRPr="004A371C">
              <w:rPr>
                <w:rFonts w:eastAsia="Times New Roman" w:cs="Times New Roman"/>
                <w:sz w:val="22"/>
                <w:lang w:eastAsia="lv-LV"/>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 w:rsidRPr="004A371C">
              <w:rPr>
                <w:rFonts w:eastAsia="Times New Roman" w:cs="Times New Roman"/>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 w:rsidRPr="004A371C">
              <w:rPr>
                <w:rFonts w:eastAsia="Times New Roman" w:cs="Times New Roman"/>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 w:rsidRPr="004A371C">
              <w:rPr>
                <w:rFonts w:eastAsia="Times New Roman" w:cs="Times New Roman"/>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szCs w:val="24"/>
              </w:rPr>
            </w:pPr>
            <w:r w:rsidRPr="004A371C">
              <w:rPr>
                <w:rFonts w:cs="Times New Roman"/>
              </w:rPr>
              <w:t>2.2. valsts speciālais budžets</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szCs w:val="24"/>
              </w:rPr>
            </w:pPr>
            <w:r w:rsidRPr="004A371C">
              <w:rPr>
                <w:rFonts w:cs="Times New Roman"/>
              </w:rPr>
              <w:t xml:space="preserve">2.3. pašvaldību budžets </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b/>
                <w:szCs w:val="24"/>
              </w:rPr>
            </w:pPr>
            <w:r w:rsidRPr="004A371C">
              <w:rPr>
                <w:rFonts w:cs="Times New Roman"/>
                <w:b/>
              </w:rPr>
              <w:t>3. Finansiālā ietekme:</w:t>
            </w:r>
          </w:p>
        </w:tc>
        <w:tc>
          <w:tcPr>
            <w:tcW w:w="875" w:type="pct"/>
            <w:tcBorders>
              <w:top w:val="outset" w:sz="6" w:space="0" w:color="auto"/>
              <w:left w:val="outset" w:sz="6" w:space="0" w:color="auto"/>
              <w:bottom w:val="outset" w:sz="6" w:space="0" w:color="auto"/>
              <w:right w:val="outset" w:sz="6" w:space="0" w:color="auto"/>
            </w:tcBorders>
            <w:vAlign w:val="bottom"/>
            <w:hideMark/>
          </w:tcPr>
          <w:p w:rsidR="00F034AC" w:rsidRPr="004A371C" w:rsidRDefault="00F034AC" w:rsidP="004325FC">
            <w:pPr>
              <w:rPr>
                <w:rFonts w:cs="Times New Roman"/>
                <w:b/>
              </w:rPr>
            </w:pPr>
            <w:r w:rsidRPr="004A371C">
              <w:rPr>
                <w:rFonts w:eastAsia="Times New Roman" w:cs="Times New Roman"/>
                <w:b/>
                <w:noProof/>
                <w:szCs w:val="24"/>
                <w:lang w:eastAsia="lv-LV"/>
              </w:rPr>
              <w:t xml:space="preserve">-521 </w:t>
            </w:r>
            <w:r w:rsidRPr="004A371C">
              <w:rPr>
                <w:rFonts w:eastAsia="Times New Roman" w:cs="Times New Roman"/>
                <w:b/>
                <w:color w:val="000000"/>
                <w:shd w:val="clear" w:color="auto" w:fill="FFFFFF"/>
                <w:lang w:eastAsia="lv-LV" w:bidi="lv-LV"/>
              </w:rPr>
              <w:t>435</w:t>
            </w:r>
          </w:p>
        </w:tc>
        <w:tc>
          <w:tcPr>
            <w:tcW w:w="938" w:type="pct"/>
            <w:tcBorders>
              <w:top w:val="outset" w:sz="6" w:space="0" w:color="auto"/>
              <w:left w:val="outset" w:sz="6" w:space="0" w:color="auto"/>
              <w:bottom w:val="outset" w:sz="6" w:space="0" w:color="auto"/>
              <w:right w:val="outset" w:sz="6" w:space="0" w:color="auto"/>
            </w:tcBorders>
            <w:vAlign w:val="bottom"/>
            <w:hideMark/>
          </w:tcPr>
          <w:p w:rsidR="00F034AC" w:rsidRPr="004A371C" w:rsidRDefault="004564E2" w:rsidP="004325FC">
            <w:pPr>
              <w:rPr>
                <w:rFonts w:cs="Times New Roman"/>
                <w:b/>
              </w:rPr>
            </w:pPr>
            <w:r w:rsidRPr="004A371C">
              <w:rPr>
                <w:rFonts w:cs="Times New Roman"/>
                <w:b/>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szCs w:val="24"/>
              </w:rPr>
            </w:pPr>
            <w:r w:rsidRPr="004A371C">
              <w:rPr>
                <w:rFonts w:cs="Times New Roman"/>
              </w:rPr>
              <w:t>3.1. valsts pamatbudžets</w:t>
            </w:r>
          </w:p>
        </w:tc>
        <w:tc>
          <w:tcPr>
            <w:tcW w:w="875"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rPr>
            </w:pPr>
            <w:r w:rsidRPr="004A371C">
              <w:rPr>
                <w:rFonts w:eastAsia="Times New Roman" w:cs="Times New Roman"/>
                <w:noProof/>
                <w:szCs w:val="24"/>
                <w:lang w:eastAsia="lv-LV"/>
              </w:rPr>
              <w:t xml:space="preserve">- 521 </w:t>
            </w:r>
            <w:r w:rsidRPr="004A371C">
              <w:rPr>
                <w:rFonts w:eastAsia="Times New Roman" w:cs="Times New Roman"/>
                <w:color w:val="000000"/>
                <w:shd w:val="clear" w:color="auto" w:fill="FFFFFF"/>
                <w:lang w:eastAsia="lv-LV" w:bidi="lv-LV"/>
              </w:rPr>
              <w:t>435</w:t>
            </w:r>
          </w:p>
        </w:tc>
        <w:tc>
          <w:tcPr>
            <w:tcW w:w="938"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3.2. speciālais budžets</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 xml:space="preserve">3.3. pašvaldību budžets </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trHeight w:val="1380"/>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4. Finanšu līdzekļi papildu izdevumu finansēšanai (kompensējošu izdevumu samazinājumu norāda ar "+" zīmi)</w:t>
            </w:r>
          </w:p>
        </w:tc>
        <w:tc>
          <w:tcPr>
            <w:tcW w:w="875"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spacing w:before="75" w:after="75"/>
              <w:rPr>
                <w:rFonts w:eastAsia="Times New Roman" w:cs="Times New Roman"/>
                <w:lang w:eastAsia="lv-LV"/>
              </w:rPr>
            </w:pPr>
            <w:r w:rsidRPr="004A371C">
              <w:rPr>
                <w:rFonts w:eastAsia="Times New Roman" w:cs="Times New Roman"/>
                <w:sz w:val="22"/>
                <w:lang w:eastAsia="lv-LV"/>
              </w:rPr>
              <w:t>X</w:t>
            </w:r>
          </w:p>
        </w:tc>
        <w:tc>
          <w:tcPr>
            <w:tcW w:w="938" w:type="pct"/>
            <w:tcBorders>
              <w:top w:val="outset" w:sz="6" w:space="0" w:color="auto"/>
              <w:left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szCs w:val="24"/>
                <w:lang w:eastAsia="lv-LV"/>
              </w:rPr>
            </w:pPr>
            <w:r w:rsidRPr="004A371C">
              <w:rPr>
                <w:rFonts w:eastAsia="Times New Roman" w:cs="Times New Roman"/>
                <w:szCs w:val="24"/>
                <w:lang w:eastAsia="lv-LV"/>
              </w:rPr>
              <w:t>5. Precizēta finansiālā ietekme:</w:t>
            </w:r>
          </w:p>
        </w:tc>
        <w:tc>
          <w:tcPr>
            <w:tcW w:w="875" w:type="pct"/>
            <w:vMerge w:val="restar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spacing w:before="75" w:after="75"/>
              <w:rPr>
                <w:rFonts w:eastAsia="Times New Roman" w:cs="Times New Roman"/>
                <w:lang w:eastAsia="lv-LV"/>
              </w:rPr>
            </w:pPr>
            <w:r w:rsidRPr="004A371C">
              <w:rPr>
                <w:rFonts w:eastAsia="Times New Roman" w:cs="Times New Roman"/>
                <w:sz w:val="22"/>
                <w:lang w:eastAsia="lv-LV"/>
              </w:rPr>
              <w:t>X</w:t>
            </w:r>
          </w:p>
        </w:tc>
        <w:tc>
          <w:tcPr>
            <w:tcW w:w="938"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pPr>
              <w:rPr>
                <w:rFonts w:eastAsia="Times New Roman" w:cs="Times New Roman"/>
                <w:b/>
                <w:lang w:eastAsia="lv-LV"/>
              </w:rPr>
            </w:pPr>
            <w:r w:rsidRPr="004A371C">
              <w:rPr>
                <w:rFonts w:eastAsia="Times New Roman" w:cs="Times New Roman"/>
                <w:b/>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eastAsia="Times New Roman" w:cs="Times New Roman"/>
                <w:szCs w:val="24"/>
                <w:lang w:eastAsia="lv-LV"/>
              </w:rPr>
            </w:pPr>
            <w:r w:rsidRPr="004A371C">
              <w:rPr>
                <w:rFonts w:eastAsia="Times New Roman" w:cs="Times New Roman"/>
                <w:szCs w:val="24"/>
                <w:lang w:eastAsia="lv-LV"/>
              </w:rPr>
              <w:t>5.1. valsts pamatbudžets</w:t>
            </w:r>
          </w:p>
        </w:tc>
        <w:tc>
          <w:tcPr>
            <w:tcW w:w="875" w:type="pct"/>
            <w:vMerge/>
            <w:tcBorders>
              <w:top w:val="outset" w:sz="6" w:space="0" w:color="auto"/>
              <w:left w:val="outset" w:sz="6" w:space="0" w:color="auto"/>
              <w:bottom w:val="outset" w:sz="6" w:space="0" w:color="auto"/>
              <w:right w:val="outset" w:sz="6" w:space="0" w:color="auto"/>
            </w:tcBorders>
            <w:vAlign w:val="center"/>
            <w:hideMark/>
          </w:tcPr>
          <w:p w:rsidR="00F034AC" w:rsidRPr="004A371C" w:rsidRDefault="00F034AC" w:rsidP="004325FC">
            <w:pPr>
              <w:rPr>
                <w:rFonts w:eastAsia="Times New Roman" w:cs="Times New Roman"/>
                <w:lang w:eastAsia="lv-LV"/>
              </w:rPr>
            </w:pPr>
          </w:p>
        </w:tc>
        <w:tc>
          <w:tcPr>
            <w:tcW w:w="938" w:type="pct"/>
            <w:tcBorders>
              <w:top w:val="outset" w:sz="6" w:space="0" w:color="auto"/>
              <w:left w:val="outset" w:sz="6" w:space="0" w:color="auto"/>
              <w:bottom w:val="outset" w:sz="6" w:space="0" w:color="auto"/>
              <w:right w:val="outset" w:sz="6" w:space="0" w:color="auto"/>
            </w:tcBorders>
            <w:hideMark/>
          </w:tcPr>
          <w:p w:rsidR="00F034AC" w:rsidRPr="004A371C" w:rsidRDefault="00F034A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c>
          <w:tcPr>
            <w:tcW w:w="889" w:type="pct"/>
            <w:tcBorders>
              <w:top w:val="outset" w:sz="6" w:space="0" w:color="auto"/>
              <w:left w:val="outset" w:sz="6" w:space="0" w:color="auto"/>
              <w:bottom w:val="outset" w:sz="6" w:space="0" w:color="auto"/>
              <w:right w:val="outset" w:sz="6" w:space="0" w:color="auto"/>
            </w:tcBorders>
            <w:hideMark/>
          </w:tcPr>
          <w:p w:rsidR="00F034AC" w:rsidRPr="004A371C" w:rsidRDefault="004564E2" w:rsidP="00F034AC">
            <w:r w:rsidRPr="004A371C">
              <w:rPr>
                <w:rFonts w:eastAsia="Times New Roman" w:cs="Times New Roman"/>
                <w:bCs/>
                <w:color w:val="000000"/>
                <w:sz w:val="22"/>
                <w:lang w:eastAsia="lv-LV"/>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5.2. speciālais budžets</w:t>
            </w:r>
          </w:p>
        </w:tc>
        <w:tc>
          <w:tcPr>
            <w:tcW w:w="875" w:type="pct"/>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lang w:eastAsia="lv-LV"/>
              </w:rPr>
            </w:pP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C421D8"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 xml:space="preserve">5.3. pašvaldību budžets </w:t>
            </w:r>
          </w:p>
        </w:tc>
        <w:tc>
          <w:tcPr>
            <w:tcW w:w="875" w:type="pct"/>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c>
          <w:tcPr>
            <w:tcW w:w="938"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36"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742"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c>
          <w:tcPr>
            <w:tcW w:w="889"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cs="Times New Roman"/>
              </w:rPr>
            </w:pPr>
            <w:r w:rsidRPr="004A371C">
              <w:rPr>
                <w:rFonts w:cs="Times New Roman"/>
                <w:sz w:val="22"/>
              </w:rPr>
              <w:t>0</w:t>
            </w:r>
          </w:p>
        </w:tc>
      </w:tr>
      <w:tr w:rsidR="004325FC"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 xml:space="preserve">6. Detalizēts ieņēmumu un </w:t>
            </w:r>
            <w:r w:rsidRPr="004A371C">
              <w:rPr>
                <w:rFonts w:eastAsia="Times New Roman" w:cs="Times New Roman"/>
                <w:szCs w:val="24"/>
                <w:lang w:eastAsia="lv-LV"/>
              </w:rPr>
              <w:lastRenderedPageBreak/>
              <w:t>izdevumu aprēķins (ja nepieciešams, detalizētu ieņēmumu un izdevumu aprēķinu var pievienot anotācijas pielikumā):</w:t>
            </w:r>
          </w:p>
        </w:tc>
        <w:tc>
          <w:tcPr>
            <w:tcW w:w="418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pStyle w:val="naisf"/>
              <w:spacing w:before="0" w:after="0"/>
              <w:ind w:right="141"/>
              <w:rPr>
                <w:i/>
                <w:sz w:val="20"/>
                <w:szCs w:val="20"/>
              </w:rPr>
            </w:pPr>
            <w:r w:rsidRPr="004A371C">
              <w:rPr>
                <w:i/>
                <w:sz w:val="20"/>
                <w:szCs w:val="20"/>
              </w:rPr>
              <w:lastRenderedPageBreak/>
              <w:t xml:space="preserve">* Atbilstoši likumam „Par valsts budžetu 2016.gadam” un ņemot vērā Finanšu ministrijas (turpmāk – FM) 08.04.2016. rīkojumu Nr.175 un FM 27.04.2016. rīkojumu </w:t>
            </w:r>
            <w:r w:rsidRPr="004A371C">
              <w:rPr>
                <w:i/>
                <w:sz w:val="20"/>
                <w:szCs w:val="20"/>
              </w:rPr>
              <w:lastRenderedPageBreak/>
              <w:t xml:space="preserve">Nr.201. </w:t>
            </w:r>
          </w:p>
          <w:p w:rsidR="004325FC" w:rsidRPr="004A371C" w:rsidRDefault="004325FC" w:rsidP="004325FC">
            <w:pPr>
              <w:widowControl w:val="0"/>
              <w:rPr>
                <w:rFonts w:eastAsia="Times New Roman" w:cs="Times New Roman"/>
                <w:color w:val="000000"/>
                <w:shd w:val="clear" w:color="auto" w:fill="FFFFFF"/>
                <w:lang w:eastAsia="lv-LV" w:bidi="lv-LV"/>
              </w:rPr>
            </w:pPr>
          </w:p>
          <w:p w:rsidR="004325FC" w:rsidRPr="004A371C" w:rsidRDefault="004325FC" w:rsidP="004325FC">
            <w:pPr>
              <w:widowControl w:val="0"/>
              <w:ind w:firstLine="209"/>
              <w:jc w:val="both"/>
              <w:rPr>
                <w:rFonts w:eastAsia="Times New Roman" w:cs="Times New Roman"/>
                <w:color w:val="000000"/>
                <w:shd w:val="clear" w:color="auto" w:fill="FFFFFF"/>
                <w:lang w:eastAsia="lv-LV" w:bidi="lv-LV"/>
              </w:rPr>
            </w:pPr>
            <w:r w:rsidRPr="004A371C">
              <w:rPr>
                <w:rFonts w:eastAsia="Times New Roman" w:cs="Times New Roman"/>
                <w:color w:val="000000"/>
                <w:shd w:val="clear" w:color="auto" w:fill="FFFFFF"/>
                <w:lang w:eastAsia="lv-LV" w:bidi="lv-LV"/>
              </w:rPr>
              <w:t xml:space="preserve">2016.gadā Veselības ministrijas (Nacionālā veselības dienests) budžeta programmas 33.00.00 </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Veselības aprūpes nodrošināšana</w:t>
            </w:r>
            <w:r w:rsidR="00126B31" w:rsidRPr="004A371C">
              <w:rPr>
                <w:rFonts w:eastAsia="Times New Roman" w:cs="Times New Roman"/>
                <w:color w:val="000000"/>
                <w:shd w:val="clear" w:color="auto" w:fill="FFFFFF"/>
                <w:lang w:eastAsia="lv-LV" w:bidi="lv-LV"/>
              </w:rPr>
              <w:t xml:space="preserve">" </w:t>
            </w:r>
            <w:r w:rsidRPr="004A371C">
              <w:rPr>
                <w:rFonts w:eastAsia="Times New Roman" w:cs="Times New Roman"/>
                <w:color w:val="000000"/>
                <w:shd w:val="clear" w:color="auto" w:fill="FFFFFF"/>
                <w:lang w:eastAsia="lv-LV" w:bidi="lv-LV"/>
              </w:rPr>
              <w:t xml:space="preserve">apakšprogrammā 33.01.00 </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Ārstniecība</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w:t>
            </w:r>
          </w:p>
          <w:p w:rsidR="004325FC" w:rsidRPr="004A371C" w:rsidRDefault="004325FC" w:rsidP="004325FC">
            <w:pPr>
              <w:ind w:right="142"/>
              <w:rPr>
                <w:rFonts w:eastAsia="Times New Roman" w:cs="Times New Roman"/>
                <w:noProof/>
                <w:szCs w:val="24"/>
                <w:lang w:eastAsia="lv-LV"/>
              </w:rPr>
            </w:pPr>
            <w:r w:rsidRPr="004A371C">
              <w:rPr>
                <w:rFonts w:eastAsia="Times New Roman" w:cs="Times New Roman"/>
                <w:noProof/>
                <w:szCs w:val="24"/>
                <w:lang w:eastAsia="lv-LV"/>
              </w:rPr>
              <w:t xml:space="preserve">Resursi izdevumu segšanai </w:t>
            </w:r>
            <w:r w:rsidRPr="004A371C">
              <w:rPr>
                <w:rFonts w:eastAsia="Times New Roman" w:cs="Times New Roman"/>
                <w:color w:val="000000"/>
                <w:shd w:val="clear" w:color="auto" w:fill="FFFFFF"/>
                <w:lang w:eastAsia="lv-LV" w:bidi="lv-LV"/>
              </w:rPr>
              <w:t xml:space="preserve">517 132 911 </w:t>
            </w:r>
            <w:r w:rsidRPr="004A371C">
              <w:rPr>
                <w:rFonts w:eastAsia="Times New Roman" w:cs="Times New Roman"/>
                <w:i/>
                <w:noProof/>
                <w:szCs w:val="24"/>
                <w:lang w:eastAsia="lv-LV"/>
              </w:rPr>
              <w:t>euro</w:t>
            </w:r>
          </w:p>
          <w:p w:rsidR="004325FC" w:rsidRPr="004A371C" w:rsidRDefault="004325FC" w:rsidP="004325FC">
            <w:pPr>
              <w:tabs>
                <w:tab w:val="right" w:pos="259"/>
              </w:tabs>
              <w:ind w:left="259" w:right="142"/>
              <w:rPr>
                <w:rFonts w:eastAsia="Times New Roman" w:cs="Times New Roman"/>
                <w:noProof/>
                <w:szCs w:val="24"/>
                <w:lang w:eastAsia="lv-LV"/>
              </w:rPr>
            </w:pPr>
            <w:r w:rsidRPr="004A371C">
              <w:rPr>
                <w:rFonts w:eastAsia="Times New Roman" w:cs="Times New Roman"/>
                <w:noProof/>
                <w:szCs w:val="24"/>
                <w:lang w:eastAsia="lv-LV"/>
              </w:rPr>
              <w:t xml:space="preserve">ieņēmumi no maksas pakalpojumiem </w:t>
            </w:r>
            <w:r w:rsidRPr="004A371C">
              <w:rPr>
                <w:rFonts w:eastAsia="Times New Roman" w:cs="Times New Roman"/>
                <w:color w:val="000000"/>
                <w:shd w:val="clear" w:color="auto" w:fill="FFFFFF"/>
                <w:lang w:eastAsia="lv-LV" w:bidi="lv-LV"/>
              </w:rPr>
              <w:t xml:space="preserve">1 087 074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dotācija no vispārējiem ieņēmumiem </w:t>
            </w:r>
            <w:r w:rsidRPr="004A371C">
              <w:rPr>
                <w:rFonts w:eastAsia="Times New Roman" w:cs="Times New Roman"/>
                <w:color w:val="000000"/>
                <w:shd w:val="clear" w:color="auto" w:fill="FFFFFF"/>
                <w:lang w:eastAsia="lv-LV" w:bidi="lv-LV"/>
              </w:rPr>
              <w:t xml:space="preserve">516 045 837 </w:t>
            </w:r>
            <w:r w:rsidRPr="004A371C">
              <w:rPr>
                <w:rFonts w:eastAsia="Times New Roman" w:cs="Times New Roman"/>
                <w:i/>
                <w:noProof/>
                <w:szCs w:val="24"/>
                <w:lang w:eastAsia="lv-LV"/>
              </w:rPr>
              <w:t>euro</w:t>
            </w:r>
            <w:r w:rsidRPr="004A371C">
              <w:rPr>
                <w:rFonts w:eastAsia="Times New Roman" w:cs="Times New Roman"/>
                <w:noProof/>
                <w:szCs w:val="24"/>
                <w:lang w:eastAsia="lv-LV"/>
              </w:rPr>
              <w:t xml:space="preserve"> </w:t>
            </w:r>
          </w:p>
          <w:p w:rsidR="004325FC" w:rsidRPr="004A371C" w:rsidRDefault="004325FC" w:rsidP="004325FC">
            <w:pPr>
              <w:ind w:right="142"/>
              <w:rPr>
                <w:rFonts w:eastAsia="Times New Roman" w:cs="Times New Roman"/>
                <w:noProof/>
                <w:szCs w:val="24"/>
                <w:lang w:eastAsia="lv-LV"/>
              </w:rPr>
            </w:pPr>
            <w:r w:rsidRPr="004A371C">
              <w:rPr>
                <w:rFonts w:eastAsia="Times New Roman" w:cs="Times New Roman"/>
                <w:noProof/>
                <w:szCs w:val="24"/>
                <w:lang w:eastAsia="lv-LV"/>
              </w:rPr>
              <w:t xml:space="preserve">Izdevumi </w:t>
            </w:r>
            <w:r w:rsidRPr="004A371C">
              <w:rPr>
                <w:rFonts w:eastAsia="Times New Roman" w:cs="Times New Roman"/>
                <w:color w:val="000000"/>
                <w:shd w:val="clear" w:color="auto" w:fill="FFFFFF"/>
                <w:lang w:eastAsia="lv-LV" w:bidi="lv-LV"/>
              </w:rPr>
              <w:t xml:space="preserve">517 654 346 </w:t>
            </w:r>
            <w:r w:rsidRPr="004A371C">
              <w:rPr>
                <w:rFonts w:eastAsia="Times New Roman" w:cs="Times New Roman"/>
                <w:i/>
                <w:noProof/>
                <w:szCs w:val="24"/>
                <w:lang w:eastAsia="lv-LV"/>
              </w:rPr>
              <w:t>euro</w:t>
            </w:r>
            <w:r w:rsidRPr="004A371C">
              <w:rPr>
                <w:rFonts w:eastAsia="Times New Roman" w:cs="Times New Roman"/>
                <w:noProof/>
                <w:szCs w:val="24"/>
                <w:lang w:eastAsia="lv-LV"/>
              </w:rPr>
              <w:t>, tai skaitā:</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subsīdijas un dotācijas </w:t>
            </w:r>
            <w:r w:rsidRPr="004A371C">
              <w:rPr>
                <w:rFonts w:eastAsia="Times New Roman" w:cs="Times New Roman"/>
                <w:color w:val="000000"/>
                <w:shd w:val="clear" w:color="auto" w:fill="FFFFFF"/>
                <w:lang w:eastAsia="lv-LV" w:bidi="lv-LV"/>
              </w:rPr>
              <w:t xml:space="preserve">515 976 228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valsts budžeta uzturēšanas izdevumu transferti pašvaldībām</w:t>
            </w:r>
          </w:p>
          <w:p w:rsidR="004325FC" w:rsidRPr="004A371C" w:rsidRDefault="004325FC" w:rsidP="004325FC">
            <w:pPr>
              <w:ind w:right="142" w:firstLine="259"/>
              <w:rPr>
                <w:rFonts w:eastAsia="Times New Roman" w:cs="Times New Roman"/>
                <w:i/>
                <w:noProof/>
                <w:szCs w:val="24"/>
                <w:lang w:eastAsia="lv-LV"/>
              </w:rPr>
            </w:pPr>
            <w:r w:rsidRPr="004A371C">
              <w:rPr>
                <w:rFonts w:eastAsia="Times New Roman" w:cs="Times New Roman"/>
                <w:noProof/>
                <w:szCs w:val="24"/>
                <w:lang w:eastAsia="lv-LV"/>
              </w:rPr>
              <w:t xml:space="preserve">noteiktam mērķim </w:t>
            </w:r>
            <w:r w:rsidRPr="004A371C">
              <w:rPr>
                <w:rFonts w:eastAsia="Times New Roman" w:cs="Times New Roman"/>
                <w:color w:val="000000"/>
                <w:shd w:val="clear" w:color="auto" w:fill="FFFFFF"/>
                <w:lang w:eastAsia="lv-LV" w:bidi="lv-LV"/>
              </w:rPr>
              <w:t xml:space="preserve">1 678 118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Finansiālā bilance -521 </w:t>
            </w:r>
            <w:r w:rsidRPr="004A371C">
              <w:rPr>
                <w:rFonts w:eastAsia="Times New Roman" w:cs="Times New Roman"/>
                <w:color w:val="000000"/>
                <w:shd w:val="clear" w:color="auto" w:fill="FFFFFF"/>
                <w:lang w:eastAsia="lv-LV" w:bidi="lv-LV"/>
              </w:rPr>
              <w:t xml:space="preserve">435 </w:t>
            </w:r>
            <w:r w:rsidRPr="004A371C">
              <w:rPr>
                <w:rFonts w:eastAsia="Times New Roman" w:cs="Times New Roman"/>
                <w:i/>
                <w:noProof/>
                <w:szCs w:val="24"/>
                <w:lang w:eastAsia="lv-LV"/>
              </w:rPr>
              <w:t>euro</w:t>
            </w:r>
          </w:p>
          <w:p w:rsidR="004325FC" w:rsidRPr="004A371C" w:rsidRDefault="004325FC" w:rsidP="004325FC">
            <w:pPr>
              <w:rPr>
                <w:rFonts w:eastAsia="Times New Roman" w:cs="Times New Roman"/>
                <w:noProof/>
                <w:szCs w:val="24"/>
                <w:lang w:eastAsia="lv-LV"/>
              </w:rPr>
            </w:pPr>
          </w:p>
          <w:p w:rsidR="004325FC" w:rsidRPr="004A371C" w:rsidRDefault="004325FC" w:rsidP="004325FC">
            <w:pPr>
              <w:ind w:right="142" w:firstLine="344"/>
              <w:jc w:val="both"/>
              <w:rPr>
                <w:rFonts w:eastAsia="Times New Roman" w:cs="Times New Roman"/>
                <w:noProof/>
                <w:szCs w:val="24"/>
                <w:lang w:eastAsia="lv-LV"/>
              </w:rPr>
            </w:pPr>
            <w:r w:rsidRPr="004A371C">
              <w:rPr>
                <w:rFonts w:eastAsia="Times New Roman" w:cs="Times New Roman"/>
                <w:noProof/>
                <w:szCs w:val="24"/>
                <w:lang w:eastAsia="lv-LV"/>
              </w:rPr>
              <w:t xml:space="preserve">Atbilstoši Ministru kabinetā 2016.gada 1.martā apstiprinātajai valsts pamatbudžeta </w:t>
            </w:r>
            <w:r w:rsidRPr="004A371C">
              <w:rPr>
                <w:rFonts w:eastAsia="Times New Roman" w:cs="Times New Roman"/>
                <w:b/>
                <w:noProof/>
                <w:szCs w:val="24"/>
                <w:lang w:eastAsia="lv-LV"/>
              </w:rPr>
              <w:t xml:space="preserve">bāzei 2017., 2018. un 2019.gadam </w:t>
            </w:r>
            <w:r w:rsidRPr="004A371C">
              <w:rPr>
                <w:rFonts w:eastAsia="Times New Roman" w:cs="Times New Roman"/>
                <w:noProof/>
                <w:szCs w:val="24"/>
                <w:lang w:eastAsia="lv-LV"/>
              </w:rPr>
              <w:t>(protokols Nr.10, 51.§):</w:t>
            </w:r>
          </w:p>
          <w:p w:rsidR="004325FC" w:rsidRPr="004A371C" w:rsidRDefault="004325FC" w:rsidP="004325FC">
            <w:pPr>
              <w:widowControl w:val="0"/>
              <w:jc w:val="both"/>
              <w:rPr>
                <w:rFonts w:eastAsia="Times New Roman" w:cs="Times New Roman"/>
                <w:color w:val="000000"/>
                <w:shd w:val="clear" w:color="auto" w:fill="FFFFFF"/>
                <w:lang w:eastAsia="lv-LV" w:bidi="lv-LV"/>
              </w:rPr>
            </w:pPr>
            <w:r w:rsidRPr="004A371C">
              <w:rPr>
                <w:rFonts w:eastAsia="Times New Roman" w:cs="Times New Roman"/>
                <w:color w:val="000000"/>
                <w:shd w:val="clear" w:color="auto" w:fill="FFFFFF"/>
                <w:lang w:eastAsia="lv-LV" w:bidi="lv-LV"/>
              </w:rPr>
              <w:t xml:space="preserve">Veselības ministrijas (Nacionālā veselības dienests) budžeta programmas 33.00.00 </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Veselības aprūpes nodrošināšana</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 xml:space="preserve"> apakšprogrammā 33.01.00 </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Ārstniecība</w:t>
            </w:r>
            <w:r w:rsidR="00126B31" w:rsidRPr="004A371C">
              <w:rPr>
                <w:rFonts w:eastAsia="Times New Roman" w:cs="Times New Roman"/>
                <w:color w:val="000000"/>
                <w:shd w:val="clear" w:color="auto" w:fill="FFFFFF"/>
                <w:lang w:eastAsia="lv-LV" w:bidi="lv-LV"/>
              </w:rPr>
              <w:t>"</w:t>
            </w:r>
            <w:r w:rsidRPr="004A371C">
              <w:rPr>
                <w:rFonts w:eastAsia="Times New Roman" w:cs="Times New Roman"/>
                <w:color w:val="000000"/>
                <w:shd w:val="clear" w:color="auto" w:fill="FFFFFF"/>
                <w:lang w:eastAsia="lv-LV" w:bidi="lv-LV"/>
              </w:rPr>
              <w:t>:</w:t>
            </w:r>
          </w:p>
          <w:p w:rsidR="004325FC" w:rsidRPr="004A371C" w:rsidRDefault="004325FC" w:rsidP="004325FC">
            <w:pPr>
              <w:widowControl w:val="0"/>
              <w:rPr>
                <w:rFonts w:eastAsia="Times New Roman" w:cs="Times New Roman"/>
                <w:color w:val="000000"/>
                <w:shd w:val="clear" w:color="auto" w:fill="FFFFFF"/>
                <w:lang w:eastAsia="lv-LV" w:bidi="lv-LV"/>
              </w:rPr>
            </w:pPr>
          </w:p>
          <w:p w:rsidR="004325FC" w:rsidRPr="004A371C" w:rsidRDefault="004325FC" w:rsidP="004325FC">
            <w:pPr>
              <w:spacing w:before="120"/>
              <w:ind w:right="142"/>
              <w:rPr>
                <w:rFonts w:eastAsia="Times New Roman" w:cs="Times New Roman"/>
                <w:b/>
                <w:noProof/>
                <w:szCs w:val="24"/>
                <w:u w:val="single"/>
                <w:lang w:eastAsia="lv-LV"/>
              </w:rPr>
            </w:pPr>
            <w:r w:rsidRPr="004A371C">
              <w:rPr>
                <w:rFonts w:eastAsia="Times New Roman" w:cs="Times New Roman"/>
                <w:b/>
                <w:noProof/>
                <w:szCs w:val="24"/>
                <w:u w:val="single"/>
                <w:lang w:eastAsia="lv-LV"/>
              </w:rPr>
              <w:t xml:space="preserve">2017.gadā, 2018.gadā un 2019.gadā </w:t>
            </w:r>
          </w:p>
          <w:p w:rsidR="004325FC" w:rsidRPr="004A371C" w:rsidRDefault="004325FC" w:rsidP="004325FC">
            <w:pPr>
              <w:ind w:right="142"/>
              <w:rPr>
                <w:rFonts w:eastAsia="Times New Roman" w:cs="Times New Roman"/>
                <w:noProof/>
                <w:szCs w:val="24"/>
                <w:lang w:eastAsia="lv-LV"/>
              </w:rPr>
            </w:pPr>
            <w:r w:rsidRPr="004A371C">
              <w:rPr>
                <w:rFonts w:eastAsia="Times New Roman" w:cs="Times New Roman"/>
                <w:noProof/>
                <w:szCs w:val="24"/>
                <w:lang w:eastAsia="lv-LV"/>
              </w:rPr>
              <w:t xml:space="preserve">Resursi izdevumu segšanai </w:t>
            </w:r>
            <w:r w:rsidRPr="004A371C">
              <w:rPr>
                <w:rFonts w:eastAsia="Times New Roman" w:cs="Times New Roman"/>
                <w:shd w:val="clear" w:color="auto" w:fill="FFFFFF"/>
                <w:lang w:eastAsia="lv-LV" w:bidi="lv-LV"/>
              </w:rPr>
              <w:t xml:space="preserve">518 055 110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ieņēmumi no maksas pakalpojumiem </w:t>
            </w:r>
            <w:r w:rsidRPr="004A371C">
              <w:rPr>
                <w:rFonts w:eastAsia="Times New Roman" w:cs="Times New Roman"/>
                <w:shd w:val="clear" w:color="auto" w:fill="FFFFFF"/>
                <w:lang w:eastAsia="lv-LV" w:bidi="lv-LV"/>
              </w:rPr>
              <w:t xml:space="preserve">1 087 074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dotācija no vispārējiem ieņēmumiem </w:t>
            </w:r>
            <w:r w:rsidRPr="004A371C">
              <w:rPr>
                <w:rFonts w:eastAsia="Times New Roman" w:cs="Times New Roman"/>
                <w:shd w:val="clear" w:color="auto" w:fill="FFFFFF"/>
                <w:lang w:eastAsia="lv-LV" w:bidi="lv-LV"/>
              </w:rPr>
              <w:t xml:space="preserve">516 968 036 </w:t>
            </w:r>
            <w:r w:rsidRPr="004A371C">
              <w:rPr>
                <w:rFonts w:eastAsia="Times New Roman" w:cs="Times New Roman"/>
                <w:i/>
                <w:noProof/>
                <w:szCs w:val="24"/>
                <w:lang w:eastAsia="lv-LV"/>
              </w:rPr>
              <w:t>euro</w:t>
            </w:r>
            <w:r w:rsidRPr="004A371C">
              <w:rPr>
                <w:rFonts w:eastAsia="Times New Roman" w:cs="Times New Roman"/>
                <w:noProof/>
                <w:szCs w:val="24"/>
                <w:lang w:eastAsia="lv-LV"/>
              </w:rPr>
              <w:t xml:space="preserve"> </w:t>
            </w:r>
          </w:p>
          <w:p w:rsidR="004325FC" w:rsidRPr="004A371C" w:rsidRDefault="004325FC" w:rsidP="004325FC">
            <w:pPr>
              <w:ind w:right="142"/>
              <w:rPr>
                <w:rFonts w:eastAsia="Times New Roman" w:cs="Times New Roman"/>
                <w:noProof/>
                <w:szCs w:val="24"/>
                <w:lang w:eastAsia="lv-LV"/>
              </w:rPr>
            </w:pPr>
            <w:r w:rsidRPr="004A371C">
              <w:rPr>
                <w:rFonts w:eastAsia="Times New Roman" w:cs="Times New Roman"/>
                <w:noProof/>
                <w:szCs w:val="24"/>
                <w:lang w:eastAsia="lv-LV"/>
              </w:rPr>
              <w:t xml:space="preserve">Izdevumi </w:t>
            </w:r>
            <w:r w:rsidRPr="004A371C">
              <w:rPr>
                <w:rFonts w:eastAsia="Times New Roman" w:cs="Times New Roman"/>
                <w:shd w:val="clear" w:color="auto" w:fill="FFFFFF"/>
                <w:lang w:eastAsia="lv-LV" w:bidi="lv-LV"/>
              </w:rPr>
              <w:t xml:space="preserve">518 055 110 </w:t>
            </w:r>
            <w:r w:rsidRPr="004A371C">
              <w:rPr>
                <w:rFonts w:eastAsia="Times New Roman" w:cs="Times New Roman"/>
                <w:i/>
                <w:noProof/>
                <w:szCs w:val="24"/>
                <w:lang w:eastAsia="lv-LV"/>
              </w:rPr>
              <w:t>euro</w:t>
            </w:r>
            <w:r w:rsidRPr="004A371C">
              <w:rPr>
                <w:rFonts w:eastAsia="Times New Roman" w:cs="Times New Roman"/>
                <w:noProof/>
                <w:szCs w:val="24"/>
                <w:lang w:eastAsia="lv-LV"/>
              </w:rPr>
              <w:t>, tai skaitā:</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 xml:space="preserve">subsīdijas un dotācijas </w:t>
            </w:r>
            <w:r w:rsidRPr="004A371C">
              <w:rPr>
                <w:rFonts w:eastAsia="Times New Roman" w:cs="Times New Roman"/>
                <w:shd w:val="clear" w:color="auto" w:fill="FFFFFF"/>
                <w:lang w:eastAsia="lv-LV" w:bidi="lv-LV"/>
              </w:rPr>
              <w:t xml:space="preserve">516 997 892 </w:t>
            </w:r>
            <w:r w:rsidRPr="004A371C">
              <w:rPr>
                <w:rFonts w:eastAsia="Times New Roman" w:cs="Times New Roman"/>
                <w:i/>
                <w:noProof/>
                <w:szCs w:val="24"/>
                <w:lang w:eastAsia="lv-LV"/>
              </w:rPr>
              <w:t>euro</w:t>
            </w:r>
          </w:p>
          <w:p w:rsidR="004325FC" w:rsidRPr="004A371C" w:rsidRDefault="004325FC" w:rsidP="004325FC">
            <w:pPr>
              <w:ind w:right="142" w:firstLine="259"/>
              <w:rPr>
                <w:rFonts w:eastAsia="Times New Roman" w:cs="Times New Roman"/>
                <w:noProof/>
                <w:szCs w:val="24"/>
                <w:lang w:eastAsia="lv-LV"/>
              </w:rPr>
            </w:pPr>
            <w:r w:rsidRPr="004A371C">
              <w:rPr>
                <w:rFonts w:eastAsia="Times New Roman" w:cs="Times New Roman"/>
                <w:noProof/>
                <w:szCs w:val="24"/>
                <w:lang w:eastAsia="lv-LV"/>
              </w:rPr>
              <w:t>valsts budžeta uzturēšanas izdevumu transferti pašvaldībām</w:t>
            </w:r>
          </w:p>
          <w:p w:rsidR="004325FC" w:rsidRPr="004A371C" w:rsidRDefault="004325FC" w:rsidP="004325FC">
            <w:pPr>
              <w:ind w:right="142" w:firstLine="259"/>
              <w:rPr>
                <w:rFonts w:eastAsia="Times New Roman" w:cs="Times New Roman"/>
                <w:i/>
                <w:noProof/>
                <w:szCs w:val="24"/>
                <w:lang w:eastAsia="lv-LV"/>
              </w:rPr>
            </w:pPr>
            <w:r w:rsidRPr="004A371C">
              <w:rPr>
                <w:rFonts w:eastAsia="Times New Roman" w:cs="Times New Roman"/>
                <w:noProof/>
                <w:szCs w:val="24"/>
                <w:lang w:eastAsia="lv-LV"/>
              </w:rPr>
              <w:t xml:space="preserve">noteiktam mērķim </w:t>
            </w:r>
            <w:r w:rsidRPr="004A371C">
              <w:rPr>
                <w:rFonts w:eastAsia="Times New Roman" w:cs="Times New Roman"/>
                <w:shd w:val="clear" w:color="auto" w:fill="FFFFFF"/>
                <w:lang w:eastAsia="lv-LV" w:bidi="lv-LV"/>
              </w:rPr>
              <w:t xml:space="preserve">1 077 218 </w:t>
            </w:r>
            <w:r w:rsidRPr="004A371C">
              <w:rPr>
                <w:rFonts w:eastAsia="Times New Roman" w:cs="Times New Roman"/>
                <w:i/>
                <w:noProof/>
                <w:szCs w:val="24"/>
                <w:lang w:eastAsia="lv-LV"/>
              </w:rPr>
              <w:t>euro</w:t>
            </w:r>
          </w:p>
          <w:p w:rsidR="00194F57" w:rsidRPr="004A371C" w:rsidRDefault="00194F57" w:rsidP="004325FC">
            <w:pPr>
              <w:ind w:right="142"/>
              <w:rPr>
                <w:rFonts w:eastAsia="Times New Roman" w:cs="Times New Roman"/>
                <w:noProof/>
                <w:color w:val="FF0000"/>
                <w:szCs w:val="24"/>
                <w:lang w:eastAsia="lv-LV"/>
              </w:rPr>
            </w:pPr>
          </w:p>
          <w:p w:rsidR="00DD1D53" w:rsidRPr="004A371C" w:rsidRDefault="004325FC" w:rsidP="00217AD4">
            <w:pPr>
              <w:pStyle w:val="NoSpacing"/>
              <w:spacing w:after="120"/>
              <w:ind w:left="57" w:firstLine="287"/>
              <w:jc w:val="both"/>
              <w:rPr>
                <w:lang w:eastAsia="lv-LV"/>
              </w:rPr>
            </w:pPr>
            <w:r w:rsidRPr="004A371C">
              <w:rPr>
                <w:lang w:eastAsia="lv-LV"/>
              </w:rPr>
              <w:t xml:space="preserve">Noteikumu projektā iekļautie grozījumi ir precizējoša rakstura attiecībā uz ārstniecības iestāžu un ārstniecības personu kompetencēm, un to </w:t>
            </w:r>
            <w:r w:rsidRPr="004A371C">
              <w:t xml:space="preserve">mērķis ir pilnveidot noteikumos iekļautās normas atbilstoši ekonomiskai un finanšu situācijai veselības aprūpes nozarē, veicinot racionālu un efektīvu </w:t>
            </w:r>
            <w:r w:rsidRPr="004A371C">
              <w:rPr>
                <w:lang w:eastAsia="lv-LV"/>
              </w:rPr>
              <w:t xml:space="preserve">piešķirto valsts budžeta līdzekļu izlietojumu un </w:t>
            </w:r>
            <w:r w:rsidRPr="004A371C">
              <w:rPr>
                <w:u w:val="single"/>
                <w:lang w:eastAsia="lv-LV"/>
              </w:rPr>
              <w:t>tiks finansēti esošo budžeta līdzekļu ietvaros</w:t>
            </w:r>
            <w:r w:rsidRPr="004A371C">
              <w:rPr>
                <w:lang w:eastAsia="lv-LV"/>
              </w:rPr>
              <w:t>.</w:t>
            </w:r>
          </w:p>
        </w:tc>
      </w:tr>
      <w:tr w:rsidR="004325FC"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lastRenderedPageBreak/>
              <w:t>6.1. detalizēts ieņēmumu aprēķins</w:t>
            </w:r>
          </w:p>
        </w:tc>
        <w:tc>
          <w:tcPr>
            <w:tcW w:w="4180" w:type="pct"/>
            <w:gridSpan w:val="5"/>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r>
      <w:tr w:rsidR="004325FC" w:rsidRPr="004A371C" w:rsidTr="00C421D8">
        <w:trPr>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6.2. detalizēts izdevumu aprēķins</w:t>
            </w:r>
          </w:p>
        </w:tc>
        <w:tc>
          <w:tcPr>
            <w:tcW w:w="4180" w:type="pct"/>
            <w:gridSpan w:val="5"/>
            <w:vMerge/>
            <w:tcBorders>
              <w:top w:val="outset" w:sz="6" w:space="0" w:color="auto"/>
              <w:left w:val="outset" w:sz="6" w:space="0" w:color="auto"/>
              <w:bottom w:val="outset" w:sz="6" w:space="0" w:color="auto"/>
              <w:right w:val="outset" w:sz="6" w:space="0" w:color="auto"/>
            </w:tcBorders>
            <w:vAlign w:val="center"/>
            <w:hideMark/>
          </w:tcPr>
          <w:p w:rsidR="004325FC" w:rsidRPr="004A371C" w:rsidRDefault="004325FC" w:rsidP="004325FC">
            <w:pPr>
              <w:rPr>
                <w:rFonts w:eastAsia="Times New Roman" w:cs="Times New Roman"/>
                <w:szCs w:val="24"/>
                <w:lang w:eastAsia="lv-LV"/>
              </w:rPr>
            </w:pPr>
          </w:p>
        </w:tc>
      </w:tr>
      <w:tr w:rsidR="004325FC" w:rsidRPr="006D1F1C" w:rsidTr="00C421D8">
        <w:trPr>
          <w:trHeight w:val="555"/>
          <w:jc w:val="center"/>
        </w:trPr>
        <w:tc>
          <w:tcPr>
            <w:tcW w:w="820" w:type="pct"/>
            <w:tcBorders>
              <w:top w:val="outset" w:sz="6" w:space="0" w:color="auto"/>
              <w:left w:val="outset" w:sz="6" w:space="0" w:color="auto"/>
              <w:bottom w:val="outset" w:sz="6" w:space="0" w:color="auto"/>
              <w:right w:val="outset" w:sz="6" w:space="0" w:color="auto"/>
            </w:tcBorders>
            <w:hideMark/>
          </w:tcPr>
          <w:p w:rsidR="004325FC" w:rsidRPr="004A371C" w:rsidRDefault="004325FC" w:rsidP="004325FC">
            <w:pPr>
              <w:rPr>
                <w:rFonts w:eastAsia="Times New Roman" w:cs="Times New Roman"/>
                <w:szCs w:val="24"/>
                <w:lang w:eastAsia="lv-LV"/>
              </w:rPr>
            </w:pPr>
            <w:r w:rsidRPr="004A371C">
              <w:rPr>
                <w:rFonts w:eastAsia="Times New Roman" w:cs="Times New Roman"/>
                <w:szCs w:val="24"/>
                <w:lang w:eastAsia="lv-LV"/>
              </w:rPr>
              <w:t>7. Cita informācija</w:t>
            </w:r>
          </w:p>
        </w:tc>
        <w:tc>
          <w:tcPr>
            <w:tcW w:w="4180" w:type="pct"/>
            <w:gridSpan w:val="5"/>
            <w:tcBorders>
              <w:top w:val="outset" w:sz="6" w:space="0" w:color="auto"/>
              <w:left w:val="outset" w:sz="6" w:space="0" w:color="auto"/>
              <w:bottom w:val="outset" w:sz="6" w:space="0" w:color="auto"/>
              <w:right w:val="outset" w:sz="6" w:space="0" w:color="auto"/>
            </w:tcBorders>
            <w:hideMark/>
          </w:tcPr>
          <w:p w:rsidR="004325FC" w:rsidRPr="00C422DE" w:rsidRDefault="00F034AC" w:rsidP="00872765">
            <w:pPr>
              <w:ind w:right="142"/>
              <w:jc w:val="both"/>
              <w:rPr>
                <w:rFonts w:eastAsia="Times New Roman" w:cs="Times New Roman"/>
                <w:szCs w:val="24"/>
                <w:lang w:eastAsia="lv-LV"/>
              </w:rPr>
            </w:pPr>
            <w:r w:rsidRPr="004A371C">
              <w:rPr>
                <w:rFonts w:eastAsia="Times New Roman" w:cs="Times New Roman"/>
                <w:szCs w:val="24"/>
              </w:rPr>
              <w:t>Nav</w:t>
            </w:r>
            <w:r w:rsidR="001A00E1" w:rsidRPr="004A371C">
              <w:rPr>
                <w:rFonts w:eastAsia="Times New Roman" w:cs="Times New Roman"/>
                <w:szCs w:val="24"/>
              </w:rPr>
              <w:t>.</w:t>
            </w:r>
          </w:p>
        </w:tc>
      </w:tr>
    </w:tbl>
    <w:p w:rsidR="004325FC" w:rsidRDefault="004325F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1985"/>
        <w:gridCol w:w="6637"/>
      </w:tblGrid>
      <w:tr w:rsidR="00DC27EA" w:rsidRPr="00857BA9" w:rsidTr="00796158">
        <w:tc>
          <w:tcPr>
            <w:tcW w:w="5000" w:type="pct"/>
            <w:gridSpan w:val="3"/>
          </w:tcPr>
          <w:p w:rsidR="00DC27EA" w:rsidRPr="00857BA9" w:rsidRDefault="00DC27EA" w:rsidP="004213D9">
            <w:pPr>
              <w:jc w:val="center"/>
            </w:pPr>
            <w:r w:rsidRPr="00857BA9">
              <w:rPr>
                <w:b/>
                <w:bCs/>
              </w:rPr>
              <w:t>VI. Sabiedrības līdzdalība un komunikācijas aktivitātes</w:t>
            </w:r>
          </w:p>
        </w:tc>
      </w:tr>
      <w:tr w:rsidR="00DC27EA" w:rsidRPr="00A90D50" w:rsidTr="00700C52">
        <w:tc>
          <w:tcPr>
            <w:tcW w:w="235" w:type="pct"/>
          </w:tcPr>
          <w:p w:rsidR="00DC27EA" w:rsidRPr="00857BA9" w:rsidRDefault="00DC27EA" w:rsidP="004213D9">
            <w:r w:rsidRPr="00857BA9">
              <w:t>1.</w:t>
            </w:r>
          </w:p>
        </w:tc>
        <w:tc>
          <w:tcPr>
            <w:tcW w:w="1097" w:type="pct"/>
          </w:tcPr>
          <w:p w:rsidR="00DC27EA" w:rsidRPr="00857BA9" w:rsidRDefault="00DC27EA" w:rsidP="004213D9">
            <w:r w:rsidRPr="00857BA9">
              <w:t>Plānotās sabiedrības līdzdalības un komunikācijas aktivitātes saistībā ar projektu</w:t>
            </w:r>
          </w:p>
        </w:tc>
        <w:tc>
          <w:tcPr>
            <w:tcW w:w="3668" w:type="pct"/>
          </w:tcPr>
          <w:p w:rsidR="00DC27EA" w:rsidRPr="00A90D50" w:rsidRDefault="004A371C" w:rsidP="00796158">
            <w:pPr>
              <w:jc w:val="both"/>
            </w:pPr>
            <w:r>
              <w:t>2016.gada 15.jūnijā Veselības ministrija organizēja starpministriju sanāksmi, kurā tika izskatīti Tieslietu ministrijas Finanšu ministrijas, Valsts kancelejas, Iekšlietu ministrijas, Latvijas Pašvaldību savienības un Latvijas Brīvo arodbiedrību savienības iebildumi par noteikumu projektu</w:t>
            </w:r>
            <w:r w:rsidR="007A7E5D">
              <w:t>.</w:t>
            </w:r>
          </w:p>
        </w:tc>
      </w:tr>
      <w:tr w:rsidR="00DC27EA" w:rsidRPr="00A90D50" w:rsidTr="00700C52">
        <w:tc>
          <w:tcPr>
            <w:tcW w:w="235" w:type="pct"/>
          </w:tcPr>
          <w:p w:rsidR="00DC27EA" w:rsidRPr="00857BA9" w:rsidRDefault="00DC27EA" w:rsidP="004213D9">
            <w:r w:rsidRPr="00857BA9">
              <w:t>2.</w:t>
            </w:r>
          </w:p>
        </w:tc>
        <w:tc>
          <w:tcPr>
            <w:tcW w:w="1097" w:type="pct"/>
          </w:tcPr>
          <w:p w:rsidR="00DC27EA" w:rsidRPr="00857BA9" w:rsidRDefault="00DC27EA" w:rsidP="004213D9">
            <w:r w:rsidRPr="00857BA9">
              <w:t xml:space="preserve">Sabiedrības līdzdalība </w:t>
            </w:r>
            <w:r w:rsidRPr="00857BA9">
              <w:lastRenderedPageBreak/>
              <w:t>projekta izstrādē</w:t>
            </w:r>
          </w:p>
        </w:tc>
        <w:tc>
          <w:tcPr>
            <w:tcW w:w="3668" w:type="pct"/>
          </w:tcPr>
          <w:p w:rsidR="00DC27EA" w:rsidRDefault="003D4A84" w:rsidP="00DD1D53">
            <w:pPr>
              <w:jc w:val="both"/>
            </w:pPr>
            <w:r>
              <w:lastRenderedPageBreak/>
              <w:t xml:space="preserve">Noteikumu projektā iekļautās normas attiecībā uz primāro veselības aprūpi pārrunātas </w:t>
            </w:r>
            <w:r w:rsidR="001A00E1">
              <w:t xml:space="preserve">veselības ministra un Latvijas Lauku </w:t>
            </w:r>
            <w:r w:rsidR="001A00E1">
              <w:lastRenderedPageBreak/>
              <w:t>ģimenes ārstu asociācijas valdes tikšanās laikā (2016.gada 15.aprīlī un 30.maijā). Lai precizētu normas attiecībā uz rindu veidošanu veselības aprūpes pakalpojumu saņemšanai VSIA "Bērnu klīniskā universitātes slimnīca" tika organizētas vairākas darba sanāksmes ar stacionāro ārstniecības iestāžu pārstāvjiem un ģimenes ārstiem.</w:t>
            </w:r>
          </w:p>
          <w:p w:rsidR="004A371C" w:rsidRPr="00A90D50" w:rsidRDefault="00796158" w:rsidP="00DD1D53">
            <w:pPr>
              <w:jc w:val="both"/>
            </w:pPr>
            <w:r w:rsidRPr="00796158">
              <w:t xml:space="preserve">Savukārt 2016.gada 10.jūnija sanāksmē, kurā piedalījās Latvijas Ģimenes ārstu asociācijas, Nacionālā veselības dienesta, slimnīcu pārstāvji un speciālisti, netika panākta vienošanās jautājumā par sekundāro ambulatoro veselības aprūpes pakalpojumu nodrošināšanu steidzamā kārtā un nosūtīšanas veidu to saņemšanai. Sanāksmes dalībnieki neiebilda pret rindu </w:t>
            </w:r>
            <w:proofErr w:type="spellStart"/>
            <w:r w:rsidRPr="00796158">
              <w:t>prioritizēšanas</w:t>
            </w:r>
            <w:proofErr w:type="spellEnd"/>
            <w:r w:rsidRPr="00796158">
              <w:t xml:space="preserve"> principa ieviešanu, taču netika panākta vienošanās par tā ieviešanas mehānismiem.</w:t>
            </w:r>
          </w:p>
        </w:tc>
      </w:tr>
      <w:tr w:rsidR="00DC27EA" w:rsidRPr="00A90D50" w:rsidTr="00700C52">
        <w:tc>
          <w:tcPr>
            <w:tcW w:w="235" w:type="pct"/>
          </w:tcPr>
          <w:p w:rsidR="00DC27EA" w:rsidRPr="00857BA9" w:rsidRDefault="00DC27EA" w:rsidP="004213D9">
            <w:r w:rsidRPr="00857BA9">
              <w:lastRenderedPageBreak/>
              <w:t>3.</w:t>
            </w:r>
          </w:p>
        </w:tc>
        <w:tc>
          <w:tcPr>
            <w:tcW w:w="1097" w:type="pct"/>
          </w:tcPr>
          <w:p w:rsidR="00DC27EA" w:rsidRPr="00857BA9" w:rsidRDefault="00DC27EA" w:rsidP="004213D9">
            <w:r w:rsidRPr="00857BA9">
              <w:t>Sabiedrības līdzdalības rezultāti</w:t>
            </w:r>
          </w:p>
        </w:tc>
        <w:tc>
          <w:tcPr>
            <w:tcW w:w="3668" w:type="pct"/>
          </w:tcPr>
          <w:p w:rsidR="00DC27EA" w:rsidRPr="00A90D50" w:rsidRDefault="008702F2" w:rsidP="00454394">
            <w:pPr>
              <w:jc w:val="both"/>
            </w:pPr>
            <w:r>
              <w:t>Par jautājumiem, kuros nav panākta vienošanās, piemēram, par plānveida veselības aprūpes pakalpojumu saņemšanas kārtību, tiek turpināts darbs pie efektīvāku tiesību normu izstrādes.</w:t>
            </w:r>
          </w:p>
        </w:tc>
      </w:tr>
      <w:tr w:rsidR="00DC27EA" w:rsidRPr="00857BA9" w:rsidTr="00700C52">
        <w:tc>
          <w:tcPr>
            <w:tcW w:w="235" w:type="pct"/>
          </w:tcPr>
          <w:p w:rsidR="00DC27EA" w:rsidRPr="00857BA9" w:rsidRDefault="00DC27EA" w:rsidP="004213D9">
            <w:r w:rsidRPr="00857BA9">
              <w:t>4.</w:t>
            </w:r>
          </w:p>
        </w:tc>
        <w:tc>
          <w:tcPr>
            <w:tcW w:w="1097" w:type="pct"/>
          </w:tcPr>
          <w:p w:rsidR="00DC27EA" w:rsidRPr="00857BA9" w:rsidRDefault="00DC27EA" w:rsidP="004213D9">
            <w:r w:rsidRPr="00857BA9">
              <w:t>Cita informācija</w:t>
            </w:r>
          </w:p>
        </w:tc>
        <w:tc>
          <w:tcPr>
            <w:tcW w:w="3668" w:type="pct"/>
          </w:tcPr>
          <w:p w:rsidR="00DC27EA" w:rsidRPr="00857BA9" w:rsidRDefault="00DC27EA" w:rsidP="004213D9">
            <w:r w:rsidRPr="00857BA9">
              <w:t>Nav</w:t>
            </w:r>
            <w:r>
              <w:t>.</w:t>
            </w:r>
          </w:p>
        </w:tc>
      </w:tr>
    </w:tbl>
    <w:p w:rsidR="00DC27EA" w:rsidRDefault="00DC27EA"/>
    <w:tbl>
      <w:tblPr>
        <w:tblW w:w="4960" w:type="pct"/>
        <w:jc w:val="center"/>
        <w:tblInd w:w="-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5"/>
        <w:gridCol w:w="3313"/>
        <w:gridCol w:w="4750"/>
      </w:tblGrid>
      <w:tr w:rsidR="00DC27EA" w:rsidRPr="006D1F1C" w:rsidTr="00C421D8">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rsidTr="00C421D8">
        <w:trPr>
          <w:trHeight w:val="42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829" w:type="pct"/>
            <w:tcBorders>
              <w:top w:val="outset" w:sz="6" w:space="0" w:color="auto"/>
              <w:left w:val="outset" w:sz="6" w:space="0" w:color="auto"/>
              <w:bottom w:val="outset" w:sz="6" w:space="0" w:color="auto"/>
              <w:right w:val="outset" w:sz="6" w:space="0" w:color="auto"/>
            </w:tcBorders>
            <w:hideMark/>
          </w:tcPr>
          <w:p w:rsidR="00DC27EA" w:rsidRPr="004F4A31" w:rsidRDefault="00DC27EA" w:rsidP="004213D9">
            <w:pPr>
              <w:rPr>
                <w:rFonts w:eastAsia="Times New Roman" w:cs="Times New Roman"/>
                <w:szCs w:val="24"/>
                <w:lang w:eastAsia="lv-LV"/>
              </w:rPr>
            </w:pPr>
            <w:r w:rsidRPr="004F4A31">
              <w:rPr>
                <w:rFonts w:eastAsia="Times New Roman" w:cs="Times New Roman"/>
                <w:szCs w:val="24"/>
                <w:lang w:eastAsia="lv-LV"/>
              </w:rPr>
              <w:t>Projekta izpildē iesaistītās institūcijas</w:t>
            </w:r>
          </w:p>
        </w:tc>
        <w:tc>
          <w:tcPr>
            <w:tcW w:w="2621" w:type="pct"/>
            <w:tcBorders>
              <w:top w:val="outset" w:sz="6" w:space="0" w:color="auto"/>
              <w:left w:val="outset" w:sz="6" w:space="0" w:color="auto"/>
              <w:bottom w:val="outset" w:sz="6" w:space="0" w:color="auto"/>
              <w:right w:val="outset" w:sz="6" w:space="0" w:color="auto"/>
            </w:tcBorders>
            <w:hideMark/>
          </w:tcPr>
          <w:p w:rsidR="00DC27EA" w:rsidRPr="004F4A31" w:rsidRDefault="00DC27EA" w:rsidP="00217AD4">
            <w:pPr>
              <w:rPr>
                <w:rFonts w:eastAsia="Times New Roman" w:cs="Times New Roman"/>
                <w:szCs w:val="24"/>
                <w:lang w:eastAsia="lv-LV"/>
              </w:rPr>
            </w:pPr>
            <w:r w:rsidRPr="004F4A31">
              <w:rPr>
                <w:rFonts w:eastAsia="Times New Roman" w:cs="Times New Roman"/>
                <w:szCs w:val="24"/>
                <w:lang w:eastAsia="lv-LV"/>
              </w:rPr>
              <w:t>Nacionālais veselības dienests</w:t>
            </w:r>
            <w:r w:rsidR="00217AD4">
              <w:rPr>
                <w:rFonts w:eastAsia="Times New Roman" w:cs="Times New Roman"/>
                <w:szCs w:val="24"/>
                <w:lang w:eastAsia="lv-LV"/>
              </w:rPr>
              <w:t xml:space="preserve">, </w:t>
            </w:r>
            <w:r w:rsidR="004A4EAB">
              <w:rPr>
                <w:rFonts w:eastAsia="Times New Roman" w:cs="Times New Roman"/>
                <w:szCs w:val="24"/>
                <w:lang w:eastAsia="lv-LV"/>
              </w:rPr>
              <w:t>ārstniecības iestādes.</w:t>
            </w:r>
          </w:p>
        </w:tc>
      </w:tr>
      <w:tr w:rsidR="00DC27EA" w:rsidRPr="006D1F1C" w:rsidTr="00C421D8">
        <w:trPr>
          <w:trHeight w:val="45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82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62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rsidTr="00C421D8">
        <w:trPr>
          <w:trHeight w:val="390"/>
          <w:jc w:val="center"/>
        </w:trPr>
        <w:tc>
          <w:tcPr>
            <w:tcW w:w="54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829"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621"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DC27EA" w:rsidRDefault="00DC27EA">
      <w:pPr>
        <w:contextualSpacing/>
      </w:pPr>
    </w:p>
    <w:p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DC27EA" w:rsidRDefault="00DC27EA" w:rsidP="00DC27EA">
      <w:pPr>
        <w:spacing w:after="480"/>
        <w:contextualSpacing/>
        <w:rPr>
          <w:rFonts w:cs="Times New Roman"/>
        </w:rPr>
      </w:pPr>
    </w:p>
    <w:p w:rsidR="00DC27EA" w:rsidRPr="00DD3994" w:rsidRDefault="00DC27EA" w:rsidP="00DC27EA">
      <w:pPr>
        <w:spacing w:after="480"/>
        <w:contextualSpacing/>
        <w:rPr>
          <w:rFonts w:cs="Times New Roman"/>
        </w:rPr>
      </w:pPr>
    </w:p>
    <w:p w:rsidR="00DC27EA" w:rsidRDefault="0015450F" w:rsidP="00DC27EA">
      <w:pPr>
        <w:tabs>
          <w:tab w:val="left" w:pos="7230"/>
          <w:tab w:val="right" w:pos="9072"/>
        </w:tabs>
        <w:spacing w:after="720"/>
        <w:ind w:right="-766"/>
        <w:contextualSpacing/>
        <w:rPr>
          <w:rFonts w:eastAsia="Calibri" w:cs="Times New Roman"/>
          <w:sz w:val="28"/>
          <w:szCs w:val="28"/>
        </w:rPr>
      </w:pPr>
      <w:r w:rsidRPr="004A371C">
        <w:rPr>
          <w:rFonts w:eastAsia="Calibri" w:cs="Times New Roman"/>
          <w:sz w:val="28"/>
          <w:szCs w:val="28"/>
        </w:rPr>
        <w:t>Veselības ministr</w:t>
      </w:r>
      <w:r w:rsidR="0017032A" w:rsidRPr="004A371C">
        <w:rPr>
          <w:rFonts w:eastAsia="Calibri" w:cs="Times New Roman"/>
          <w:sz w:val="28"/>
          <w:szCs w:val="28"/>
        </w:rPr>
        <w:t>e</w:t>
      </w:r>
      <w:r w:rsidRPr="004A371C">
        <w:rPr>
          <w:rFonts w:eastAsia="Calibri" w:cs="Times New Roman"/>
          <w:sz w:val="28"/>
          <w:szCs w:val="28"/>
        </w:rPr>
        <w:tab/>
      </w:r>
      <w:r w:rsidRPr="004A371C">
        <w:rPr>
          <w:rFonts w:eastAsia="Calibri" w:cs="Times New Roman"/>
          <w:sz w:val="28"/>
          <w:szCs w:val="28"/>
        </w:rPr>
        <w:tab/>
      </w:r>
      <w:r w:rsidR="00DF1E0B" w:rsidRPr="004A371C">
        <w:rPr>
          <w:rFonts w:eastAsia="Calibri" w:cs="Times New Roman"/>
          <w:sz w:val="28"/>
          <w:szCs w:val="28"/>
        </w:rPr>
        <w:t>Anda Čakša</w:t>
      </w:r>
      <w:r w:rsidR="00DC27EA">
        <w:rPr>
          <w:rFonts w:eastAsia="Calibri" w:cs="Times New Roman"/>
          <w:sz w:val="28"/>
          <w:szCs w:val="28"/>
        </w:rPr>
        <w:tab/>
      </w:r>
    </w:p>
    <w:p w:rsidR="00DC27EA" w:rsidRPr="00CF0941" w:rsidRDefault="00DC27EA" w:rsidP="00DC27EA">
      <w:pPr>
        <w:tabs>
          <w:tab w:val="left" w:pos="7230"/>
          <w:tab w:val="right" w:pos="9072"/>
        </w:tabs>
        <w:spacing w:after="720"/>
        <w:ind w:right="-766"/>
        <w:contextualSpacing/>
        <w:rPr>
          <w:rFonts w:eastAsia="Calibri" w:cs="Times New Roman"/>
          <w:sz w:val="48"/>
          <w:szCs w:val="28"/>
        </w:rPr>
      </w:pPr>
    </w:p>
    <w:p w:rsidR="006E1D60" w:rsidRPr="006E1D60" w:rsidRDefault="00DC27EA" w:rsidP="006E1D60">
      <w:pPr>
        <w:tabs>
          <w:tab w:val="right" w:pos="9072"/>
        </w:tabs>
        <w:ind w:right="-1"/>
        <w:contextualSpacing/>
        <w:rPr>
          <w:rFonts w:eastAsia="Calibri" w:cs="Times New Roman"/>
          <w:sz w:val="28"/>
          <w:szCs w:val="28"/>
        </w:rPr>
      </w:pPr>
      <w:r w:rsidRPr="00B174DE">
        <w:rPr>
          <w:rFonts w:eastAsia="Calibri" w:cs="Times New Roman"/>
          <w:sz w:val="28"/>
          <w:szCs w:val="28"/>
        </w:rPr>
        <w:t>Vīza: Valsts sekretāre</w:t>
      </w:r>
      <w:r>
        <w:rPr>
          <w:rFonts w:eastAsia="Calibri" w:cs="Times New Roman"/>
          <w:sz w:val="28"/>
          <w:szCs w:val="28"/>
        </w:rPr>
        <w:tab/>
      </w:r>
      <w:r w:rsidRPr="00B174DE">
        <w:rPr>
          <w:rFonts w:eastAsia="Calibri" w:cs="Times New Roman"/>
          <w:sz w:val="28"/>
          <w:szCs w:val="28"/>
        </w:rPr>
        <w:t>S</w:t>
      </w:r>
      <w:r>
        <w:rPr>
          <w:rFonts w:eastAsia="Calibri" w:cs="Times New Roman"/>
          <w:sz w:val="28"/>
          <w:szCs w:val="28"/>
        </w:rPr>
        <w:t xml:space="preserve">olvita </w:t>
      </w:r>
      <w:r w:rsidRPr="00B174DE">
        <w:rPr>
          <w:rFonts w:eastAsia="Calibri" w:cs="Times New Roman"/>
          <w:sz w:val="28"/>
          <w:szCs w:val="28"/>
        </w:rPr>
        <w:t>Zvidriņa</w:t>
      </w:r>
    </w:p>
    <w:p w:rsidR="00796158" w:rsidRDefault="00796158" w:rsidP="00A62706">
      <w:pPr>
        <w:spacing w:after="200" w:line="276" w:lineRule="auto"/>
        <w:contextualSpacing/>
        <w:rPr>
          <w:rFonts w:eastAsia="Times New Roman" w:cs="Times New Roman"/>
          <w:sz w:val="20"/>
          <w:szCs w:val="20"/>
          <w:lang w:eastAsia="lv-LV"/>
        </w:rPr>
      </w:pPr>
    </w:p>
    <w:p w:rsidR="00DB4969" w:rsidRDefault="00DB4969" w:rsidP="00A62706">
      <w:pPr>
        <w:spacing w:after="200" w:line="276" w:lineRule="auto"/>
        <w:contextualSpacing/>
        <w:rPr>
          <w:rFonts w:eastAsia="Times New Roman" w:cs="Times New Roman"/>
          <w:sz w:val="20"/>
          <w:szCs w:val="20"/>
          <w:lang w:eastAsia="lv-LV"/>
        </w:rPr>
      </w:pPr>
    </w:p>
    <w:p w:rsidR="00DB4969" w:rsidRDefault="00DB4969" w:rsidP="00A62706">
      <w:pPr>
        <w:spacing w:after="200" w:line="276" w:lineRule="auto"/>
        <w:contextualSpacing/>
        <w:rPr>
          <w:rFonts w:eastAsia="Times New Roman" w:cs="Times New Roman"/>
          <w:sz w:val="20"/>
          <w:szCs w:val="20"/>
          <w:lang w:eastAsia="lv-LV"/>
        </w:rPr>
      </w:pPr>
    </w:p>
    <w:p w:rsidR="00796158" w:rsidRDefault="00796158" w:rsidP="00A62706">
      <w:pPr>
        <w:spacing w:after="200" w:line="276" w:lineRule="auto"/>
        <w:contextualSpacing/>
        <w:rPr>
          <w:rFonts w:eastAsia="Times New Roman" w:cs="Times New Roman"/>
          <w:sz w:val="20"/>
          <w:szCs w:val="20"/>
          <w:lang w:eastAsia="lv-LV"/>
        </w:rPr>
      </w:pPr>
    </w:p>
    <w:p w:rsidR="00A62706" w:rsidRPr="0015450F" w:rsidRDefault="00753045"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16</w:t>
      </w:r>
      <w:r w:rsidR="00DC27EA" w:rsidRPr="0015450F">
        <w:rPr>
          <w:rFonts w:eastAsia="Times New Roman" w:cs="Times New Roman"/>
          <w:sz w:val="20"/>
          <w:szCs w:val="20"/>
          <w:lang w:eastAsia="lv-LV"/>
        </w:rPr>
        <w:t>.0</w:t>
      </w:r>
      <w:r w:rsidR="003D669F" w:rsidRPr="0015450F">
        <w:rPr>
          <w:rFonts w:eastAsia="Times New Roman" w:cs="Times New Roman"/>
          <w:sz w:val="20"/>
          <w:szCs w:val="20"/>
          <w:lang w:eastAsia="lv-LV"/>
        </w:rPr>
        <w:t>6</w:t>
      </w:r>
      <w:r w:rsidR="00DC27EA" w:rsidRPr="0015450F">
        <w:rPr>
          <w:rFonts w:eastAsia="Times New Roman" w:cs="Times New Roman"/>
          <w:sz w:val="20"/>
          <w:szCs w:val="20"/>
          <w:lang w:eastAsia="lv-LV"/>
        </w:rPr>
        <w:t xml:space="preserve">.2016 </w:t>
      </w:r>
      <w:r w:rsidR="00E63CC4">
        <w:rPr>
          <w:rFonts w:eastAsia="Times New Roman" w:cs="Times New Roman"/>
          <w:sz w:val="20"/>
          <w:szCs w:val="20"/>
          <w:lang w:eastAsia="lv-LV"/>
        </w:rPr>
        <w:t>14</w:t>
      </w:r>
      <w:r w:rsidR="00C422DE" w:rsidRPr="0015450F">
        <w:rPr>
          <w:rFonts w:eastAsia="Times New Roman" w:cs="Times New Roman"/>
          <w:sz w:val="20"/>
          <w:szCs w:val="20"/>
          <w:lang w:eastAsia="lv-LV"/>
        </w:rPr>
        <w:t>:</w:t>
      </w:r>
      <w:r w:rsidR="00E63CC4">
        <w:rPr>
          <w:rFonts w:eastAsia="Times New Roman" w:cs="Times New Roman"/>
          <w:sz w:val="20"/>
          <w:szCs w:val="20"/>
          <w:lang w:eastAsia="lv-LV"/>
        </w:rPr>
        <w:t>2</w:t>
      </w:r>
      <w:r w:rsidR="000F32C1">
        <w:rPr>
          <w:rFonts w:eastAsia="Times New Roman" w:cs="Times New Roman"/>
          <w:sz w:val="20"/>
          <w:szCs w:val="20"/>
          <w:lang w:eastAsia="lv-LV"/>
        </w:rPr>
        <w:t>5</w:t>
      </w:r>
    </w:p>
    <w:p w:rsidR="00DC27EA" w:rsidRDefault="00662232" w:rsidP="00A62706">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1</w:t>
      </w:r>
      <w:r w:rsidR="00E63CC4">
        <w:rPr>
          <w:rFonts w:eastAsia="Times New Roman" w:cs="Times New Roman"/>
          <w:sz w:val="20"/>
          <w:szCs w:val="20"/>
          <w:lang w:eastAsia="lv-LV"/>
        </w:rPr>
        <w:t>172</w:t>
      </w:r>
    </w:p>
    <w:p w:rsidR="00DC27EA" w:rsidRDefault="00DC27EA" w:rsidP="00DC27EA">
      <w:pPr>
        <w:ind w:right="-3228"/>
        <w:contextualSpacing/>
        <w:rPr>
          <w:rFonts w:eastAsia="Times New Roman" w:cs="Times New Roman"/>
          <w:sz w:val="20"/>
          <w:lang w:eastAsia="lv-LV"/>
        </w:rPr>
      </w:pPr>
      <w:r>
        <w:rPr>
          <w:rFonts w:eastAsia="Calibri" w:cs="Times New Roman"/>
          <w:sz w:val="20"/>
          <w:szCs w:val="20"/>
        </w:rPr>
        <w:t xml:space="preserve">Alvis </w:t>
      </w:r>
      <w:proofErr w:type="spellStart"/>
      <w:r w:rsidRPr="00E00105">
        <w:rPr>
          <w:rFonts w:eastAsia="Calibri" w:cs="Times New Roman"/>
          <w:sz w:val="20"/>
          <w:szCs w:val="20"/>
        </w:rPr>
        <w:t>Bless</w:t>
      </w:r>
      <w:proofErr w:type="spellEnd"/>
      <w:r>
        <w:rPr>
          <w:rFonts w:eastAsia="Calibri" w:cs="Times New Roman"/>
          <w:sz w:val="20"/>
          <w:szCs w:val="20"/>
        </w:rPr>
        <w:t xml:space="preserve"> </w:t>
      </w:r>
      <w:bookmarkStart w:id="4" w:name="OLE_LINK5"/>
      <w:r>
        <w:rPr>
          <w:rFonts w:eastAsia="Times New Roman" w:cs="Times New Roman"/>
          <w:sz w:val="20"/>
          <w:lang w:eastAsia="lv-LV"/>
        </w:rPr>
        <w:t>67876122</w:t>
      </w:r>
    </w:p>
    <w:p w:rsidR="00DC27EA" w:rsidRDefault="006A575A" w:rsidP="00DC27EA">
      <w:pPr>
        <w:ind w:right="-3228"/>
        <w:contextualSpacing/>
        <w:rPr>
          <w:rFonts w:eastAsia="Times New Roman" w:cs="Times New Roman"/>
          <w:sz w:val="20"/>
          <w:lang w:eastAsia="lv-LV"/>
        </w:rPr>
      </w:pPr>
      <w:hyperlink r:id="rId8" w:history="1">
        <w:r w:rsidR="00DC27EA" w:rsidRPr="00CB66E3">
          <w:rPr>
            <w:rStyle w:val="Hyperlink"/>
            <w:rFonts w:eastAsia="Times New Roman" w:cs="Times New Roman"/>
            <w:sz w:val="20"/>
            <w:lang w:eastAsia="lv-LV"/>
          </w:rPr>
          <w:t>Alvis.Bless@vm.gov.lv</w:t>
        </w:r>
      </w:hyperlink>
      <w:bookmarkEnd w:id="4"/>
    </w:p>
    <w:sectPr w:rsidR="00DC27EA" w:rsidSect="00700C52">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52" w:rsidRDefault="00700C52" w:rsidP="00993C26">
      <w:r>
        <w:separator/>
      </w:r>
    </w:p>
  </w:endnote>
  <w:endnote w:type="continuationSeparator" w:id="0">
    <w:p w:rsidR="00700C52" w:rsidRDefault="00700C52" w:rsidP="0099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52" w:rsidRPr="009B47D3" w:rsidRDefault="00700C52" w:rsidP="009B47D3">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16</w:t>
    </w:r>
    <w:r w:rsidRPr="00126B31">
      <w:rPr>
        <w:rFonts w:ascii="Times New Roman" w:hAnsi="Times New Roman" w:cs="Times New Roman"/>
        <w:sz w:val="20"/>
        <w:szCs w:val="24"/>
      </w:rPr>
      <w:t>0616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52" w:rsidRPr="005D1666" w:rsidRDefault="00700C52"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16</w:t>
    </w:r>
    <w:r w:rsidRPr="00126B31">
      <w:rPr>
        <w:rFonts w:ascii="Times New Roman" w:hAnsi="Times New Roman" w:cs="Times New Roman"/>
        <w:sz w:val="20"/>
        <w:szCs w:val="24"/>
      </w:rPr>
      <w:t>0616</w:t>
    </w:r>
    <w:r w:rsidRPr="00993C26">
      <w:rPr>
        <w:rFonts w:ascii="Times New Roman" w:hAnsi="Times New Roman" w:cs="Times New Roman"/>
        <w:sz w:val="20"/>
        <w:szCs w:val="24"/>
      </w:rPr>
      <w:t xml:space="preserve">_not1529 ; </w:t>
    </w:r>
    <w:r w:rsidRPr="00993C26">
      <w:rPr>
        <w:rFonts w:ascii="Times New Roman" w:eastAsia="Times New Roman" w:hAnsi="Times New Roman" w:cs="Times New Roman"/>
        <w:sz w:val="20"/>
        <w:szCs w:val="24"/>
        <w:lang w:eastAsia="lv-LV"/>
      </w:rPr>
      <w:t xml:space="preserve">Ministru kabineta noteikumu projekta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 xml:space="preserve">Grozījumi Ministru kabineta 2013.gada 17.decembra noteikumos Nr.1529 </w:t>
    </w:r>
    <w:r>
      <w:rPr>
        <w:rFonts w:ascii="Times New Roman" w:eastAsia="Times New Roman" w:hAnsi="Times New Roman" w:cs="Times New Roman"/>
        <w:bCs/>
        <w:sz w:val="20"/>
        <w:szCs w:val="24"/>
        <w:lang w:eastAsia="lv-LV"/>
      </w:rPr>
      <w:t>"</w:t>
    </w:r>
    <w:r w:rsidRPr="00993C26">
      <w:rPr>
        <w:rFonts w:ascii="Times New Roman" w:eastAsia="Times New Roman" w:hAnsi="Times New Roman" w:cs="Times New Roman"/>
        <w:bCs/>
        <w:sz w:val="20"/>
        <w:szCs w:val="24"/>
        <w:lang w:eastAsia="lv-LV"/>
      </w:rPr>
      <w:t>Veselības aprūpes organizēšanas un finansēšanas kārtība</w:t>
    </w:r>
    <w:r>
      <w:rPr>
        <w:rFonts w:ascii="Times New Roman" w:eastAsia="Times New Roman" w:hAnsi="Times New Roman" w:cs="Times New Roman"/>
        <w:bCs/>
        <w:sz w:val="20"/>
        <w:szCs w:val="24"/>
        <w:lang w:eastAsia="lv-LV"/>
      </w:rPr>
      <w:t>""</w:t>
    </w:r>
    <w:r w:rsidRPr="00993C26">
      <w:rPr>
        <w:rFonts w:ascii="Times New Roman" w:hAnsi="Times New Roman" w:cs="Times New Roman"/>
        <w:sz w:val="20"/>
        <w:szCs w:val="24"/>
      </w:rPr>
      <w:t xml:space="preserve"> sākotnējās ietekmes n</w:t>
    </w:r>
    <w:r>
      <w:rPr>
        <w:rFonts w:ascii="Times New Roman" w:hAnsi="Times New Roman" w:cs="Times New Roman"/>
        <w:sz w:val="20"/>
        <w:szCs w:val="24"/>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52" w:rsidRDefault="00700C52" w:rsidP="00993C26">
      <w:r>
        <w:separator/>
      </w:r>
    </w:p>
  </w:footnote>
  <w:footnote w:type="continuationSeparator" w:id="0">
    <w:p w:rsidR="00700C52" w:rsidRDefault="00700C52" w:rsidP="0099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52" w:rsidRDefault="006A575A">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00700C52"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0F32C1">
          <w:rPr>
            <w:rFonts w:ascii="Times New Roman" w:hAnsi="Times New Roman" w:cs="Times New Roman"/>
            <w:noProof/>
            <w:sz w:val="24"/>
          </w:rPr>
          <w:t>5</w:t>
        </w:r>
        <w:r w:rsidRPr="00495F5A">
          <w:rPr>
            <w:rFonts w:ascii="Times New Roman" w:hAnsi="Times New Roman" w:cs="Times New Roman"/>
            <w:sz w:val="24"/>
          </w:rPr>
          <w:fldChar w:fldCharType="end"/>
        </w:r>
      </w:sdtContent>
    </w:sdt>
  </w:p>
  <w:p w:rsidR="00700C52" w:rsidRDefault="00700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48E1"/>
    <w:multiLevelType w:val="hybridMultilevel"/>
    <w:tmpl w:val="23A275BE"/>
    <w:lvl w:ilvl="0" w:tplc="A8FC7B42">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1">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993C26"/>
    <w:rsid w:val="00004067"/>
    <w:rsid w:val="00033399"/>
    <w:rsid w:val="00091322"/>
    <w:rsid w:val="000926F2"/>
    <w:rsid w:val="000C0C85"/>
    <w:rsid w:val="000C76F0"/>
    <w:rsid w:val="000D56FE"/>
    <w:rsid w:val="000D7FF2"/>
    <w:rsid w:val="000E0041"/>
    <w:rsid w:val="000E0BE2"/>
    <w:rsid w:val="000F32C1"/>
    <w:rsid w:val="00111C6B"/>
    <w:rsid w:val="00126B31"/>
    <w:rsid w:val="0013591D"/>
    <w:rsid w:val="001466AA"/>
    <w:rsid w:val="0015450F"/>
    <w:rsid w:val="0017032A"/>
    <w:rsid w:val="00184E62"/>
    <w:rsid w:val="00194F57"/>
    <w:rsid w:val="001A00E1"/>
    <w:rsid w:val="001A653C"/>
    <w:rsid w:val="001C7DC4"/>
    <w:rsid w:val="001E6272"/>
    <w:rsid w:val="001F17AA"/>
    <w:rsid w:val="00217AD4"/>
    <w:rsid w:val="002202BB"/>
    <w:rsid w:val="00220DA9"/>
    <w:rsid w:val="002304A5"/>
    <w:rsid w:val="00251A65"/>
    <w:rsid w:val="00291B4A"/>
    <w:rsid w:val="002D218F"/>
    <w:rsid w:val="002D28E5"/>
    <w:rsid w:val="002D59FB"/>
    <w:rsid w:val="002D6D78"/>
    <w:rsid w:val="002F29E7"/>
    <w:rsid w:val="00313DB6"/>
    <w:rsid w:val="00375AB9"/>
    <w:rsid w:val="003817ED"/>
    <w:rsid w:val="003B3566"/>
    <w:rsid w:val="003C6024"/>
    <w:rsid w:val="003D4A84"/>
    <w:rsid w:val="003D669F"/>
    <w:rsid w:val="003E17B1"/>
    <w:rsid w:val="003F165E"/>
    <w:rsid w:val="0040154A"/>
    <w:rsid w:val="0040246D"/>
    <w:rsid w:val="004163B0"/>
    <w:rsid w:val="00416A21"/>
    <w:rsid w:val="004213D9"/>
    <w:rsid w:val="004230E5"/>
    <w:rsid w:val="0043106A"/>
    <w:rsid w:val="004325FC"/>
    <w:rsid w:val="00442BF6"/>
    <w:rsid w:val="00454394"/>
    <w:rsid w:val="004564E2"/>
    <w:rsid w:val="004603E9"/>
    <w:rsid w:val="004914E9"/>
    <w:rsid w:val="00495F5A"/>
    <w:rsid w:val="004A1E63"/>
    <w:rsid w:val="004A371C"/>
    <w:rsid w:val="004A4EAB"/>
    <w:rsid w:val="004D67D7"/>
    <w:rsid w:val="004E1A58"/>
    <w:rsid w:val="004F4A31"/>
    <w:rsid w:val="004F6220"/>
    <w:rsid w:val="004F728C"/>
    <w:rsid w:val="00522FBC"/>
    <w:rsid w:val="005417B4"/>
    <w:rsid w:val="005507EA"/>
    <w:rsid w:val="00566D5F"/>
    <w:rsid w:val="005A1B76"/>
    <w:rsid w:val="005D1666"/>
    <w:rsid w:val="005E2C4F"/>
    <w:rsid w:val="005E5CF1"/>
    <w:rsid w:val="005E73C9"/>
    <w:rsid w:val="005F00BF"/>
    <w:rsid w:val="005F3A53"/>
    <w:rsid w:val="005F5C10"/>
    <w:rsid w:val="0060043F"/>
    <w:rsid w:val="0065246A"/>
    <w:rsid w:val="00662232"/>
    <w:rsid w:val="00685C6C"/>
    <w:rsid w:val="006961A7"/>
    <w:rsid w:val="006A4BFE"/>
    <w:rsid w:val="006A575A"/>
    <w:rsid w:val="006C20BA"/>
    <w:rsid w:val="006C57F9"/>
    <w:rsid w:val="006C70D3"/>
    <w:rsid w:val="006D20DC"/>
    <w:rsid w:val="006E1D60"/>
    <w:rsid w:val="006F3D55"/>
    <w:rsid w:val="006F79D3"/>
    <w:rsid w:val="00700C52"/>
    <w:rsid w:val="00732DE4"/>
    <w:rsid w:val="00741E15"/>
    <w:rsid w:val="00753045"/>
    <w:rsid w:val="00765375"/>
    <w:rsid w:val="007710CA"/>
    <w:rsid w:val="00796158"/>
    <w:rsid w:val="007A7E5D"/>
    <w:rsid w:val="007B0B30"/>
    <w:rsid w:val="007C5ECA"/>
    <w:rsid w:val="00807FCA"/>
    <w:rsid w:val="00810765"/>
    <w:rsid w:val="0082633A"/>
    <w:rsid w:val="008470E4"/>
    <w:rsid w:val="00847DC9"/>
    <w:rsid w:val="00855E1A"/>
    <w:rsid w:val="008702F2"/>
    <w:rsid w:val="008724EE"/>
    <w:rsid w:val="00872597"/>
    <w:rsid w:val="00872765"/>
    <w:rsid w:val="008813E8"/>
    <w:rsid w:val="00893862"/>
    <w:rsid w:val="008A48AA"/>
    <w:rsid w:val="008D1B24"/>
    <w:rsid w:val="008D51CE"/>
    <w:rsid w:val="008D6DC2"/>
    <w:rsid w:val="008F0C01"/>
    <w:rsid w:val="009108ED"/>
    <w:rsid w:val="00936345"/>
    <w:rsid w:val="00965FB3"/>
    <w:rsid w:val="009703E4"/>
    <w:rsid w:val="00993C26"/>
    <w:rsid w:val="009B47D3"/>
    <w:rsid w:val="009C05B8"/>
    <w:rsid w:val="009D64B7"/>
    <w:rsid w:val="009F79D8"/>
    <w:rsid w:val="00A62706"/>
    <w:rsid w:val="00A66412"/>
    <w:rsid w:val="00A80F35"/>
    <w:rsid w:val="00A92B32"/>
    <w:rsid w:val="00A93F37"/>
    <w:rsid w:val="00A95DC8"/>
    <w:rsid w:val="00A97A10"/>
    <w:rsid w:val="00AB29BE"/>
    <w:rsid w:val="00AC043A"/>
    <w:rsid w:val="00B0397F"/>
    <w:rsid w:val="00B15477"/>
    <w:rsid w:val="00B43B52"/>
    <w:rsid w:val="00B86A97"/>
    <w:rsid w:val="00BC326A"/>
    <w:rsid w:val="00BC6FF2"/>
    <w:rsid w:val="00BD5ED4"/>
    <w:rsid w:val="00BF6D61"/>
    <w:rsid w:val="00C0153F"/>
    <w:rsid w:val="00C01B32"/>
    <w:rsid w:val="00C075BF"/>
    <w:rsid w:val="00C36B9F"/>
    <w:rsid w:val="00C41AD5"/>
    <w:rsid w:val="00C421D8"/>
    <w:rsid w:val="00C422DE"/>
    <w:rsid w:val="00C54EC5"/>
    <w:rsid w:val="00C641E1"/>
    <w:rsid w:val="00C823EB"/>
    <w:rsid w:val="00CA1D0C"/>
    <w:rsid w:val="00CD66E4"/>
    <w:rsid w:val="00D06D7A"/>
    <w:rsid w:val="00D07721"/>
    <w:rsid w:val="00D250E7"/>
    <w:rsid w:val="00D54E03"/>
    <w:rsid w:val="00D616F4"/>
    <w:rsid w:val="00D663B9"/>
    <w:rsid w:val="00D75565"/>
    <w:rsid w:val="00DA2CB0"/>
    <w:rsid w:val="00DA4A03"/>
    <w:rsid w:val="00DB4969"/>
    <w:rsid w:val="00DC27EA"/>
    <w:rsid w:val="00DD1D53"/>
    <w:rsid w:val="00DF1E0B"/>
    <w:rsid w:val="00E10A84"/>
    <w:rsid w:val="00E1330C"/>
    <w:rsid w:val="00E30FEB"/>
    <w:rsid w:val="00E36CCD"/>
    <w:rsid w:val="00E4783D"/>
    <w:rsid w:val="00E53B74"/>
    <w:rsid w:val="00E63CC4"/>
    <w:rsid w:val="00E9782A"/>
    <w:rsid w:val="00EB0B2F"/>
    <w:rsid w:val="00EC400B"/>
    <w:rsid w:val="00F034AC"/>
    <w:rsid w:val="00F07B03"/>
    <w:rsid w:val="00F16E0B"/>
    <w:rsid w:val="00F27160"/>
    <w:rsid w:val="00F32F6A"/>
    <w:rsid w:val="00F41466"/>
    <w:rsid w:val="00FC23EA"/>
    <w:rsid w:val="00FF0C06"/>
    <w:rsid w:val="00FF7D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b/>
      <w:bCs/>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paragraph" w:customStyle="1" w:styleId="xmsonormal">
    <w:name w:val="x_msonormal"/>
    <w:basedOn w:val="Normal"/>
    <w:rsid w:val="004A371C"/>
    <w:pPr>
      <w:spacing w:before="100" w:beforeAutospacing="1" w:after="100" w:afterAutospacing="1"/>
    </w:pPr>
    <w:rPr>
      <w:rFonts w:eastAsia="Times New Roman" w:cs="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130169940">
      <w:bodyDiv w:val="1"/>
      <w:marLeft w:val="0"/>
      <w:marRight w:val="0"/>
      <w:marTop w:val="0"/>
      <w:marBottom w:val="0"/>
      <w:divBdr>
        <w:top w:val="none" w:sz="0" w:space="0" w:color="auto"/>
        <w:left w:val="none" w:sz="0" w:space="0" w:color="auto"/>
        <w:bottom w:val="none" w:sz="0" w:space="0" w:color="auto"/>
        <w:right w:val="none" w:sz="0" w:space="0" w:color="auto"/>
      </w:divBdr>
    </w:div>
    <w:div w:id="1316956480">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is.Bles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EF6B8-F9F9-4B21-8D3C-2A250FA5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5905</Words>
  <Characters>3366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VM</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67876122
Alvis.Bless@vm.gov.lv</dc:description>
  <cp:lastModifiedBy>abless</cp:lastModifiedBy>
  <cp:revision>8</cp:revision>
  <cp:lastPrinted>2016-06-16T05:46:00Z</cp:lastPrinted>
  <dcterms:created xsi:type="dcterms:W3CDTF">2016-06-16T08:41:00Z</dcterms:created>
  <dcterms:modified xsi:type="dcterms:W3CDTF">2016-06-16T11:25:00Z</dcterms:modified>
</cp:coreProperties>
</file>