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A2F7A" w14:textId="66BFCC52" w:rsidR="00AB457F" w:rsidRPr="006557B3" w:rsidRDefault="00AB457F" w:rsidP="00EE4C57">
      <w:pPr>
        <w:spacing w:line="240" w:lineRule="auto"/>
        <w:jc w:val="center"/>
        <w:rPr>
          <w:rFonts w:ascii="Times New Roman" w:hAnsi="Times New Roman" w:cs="Times New Roman"/>
          <w:b/>
          <w:sz w:val="24"/>
          <w:szCs w:val="24"/>
        </w:rPr>
      </w:pPr>
      <w:r w:rsidRPr="006557B3">
        <w:rPr>
          <w:rFonts w:ascii="Times New Roman" w:hAnsi="Times New Roman" w:cs="Times New Roman"/>
          <w:b/>
          <w:sz w:val="24"/>
          <w:szCs w:val="24"/>
          <w:lang w:val="lv-LV"/>
        </w:rPr>
        <w:t xml:space="preserve">Informatīvais ziņojums par </w:t>
      </w:r>
      <w:r w:rsidRPr="006557B3">
        <w:rPr>
          <w:rFonts w:ascii="Times New Roman" w:hAnsi="Times New Roman" w:cs="Times New Roman"/>
          <w:b/>
          <w:sz w:val="24"/>
          <w:szCs w:val="24"/>
        </w:rPr>
        <w:t>nepieciešamo finansējumu uztura bagātinātāju uzraudzības un kontroles, kā arī sabiedrības izglītošanas jomā</w:t>
      </w:r>
    </w:p>
    <w:p w14:paraId="033C3E74" w14:textId="77777777" w:rsidR="00DC6F23" w:rsidRPr="006557B3" w:rsidRDefault="00D72850" w:rsidP="00FF799D">
      <w:pPr>
        <w:pStyle w:val="Sarakstarindkopa"/>
        <w:keepNext/>
        <w:numPr>
          <w:ilvl w:val="0"/>
          <w:numId w:val="2"/>
        </w:numPr>
        <w:spacing w:after="0" w:line="240" w:lineRule="auto"/>
        <w:ind w:left="360"/>
        <w:jc w:val="both"/>
        <w:rPr>
          <w:rFonts w:ascii="Times New Roman" w:hAnsi="Times New Roman"/>
          <w:color w:val="000000" w:themeColor="text1"/>
          <w:sz w:val="24"/>
          <w:szCs w:val="24"/>
        </w:rPr>
      </w:pPr>
      <w:r w:rsidRPr="006557B3">
        <w:rPr>
          <w:rFonts w:ascii="Times New Roman" w:hAnsi="Times New Roman"/>
          <w:b/>
          <w:color w:val="000000" w:themeColor="text1"/>
          <w:sz w:val="24"/>
          <w:szCs w:val="24"/>
          <w:lang w:val="lv-LV"/>
        </w:rPr>
        <w:t xml:space="preserve">Informatīvā ziņojuma pamatojums </w:t>
      </w:r>
    </w:p>
    <w:p w14:paraId="3934A79B" w14:textId="630C3D38" w:rsidR="00AB457F" w:rsidRPr="006557B3" w:rsidRDefault="00AB457F" w:rsidP="00FF799D">
      <w:pPr>
        <w:keepNext/>
        <w:spacing w:after="0" w:line="240" w:lineRule="auto"/>
        <w:ind w:firstLine="709"/>
        <w:jc w:val="both"/>
        <w:rPr>
          <w:rStyle w:val="Hipersaite"/>
          <w:rFonts w:ascii="Times New Roman" w:hAnsi="Times New Roman" w:cs="Times New Roman"/>
          <w:color w:val="auto"/>
          <w:sz w:val="24"/>
          <w:szCs w:val="24"/>
          <w:lang w:val="lv-LV"/>
        </w:rPr>
      </w:pPr>
      <w:r w:rsidRPr="006557B3">
        <w:rPr>
          <w:rFonts w:ascii="Times New Roman" w:hAnsi="Times New Roman" w:cs="Times New Roman"/>
          <w:sz w:val="24"/>
          <w:szCs w:val="24"/>
        </w:rPr>
        <w:t>Ministru</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kabineta</w:t>
      </w:r>
      <w:r w:rsidRPr="004F3293">
        <w:rPr>
          <w:rFonts w:ascii="Times New Roman" w:hAnsi="Times New Roman" w:cs="Times New Roman"/>
          <w:sz w:val="24"/>
          <w:szCs w:val="24"/>
          <w:lang w:val="en-US"/>
        </w:rPr>
        <w:t xml:space="preserve"> 2015. </w:t>
      </w:r>
      <w:r w:rsidRPr="006557B3">
        <w:rPr>
          <w:rFonts w:ascii="Times New Roman" w:hAnsi="Times New Roman" w:cs="Times New Roman"/>
          <w:sz w:val="24"/>
          <w:szCs w:val="24"/>
        </w:rPr>
        <w:t>gada</w:t>
      </w:r>
      <w:r w:rsidRPr="004F3293">
        <w:rPr>
          <w:rFonts w:ascii="Times New Roman" w:hAnsi="Times New Roman" w:cs="Times New Roman"/>
          <w:sz w:val="24"/>
          <w:szCs w:val="24"/>
          <w:lang w:val="en-US"/>
        </w:rPr>
        <w:t xml:space="preserve"> 1. </w:t>
      </w:r>
      <w:r w:rsidRPr="006557B3">
        <w:rPr>
          <w:rFonts w:ascii="Times New Roman" w:hAnsi="Times New Roman" w:cs="Times New Roman"/>
          <w:sz w:val="24"/>
          <w:szCs w:val="24"/>
        </w:rPr>
        <w:t>decembra</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s</w:t>
      </w:r>
      <w:r w:rsidRPr="004F3293">
        <w:rPr>
          <w:rFonts w:ascii="Times New Roman" w:hAnsi="Times New Roman" w:cs="Times New Roman"/>
          <w:sz w:val="24"/>
          <w:szCs w:val="24"/>
          <w:lang w:val="en-US"/>
        </w:rPr>
        <w:t>ē</w:t>
      </w:r>
      <w:r w:rsidRPr="006557B3">
        <w:rPr>
          <w:rFonts w:ascii="Times New Roman" w:hAnsi="Times New Roman" w:cs="Times New Roman"/>
          <w:sz w:val="24"/>
          <w:szCs w:val="24"/>
        </w:rPr>
        <w:t>des</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protokola</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Nr</w:t>
      </w:r>
      <w:r w:rsidRPr="004F3293">
        <w:rPr>
          <w:rFonts w:ascii="Times New Roman" w:hAnsi="Times New Roman" w:cs="Times New Roman"/>
          <w:sz w:val="24"/>
          <w:szCs w:val="24"/>
          <w:lang w:val="en-US"/>
        </w:rPr>
        <w:t xml:space="preserve">. 64 </w:t>
      </w:r>
      <w:r w:rsidRPr="004F3293">
        <w:rPr>
          <w:rFonts w:ascii="Times New Roman" w:eastAsia="Times New Roman" w:hAnsi="Times New Roman" w:cs="Times New Roman"/>
          <w:bCs/>
          <w:sz w:val="24"/>
          <w:szCs w:val="24"/>
          <w:lang w:val="en-US" w:eastAsia="fr-FR"/>
        </w:rPr>
        <w:t>34.§ 3.5.</w:t>
      </w:r>
      <w:r w:rsidR="00DB1D9B" w:rsidRPr="006557B3">
        <w:rPr>
          <w:rFonts w:ascii="Times New Roman" w:eastAsia="Times New Roman" w:hAnsi="Times New Roman" w:cs="Times New Roman"/>
          <w:bCs/>
          <w:sz w:val="24"/>
          <w:szCs w:val="24"/>
          <w:lang w:val="lv-LV" w:eastAsia="fr-FR"/>
        </w:rPr>
        <w:t> </w:t>
      </w:r>
      <w:r w:rsidRPr="006557B3">
        <w:rPr>
          <w:rFonts w:ascii="Times New Roman" w:eastAsia="Times New Roman" w:hAnsi="Times New Roman" w:cs="Times New Roman"/>
          <w:bCs/>
          <w:sz w:val="24"/>
          <w:szCs w:val="24"/>
          <w:lang w:eastAsia="fr-FR"/>
        </w:rPr>
        <w:t>apak</w:t>
      </w:r>
      <w:r w:rsidRPr="004F3293">
        <w:rPr>
          <w:rFonts w:ascii="Times New Roman" w:eastAsia="Times New Roman" w:hAnsi="Times New Roman" w:cs="Times New Roman"/>
          <w:bCs/>
          <w:sz w:val="24"/>
          <w:szCs w:val="24"/>
          <w:lang w:val="en-US" w:eastAsia="fr-FR"/>
        </w:rPr>
        <w:t>š</w:t>
      </w:r>
      <w:r w:rsidRPr="006557B3">
        <w:rPr>
          <w:rFonts w:ascii="Times New Roman" w:eastAsia="Times New Roman" w:hAnsi="Times New Roman" w:cs="Times New Roman"/>
          <w:bCs/>
          <w:sz w:val="24"/>
          <w:szCs w:val="24"/>
          <w:lang w:eastAsia="fr-FR"/>
        </w:rPr>
        <w:t>punkts</w:t>
      </w:r>
      <w:r w:rsidRPr="004F3293">
        <w:rPr>
          <w:rFonts w:ascii="Times New Roman" w:eastAsia="Times New Roman" w:hAnsi="Times New Roman" w:cs="Times New Roman"/>
          <w:bCs/>
          <w:sz w:val="24"/>
          <w:szCs w:val="24"/>
          <w:lang w:val="en-US" w:eastAsia="fr-FR"/>
        </w:rPr>
        <w:t xml:space="preserve"> </w:t>
      </w:r>
      <w:r w:rsidRPr="006557B3">
        <w:rPr>
          <w:rFonts w:ascii="Times New Roman" w:eastAsia="Times New Roman" w:hAnsi="Times New Roman" w:cs="Times New Roman"/>
          <w:bCs/>
          <w:sz w:val="24"/>
          <w:szCs w:val="24"/>
          <w:lang w:eastAsia="fr-FR"/>
        </w:rPr>
        <w:t>nosaka</w:t>
      </w:r>
      <w:r w:rsidRPr="004F3293">
        <w:rPr>
          <w:rFonts w:ascii="Times New Roman" w:eastAsia="Times New Roman" w:hAnsi="Times New Roman" w:cs="Times New Roman"/>
          <w:bCs/>
          <w:sz w:val="24"/>
          <w:szCs w:val="24"/>
          <w:lang w:val="en-US" w:eastAsia="fr-FR"/>
        </w:rPr>
        <w:t xml:space="preserve"> </w:t>
      </w:r>
      <w:r w:rsidR="00FC469D" w:rsidRPr="006557B3">
        <w:rPr>
          <w:rFonts w:ascii="Times New Roman" w:hAnsi="Times New Roman" w:cs="Times New Roman"/>
          <w:sz w:val="24"/>
          <w:szCs w:val="24"/>
        </w:rPr>
        <w:t>l</w:t>
      </w:r>
      <w:r w:rsidR="00FC469D" w:rsidRPr="004F3293">
        <w:rPr>
          <w:rFonts w:ascii="Times New Roman" w:hAnsi="Times New Roman" w:cs="Times New Roman"/>
          <w:sz w:val="24"/>
          <w:szCs w:val="24"/>
          <w:lang w:val="en-US"/>
        </w:rPr>
        <w:t>ī</w:t>
      </w:r>
      <w:r w:rsidR="00FC469D" w:rsidRPr="006557B3">
        <w:rPr>
          <w:rFonts w:ascii="Times New Roman" w:hAnsi="Times New Roman" w:cs="Times New Roman"/>
          <w:sz w:val="24"/>
          <w:szCs w:val="24"/>
        </w:rPr>
        <w:t>dz</w:t>
      </w:r>
      <w:r w:rsidR="00FC469D" w:rsidRPr="004F3293">
        <w:rPr>
          <w:rFonts w:ascii="Times New Roman" w:hAnsi="Times New Roman" w:cs="Times New Roman"/>
          <w:sz w:val="24"/>
          <w:szCs w:val="24"/>
          <w:lang w:val="en-US"/>
        </w:rPr>
        <w:t xml:space="preserve"> 2016.</w:t>
      </w:r>
      <w:r w:rsidR="00FC469D" w:rsidRPr="006557B3">
        <w:rPr>
          <w:rFonts w:ascii="Times New Roman" w:hAnsi="Times New Roman" w:cs="Times New Roman"/>
          <w:sz w:val="24"/>
          <w:szCs w:val="24"/>
        </w:rPr>
        <w:t> gada</w:t>
      </w:r>
      <w:r w:rsidR="00FC469D" w:rsidRPr="004F3293">
        <w:rPr>
          <w:rFonts w:ascii="Times New Roman" w:hAnsi="Times New Roman" w:cs="Times New Roman"/>
          <w:sz w:val="24"/>
          <w:szCs w:val="24"/>
          <w:lang w:val="en-US"/>
        </w:rPr>
        <w:t xml:space="preserve"> 1.</w:t>
      </w:r>
      <w:r w:rsidR="00FC469D" w:rsidRPr="006557B3">
        <w:rPr>
          <w:rFonts w:ascii="Times New Roman" w:hAnsi="Times New Roman" w:cs="Times New Roman"/>
          <w:sz w:val="24"/>
          <w:szCs w:val="24"/>
        </w:rPr>
        <w:t> martam</w:t>
      </w:r>
      <w:r w:rsidR="00FC469D" w:rsidRPr="004F3293">
        <w:rPr>
          <w:rFonts w:ascii="Times New Roman" w:eastAsia="Times New Roman" w:hAnsi="Times New Roman" w:cs="Times New Roman"/>
          <w:sz w:val="24"/>
          <w:szCs w:val="24"/>
          <w:lang w:val="en-US" w:eastAsia="fr-FR"/>
        </w:rPr>
        <w:t xml:space="preserve"> </w:t>
      </w:r>
      <w:r w:rsidRPr="006557B3">
        <w:rPr>
          <w:rFonts w:ascii="Times New Roman" w:eastAsia="Times New Roman" w:hAnsi="Times New Roman" w:cs="Times New Roman"/>
          <w:sz w:val="24"/>
          <w:szCs w:val="24"/>
          <w:lang w:eastAsia="fr-FR"/>
        </w:rPr>
        <w:t>Zemkop</w:t>
      </w:r>
      <w:r w:rsidRPr="004F3293">
        <w:rPr>
          <w:rFonts w:ascii="Times New Roman" w:eastAsia="Times New Roman" w:hAnsi="Times New Roman" w:cs="Times New Roman"/>
          <w:sz w:val="24"/>
          <w:szCs w:val="24"/>
          <w:lang w:val="en-US" w:eastAsia="fr-FR"/>
        </w:rPr>
        <w:t>ī</w:t>
      </w:r>
      <w:r w:rsidRPr="006557B3">
        <w:rPr>
          <w:rFonts w:ascii="Times New Roman" w:eastAsia="Times New Roman" w:hAnsi="Times New Roman" w:cs="Times New Roman"/>
          <w:sz w:val="24"/>
          <w:szCs w:val="24"/>
          <w:lang w:eastAsia="fr-FR"/>
        </w:rPr>
        <w:t>bas</w:t>
      </w:r>
      <w:r w:rsidRPr="004F3293">
        <w:rPr>
          <w:rFonts w:ascii="Times New Roman" w:eastAsia="Times New Roman" w:hAnsi="Times New Roman" w:cs="Times New Roman"/>
          <w:sz w:val="24"/>
          <w:szCs w:val="24"/>
          <w:lang w:val="en-US" w:eastAsia="fr-FR"/>
        </w:rPr>
        <w:t xml:space="preserve"> </w:t>
      </w:r>
      <w:r w:rsidRPr="006557B3">
        <w:rPr>
          <w:rFonts w:ascii="Times New Roman" w:eastAsia="Times New Roman" w:hAnsi="Times New Roman" w:cs="Times New Roman"/>
          <w:sz w:val="24"/>
          <w:szCs w:val="24"/>
          <w:lang w:eastAsia="fr-FR"/>
        </w:rPr>
        <w:t>ministrijai</w:t>
      </w:r>
      <w:r w:rsidRPr="004F3293">
        <w:rPr>
          <w:rFonts w:ascii="Times New Roman" w:eastAsia="Times New Roman" w:hAnsi="Times New Roman" w:cs="Times New Roman"/>
          <w:sz w:val="24"/>
          <w:szCs w:val="24"/>
          <w:lang w:val="en-US" w:eastAsia="fr-FR"/>
        </w:rPr>
        <w:t xml:space="preserve"> </w:t>
      </w:r>
      <w:r w:rsidRPr="006557B3">
        <w:rPr>
          <w:rFonts w:ascii="Times New Roman" w:hAnsi="Times New Roman" w:cs="Times New Roman"/>
          <w:sz w:val="24"/>
          <w:szCs w:val="24"/>
        </w:rPr>
        <w:t>sadarb</w:t>
      </w:r>
      <w:r w:rsidRPr="004F3293">
        <w:rPr>
          <w:rFonts w:ascii="Times New Roman" w:hAnsi="Times New Roman" w:cs="Times New Roman"/>
          <w:sz w:val="24"/>
          <w:szCs w:val="24"/>
          <w:lang w:val="en-US"/>
        </w:rPr>
        <w:t>ī</w:t>
      </w:r>
      <w:r w:rsidRPr="006557B3">
        <w:rPr>
          <w:rFonts w:ascii="Times New Roman" w:hAnsi="Times New Roman" w:cs="Times New Roman"/>
          <w:sz w:val="24"/>
          <w:szCs w:val="24"/>
        </w:rPr>
        <w:t>b</w:t>
      </w:r>
      <w:r w:rsidRPr="004F3293">
        <w:rPr>
          <w:rFonts w:ascii="Times New Roman" w:hAnsi="Times New Roman" w:cs="Times New Roman"/>
          <w:sz w:val="24"/>
          <w:szCs w:val="24"/>
          <w:lang w:val="en-US"/>
        </w:rPr>
        <w:t xml:space="preserve">ā </w:t>
      </w:r>
      <w:r w:rsidRPr="006557B3">
        <w:rPr>
          <w:rFonts w:ascii="Times New Roman" w:hAnsi="Times New Roman" w:cs="Times New Roman"/>
          <w:sz w:val="24"/>
          <w:szCs w:val="24"/>
        </w:rPr>
        <w:t>ar</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Vesel</w:t>
      </w:r>
      <w:r w:rsidRPr="004F3293">
        <w:rPr>
          <w:rFonts w:ascii="Times New Roman" w:hAnsi="Times New Roman" w:cs="Times New Roman"/>
          <w:sz w:val="24"/>
          <w:szCs w:val="24"/>
          <w:lang w:val="en-US"/>
        </w:rPr>
        <w:t>ī</w:t>
      </w:r>
      <w:r w:rsidRPr="006557B3">
        <w:rPr>
          <w:rFonts w:ascii="Times New Roman" w:hAnsi="Times New Roman" w:cs="Times New Roman"/>
          <w:sz w:val="24"/>
          <w:szCs w:val="24"/>
        </w:rPr>
        <w:t>bas</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ministriju</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un</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Ekonomikas</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ministriju</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sagatavot</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un</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iesniegt</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Ministru</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kabinet</w:t>
      </w:r>
      <w:r w:rsidRPr="004F3293">
        <w:rPr>
          <w:rFonts w:ascii="Times New Roman" w:hAnsi="Times New Roman" w:cs="Times New Roman"/>
          <w:sz w:val="24"/>
          <w:szCs w:val="24"/>
          <w:lang w:val="en-US"/>
        </w:rPr>
        <w:t xml:space="preserve">ā </w:t>
      </w:r>
      <w:r w:rsidRPr="006557B3">
        <w:rPr>
          <w:rFonts w:ascii="Times New Roman" w:hAnsi="Times New Roman" w:cs="Times New Roman"/>
          <w:sz w:val="24"/>
          <w:szCs w:val="24"/>
        </w:rPr>
        <w:t>informat</w:t>
      </w:r>
      <w:r w:rsidRPr="004F3293">
        <w:rPr>
          <w:rFonts w:ascii="Times New Roman" w:hAnsi="Times New Roman" w:cs="Times New Roman"/>
          <w:sz w:val="24"/>
          <w:szCs w:val="24"/>
          <w:lang w:val="en-US"/>
        </w:rPr>
        <w:t>ī</w:t>
      </w:r>
      <w:r w:rsidRPr="006557B3">
        <w:rPr>
          <w:rFonts w:ascii="Times New Roman" w:hAnsi="Times New Roman" w:cs="Times New Roman"/>
          <w:sz w:val="24"/>
          <w:szCs w:val="24"/>
        </w:rPr>
        <w:t>vo</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zi</w:t>
      </w:r>
      <w:r w:rsidRPr="004F3293">
        <w:rPr>
          <w:rFonts w:ascii="Times New Roman" w:hAnsi="Times New Roman" w:cs="Times New Roman"/>
          <w:sz w:val="24"/>
          <w:szCs w:val="24"/>
          <w:lang w:val="en-US"/>
        </w:rPr>
        <w:t>ņ</w:t>
      </w:r>
      <w:r w:rsidRPr="006557B3">
        <w:rPr>
          <w:rFonts w:ascii="Times New Roman" w:hAnsi="Times New Roman" w:cs="Times New Roman"/>
          <w:sz w:val="24"/>
          <w:szCs w:val="24"/>
        </w:rPr>
        <w:t>ojumu</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par</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nepiecie</w:t>
      </w:r>
      <w:r w:rsidRPr="004F3293">
        <w:rPr>
          <w:rFonts w:ascii="Times New Roman" w:hAnsi="Times New Roman" w:cs="Times New Roman"/>
          <w:sz w:val="24"/>
          <w:szCs w:val="24"/>
          <w:lang w:val="en-US"/>
        </w:rPr>
        <w:t>š</w:t>
      </w:r>
      <w:r w:rsidRPr="006557B3">
        <w:rPr>
          <w:rFonts w:ascii="Times New Roman" w:hAnsi="Times New Roman" w:cs="Times New Roman"/>
          <w:sz w:val="24"/>
          <w:szCs w:val="24"/>
        </w:rPr>
        <w:t>amo</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finans</w:t>
      </w:r>
      <w:r w:rsidRPr="004F3293">
        <w:rPr>
          <w:rFonts w:ascii="Times New Roman" w:hAnsi="Times New Roman" w:cs="Times New Roman"/>
          <w:sz w:val="24"/>
          <w:szCs w:val="24"/>
          <w:lang w:val="en-US"/>
        </w:rPr>
        <w:t>ē</w:t>
      </w:r>
      <w:r w:rsidRPr="006557B3">
        <w:rPr>
          <w:rFonts w:ascii="Times New Roman" w:hAnsi="Times New Roman" w:cs="Times New Roman"/>
          <w:sz w:val="24"/>
          <w:szCs w:val="24"/>
        </w:rPr>
        <w:t>jumu</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uztura</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bag</w:t>
      </w:r>
      <w:r w:rsidRPr="004F3293">
        <w:rPr>
          <w:rFonts w:ascii="Times New Roman" w:hAnsi="Times New Roman" w:cs="Times New Roman"/>
          <w:sz w:val="24"/>
          <w:szCs w:val="24"/>
          <w:lang w:val="en-US"/>
        </w:rPr>
        <w:t>ā</w:t>
      </w:r>
      <w:r w:rsidRPr="006557B3">
        <w:rPr>
          <w:rFonts w:ascii="Times New Roman" w:hAnsi="Times New Roman" w:cs="Times New Roman"/>
          <w:sz w:val="24"/>
          <w:szCs w:val="24"/>
        </w:rPr>
        <w:t>tin</w:t>
      </w:r>
      <w:r w:rsidRPr="004F3293">
        <w:rPr>
          <w:rFonts w:ascii="Times New Roman" w:hAnsi="Times New Roman" w:cs="Times New Roman"/>
          <w:sz w:val="24"/>
          <w:szCs w:val="24"/>
          <w:lang w:val="en-US"/>
        </w:rPr>
        <w:t>ā</w:t>
      </w:r>
      <w:r w:rsidRPr="006557B3">
        <w:rPr>
          <w:rFonts w:ascii="Times New Roman" w:hAnsi="Times New Roman" w:cs="Times New Roman"/>
          <w:sz w:val="24"/>
          <w:szCs w:val="24"/>
        </w:rPr>
        <w:t>t</w:t>
      </w:r>
      <w:r w:rsidRPr="004F3293">
        <w:rPr>
          <w:rFonts w:ascii="Times New Roman" w:hAnsi="Times New Roman" w:cs="Times New Roman"/>
          <w:sz w:val="24"/>
          <w:szCs w:val="24"/>
          <w:lang w:val="en-US"/>
        </w:rPr>
        <w:t>ā</w:t>
      </w:r>
      <w:r w:rsidRPr="006557B3">
        <w:rPr>
          <w:rFonts w:ascii="Times New Roman" w:hAnsi="Times New Roman" w:cs="Times New Roman"/>
          <w:sz w:val="24"/>
          <w:szCs w:val="24"/>
        </w:rPr>
        <w:t>ju</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uzraudz</w:t>
      </w:r>
      <w:r w:rsidRPr="004F3293">
        <w:rPr>
          <w:rFonts w:ascii="Times New Roman" w:hAnsi="Times New Roman" w:cs="Times New Roman"/>
          <w:sz w:val="24"/>
          <w:szCs w:val="24"/>
          <w:lang w:val="en-US"/>
        </w:rPr>
        <w:t>ī</w:t>
      </w:r>
      <w:r w:rsidRPr="006557B3">
        <w:rPr>
          <w:rFonts w:ascii="Times New Roman" w:hAnsi="Times New Roman" w:cs="Times New Roman"/>
          <w:sz w:val="24"/>
          <w:szCs w:val="24"/>
        </w:rPr>
        <w:t>bas</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un</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kontroles</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k</w:t>
      </w:r>
      <w:r w:rsidRPr="004F3293">
        <w:rPr>
          <w:rFonts w:ascii="Times New Roman" w:hAnsi="Times New Roman" w:cs="Times New Roman"/>
          <w:sz w:val="24"/>
          <w:szCs w:val="24"/>
          <w:lang w:val="en-US"/>
        </w:rPr>
        <w:t xml:space="preserve">ā </w:t>
      </w:r>
      <w:r w:rsidRPr="006557B3">
        <w:rPr>
          <w:rFonts w:ascii="Times New Roman" w:hAnsi="Times New Roman" w:cs="Times New Roman"/>
          <w:sz w:val="24"/>
          <w:szCs w:val="24"/>
        </w:rPr>
        <w:t>ar</w:t>
      </w:r>
      <w:r w:rsidRPr="004F3293">
        <w:rPr>
          <w:rFonts w:ascii="Times New Roman" w:hAnsi="Times New Roman" w:cs="Times New Roman"/>
          <w:sz w:val="24"/>
          <w:szCs w:val="24"/>
          <w:lang w:val="en-US"/>
        </w:rPr>
        <w:t xml:space="preserve">ī </w:t>
      </w:r>
      <w:r w:rsidRPr="006557B3">
        <w:rPr>
          <w:rFonts w:ascii="Times New Roman" w:hAnsi="Times New Roman" w:cs="Times New Roman"/>
          <w:sz w:val="24"/>
          <w:szCs w:val="24"/>
        </w:rPr>
        <w:t>sabiedr</w:t>
      </w:r>
      <w:r w:rsidRPr="004F3293">
        <w:rPr>
          <w:rFonts w:ascii="Times New Roman" w:hAnsi="Times New Roman" w:cs="Times New Roman"/>
          <w:sz w:val="24"/>
          <w:szCs w:val="24"/>
          <w:lang w:val="en-US"/>
        </w:rPr>
        <w:t>ī</w:t>
      </w:r>
      <w:r w:rsidRPr="006557B3">
        <w:rPr>
          <w:rFonts w:ascii="Times New Roman" w:hAnsi="Times New Roman" w:cs="Times New Roman"/>
          <w:sz w:val="24"/>
          <w:szCs w:val="24"/>
        </w:rPr>
        <w:t>bas</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izgl</w:t>
      </w:r>
      <w:r w:rsidRPr="004F3293">
        <w:rPr>
          <w:rFonts w:ascii="Times New Roman" w:hAnsi="Times New Roman" w:cs="Times New Roman"/>
          <w:sz w:val="24"/>
          <w:szCs w:val="24"/>
          <w:lang w:val="en-US"/>
        </w:rPr>
        <w:t>ī</w:t>
      </w:r>
      <w:r w:rsidRPr="006557B3">
        <w:rPr>
          <w:rFonts w:ascii="Times New Roman" w:hAnsi="Times New Roman" w:cs="Times New Roman"/>
          <w:sz w:val="24"/>
          <w:szCs w:val="24"/>
        </w:rPr>
        <w:t>to</w:t>
      </w:r>
      <w:r w:rsidRPr="004F3293">
        <w:rPr>
          <w:rFonts w:ascii="Times New Roman" w:hAnsi="Times New Roman" w:cs="Times New Roman"/>
          <w:sz w:val="24"/>
          <w:szCs w:val="24"/>
          <w:lang w:val="en-US"/>
        </w:rPr>
        <w:t>š</w:t>
      </w:r>
      <w:r w:rsidRPr="006557B3">
        <w:rPr>
          <w:rFonts w:ascii="Times New Roman" w:hAnsi="Times New Roman" w:cs="Times New Roman"/>
          <w:sz w:val="24"/>
          <w:szCs w:val="24"/>
        </w:rPr>
        <w:t>anas</w:t>
      </w:r>
      <w:r w:rsidRPr="004F3293">
        <w:rPr>
          <w:rFonts w:ascii="Times New Roman" w:hAnsi="Times New Roman" w:cs="Times New Roman"/>
          <w:sz w:val="24"/>
          <w:szCs w:val="24"/>
          <w:lang w:val="en-US"/>
        </w:rPr>
        <w:t xml:space="preserve"> </w:t>
      </w:r>
      <w:r w:rsidRPr="006557B3">
        <w:rPr>
          <w:rFonts w:ascii="Times New Roman" w:hAnsi="Times New Roman" w:cs="Times New Roman"/>
          <w:sz w:val="24"/>
          <w:szCs w:val="24"/>
        </w:rPr>
        <w:t>jom</w:t>
      </w:r>
      <w:r w:rsidRPr="004F3293">
        <w:rPr>
          <w:rFonts w:ascii="Times New Roman" w:hAnsi="Times New Roman" w:cs="Times New Roman"/>
          <w:sz w:val="24"/>
          <w:szCs w:val="24"/>
          <w:lang w:val="en-US"/>
        </w:rPr>
        <w:t>ā. (</w:t>
      </w:r>
      <w:r w:rsidRPr="006557B3">
        <w:rPr>
          <w:rFonts w:ascii="Times New Roman" w:hAnsi="Times New Roman" w:cs="Times New Roman"/>
          <w:sz w:val="24"/>
          <w:szCs w:val="24"/>
        </w:rPr>
        <w:t>Public</w:t>
      </w:r>
      <w:r w:rsidRPr="004F3293">
        <w:rPr>
          <w:rFonts w:ascii="Times New Roman" w:hAnsi="Times New Roman" w:cs="Times New Roman"/>
          <w:sz w:val="24"/>
          <w:szCs w:val="24"/>
          <w:lang w:val="en-US"/>
        </w:rPr>
        <w:t>ē</w:t>
      </w:r>
      <w:r w:rsidRPr="006557B3">
        <w:rPr>
          <w:rFonts w:ascii="Times New Roman" w:hAnsi="Times New Roman" w:cs="Times New Roman"/>
          <w:sz w:val="24"/>
          <w:szCs w:val="24"/>
        </w:rPr>
        <w:t>ts</w:t>
      </w:r>
      <w:r w:rsidR="00FC469D" w:rsidRPr="006557B3">
        <w:rPr>
          <w:rFonts w:ascii="Times New Roman" w:hAnsi="Times New Roman" w:cs="Times New Roman"/>
          <w:sz w:val="24"/>
          <w:szCs w:val="24"/>
          <w:lang w:val="lv-LV"/>
        </w:rPr>
        <w:t xml:space="preserve"> oficiālajā izdevumā</w:t>
      </w:r>
      <w:r w:rsidRPr="004F3293">
        <w:rPr>
          <w:rFonts w:ascii="Times New Roman" w:hAnsi="Times New Roman" w:cs="Times New Roman"/>
          <w:sz w:val="24"/>
          <w:szCs w:val="24"/>
          <w:lang w:val="en-US"/>
        </w:rPr>
        <w:t xml:space="preserve"> </w:t>
      </w:r>
      <w:hyperlink r:id="rId8" w:tgtFrame="_blank" w:history="1">
        <w:r w:rsidRPr="00F71964">
          <w:rPr>
            <w:rStyle w:val="Hipersaite"/>
            <w:rFonts w:ascii="Times New Roman" w:hAnsi="Times New Roman" w:cs="Times New Roman"/>
            <w:color w:val="auto"/>
            <w:sz w:val="24"/>
            <w:szCs w:val="24"/>
            <w:u w:val="none"/>
            <w:lang w:val="en-US"/>
          </w:rPr>
          <w:t>"</w:t>
        </w:r>
        <w:r w:rsidRPr="00F71964">
          <w:rPr>
            <w:rStyle w:val="Hipersaite"/>
            <w:rFonts w:ascii="Times New Roman" w:hAnsi="Times New Roman" w:cs="Times New Roman"/>
            <w:color w:val="auto"/>
            <w:sz w:val="24"/>
            <w:szCs w:val="24"/>
            <w:u w:val="none"/>
          </w:rPr>
          <w:t>Latvijas</w:t>
        </w:r>
        <w:r w:rsidRPr="00F71964">
          <w:rPr>
            <w:rStyle w:val="Hipersaite"/>
            <w:rFonts w:ascii="Times New Roman" w:hAnsi="Times New Roman" w:cs="Times New Roman"/>
            <w:color w:val="auto"/>
            <w:sz w:val="24"/>
            <w:szCs w:val="24"/>
            <w:u w:val="none"/>
            <w:lang w:val="en-US"/>
          </w:rPr>
          <w:t xml:space="preserve"> </w:t>
        </w:r>
        <w:r w:rsidRPr="00F71964">
          <w:rPr>
            <w:rStyle w:val="Hipersaite"/>
            <w:rFonts w:ascii="Times New Roman" w:hAnsi="Times New Roman" w:cs="Times New Roman"/>
            <w:color w:val="auto"/>
            <w:sz w:val="24"/>
            <w:szCs w:val="24"/>
            <w:u w:val="none"/>
          </w:rPr>
          <w:t>V</w:t>
        </w:r>
        <w:r w:rsidRPr="00F71964">
          <w:rPr>
            <w:rStyle w:val="Hipersaite"/>
            <w:rFonts w:ascii="Times New Roman" w:hAnsi="Times New Roman" w:cs="Times New Roman"/>
            <w:color w:val="auto"/>
            <w:sz w:val="24"/>
            <w:szCs w:val="24"/>
            <w:u w:val="none"/>
            <w:lang w:val="en-US"/>
          </w:rPr>
          <w:t>ē</w:t>
        </w:r>
        <w:r w:rsidRPr="00F71964">
          <w:rPr>
            <w:rStyle w:val="Hipersaite"/>
            <w:rFonts w:ascii="Times New Roman" w:hAnsi="Times New Roman" w:cs="Times New Roman"/>
            <w:color w:val="auto"/>
            <w:sz w:val="24"/>
            <w:szCs w:val="24"/>
            <w:u w:val="none"/>
          </w:rPr>
          <w:t>stnesis</w:t>
        </w:r>
        <w:r w:rsidRPr="00F71964">
          <w:rPr>
            <w:rStyle w:val="Hipersaite"/>
            <w:rFonts w:ascii="Times New Roman" w:hAnsi="Times New Roman" w:cs="Times New Roman"/>
            <w:color w:val="auto"/>
            <w:sz w:val="24"/>
            <w:szCs w:val="24"/>
            <w:u w:val="none"/>
            <w:lang w:val="en-US"/>
          </w:rPr>
          <w:t>"</w:t>
        </w:r>
      </w:hyperlink>
      <w:r w:rsidRPr="004F3293">
        <w:rPr>
          <w:rFonts w:ascii="Times New Roman" w:hAnsi="Times New Roman" w:cs="Times New Roman"/>
          <w:sz w:val="24"/>
          <w:szCs w:val="24"/>
          <w:lang w:val="en-US"/>
        </w:rPr>
        <w:t xml:space="preserve">, </w:t>
      </w:r>
      <w:r w:rsidR="00FC469D" w:rsidRPr="006557B3">
        <w:rPr>
          <w:rFonts w:ascii="Times New Roman" w:hAnsi="Times New Roman" w:cs="Times New Roman"/>
          <w:sz w:val="24"/>
          <w:szCs w:val="24"/>
          <w:lang w:val="lv-LV"/>
        </w:rPr>
        <w:t>Nr. </w:t>
      </w:r>
      <w:r w:rsidRPr="004F3293">
        <w:rPr>
          <w:rFonts w:ascii="Times New Roman" w:hAnsi="Times New Roman" w:cs="Times New Roman"/>
          <w:sz w:val="24"/>
          <w:szCs w:val="24"/>
          <w:lang w:val="en-US"/>
        </w:rPr>
        <w:t>240 (5558), 08.12.2015.</w:t>
      </w:r>
      <w:r w:rsidR="00FC469D"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 xml:space="preserve">OP numurs: </w:t>
      </w:r>
      <w:hyperlink r:id="rId9" w:tgtFrame="_blank" w:history="1">
        <w:r w:rsidRPr="009501A2">
          <w:rPr>
            <w:rStyle w:val="Hipersaite"/>
            <w:rFonts w:ascii="Times New Roman" w:hAnsi="Times New Roman" w:cs="Times New Roman"/>
            <w:color w:val="auto"/>
            <w:sz w:val="24"/>
            <w:szCs w:val="24"/>
            <w:u w:val="none"/>
            <w:lang w:val="lv-LV"/>
          </w:rPr>
          <w:t>2015/240.13</w:t>
        </w:r>
      </w:hyperlink>
      <w:r w:rsidR="00FC469D" w:rsidRPr="009501A2">
        <w:rPr>
          <w:rStyle w:val="Hipersaite"/>
          <w:rFonts w:ascii="Times New Roman" w:hAnsi="Times New Roman" w:cs="Times New Roman"/>
          <w:color w:val="auto"/>
          <w:sz w:val="24"/>
          <w:szCs w:val="24"/>
          <w:u w:val="none"/>
          <w:lang w:val="lv-LV"/>
        </w:rPr>
        <w:t>.</w:t>
      </w:r>
      <w:r w:rsidRPr="009501A2">
        <w:rPr>
          <w:rStyle w:val="Hipersaite"/>
          <w:rFonts w:ascii="Times New Roman" w:hAnsi="Times New Roman" w:cs="Times New Roman"/>
          <w:color w:val="auto"/>
          <w:sz w:val="24"/>
          <w:szCs w:val="24"/>
          <w:u w:val="none"/>
          <w:lang w:val="lv-LV"/>
        </w:rPr>
        <w:t>)</w:t>
      </w:r>
    </w:p>
    <w:p w14:paraId="340EB962" w14:textId="67E5677B" w:rsidR="00D72850" w:rsidRPr="006557B3" w:rsidRDefault="00D72850" w:rsidP="00D72850">
      <w:pPr>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Informatīvais ziņojums ir sagatavots, lai informētu Ministru kabinetu par nepieciešamo papildu finansējumu, kas nodrošinātu Eiropas Savienības un Latvijas normatīvo aktu pienācīgu īstenošanu un dotu pārliecību patērētājiem par to, ka </w:t>
      </w:r>
      <w:r w:rsidR="00FC469D" w:rsidRPr="006557B3">
        <w:rPr>
          <w:rFonts w:ascii="Times New Roman" w:hAnsi="Times New Roman" w:cs="Times New Roman"/>
          <w:sz w:val="24"/>
          <w:szCs w:val="24"/>
          <w:lang w:val="lv-LV"/>
        </w:rPr>
        <w:t xml:space="preserve">tiek pareizi izpildītas prasības, kas noteiktas </w:t>
      </w:r>
      <w:r w:rsidRPr="006557B3">
        <w:rPr>
          <w:rFonts w:ascii="Times New Roman" w:hAnsi="Times New Roman" w:cs="Times New Roman"/>
          <w:sz w:val="24"/>
          <w:szCs w:val="24"/>
          <w:lang w:val="lv-LV"/>
        </w:rPr>
        <w:t>normatīvajos aktos, kuri reglamentē pārtikas ķēdes nekaitīguma un kvalitātes standartu nosacījumus.</w:t>
      </w:r>
    </w:p>
    <w:p w14:paraId="33EAA770" w14:textId="5F30435C" w:rsidR="00D72850" w:rsidRPr="006557B3" w:rsidRDefault="00D72850" w:rsidP="00D72850">
      <w:pPr>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Eiropas Savienības </w:t>
      </w:r>
      <w:r w:rsidR="00025FA4" w:rsidRPr="006557B3">
        <w:rPr>
          <w:rFonts w:ascii="Times New Roman" w:hAnsi="Times New Roman" w:cs="Times New Roman"/>
          <w:sz w:val="24"/>
          <w:szCs w:val="24"/>
          <w:lang w:val="lv-LV"/>
        </w:rPr>
        <w:t xml:space="preserve">un Latvijas </w:t>
      </w:r>
      <w:r w:rsidRPr="006557B3">
        <w:rPr>
          <w:rFonts w:ascii="Times New Roman" w:hAnsi="Times New Roman" w:cs="Times New Roman"/>
          <w:sz w:val="24"/>
          <w:szCs w:val="24"/>
          <w:lang w:val="lv-LV"/>
        </w:rPr>
        <w:t>normatīv</w:t>
      </w:r>
      <w:r w:rsidR="00FC469D" w:rsidRPr="006557B3">
        <w:rPr>
          <w:rFonts w:ascii="Times New Roman" w:hAnsi="Times New Roman" w:cs="Times New Roman"/>
          <w:sz w:val="24"/>
          <w:szCs w:val="24"/>
          <w:lang w:val="lv-LV"/>
        </w:rPr>
        <w:t>ajos</w:t>
      </w:r>
      <w:r w:rsidRPr="006557B3">
        <w:rPr>
          <w:rFonts w:ascii="Times New Roman" w:hAnsi="Times New Roman" w:cs="Times New Roman"/>
          <w:sz w:val="24"/>
          <w:szCs w:val="24"/>
          <w:lang w:val="lv-LV"/>
        </w:rPr>
        <w:t xml:space="preserve"> akt</w:t>
      </w:r>
      <w:r w:rsidR="00FC469D" w:rsidRPr="006557B3">
        <w:rPr>
          <w:rFonts w:ascii="Times New Roman" w:hAnsi="Times New Roman" w:cs="Times New Roman"/>
          <w:sz w:val="24"/>
          <w:szCs w:val="24"/>
          <w:lang w:val="lv-LV"/>
        </w:rPr>
        <w:t>os</w:t>
      </w:r>
      <w:r w:rsidRPr="006557B3">
        <w:rPr>
          <w:rFonts w:ascii="Times New Roman" w:hAnsi="Times New Roman" w:cs="Times New Roman"/>
          <w:sz w:val="24"/>
          <w:szCs w:val="24"/>
          <w:lang w:val="lv-LV"/>
        </w:rPr>
        <w:t xml:space="preserve"> uztura bagātinātāj</w:t>
      </w:r>
      <w:r w:rsidR="00FC469D" w:rsidRPr="006557B3">
        <w:rPr>
          <w:rFonts w:ascii="Times New Roman" w:hAnsi="Times New Roman" w:cs="Times New Roman"/>
          <w:sz w:val="24"/>
          <w:szCs w:val="24"/>
          <w:lang w:val="lv-LV"/>
        </w:rPr>
        <w:t>i</w:t>
      </w:r>
      <w:r w:rsidRPr="006557B3">
        <w:rPr>
          <w:rFonts w:ascii="Times New Roman" w:hAnsi="Times New Roman" w:cs="Times New Roman"/>
          <w:sz w:val="24"/>
          <w:szCs w:val="24"/>
          <w:lang w:val="lv-LV"/>
        </w:rPr>
        <w:t xml:space="preserve"> definē</w:t>
      </w:r>
      <w:r w:rsidR="00FC469D" w:rsidRPr="006557B3">
        <w:rPr>
          <w:rFonts w:ascii="Times New Roman" w:hAnsi="Times New Roman" w:cs="Times New Roman"/>
          <w:sz w:val="24"/>
          <w:szCs w:val="24"/>
          <w:lang w:val="lv-LV"/>
        </w:rPr>
        <w:t>ti</w:t>
      </w:r>
      <w:r w:rsidRPr="006557B3">
        <w:rPr>
          <w:rFonts w:ascii="Times New Roman" w:hAnsi="Times New Roman" w:cs="Times New Roman"/>
          <w:sz w:val="24"/>
          <w:szCs w:val="24"/>
          <w:lang w:val="lv-LV"/>
        </w:rPr>
        <w:t xml:space="preserve"> kā pārtikas produkt</w:t>
      </w:r>
      <w:r w:rsidR="00FC469D" w:rsidRPr="006557B3">
        <w:rPr>
          <w:rFonts w:ascii="Times New Roman" w:hAnsi="Times New Roman" w:cs="Times New Roman"/>
          <w:sz w:val="24"/>
          <w:szCs w:val="24"/>
          <w:lang w:val="lv-LV"/>
        </w:rPr>
        <w:t>i</w:t>
      </w:r>
      <w:r w:rsidRPr="006557B3">
        <w:rPr>
          <w:rFonts w:ascii="Times New Roman" w:hAnsi="Times New Roman" w:cs="Times New Roman"/>
          <w:sz w:val="24"/>
          <w:szCs w:val="24"/>
          <w:lang w:val="lv-LV"/>
        </w:rPr>
        <w:t xml:space="preserve"> parastā uztura papildināšanai koncentrētu uzturvielu (vitamīnu un minerālvielu) veidā vai ar citām vielām, kurām ir uzturvērtība vai fizioloģiska ietekme, atsevišķi vai kombinācijās. Uztura bagātinātājus realizē noteiktās devās kapsulās, pastilās, tabletēs, dražejās un citos līdzīgos veidos, pulvera maisiņos, ampulās, pilināmās pudelītēs un citā līdzīgā šķidruma un pulvera veidā, kas paredzēts lietošanai mazā un nomērītā daudzumā.</w:t>
      </w:r>
    </w:p>
    <w:p w14:paraId="4C264E6D" w14:textId="77777777" w:rsidR="00AB457F" w:rsidRPr="006557B3" w:rsidRDefault="00AB457F" w:rsidP="00CF39DA">
      <w:pPr>
        <w:keepNext/>
        <w:spacing w:after="0" w:line="240" w:lineRule="auto"/>
        <w:jc w:val="both"/>
        <w:rPr>
          <w:rFonts w:ascii="Times New Roman" w:hAnsi="Times New Roman" w:cs="Times New Roman"/>
          <w:b/>
          <w:sz w:val="24"/>
          <w:szCs w:val="24"/>
          <w:lang w:val="lv-LV"/>
        </w:rPr>
      </w:pPr>
    </w:p>
    <w:p w14:paraId="749B8429" w14:textId="5E10248A" w:rsidR="00B21D7B" w:rsidRPr="006557B3" w:rsidRDefault="00D72850" w:rsidP="00C05C12">
      <w:pPr>
        <w:keepNext/>
        <w:tabs>
          <w:tab w:val="left" w:pos="8647"/>
        </w:tabs>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t xml:space="preserve"> </w:t>
      </w:r>
      <w:r w:rsidR="008800DB" w:rsidRPr="006557B3">
        <w:rPr>
          <w:rFonts w:ascii="Times New Roman" w:hAnsi="Times New Roman" w:cs="Times New Roman"/>
          <w:b/>
          <w:sz w:val="24"/>
          <w:szCs w:val="24"/>
          <w:lang w:val="lv-LV"/>
        </w:rPr>
        <w:t xml:space="preserve">2. </w:t>
      </w:r>
      <w:r w:rsidR="00FC469D" w:rsidRPr="006557B3">
        <w:rPr>
          <w:rFonts w:ascii="Times New Roman" w:hAnsi="Times New Roman" w:cs="Times New Roman"/>
          <w:b/>
          <w:sz w:val="24"/>
          <w:szCs w:val="24"/>
          <w:lang w:val="lv-LV"/>
        </w:rPr>
        <w:t>Uztura bagātinātāju jomu regulējošie n</w:t>
      </w:r>
      <w:r w:rsidR="00443B8A" w:rsidRPr="006557B3">
        <w:rPr>
          <w:rFonts w:ascii="Times New Roman" w:hAnsi="Times New Roman" w:cs="Times New Roman"/>
          <w:b/>
          <w:sz w:val="24"/>
          <w:szCs w:val="24"/>
          <w:lang w:val="lv-LV"/>
        </w:rPr>
        <w:t>ormatīvie</w:t>
      </w:r>
      <w:r w:rsidR="00B21D7B" w:rsidRPr="006557B3">
        <w:rPr>
          <w:rFonts w:ascii="Times New Roman" w:hAnsi="Times New Roman" w:cs="Times New Roman"/>
          <w:b/>
          <w:sz w:val="24"/>
          <w:szCs w:val="24"/>
          <w:lang w:val="lv-LV"/>
        </w:rPr>
        <w:t xml:space="preserve"> akti</w:t>
      </w:r>
      <w:r w:rsidR="00FC216A" w:rsidRPr="006557B3">
        <w:rPr>
          <w:rFonts w:ascii="Times New Roman" w:hAnsi="Times New Roman" w:cs="Times New Roman"/>
          <w:b/>
          <w:sz w:val="24"/>
          <w:szCs w:val="24"/>
          <w:lang w:val="lv-LV"/>
        </w:rPr>
        <w:t xml:space="preserve"> </w:t>
      </w:r>
    </w:p>
    <w:p w14:paraId="0D2A0D90" w14:textId="77777777" w:rsidR="00B21D7B" w:rsidRPr="006557B3" w:rsidRDefault="00B21D7B" w:rsidP="00C05C12">
      <w:pPr>
        <w:pStyle w:val="Sarakstarindkopa"/>
        <w:keepNext/>
        <w:numPr>
          <w:ilvl w:val="0"/>
          <w:numId w:val="12"/>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Pārtikas aprites uzraudzības likums;</w:t>
      </w:r>
    </w:p>
    <w:p w14:paraId="2156F9BF" w14:textId="495FBCFA" w:rsidR="00B21D7B" w:rsidRPr="006557B3" w:rsidRDefault="00B21D7B" w:rsidP="00C05C12">
      <w:pPr>
        <w:pStyle w:val="Sarakstarindkopa"/>
        <w:numPr>
          <w:ilvl w:val="0"/>
          <w:numId w:val="12"/>
        </w:numPr>
        <w:tabs>
          <w:tab w:val="left" w:pos="8647"/>
        </w:tabs>
        <w:spacing w:after="0" w:line="240" w:lineRule="auto"/>
        <w:ind w:left="0" w:firstLine="0"/>
        <w:jc w:val="both"/>
        <w:rPr>
          <w:rFonts w:ascii="Times New Roman" w:hAnsi="Times New Roman"/>
          <w:sz w:val="24"/>
          <w:szCs w:val="24"/>
          <w:lang w:val="lv-LV"/>
        </w:rPr>
      </w:pPr>
      <w:r w:rsidRPr="006557B3">
        <w:rPr>
          <w:rFonts w:ascii="Times New Roman" w:hAnsi="Times New Roman"/>
          <w:sz w:val="24"/>
          <w:szCs w:val="24"/>
          <w:lang w:val="lv-LV"/>
        </w:rPr>
        <w:t>Ministru kabineta 2015.</w:t>
      </w:r>
      <w:r w:rsidR="00D25325">
        <w:rPr>
          <w:rFonts w:ascii="Times New Roman" w:hAnsi="Times New Roman"/>
          <w:sz w:val="24"/>
          <w:szCs w:val="24"/>
          <w:lang w:val="lv-LV"/>
        </w:rPr>
        <w:t xml:space="preserve"> </w:t>
      </w:r>
      <w:r w:rsidRPr="006557B3">
        <w:rPr>
          <w:rFonts w:ascii="Times New Roman" w:hAnsi="Times New Roman"/>
          <w:sz w:val="24"/>
          <w:szCs w:val="24"/>
          <w:lang w:val="lv-LV"/>
        </w:rPr>
        <w:t>gada 1.</w:t>
      </w:r>
      <w:r w:rsidR="00D25325">
        <w:rPr>
          <w:rFonts w:ascii="Times New Roman" w:hAnsi="Times New Roman"/>
          <w:sz w:val="24"/>
          <w:szCs w:val="24"/>
          <w:lang w:val="lv-LV"/>
        </w:rPr>
        <w:t xml:space="preserve"> </w:t>
      </w:r>
      <w:r w:rsidRPr="006557B3">
        <w:rPr>
          <w:rFonts w:ascii="Times New Roman" w:hAnsi="Times New Roman"/>
          <w:sz w:val="24"/>
          <w:szCs w:val="24"/>
          <w:lang w:val="lv-LV"/>
        </w:rPr>
        <w:t>decembra noteikumi Nr.</w:t>
      </w:r>
      <w:r w:rsidR="00FC469D" w:rsidRPr="006557B3">
        <w:rPr>
          <w:rFonts w:ascii="Times New Roman" w:hAnsi="Times New Roman"/>
          <w:sz w:val="24"/>
          <w:szCs w:val="24"/>
          <w:lang w:val="lv-LV"/>
        </w:rPr>
        <w:t> </w:t>
      </w:r>
      <w:r w:rsidRPr="006557B3">
        <w:rPr>
          <w:rFonts w:ascii="Times New Roman" w:hAnsi="Times New Roman"/>
          <w:sz w:val="24"/>
          <w:szCs w:val="24"/>
          <w:lang w:val="lv-LV"/>
        </w:rPr>
        <w:t>685</w:t>
      </w:r>
      <w:r w:rsidR="00FC469D" w:rsidRPr="006557B3">
        <w:rPr>
          <w:rFonts w:ascii="Times New Roman" w:hAnsi="Times New Roman"/>
          <w:sz w:val="24"/>
          <w:szCs w:val="24"/>
          <w:lang w:val="lv-LV"/>
        </w:rPr>
        <w:t xml:space="preserve"> </w:t>
      </w:r>
      <w:r w:rsidR="00771E52" w:rsidRPr="006557B3">
        <w:rPr>
          <w:rFonts w:ascii="Times New Roman" w:hAnsi="Times New Roman"/>
          <w:sz w:val="24"/>
          <w:szCs w:val="24"/>
          <w:lang w:val="lv-LV"/>
        </w:rPr>
        <w:t>“</w:t>
      </w:r>
      <w:r w:rsidRPr="006557B3">
        <w:rPr>
          <w:rFonts w:ascii="Times New Roman" w:hAnsi="Times New Roman"/>
          <w:sz w:val="24"/>
          <w:szCs w:val="24"/>
          <w:lang w:val="lv-LV"/>
        </w:rPr>
        <w:t>Prasības uztura bagātinātājiem</w:t>
      </w:r>
      <w:r w:rsidR="00771E52" w:rsidRPr="006557B3">
        <w:rPr>
          <w:rFonts w:ascii="Times New Roman" w:hAnsi="Times New Roman"/>
          <w:sz w:val="24"/>
          <w:szCs w:val="24"/>
          <w:lang w:val="lv-LV"/>
        </w:rPr>
        <w:t>”</w:t>
      </w:r>
      <w:r w:rsidRPr="006557B3">
        <w:rPr>
          <w:rFonts w:ascii="Times New Roman" w:hAnsi="Times New Roman"/>
          <w:sz w:val="24"/>
          <w:szCs w:val="24"/>
          <w:lang w:val="lv-LV"/>
        </w:rPr>
        <w:t>;</w:t>
      </w:r>
    </w:p>
    <w:p w14:paraId="20B7E337" w14:textId="78E1A3B3" w:rsidR="00B21D7B" w:rsidRPr="006557B3" w:rsidRDefault="00B21D7B" w:rsidP="00C05C12">
      <w:pPr>
        <w:pStyle w:val="Sarakstarindkopa"/>
        <w:numPr>
          <w:ilvl w:val="0"/>
          <w:numId w:val="12"/>
        </w:numPr>
        <w:tabs>
          <w:tab w:val="left" w:pos="8647"/>
        </w:tabs>
        <w:autoSpaceDE w:val="0"/>
        <w:autoSpaceDN w:val="0"/>
        <w:adjustRightInd w:val="0"/>
        <w:spacing w:after="0" w:line="240" w:lineRule="auto"/>
        <w:ind w:left="0" w:firstLine="0"/>
        <w:jc w:val="both"/>
        <w:rPr>
          <w:rFonts w:ascii="Times New Roman" w:hAnsi="Times New Roman"/>
          <w:sz w:val="24"/>
          <w:szCs w:val="24"/>
          <w:lang w:val="lv-LV"/>
        </w:rPr>
      </w:pPr>
      <w:r w:rsidRPr="006557B3">
        <w:rPr>
          <w:rFonts w:ascii="Times New Roman" w:hAnsi="Times New Roman"/>
          <w:sz w:val="24"/>
          <w:szCs w:val="24"/>
          <w:lang w:val="lv-LV"/>
        </w:rPr>
        <w:t>Ministru kabineta 2010.</w:t>
      </w:r>
      <w:r w:rsidR="00D25325">
        <w:rPr>
          <w:rFonts w:ascii="Times New Roman" w:hAnsi="Times New Roman"/>
          <w:sz w:val="24"/>
          <w:szCs w:val="24"/>
          <w:lang w:val="lv-LV"/>
        </w:rPr>
        <w:t xml:space="preserve"> </w:t>
      </w:r>
      <w:r w:rsidRPr="006557B3">
        <w:rPr>
          <w:rFonts w:ascii="Times New Roman" w:hAnsi="Times New Roman"/>
          <w:sz w:val="24"/>
          <w:szCs w:val="24"/>
          <w:lang w:val="lv-LV"/>
        </w:rPr>
        <w:t>gada 21.</w:t>
      </w:r>
      <w:r w:rsidR="00D25325">
        <w:rPr>
          <w:rFonts w:ascii="Times New Roman" w:hAnsi="Times New Roman"/>
          <w:sz w:val="24"/>
          <w:szCs w:val="24"/>
          <w:lang w:val="lv-LV"/>
        </w:rPr>
        <w:t xml:space="preserve"> </w:t>
      </w:r>
      <w:r w:rsidRPr="006557B3">
        <w:rPr>
          <w:rFonts w:ascii="Times New Roman" w:hAnsi="Times New Roman"/>
          <w:sz w:val="24"/>
          <w:szCs w:val="24"/>
          <w:lang w:val="lv-LV"/>
        </w:rPr>
        <w:t xml:space="preserve">decembra noteikumi Nr.1145 </w:t>
      </w:r>
      <w:r w:rsidR="00FC469D" w:rsidRPr="006557B3">
        <w:rPr>
          <w:rFonts w:ascii="Times New Roman" w:hAnsi="Times New Roman"/>
          <w:sz w:val="24"/>
          <w:szCs w:val="24"/>
          <w:lang w:val="lv-LV"/>
        </w:rPr>
        <w:t>“</w:t>
      </w:r>
      <w:r w:rsidRPr="006557B3">
        <w:rPr>
          <w:rFonts w:ascii="Times New Roman" w:hAnsi="Times New Roman"/>
          <w:sz w:val="24"/>
          <w:szCs w:val="24"/>
          <w:lang w:val="lv-LV"/>
        </w:rPr>
        <w:t>Noteikumi par uztura bagātinātāju reģistrācijas valsts nodevu”;</w:t>
      </w:r>
    </w:p>
    <w:p w14:paraId="49946BC1" w14:textId="7C933449" w:rsidR="00B21D7B" w:rsidRPr="006557B3" w:rsidRDefault="00B21D7B" w:rsidP="00C05C12">
      <w:pPr>
        <w:pStyle w:val="Sarakstarindkopa"/>
        <w:numPr>
          <w:ilvl w:val="0"/>
          <w:numId w:val="12"/>
        </w:numPr>
        <w:tabs>
          <w:tab w:val="left" w:pos="8647"/>
        </w:tabs>
        <w:spacing w:after="0" w:line="240" w:lineRule="auto"/>
        <w:ind w:left="0" w:firstLine="0"/>
        <w:jc w:val="both"/>
        <w:rPr>
          <w:rFonts w:ascii="Times New Roman" w:hAnsi="Times New Roman"/>
          <w:sz w:val="24"/>
          <w:szCs w:val="24"/>
          <w:lang w:val="lv-LV"/>
        </w:rPr>
      </w:pPr>
      <w:r w:rsidRPr="006557B3">
        <w:rPr>
          <w:rFonts w:ascii="Times New Roman" w:hAnsi="Times New Roman"/>
          <w:sz w:val="24"/>
          <w:szCs w:val="24"/>
          <w:lang w:val="lv-LV"/>
        </w:rPr>
        <w:t>Ministru kabineta 2015.</w:t>
      </w:r>
      <w:r w:rsidR="00D25325">
        <w:rPr>
          <w:rFonts w:ascii="Times New Roman" w:hAnsi="Times New Roman"/>
          <w:sz w:val="24"/>
          <w:szCs w:val="24"/>
          <w:lang w:val="lv-LV"/>
        </w:rPr>
        <w:t xml:space="preserve"> </w:t>
      </w:r>
      <w:r w:rsidRPr="006557B3">
        <w:rPr>
          <w:rFonts w:ascii="Times New Roman" w:hAnsi="Times New Roman"/>
          <w:sz w:val="24"/>
          <w:szCs w:val="24"/>
          <w:lang w:val="lv-LV"/>
        </w:rPr>
        <w:t>gada 3.</w:t>
      </w:r>
      <w:r w:rsidR="00D25325">
        <w:rPr>
          <w:rFonts w:ascii="Times New Roman" w:hAnsi="Times New Roman"/>
          <w:sz w:val="24"/>
          <w:szCs w:val="24"/>
          <w:lang w:val="lv-LV"/>
        </w:rPr>
        <w:t xml:space="preserve"> </w:t>
      </w:r>
      <w:r w:rsidRPr="006557B3">
        <w:rPr>
          <w:rFonts w:ascii="Times New Roman" w:hAnsi="Times New Roman"/>
          <w:sz w:val="24"/>
          <w:szCs w:val="24"/>
          <w:lang w:val="lv-LV"/>
        </w:rPr>
        <w:t>marta noteikumi Nr.115 “Prasības fasētas pārtikas marķējumam”;</w:t>
      </w:r>
    </w:p>
    <w:p w14:paraId="5DF69C7C" w14:textId="473C5F6F" w:rsidR="00B21D7B" w:rsidRPr="006557B3" w:rsidRDefault="00B21D7B" w:rsidP="00C05C12">
      <w:pPr>
        <w:pStyle w:val="Sarakstarindkopa"/>
        <w:numPr>
          <w:ilvl w:val="0"/>
          <w:numId w:val="12"/>
        </w:numPr>
        <w:tabs>
          <w:tab w:val="left" w:pos="8647"/>
        </w:tabs>
        <w:autoSpaceDE w:val="0"/>
        <w:autoSpaceDN w:val="0"/>
        <w:adjustRightInd w:val="0"/>
        <w:spacing w:after="0" w:line="240" w:lineRule="auto"/>
        <w:ind w:left="0" w:firstLine="0"/>
        <w:jc w:val="both"/>
        <w:rPr>
          <w:rFonts w:ascii="Times New Roman" w:hAnsi="Times New Roman"/>
          <w:sz w:val="24"/>
          <w:szCs w:val="24"/>
          <w:lang w:val="lv-LV"/>
        </w:rPr>
      </w:pPr>
      <w:r w:rsidRPr="006557B3">
        <w:rPr>
          <w:rFonts w:ascii="Times New Roman" w:hAnsi="Times New Roman"/>
          <w:sz w:val="24"/>
          <w:szCs w:val="24"/>
          <w:lang w:val="lv-LV"/>
        </w:rPr>
        <w:t>Ministru kabineta 2011.</w:t>
      </w:r>
      <w:r w:rsidR="00D25325">
        <w:rPr>
          <w:rFonts w:ascii="Times New Roman" w:hAnsi="Times New Roman"/>
          <w:sz w:val="24"/>
          <w:szCs w:val="24"/>
          <w:lang w:val="lv-LV"/>
        </w:rPr>
        <w:t xml:space="preserve"> </w:t>
      </w:r>
      <w:r w:rsidRPr="006557B3">
        <w:rPr>
          <w:rFonts w:ascii="Times New Roman" w:hAnsi="Times New Roman"/>
          <w:sz w:val="24"/>
          <w:szCs w:val="24"/>
          <w:lang w:val="lv-LV"/>
        </w:rPr>
        <w:t>gada 29.</w:t>
      </w:r>
      <w:r w:rsidR="00D25325">
        <w:rPr>
          <w:rFonts w:ascii="Times New Roman" w:hAnsi="Times New Roman"/>
          <w:sz w:val="24"/>
          <w:szCs w:val="24"/>
          <w:lang w:val="lv-LV"/>
        </w:rPr>
        <w:t xml:space="preserve"> </w:t>
      </w:r>
      <w:r w:rsidRPr="006557B3">
        <w:rPr>
          <w:rFonts w:ascii="Times New Roman" w:hAnsi="Times New Roman"/>
          <w:sz w:val="24"/>
          <w:szCs w:val="24"/>
          <w:lang w:val="lv-LV"/>
        </w:rPr>
        <w:t xml:space="preserve">marta noteikumi Nr.234 </w:t>
      </w:r>
      <w:r w:rsidR="00FC469D" w:rsidRPr="006557B3">
        <w:rPr>
          <w:rFonts w:ascii="Times New Roman" w:hAnsi="Times New Roman"/>
          <w:sz w:val="24"/>
          <w:szCs w:val="24"/>
          <w:lang w:val="lv-LV"/>
        </w:rPr>
        <w:t>“</w:t>
      </w:r>
      <w:r w:rsidRPr="006557B3">
        <w:rPr>
          <w:rFonts w:ascii="Times New Roman" w:hAnsi="Times New Roman"/>
          <w:sz w:val="24"/>
          <w:szCs w:val="24"/>
          <w:lang w:val="lv-LV"/>
        </w:rPr>
        <w:t>Noteikumi par jaunās pārtikas riska novērtējuma atzinuma sagatavošanas maksu”;</w:t>
      </w:r>
    </w:p>
    <w:p w14:paraId="58DE24ED" w14:textId="37479998" w:rsidR="00B21D7B" w:rsidRPr="006557B3" w:rsidRDefault="00B21D7B" w:rsidP="00C05C12">
      <w:pPr>
        <w:pStyle w:val="Sarakstarindkopa"/>
        <w:numPr>
          <w:ilvl w:val="0"/>
          <w:numId w:val="12"/>
        </w:numPr>
        <w:tabs>
          <w:tab w:val="left" w:pos="8647"/>
        </w:tabs>
        <w:spacing w:after="0" w:line="240" w:lineRule="auto"/>
        <w:ind w:left="0" w:firstLine="0"/>
        <w:jc w:val="both"/>
        <w:rPr>
          <w:rFonts w:ascii="Times New Roman" w:hAnsi="Times New Roman"/>
          <w:sz w:val="24"/>
          <w:szCs w:val="24"/>
          <w:lang w:val="lv-LV"/>
        </w:rPr>
      </w:pPr>
      <w:r w:rsidRPr="006557B3">
        <w:rPr>
          <w:rFonts w:ascii="Times New Roman" w:hAnsi="Times New Roman"/>
          <w:sz w:val="24"/>
          <w:szCs w:val="24"/>
          <w:lang w:val="lv-LV"/>
        </w:rPr>
        <w:t>Ministru kabineta 2011.</w:t>
      </w:r>
      <w:r w:rsidR="00D25325">
        <w:rPr>
          <w:rFonts w:ascii="Times New Roman" w:hAnsi="Times New Roman"/>
          <w:sz w:val="24"/>
          <w:szCs w:val="24"/>
          <w:lang w:val="lv-LV"/>
        </w:rPr>
        <w:t xml:space="preserve"> </w:t>
      </w:r>
      <w:r w:rsidRPr="006557B3">
        <w:rPr>
          <w:rFonts w:ascii="Times New Roman" w:hAnsi="Times New Roman"/>
          <w:sz w:val="24"/>
          <w:szCs w:val="24"/>
          <w:lang w:val="lv-LV"/>
        </w:rPr>
        <w:t>gada 17.</w:t>
      </w:r>
      <w:r w:rsidR="00D25325">
        <w:rPr>
          <w:rFonts w:ascii="Times New Roman" w:hAnsi="Times New Roman"/>
          <w:sz w:val="24"/>
          <w:szCs w:val="24"/>
          <w:lang w:val="lv-LV"/>
        </w:rPr>
        <w:t xml:space="preserve"> </w:t>
      </w:r>
      <w:r w:rsidRPr="006557B3">
        <w:rPr>
          <w:rFonts w:ascii="Times New Roman" w:hAnsi="Times New Roman"/>
          <w:sz w:val="24"/>
          <w:szCs w:val="24"/>
          <w:lang w:val="lv-LV"/>
        </w:rPr>
        <w:t xml:space="preserve">maija noteikumi Nr.369 </w:t>
      </w:r>
      <w:r w:rsidR="00FC469D" w:rsidRPr="006557B3">
        <w:rPr>
          <w:rFonts w:ascii="Times New Roman" w:hAnsi="Times New Roman"/>
          <w:sz w:val="24"/>
          <w:szCs w:val="24"/>
          <w:lang w:val="lv-LV"/>
        </w:rPr>
        <w:t>“</w:t>
      </w:r>
      <w:r w:rsidRPr="006557B3">
        <w:rPr>
          <w:rFonts w:ascii="Times New Roman" w:hAnsi="Times New Roman"/>
          <w:sz w:val="24"/>
          <w:szCs w:val="24"/>
          <w:lang w:val="lv-LV"/>
        </w:rPr>
        <w:t>Obligātās nekaitīguma prasības pārtikai, kuras ražošanā izmanto ekstrahējošus šķīdinātājus”;</w:t>
      </w:r>
    </w:p>
    <w:p w14:paraId="5D3B76CE" w14:textId="2980413A" w:rsidR="00B21D7B" w:rsidRPr="006557B3" w:rsidRDefault="00B21D7B" w:rsidP="00C05C12">
      <w:pPr>
        <w:pStyle w:val="Sarakstarindkopa"/>
        <w:numPr>
          <w:ilvl w:val="0"/>
          <w:numId w:val="12"/>
        </w:numPr>
        <w:tabs>
          <w:tab w:val="left" w:pos="8647"/>
        </w:tabs>
        <w:spacing w:after="0" w:line="240" w:lineRule="auto"/>
        <w:ind w:left="0" w:firstLine="0"/>
        <w:jc w:val="both"/>
        <w:rPr>
          <w:rFonts w:ascii="Times New Roman" w:eastAsia="Times New Roman" w:hAnsi="Times New Roman"/>
          <w:bCs/>
          <w:sz w:val="24"/>
          <w:szCs w:val="24"/>
          <w:lang w:val="lv-LV" w:eastAsia="fr-FR"/>
        </w:rPr>
      </w:pPr>
      <w:r w:rsidRPr="006557B3">
        <w:rPr>
          <w:rFonts w:ascii="Times New Roman" w:eastAsia="Times New Roman" w:hAnsi="Times New Roman"/>
          <w:bCs/>
          <w:sz w:val="24"/>
          <w:szCs w:val="24"/>
          <w:lang w:val="lv-LV" w:eastAsia="fr-FR"/>
        </w:rPr>
        <w:t xml:space="preserve">Ministru kabineta </w:t>
      </w:r>
      <w:r w:rsidRPr="006557B3">
        <w:rPr>
          <w:rFonts w:ascii="Times New Roman" w:eastAsia="Times New Roman" w:hAnsi="Times New Roman"/>
          <w:sz w:val="24"/>
          <w:szCs w:val="24"/>
          <w:lang w:val="lv-LV" w:eastAsia="fr-FR"/>
        </w:rPr>
        <w:t>2004.</w:t>
      </w:r>
      <w:r w:rsidR="00D25325">
        <w:rPr>
          <w:rFonts w:ascii="Times New Roman" w:eastAsia="Times New Roman" w:hAnsi="Times New Roman"/>
          <w:sz w:val="24"/>
          <w:szCs w:val="24"/>
          <w:lang w:val="lv-LV" w:eastAsia="fr-FR"/>
        </w:rPr>
        <w:t xml:space="preserve"> </w:t>
      </w:r>
      <w:r w:rsidRPr="006557B3">
        <w:rPr>
          <w:rFonts w:ascii="Times New Roman" w:eastAsia="Times New Roman" w:hAnsi="Times New Roman"/>
          <w:sz w:val="24"/>
          <w:szCs w:val="24"/>
          <w:lang w:val="lv-LV" w:eastAsia="fr-FR"/>
        </w:rPr>
        <w:t>gada 27.</w:t>
      </w:r>
      <w:r w:rsidR="00D25325">
        <w:rPr>
          <w:rFonts w:ascii="Times New Roman" w:eastAsia="Times New Roman" w:hAnsi="Times New Roman"/>
          <w:sz w:val="24"/>
          <w:szCs w:val="24"/>
          <w:lang w:val="lv-LV" w:eastAsia="fr-FR"/>
        </w:rPr>
        <w:t xml:space="preserve"> </w:t>
      </w:r>
      <w:r w:rsidRPr="006557B3">
        <w:rPr>
          <w:rFonts w:ascii="Times New Roman" w:eastAsia="Times New Roman" w:hAnsi="Times New Roman"/>
          <w:sz w:val="24"/>
          <w:szCs w:val="24"/>
          <w:lang w:val="lv-LV" w:eastAsia="fr-FR"/>
        </w:rPr>
        <w:t xml:space="preserve">jūlija </w:t>
      </w:r>
      <w:r w:rsidRPr="006557B3">
        <w:rPr>
          <w:rFonts w:ascii="Times New Roman" w:eastAsia="Times New Roman" w:hAnsi="Times New Roman"/>
          <w:bCs/>
          <w:sz w:val="24"/>
          <w:szCs w:val="24"/>
          <w:lang w:val="lv-LV" w:eastAsia="fr-FR"/>
        </w:rPr>
        <w:t>noteikumi Nr.631</w:t>
      </w:r>
      <w:r w:rsidRPr="006557B3">
        <w:rPr>
          <w:rFonts w:ascii="Times New Roman" w:eastAsia="Times New Roman" w:hAnsi="Times New Roman"/>
          <w:sz w:val="24"/>
          <w:szCs w:val="24"/>
          <w:lang w:val="lv-LV" w:eastAsia="fr-FR"/>
        </w:rPr>
        <w:t xml:space="preserve"> </w:t>
      </w:r>
      <w:r w:rsidR="00FC469D" w:rsidRPr="006557B3">
        <w:rPr>
          <w:rFonts w:ascii="Times New Roman" w:hAnsi="Times New Roman"/>
          <w:sz w:val="24"/>
          <w:szCs w:val="24"/>
          <w:lang w:val="lv-LV"/>
        </w:rPr>
        <w:t>“</w:t>
      </w:r>
      <w:r w:rsidRPr="006557B3">
        <w:rPr>
          <w:rFonts w:ascii="Times New Roman" w:eastAsia="Times New Roman" w:hAnsi="Times New Roman"/>
          <w:bCs/>
          <w:sz w:val="24"/>
          <w:szCs w:val="24"/>
          <w:lang w:val="lv-LV" w:eastAsia="fr-FR"/>
        </w:rPr>
        <w:t>Noteikumi par ātrās reaģēšanas sistēmas darbību pārtikas apritē</w:t>
      </w:r>
      <w:r w:rsidRPr="006557B3">
        <w:rPr>
          <w:rFonts w:ascii="Times New Roman" w:hAnsi="Times New Roman"/>
          <w:sz w:val="24"/>
          <w:szCs w:val="24"/>
          <w:lang w:val="lv-LV"/>
        </w:rPr>
        <w:t>”;</w:t>
      </w:r>
    </w:p>
    <w:p w14:paraId="4D49AD74" w14:textId="69572581" w:rsidR="00B21D7B" w:rsidRPr="006557B3" w:rsidRDefault="00B21D7B" w:rsidP="00C05C12">
      <w:pPr>
        <w:pStyle w:val="Sarakstarindkopa"/>
        <w:numPr>
          <w:ilvl w:val="0"/>
          <w:numId w:val="12"/>
        </w:numPr>
        <w:tabs>
          <w:tab w:val="left" w:pos="8647"/>
        </w:tabs>
        <w:spacing w:after="0" w:line="240" w:lineRule="auto"/>
        <w:ind w:left="0" w:firstLine="0"/>
        <w:jc w:val="both"/>
        <w:rPr>
          <w:rFonts w:ascii="Times New Roman" w:hAnsi="Times New Roman"/>
          <w:sz w:val="24"/>
          <w:szCs w:val="24"/>
          <w:lang w:val="lv-LV"/>
        </w:rPr>
      </w:pPr>
      <w:r w:rsidRPr="006557B3">
        <w:rPr>
          <w:rFonts w:ascii="Times New Roman" w:hAnsi="Times New Roman"/>
          <w:sz w:val="24"/>
          <w:szCs w:val="24"/>
          <w:lang w:val="lv-LV"/>
        </w:rPr>
        <w:t>Eiropas Parlamenta un Padomes 2002.</w:t>
      </w:r>
      <w:r w:rsidR="00D25325">
        <w:rPr>
          <w:rFonts w:ascii="Times New Roman" w:hAnsi="Times New Roman"/>
          <w:sz w:val="24"/>
          <w:szCs w:val="24"/>
          <w:lang w:val="lv-LV"/>
        </w:rPr>
        <w:t xml:space="preserve"> </w:t>
      </w:r>
      <w:r w:rsidRPr="006557B3">
        <w:rPr>
          <w:rFonts w:ascii="Times New Roman" w:hAnsi="Times New Roman"/>
          <w:sz w:val="24"/>
          <w:szCs w:val="24"/>
          <w:lang w:val="lv-LV"/>
        </w:rPr>
        <w:t>gada 28.</w:t>
      </w:r>
      <w:r w:rsidR="00D25325">
        <w:rPr>
          <w:rFonts w:ascii="Times New Roman" w:hAnsi="Times New Roman"/>
          <w:sz w:val="24"/>
          <w:szCs w:val="24"/>
          <w:lang w:val="lv-LV"/>
        </w:rPr>
        <w:t xml:space="preserve"> </w:t>
      </w:r>
      <w:r w:rsidRPr="006557B3">
        <w:rPr>
          <w:rFonts w:ascii="Times New Roman" w:hAnsi="Times New Roman"/>
          <w:sz w:val="24"/>
          <w:szCs w:val="24"/>
          <w:lang w:val="lv-LV"/>
        </w:rPr>
        <w:t>janvāra Regula (EK) Nr.178/2002, ar ko paredz pārtikas aprites tiesību aktu vispārīgus principus un prasības, izveido Eiropas Pārtikas nekaitīguma iestādi un paredz procedūras saistībā ar pārtikas nekaitīgumu;</w:t>
      </w:r>
    </w:p>
    <w:p w14:paraId="1E901535" w14:textId="66326DFD" w:rsidR="00B21D7B" w:rsidRPr="006557B3" w:rsidRDefault="00B21D7B" w:rsidP="00C05C12">
      <w:pPr>
        <w:pStyle w:val="Sarakstarindkopa"/>
        <w:numPr>
          <w:ilvl w:val="0"/>
          <w:numId w:val="12"/>
        </w:numPr>
        <w:tabs>
          <w:tab w:val="left" w:pos="8647"/>
        </w:tabs>
        <w:spacing w:after="0" w:line="240" w:lineRule="auto"/>
        <w:ind w:left="0" w:firstLine="0"/>
        <w:jc w:val="both"/>
        <w:rPr>
          <w:rFonts w:ascii="Times New Roman" w:hAnsi="Times New Roman"/>
          <w:sz w:val="24"/>
          <w:szCs w:val="24"/>
          <w:lang w:val="lv-LV"/>
        </w:rPr>
      </w:pPr>
      <w:r w:rsidRPr="006557B3">
        <w:rPr>
          <w:rFonts w:ascii="Times New Roman" w:hAnsi="Times New Roman"/>
          <w:sz w:val="24"/>
          <w:szCs w:val="24"/>
          <w:lang w:val="lv-LV"/>
        </w:rPr>
        <w:t>Eiropas Parlamenta un Padomes 2002.</w:t>
      </w:r>
      <w:r w:rsidR="00D25325">
        <w:rPr>
          <w:rFonts w:ascii="Times New Roman" w:hAnsi="Times New Roman"/>
          <w:sz w:val="24"/>
          <w:szCs w:val="24"/>
          <w:lang w:val="lv-LV"/>
        </w:rPr>
        <w:t xml:space="preserve"> </w:t>
      </w:r>
      <w:r w:rsidRPr="006557B3">
        <w:rPr>
          <w:rFonts w:ascii="Times New Roman" w:hAnsi="Times New Roman"/>
          <w:sz w:val="24"/>
          <w:szCs w:val="24"/>
          <w:lang w:val="lv-LV"/>
        </w:rPr>
        <w:t>gada 10.</w:t>
      </w:r>
      <w:r w:rsidR="00D25325">
        <w:rPr>
          <w:rFonts w:ascii="Times New Roman" w:hAnsi="Times New Roman"/>
          <w:sz w:val="24"/>
          <w:szCs w:val="24"/>
          <w:lang w:val="lv-LV"/>
        </w:rPr>
        <w:t xml:space="preserve"> </w:t>
      </w:r>
      <w:r w:rsidRPr="006557B3">
        <w:rPr>
          <w:rFonts w:ascii="Times New Roman" w:hAnsi="Times New Roman"/>
          <w:sz w:val="24"/>
          <w:szCs w:val="24"/>
          <w:lang w:val="lv-LV"/>
        </w:rPr>
        <w:t xml:space="preserve">jūnija Direktīva 2002/46/EK par dalībvalstu tiesību </w:t>
      </w:r>
      <w:smartTag w:uri="schemas-tilde-lv/tildestengine" w:element="veidnes">
        <w:smartTagPr>
          <w:attr w:name="baseform" w:val="akt|s"/>
          <w:attr w:name="id" w:val="-1"/>
          <w:attr w:name="text" w:val="aktu"/>
        </w:smartTagPr>
        <w:r w:rsidRPr="006557B3">
          <w:rPr>
            <w:rFonts w:ascii="Times New Roman" w:hAnsi="Times New Roman"/>
            <w:sz w:val="24"/>
            <w:szCs w:val="24"/>
            <w:lang w:val="lv-LV"/>
          </w:rPr>
          <w:t>aktu</w:t>
        </w:r>
      </w:smartTag>
      <w:r w:rsidRPr="006557B3">
        <w:rPr>
          <w:rFonts w:ascii="Times New Roman" w:hAnsi="Times New Roman"/>
          <w:sz w:val="24"/>
          <w:szCs w:val="24"/>
          <w:lang w:val="lv-LV"/>
        </w:rPr>
        <w:t xml:space="preserve"> tuvināšanu attiecībā uz uztura bagātinātājiem;</w:t>
      </w:r>
    </w:p>
    <w:p w14:paraId="188A5278" w14:textId="439784CF" w:rsidR="00B21D7B" w:rsidRPr="00ED4897" w:rsidRDefault="000C576A" w:rsidP="000C576A">
      <w:pPr>
        <w:pStyle w:val="Sarakstarindkopa"/>
        <w:tabs>
          <w:tab w:val="left" w:pos="8647"/>
        </w:tabs>
        <w:spacing w:after="0" w:line="240" w:lineRule="auto"/>
        <w:ind w:left="0"/>
        <w:jc w:val="both"/>
        <w:rPr>
          <w:rFonts w:ascii="Times New Roman" w:hAnsi="Times New Roman"/>
          <w:sz w:val="24"/>
          <w:szCs w:val="24"/>
          <w:lang w:val="lv-LV" w:eastAsia="fr-FR"/>
        </w:rPr>
      </w:pPr>
      <w:bookmarkStart w:id="0" w:name="p-522859"/>
      <w:bookmarkStart w:id="1" w:name="p5"/>
      <w:bookmarkEnd w:id="0"/>
      <w:bookmarkEnd w:id="1"/>
      <w:r w:rsidRPr="006557B3">
        <w:rPr>
          <w:rFonts w:ascii="Times New Roman" w:hAnsi="Times New Roman"/>
          <w:sz w:val="24"/>
          <w:szCs w:val="24"/>
          <w:lang w:val="fr-FR" w:eastAsia="fr-FR"/>
        </w:rPr>
        <w:t xml:space="preserve">10) </w:t>
      </w:r>
      <w:r w:rsidR="00B21D7B" w:rsidRPr="006557B3">
        <w:rPr>
          <w:rFonts w:ascii="Times New Roman" w:hAnsi="Times New Roman"/>
          <w:sz w:val="24"/>
          <w:szCs w:val="24"/>
          <w:lang w:val="fr-FR" w:eastAsia="fr-FR"/>
        </w:rPr>
        <w:t>Komisijas 2009. gada 30. novembra Regula (EK) Nr. </w:t>
      </w:r>
      <w:hyperlink r:id="rId10" w:tgtFrame="_blank" w:history="1">
        <w:r w:rsidR="00B21D7B" w:rsidRPr="006557B3">
          <w:rPr>
            <w:rStyle w:val="Hipersaite"/>
            <w:rFonts w:ascii="Times New Roman" w:hAnsi="Times New Roman"/>
            <w:color w:val="auto"/>
            <w:sz w:val="24"/>
            <w:szCs w:val="24"/>
            <w:u w:val="none"/>
            <w:lang w:val="fr-FR" w:eastAsia="fr-FR"/>
          </w:rPr>
          <w:t>1170/2009</w:t>
        </w:r>
      </w:hyperlink>
      <w:r w:rsidR="00B21D7B" w:rsidRPr="006557B3">
        <w:rPr>
          <w:rFonts w:ascii="Times New Roman" w:hAnsi="Times New Roman"/>
          <w:sz w:val="24"/>
          <w:szCs w:val="24"/>
          <w:lang w:val="fr-FR" w:eastAsia="fr-FR"/>
        </w:rPr>
        <w:t xml:space="preserve">, ar ko groza Eiropas Parlamenta un Padomes Direktīvu </w:t>
      </w:r>
      <w:hyperlink r:id="rId11" w:tgtFrame="_blank" w:history="1">
        <w:r w:rsidR="00B21D7B" w:rsidRPr="006557B3">
          <w:rPr>
            <w:rStyle w:val="Hipersaite"/>
            <w:rFonts w:ascii="Times New Roman" w:hAnsi="Times New Roman"/>
            <w:color w:val="auto"/>
            <w:sz w:val="24"/>
            <w:szCs w:val="24"/>
            <w:u w:val="none"/>
            <w:lang w:val="fr-FR" w:eastAsia="fr-FR"/>
          </w:rPr>
          <w:t>2002/46/EK</w:t>
        </w:r>
      </w:hyperlink>
      <w:r w:rsidR="00B21D7B" w:rsidRPr="006557B3">
        <w:rPr>
          <w:rFonts w:ascii="Times New Roman" w:hAnsi="Times New Roman"/>
          <w:sz w:val="24"/>
          <w:szCs w:val="24"/>
          <w:lang w:val="fr-FR" w:eastAsia="fr-FR"/>
        </w:rPr>
        <w:t xml:space="preserve"> un Eiropas Parlamenta un Padomes Regulu (EK) Nr. </w:t>
      </w:r>
      <w:hyperlink r:id="rId12" w:tgtFrame="_blank" w:history="1">
        <w:r w:rsidR="00B21D7B" w:rsidRPr="006557B3">
          <w:rPr>
            <w:rStyle w:val="Hipersaite"/>
            <w:rFonts w:ascii="Times New Roman" w:hAnsi="Times New Roman"/>
            <w:color w:val="auto"/>
            <w:sz w:val="24"/>
            <w:szCs w:val="24"/>
            <w:u w:val="none"/>
            <w:lang w:eastAsia="fr-FR"/>
          </w:rPr>
          <w:t>1925/2006</w:t>
        </w:r>
      </w:hyperlink>
      <w:r w:rsidR="00B21D7B" w:rsidRPr="006557B3">
        <w:rPr>
          <w:rFonts w:ascii="Times New Roman" w:hAnsi="Times New Roman"/>
          <w:sz w:val="24"/>
          <w:szCs w:val="24"/>
          <w:lang w:eastAsia="fr-FR"/>
        </w:rPr>
        <w:t xml:space="preserve"> </w:t>
      </w:r>
      <w:r w:rsidR="00B21D7B" w:rsidRPr="00ED4897">
        <w:rPr>
          <w:rFonts w:ascii="Times New Roman" w:hAnsi="Times New Roman"/>
          <w:sz w:val="24"/>
          <w:szCs w:val="24"/>
          <w:lang w:val="lv-LV" w:eastAsia="fr-FR"/>
        </w:rPr>
        <w:t>attiecībā uz sarakstiem ar vitamīniem un minerālvielām, kā arī to veidiem, ko drīkst pievienot pārtikas produktiem, tostarp uztura bagātinātājiem;</w:t>
      </w:r>
    </w:p>
    <w:p w14:paraId="0D8A92A0" w14:textId="5E71E712" w:rsidR="00B21D7B" w:rsidRPr="00ED4897" w:rsidRDefault="000C576A" w:rsidP="000C576A">
      <w:pPr>
        <w:pStyle w:val="Sarakstarindkopa"/>
        <w:tabs>
          <w:tab w:val="left" w:pos="8647"/>
        </w:tabs>
        <w:spacing w:after="0" w:line="240" w:lineRule="auto"/>
        <w:ind w:left="0"/>
        <w:jc w:val="both"/>
        <w:rPr>
          <w:rFonts w:ascii="Times New Roman" w:hAnsi="Times New Roman"/>
          <w:sz w:val="24"/>
          <w:szCs w:val="24"/>
          <w:lang w:val="lv-LV" w:eastAsia="fr-FR"/>
        </w:rPr>
      </w:pPr>
      <w:r w:rsidRPr="00ED4897">
        <w:rPr>
          <w:rFonts w:ascii="Times New Roman" w:hAnsi="Times New Roman"/>
          <w:sz w:val="24"/>
          <w:szCs w:val="24"/>
          <w:lang w:val="lv-LV" w:eastAsia="fr-FR"/>
        </w:rPr>
        <w:t xml:space="preserve">11) </w:t>
      </w:r>
      <w:r w:rsidR="00B21D7B" w:rsidRPr="00ED4897">
        <w:rPr>
          <w:rFonts w:ascii="Times New Roman" w:hAnsi="Times New Roman"/>
          <w:sz w:val="24"/>
          <w:szCs w:val="24"/>
          <w:lang w:val="lv-LV" w:eastAsia="fr-FR"/>
        </w:rPr>
        <w:t>Komisijas 2011. gada 14. novembra Regula (ES) Nr. </w:t>
      </w:r>
      <w:hyperlink r:id="rId13" w:tgtFrame="_blank" w:history="1">
        <w:r w:rsidR="00B21D7B" w:rsidRPr="00ED4897">
          <w:rPr>
            <w:rStyle w:val="Hipersaite"/>
            <w:rFonts w:ascii="Times New Roman" w:hAnsi="Times New Roman"/>
            <w:color w:val="auto"/>
            <w:sz w:val="24"/>
            <w:szCs w:val="24"/>
            <w:u w:val="none"/>
            <w:lang w:val="lv-LV" w:eastAsia="fr-FR"/>
          </w:rPr>
          <w:t>1161/2011</w:t>
        </w:r>
      </w:hyperlink>
      <w:r w:rsidR="00B21D7B" w:rsidRPr="00ED4897">
        <w:rPr>
          <w:rFonts w:ascii="Times New Roman" w:hAnsi="Times New Roman"/>
          <w:sz w:val="24"/>
          <w:szCs w:val="24"/>
          <w:lang w:val="lv-LV" w:eastAsia="fr-FR"/>
        </w:rPr>
        <w:t xml:space="preserve">, ar ko groza Eiropas Parlamenta un Padomes Direktīvu </w:t>
      </w:r>
      <w:hyperlink r:id="rId14" w:tgtFrame="_blank" w:history="1">
        <w:r w:rsidR="00B21D7B" w:rsidRPr="00ED4897">
          <w:rPr>
            <w:rStyle w:val="Hipersaite"/>
            <w:rFonts w:ascii="Times New Roman" w:hAnsi="Times New Roman"/>
            <w:color w:val="auto"/>
            <w:sz w:val="24"/>
            <w:szCs w:val="24"/>
            <w:u w:val="none"/>
            <w:lang w:val="lv-LV" w:eastAsia="fr-FR"/>
          </w:rPr>
          <w:t>2002/46/EK</w:t>
        </w:r>
      </w:hyperlink>
      <w:r w:rsidR="00B21D7B" w:rsidRPr="00ED4897">
        <w:rPr>
          <w:rFonts w:ascii="Times New Roman" w:hAnsi="Times New Roman"/>
          <w:sz w:val="24"/>
          <w:szCs w:val="24"/>
          <w:lang w:val="lv-LV" w:eastAsia="fr-FR"/>
        </w:rPr>
        <w:t>, Eiropas Parlamenta un Padomes Regulu (EK) Nr. </w:t>
      </w:r>
      <w:hyperlink r:id="rId15" w:tgtFrame="_blank" w:history="1">
        <w:r w:rsidR="00B21D7B" w:rsidRPr="00ED4897">
          <w:rPr>
            <w:rStyle w:val="Hipersaite"/>
            <w:rFonts w:ascii="Times New Roman" w:hAnsi="Times New Roman"/>
            <w:color w:val="auto"/>
            <w:sz w:val="24"/>
            <w:szCs w:val="24"/>
            <w:u w:val="none"/>
            <w:lang w:val="lv-LV" w:eastAsia="fr-FR"/>
          </w:rPr>
          <w:t>1925/2006</w:t>
        </w:r>
      </w:hyperlink>
      <w:r w:rsidR="00B21D7B" w:rsidRPr="00ED4897">
        <w:rPr>
          <w:rFonts w:ascii="Times New Roman" w:hAnsi="Times New Roman"/>
          <w:sz w:val="24"/>
          <w:szCs w:val="24"/>
          <w:lang w:val="lv-LV" w:eastAsia="fr-FR"/>
        </w:rPr>
        <w:t xml:space="preserve"> un Komisijas Regulu (EK) Nr. </w:t>
      </w:r>
      <w:hyperlink r:id="rId16" w:tgtFrame="_blank" w:history="1">
        <w:r w:rsidR="00B21D7B" w:rsidRPr="00ED4897">
          <w:rPr>
            <w:rStyle w:val="Hipersaite"/>
            <w:rFonts w:ascii="Times New Roman" w:hAnsi="Times New Roman"/>
            <w:color w:val="auto"/>
            <w:sz w:val="24"/>
            <w:szCs w:val="24"/>
            <w:u w:val="none"/>
            <w:lang w:val="lv-LV" w:eastAsia="fr-FR"/>
          </w:rPr>
          <w:t>953/2009</w:t>
        </w:r>
      </w:hyperlink>
      <w:r w:rsidR="00B21D7B" w:rsidRPr="00ED4897">
        <w:rPr>
          <w:rFonts w:ascii="Times New Roman" w:hAnsi="Times New Roman"/>
          <w:sz w:val="24"/>
          <w:szCs w:val="24"/>
          <w:lang w:val="lv-LV" w:eastAsia="fr-FR"/>
        </w:rPr>
        <w:t xml:space="preserve"> attiecībā uz sarakstiem ar minerālvielām, ko drīkst pievienot pārtikas produktiem;</w:t>
      </w:r>
    </w:p>
    <w:p w14:paraId="1827AD1D" w14:textId="77777777" w:rsidR="00B21D7B" w:rsidRPr="006557B3" w:rsidRDefault="00B21D7B" w:rsidP="00C05C12">
      <w:pPr>
        <w:tabs>
          <w:tab w:val="left" w:pos="8647"/>
        </w:tabs>
        <w:spacing w:after="0" w:line="240" w:lineRule="auto"/>
        <w:jc w:val="both"/>
        <w:rPr>
          <w:rFonts w:ascii="Times New Roman" w:hAnsi="Times New Roman" w:cs="Times New Roman"/>
          <w:sz w:val="24"/>
          <w:szCs w:val="24"/>
          <w:lang w:eastAsia="fr-FR"/>
        </w:rPr>
      </w:pPr>
      <w:r w:rsidRPr="006557B3">
        <w:rPr>
          <w:rFonts w:ascii="Times New Roman" w:hAnsi="Times New Roman" w:cs="Times New Roman"/>
          <w:sz w:val="24"/>
          <w:szCs w:val="24"/>
          <w:lang w:val="en-US" w:eastAsia="fr-FR"/>
        </w:rPr>
        <w:lastRenderedPageBreak/>
        <w:t>12) Komisijas 2014. gada 7. februāra Regula (ES) Nr. </w:t>
      </w:r>
      <w:hyperlink r:id="rId17" w:tgtFrame="_blank" w:history="1">
        <w:r w:rsidRPr="006557B3">
          <w:rPr>
            <w:rStyle w:val="Hipersaite"/>
            <w:rFonts w:ascii="Times New Roman" w:hAnsi="Times New Roman" w:cs="Times New Roman"/>
            <w:color w:val="auto"/>
            <w:sz w:val="24"/>
            <w:szCs w:val="24"/>
            <w:u w:val="none"/>
            <w:lang w:eastAsia="fr-FR"/>
          </w:rPr>
          <w:t>119/2014</w:t>
        </w:r>
      </w:hyperlink>
      <w:r w:rsidRPr="006557B3">
        <w:rPr>
          <w:rFonts w:ascii="Times New Roman" w:hAnsi="Times New Roman" w:cs="Times New Roman"/>
          <w:sz w:val="24"/>
          <w:szCs w:val="24"/>
          <w:lang w:eastAsia="fr-FR"/>
        </w:rPr>
        <w:t xml:space="preserve">, ar ko groza Eiropas Parlamenta un Padomes Direktīvu </w:t>
      </w:r>
      <w:hyperlink r:id="rId18" w:tgtFrame="_blank" w:history="1">
        <w:r w:rsidRPr="006557B3">
          <w:rPr>
            <w:rStyle w:val="Hipersaite"/>
            <w:rFonts w:ascii="Times New Roman" w:hAnsi="Times New Roman" w:cs="Times New Roman"/>
            <w:color w:val="auto"/>
            <w:sz w:val="24"/>
            <w:szCs w:val="24"/>
            <w:u w:val="none"/>
            <w:lang w:eastAsia="fr-FR"/>
          </w:rPr>
          <w:t>2002/46/EK</w:t>
        </w:r>
      </w:hyperlink>
      <w:r w:rsidRPr="006557B3">
        <w:rPr>
          <w:rFonts w:ascii="Times New Roman" w:hAnsi="Times New Roman" w:cs="Times New Roman"/>
          <w:sz w:val="24"/>
          <w:szCs w:val="24"/>
          <w:lang w:eastAsia="fr-FR"/>
        </w:rPr>
        <w:t xml:space="preserve"> un Eiropas Parlamenta un Padomes Regulu (EK) Nr. </w:t>
      </w:r>
      <w:hyperlink r:id="rId19" w:tgtFrame="_blank" w:history="1">
        <w:r w:rsidRPr="006557B3">
          <w:rPr>
            <w:rStyle w:val="Hipersaite"/>
            <w:rFonts w:ascii="Times New Roman" w:hAnsi="Times New Roman" w:cs="Times New Roman"/>
            <w:color w:val="auto"/>
            <w:sz w:val="24"/>
            <w:szCs w:val="24"/>
            <w:u w:val="none"/>
            <w:lang w:eastAsia="fr-FR"/>
          </w:rPr>
          <w:t>1925/2006</w:t>
        </w:r>
      </w:hyperlink>
      <w:r w:rsidRPr="006557B3">
        <w:rPr>
          <w:rFonts w:ascii="Times New Roman" w:hAnsi="Times New Roman" w:cs="Times New Roman"/>
          <w:sz w:val="24"/>
          <w:szCs w:val="24"/>
          <w:lang w:eastAsia="fr-FR"/>
        </w:rPr>
        <w:t xml:space="preserve"> attiecībā uz raugu, kas bagātināts ar hromu un ko izmanto uztura bagātinātāju ražošanā, kā arī attiecībā uz hroma (III) laktāta trihidrātu, ko pievieno pārtikas produktiem;</w:t>
      </w:r>
    </w:p>
    <w:p w14:paraId="4528F2B9" w14:textId="77777777" w:rsidR="00B21D7B" w:rsidRPr="006557B3" w:rsidRDefault="00B21D7B" w:rsidP="00C05C12">
      <w:pPr>
        <w:tabs>
          <w:tab w:val="left" w:pos="8647"/>
        </w:tabs>
        <w:spacing w:after="0" w:line="240" w:lineRule="auto"/>
        <w:jc w:val="both"/>
        <w:rPr>
          <w:rFonts w:ascii="Times New Roman" w:hAnsi="Times New Roman" w:cs="Times New Roman"/>
          <w:sz w:val="24"/>
          <w:szCs w:val="24"/>
        </w:rPr>
      </w:pPr>
      <w:r w:rsidRPr="006557B3">
        <w:rPr>
          <w:rFonts w:ascii="Times New Roman" w:hAnsi="Times New Roman" w:cs="Times New Roman"/>
          <w:sz w:val="24"/>
          <w:szCs w:val="24"/>
        </w:rPr>
        <w:t>13) Komisijas 2015. gada 12. marta Regula (ES) Nr.2015/414</w:t>
      </w:r>
      <w:r w:rsidRPr="006557B3">
        <w:rPr>
          <w:rStyle w:val="Marker2"/>
          <w:rFonts w:ascii="Times New Roman" w:hAnsi="Times New Roman" w:cs="Times New Roman"/>
          <w:color w:val="auto"/>
          <w:sz w:val="24"/>
          <w:szCs w:val="24"/>
        </w:rPr>
        <w:t>,</w:t>
      </w:r>
      <w:r w:rsidRPr="006557B3">
        <w:rPr>
          <w:rFonts w:ascii="Times New Roman" w:hAnsi="Times New Roman" w:cs="Times New Roman"/>
          <w:sz w:val="24"/>
          <w:szCs w:val="24"/>
        </w:rPr>
        <w:t xml:space="preserve"> ar ko groza Eiropas Parlamenta un Padomes Direktīvu 2002/46/EK attiecībā uz </w:t>
      </w:r>
      <w:r w:rsidRPr="006557B3">
        <w:rPr>
          <w:rFonts w:ascii="Times New Roman" w:hAnsi="Times New Roman" w:cs="Times New Roman"/>
          <w:snapToGrid w:val="0"/>
          <w:sz w:val="24"/>
          <w:szCs w:val="24"/>
        </w:rPr>
        <w:t>(6</w:t>
      </w:r>
      <w:r w:rsidRPr="006557B3">
        <w:rPr>
          <w:rFonts w:ascii="Times New Roman" w:hAnsi="Times New Roman" w:cs="Times New Roman"/>
          <w:i/>
          <w:snapToGrid w:val="0"/>
          <w:sz w:val="24"/>
          <w:szCs w:val="24"/>
        </w:rPr>
        <w:t>S</w:t>
      </w:r>
      <w:r w:rsidRPr="006557B3">
        <w:rPr>
          <w:rFonts w:ascii="Times New Roman" w:hAnsi="Times New Roman" w:cs="Times New Roman"/>
          <w:snapToGrid w:val="0"/>
          <w:sz w:val="24"/>
          <w:szCs w:val="24"/>
        </w:rPr>
        <w:t>)-5-metiltetrahidrofolijskābes glikozamīna sāli</w:t>
      </w:r>
      <w:r w:rsidRPr="006557B3">
        <w:rPr>
          <w:rFonts w:ascii="Times New Roman" w:hAnsi="Times New Roman" w:cs="Times New Roman"/>
          <w:sz w:val="24"/>
          <w:szCs w:val="24"/>
        </w:rPr>
        <w:t>, ko izmanto uztura bagātinātāju ražošanā;</w:t>
      </w:r>
    </w:p>
    <w:p w14:paraId="4EF47E18" w14:textId="77777777" w:rsidR="00B21D7B" w:rsidRPr="006557B3" w:rsidRDefault="00B21D7B" w:rsidP="00C05C12">
      <w:pPr>
        <w:pStyle w:val="Sarakstarindkopa"/>
        <w:tabs>
          <w:tab w:val="left" w:pos="8647"/>
        </w:tabs>
        <w:spacing w:after="0" w:line="240" w:lineRule="auto"/>
        <w:ind w:left="0"/>
        <w:jc w:val="both"/>
        <w:rPr>
          <w:rFonts w:ascii="Times New Roman" w:hAnsi="Times New Roman"/>
          <w:sz w:val="24"/>
          <w:szCs w:val="24"/>
          <w:lang w:val="lv-LV"/>
        </w:rPr>
      </w:pPr>
      <w:r w:rsidRPr="006557B3">
        <w:rPr>
          <w:rFonts w:ascii="Times New Roman" w:hAnsi="Times New Roman"/>
          <w:sz w:val="24"/>
          <w:szCs w:val="24"/>
          <w:lang w:val="lv-LV"/>
        </w:rPr>
        <w:t>14) Eiropas Parlamenta un Padomes 2006.gada 20.decembra Regula (EK) Nr.1924/2006 par uzturvērtības un veselīguma norādēm uz pārtikas produktiem;</w:t>
      </w:r>
    </w:p>
    <w:p w14:paraId="14964539" w14:textId="77777777" w:rsidR="00B21D7B" w:rsidRPr="006557B3" w:rsidRDefault="00B21D7B" w:rsidP="00C05C12">
      <w:pPr>
        <w:tabs>
          <w:tab w:val="left" w:pos="8647"/>
        </w:tabs>
        <w:spacing w:after="0" w:line="240" w:lineRule="auto"/>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15) Eiropas Parlamenta un Padomes 2004.gada 29.aprīļa Regula (EK) Nr.882/2004 par oficiālo kontroli, ko veic, lai nodrošinātu atbilstības pārbaudi saistībā ar dzīvnieku barības un pārtikas aprites tiesību </w:t>
      </w:r>
      <w:smartTag w:uri="schemas-tilde-lv/tildestengine" w:element="veidnes">
        <w:smartTagPr>
          <w:attr w:name="text" w:val="aktiem"/>
          <w:attr w:name="id" w:val="-1"/>
          <w:attr w:name="baseform" w:val="akt|s"/>
        </w:smartTagPr>
        <w:r w:rsidRPr="006557B3">
          <w:rPr>
            <w:rFonts w:ascii="Times New Roman" w:hAnsi="Times New Roman" w:cs="Times New Roman"/>
            <w:sz w:val="24"/>
            <w:szCs w:val="24"/>
            <w:lang w:val="lv-LV"/>
          </w:rPr>
          <w:t>aktiem</w:t>
        </w:r>
      </w:smartTag>
      <w:r w:rsidRPr="006557B3">
        <w:rPr>
          <w:rFonts w:ascii="Times New Roman" w:hAnsi="Times New Roman" w:cs="Times New Roman"/>
          <w:sz w:val="24"/>
          <w:szCs w:val="24"/>
          <w:lang w:val="lv-LV"/>
        </w:rPr>
        <w:t xml:space="preserve"> un dzīvnieku veselības un dzīvnieku labturības noteikumiem;</w:t>
      </w:r>
    </w:p>
    <w:p w14:paraId="63EA61C3" w14:textId="77777777" w:rsidR="00B21D7B" w:rsidRPr="006557B3" w:rsidRDefault="00B21D7B" w:rsidP="00C05C12">
      <w:pPr>
        <w:tabs>
          <w:tab w:val="left" w:pos="8647"/>
        </w:tabs>
        <w:spacing w:after="0" w:line="240" w:lineRule="auto"/>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16) Eiropas Parlamenta un Padomes 1997. gada 27. janvāra Regula (EEK) Nr.258/97, kas attiecas uz jauniem pārtikas produktiem un jaunām pārtikas produktu sastāvdaļām;</w:t>
      </w:r>
    </w:p>
    <w:p w14:paraId="31B56FAD" w14:textId="77777777" w:rsidR="00B21D7B" w:rsidRPr="006557B3" w:rsidRDefault="00B21D7B" w:rsidP="00C05C12">
      <w:pPr>
        <w:tabs>
          <w:tab w:val="left" w:pos="8647"/>
        </w:tabs>
        <w:spacing w:after="0" w:line="240" w:lineRule="auto"/>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17) Komisijas 2006. gada 19. decembra Regula (EK) Nr.1881/2006, ar ko nosaka konkrētu piesārņotāju maksimāli pieļaujamo koncentrāciju pārtikas produktos;</w:t>
      </w:r>
    </w:p>
    <w:p w14:paraId="188A00AA" w14:textId="18FDAD83" w:rsidR="00B21D7B" w:rsidRPr="006557B3" w:rsidRDefault="00B21D7B" w:rsidP="00C05C12">
      <w:pPr>
        <w:tabs>
          <w:tab w:val="left" w:pos="8647"/>
        </w:tabs>
        <w:spacing w:after="0" w:line="240" w:lineRule="auto"/>
        <w:jc w:val="both"/>
        <w:rPr>
          <w:rFonts w:ascii="Times New Roman" w:hAnsi="Times New Roman" w:cs="Times New Roman"/>
          <w:bCs/>
          <w:sz w:val="24"/>
          <w:szCs w:val="24"/>
        </w:rPr>
      </w:pPr>
      <w:r w:rsidRPr="006557B3">
        <w:rPr>
          <w:rFonts w:ascii="Times New Roman" w:hAnsi="Times New Roman" w:cs="Times New Roman"/>
          <w:sz w:val="24"/>
          <w:szCs w:val="24"/>
          <w:lang w:val="lv-LV"/>
        </w:rPr>
        <w:t xml:space="preserve">18) </w:t>
      </w:r>
      <w:r w:rsidRPr="006557B3">
        <w:rPr>
          <w:rFonts w:ascii="Times New Roman" w:hAnsi="Times New Roman" w:cs="Times New Roman"/>
          <w:sz w:val="24"/>
          <w:szCs w:val="24"/>
        </w:rPr>
        <w:t>Eiropas Parlamenta un Padomes 2008.gada 16.decembra Regula (EK) Nr.</w:t>
      </w:r>
      <w:r w:rsidR="00FC469D" w:rsidRPr="006557B3">
        <w:rPr>
          <w:rFonts w:ascii="Times New Roman" w:hAnsi="Times New Roman" w:cs="Times New Roman"/>
          <w:bCs/>
          <w:sz w:val="24"/>
          <w:szCs w:val="24"/>
        </w:rPr>
        <w:t> </w:t>
      </w:r>
      <w:r w:rsidRPr="006557B3">
        <w:rPr>
          <w:rFonts w:ascii="Times New Roman" w:hAnsi="Times New Roman" w:cs="Times New Roman"/>
          <w:sz w:val="24"/>
          <w:szCs w:val="24"/>
        </w:rPr>
        <w:t xml:space="preserve">1333/2008 par </w:t>
      </w:r>
      <w:r w:rsidRPr="006557B3">
        <w:rPr>
          <w:rFonts w:ascii="Times New Roman" w:hAnsi="Times New Roman" w:cs="Times New Roman"/>
          <w:bCs/>
          <w:sz w:val="24"/>
          <w:szCs w:val="24"/>
        </w:rPr>
        <w:t>pārtikas piedevām;</w:t>
      </w:r>
    </w:p>
    <w:p w14:paraId="014831CF" w14:textId="77777777" w:rsidR="00B21D7B" w:rsidRPr="006557B3" w:rsidRDefault="00B21D7B" w:rsidP="00C05C12">
      <w:pPr>
        <w:tabs>
          <w:tab w:val="left" w:pos="8647"/>
        </w:tabs>
        <w:spacing w:after="0" w:line="240" w:lineRule="auto"/>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19) Eiropas Parlamenta un Padomes 2008.gada 16.decembra Regula (EK) Nr.1334/2008 par </w:t>
      </w:r>
      <w:r w:rsidRPr="006557B3">
        <w:rPr>
          <w:rFonts w:ascii="Times New Roman" w:hAnsi="Times New Roman" w:cs="Times New Roman"/>
          <w:bCs/>
          <w:sz w:val="24"/>
          <w:szCs w:val="24"/>
          <w:lang w:val="lv-LV"/>
        </w:rPr>
        <w:t xml:space="preserve">aromatizētājiem </w:t>
      </w:r>
      <w:r w:rsidRPr="006557B3">
        <w:rPr>
          <w:rFonts w:ascii="Times New Roman" w:hAnsi="Times New Roman" w:cs="Times New Roman"/>
          <w:sz w:val="24"/>
          <w:szCs w:val="24"/>
          <w:lang w:val="lv-LV"/>
        </w:rPr>
        <w:t xml:space="preserve">un dažām pārtikas </w:t>
      </w:r>
      <w:r w:rsidRPr="006557B3">
        <w:rPr>
          <w:rFonts w:ascii="Times New Roman" w:hAnsi="Times New Roman" w:cs="Times New Roman"/>
          <w:bCs/>
          <w:sz w:val="24"/>
          <w:szCs w:val="24"/>
          <w:lang w:val="lv-LV"/>
        </w:rPr>
        <w:t xml:space="preserve">sastāvdaļām ar aromatizētāju īpašībām </w:t>
      </w:r>
      <w:r w:rsidRPr="006557B3">
        <w:rPr>
          <w:rFonts w:ascii="Times New Roman" w:hAnsi="Times New Roman" w:cs="Times New Roman"/>
          <w:sz w:val="24"/>
          <w:szCs w:val="24"/>
          <w:lang w:val="lv-LV"/>
        </w:rPr>
        <w:t>izmantošanai pārtikā un uz tās un par grozījumiem Padomes Regulā (EEK) Nr.1601/91, Regulās (EK) Nr.2232/96 un (EK) Nr.110/2008 un Direktīvā 2000/13/EK;</w:t>
      </w:r>
    </w:p>
    <w:p w14:paraId="49AB8094" w14:textId="56F64AE9" w:rsidR="00B21D7B" w:rsidRPr="006557B3" w:rsidRDefault="00B21D7B" w:rsidP="00C05C12">
      <w:pPr>
        <w:tabs>
          <w:tab w:val="left" w:pos="8647"/>
        </w:tabs>
        <w:spacing w:after="0" w:line="240" w:lineRule="auto"/>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20) Eiropas Parlamenta un Padomes 2011.gada 25.oktobra Regulas (ES) Nr.1169/2011 par pārtikas produktu informācijas sniegšanu patērētājiem un par grozījumiem Eiropas Parlamenta un Padomes Regulās (EK) Nr.1924/2006 un (EK) Nr.1925/2006, un par Komisijas Direktīvas 87/250/EEK, Padomes Direktīvas 90/496/EEK, Komisijas Direktīvas 1999/10/EK, Eiropas Parlamenta un Padomes Direktīvas 2000/13/EK, Komisijas Direktīvu 2002/67/EK un 2008/5/EK un Komisijas Regulas (EK) Nr.608/2004 atcelšanu;</w:t>
      </w:r>
    </w:p>
    <w:p w14:paraId="53709850" w14:textId="77777777" w:rsidR="00B21D7B" w:rsidRPr="006557B3" w:rsidRDefault="00B21D7B" w:rsidP="00C05C12">
      <w:pPr>
        <w:tabs>
          <w:tab w:val="left" w:pos="8647"/>
        </w:tabs>
        <w:autoSpaceDE w:val="0"/>
        <w:autoSpaceDN w:val="0"/>
        <w:adjustRightInd w:val="0"/>
        <w:spacing w:after="0" w:line="240" w:lineRule="auto"/>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21) Komisijas īstenošanas 2013.gada 24.janvāra lēmums 2013/63/ES, ar ko pieņem pamatnostādnes par to, kā īstenojami īpaši nosacījumi attiecībā uz veselīguma norādēm, kas izklāstīti Eiropas Parlamenta un Padomes Regulas (EK) Nr.1924/2006 10. pantā; </w:t>
      </w:r>
    </w:p>
    <w:p w14:paraId="2190259B" w14:textId="77777777" w:rsidR="00B21D7B" w:rsidRPr="006557B3" w:rsidRDefault="00B21D7B" w:rsidP="00C05C12">
      <w:pPr>
        <w:tabs>
          <w:tab w:val="left" w:pos="8647"/>
        </w:tabs>
        <w:autoSpaceDE w:val="0"/>
        <w:autoSpaceDN w:val="0"/>
        <w:adjustRightInd w:val="0"/>
        <w:spacing w:after="0" w:line="240" w:lineRule="auto"/>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22) Komisijas 2012. gada 16. maija Regula (ES) Nr.432/2012, ar ko </w:t>
      </w:r>
      <w:r w:rsidRPr="006557B3">
        <w:rPr>
          <w:rFonts w:ascii="Times New Roman" w:hAnsi="Times New Roman" w:cs="Times New Roman"/>
          <w:bCs/>
          <w:sz w:val="24"/>
          <w:szCs w:val="24"/>
          <w:lang w:val="lv-LV"/>
        </w:rPr>
        <w:t>izveido sarakstu ar atļautajām veselīguma norādēm uz pārtikas produktiem</w:t>
      </w:r>
      <w:r w:rsidRPr="006557B3">
        <w:rPr>
          <w:rFonts w:ascii="Times New Roman" w:hAnsi="Times New Roman" w:cs="Times New Roman"/>
          <w:sz w:val="24"/>
          <w:szCs w:val="24"/>
          <w:lang w:val="lv-LV"/>
        </w:rPr>
        <w:t>, kuras neattiecas uz slimības riska samazināšanu un uz bērnu attīstību un veselību</w:t>
      </w:r>
      <w:r w:rsidR="008957C3" w:rsidRPr="006557B3">
        <w:rPr>
          <w:rFonts w:ascii="Times New Roman" w:hAnsi="Times New Roman" w:cs="Times New Roman"/>
          <w:sz w:val="24"/>
          <w:szCs w:val="24"/>
          <w:lang w:val="lv-LV"/>
        </w:rPr>
        <w:t>.</w:t>
      </w:r>
    </w:p>
    <w:p w14:paraId="31FF7E68" w14:textId="77777777" w:rsidR="006350FC" w:rsidRPr="006557B3" w:rsidRDefault="006350FC" w:rsidP="00C05C12">
      <w:pPr>
        <w:tabs>
          <w:tab w:val="left" w:pos="8647"/>
        </w:tabs>
        <w:autoSpaceDE w:val="0"/>
        <w:autoSpaceDN w:val="0"/>
        <w:adjustRightInd w:val="0"/>
        <w:spacing w:after="0" w:line="240" w:lineRule="auto"/>
        <w:jc w:val="both"/>
        <w:rPr>
          <w:rFonts w:ascii="Times New Roman" w:hAnsi="Times New Roman" w:cs="Times New Roman"/>
          <w:sz w:val="24"/>
          <w:szCs w:val="24"/>
          <w:lang w:val="lv-LV"/>
        </w:rPr>
      </w:pPr>
    </w:p>
    <w:p w14:paraId="31A1201E" w14:textId="41A4C20F" w:rsidR="00BB5234" w:rsidRPr="006557B3" w:rsidRDefault="00AF77F9" w:rsidP="00C05C12">
      <w:pPr>
        <w:pStyle w:val="Sarakstarindkopa"/>
        <w:tabs>
          <w:tab w:val="left" w:pos="8647"/>
        </w:tabs>
        <w:spacing w:after="0" w:line="240" w:lineRule="auto"/>
        <w:ind w:left="0"/>
        <w:jc w:val="both"/>
        <w:rPr>
          <w:rFonts w:ascii="Times New Roman" w:hAnsi="Times New Roman"/>
          <w:b/>
          <w:bCs/>
          <w:sz w:val="24"/>
          <w:szCs w:val="24"/>
          <w:lang w:val="lv-LV"/>
        </w:rPr>
      </w:pPr>
      <w:r w:rsidRPr="006557B3">
        <w:rPr>
          <w:rFonts w:ascii="Times New Roman" w:hAnsi="Times New Roman"/>
          <w:b/>
          <w:bCs/>
          <w:sz w:val="24"/>
          <w:szCs w:val="24"/>
          <w:lang w:val="lv-LV"/>
        </w:rPr>
        <w:t xml:space="preserve">3. </w:t>
      </w:r>
      <w:r w:rsidR="00AD3B94" w:rsidRPr="006557B3">
        <w:rPr>
          <w:rFonts w:ascii="Times New Roman" w:hAnsi="Times New Roman"/>
          <w:b/>
          <w:bCs/>
          <w:sz w:val="24"/>
          <w:szCs w:val="24"/>
          <w:lang w:val="lv-LV"/>
        </w:rPr>
        <w:t>U</w:t>
      </w:r>
      <w:r w:rsidR="007D4E30" w:rsidRPr="006557B3">
        <w:rPr>
          <w:rFonts w:ascii="Times New Roman" w:hAnsi="Times New Roman"/>
          <w:b/>
          <w:bCs/>
          <w:sz w:val="24"/>
          <w:szCs w:val="24"/>
          <w:lang w:val="lv-LV"/>
        </w:rPr>
        <w:t>ztura bagātinātāju jom</w:t>
      </w:r>
      <w:r w:rsidR="00AD3B94" w:rsidRPr="006557B3">
        <w:rPr>
          <w:rFonts w:ascii="Times New Roman" w:hAnsi="Times New Roman"/>
          <w:b/>
          <w:bCs/>
          <w:sz w:val="24"/>
          <w:szCs w:val="24"/>
          <w:lang w:val="lv-LV"/>
        </w:rPr>
        <w:t>ā</w:t>
      </w:r>
      <w:r w:rsidR="007D4E30" w:rsidRPr="006557B3">
        <w:rPr>
          <w:rFonts w:ascii="Times New Roman" w:hAnsi="Times New Roman"/>
          <w:b/>
          <w:bCs/>
          <w:sz w:val="24"/>
          <w:szCs w:val="24"/>
          <w:lang w:val="lv-LV"/>
        </w:rPr>
        <w:t xml:space="preserve"> </w:t>
      </w:r>
      <w:r w:rsidR="00AD3B94" w:rsidRPr="006557B3">
        <w:rPr>
          <w:rFonts w:ascii="Times New Roman" w:hAnsi="Times New Roman"/>
          <w:b/>
          <w:bCs/>
          <w:sz w:val="24"/>
          <w:szCs w:val="24"/>
          <w:lang w:val="lv-LV"/>
        </w:rPr>
        <w:t>ie</w:t>
      </w:r>
      <w:r w:rsidR="007D4E30" w:rsidRPr="006557B3">
        <w:rPr>
          <w:rFonts w:ascii="Times New Roman" w:hAnsi="Times New Roman"/>
          <w:b/>
          <w:bCs/>
          <w:sz w:val="24"/>
          <w:szCs w:val="24"/>
          <w:lang w:val="lv-LV"/>
        </w:rPr>
        <w:t>saistīt</w:t>
      </w:r>
      <w:r w:rsidR="00AF1621" w:rsidRPr="006557B3">
        <w:rPr>
          <w:rFonts w:ascii="Times New Roman" w:hAnsi="Times New Roman"/>
          <w:b/>
          <w:bCs/>
          <w:sz w:val="24"/>
          <w:szCs w:val="24"/>
          <w:lang w:val="lv-LV"/>
        </w:rPr>
        <w:t>o</w:t>
      </w:r>
      <w:r w:rsidR="00BB5234" w:rsidRPr="006557B3">
        <w:rPr>
          <w:rFonts w:ascii="Times New Roman" w:hAnsi="Times New Roman"/>
          <w:b/>
          <w:bCs/>
          <w:sz w:val="24"/>
          <w:szCs w:val="24"/>
          <w:lang w:val="lv-LV"/>
        </w:rPr>
        <w:t xml:space="preserve"> valsts pārvaldes iestā</w:t>
      </w:r>
      <w:r w:rsidR="00AF1621" w:rsidRPr="006557B3">
        <w:rPr>
          <w:rFonts w:ascii="Times New Roman" w:hAnsi="Times New Roman"/>
          <w:b/>
          <w:bCs/>
          <w:sz w:val="24"/>
          <w:szCs w:val="24"/>
          <w:lang w:val="lv-LV"/>
        </w:rPr>
        <w:t>žu funkcijas</w:t>
      </w:r>
    </w:p>
    <w:p w14:paraId="0D59EB8E" w14:textId="77777777" w:rsidR="00D72850" w:rsidRPr="006557B3" w:rsidRDefault="00D72850" w:rsidP="00C05C12">
      <w:pPr>
        <w:pStyle w:val="Sarakstarindkopa"/>
        <w:tabs>
          <w:tab w:val="left" w:pos="8647"/>
        </w:tabs>
        <w:spacing w:after="120" w:line="240" w:lineRule="auto"/>
        <w:ind w:left="502"/>
        <w:jc w:val="both"/>
        <w:rPr>
          <w:rFonts w:ascii="Times New Roman" w:hAnsi="Times New Roman"/>
          <w:b/>
          <w:bCs/>
          <w:sz w:val="24"/>
          <w:szCs w:val="24"/>
          <w:lang w:val="lv-LV"/>
        </w:rPr>
      </w:pPr>
    </w:p>
    <w:p w14:paraId="4DAE5318" w14:textId="77777777" w:rsidR="00BB5234" w:rsidRPr="006557B3" w:rsidRDefault="00DD60D1" w:rsidP="00C05C12">
      <w:pPr>
        <w:pStyle w:val="Sarakstarindkopa"/>
        <w:keepNext/>
        <w:tabs>
          <w:tab w:val="left" w:pos="8647"/>
        </w:tabs>
        <w:spacing w:after="0" w:line="240" w:lineRule="auto"/>
        <w:ind w:left="0"/>
        <w:jc w:val="both"/>
        <w:rPr>
          <w:rFonts w:ascii="Times New Roman" w:hAnsi="Times New Roman"/>
          <w:b/>
          <w:bCs/>
          <w:sz w:val="24"/>
          <w:szCs w:val="24"/>
          <w:lang w:val="lv-LV"/>
        </w:rPr>
      </w:pPr>
      <w:r w:rsidRPr="006557B3">
        <w:rPr>
          <w:rFonts w:ascii="Times New Roman" w:hAnsi="Times New Roman"/>
          <w:b/>
          <w:bCs/>
          <w:sz w:val="24"/>
          <w:szCs w:val="24"/>
          <w:lang w:val="lv-LV"/>
        </w:rPr>
        <w:t xml:space="preserve">3.1. </w:t>
      </w:r>
      <w:r w:rsidR="00BB5234" w:rsidRPr="006557B3">
        <w:rPr>
          <w:rFonts w:ascii="Times New Roman" w:hAnsi="Times New Roman"/>
          <w:b/>
          <w:bCs/>
          <w:sz w:val="24"/>
          <w:szCs w:val="24"/>
          <w:lang w:val="lv-LV"/>
        </w:rPr>
        <w:t>Pārtikas un veterinārais dienests</w:t>
      </w:r>
    </w:p>
    <w:p w14:paraId="33B69583" w14:textId="3E8ED213" w:rsidR="00503813" w:rsidRPr="006557B3" w:rsidRDefault="00BB5234" w:rsidP="00C05C12">
      <w:pPr>
        <w:keepNext/>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Pārtikas, t</w:t>
      </w:r>
      <w:r w:rsidR="00FC469D" w:rsidRPr="006557B3">
        <w:rPr>
          <w:rFonts w:ascii="Times New Roman" w:hAnsi="Times New Roman" w:cs="Times New Roman"/>
          <w:sz w:val="24"/>
          <w:szCs w:val="24"/>
          <w:lang w:val="lv-LV"/>
        </w:rPr>
        <w:t>ostarp</w:t>
      </w:r>
      <w:r w:rsidRPr="006557B3">
        <w:rPr>
          <w:rFonts w:ascii="Times New Roman" w:hAnsi="Times New Roman" w:cs="Times New Roman"/>
          <w:sz w:val="24"/>
          <w:szCs w:val="24"/>
          <w:lang w:val="lv-LV"/>
        </w:rPr>
        <w:t xml:space="preserve"> uztura bagātinātāju, aprites valsts uzraudzīb</w:t>
      </w:r>
      <w:r w:rsidR="00FC469D" w:rsidRPr="006557B3">
        <w:rPr>
          <w:rFonts w:ascii="Times New Roman" w:hAnsi="Times New Roman" w:cs="Times New Roman"/>
          <w:sz w:val="24"/>
          <w:szCs w:val="24"/>
          <w:lang w:val="lv-LV"/>
        </w:rPr>
        <w:t>a</w:t>
      </w:r>
      <w:r w:rsidRPr="006557B3">
        <w:rPr>
          <w:rFonts w:ascii="Times New Roman" w:hAnsi="Times New Roman" w:cs="Times New Roman"/>
          <w:sz w:val="24"/>
          <w:szCs w:val="24"/>
          <w:lang w:val="lv-LV"/>
        </w:rPr>
        <w:t xml:space="preserve"> un kontrol</w:t>
      </w:r>
      <w:r w:rsidR="00FC469D" w:rsidRPr="006557B3">
        <w:rPr>
          <w:rFonts w:ascii="Times New Roman" w:hAnsi="Times New Roman" w:cs="Times New Roman"/>
          <w:sz w:val="24"/>
          <w:szCs w:val="24"/>
          <w:lang w:val="lv-LV"/>
        </w:rPr>
        <w:t>e</w:t>
      </w:r>
      <w:r w:rsidRPr="006557B3">
        <w:rPr>
          <w:rFonts w:ascii="Times New Roman" w:hAnsi="Times New Roman" w:cs="Times New Roman"/>
          <w:sz w:val="24"/>
          <w:szCs w:val="24"/>
          <w:lang w:val="lv-LV"/>
        </w:rPr>
        <w:t xml:space="preserve"> </w:t>
      </w:r>
      <w:r w:rsidR="00FC469D" w:rsidRPr="006557B3">
        <w:rPr>
          <w:rFonts w:ascii="Times New Roman" w:hAnsi="Times New Roman" w:cs="Times New Roman"/>
          <w:sz w:val="24"/>
          <w:szCs w:val="24"/>
          <w:lang w:val="lv-LV"/>
        </w:rPr>
        <w:t>ir</w:t>
      </w:r>
      <w:r w:rsidRPr="006557B3">
        <w:rPr>
          <w:rFonts w:ascii="Times New Roman" w:hAnsi="Times New Roman" w:cs="Times New Roman"/>
          <w:sz w:val="24"/>
          <w:szCs w:val="24"/>
          <w:lang w:val="lv-LV"/>
        </w:rPr>
        <w:t xml:space="preserve"> Zemkopības ministrijas pārraudzībā esoš</w:t>
      </w:r>
      <w:r w:rsidR="00FC469D" w:rsidRPr="006557B3">
        <w:rPr>
          <w:rFonts w:ascii="Times New Roman" w:hAnsi="Times New Roman" w:cs="Times New Roman"/>
          <w:sz w:val="24"/>
          <w:szCs w:val="24"/>
          <w:lang w:val="lv-LV"/>
        </w:rPr>
        <w:t>as</w:t>
      </w:r>
      <w:r w:rsidRPr="006557B3">
        <w:rPr>
          <w:rFonts w:ascii="Times New Roman" w:hAnsi="Times New Roman" w:cs="Times New Roman"/>
          <w:sz w:val="24"/>
          <w:szCs w:val="24"/>
          <w:lang w:val="lv-LV"/>
        </w:rPr>
        <w:t xml:space="preserve"> valsts pārvaldes iestāde</w:t>
      </w:r>
      <w:r w:rsidR="00FC469D" w:rsidRPr="006557B3">
        <w:rPr>
          <w:rFonts w:ascii="Times New Roman" w:hAnsi="Times New Roman" w:cs="Times New Roman"/>
          <w:sz w:val="24"/>
          <w:szCs w:val="24"/>
          <w:lang w:val="lv-LV"/>
        </w:rPr>
        <w:t>s</w:t>
      </w:r>
      <w:r w:rsidRPr="006557B3">
        <w:rPr>
          <w:rFonts w:ascii="Times New Roman" w:hAnsi="Times New Roman" w:cs="Times New Roman"/>
          <w:sz w:val="24"/>
          <w:szCs w:val="24"/>
          <w:lang w:val="lv-LV"/>
        </w:rPr>
        <w:t xml:space="preserve"> – Pārtikas un veterinār</w:t>
      </w:r>
      <w:r w:rsidR="00FC469D" w:rsidRPr="006557B3">
        <w:rPr>
          <w:rFonts w:ascii="Times New Roman" w:hAnsi="Times New Roman" w:cs="Times New Roman"/>
          <w:sz w:val="24"/>
          <w:szCs w:val="24"/>
          <w:lang w:val="lv-LV"/>
        </w:rPr>
        <w:t>ā</w:t>
      </w:r>
      <w:r w:rsidRPr="006557B3">
        <w:rPr>
          <w:rFonts w:ascii="Times New Roman" w:hAnsi="Times New Roman" w:cs="Times New Roman"/>
          <w:sz w:val="24"/>
          <w:szCs w:val="24"/>
          <w:lang w:val="lv-LV"/>
        </w:rPr>
        <w:t xml:space="preserve"> dienest</w:t>
      </w:r>
      <w:r w:rsidR="00FC469D" w:rsidRPr="006557B3">
        <w:rPr>
          <w:rFonts w:ascii="Times New Roman" w:hAnsi="Times New Roman" w:cs="Times New Roman"/>
          <w:sz w:val="24"/>
          <w:szCs w:val="24"/>
          <w:lang w:val="lv-LV"/>
        </w:rPr>
        <w:t>a</w:t>
      </w:r>
      <w:r w:rsidRPr="006557B3">
        <w:rPr>
          <w:rFonts w:ascii="Times New Roman" w:hAnsi="Times New Roman" w:cs="Times New Roman"/>
          <w:sz w:val="24"/>
          <w:szCs w:val="24"/>
          <w:lang w:val="lv-LV"/>
        </w:rPr>
        <w:t xml:space="preserve"> (turpmāk –</w:t>
      </w:r>
      <w:r w:rsidR="004F329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PVD)</w:t>
      </w:r>
      <w:r w:rsidR="00FC469D" w:rsidRPr="006557B3">
        <w:rPr>
          <w:rFonts w:ascii="Times New Roman" w:hAnsi="Times New Roman" w:cs="Times New Roman"/>
          <w:sz w:val="24"/>
          <w:szCs w:val="24"/>
          <w:lang w:val="lv-LV"/>
        </w:rPr>
        <w:t xml:space="preserve"> pārziņā</w:t>
      </w:r>
      <w:r w:rsidR="00503813" w:rsidRPr="006557B3">
        <w:rPr>
          <w:rFonts w:ascii="Times New Roman" w:hAnsi="Times New Roman" w:cs="Times New Roman"/>
          <w:sz w:val="24"/>
          <w:szCs w:val="24"/>
          <w:lang w:val="lv-LV"/>
        </w:rPr>
        <w:t>.</w:t>
      </w:r>
      <w:r w:rsidRPr="006557B3">
        <w:rPr>
          <w:rFonts w:ascii="Times New Roman" w:hAnsi="Times New Roman" w:cs="Times New Roman"/>
          <w:sz w:val="24"/>
          <w:szCs w:val="24"/>
          <w:lang w:val="lv-LV"/>
        </w:rPr>
        <w:t xml:space="preserve"> </w:t>
      </w:r>
    </w:p>
    <w:p w14:paraId="7E929B9A" w14:textId="77777777" w:rsidR="00BB5234" w:rsidRPr="006557B3" w:rsidRDefault="00503813"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Pirms u</w:t>
      </w:r>
      <w:r w:rsidR="00BB5234" w:rsidRPr="006557B3">
        <w:rPr>
          <w:rFonts w:ascii="Times New Roman" w:hAnsi="Times New Roman" w:cs="Times New Roman"/>
          <w:sz w:val="24"/>
          <w:szCs w:val="24"/>
          <w:lang w:val="lv-LV"/>
        </w:rPr>
        <w:t>ztura bagātinātāj</w:t>
      </w:r>
      <w:r w:rsidRPr="006557B3">
        <w:rPr>
          <w:rFonts w:ascii="Times New Roman" w:hAnsi="Times New Roman" w:cs="Times New Roman"/>
          <w:sz w:val="24"/>
          <w:szCs w:val="24"/>
          <w:lang w:val="lv-LV"/>
        </w:rPr>
        <w:t xml:space="preserve">i tiek laisti </w:t>
      </w:r>
      <w:r w:rsidR="00BB5234" w:rsidRPr="006557B3">
        <w:rPr>
          <w:rFonts w:ascii="Times New Roman" w:hAnsi="Times New Roman" w:cs="Times New Roman"/>
          <w:sz w:val="24"/>
          <w:szCs w:val="24"/>
          <w:lang w:val="lv-LV"/>
        </w:rPr>
        <w:t>Latvij</w:t>
      </w:r>
      <w:r w:rsidR="00E85F84" w:rsidRPr="006557B3">
        <w:rPr>
          <w:rFonts w:ascii="Times New Roman" w:hAnsi="Times New Roman" w:cs="Times New Roman"/>
          <w:sz w:val="24"/>
          <w:szCs w:val="24"/>
          <w:lang w:val="lv-LV"/>
        </w:rPr>
        <w:t>as tirgū, uzņēmēji</w:t>
      </w:r>
      <w:r w:rsidR="00BB5234" w:rsidRPr="006557B3">
        <w:rPr>
          <w:rFonts w:ascii="Times New Roman" w:hAnsi="Times New Roman" w:cs="Times New Roman"/>
          <w:sz w:val="24"/>
          <w:szCs w:val="24"/>
          <w:lang w:val="lv-LV"/>
        </w:rPr>
        <w:t xml:space="preserve"> </w:t>
      </w:r>
      <w:r w:rsidR="00E85F84" w:rsidRPr="006557B3">
        <w:rPr>
          <w:rFonts w:ascii="Times New Roman" w:hAnsi="Times New Roman" w:cs="Times New Roman"/>
          <w:sz w:val="24"/>
          <w:szCs w:val="24"/>
          <w:lang w:val="lv-LV"/>
        </w:rPr>
        <w:t xml:space="preserve">iesniedz paziņojumu </w:t>
      </w:r>
      <w:r w:rsidR="00BB5234" w:rsidRPr="006557B3">
        <w:rPr>
          <w:rFonts w:ascii="Times New Roman" w:hAnsi="Times New Roman" w:cs="Times New Roman"/>
          <w:sz w:val="24"/>
          <w:szCs w:val="24"/>
          <w:lang w:val="lv-LV"/>
        </w:rPr>
        <w:t>PVD</w:t>
      </w:r>
      <w:r w:rsidR="00E85F84" w:rsidRPr="006557B3">
        <w:rPr>
          <w:rFonts w:ascii="Times New Roman" w:hAnsi="Times New Roman" w:cs="Times New Roman"/>
          <w:sz w:val="24"/>
          <w:szCs w:val="24"/>
          <w:lang w:val="lv-LV"/>
        </w:rPr>
        <w:t xml:space="preserve"> par uztura bagātinātāja laišanu tirgū</w:t>
      </w:r>
      <w:r w:rsidR="00BB5234" w:rsidRPr="006557B3">
        <w:rPr>
          <w:rFonts w:ascii="Times New Roman" w:hAnsi="Times New Roman" w:cs="Times New Roman"/>
          <w:sz w:val="24"/>
          <w:szCs w:val="24"/>
          <w:lang w:val="lv-LV"/>
        </w:rPr>
        <w:t xml:space="preserve">. </w:t>
      </w:r>
    </w:p>
    <w:p w14:paraId="59685B0E" w14:textId="2AA72E2D" w:rsidR="00BB5234" w:rsidRPr="006557B3" w:rsidRDefault="00BB5234" w:rsidP="00C05C12">
      <w:pPr>
        <w:tabs>
          <w:tab w:val="left" w:pos="8647"/>
        </w:tabs>
        <w:spacing w:after="0" w:line="240" w:lineRule="auto"/>
        <w:ind w:firstLine="709"/>
        <w:jc w:val="both"/>
        <w:rPr>
          <w:rFonts w:ascii="Times New Roman" w:hAnsi="Times New Roman" w:cs="Times New Roman"/>
          <w:sz w:val="24"/>
          <w:szCs w:val="24"/>
          <w:lang w:val="lv-LV" w:eastAsia="lv-LV"/>
        </w:rPr>
      </w:pPr>
      <w:r w:rsidRPr="006557B3">
        <w:rPr>
          <w:rFonts w:ascii="Times New Roman" w:hAnsi="Times New Roman" w:cs="Times New Roman"/>
          <w:sz w:val="24"/>
          <w:szCs w:val="24"/>
          <w:lang w:val="lv-LV" w:eastAsia="lv-LV"/>
        </w:rPr>
        <w:t xml:space="preserve">Aizpildot </w:t>
      </w:r>
      <w:r w:rsidR="00E85F84" w:rsidRPr="006557B3">
        <w:rPr>
          <w:rFonts w:ascii="Times New Roman" w:hAnsi="Times New Roman" w:cs="Times New Roman"/>
          <w:sz w:val="24"/>
          <w:szCs w:val="24"/>
          <w:lang w:val="lv-LV" w:eastAsia="lv-LV"/>
        </w:rPr>
        <w:t>paziņojumu</w:t>
      </w:r>
      <w:r w:rsidRPr="006557B3">
        <w:rPr>
          <w:rFonts w:ascii="Times New Roman" w:hAnsi="Times New Roman" w:cs="Times New Roman"/>
          <w:sz w:val="24"/>
          <w:szCs w:val="24"/>
          <w:lang w:val="lv-LV" w:eastAsia="lv-LV"/>
        </w:rPr>
        <w:t>, norād</w:t>
      </w:r>
      <w:r w:rsidR="00E85F84" w:rsidRPr="006557B3">
        <w:rPr>
          <w:rFonts w:ascii="Times New Roman" w:hAnsi="Times New Roman" w:cs="Times New Roman"/>
          <w:sz w:val="24"/>
          <w:szCs w:val="24"/>
          <w:lang w:val="lv-LV" w:eastAsia="lv-LV"/>
        </w:rPr>
        <w:t>āma</w:t>
      </w:r>
      <w:r w:rsidRPr="006557B3">
        <w:rPr>
          <w:rFonts w:ascii="Times New Roman" w:hAnsi="Times New Roman" w:cs="Times New Roman"/>
          <w:sz w:val="24"/>
          <w:szCs w:val="24"/>
          <w:lang w:val="lv-LV" w:eastAsia="lv-LV"/>
        </w:rPr>
        <w:t xml:space="preserve"> šād</w:t>
      </w:r>
      <w:r w:rsidR="00E85F84" w:rsidRPr="006557B3">
        <w:rPr>
          <w:rFonts w:ascii="Times New Roman" w:hAnsi="Times New Roman" w:cs="Times New Roman"/>
          <w:sz w:val="24"/>
          <w:szCs w:val="24"/>
          <w:lang w:val="lv-LV" w:eastAsia="lv-LV"/>
        </w:rPr>
        <w:t>a</w:t>
      </w:r>
      <w:r w:rsidRPr="006557B3">
        <w:rPr>
          <w:rFonts w:ascii="Times New Roman" w:hAnsi="Times New Roman" w:cs="Times New Roman"/>
          <w:sz w:val="24"/>
          <w:szCs w:val="24"/>
          <w:lang w:val="lv-LV" w:eastAsia="lv-LV"/>
        </w:rPr>
        <w:t xml:space="preserve"> informācij</w:t>
      </w:r>
      <w:r w:rsidR="00E85F84" w:rsidRPr="006557B3">
        <w:rPr>
          <w:rFonts w:ascii="Times New Roman" w:hAnsi="Times New Roman" w:cs="Times New Roman"/>
          <w:sz w:val="24"/>
          <w:szCs w:val="24"/>
          <w:lang w:val="lv-LV" w:eastAsia="lv-LV"/>
        </w:rPr>
        <w:t>a</w:t>
      </w:r>
      <w:r w:rsidRPr="006557B3">
        <w:rPr>
          <w:rFonts w:ascii="Times New Roman" w:hAnsi="Times New Roman" w:cs="Times New Roman"/>
          <w:sz w:val="24"/>
          <w:szCs w:val="24"/>
          <w:lang w:val="lv-LV" w:eastAsia="lv-LV"/>
        </w:rPr>
        <w:t>:</w:t>
      </w:r>
    </w:p>
    <w:p w14:paraId="137A0886" w14:textId="3397AEA2" w:rsidR="00BB5234" w:rsidRPr="006557B3" w:rsidRDefault="00BB5234" w:rsidP="00C05C12">
      <w:pPr>
        <w:pStyle w:val="Sarakstarindkopa"/>
        <w:numPr>
          <w:ilvl w:val="0"/>
          <w:numId w:val="21"/>
        </w:numPr>
        <w:tabs>
          <w:tab w:val="left" w:pos="8647"/>
        </w:tabs>
        <w:spacing w:after="0" w:line="240" w:lineRule="auto"/>
        <w:jc w:val="both"/>
        <w:rPr>
          <w:rFonts w:ascii="Times New Roman" w:hAnsi="Times New Roman"/>
          <w:sz w:val="24"/>
          <w:szCs w:val="24"/>
          <w:lang w:val="lv-LV" w:eastAsia="lv-LV"/>
        </w:rPr>
      </w:pPr>
      <w:r w:rsidRPr="006557B3">
        <w:rPr>
          <w:rFonts w:ascii="Times New Roman" w:hAnsi="Times New Roman"/>
          <w:sz w:val="24"/>
          <w:szCs w:val="24"/>
          <w:lang w:val="lv-LV" w:eastAsia="lv-LV"/>
        </w:rPr>
        <w:t>ražotāja</w:t>
      </w:r>
      <w:r w:rsidR="00B61D3A" w:rsidRPr="006557B3">
        <w:rPr>
          <w:rFonts w:ascii="Times New Roman" w:hAnsi="Times New Roman"/>
          <w:sz w:val="24"/>
          <w:szCs w:val="24"/>
          <w:lang w:val="lv-LV" w:eastAsia="lv-LV"/>
        </w:rPr>
        <w:t>,</w:t>
      </w:r>
      <w:r w:rsidRPr="006557B3">
        <w:rPr>
          <w:rFonts w:ascii="Times New Roman" w:hAnsi="Times New Roman"/>
          <w:sz w:val="24"/>
          <w:szCs w:val="24"/>
          <w:lang w:val="lv-LV" w:eastAsia="lv-LV"/>
        </w:rPr>
        <w:t xml:space="preserve"> </w:t>
      </w:r>
      <w:r w:rsidR="00B61D3A" w:rsidRPr="006557B3">
        <w:rPr>
          <w:rFonts w:ascii="Times New Roman" w:hAnsi="Times New Roman"/>
          <w:sz w:val="24"/>
          <w:szCs w:val="24"/>
          <w:lang w:val="lv-LV" w:eastAsia="lv-LV"/>
        </w:rPr>
        <w:t xml:space="preserve">izplatītāja </w:t>
      </w:r>
      <w:r w:rsidRPr="006557B3">
        <w:rPr>
          <w:rFonts w:ascii="Times New Roman" w:hAnsi="Times New Roman"/>
          <w:sz w:val="24"/>
          <w:szCs w:val="24"/>
          <w:lang w:val="lv-LV" w:eastAsia="lv-LV"/>
        </w:rPr>
        <w:t>nosaukums</w:t>
      </w:r>
      <w:r w:rsidR="00696583" w:rsidRPr="006557B3">
        <w:rPr>
          <w:rFonts w:ascii="Times New Roman" w:hAnsi="Times New Roman"/>
          <w:sz w:val="24"/>
          <w:szCs w:val="24"/>
          <w:lang w:val="lv-LV" w:eastAsia="lv-LV"/>
        </w:rPr>
        <w:t xml:space="preserve"> un</w:t>
      </w:r>
      <w:r w:rsidRPr="006557B3">
        <w:rPr>
          <w:rFonts w:ascii="Times New Roman" w:hAnsi="Times New Roman"/>
          <w:sz w:val="24"/>
          <w:szCs w:val="24"/>
          <w:lang w:val="lv-LV" w:eastAsia="lv-LV"/>
        </w:rPr>
        <w:t xml:space="preserve"> adrese;</w:t>
      </w:r>
    </w:p>
    <w:p w14:paraId="2D136F56" w14:textId="1852B216" w:rsidR="00BB5234" w:rsidRPr="006557B3" w:rsidRDefault="00BB5234" w:rsidP="00C05C12">
      <w:pPr>
        <w:pStyle w:val="Sarakstarindkopa"/>
        <w:numPr>
          <w:ilvl w:val="0"/>
          <w:numId w:val="21"/>
        </w:numPr>
        <w:tabs>
          <w:tab w:val="left" w:pos="8647"/>
        </w:tabs>
        <w:spacing w:after="0" w:line="240" w:lineRule="auto"/>
        <w:jc w:val="both"/>
        <w:rPr>
          <w:rFonts w:ascii="Times New Roman" w:hAnsi="Times New Roman"/>
          <w:sz w:val="24"/>
          <w:szCs w:val="24"/>
          <w:lang w:val="lv-LV" w:eastAsia="lv-LV"/>
        </w:rPr>
      </w:pPr>
      <w:r w:rsidRPr="006557B3">
        <w:rPr>
          <w:rFonts w:ascii="Times New Roman" w:hAnsi="Times New Roman"/>
          <w:sz w:val="24"/>
          <w:szCs w:val="24"/>
          <w:lang w:val="lv-LV" w:eastAsia="lv-LV"/>
        </w:rPr>
        <w:lastRenderedPageBreak/>
        <w:t>uztura bagātinātāja sastāvdaļu saraksts un uzturvielu vai vielu ar uzturvērtību vai fizioloģisko ietekmi daudzums diennakts devā (ieskaitot izmantoto augu un to daļu nosaukumus latviešu un latīņu valodā);</w:t>
      </w:r>
    </w:p>
    <w:p w14:paraId="5DA2FF12" w14:textId="3786ABCB" w:rsidR="00BB5234" w:rsidRPr="006557B3" w:rsidRDefault="00BB5234" w:rsidP="00C05C12">
      <w:pPr>
        <w:pStyle w:val="Sarakstarindkopa"/>
        <w:numPr>
          <w:ilvl w:val="0"/>
          <w:numId w:val="21"/>
        </w:numPr>
        <w:tabs>
          <w:tab w:val="left" w:pos="8647"/>
        </w:tabs>
        <w:spacing w:after="0" w:line="240" w:lineRule="auto"/>
        <w:jc w:val="both"/>
        <w:rPr>
          <w:rFonts w:ascii="Times New Roman" w:hAnsi="Times New Roman"/>
          <w:sz w:val="24"/>
          <w:szCs w:val="24"/>
          <w:lang w:val="lv-LV" w:eastAsia="lv-LV"/>
        </w:rPr>
      </w:pPr>
      <w:r w:rsidRPr="006557B3">
        <w:rPr>
          <w:rFonts w:ascii="Times New Roman" w:hAnsi="Times New Roman"/>
          <w:sz w:val="24"/>
          <w:szCs w:val="24"/>
          <w:lang w:val="lv-LV" w:eastAsia="lv-LV"/>
        </w:rPr>
        <w:t>uztura bagātinātāja ieteicamā diennakts deva;</w:t>
      </w:r>
    </w:p>
    <w:p w14:paraId="512044A8" w14:textId="44794E42" w:rsidR="00BB5234" w:rsidRPr="006557B3" w:rsidRDefault="00BB5234" w:rsidP="00C05C12">
      <w:pPr>
        <w:pStyle w:val="Sarakstarindkopa"/>
        <w:numPr>
          <w:ilvl w:val="0"/>
          <w:numId w:val="21"/>
        </w:numPr>
        <w:tabs>
          <w:tab w:val="left" w:pos="8647"/>
        </w:tabs>
        <w:spacing w:after="0" w:line="240" w:lineRule="auto"/>
        <w:jc w:val="both"/>
        <w:rPr>
          <w:rFonts w:ascii="Times New Roman" w:hAnsi="Times New Roman"/>
          <w:sz w:val="24"/>
          <w:szCs w:val="24"/>
          <w:lang w:val="lv-LV" w:eastAsia="lv-LV"/>
        </w:rPr>
      </w:pPr>
      <w:r w:rsidRPr="006557B3">
        <w:rPr>
          <w:rFonts w:ascii="Times New Roman" w:hAnsi="Times New Roman"/>
          <w:sz w:val="24"/>
          <w:szCs w:val="24"/>
          <w:lang w:val="lv-LV" w:eastAsia="lv-LV"/>
        </w:rPr>
        <w:t>uztura bagātinātāja pagatavojuma veidu, fasējuma un iepakojuma vienības lielumu;</w:t>
      </w:r>
    </w:p>
    <w:p w14:paraId="5F90D5FB" w14:textId="731E0E7C" w:rsidR="00BB5234" w:rsidRPr="006557B3" w:rsidRDefault="00BB5234" w:rsidP="00C05C12">
      <w:pPr>
        <w:pStyle w:val="Sarakstarindkopa"/>
        <w:numPr>
          <w:ilvl w:val="0"/>
          <w:numId w:val="21"/>
        </w:numPr>
        <w:tabs>
          <w:tab w:val="left" w:pos="8647"/>
        </w:tabs>
        <w:spacing w:after="0" w:line="240" w:lineRule="auto"/>
        <w:jc w:val="both"/>
        <w:rPr>
          <w:rFonts w:ascii="Times New Roman" w:hAnsi="Times New Roman"/>
          <w:sz w:val="24"/>
          <w:szCs w:val="24"/>
          <w:lang w:val="lv-LV" w:eastAsia="lv-LV"/>
        </w:rPr>
      </w:pPr>
      <w:r w:rsidRPr="006557B3">
        <w:rPr>
          <w:rFonts w:ascii="Times New Roman" w:hAnsi="Times New Roman"/>
          <w:sz w:val="24"/>
          <w:szCs w:val="24"/>
          <w:lang w:val="lv-LV" w:eastAsia="lv-LV"/>
        </w:rPr>
        <w:t>marķējuma teksts</w:t>
      </w:r>
      <w:r w:rsidR="00B61D3A" w:rsidRPr="006557B3">
        <w:rPr>
          <w:rFonts w:ascii="Times New Roman" w:hAnsi="Times New Roman"/>
          <w:sz w:val="24"/>
          <w:szCs w:val="24"/>
          <w:lang w:val="lv-LV" w:eastAsia="lv-LV"/>
        </w:rPr>
        <w:t xml:space="preserve"> un </w:t>
      </w:r>
      <w:r w:rsidRPr="006557B3">
        <w:rPr>
          <w:rFonts w:ascii="Times New Roman" w:hAnsi="Times New Roman"/>
          <w:sz w:val="24"/>
          <w:szCs w:val="24"/>
          <w:lang w:val="lv-LV" w:eastAsia="lv-LV"/>
        </w:rPr>
        <w:t>lietošanas instrukcijas paraugs.</w:t>
      </w:r>
    </w:p>
    <w:p w14:paraId="526DEA14" w14:textId="4626BC7D" w:rsidR="00BB5234" w:rsidRPr="006557B3" w:rsidRDefault="00BB5234" w:rsidP="00C05C12">
      <w:pPr>
        <w:tabs>
          <w:tab w:val="left" w:pos="8647"/>
        </w:tabs>
        <w:spacing w:after="0" w:line="240" w:lineRule="auto"/>
        <w:ind w:left="113"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PVD Novērtēšanas un reģistrācijas departamenta </w:t>
      </w:r>
      <w:r w:rsidR="00503813" w:rsidRPr="006557B3">
        <w:rPr>
          <w:rFonts w:ascii="Times New Roman" w:hAnsi="Times New Roman" w:cs="Times New Roman"/>
          <w:sz w:val="24"/>
          <w:szCs w:val="24"/>
          <w:lang w:val="lv-LV"/>
        </w:rPr>
        <w:t>eksperti</w:t>
      </w:r>
      <w:r w:rsidRPr="006557B3">
        <w:rPr>
          <w:rFonts w:ascii="Times New Roman" w:hAnsi="Times New Roman" w:cs="Times New Roman"/>
          <w:sz w:val="24"/>
          <w:szCs w:val="24"/>
          <w:lang w:val="lv-LV"/>
        </w:rPr>
        <w:t xml:space="preserve"> izvērtē informāciju par paziņoto uztura bagātinātāju un</w:t>
      </w:r>
      <w:r w:rsidR="00C81A2C" w:rsidRPr="006557B3">
        <w:rPr>
          <w:rFonts w:ascii="Times New Roman" w:hAnsi="Times New Roman" w:cs="Times New Roman"/>
          <w:sz w:val="24"/>
          <w:szCs w:val="24"/>
          <w:lang w:val="lv-LV"/>
        </w:rPr>
        <w:t>,</w:t>
      </w:r>
      <w:r w:rsidRPr="006557B3">
        <w:rPr>
          <w:rFonts w:ascii="Times New Roman" w:hAnsi="Times New Roman" w:cs="Times New Roman"/>
          <w:sz w:val="24"/>
          <w:szCs w:val="24"/>
          <w:lang w:val="lv-LV"/>
        </w:rPr>
        <w:t xml:space="preserve"> </w:t>
      </w:r>
      <w:r w:rsidR="00C81A2C" w:rsidRPr="006557B3">
        <w:rPr>
          <w:rFonts w:ascii="Times New Roman" w:hAnsi="Times New Roman" w:cs="Times New Roman"/>
          <w:sz w:val="24"/>
          <w:szCs w:val="24"/>
          <w:lang w:val="lv-LV"/>
        </w:rPr>
        <w:t>ja</w:t>
      </w:r>
      <w:r w:rsidRPr="006557B3">
        <w:rPr>
          <w:rFonts w:ascii="Times New Roman" w:hAnsi="Times New Roman" w:cs="Times New Roman"/>
          <w:sz w:val="24"/>
          <w:szCs w:val="24"/>
          <w:lang w:val="lv-LV"/>
        </w:rPr>
        <w:t xml:space="preserve"> uztura bagātinātājs atbilst normatīvo aktu prasībām, reģistrē to </w:t>
      </w:r>
      <w:r w:rsidR="00C81A2C" w:rsidRPr="006557B3">
        <w:rPr>
          <w:rFonts w:ascii="Times New Roman" w:hAnsi="Times New Roman" w:cs="Times New Roman"/>
          <w:sz w:val="24"/>
          <w:szCs w:val="24"/>
          <w:lang w:val="lv-LV"/>
        </w:rPr>
        <w:t xml:space="preserve">PVD administrētajā </w:t>
      </w:r>
      <w:r w:rsidR="000D5137" w:rsidRPr="006557B3">
        <w:rPr>
          <w:rFonts w:ascii="Times New Roman" w:hAnsi="Times New Roman" w:cs="Times New Roman"/>
          <w:sz w:val="24"/>
          <w:szCs w:val="24"/>
          <w:lang w:val="lv-LV"/>
        </w:rPr>
        <w:t>u</w:t>
      </w:r>
      <w:r w:rsidRPr="006557B3">
        <w:rPr>
          <w:rFonts w:ascii="Times New Roman" w:hAnsi="Times New Roman" w:cs="Times New Roman"/>
          <w:sz w:val="24"/>
          <w:szCs w:val="24"/>
          <w:lang w:val="lv-LV"/>
        </w:rPr>
        <w:t xml:space="preserve">ztura bagātinātāju datubāzē. Tajā norāda uztura bagātinātāja reģistrācijas numuru, nosaukumu, ražotāju, sastāvu un marķējuma tekstu. Šajā datubāzē informācija ir publiski pieejama un atrodama, ievadot kādu no </w:t>
      </w:r>
      <w:r w:rsidR="00C81A2C" w:rsidRPr="006557B3">
        <w:rPr>
          <w:rFonts w:ascii="Times New Roman" w:hAnsi="Times New Roman" w:cs="Times New Roman"/>
          <w:sz w:val="24"/>
          <w:szCs w:val="24"/>
          <w:lang w:val="lv-LV"/>
        </w:rPr>
        <w:t>t</w:t>
      </w:r>
      <w:r w:rsidRPr="006557B3">
        <w:rPr>
          <w:rFonts w:ascii="Times New Roman" w:hAnsi="Times New Roman" w:cs="Times New Roman"/>
          <w:sz w:val="24"/>
          <w:szCs w:val="24"/>
          <w:lang w:val="lv-LV"/>
        </w:rPr>
        <w:t xml:space="preserve">ādiem parametriem </w:t>
      </w:r>
      <w:r w:rsidR="00C81A2C" w:rsidRPr="006557B3">
        <w:rPr>
          <w:rFonts w:ascii="Times New Roman" w:hAnsi="Times New Roman" w:cs="Times New Roman"/>
          <w:sz w:val="24"/>
          <w:szCs w:val="24"/>
          <w:lang w:val="lv-LV"/>
        </w:rPr>
        <w:t>kā</w:t>
      </w:r>
      <w:r w:rsidRPr="006557B3">
        <w:rPr>
          <w:rFonts w:ascii="Times New Roman" w:hAnsi="Times New Roman" w:cs="Times New Roman"/>
          <w:sz w:val="24"/>
          <w:szCs w:val="24"/>
          <w:lang w:val="lv-LV"/>
        </w:rPr>
        <w:t xml:space="preserve"> reģistrācijas numur</w:t>
      </w:r>
      <w:r w:rsidR="00C81A2C" w:rsidRPr="006557B3">
        <w:rPr>
          <w:rFonts w:ascii="Times New Roman" w:hAnsi="Times New Roman" w:cs="Times New Roman"/>
          <w:sz w:val="24"/>
          <w:szCs w:val="24"/>
          <w:lang w:val="lv-LV"/>
        </w:rPr>
        <w:t>s</w:t>
      </w:r>
      <w:r w:rsidRPr="006557B3">
        <w:rPr>
          <w:rFonts w:ascii="Times New Roman" w:hAnsi="Times New Roman" w:cs="Times New Roman"/>
          <w:sz w:val="24"/>
          <w:szCs w:val="24"/>
          <w:lang w:val="lv-LV"/>
        </w:rPr>
        <w:t>, atzinuma numur</w:t>
      </w:r>
      <w:r w:rsidR="00C81A2C" w:rsidRPr="006557B3">
        <w:rPr>
          <w:rFonts w:ascii="Times New Roman" w:hAnsi="Times New Roman" w:cs="Times New Roman"/>
          <w:sz w:val="24"/>
          <w:szCs w:val="24"/>
          <w:lang w:val="lv-LV"/>
        </w:rPr>
        <w:t>s</w:t>
      </w:r>
      <w:r w:rsidRPr="006557B3">
        <w:rPr>
          <w:rFonts w:ascii="Times New Roman" w:hAnsi="Times New Roman" w:cs="Times New Roman"/>
          <w:sz w:val="24"/>
          <w:szCs w:val="24"/>
          <w:lang w:val="lv-LV"/>
        </w:rPr>
        <w:t>, produkta nosaukum</w:t>
      </w:r>
      <w:r w:rsidR="00C81A2C" w:rsidRPr="006557B3">
        <w:rPr>
          <w:rFonts w:ascii="Times New Roman" w:hAnsi="Times New Roman" w:cs="Times New Roman"/>
          <w:sz w:val="24"/>
          <w:szCs w:val="24"/>
          <w:lang w:val="lv-LV"/>
        </w:rPr>
        <w:t>s</w:t>
      </w:r>
      <w:r w:rsidRPr="006557B3">
        <w:rPr>
          <w:rFonts w:ascii="Times New Roman" w:hAnsi="Times New Roman" w:cs="Times New Roman"/>
          <w:sz w:val="24"/>
          <w:szCs w:val="24"/>
          <w:lang w:val="lv-LV"/>
        </w:rPr>
        <w:t>, ražotāj</w:t>
      </w:r>
      <w:r w:rsidR="00C81A2C" w:rsidRPr="006557B3">
        <w:rPr>
          <w:rFonts w:ascii="Times New Roman" w:hAnsi="Times New Roman" w:cs="Times New Roman"/>
          <w:sz w:val="24"/>
          <w:szCs w:val="24"/>
          <w:lang w:val="lv-LV"/>
        </w:rPr>
        <w:t>s</w:t>
      </w:r>
      <w:r w:rsidRPr="006557B3">
        <w:rPr>
          <w:rFonts w:ascii="Times New Roman" w:hAnsi="Times New Roman" w:cs="Times New Roman"/>
          <w:sz w:val="24"/>
          <w:szCs w:val="24"/>
          <w:lang w:val="lv-LV"/>
        </w:rPr>
        <w:t>, ražotājvalst</w:t>
      </w:r>
      <w:r w:rsidR="00C81A2C" w:rsidRPr="006557B3">
        <w:rPr>
          <w:rFonts w:ascii="Times New Roman" w:hAnsi="Times New Roman" w:cs="Times New Roman"/>
          <w:sz w:val="24"/>
          <w:szCs w:val="24"/>
          <w:lang w:val="lv-LV"/>
        </w:rPr>
        <w:t>s</w:t>
      </w:r>
      <w:r w:rsidRPr="006557B3">
        <w:rPr>
          <w:rFonts w:ascii="Times New Roman" w:hAnsi="Times New Roman" w:cs="Times New Roman"/>
          <w:sz w:val="24"/>
          <w:szCs w:val="24"/>
          <w:lang w:val="lv-LV"/>
        </w:rPr>
        <w:t>, iesniedzēj</w:t>
      </w:r>
      <w:r w:rsidR="00C81A2C" w:rsidRPr="006557B3">
        <w:rPr>
          <w:rFonts w:ascii="Times New Roman" w:hAnsi="Times New Roman" w:cs="Times New Roman"/>
          <w:sz w:val="24"/>
          <w:szCs w:val="24"/>
          <w:lang w:val="lv-LV"/>
        </w:rPr>
        <w:t>s</w:t>
      </w:r>
      <w:r w:rsidRPr="006557B3">
        <w:rPr>
          <w:rFonts w:ascii="Times New Roman" w:hAnsi="Times New Roman" w:cs="Times New Roman"/>
          <w:sz w:val="24"/>
          <w:szCs w:val="24"/>
          <w:lang w:val="lv-LV"/>
        </w:rPr>
        <w:t xml:space="preserve"> vai </w:t>
      </w:r>
      <w:r w:rsidR="000D5137" w:rsidRPr="006557B3">
        <w:rPr>
          <w:rFonts w:ascii="Times New Roman" w:hAnsi="Times New Roman" w:cs="Times New Roman"/>
          <w:sz w:val="24"/>
          <w:szCs w:val="24"/>
          <w:lang w:val="lv-LV"/>
        </w:rPr>
        <w:t xml:space="preserve">uztura bagātinātāja </w:t>
      </w:r>
      <w:r w:rsidRPr="006557B3">
        <w:rPr>
          <w:rFonts w:ascii="Times New Roman" w:hAnsi="Times New Roman" w:cs="Times New Roman"/>
          <w:sz w:val="24"/>
          <w:szCs w:val="24"/>
          <w:lang w:val="lv-LV"/>
        </w:rPr>
        <w:t>sastāv</w:t>
      </w:r>
      <w:r w:rsidR="00C81A2C" w:rsidRPr="006557B3">
        <w:rPr>
          <w:rFonts w:ascii="Times New Roman" w:hAnsi="Times New Roman" w:cs="Times New Roman"/>
          <w:sz w:val="24"/>
          <w:szCs w:val="24"/>
          <w:lang w:val="lv-LV"/>
        </w:rPr>
        <w:t>s</w:t>
      </w:r>
      <w:r w:rsidRPr="006557B3">
        <w:rPr>
          <w:rFonts w:ascii="Times New Roman" w:hAnsi="Times New Roman" w:cs="Times New Roman"/>
          <w:sz w:val="24"/>
          <w:szCs w:val="24"/>
          <w:lang w:val="lv-LV"/>
        </w:rPr>
        <w:t>.</w:t>
      </w:r>
    </w:p>
    <w:p w14:paraId="5DB9F0AF" w14:textId="1733A24E" w:rsidR="007D4E58" w:rsidRPr="006557B3" w:rsidRDefault="00BB5234"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Uztura bagātinātāju kontroli uz Eiropas Savienības ārējās robežas nodrošina PVD </w:t>
      </w:r>
      <w:r w:rsidRPr="006557B3">
        <w:rPr>
          <w:rStyle w:val="Izteiksmgs"/>
          <w:rFonts w:ascii="Times New Roman" w:hAnsi="Times New Roman" w:cs="Times New Roman"/>
          <w:b w:val="0"/>
          <w:bCs w:val="0"/>
          <w:sz w:val="24"/>
          <w:szCs w:val="24"/>
          <w:lang w:val="lv-LV"/>
        </w:rPr>
        <w:t xml:space="preserve">Robežkontroles departamenta inspektori, bet </w:t>
      </w:r>
      <w:r w:rsidR="00C81A2C" w:rsidRPr="006557B3">
        <w:rPr>
          <w:rStyle w:val="Izteiksmgs"/>
          <w:rFonts w:ascii="Times New Roman" w:hAnsi="Times New Roman" w:cs="Times New Roman"/>
          <w:b w:val="0"/>
          <w:bCs w:val="0"/>
          <w:sz w:val="24"/>
          <w:szCs w:val="24"/>
          <w:lang w:val="lv-LV"/>
        </w:rPr>
        <w:t xml:space="preserve">par </w:t>
      </w:r>
      <w:r w:rsidRPr="006557B3">
        <w:rPr>
          <w:rStyle w:val="Izteiksmgs"/>
          <w:rFonts w:ascii="Times New Roman" w:hAnsi="Times New Roman" w:cs="Times New Roman"/>
          <w:b w:val="0"/>
          <w:bCs w:val="0"/>
          <w:sz w:val="24"/>
          <w:szCs w:val="24"/>
          <w:lang w:val="lv-LV"/>
        </w:rPr>
        <w:t xml:space="preserve">uztura bagātinātāju ražošanas un izplatīšanas uzņēmumu uzraudzību un kontroli </w:t>
      </w:r>
      <w:r w:rsidR="00C81A2C" w:rsidRPr="006557B3">
        <w:rPr>
          <w:rStyle w:val="Izteiksmgs"/>
          <w:rFonts w:ascii="Times New Roman" w:hAnsi="Times New Roman" w:cs="Times New Roman"/>
          <w:b w:val="0"/>
          <w:bCs w:val="0"/>
          <w:sz w:val="24"/>
          <w:szCs w:val="24"/>
          <w:lang w:val="lv-LV"/>
        </w:rPr>
        <w:t>ir atbildīgi</w:t>
      </w:r>
      <w:r w:rsidRPr="006557B3">
        <w:rPr>
          <w:rStyle w:val="Izteiksmgs"/>
          <w:rFonts w:ascii="Times New Roman" w:hAnsi="Times New Roman" w:cs="Times New Roman"/>
          <w:b w:val="0"/>
          <w:bCs w:val="0"/>
          <w:sz w:val="24"/>
          <w:szCs w:val="24"/>
          <w:lang w:val="lv-LV"/>
        </w:rPr>
        <w:t xml:space="preserve"> PVD teritoriālo struktūrvienību inspektori saskaņā ar</w:t>
      </w:r>
      <w:r w:rsidRPr="006557B3">
        <w:rPr>
          <w:rStyle w:val="Izteiksmgs"/>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PVD ikgadējo inspekciju plānu.</w:t>
      </w:r>
    </w:p>
    <w:p w14:paraId="4153473C" w14:textId="79B899FA" w:rsidR="007D4E58" w:rsidRPr="006557B3" w:rsidRDefault="000D5137" w:rsidP="00C05C12">
      <w:pPr>
        <w:tabs>
          <w:tab w:val="left" w:pos="8647"/>
        </w:tabs>
        <w:spacing w:after="0" w:line="240" w:lineRule="auto"/>
        <w:ind w:firstLine="709"/>
        <w:jc w:val="both"/>
        <w:rPr>
          <w:rFonts w:ascii="Times New Roman" w:hAnsi="Times New Roman" w:cs="Times New Roman"/>
          <w:sz w:val="24"/>
          <w:szCs w:val="24"/>
          <w:lang w:val="lv-LV" w:eastAsia="lv-LV"/>
        </w:rPr>
      </w:pPr>
      <w:r w:rsidRPr="006557B3">
        <w:rPr>
          <w:rFonts w:ascii="Times New Roman" w:hAnsi="Times New Roman" w:cs="Times New Roman"/>
          <w:sz w:val="24"/>
          <w:szCs w:val="24"/>
          <w:lang w:val="lv-LV"/>
        </w:rPr>
        <w:t>K</w:t>
      </w:r>
      <w:r w:rsidR="00BB5234" w:rsidRPr="006557B3">
        <w:rPr>
          <w:rFonts w:ascii="Times New Roman" w:hAnsi="Times New Roman" w:cs="Times New Roman"/>
          <w:sz w:val="24"/>
          <w:szCs w:val="24"/>
          <w:lang w:val="lv-LV" w:eastAsia="lv-LV"/>
        </w:rPr>
        <w:t>atr</w:t>
      </w:r>
      <w:r w:rsidRPr="006557B3">
        <w:rPr>
          <w:rFonts w:ascii="Times New Roman" w:hAnsi="Times New Roman" w:cs="Times New Roman"/>
          <w:sz w:val="24"/>
          <w:szCs w:val="24"/>
          <w:lang w:val="lv-LV" w:eastAsia="lv-LV"/>
        </w:rPr>
        <w:t>ā</w:t>
      </w:r>
      <w:r w:rsidR="00BB5234" w:rsidRPr="006557B3">
        <w:rPr>
          <w:rFonts w:ascii="Times New Roman" w:hAnsi="Times New Roman" w:cs="Times New Roman"/>
          <w:sz w:val="24"/>
          <w:szCs w:val="24"/>
          <w:lang w:val="lv-LV" w:eastAsia="lv-LV"/>
        </w:rPr>
        <w:t xml:space="preserve"> pārtikas, t</w:t>
      </w:r>
      <w:r w:rsidR="00C81A2C" w:rsidRPr="006557B3">
        <w:rPr>
          <w:rFonts w:ascii="Times New Roman" w:hAnsi="Times New Roman" w:cs="Times New Roman"/>
          <w:sz w:val="24"/>
          <w:szCs w:val="24"/>
          <w:lang w:val="lv-LV" w:eastAsia="lv-LV"/>
        </w:rPr>
        <w:t>ostarp</w:t>
      </w:r>
      <w:r w:rsidR="00BB5234" w:rsidRPr="006557B3">
        <w:rPr>
          <w:rFonts w:ascii="Times New Roman" w:hAnsi="Times New Roman" w:cs="Times New Roman"/>
          <w:sz w:val="24"/>
          <w:szCs w:val="24"/>
          <w:lang w:val="lv-LV" w:eastAsia="lv-LV"/>
        </w:rPr>
        <w:t xml:space="preserve"> uztura bagātinātāju, apritē iesaistīto uzņēmumu grupai ir noteikts minimālais </w:t>
      </w:r>
      <w:r w:rsidR="000D42D1" w:rsidRPr="006557B3">
        <w:rPr>
          <w:rFonts w:ascii="Times New Roman" w:hAnsi="Times New Roman" w:cs="Times New Roman"/>
          <w:sz w:val="24"/>
          <w:szCs w:val="24"/>
          <w:lang w:val="lv-LV" w:eastAsia="lv-LV"/>
        </w:rPr>
        <w:t>kontroļu</w:t>
      </w:r>
      <w:r w:rsidR="00BB5234" w:rsidRPr="006557B3">
        <w:rPr>
          <w:rFonts w:ascii="Times New Roman" w:hAnsi="Times New Roman" w:cs="Times New Roman"/>
          <w:sz w:val="24"/>
          <w:szCs w:val="24"/>
          <w:lang w:val="lv-LV" w:eastAsia="lv-LV"/>
        </w:rPr>
        <w:t xml:space="preserve"> biežums gadā, </w:t>
      </w:r>
      <w:r w:rsidR="00C81A2C" w:rsidRPr="006557B3">
        <w:rPr>
          <w:rFonts w:ascii="Times New Roman" w:hAnsi="Times New Roman" w:cs="Times New Roman"/>
          <w:sz w:val="24"/>
          <w:szCs w:val="24"/>
          <w:lang w:val="lv-LV" w:eastAsia="lv-LV"/>
        </w:rPr>
        <w:t xml:space="preserve">un </w:t>
      </w:r>
      <w:r w:rsidR="00BB5234" w:rsidRPr="006557B3">
        <w:rPr>
          <w:rFonts w:ascii="Times New Roman" w:hAnsi="Times New Roman" w:cs="Times New Roman"/>
          <w:sz w:val="24"/>
          <w:szCs w:val="24"/>
          <w:lang w:val="lv-LV" w:eastAsia="lv-LV"/>
        </w:rPr>
        <w:t>to skaits svārstās no vienas reizes ceturksnī līdz vienai reizei divos gados. Veidojot inspekciju plānu, PVD izvērtē katra konkrētā uzņēmuma ražošanas apjomu, riska faktorus, iepriekšējo inspekciju rezultātus</w:t>
      </w:r>
      <w:r w:rsidR="00C81A2C" w:rsidRPr="006557B3">
        <w:rPr>
          <w:rFonts w:ascii="Times New Roman" w:hAnsi="Times New Roman" w:cs="Times New Roman"/>
          <w:sz w:val="24"/>
          <w:szCs w:val="24"/>
          <w:lang w:val="lv-LV" w:eastAsia="lv-LV"/>
        </w:rPr>
        <w:t>, kā</w:t>
      </w:r>
      <w:r w:rsidR="00BB5234" w:rsidRPr="006557B3">
        <w:rPr>
          <w:rFonts w:ascii="Times New Roman" w:hAnsi="Times New Roman" w:cs="Times New Roman"/>
          <w:sz w:val="24"/>
          <w:szCs w:val="24"/>
          <w:lang w:val="lv-LV" w:eastAsia="lv-LV"/>
        </w:rPr>
        <w:t xml:space="preserve"> arī </w:t>
      </w:r>
      <w:r w:rsidR="00C81A2C" w:rsidRPr="006557B3">
        <w:rPr>
          <w:rFonts w:ascii="Times New Roman" w:hAnsi="Times New Roman" w:cs="Times New Roman"/>
          <w:sz w:val="24"/>
          <w:szCs w:val="24"/>
          <w:lang w:val="lv-LV" w:eastAsia="lv-LV"/>
        </w:rPr>
        <w:t xml:space="preserve">saņemtās </w:t>
      </w:r>
      <w:r w:rsidR="002763AF" w:rsidRPr="006557B3">
        <w:rPr>
          <w:rFonts w:ascii="Times New Roman" w:hAnsi="Times New Roman" w:cs="Times New Roman"/>
          <w:sz w:val="24"/>
          <w:szCs w:val="24"/>
          <w:lang w:val="lv-LV" w:eastAsia="lv-LV"/>
        </w:rPr>
        <w:t>patērētāju</w:t>
      </w:r>
      <w:r w:rsidR="00BB5234" w:rsidRPr="006557B3">
        <w:rPr>
          <w:rFonts w:ascii="Times New Roman" w:hAnsi="Times New Roman" w:cs="Times New Roman"/>
          <w:sz w:val="24"/>
          <w:szCs w:val="24"/>
          <w:lang w:val="lv-LV" w:eastAsia="lv-LV"/>
        </w:rPr>
        <w:t xml:space="preserve"> sūdzības. </w:t>
      </w:r>
    </w:p>
    <w:p w14:paraId="32E0A496" w14:textId="3DF9EAAF" w:rsidR="00BB5234" w:rsidRPr="006557B3" w:rsidRDefault="00C81A2C" w:rsidP="00C05C12">
      <w:pPr>
        <w:tabs>
          <w:tab w:val="left" w:pos="8647"/>
        </w:tabs>
        <w:spacing w:after="0" w:line="240" w:lineRule="auto"/>
        <w:ind w:firstLine="709"/>
        <w:jc w:val="both"/>
        <w:rPr>
          <w:rFonts w:ascii="Times New Roman" w:hAnsi="Times New Roman" w:cs="Times New Roman"/>
          <w:sz w:val="24"/>
          <w:szCs w:val="24"/>
          <w:lang w:val="lv-LV" w:eastAsia="lv-LV"/>
        </w:rPr>
      </w:pPr>
      <w:r w:rsidRPr="006557B3">
        <w:rPr>
          <w:rFonts w:ascii="Times New Roman" w:hAnsi="Times New Roman" w:cs="Times New Roman"/>
          <w:sz w:val="24"/>
          <w:szCs w:val="24"/>
          <w:lang w:val="lv-LV" w:eastAsia="lv-LV"/>
        </w:rPr>
        <w:t>Ja ir s</w:t>
      </w:r>
      <w:r w:rsidR="00BB5234" w:rsidRPr="006557B3">
        <w:rPr>
          <w:rFonts w:ascii="Times New Roman" w:hAnsi="Times New Roman" w:cs="Times New Roman"/>
          <w:sz w:val="24"/>
          <w:szCs w:val="24"/>
          <w:lang w:val="lv-LV" w:eastAsia="lv-LV"/>
        </w:rPr>
        <w:t>aņem</w:t>
      </w:r>
      <w:r w:rsidRPr="006557B3">
        <w:rPr>
          <w:rFonts w:ascii="Times New Roman" w:hAnsi="Times New Roman" w:cs="Times New Roman"/>
          <w:sz w:val="24"/>
          <w:szCs w:val="24"/>
          <w:lang w:val="lv-LV" w:eastAsia="lv-LV"/>
        </w:rPr>
        <w:t>tas</w:t>
      </w:r>
      <w:r w:rsidR="00BB5234" w:rsidRPr="006557B3">
        <w:rPr>
          <w:rFonts w:ascii="Times New Roman" w:hAnsi="Times New Roman" w:cs="Times New Roman"/>
          <w:sz w:val="24"/>
          <w:szCs w:val="24"/>
          <w:lang w:val="lv-LV" w:eastAsia="lv-LV"/>
        </w:rPr>
        <w:t xml:space="preserve"> patērētāju sūdzības</w:t>
      </w:r>
      <w:r w:rsidRPr="006557B3">
        <w:rPr>
          <w:rFonts w:ascii="Times New Roman" w:hAnsi="Times New Roman" w:cs="Times New Roman"/>
          <w:sz w:val="24"/>
          <w:szCs w:val="24"/>
          <w:lang w:val="lv-LV" w:eastAsia="lv-LV"/>
        </w:rPr>
        <w:t xml:space="preserve"> vai</w:t>
      </w:r>
      <w:r w:rsidR="00BB5234" w:rsidRPr="006557B3">
        <w:rPr>
          <w:rFonts w:ascii="Times New Roman" w:hAnsi="Times New Roman" w:cs="Times New Roman"/>
          <w:sz w:val="24"/>
          <w:szCs w:val="24"/>
          <w:lang w:val="lv-LV" w:eastAsia="lv-LV"/>
        </w:rPr>
        <w:t xml:space="preserve"> informācij</w:t>
      </w:r>
      <w:r w:rsidRPr="006557B3">
        <w:rPr>
          <w:rFonts w:ascii="Times New Roman" w:hAnsi="Times New Roman" w:cs="Times New Roman"/>
          <w:sz w:val="24"/>
          <w:szCs w:val="24"/>
          <w:lang w:val="lv-LV" w:eastAsia="lv-LV"/>
        </w:rPr>
        <w:t>a</w:t>
      </w:r>
      <w:r w:rsidR="00BB5234" w:rsidRPr="006557B3">
        <w:rPr>
          <w:rFonts w:ascii="Times New Roman" w:hAnsi="Times New Roman" w:cs="Times New Roman"/>
          <w:sz w:val="24"/>
          <w:szCs w:val="24"/>
          <w:lang w:val="lv-LV" w:eastAsia="lv-LV"/>
        </w:rPr>
        <w:t xml:space="preserve"> no citām iestādēm vai </w:t>
      </w:r>
      <w:r w:rsidRPr="006557B3">
        <w:rPr>
          <w:rFonts w:ascii="Times New Roman" w:hAnsi="Times New Roman" w:cs="Times New Roman"/>
          <w:sz w:val="24"/>
          <w:szCs w:val="24"/>
          <w:lang w:val="lv-LV" w:eastAsia="lv-LV"/>
        </w:rPr>
        <w:t xml:space="preserve">ir </w:t>
      </w:r>
      <w:r w:rsidR="00BB5234" w:rsidRPr="006557B3">
        <w:rPr>
          <w:rFonts w:ascii="Times New Roman" w:hAnsi="Times New Roman" w:cs="Times New Roman"/>
          <w:sz w:val="24"/>
          <w:szCs w:val="24"/>
          <w:lang w:val="lv-LV" w:eastAsia="lv-LV"/>
        </w:rPr>
        <w:t>iespējam</w:t>
      </w:r>
      <w:r w:rsidRPr="006557B3">
        <w:rPr>
          <w:rFonts w:ascii="Times New Roman" w:hAnsi="Times New Roman" w:cs="Times New Roman"/>
          <w:sz w:val="24"/>
          <w:szCs w:val="24"/>
          <w:lang w:val="lv-LV" w:eastAsia="lv-LV"/>
        </w:rPr>
        <w:t>s kāds</w:t>
      </w:r>
      <w:r w:rsidR="00BB5234" w:rsidRPr="006557B3">
        <w:rPr>
          <w:rFonts w:ascii="Times New Roman" w:hAnsi="Times New Roman" w:cs="Times New Roman"/>
          <w:sz w:val="24"/>
          <w:szCs w:val="24"/>
          <w:lang w:val="lv-LV" w:eastAsia="lv-LV"/>
        </w:rPr>
        <w:t xml:space="preserve"> risks</w:t>
      </w:r>
      <w:r w:rsidRPr="006557B3">
        <w:rPr>
          <w:rFonts w:ascii="Times New Roman" w:hAnsi="Times New Roman" w:cs="Times New Roman"/>
          <w:sz w:val="24"/>
          <w:szCs w:val="24"/>
          <w:lang w:val="lv-LV" w:eastAsia="lv-LV"/>
        </w:rPr>
        <w:t>,</w:t>
      </w:r>
      <w:r w:rsidR="00BB5234" w:rsidRPr="006557B3">
        <w:rPr>
          <w:rFonts w:ascii="Times New Roman" w:hAnsi="Times New Roman" w:cs="Times New Roman"/>
          <w:sz w:val="24"/>
          <w:szCs w:val="24"/>
          <w:lang w:val="lv-LV" w:eastAsia="lv-LV"/>
        </w:rPr>
        <w:t xml:space="preserve"> tiek veiktas ārpuskārtas </w:t>
      </w:r>
      <w:r w:rsidR="005777D7" w:rsidRPr="006557B3">
        <w:rPr>
          <w:rFonts w:ascii="Times New Roman" w:hAnsi="Times New Roman" w:cs="Times New Roman"/>
          <w:sz w:val="24"/>
          <w:szCs w:val="24"/>
          <w:lang w:val="lv-LV" w:eastAsia="lv-LV"/>
        </w:rPr>
        <w:t>kontroles</w:t>
      </w:r>
      <w:r w:rsidR="00BB5234" w:rsidRPr="006557B3">
        <w:rPr>
          <w:rFonts w:ascii="Times New Roman" w:hAnsi="Times New Roman" w:cs="Times New Roman"/>
          <w:sz w:val="24"/>
          <w:szCs w:val="24"/>
          <w:lang w:val="lv-LV" w:eastAsia="lv-LV"/>
        </w:rPr>
        <w:t xml:space="preserve">. Lai iegūtu objektīvu informāciju par uztura bagātinātāju nekaitīgumu, inspektori ņem produktu paraugus un nosūta </w:t>
      </w:r>
      <w:r w:rsidRPr="006557B3">
        <w:rPr>
          <w:rFonts w:ascii="Times New Roman" w:hAnsi="Times New Roman" w:cs="Times New Roman"/>
          <w:sz w:val="24"/>
          <w:szCs w:val="24"/>
          <w:lang w:val="lv-LV" w:eastAsia="lv-LV"/>
        </w:rPr>
        <w:t xml:space="preserve">tos uz </w:t>
      </w:r>
      <w:r w:rsidR="00BB5234" w:rsidRPr="006557B3">
        <w:rPr>
          <w:rFonts w:ascii="Times New Roman" w:hAnsi="Times New Roman" w:cs="Times New Roman"/>
          <w:sz w:val="24"/>
          <w:szCs w:val="24"/>
          <w:lang w:val="lv-LV" w:eastAsia="lv-LV"/>
        </w:rPr>
        <w:t xml:space="preserve">laboratoriskajām </w:t>
      </w:r>
      <w:r w:rsidR="000B207E" w:rsidRPr="006557B3">
        <w:rPr>
          <w:rFonts w:ascii="Times New Roman" w:hAnsi="Times New Roman" w:cs="Times New Roman"/>
          <w:sz w:val="24"/>
          <w:szCs w:val="24"/>
          <w:lang w:val="lv-LV" w:eastAsia="lv-LV"/>
        </w:rPr>
        <w:t>kontrol</w:t>
      </w:r>
      <w:r w:rsidR="005777D7" w:rsidRPr="006557B3">
        <w:rPr>
          <w:rFonts w:ascii="Times New Roman" w:hAnsi="Times New Roman" w:cs="Times New Roman"/>
          <w:sz w:val="24"/>
          <w:szCs w:val="24"/>
          <w:lang w:val="lv-LV" w:eastAsia="lv-LV"/>
        </w:rPr>
        <w:t>ēm</w:t>
      </w:r>
      <w:r w:rsidR="00BB5234" w:rsidRPr="006557B3">
        <w:rPr>
          <w:rFonts w:ascii="Times New Roman" w:hAnsi="Times New Roman" w:cs="Times New Roman"/>
          <w:sz w:val="24"/>
          <w:szCs w:val="24"/>
          <w:lang w:val="lv-LV" w:eastAsia="lv-LV"/>
        </w:rPr>
        <w:t xml:space="preserve">. </w:t>
      </w:r>
      <w:r w:rsidRPr="006557B3">
        <w:rPr>
          <w:rFonts w:ascii="Times New Roman" w:hAnsi="Times New Roman" w:cs="Times New Roman"/>
          <w:sz w:val="24"/>
          <w:szCs w:val="24"/>
          <w:lang w:val="lv-LV" w:eastAsia="lv-LV"/>
        </w:rPr>
        <w:t>J</w:t>
      </w:r>
      <w:r w:rsidR="00BB5234" w:rsidRPr="006557B3">
        <w:rPr>
          <w:rFonts w:ascii="Times New Roman" w:hAnsi="Times New Roman" w:cs="Times New Roman"/>
          <w:sz w:val="24"/>
          <w:szCs w:val="24"/>
          <w:lang w:val="lv-LV" w:eastAsia="lv-LV"/>
        </w:rPr>
        <w:t>a uzņēmum</w:t>
      </w:r>
      <w:r w:rsidRPr="006557B3">
        <w:rPr>
          <w:rFonts w:ascii="Times New Roman" w:hAnsi="Times New Roman" w:cs="Times New Roman"/>
          <w:sz w:val="24"/>
          <w:szCs w:val="24"/>
          <w:lang w:val="lv-LV" w:eastAsia="lv-LV"/>
        </w:rPr>
        <w:t>s</w:t>
      </w:r>
      <w:r w:rsidR="00BB5234" w:rsidRPr="006557B3">
        <w:rPr>
          <w:rFonts w:ascii="Times New Roman" w:hAnsi="Times New Roman" w:cs="Times New Roman"/>
          <w:sz w:val="24"/>
          <w:szCs w:val="24"/>
          <w:lang w:val="lv-LV" w:eastAsia="lv-LV"/>
        </w:rPr>
        <w:t xml:space="preserve"> n</w:t>
      </w:r>
      <w:r w:rsidRPr="006557B3">
        <w:rPr>
          <w:rFonts w:ascii="Times New Roman" w:hAnsi="Times New Roman" w:cs="Times New Roman"/>
          <w:sz w:val="24"/>
          <w:szCs w:val="24"/>
          <w:lang w:val="lv-LV" w:eastAsia="lv-LV"/>
        </w:rPr>
        <w:t xml:space="preserve">av </w:t>
      </w:r>
      <w:r w:rsidR="00BB5234" w:rsidRPr="006557B3">
        <w:rPr>
          <w:rFonts w:ascii="Times New Roman" w:hAnsi="Times New Roman" w:cs="Times New Roman"/>
          <w:sz w:val="24"/>
          <w:szCs w:val="24"/>
          <w:lang w:val="lv-LV" w:eastAsia="lv-LV"/>
        </w:rPr>
        <w:t>ievēro</w:t>
      </w:r>
      <w:r w:rsidRPr="006557B3">
        <w:rPr>
          <w:rFonts w:ascii="Times New Roman" w:hAnsi="Times New Roman" w:cs="Times New Roman"/>
          <w:sz w:val="24"/>
          <w:szCs w:val="24"/>
          <w:lang w:val="lv-LV" w:eastAsia="lv-LV"/>
        </w:rPr>
        <w:t>jis</w:t>
      </w:r>
      <w:r w:rsidR="00BB5234" w:rsidRPr="006557B3">
        <w:rPr>
          <w:rFonts w:ascii="Times New Roman" w:hAnsi="Times New Roman" w:cs="Times New Roman"/>
          <w:sz w:val="24"/>
          <w:szCs w:val="24"/>
          <w:lang w:val="lv-LV" w:eastAsia="lv-LV"/>
        </w:rPr>
        <w:t xml:space="preserve"> normatīvo aktu prasības, PVD inspektoriem ir tiesības piemērot sankcijas – brīdinājumu, naudas sodu, produktu izplatīšanas apturēšanu vai izņemšanu no apgrozības</w:t>
      </w:r>
      <w:r w:rsidRPr="006557B3">
        <w:rPr>
          <w:rFonts w:ascii="Times New Roman" w:hAnsi="Times New Roman" w:cs="Times New Roman"/>
          <w:sz w:val="24"/>
          <w:szCs w:val="24"/>
          <w:lang w:val="lv-LV" w:eastAsia="lv-LV"/>
        </w:rPr>
        <w:t xml:space="preserve"> vai</w:t>
      </w:r>
      <w:r w:rsidR="00BB5234" w:rsidRPr="006557B3">
        <w:rPr>
          <w:rFonts w:ascii="Times New Roman" w:hAnsi="Times New Roman" w:cs="Times New Roman"/>
          <w:sz w:val="24"/>
          <w:szCs w:val="24"/>
          <w:lang w:val="lv-LV" w:eastAsia="lv-LV"/>
        </w:rPr>
        <w:t xml:space="preserve"> pat uzņēmuma darbības apturēšanai. Pārtikas aprites valsts uzraudzību un kontroli plāno, organizē un koordinē PVD Pārtikas uzraudzības departaments.</w:t>
      </w:r>
    </w:p>
    <w:p w14:paraId="15E5BDE6" w14:textId="77777777" w:rsidR="004B0A88" w:rsidRPr="006557B3" w:rsidRDefault="004B0A88" w:rsidP="009225D0">
      <w:pPr>
        <w:keepNext/>
        <w:tabs>
          <w:tab w:val="left" w:pos="8647"/>
        </w:tabs>
        <w:spacing w:after="0" w:line="240" w:lineRule="auto"/>
        <w:jc w:val="both"/>
        <w:rPr>
          <w:rFonts w:ascii="Times New Roman" w:hAnsi="Times New Roman" w:cs="Times New Roman"/>
          <w:b/>
          <w:bCs/>
          <w:sz w:val="24"/>
          <w:szCs w:val="24"/>
          <w:lang w:val="lv-LV"/>
        </w:rPr>
      </w:pPr>
    </w:p>
    <w:p w14:paraId="6B543C2D" w14:textId="0883BFF4" w:rsidR="009225D0" w:rsidRPr="006557B3" w:rsidRDefault="009225D0" w:rsidP="009225D0">
      <w:pPr>
        <w:keepNext/>
        <w:tabs>
          <w:tab w:val="left" w:pos="8647"/>
        </w:tabs>
        <w:spacing w:after="0" w:line="240" w:lineRule="auto"/>
        <w:jc w:val="both"/>
        <w:rPr>
          <w:rFonts w:ascii="Times New Roman" w:hAnsi="Times New Roman" w:cs="Times New Roman"/>
          <w:b/>
          <w:bCs/>
          <w:sz w:val="24"/>
          <w:szCs w:val="24"/>
          <w:lang w:val="lv-LV"/>
        </w:rPr>
      </w:pPr>
      <w:r w:rsidRPr="006557B3">
        <w:rPr>
          <w:rFonts w:ascii="Times New Roman" w:hAnsi="Times New Roman" w:cs="Times New Roman"/>
          <w:b/>
          <w:bCs/>
          <w:sz w:val="24"/>
          <w:szCs w:val="24"/>
          <w:lang w:val="lv-LV"/>
        </w:rPr>
        <w:t>3.2. Zāļu valsts aģentūra (turpmāk –</w:t>
      </w:r>
      <w:r w:rsidR="004F3293">
        <w:rPr>
          <w:rFonts w:ascii="Times New Roman" w:hAnsi="Times New Roman" w:cs="Times New Roman"/>
          <w:b/>
          <w:bCs/>
          <w:sz w:val="24"/>
          <w:szCs w:val="24"/>
          <w:lang w:val="lv-LV"/>
        </w:rPr>
        <w:t xml:space="preserve"> </w:t>
      </w:r>
      <w:r w:rsidRPr="006557B3">
        <w:rPr>
          <w:rFonts w:ascii="Times New Roman" w:hAnsi="Times New Roman" w:cs="Times New Roman"/>
          <w:b/>
          <w:bCs/>
          <w:sz w:val="24"/>
          <w:szCs w:val="24"/>
          <w:lang w:val="lv-LV"/>
        </w:rPr>
        <w:t xml:space="preserve">ZVA) </w:t>
      </w:r>
    </w:p>
    <w:p w14:paraId="199586CE" w14:textId="41EE0FEE" w:rsidR="009225D0" w:rsidRPr="006557B3" w:rsidRDefault="009225D0" w:rsidP="009225D0">
      <w:pPr>
        <w:keepNext/>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ZVA darbības mērķis ir nodrošināt zāļu tirgus izpēti un efektīvu, drošu un kvalitatīvu zāļu pieejamību Latvijas iedzīvotājiem. ZVA veido un aktualizē Latvijas zāļu reģistru, novērtē un reģistrē cilvēkiem paredzētās zāles, kā arī izsniedz zāļu ievešanas, izvešanas, tranzīta un izplatīšanas atļaujas. ZVA apkopo arī informāciju par zāļu patēriņu Latvijā. ZVA ir tiesīga sniegt atzinumu par produkta (piemēram, pārtikas produkta, medicīniskas ierīces, kosmētikas līdzekļa, biocīda) atbilstību </w:t>
      </w:r>
      <w:hyperlink r:id="rId20" w:tgtFrame="_top" w:tooltip="Farmācijas likums" w:history="1">
        <w:r w:rsidRPr="009501A2">
          <w:rPr>
            <w:rStyle w:val="Hipersaite"/>
            <w:rFonts w:ascii="Times New Roman" w:hAnsi="Times New Roman" w:cs="Times New Roman"/>
            <w:color w:val="auto"/>
            <w:sz w:val="24"/>
            <w:szCs w:val="24"/>
            <w:u w:val="none"/>
            <w:lang w:val="lv-LV"/>
          </w:rPr>
          <w:t>Farmācijas likumā</w:t>
        </w:r>
      </w:hyperlink>
      <w:r w:rsidRPr="004F329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noteiktajai zāļu definīcijai, ja saņemts iesniegums, vai pēc ZVA vai citas valsts kompetentas iestādes iniciatīvas.</w:t>
      </w:r>
      <w:r w:rsidR="00713C8D"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Vērtējot produkta īpašības, ZVA ņem vērā produkta kvalitatīvo un kvantitatīvo sastāvu;</w:t>
      </w:r>
      <w:r w:rsidR="00713C8D"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produkta farmakoloģiskās, imunoloģiskās un metaboliskās īpašības, ciktāl tās saskaņā ar jaunākajām zinātnes atziņām var noskaidrot;</w:t>
      </w:r>
      <w:r w:rsidR="00713C8D"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produkta lietošanas veidu, kā arī faktu, vai pēc sastāva līdzīgs produkts ir reģistrēts kā zāles; informāciju par produktu (piemēram, marķējums, lietošanas instrukcija);</w:t>
      </w:r>
      <w:r w:rsidR="00713C8D"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produkta atpazīstamību patērētājiem;</w:t>
      </w:r>
      <w:r w:rsidR="00713C8D"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riskus, ko var radīt produkta lietošana.</w:t>
      </w:r>
    </w:p>
    <w:p w14:paraId="049E8090" w14:textId="03521D24" w:rsidR="009225D0" w:rsidRPr="006557B3" w:rsidRDefault="009225D0" w:rsidP="009225D0">
      <w:pPr>
        <w:keepNext/>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PVD pieprasa ZVA</w:t>
      </w:r>
      <w:r w:rsidR="00713C8D"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 xml:space="preserve">atzinumu par paziņoto uztura bagātinātāju, ja uztura bagātinātāja paziņojumā norādītā informācija liecina, ka </w:t>
      </w:r>
      <w:r w:rsidR="00780365" w:rsidRPr="006557B3">
        <w:rPr>
          <w:rFonts w:ascii="Times New Roman" w:hAnsi="Times New Roman" w:cs="Times New Roman"/>
          <w:sz w:val="24"/>
          <w:szCs w:val="24"/>
          <w:lang w:val="lv-LV"/>
        </w:rPr>
        <w:t xml:space="preserve">uztura bagātinātājs </w:t>
      </w:r>
      <w:r w:rsidRPr="006557B3">
        <w:rPr>
          <w:rFonts w:ascii="Times New Roman" w:hAnsi="Times New Roman" w:cs="Times New Roman"/>
          <w:sz w:val="24"/>
          <w:szCs w:val="24"/>
          <w:lang w:val="lv-LV"/>
        </w:rPr>
        <w:t xml:space="preserve">varētu būt zāles vai ja paziņotais vai reģistrā iekļautais </w:t>
      </w:r>
      <w:r w:rsidR="00780365" w:rsidRPr="006557B3">
        <w:rPr>
          <w:rFonts w:ascii="Times New Roman" w:hAnsi="Times New Roman" w:cs="Times New Roman"/>
          <w:sz w:val="24"/>
          <w:szCs w:val="24"/>
          <w:lang w:val="lv-LV"/>
        </w:rPr>
        <w:t>uztura bagātinātājs</w:t>
      </w:r>
      <w:r w:rsidRPr="006557B3">
        <w:rPr>
          <w:rFonts w:ascii="Times New Roman" w:hAnsi="Times New Roman" w:cs="Times New Roman"/>
          <w:sz w:val="24"/>
          <w:szCs w:val="24"/>
          <w:lang w:val="lv-LV"/>
        </w:rPr>
        <w:t xml:space="preserve"> satur vielas vai vielu kombinācijas, kuras citā Eiropas Savienības dalībvalstī tiek izplatītas kā zāles. ZVA izvērtē katru individuālo pieprasījumu</w:t>
      </w:r>
      <w:r w:rsidR="004A3DD0" w:rsidRPr="006557B3">
        <w:rPr>
          <w:rFonts w:ascii="Times New Roman" w:hAnsi="Times New Roman" w:cs="Times New Roman"/>
          <w:sz w:val="24"/>
          <w:szCs w:val="24"/>
          <w:lang w:val="lv-LV"/>
        </w:rPr>
        <w:t>, un</w:t>
      </w:r>
      <w:r w:rsidR="00713C8D"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ZVA</w:t>
      </w:r>
      <w:r w:rsidR="00713C8D"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sagatavo</w:t>
      </w:r>
      <w:r w:rsidR="00713C8D"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 xml:space="preserve">Ministru kabineta 2006. gada 9. maija noteikumu Nr.376 “Zāļu </w:t>
      </w:r>
      <w:r w:rsidRPr="006557B3">
        <w:rPr>
          <w:rFonts w:ascii="Times New Roman" w:hAnsi="Times New Roman" w:cs="Times New Roman"/>
          <w:sz w:val="24"/>
          <w:szCs w:val="24"/>
          <w:lang w:val="lv-LV"/>
        </w:rPr>
        <w:lastRenderedPageBreak/>
        <w:t>reģistrēšanas kārtība” (turpmāk</w:t>
      </w:r>
      <w:r w:rsidR="00C26C05" w:rsidRPr="006557B3">
        <w:rPr>
          <w:rFonts w:ascii="Times New Roman" w:hAnsi="Times New Roman" w:cs="Times New Roman"/>
          <w:sz w:val="24"/>
          <w:szCs w:val="24"/>
          <w:lang w:val="lv-LV"/>
        </w:rPr>
        <w:t xml:space="preserve"> </w:t>
      </w:r>
      <w:r w:rsidR="004F3293">
        <w:rPr>
          <w:rFonts w:ascii="Times New Roman" w:hAnsi="Times New Roman" w:cs="Times New Roman"/>
          <w:sz w:val="24"/>
          <w:szCs w:val="24"/>
          <w:lang w:val="lv-LV"/>
        </w:rPr>
        <w:t>–</w:t>
      </w:r>
      <w:r w:rsidRPr="006557B3">
        <w:rPr>
          <w:rFonts w:ascii="Times New Roman" w:hAnsi="Times New Roman" w:cs="Times New Roman"/>
          <w:sz w:val="24"/>
          <w:szCs w:val="24"/>
          <w:lang w:val="lv-LV"/>
        </w:rPr>
        <w:t xml:space="preserve"> Noteikumi Nr.376</w:t>
      </w:r>
      <w:r w:rsidRPr="006557B3">
        <w:rPr>
          <w:rFonts w:ascii="Times New Roman" w:hAnsi="Times New Roman" w:cs="Times New Roman"/>
          <w:color w:val="000000" w:themeColor="text1"/>
          <w:sz w:val="24"/>
          <w:szCs w:val="24"/>
          <w:lang w:val="lv-LV"/>
        </w:rPr>
        <w:t xml:space="preserve">) </w:t>
      </w:r>
      <w:hyperlink r:id="rId21" w:anchor="IntPNpunkt6." w:tooltip="Vietēja saite" w:history="1">
        <w:r w:rsidRPr="006557B3">
          <w:rPr>
            <w:rStyle w:val="Hipersaite"/>
            <w:rFonts w:ascii="Times New Roman" w:hAnsi="Times New Roman" w:cs="Times New Roman"/>
            <w:color w:val="000000" w:themeColor="text1"/>
            <w:sz w:val="24"/>
            <w:szCs w:val="24"/>
            <w:u w:val="none"/>
            <w:lang w:val="lv-LV"/>
          </w:rPr>
          <w:t>6.</w:t>
        </w:r>
      </w:hyperlink>
      <w:r w:rsidRPr="006557B3">
        <w:rPr>
          <w:rFonts w:ascii="Times New Roman" w:hAnsi="Times New Roman" w:cs="Times New Roman"/>
          <w:sz w:val="24"/>
          <w:szCs w:val="24"/>
          <w:lang w:val="lv-LV"/>
        </w:rPr>
        <w:t>punktā minēto</w:t>
      </w:r>
      <w:r w:rsidR="00713C8D"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atzinumu</w:t>
      </w:r>
      <w:r w:rsidR="00F94721">
        <w:rPr>
          <w:rFonts w:ascii="Times New Roman" w:hAnsi="Times New Roman" w:cs="Times New Roman"/>
          <w:sz w:val="24"/>
          <w:szCs w:val="24"/>
          <w:lang w:val="lv-LV"/>
        </w:rPr>
        <w:t>,</w:t>
      </w:r>
      <w:r w:rsidR="00713C8D"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 xml:space="preserve">ņemot vērā </w:t>
      </w:r>
      <w:r w:rsidR="004C3679" w:rsidRPr="006557B3">
        <w:rPr>
          <w:rFonts w:ascii="Times New Roman" w:hAnsi="Times New Roman" w:cs="Times New Roman"/>
          <w:bCs/>
          <w:sz w:val="24"/>
          <w:szCs w:val="24"/>
          <w:lang w:val="lv-LV"/>
        </w:rPr>
        <w:t>uztura bagātinātāja</w:t>
      </w:r>
      <w:r w:rsidRPr="006557B3">
        <w:rPr>
          <w:rFonts w:ascii="Times New Roman" w:hAnsi="Times New Roman" w:cs="Times New Roman"/>
          <w:bCs/>
          <w:sz w:val="24"/>
          <w:szCs w:val="24"/>
          <w:lang w:val="lv-LV"/>
        </w:rPr>
        <w:t xml:space="preserve"> atbilstības zāļu definīcijai novērtēšanas komisijā (turpmāk</w:t>
      </w:r>
      <w:r w:rsidR="00ED4897">
        <w:rPr>
          <w:rFonts w:ascii="Times New Roman" w:hAnsi="Times New Roman" w:cs="Times New Roman"/>
          <w:bCs/>
          <w:sz w:val="24"/>
          <w:szCs w:val="24"/>
          <w:lang w:val="lv-LV"/>
        </w:rPr>
        <w:t xml:space="preserve"> </w:t>
      </w:r>
      <w:r w:rsidRPr="006557B3">
        <w:rPr>
          <w:rFonts w:ascii="Times New Roman" w:hAnsi="Times New Roman" w:cs="Times New Roman"/>
          <w:bCs/>
          <w:sz w:val="24"/>
          <w:szCs w:val="24"/>
          <w:lang w:val="lv-LV"/>
        </w:rPr>
        <w:t>- Komisija) nolemto.</w:t>
      </w:r>
      <w:r w:rsidR="00713C8D" w:rsidRPr="006557B3">
        <w:rPr>
          <w:rFonts w:ascii="Times New Roman" w:hAnsi="Times New Roman" w:cs="Times New Roman"/>
          <w:bCs/>
          <w:sz w:val="24"/>
          <w:szCs w:val="24"/>
          <w:lang w:val="lv-LV"/>
        </w:rPr>
        <w:t xml:space="preserve"> </w:t>
      </w:r>
      <w:r w:rsidRPr="006557B3">
        <w:rPr>
          <w:rFonts w:ascii="Times New Roman" w:hAnsi="Times New Roman" w:cs="Times New Roman"/>
          <w:sz w:val="24"/>
          <w:szCs w:val="24"/>
          <w:lang w:val="lv-LV"/>
        </w:rPr>
        <w:t>Komisijā ir pārstāvji no ZVA, kā arī pa vienam pārstāvim no Veselības inspekcijas,</w:t>
      </w:r>
      <w:r w:rsidR="00713C8D"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 xml:space="preserve">SIA ‘’Latvijas sertifikācijas centrs’’ un Pārtikas un </w:t>
      </w:r>
      <w:r w:rsidR="00780365" w:rsidRPr="006557B3">
        <w:rPr>
          <w:rFonts w:ascii="Times New Roman" w:hAnsi="Times New Roman" w:cs="Times New Roman"/>
          <w:sz w:val="24"/>
          <w:szCs w:val="24"/>
          <w:lang w:val="lv-LV"/>
        </w:rPr>
        <w:t>v</w:t>
      </w:r>
      <w:r w:rsidRPr="006557B3">
        <w:rPr>
          <w:rFonts w:ascii="Times New Roman" w:hAnsi="Times New Roman" w:cs="Times New Roman"/>
          <w:sz w:val="24"/>
          <w:szCs w:val="24"/>
          <w:lang w:val="lv-LV"/>
        </w:rPr>
        <w:t xml:space="preserve">eterinārā dienesta </w:t>
      </w:r>
      <w:r w:rsidR="007F42AD" w:rsidRPr="006557B3">
        <w:rPr>
          <w:rFonts w:ascii="Times New Roman" w:hAnsi="Times New Roman" w:cs="Times New Roman"/>
          <w:sz w:val="24"/>
          <w:szCs w:val="24"/>
          <w:lang w:val="lv-LV"/>
        </w:rPr>
        <w:t>Pārtikas uzraudzības</w:t>
      </w:r>
      <w:r w:rsidRPr="006557B3">
        <w:rPr>
          <w:rFonts w:ascii="Times New Roman" w:hAnsi="Times New Roman" w:cs="Times New Roman"/>
          <w:sz w:val="24"/>
          <w:szCs w:val="24"/>
          <w:lang w:val="lv-LV"/>
        </w:rPr>
        <w:t xml:space="preserve"> departamenta. Komisija,</w:t>
      </w:r>
      <w:r w:rsidR="00713C8D"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pamatojoties uz spēkā esošajiem normatīvajiem aktiem, iesniegtajiem dokumentiem</w:t>
      </w:r>
      <w:r w:rsidR="00713C8D"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 xml:space="preserve">un ZVA Zāļu reģistrācijas departamenta atzinuma, lemj par </w:t>
      </w:r>
      <w:r w:rsidR="00780365" w:rsidRPr="006557B3">
        <w:rPr>
          <w:rFonts w:ascii="Times New Roman" w:hAnsi="Times New Roman" w:cs="Times New Roman"/>
          <w:sz w:val="24"/>
          <w:szCs w:val="24"/>
          <w:lang w:val="lv-LV"/>
        </w:rPr>
        <w:t>uztura bagātinātāja</w:t>
      </w:r>
      <w:r w:rsidRPr="006557B3">
        <w:rPr>
          <w:rFonts w:ascii="Times New Roman" w:hAnsi="Times New Roman" w:cs="Times New Roman"/>
          <w:sz w:val="24"/>
          <w:szCs w:val="24"/>
          <w:lang w:val="lv-LV"/>
        </w:rPr>
        <w:t xml:space="preserve"> atbilstību Farmācijas likumā noteiktajai zāļu definīcijai vai par </w:t>
      </w:r>
      <w:r w:rsidR="00780365" w:rsidRPr="006557B3">
        <w:rPr>
          <w:rFonts w:ascii="Times New Roman" w:hAnsi="Times New Roman" w:cs="Times New Roman"/>
          <w:sz w:val="24"/>
          <w:szCs w:val="24"/>
          <w:lang w:val="lv-LV"/>
        </w:rPr>
        <w:t>uztura bagātinātāja</w:t>
      </w:r>
      <w:r w:rsidRPr="006557B3">
        <w:rPr>
          <w:rFonts w:ascii="Times New Roman" w:hAnsi="Times New Roman" w:cs="Times New Roman"/>
          <w:sz w:val="24"/>
          <w:szCs w:val="24"/>
          <w:lang w:val="lv-LV"/>
        </w:rPr>
        <w:t xml:space="preserve"> neatbilstību Farmācijas likumā noteiktajai zāļu definīcijai. Ja </w:t>
      </w:r>
      <w:r w:rsidR="00780365" w:rsidRPr="006557B3">
        <w:rPr>
          <w:rFonts w:ascii="Times New Roman" w:hAnsi="Times New Roman" w:cs="Times New Roman"/>
          <w:sz w:val="24"/>
          <w:szCs w:val="24"/>
          <w:lang w:val="lv-LV"/>
        </w:rPr>
        <w:t>uztura bagātinātājs</w:t>
      </w:r>
      <w:r w:rsidRPr="006557B3">
        <w:rPr>
          <w:rFonts w:ascii="Times New Roman" w:hAnsi="Times New Roman" w:cs="Times New Roman"/>
          <w:sz w:val="24"/>
          <w:szCs w:val="24"/>
          <w:lang w:val="lv-LV"/>
        </w:rPr>
        <w:t>, ņemot vērā visas īpašības, atbilst zāļu definīcijai, tas ir pakļauts</w:t>
      </w:r>
      <w:r w:rsidR="00713C8D"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reģistrācijai saskaņā ar Noteikumos Nr.376</w:t>
      </w:r>
      <w:r w:rsidR="00713C8D"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noteikto kārtību.</w:t>
      </w:r>
    </w:p>
    <w:p w14:paraId="00FA1AE0" w14:textId="77777777" w:rsidR="004B0A88" w:rsidRPr="006557B3" w:rsidRDefault="004B0A88" w:rsidP="009225D0">
      <w:pPr>
        <w:keepNext/>
        <w:tabs>
          <w:tab w:val="left" w:pos="8647"/>
        </w:tabs>
        <w:spacing w:after="0" w:line="240" w:lineRule="auto"/>
        <w:ind w:firstLine="709"/>
        <w:jc w:val="both"/>
        <w:rPr>
          <w:rFonts w:ascii="Times New Roman" w:hAnsi="Times New Roman" w:cs="Times New Roman"/>
          <w:sz w:val="24"/>
          <w:szCs w:val="24"/>
          <w:lang w:val="lv-LV"/>
        </w:rPr>
      </w:pPr>
    </w:p>
    <w:p w14:paraId="0DFE2E63" w14:textId="77777777" w:rsidR="005A0941" w:rsidRPr="006557B3" w:rsidRDefault="006A2E3C" w:rsidP="00C05C12">
      <w:pPr>
        <w:pStyle w:val="Sarakstarindkopa"/>
        <w:tabs>
          <w:tab w:val="left" w:pos="8647"/>
        </w:tabs>
        <w:spacing w:after="0" w:line="240" w:lineRule="auto"/>
        <w:ind w:left="0"/>
        <w:jc w:val="both"/>
        <w:rPr>
          <w:rFonts w:ascii="Times New Roman" w:hAnsi="Times New Roman"/>
          <w:b/>
          <w:bCs/>
          <w:sz w:val="24"/>
          <w:szCs w:val="24"/>
          <w:lang w:val="lv-LV"/>
        </w:rPr>
      </w:pPr>
      <w:r w:rsidRPr="006557B3">
        <w:rPr>
          <w:rFonts w:ascii="Times New Roman" w:hAnsi="Times New Roman"/>
          <w:b/>
          <w:bCs/>
          <w:sz w:val="24"/>
          <w:szCs w:val="24"/>
          <w:lang w:val="lv-LV"/>
        </w:rPr>
        <w:t>3.3.</w:t>
      </w:r>
      <w:r w:rsidR="00B838E2" w:rsidRPr="006557B3">
        <w:rPr>
          <w:rFonts w:ascii="Times New Roman" w:hAnsi="Times New Roman"/>
          <w:b/>
          <w:bCs/>
          <w:sz w:val="24"/>
          <w:szCs w:val="24"/>
          <w:lang w:val="lv-LV"/>
        </w:rPr>
        <w:t xml:space="preserve"> </w:t>
      </w:r>
      <w:r w:rsidR="005A0941" w:rsidRPr="006557B3">
        <w:rPr>
          <w:rFonts w:ascii="Times New Roman" w:hAnsi="Times New Roman"/>
          <w:b/>
          <w:bCs/>
          <w:sz w:val="24"/>
          <w:szCs w:val="24"/>
          <w:lang w:val="lv-LV"/>
        </w:rPr>
        <w:t>Slimību profilakses un kontroles centrs</w:t>
      </w:r>
    </w:p>
    <w:p w14:paraId="6B463925" w14:textId="77777777" w:rsidR="005A0941" w:rsidRPr="006557B3" w:rsidRDefault="005A0941"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Slimību profilakses un kontroles centrs ir Veselības ministrijas pārraudzībā esošā valsts pārvaldes iestāde, kas veic infekcijas slimību epidemioloģisko uzraudzību un monitoringu, reģistrāciju, izmeklēšanu, statistikas datu apkopošanu par infekcijas slimībām, organizē infekcijas slimību profilakses un izplatības ierobežošanas pasākumus.</w:t>
      </w:r>
    </w:p>
    <w:p w14:paraId="000B2E97" w14:textId="1547CEF5" w:rsidR="005A0941" w:rsidRPr="006557B3" w:rsidRDefault="005A0941" w:rsidP="00C05C12">
      <w:pPr>
        <w:tabs>
          <w:tab w:val="left" w:pos="8647"/>
        </w:tabs>
        <w:spacing w:after="0" w:line="240" w:lineRule="auto"/>
        <w:ind w:firstLine="709"/>
        <w:jc w:val="both"/>
        <w:rPr>
          <w:rFonts w:ascii="Times New Roman" w:hAnsi="Times New Roman" w:cs="Times New Roman"/>
          <w:color w:val="000000" w:themeColor="text1"/>
          <w:sz w:val="24"/>
          <w:szCs w:val="24"/>
          <w:lang w:val="lv-LV" w:eastAsia="lv-LV"/>
        </w:rPr>
      </w:pPr>
      <w:r w:rsidRPr="006557B3">
        <w:rPr>
          <w:rFonts w:ascii="Times New Roman" w:hAnsi="Times New Roman" w:cs="Times New Roman"/>
          <w:color w:val="000000" w:themeColor="text1"/>
          <w:sz w:val="24"/>
          <w:szCs w:val="24"/>
          <w:lang w:val="lv-LV"/>
        </w:rPr>
        <w:t>Lai veicinātu iedzīvotāju veselīgu un aktīvu dzīvesveidu, kā arī veselīgus uztura paradumus, Veselības ministrija sadarbībā ar Slimību profilakses un kontroles centru organizē informatīvās kampaņas un izglītojošus pasākumus</w:t>
      </w:r>
      <w:r w:rsidR="002735F5" w:rsidRPr="006557B3">
        <w:rPr>
          <w:rFonts w:ascii="Times New Roman" w:hAnsi="Times New Roman" w:cs="Times New Roman"/>
          <w:color w:val="000000" w:themeColor="text1"/>
          <w:sz w:val="24"/>
          <w:szCs w:val="24"/>
          <w:lang w:val="lv-LV"/>
        </w:rPr>
        <w:t>, tai skaitā par veselīgu uzturu</w:t>
      </w:r>
      <w:r w:rsidRPr="006557B3">
        <w:rPr>
          <w:rFonts w:ascii="Times New Roman" w:hAnsi="Times New Roman" w:cs="Times New Roman"/>
          <w:color w:val="000000" w:themeColor="text1"/>
          <w:sz w:val="24"/>
          <w:szCs w:val="24"/>
          <w:lang w:val="lv-LV"/>
        </w:rPr>
        <w:t xml:space="preserve"> dažādām sabiedrības grupām, kā arī veido infografikas</w:t>
      </w:r>
      <w:r w:rsidRPr="006557B3">
        <w:rPr>
          <w:rStyle w:val="Vresatsauce"/>
          <w:rFonts w:ascii="Times New Roman" w:hAnsi="Times New Roman" w:cs="Times New Roman"/>
          <w:color w:val="000000" w:themeColor="text1"/>
          <w:sz w:val="24"/>
          <w:szCs w:val="24"/>
          <w:lang w:val="lv-LV"/>
        </w:rPr>
        <w:footnoteReference w:customMarkFollows="1" w:id="1"/>
        <w:t>[1]</w:t>
      </w:r>
      <w:r w:rsidRPr="006557B3">
        <w:rPr>
          <w:rFonts w:ascii="Times New Roman" w:hAnsi="Times New Roman" w:cs="Times New Roman"/>
          <w:color w:val="000000" w:themeColor="text1"/>
          <w:sz w:val="24"/>
          <w:szCs w:val="24"/>
          <w:lang w:val="lv-LV"/>
        </w:rPr>
        <w:t>, bukletus</w:t>
      </w:r>
      <w:r w:rsidRPr="006557B3">
        <w:rPr>
          <w:rStyle w:val="Vresatsauce"/>
          <w:rFonts w:ascii="Times New Roman" w:hAnsi="Times New Roman" w:cs="Times New Roman"/>
          <w:color w:val="000000" w:themeColor="text1"/>
          <w:sz w:val="24"/>
          <w:szCs w:val="24"/>
          <w:lang w:val="lv-LV"/>
        </w:rPr>
        <w:footnoteReference w:customMarkFollows="1" w:id="2"/>
        <w:t>[2]</w:t>
      </w:r>
      <w:r w:rsidRPr="006557B3">
        <w:rPr>
          <w:rFonts w:ascii="Times New Roman" w:hAnsi="Times New Roman" w:cs="Times New Roman"/>
          <w:color w:val="000000" w:themeColor="text1"/>
          <w:sz w:val="24"/>
          <w:szCs w:val="24"/>
          <w:lang w:val="lv-LV"/>
        </w:rPr>
        <w:t xml:space="preserve"> un izvieto informāciju </w:t>
      </w:r>
      <w:r w:rsidR="00C81A2C" w:rsidRPr="006557B3">
        <w:rPr>
          <w:rFonts w:ascii="Times New Roman" w:hAnsi="Times New Roman" w:cs="Times New Roman"/>
          <w:color w:val="000000" w:themeColor="text1"/>
          <w:sz w:val="24"/>
          <w:szCs w:val="24"/>
          <w:lang w:val="lv-LV"/>
        </w:rPr>
        <w:t>plašsaziņas līdzekļos</w:t>
      </w:r>
      <w:r w:rsidRPr="006557B3">
        <w:rPr>
          <w:rFonts w:ascii="Times New Roman" w:hAnsi="Times New Roman" w:cs="Times New Roman"/>
          <w:color w:val="000000" w:themeColor="text1"/>
          <w:sz w:val="24"/>
          <w:szCs w:val="24"/>
          <w:lang w:val="lv-LV"/>
        </w:rPr>
        <w:t xml:space="preserve">, </w:t>
      </w:r>
      <w:r w:rsidR="00C81A2C" w:rsidRPr="006557B3">
        <w:rPr>
          <w:rFonts w:ascii="Times New Roman" w:hAnsi="Times New Roman" w:cs="Times New Roman"/>
          <w:color w:val="000000" w:themeColor="text1"/>
          <w:sz w:val="24"/>
          <w:szCs w:val="24"/>
          <w:lang w:val="lv-LV"/>
        </w:rPr>
        <w:t xml:space="preserve">tostarp </w:t>
      </w:r>
      <w:r w:rsidRPr="006557B3">
        <w:rPr>
          <w:rFonts w:ascii="Times New Roman" w:hAnsi="Times New Roman" w:cs="Times New Roman"/>
          <w:color w:val="000000" w:themeColor="text1"/>
          <w:sz w:val="24"/>
          <w:szCs w:val="24"/>
          <w:lang w:val="lv-LV"/>
        </w:rPr>
        <w:t xml:space="preserve">presē, vides reklāmā. </w:t>
      </w:r>
    </w:p>
    <w:p w14:paraId="48070AEE" w14:textId="77777777" w:rsidR="00BB5234" w:rsidRPr="006557B3" w:rsidRDefault="00BB5234" w:rsidP="00C05C12">
      <w:pPr>
        <w:tabs>
          <w:tab w:val="left" w:pos="8647"/>
        </w:tabs>
        <w:spacing w:after="0" w:line="240" w:lineRule="auto"/>
        <w:ind w:firstLine="709"/>
        <w:jc w:val="both"/>
        <w:rPr>
          <w:rFonts w:ascii="Times New Roman" w:hAnsi="Times New Roman" w:cs="Times New Roman"/>
          <w:sz w:val="24"/>
          <w:szCs w:val="24"/>
          <w:lang w:val="lv-LV"/>
        </w:rPr>
      </w:pPr>
    </w:p>
    <w:p w14:paraId="669AC75F" w14:textId="77777777" w:rsidR="00BB5234" w:rsidRPr="006557B3" w:rsidRDefault="003E4DF8" w:rsidP="00C05C12">
      <w:pPr>
        <w:tabs>
          <w:tab w:val="left" w:pos="8647"/>
        </w:tabs>
        <w:spacing w:after="0" w:line="240" w:lineRule="auto"/>
        <w:jc w:val="both"/>
        <w:rPr>
          <w:rFonts w:ascii="Times New Roman" w:hAnsi="Times New Roman" w:cs="Times New Roman"/>
          <w:b/>
          <w:bCs/>
          <w:sz w:val="24"/>
          <w:szCs w:val="24"/>
          <w:lang w:val="lv-LV"/>
        </w:rPr>
      </w:pPr>
      <w:r w:rsidRPr="006557B3">
        <w:rPr>
          <w:rFonts w:ascii="Times New Roman" w:hAnsi="Times New Roman" w:cs="Times New Roman"/>
          <w:b/>
          <w:sz w:val="24"/>
          <w:szCs w:val="24"/>
          <w:lang w:val="lv-LV"/>
        </w:rPr>
        <w:t xml:space="preserve">3.4. </w:t>
      </w:r>
      <w:r w:rsidR="00BB5234" w:rsidRPr="006557B3">
        <w:rPr>
          <w:rFonts w:ascii="Times New Roman" w:hAnsi="Times New Roman" w:cs="Times New Roman"/>
          <w:b/>
          <w:sz w:val="24"/>
          <w:szCs w:val="24"/>
          <w:lang w:val="lv-LV"/>
        </w:rPr>
        <w:t>P</w:t>
      </w:r>
      <w:r w:rsidR="00BB5234" w:rsidRPr="006557B3">
        <w:rPr>
          <w:rFonts w:ascii="Times New Roman" w:hAnsi="Times New Roman" w:cs="Times New Roman"/>
          <w:b/>
          <w:bCs/>
          <w:sz w:val="24"/>
          <w:szCs w:val="24"/>
          <w:lang w:val="lv-LV"/>
        </w:rPr>
        <w:t>atērētāju tiesību aizsardzības centrs (turpmāk – PTAC)</w:t>
      </w:r>
    </w:p>
    <w:p w14:paraId="5ADF8158" w14:textId="3259948B" w:rsidR="00BB5234" w:rsidRPr="006557B3" w:rsidRDefault="00BB5234"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Uztura bagātinātāju reklāmas un komercprakses uzraudzīb</w:t>
      </w:r>
      <w:r w:rsidR="00C81A2C" w:rsidRPr="006557B3">
        <w:rPr>
          <w:rFonts w:ascii="Times New Roman" w:hAnsi="Times New Roman" w:cs="Times New Roman"/>
          <w:sz w:val="24"/>
          <w:szCs w:val="24"/>
          <w:lang w:val="lv-LV"/>
        </w:rPr>
        <w:t>a</w:t>
      </w:r>
      <w:r w:rsidRPr="006557B3">
        <w:rPr>
          <w:rFonts w:ascii="Times New Roman" w:hAnsi="Times New Roman" w:cs="Times New Roman"/>
          <w:sz w:val="24"/>
          <w:szCs w:val="24"/>
          <w:lang w:val="lv-LV"/>
        </w:rPr>
        <w:t xml:space="preserve"> </w:t>
      </w:r>
      <w:r w:rsidR="00C81A2C" w:rsidRPr="006557B3">
        <w:rPr>
          <w:rFonts w:ascii="Times New Roman" w:hAnsi="Times New Roman" w:cs="Times New Roman"/>
          <w:sz w:val="24"/>
          <w:szCs w:val="24"/>
          <w:lang w:val="lv-LV"/>
        </w:rPr>
        <w:t xml:space="preserve">ir </w:t>
      </w:r>
      <w:r w:rsidRPr="006557B3">
        <w:rPr>
          <w:rFonts w:ascii="Times New Roman" w:hAnsi="Times New Roman" w:cs="Times New Roman"/>
          <w:sz w:val="24"/>
          <w:szCs w:val="24"/>
          <w:lang w:val="lv-LV"/>
        </w:rPr>
        <w:t>Ekonomikas ministrijas pārraudzībā esoš</w:t>
      </w:r>
      <w:r w:rsidR="00C81A2C" w:rsidRPr="006557B3">
        <w:rPr>
          <w:rFonts w:ascii="Times New Roman" w:hAnsi="Times New Roman" w:cs="Times New Roman"/>
          <w:sz w:val="24"/>
          <w:szCs w:val="24"/>
          <w:lang w:val="lv-LV"/>
        </w:rPr>
        <w:t>as</w:t>
      </w:r>
      <w:r w:rsidRPr="006557B3">
        <w:rPr>
          <w:rFonts w:ascii="Times New Roman" w:hAnsi="Times New Roman" w:cs="Times New Roman"/>
          <w:sz w:val="24"/>
          <w:szCs w:val="24"/>
          <w:lang w:val="lv-LV"/>
        </w:rPr>
        <w:t xml:space="preserve"> valsts pārvaldes iestāde</w:t>
      </w:r>
      <w:r w:rsidR="003A528C">
        <w:rPr>
          <w:rFonts w:ascii="Times New Roman" w:hAnsi="Times New Roman" w:cs="Times New Roman"/>
          <w:sz w:val="24"/>
          <w:szCs w:val="24"/>
          <w:lang w:val="lv-LV"/>
        </w:rPr>
        <w:t>s</w:t>
      </w:r>
      <w:r w:rsidRPr="006557B3">
        <w:rPr>
          <w:rFonts w:ascii="Times New Roman" w:hAnsi="Times New Roman" w:cs="Times New Roman"/>
          <w:sz w:val="24"/>
          <w:szCs w:val="24"/>
          <w:lang w:val="lv-LV"/>
        </w:rPr>
        <w:t xml:space="preserve"> – PTAC</w:t>
      </w:r>
      <w:r w:rsidR="007A471F">
        <w:rPr>
          <w:rFonts w:ascii="Times New Roman" w:hAnsi="Times New Roman" w:cs="Times New Roman"/>
          <w:sz w:val="24"/>
          <w:szCs w:val="24"/>
          <w:lang w:val="lv-LV"/>
        </w:rPr>
        <w:t>,</w:t>
      </w:r>
      <w:r w:rsidR="00C81A2C" w:rsidRPr="006557B3">
        <w:rPr>
          <w:rFonts w:ascii="Times New Roman" w:hAnsi="Times New Roman" w:cs="Times New Roman"/>
          <w:sz w:val="24"/>
          <w:szCs w:val="24"/>
          <w:lang w:val="lv-LV"/>
        </w:rPr>
        <w:t>  pārziņā</w:t>
      </w:r>
      <w:r w:rsidRPr="006557B3">
        <w:rPr>
          <w:rFonts w:ascii="Times New Roman" w:hAnsi="Times New Roman" w:cs="Times New Roman"/>
          <w:sz w:val="24"/>
          <w:szCs w:val="24"/>
          <w:lang w:val="lv-LV"/>
        </w:rPr>
        <w:t xml:space="preserve">. </w:t>
      </w:r>
    </w:p>
    <w:p w14:paraId="4B71F425" w14:textId="77777777" w:rsidR="00BB5234" w:rsidRPr="006557B3" w:rsidRDefault="00BB5234" w:rsidP="00C05C12">
      <w:pPr>
        <w:tabs>
          <w:tab w:val="left" w:pos="8647"/>
        </w:tabs>
        <w:spacing w:after="0" w:line="240" w:lineRule="auto"/>
        <w:ind w:firstLine="709"/>
        <w:jc w:val="both"/>
        <w:rPr>
          <w:rFonts w:ascii="Times New Roman" w:hAnsi="Times New Roman" w:cs="Times New Roman"/>
          <w:sz w:val="24"/>
          <w:szCs w:val="24"/>
          <w:lang w:val="lv-LV" w:eastAsia="lv-LV"/>
        </w:rPr>
      </w:pPr>
      <w:r w:rsidRPr="006557B3">
        <w:rPr>
          <w:rFonts w:ascii="Times New Roman" w:hAnsi="Times New Roman" w:cs="Times New Roman"/>
          <w:sz w:val="24"/>
          <w:szCs w:val="24"/>
          <w:lang w:val="lv-LV" w:eastAsia="lv-LV"/>
        </w:rPr>
        <w:t>PTAC nodrošina:</w:t>
      </w:r>
    </w:p>
    <w:p w14:paraId="6DB00DD9" w14:textId="48F6FFB8" w:rsidR="00BB5234" w:rsidRPr="006557B3" w:rsidRDefault="00BB5234" w:rsidP="00C05C12">
      <w:pPr>
        <w:pStyle w:val="Sarakstarindkopa"/>
        <w:numPr>
          <w:ilvl w:val="0"/>
          <w:numId w:val="23"/>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 xml:space="preserve">uztura bagātinātāju reklāmas atbilstības kontroli normatīvo aktu prasībām tirdzniecības vietās, plašsaziņas līdzekļos un </w:t>
      </w:r>
      <w:r w:rsidR="00C81A2C" w:rsidRPr="006557B3">
        <w:rPr>
          <w:rFonts w:ascii="Times New Roman" w:hAnsi="Times New Roman"/>
          <w:sz w:val="24"/>
          <w:szCs w:val="24"/>
          <w:lang w:val="lv-LV"/>
        </w:rPr>
        <w:t xml:space="preserve">tīmekļa </w:t>
      </w:r>
      <w:r w:rsidRPr="006557B3">
        <w:rPr>
          <w:rFonts w:ascii="Times New Roman" w:hAnsi="Times New Roman"/>
          <w:sz w:val="24"/>
          <w:szCs w:val="24"/>
          <w:lang w:val="lv-LV"/>
        </w:rPr>
        <w:t xml:space="preserve">vietnēs; </w:t>
      </w:r>
    </w:p>
    <w:p w14:paraId="161038F1" w14:textId="5F2091F5" w:rsidR="00BB5234" w:rsidRPr="006557B3" w:rsidRDefault="00BB5234" w:rsidP="00C05C12">
      <w:pPr>
        <w:pStyle w:val="Sarakstarindkopa"/>
        <w:numPr>
          <w:ilvl w:val="0"/>
          <w:numId w:val="23"/>
        </w:numPr>
        <w:tabs>
          <w:tab w:val="left" w:pos="8647"/>
        </w:tabs>
        <w:spacing w:after="0" w:line="240" w:lineRule="auto"/>
        <w:jc w:val="both"/>
        <w:rPr>
          <w:rFonts w:ascii="Times New Roman" w:hAnsi="Times New Roman"/>
          <w:sz w:val="24"/>
          <w:szCs w:val="24"/>
          <w:lang w:val="lv-LV" w:eastAsia="lv-LV"/>
        </w:rPr>
      </w:pPr>
      <w:r w:rsidRPr="006557B3">
        <w:rPr>
          <w:rFonts w:ascii="Times New Roman" w:hAnsi="Times New Roman"/>
          <w:sz w:val="24"/>
          <w:szCs w:val="24"/>
          <w:lang w:val="lv-LV" w:eastAsia="lv-LV"/>
        </w:rPr>
        <w:t>par patērētāju tiesību pārkāpumiem saņemto patērētāju iesniegumu izskatīšanu, palīdzības sniegšanu patērētājiem konfliktu risināšanā ar ražotājiem, pārdevējiem vai pakalpojumu sniedzējiem, kā arī patērētāju likumīgo prasību izpildes pieprasīšanu;</w:t>
      </w:r>
    </w:p>
    <w:p w14:paraId="076539D0" w14:textId="7F8C5BE3" w:rsidR="00BB5234" w:rsidRPr="006557B3" w:rsidRDefault="00BB5234" w:rsidP="00C05C12">
      <w:pPr>
        <w:pStyle w:val="Sarakstarindkopa"/>
        <w:numPr>
          <w:ilvl w:val="0"/>
          <w:numId w:val="23"/>
        </w:numPr>
        <w:tabs>
          <w:tab w:val="left" w:pos="8647"/>
        </w:tabs>
        <w:spacing w:after="0" w:line="240" w:lineRule="auto"/>
        <w:jc w:val="both"/>
        <w:rPr>
          <w:rFonts w:ascii="Times New Roman" w:hAnsi="Times New Roman"/>
          <w:sz w:val="24"/>
          <w:szCs w:val="24"/>
          <w:lang w:val="lv-LV" w:eastAsia="lv-LV"/>
        </w:rPr>
      </w:pPr>
      <w:r w:rsidRPr="006557B3">
        <w:rPr>
          <w:rFonts w:ascii="Times New Roman" w:hAnsi="Times New Roman"/>
          <w:sz w:val="24"/>
          <w:szCs w:val="24"/>
          <w:lang w:val="lv-LV" w:eastAsia="lv-LV"/>
        </w:rPr>
        <w:t>juridiska rakstura palīdzības sniegšanu patērētājiem jautājumos, kas skar viņu tiesības;</w:t>
      </w:r>
    </w:p>
    <w:p w14:paraId="5167A63F" w14:textId="3BE6F3A9" w:rsidR="00BB5234" w:rsidRPr="006557B3" w:rsidRDefault="00BB5234" w:rsidP="00C05C12">
      <w:pPr>
        <w:pStyle w:val="Sarakstarindkopa"/>
        <w:numPr>
          <w:ilvl w:val="0"/>
          <w:numId w:val="23"/>
        </w:numPr>
        <w:tabs>
          <w:tab w:val="left" w:pos="8647"/>
        </w:tabs>
        <w:spacing w:after="0" w:line="240" w:lineRule="auto"/>
        <w:jc w:val="both"/>
        <w:rPr>
          <w:rFonts w:ascii="Times New Roman" w:hAnsi="Times New Roman"/>
          <w:sz w:val="24"/>
          <w:szCs w:val="24"/>
          <w:lang w:val="lv-LV" w:eastAsia="lv-LV"/>
        </w:rPr>
      </w:pPr>
      <w:r w:rsidRPr="006557B3">
        <w:rPr>
          <w:rFonts w:ascii="Times New Roman" w:hAnsi="Times New Roman"/>
          <w:sz w:val="24"/>
          <w:szCs w:val="24"/>
          <w:lang w:val="lv-LV" w:eastAsia="lv-LV"/>
        </w:rPr>
        <w:t>patērētāju tiesību ievērošanas uzraudzību līgumu projektos un līgumos, ko patērētāji slēdz ar ražotājiem, pārdevējiem vai pakalpojuma sniedzējiem, kā arī normatīvajos aktos paredzēto darbību veikšanu, lai ražotājs, pārdevējs vai pakalpojuma sniedzējs mainītu vai pārtrauktu pildīt līguma projekta vai līguma noteikumus, ja šajā dokumentā konstatēti netaisnīgi vai neskaidri noteikumi.</w:t>
      </w:r>
    </w:p>
    <w:p w14:paraId="1CB0FBA5" w14:textId="77777777" w:rsidR="00472093" w:rsidRDefault="00472093" w:rsidP="00C05C12">
      <w:pPr>
        <w:tabs>
          <w:tab w:val="left" w:pos="8647"/>
        </w:tabs>
        <w:spacing w:after="0" w:line="240" w:lineRule="auto"/>
        <w:ind w:firstLine="709"/>
        <w:jc w:val="both"/>
        <w:rPr>
          <w:rFonts w:ascii="Times New Roman" w:hAnsi="Times New Roman" w:cs="Times New Roman"/>
          <w:sz w:val="24"/>
          <w:szCs w:val="24"/>
          <w:lang w:val="lv-LV" w:eastAsia="lv-LV"/>
        </w:rPr>
      </w:pPr>
    </w:p>
    <w:p w14:paraId="4CB2B345" w14:textId="77777777" w:rsidR="00472093" w:rsidRDefault="00472093" w:rsidP="00C05C12">
      <w:pPr>
        <w:tabs>
          <w:tab w:val="left" w:pos="8647"/>
        </w:tabs>
        <w:spacing w:after="0" w:line="240" w:lineRule="auto"/>
        <w:ind w:firstLine="709"/>
        <w:jc w:val="both"/>
        <w:rPr>
          <w:rFonts w:ascii="Times New Roman" w:hAnsi="Times New Roman" w:cs="Times New Roman"/>
          <w:sz w:val="24"/>
          <w:szCs w:val="24"/>
          <w:lang w:val="lv-LV" w:eastAsia="lv-LV"/>
        </w:rPr>
      </w:pPr>
    </w:p>
    <w:p w14:paraId="4A4446A5" w14:textId="77777777" w:rsidR="0003361A" w:rsidRDefault="0003361A" w:rsidP="00C05C12">
      <w:pPr>
        <w:tabs>
          <w:tab w:val="left" w:pos="8647"/>
        </w:tabs>
        <w:spacing w:after="0" w:line="240" w:lineRule="auto"/>
        <w:ind w:firstLine="709"/>
        <w:jc w:val="both"/>
        <w:rPr>
          <w:rFonts w:ascii="Times New Roman" w:hAnsi="Times New Roman" w:cs="Times New Roman"/>
          <w:sz w:val="24"/>
          <w:szCs w:val="24"/>
          <w:lang w:val="lv-LV" w:eastAsia="lv-LV"/>
        </w:rPr>
      </w:pPr>
    </w:p>
    <w:p w14:paraId="3856FBF0" w14:textId="77777777" w:rsidR="0003361A" w:rsidRDefault="0003361A" w:rsidP="00C05C12">
      <w:pPr>
        <w:tabs>
          <w:tab w:val="left" w:pos="8647"/>
        </w:tabs>
        <w:spacing w:after="0" w:line="240" w:lineRule="auto"/>
        <w:ind w:firstLine="709"/>
        <w:jc w:val="both"/>
        <w:rPr>
          <w:rFonts w:ascii="Times New Roman" w:hAnsi="Times New Roman" w:cs="Times New Roman"/>
          <w:sz w:val="24"/>
          <w:szCs w:val="24"/>
          <w:lang w:val="lv-LV" w:eastAsia="lv-LV"/>
        </w:rPr>
      </w:pPr>
    </w:p>
    <w:p w14:paraId="7C0BF16A" w14:textId="77777777" w:rsidR="0003361A" w:rsidRPr="006557B3" w:rsidRDefault="0003361A" w:rsidP="00C05C12">
      <w:pPr>
        <w:tabs>
          <w:tab w:val="left" w:pos="8647"/>
        </w:tabs>
        <w:spacing w:after="0" w:line="240" w:lineRule="auto"/>
        <w:ind w:firstLine="709"/>
        <w:jc w:val="both"/>
        <w:rPr>
          <w:rFonts w:ascii="Times New Roman" w:hAnsi="Times New Roman" w:cs="Times New Roman"/>
          <w:sz w:val="24"/>
          <w:szCs w:val="24"/>
          <w:lang w:val="lv-LV" w:eastAsia="lv-LV"/>
        </w:rPr>
      </w:pPr>
    </w:p>
    <w:p w14:paraId="0ABFAE29" w14:textId="77777777" w:rsidR="00D72850" w:rsidRPr="006557B3" w:rsidRDefault="00052749" w:rsidP="00C05C12">
      <w:pPr>
        <w:tabs>
          <w:tab w:val="left" w:pos="8647"/>
        </w:tabs>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lastRenderedPageBreak/>
        <w:t xml:space="preserve">4. </w:t>
      </w:r>
      <w:r w:rsidR="00D72850" w:rsidRPr="006557B3">
        <w:rPr>
          <w:rFonts w:ascii="Times New Roman" w:hAnsi="Times New Roman" w:cs="Times New Roman"/>
          <w:b/>
          <w:sz w:val="24"/>
          <w:szCs w:val="24"/>
          <w:lang w:val="lv-LV"/>
        </w:rPr>
        <w:t>Konstatētās problēmas uztura bagātinātāju uzraudzības un kontroles, kā arī sabiedrības izglītošanas jomā</w:t>
      </w:r>
    </w:p>
    <w:p w14:paraId="76891111" w14:textId="77777777" w:rsidR="00D72850" w:rsidRPr="006557B3" w:rsidRDefault="00D72850" w:rsidP="00C05C12">
      <w:pPr>
        <w:tabs>
          <w:tab w:val="left" w:pos="8647"/>
        </w:tabs>
        <w:spacing w:after="0" w:line="240" w:lineRule="auto"/>
        <w:ind w:firstLine="709"/>
        <w:jc w:val="both"/>
        <w:rPr>
          <w:rFonts w:ascii="Times New Roman" w:hAnsi="Times New Roman" w:cs="Times New Roman"/>
          <w:sz w:val="24"/>
          <w:szCs w:val="24"/>
          <w:lang w:val="lv-LV"/>
        </w:rPr>
      </w:pPr>
    </w:p>
    <w:p w14:paraId="03609F88" w14:textId="77777777" w:rsidR="00C24FA8" w:rsidRPr="006557B3" w:rsidRDefault="000D22FF" w:rsidP="00C05C12">
      <w:pPr>
        <w:tabs>
          <w:tab w:val="left" w:pos="8647"/>
        </w:tabs>
        <w:autoSpaceDE w:val="0"/>
        <w:autoSpaceDN w:val="0"/>
        <w:adjustRightInd w:val="0"/>
        <w:spacing w:after="0" w:line="240" w:lineRule="auto"/>
        <w:jc w:val="both"/>
        <w:rPr>
          <w:rFonts w:ascii="Times New Roman" w:eastAsia="Times New Roman" w:hAnsi="Times New Roman" w:cs="Times New Roman"/>
          <w:b/>
          <w:bCs/>
          <w:sz w:val="24"/>
          <w:szCs w:val="24"/>
          <w:lang w:val="lv-LV" w:eastAsia="fr-FR"/>
        </w:rPr>
      </w:pPr>
      <w:r w:rsidRPr="006557B3">
        <w:rPr>
          <w:rFonts w:ascii="Times New Roman" w:hAnsi="Times New Roman" w:cs="Times New Roman"/>
          <w:b/>
          <w:sz w:val="24"/>
          <w:szCs w:val="24"/>
          <w:lang w:val="lv-LV"/>
        </w:rPr>
        <w:t xml:space="preserve">4.1. </w:t>
      </w:r>
      <w:r w:rsidR="00A71DB1" w:rsidRPr="006557B3">
        <w:rPr>
          <w:rFonts w:ascii="Times New Roman" w:hAnsi="Times New Roman" w:cs="Times New Roman"/>
          <w:b/>
          <w:sz w:val="24"/>
          <w:szCs w:val="24"/>
          <w:lang w:val="lv-LV"/>
        </w:rPr>
        <w:t>Eiropas Savienības</w:t>
      </w:r>
      <w:r w:rsidR="00C24FA8" w:rsidRPr="006557B3">
        <w:rPr>
          <w:rFonts w:ascii="Times New Roman" w:eastAsia="Times New Roman" w:hAnsi="Times New Roman" w:cs="Times New Roman"/>
          <w:b/>
          <w:bCs/>
          <w:sz w:val="24"/>
          <w:szCs w:val="24"/>
          <w:lang w:val="lv-LV" w:eastAsia="fr-FR"/>
        </w:rPr>
        <w:t xml:space="preserve"> dalībvalstīs konstatētie pārk</w:t>
      </w:r>
      <w:r w:rsidR="00AE4598" w:rsidRPr="006557B3">
        <w:rPr>
          <w:rFonts w:ascii="Times New Roman" w:eastAsia="Times New Roman" w:hAnsi="Times New Roman" w:cs="Times New Roman"/>
          <w:b/>
          <w:bCs/>
          <w:sz w:val="24"/>
          <w:szCs w:val="24"/>
          <w:lang w:val="lv-LV" w:eastAsia="fr-FR"/>
        </w:rPr>
        <w:t>āpumi</w:t>
      </w:r>
    </w:p>
    <w:p w14:paraId="2CD4DCAE" w14:textId="7EF19B56" w:rsidR="00D72850" w:rsidRPr="006557B3" w:rsidRDefault="00D72850" w:rsidP="00C05C12">
      <w:pPr>
        <w:tabs>
          <w:tab w:val="left" w:pos="8647"/>
        </w:tabs>
        <w:autoSpaceDE w:val="0"/>
        <w:autoSpaceDN w:val="0"/>
        <w:adjustRightInd w:val="0"/>
        <w:spacing w:after="0" w:line="240" w:lineRule="auto"/>
        <w:ind w:firstLine="709"/>
        <w:jc w:val="both"/>
        <w:rPr>
          <w:rFonts w:ascii="Times New Roman" w:eastAsia="Times New Roman" w:hAnsi="Times New Roman" w:cs="Times New Roman"/>
          <w:bCs/>
          <w:sz w:val="24"/>
          <w:szCs w:val="24"/>
          <w:lang w:val="lv-LV" w:eastAsia="fr-FR"/>
        </w:rPr>
      </w:pPr>
      <w:r w:rsidRPr="006557B3">
        <w:rPr>
          <w:rFonts w:ascii="Times New Roman" w:eastAsia="Times New Roman" w:hAnsi="Times New Roman" w:cs="Times New Roman"/>
          <w:bCs/>
          <w:sz w:val="24"/>
          <w:szCs w:val="24"/>
          <w:lang w:val="lv-LV" w:eastAsia="fr-FR"/>
        </w:rPr>
        <w:t xml:space="preserve">Eiropas Komisijas Pārtikas un veterinārā iestāde kopsavilkuma </w:t>
      </w:r>
      <w:r w:rsidR="00C81A2C" w:rsidRPr="006557B3">
        <w:rPr>
          <w:rFonts w:ascii="Times New Roman" w:eastAsia="Times New Roman" w:hAnsi="Times New Roman" w:cs="Times New Roman"/>
          <w:bCs/>
          <w:sz w:val="24"/>
          <w:szCs w:val="24"/>
          <w:lang w:val="lv-LV" w:eastAsia="fr-FR"/>
        </w:rPr>
        <w:t>pārskatā</w:t>
      </w:r>
      <w:r w:rsidRPr="006557B3">
        <w:rPr>
          <w:rFonts w:ascii="Times New Roman" w:eastAsia="Times New Roman" w:hAnsi="Times New Roman" w:cs="Times New Roman"/>
          <w:bCs/>
          <w:sz w:val="24"/>
          <w:szCs w:val="24"/>
          <w:lang w:val="lv-LV" w:eastAsia="fr-FR"/>
        </w:rPr>
        <w:t xml:space="preserve"> par </w:t>
      </w:r>
      <w:r w:rsidR="00C81A2C" w:rsidRPr="006557B3">
        <w:rPr>
          <w:rFonts w:ascii="Times New Roman" w:eastAsia="Times New Roman" w:hAnsi="Times New Roman" w:cs="Times New Roman"/>
          <w:bCs/>
          <w:sz w:val="24"/>
          <w:szCs w:val="24"/>
          <w:lang w:val="lv-LV" w:eastAsia="fr-FR"/>
        </w:rPr>
        <w:t xml:space="preserve">vairākās dalībvalstīs </w:t>
      </w:r>
      <w:r w:rsidRPr="006557B3">
        <w:rPr>
          <w:rFonts w:ascii="Times New Roman" w:eastAsia="Times New Roman" w:hAnsi="Times New Roman" w:cs="Times New Roman"/>
          <w:bCs/>
          <w:sz w:val="24"/>
          <w:szCs w:val="24"/>
          <w:lang w:val="lv-LV" w:eastAsia="fr-FR"/>
        </w:rPr>
        <w:t xml:space="preserve">veiktajām </w:t>
      </w:r>
      <w:r w:rsidR="000D42D1" w:rsidRPr="006557B3">
        <w:rPr>
          <w:rFonts w:ascii="Times New Roman" w:eastAsia="Times New Roman" w:hAnsi="Times New Roman" w:cs="Times New Roman"/>
          <w:bCs/>
          <w:sz w:val="24"/>
          <w:szCs w:val="24"/>
          <w:lang w:val="lv-LV" w:eastAsia="fr-FR"/>
        </w:rPr>
        <w:t>kontrolēm</w:t>
      </w:r>
      <w:r w:rsidRPr="006557B3">
        <w:rPr>
          <w:rFonts w:ascii="Times New Roman" w:eastAsia="Times New Roman" w:hAnsi="Times New Roman" w:cs="Times New Roman"/>
          <w:bCs/>
          <w:sz w:val="24"/>
          <w:szCs w:val="24"/>
          <w:lang w:val="lv-LV" w:eastAsia="fr-FR"/>
        </w:rPr>
        <w:t xml:space="preserve"> no 2013.gada līdz 2014.gadam uztura bagātinātāju jomā ir secinājusi, ka p</w:t>
      </w:r>
      <w:r w:rsidR="00C81A2C" w:rsidRPr="006557B3">
        <w:rPr>
          <w:rFonts w:ascii="Times New Roman" w:eastAsia="Times New Roman" w:hAnsi="Times New Roman" w:cs="Times New Roman"/>
          <w:bCs/>
          <w:sz w:val="24"/>
          <w:szCs w:val="24"/>
          <w:lang w:val="lv-LV" w:eastAsia="fr-FR"/>
        </w:rPr>
        <w:t>alielinās</w:t>
      </w:r>
      <w:r w:rsidRPr="006557B3">
        <w:rPr>
          <w:rFonts w:ascii="Times New Roman" w:eastAsia="Times New Roman" w:hAnsi="Times New Roman" w:cs="Times New Roman"/>
          <w:bCs/>
          <w:sz w:val="24"/>
          <w:szCs w:val="24"/>
          <w:lang w:val="lv-LV" w:eastAsia="fr-FR"/>
        </w:rPr>
        <w:t xml:space="preserve"> </w:t>
      </w:r>
      <w:r w:rsidRPr="006557B3">
        <w:rPr>
          <w:rFonts w:ascii="Times New Roman" w:hAnsi="Times New Roman" w:cs="Times New Roman"/>
          <w:sz w:val="24"/>
          <w:szCs w:val="24"/>
          <w:lang w:val="lv-LV"/>
        </w:rPr>
        <w:t xml:space="preserve">Eiropas Savienības </w:t>
      </w:r>
      <w:r w:rsidRPr="006557B3">
        <w:rPr>
          <w:rFonts w:ascii="Times New Roman" w:hAnsi="Times New Roman" w:cs="Times New Roman"/>
          <w:bCs/>
          <w:sz w:val="24"/>
          <w:szCs w:val="24"/>
          <w:lang w:val="lv-LV"/>
        </w:rPr>
        <w:t>Ātrās brīdināšanas</w:t>
      </w:r>
      <w:r w:rsidRPr="006557B3">
        <w:rPr>
          <w:rFonts w:ascii="Times New Roman" w:hAnsi="Times New Roman" w:cs="Times New Roman"/>
          <w:sz w:val="24"/>
          <w:szCs w:val="24"/>
          <w:lang w:val="lv-LV"/>
        </w:rPr>
        <w:t xml:space="preserve"> sistēmā </w:t>
      </w:r>
      <w:r w:rsidRPr="006557B3">
        <w:rPr>
          <w:rFonts w:ascii="Times New Roman" w:hAnsi="Times New Roman" w:cs="Times New Roman"/>
          <w:bCs/>
          <w:sz w:val="24"/>
          <w:szCs w:val="24"/>
          <w:lang w:val="lv-LV"/>
        </w:rPr>
        <w:t>pārtikas</w:t>
      </w:r>
      <w:r w:rsidRPr="006557B3">
        <w:rPr>
          <w:rFonts w:ascii="Times New Roman" w:hAnsi="Times New Roman" w:cs="Times New Roman"/>
          <w:sz w:val="24"/>
          <w:szCs w:val="24"/>
          <w:lang w:val="lv-LV"/>
        </w:rPr>
        <w:t xml:space="preserve"> un </w:t>
      </w:r>
      <w:r w:rsidRPr="006557B3">
        <w:rPr>
          <w:rFonts w:ascii="Times New Roman" w:hAnsi="Times New Roman" w:cs="Times New Roman"/>
          <w:bCs/>
          <w:sz w:val="24"/>
          <w:szCs w:val="24"/>
          <w:lang w:val="lv-LV"/>
        </w:rPr>
        <w:t>barības</w:t>
      </w:r>
      <w:r w:rsidRPr="006557B3">
        <w:rPr>
          <w:rFonts w:ascii="Times New Roman" w:hAnsi="Times New Roman" w:cs="Times New Roman"/>
          <w:sz w:val="24"/>
          <w:szCs w:val="24"/>
          <w:lang w:val="lv-LV"/>
        </w:rPr>
        <w:t xml:space="preserve"> jomā (turpmāk</w:t>
      </w:r>
      <w:r w:rsidRPr="006557B3">
        <w:rPr>
          <w:rFonts w:ascii="Times New Roman" w:eastAsia="Times New Roman" w:hAnsi="Times New Roman" w:cs="Times New Roman"/>
          <w:bCs/>
          <w:sz w:val="24"/>
          <w:szCs w:val="24"/>
          <w:lang w:val="lv-LV" w:eastAsia="fr-FR"/>
        </w:rPr>
        <w:t xml:space="preserve"> –</w:t>
      </w:r>
      <w:r w:rsidRPr="006557B3">
        <w:rPr>
          <w:rFonts w:ascii="Times New Roman" w:hAnsi="Times New Roman" w:cs="Times New Roman"/>
          <w:sz w:val="24"/>
          <w:szCs w:val="24"/>
          <w:lang w:val="lv-LV"/>
        </w:rPr>
        <w:t xml:space="preserve"> </w:t>
      </w:r>
      <w:r w:rsidRPr="006557B3">
        <w:rPr>
          <w:rFonts w:ascii="Times New Roman" w:hAnsi="Times New Roman" w:cs="Times New Roman"/>
          <w:i/>
          <w:sz w:val="24"/>
          <w:szCs w:val="24"/>
          <w:lang w:val="lv-LV"/>
        </w:rPr>
        <w:t>RASFF</w:t>
      </w:r>
      <w:r w:rsidRPr="006557B3">
        <w:rPr>
          <w:rFonts w:ascii="Times New Roman" w:hAnsi="Times New Roman" w:cs="Times New Roman"/>
          <w:sz w:val="24"/>
          <w:szCs w:val="24"/>
          <w:lang w:val="lv-LV"/>
        </w:rPr>
        <w:t>)</w:t>
      </w:r>
      <w:r w:rsidRPr="006557B3">
        <w:rPr>
          <w:rFonts w:ascii="Times New Roman" w:hAnsi="Times New Roman" w:cs="Times New Roman"/>
          <w:b/>
          <w:sz w:val="24"/>
          <w:szCs w:val="24"/>
          <w:lang w:val="lv-LV"/>
        </w:rPr>
        <w:t xml:space="preserve"> </w:t>
      </w:r>
      <w:r w:rsidRPr="006557B3">
        <w:rPr>
          <w:rFonts w:ascii="Times New Roman" w:eastAsia="Times New Roman" w:hAnsi="Times New Roman" w:cs="Times New Roman"/>
          <w:bCs/>
          <w:sz w:val="24"/>
          <w:szCs w:val="24"/>
          <w:lang w:val="lv-LV" w:eastAsia="fr-FR"/>
        </w:rPr>
        <w:t>iesniegto paziņojumu skaits par tādiem uztura bagātinātājiem, kas neatbilst normatīvo aktu prasībām.</w:t>
      </w:r>
    </w:p>
    <w:p w14:paraId="7D22C27E" w14:textId="7F809B77" w:rsidR="00D72850" w:rsidRPr="006557B3" w:rsidRDefault="00C81A2C" w:rsidP="00C05C12">
      <w:pPr>
        <w:tabs>
          <w:tab w:val="left" w:pos="8647"/>
        </w:tabs>
        <w:spacing w:after="0" w:line="240" w:lineRule="auto"/>
        <w:ind w:firstLine="709"/>
        <w:jc w:val="both"/>
        <w:rPr>
          <w:rFonts w:ascii="Times New Roman" w:eastAsia="Times New Roman" w:hAnsi="Times New Roman" w:cs="Times New Roman"/>
          <w:bCs/>
          <w:sz w:val="24"/>
          <w:szCs w:val="24"/>
          <w:lang w:val="lv-LV" w:eastAsia="fr-FR"/>
        </w:rPr>
      </w:pPr>
      <w:r w:rsidRPr="006557B3">
        <w:rPr>
          <w:rFonts w:ascii="Times New Roman" w:eastAsia="Times New Roman" w:hAnsi="Times New Roman" w:cs="Times New Roman"/>
          <w:bCs/>
          <w:sz w:val="24"/>
          <w:szCs w:val="24"/>
          <w:lang w:val="lv-LV" w:eastAsia="fr-FR"/>
        </w:rPr>
        <w:t xml:space="preserve">Eiropas Savienībā </w:t>
      </w:r>
      <w:r w:rsidR="00D72850" w:rsidRPr="006557B3">
        <w:rPr>
          <w:rFonts w:ascii="Times New Roman" w:eastAsia="Times New Roman" w:hAnsi="Times New Roman" w:cs="Times New Roman"/>
          <w:bCs/>
          <w:sz w:val="24"/>
          <w:szCs w:val="24"/>
          <w:lang w:val="lv-LV" w:eastAsia="fr-FR"/>
        </w:rPr>
        <w:t>kopumā 2010. gadā bija 116, 2012. gadā – 185, 2013.</w:t>
      </w:r>
      <w:r w:rsidRPr="006557B3">
        <w:rPr>
          <w:rFonts w:ascii="Times New Roman" w:eastAsia="Times New Roman" w:hAnsi="Times New Roman" w:cs="Times New Roman"/>
          <w:bCs/>
          <w:sz w:val="24"/>
          <w:szCs w:val="24"/>
          <w:lang w:val="lv-LV" w:eastAsia="fr-FR"/>
        </w:rPr>
        <w:t> </w:t>
      </w:r>
      <w:r w:rsidR="00D72850" w:rsidRPr="006557B3">
        <w:rPr>
          <w:rFonts w:ascii="Times New Roman" w:eastAsia="Times New Roman" w:hAnsi="Times New Roman" w:cs="Times New Roman"/>
          <w:bCs/>
          <w:sz w:val="24"/>
          <w:szCs w:val="24"/>
          <w:lang w:val="lv-LV" w:eastAsia="fr-FR"/>
        </w:rPr>
        <w:t xml:space="preserve">gadā – 160, bet 2014. gadā – 208 </w:t>
      </w:r>
      <w:r w:rsidRPr="006557B3">
        <w:rPr>
          <w:rFonts w:ascii="Times New Roman" w:eastAsia="Times New Roman" w:hAnsi="Times New Roman" w:cs="Times New Roman"/>
          <w:bCs/>
          <w:i/>
          <w:sz w:val="24"/>
          <w:szCs w:val="24"/>
          <w:lang w:val="lv-LV" w:eastAsia="fr-FR"/>
        </w:rPr>
        <w:t>RASFF</w:t>
      </w:r>
      <w:r w:rsidRPr="006557B3">
        <w:rPr>
          <w:rFonts w:ascii="Times New Roman" w:eastAsia="Times New Roman" w:hAnsi="Times New Roman" w:cs="Times New Roman"/>
          <w:bCs/>
          <w:sz w:val="24"/>
          <w:szCs w:val="24"/>
          <w:lang w:val="lv-LV" w:eastAsia="fr-FR"/>
        </w:rPr>
        <w:t xml:space="preserve"> paziņojumi par uztura bagātinātājiem, arī par diētisko pārtiku, un pārtiku, kurai ir pievienoti vitamīni un minerālvielas. </w:t>
      </w:r>
      <w:r w:rsidR="00D72850" w:rsidRPr="006557B3">
        <w:rPr>
          <w:rFonts w:ascii="Times New Roman" w:eastAsia="Times New Roman" w:hAnsi="Times New Roman" w:cs="Times New Roman"/>
          <w:bCs/>
          <w:sz w:val="24"/>
          <w:szCs w:val="24"/>
          <w:lang w:val="lv-LV" w:eastAsia="fr-FR"/>
        </w:rPr>
        <w:t xml:space="preserve">Apmēram trešdaļā no 368 </w:t>
      </w:r>
      <w:r w:rsidR="00D72850" w:rsidRPr="006557B3">
        <w:rPr>
          <w:rFonts w:ascii="Times New Roman" w:eastAsia="Times New Roman" w:hAnsi="Times New Roman" w:cs="Times New Roman"/>
          <w:bCs/>
          <w:i/>
          <w:sz w:val="24"/>
          <w:szCs w:val="24"/>
          <w:lang w:val="lv-LV" w:eastAsia="fr-FR"/>
        </w:rPr>
        <w:t>RASFF</w:t>
      </w:r>
      <w:r w:rsidR="00D72850" w:rsidRPr="006557B3">
        <w:rPr>
          <w:rFonts w:ascii="Times New Roman" w:eastAsia="Times New Roman" w:hAnsi="Times New Roman" w:cs="Times New Roman"/>
          <w:bCs/>
          <w:sz w:val="24"/>
          <w:szCs w:val="24"/>
          <w:lang w:val="lv-LV" w:eastAsia="fr-FR"/>
        </w:rPr>
        <w:t xml:space="preserve"> paziņojumiem laikposmā no 2013.</w:t>
      </w:r>
      <w:r w:rsidRPr="006557B3">
        <w:rPr>
          <w:rFonts w:ascii="Times New Roman" w:eastAsia="Times New Roman" w:hAnsi="Times New Roman" w:cs="Times New Roman"/>
          <w:bCs/>
          <w:sz w:val="24"/>
          <w:szCs w:val="24"/>
          <w:lang w:val="lv-LV" w:eastAsia="fr-FR"/>
        </w:rPr>
        <w:t xml:space="preserve"> līdz </w:t>
      </w:r>
      <w:r w:rsidR="00D72850" w:rsidRPr="006557B3">
        <w:rPr>
          <w:rFonts w:ascii="Times New Roman" w:eastAsia="Times New Roman" w:hAnsi="Times New Roman" w:cs="Times New Roman"/>
          <w:bCs/>
          <w:sz w:val="24"/>
          <w:szCs w:val="24"/>
          <w:lang w:val="lv-LV" w:eastAsia="fr-FR"/>
        </w:rPr>
        <w:t xml:space="preserve">2014.gadam kā neatbilstoši </w:t>
      </w:r>
      <w:r w:rsidR="00D72850" w:rsidRPr="006557B3">
        <w:rPr>
          <w:rFonts w:ascii="Times New Roman" w:hAnsi="Times New Roman" w:cs="Times New Roman"/>
          <w:sz w:val="24"/>
          <w:szCs w:val="24"/>
          <w:lang w:val="lv-LV"/>
        </w:rPr>
        <w:t xml:space="preserve">Eiropas Savienības </w:t>
      </w:r>
      <w:r w:rsidR="00D72850" w:rsidRPr="006557B3">
        <w:rPr>
          <w:rFonts w:ascii="Times New Roman" w:eastAsia="Times New Roman" w:hAnsi="Times New Roman" w:cs="Times New Roman"/>
          <w:bCs/>
          <w:sz w:val="24"/>
          <w:szCs w:val="24"/>
          <w:lang w:val="lv-LV" w:eastAsia="fr-FR"/>
        </w:rPr>
        <w:t xml:space="preserve">normatīvo aktu prasībām tika konstatēti Indijā (23), Ķīnā (51) un Amerikas Savienotajās </w:t>
      </w:r>
      <w:r w:rsidRPr="006557B3">
        <w:rPr>
          <w:rFonts w:ascii="Times New Roman" w:eastAsia="Times New Roman" w:hAnsi="Times New Roman" w:cs="Times New Roman"/>
          <w:bCs/>
          <w:sz w:val="24"/>
          <w:szCs w:val="24"/>
          <w:lang w:val="lv-LV" w:eastAsia="fr-FR"/>
        </w:rPr>
        <w:t>V</w:t>
      </w:r>
      <w:r w:rsidR="00D72850" w:rsidRPr="006557B3">
        <w:rPr>
          <w:rFonts w:ascii="Times New Roman" w:eastAsia="Times New Roman" w:hAnsi="Times New Roman" w:cs="Times New Roman"/>
          <w:bCs/>
          <w:sz w:val="24"/>
          <w:szCs w:val="24"/>
          <w:lang w:val="lv-LV" w:eastAsia="fr-FR"/>
        </w:rPr>
        <w:t>alstīs (23) ražoti uztura bagātinātāji (DG (SANTE) 2015-7186-MR).</w:t>
      </w:r>
    </w:p>
    <w:p w14:paraId="398C6053" w14:textId="03D91694" w:rsidR="00D72850" w:rsidRPr="006557B3" w:rsidRDefault="00D72850" w:rsidP="00C05C12">
      <w:pPr>
        <w:tabs>
          <w:tab w:val="left" w:pos="8647"/>
        </w:tabs>
        <w:autoSpaceDE w:val="0"/>
        <w:autoSpaceDN w:val="0"/>
        <w:adjustRightInd w:val="0"/>
        <w:spacing w:after="0" w:line="240" w:lineRule="auto"/>
        <w:ind w:firstLine="709"/>
        <w:jc w:val="both"/>
        <w:rPr>
          <w:rFonts w:ascii="Times New Roman" w:eastAsia="Times New Roman" w:hAnsi="Times New Roman" w:cs="Times New Roman"/>
          <w:bCs/>
          <w:sz w:val="24"/>
          <w:szCs w:val="24"/>
          <w:lang w:val="lv-LV" w:eastAsia="fr-FR"/>
        </w:rPr>
      </w:pPr>
      <w:r w:rsidRPr="006557B3">
        <w:rPr>
          <w:rFonts w:ascii="Times New Roman" w:eastAsia="Times New Roman" w:hAnsi="Times New Roman" w:cs="Times New Roman"/>
          <w:bCs/>
          <w:sz w:val="24"/>
          <w:szCs w:val="24"/>
          <w:lang w:val="lv-LV" w:eastAsia="fr-FR"/>
        </w:rPr>
        <w:t xml:space="preserve">Veicot uztura bagātinātāju oficiālo uzraudzību un kontroli, </w:t>
      </w:r>
      <w:r w:rsidR="00C81A2C" w:rsidRPr="006557B3">
        <w:rPr>
          <w:rFonts w:ascii="Times New Roman" w:eastAsia="Times New Roman" w:hAnsi="Times New Roman" w:cs="Times New Roman"/>
          <w:bCs/>
          <w:sz w:val="24"/>
          <w:szCs w:val="24"/>
          <w:lang w:val="lv-LV" w:eastAsia="fr-FR"/>
        </w:rPr>
        <w:t>arī</w:t>
      </w:r>
      <w:r w:rsidRPr="006557B3">
        <w:rPr>
          <w:rFonts w:ascii="Times New Roman" w:eastAsia="Times New Roman" w:hAnsi="Times New Roman" w:cs="Times New Roman"/>
          <w:bCs/>
          <w:sz w:val="24"/>
          <w:szCs w:val="24"/>
          <w:lang w:val="lv-LV" w:eastAsia="fr-FR"/>
        </w:rPr>
        <w:t xml:space="preserve"> laboratorisko kontroli, biežāk konstatētās neatbilstības ir:</w:t>
      </w:r>
    </w:p>
    <w:p w14:paraId="59581011" w14:textId="3A43D6DA" w:rsidR="00D72850" w:rsidRPr="006557B3" w:rsidRDefault="00D72850" w:rsidP="00C05C12">
      <w:pPr>
        <w:pStyle w:val="Sarakstarindkopa"/>
        <w:numPr>
          <w:ilvl w:val="0"/>
          <w:numId w:val="25"/>
        </w:numPr>
        <w:tabs>
          <w:tab w:val="left" w:pos="8647"/>
        </w:tabs>
        <w:autoSpaceDE w:val="0"/>
        <w:autoSpaceDN w:val="0"/>
        <w:adjustRightInd w:val="0"/>
        <w:spacing w:after="0" w:line="240" w:lineRule="auto"/>
        <w:jc w:val="both"/>
        <w:rPr>
          <w:rFonts w:ascii="Times New Roman" w:hAnsi="Times New Roman"/>
          <w:sz w:val="24"/>
          <w:szCs w:val="24"/>
          <w:lang w:val="lv-LV"/>
        </w:rPr>
      </w:pPr>
      <w:r w:rsidRPr="006557B3">
        <w:rPr>
          <w:rFonts w:ascii="Times New Roman" w:eastAsia="Times New Roman" w:hAnsi="Times New Roman"/>
          <w:bCs/>
          <w:sz w:val="24"/>
          <w:szCs w:val="24"/>
          <w:lang w:val="lv-LV" w:eastAsia="fr-FR"/>
        </w:rPr>
        <w:t>neatļautas farmaceitiskās vielas, tādas kā sibutramīns (ēstgribas mazināšanai), tadalafils, sildenafils</w:t>
      </w:r>
      <w:r w:rsidRPr="006557B3">
        <w:rPr>
          <w:rFonts w:ascii="Times New Roman" w:hAnsi="Times New Roman"/>
          <w:sz w:val="24"/>
          <w:szCs w:val="24"/>
          <w:lang w:val="lv-LV"/>
        </w:rPr>
        <w:t>;</w:t>
      </w:r>
    </w:p>
    <w:p w14:paraId="226D33B2" w14:textId="57962DAE" w:rsidR="00D72850" w:rsidRPr="006557B3" w:rsidRDefault="00D72850" w:rsidP="00C05C12">
      <w:pPr>
        <w:pStyle w:val="Sarakstarindkopa"/>
        <w:numPr>
          <w:ilvl w:val="0"/>
          <w:numId w:val="25"/>
        </w:numPr>
        <w:tabs>
          <w:tab w:val="left" w:pos="8647"/>
        </w:tabs>
        <w:autoSpaceDE w:val="0"/>
        <w:autoSpaceDN w:val="0"/>
        <w:adjustRightInd w:val="0"/>
        <w:spacing w:after="0" w:line="240" w:lineRule="auto"/>
        <w:jc w:val="both"/>
        <w:rPr>
          <w:rFonts w:ascii="Times New Roman" w:eastAsia="Times New Roman" w:hAnsi="Times New Roman"/>
          <w:bCs/>
          <w:sz w:val="24"/>
          <w:szCs w:val="24"/>
          <w:lang w:val="lv-LV" w:eastAsia="fr-FR"/>
        </w:rPr>
      </w:pPr>
      <w:r w:rsidRPr="006557B3">
        <w:rPr>
          <w:rFonts w:ascii="Times New Roman" w:eastAsia="Times New Roman" w:hAnsi="Times New Roman"/>
          <w:bCs/>
          <w:sz w:val="24"/>
          <w:szCs w:val="24"/>
          <w:lang w:val="lv-LV" w:eastAsia="fr-FR"/>
        </w:rPr>
        <w:t>neatbilstoši augi un augu daļas, kas var radīt kaitējumu patērētāja veselībai;</w:t>
      </w:r>
    </w:p>
    <w:p w14:paraId="5264ED22" w14:textId="73DAECF1" w:rsidR="00D72850" w:rsidRPr="006557B3" w:rsidRDefault="00D72850" w:rsidP="00C05C12">
      <w:pPr>
        <w:pStyle w:val="Sarakstarindkopa"/>
        <w:numPr>
          <w:ilvl w:val="0"/>
          <w:numId w:val="25"/>
        </w:numPr>
        <w:tabs>
          <w:tab w:val="left" w:pos="8647"/>
        </w:tabs>
        <w:autoSpaceDE w:val="0"/>
        <w:autoSpaceDN w:val="0"/>
        <w:adjustRightInd w:val="0"/>
        <w:spacing w:after="0" w:line="240" w:lineRule="auto"/>
        <w:jc w:val="both"/>
        <w:rPr>
          <w:rFonts w:ascii="Times New Roman" w:hAnsi="Times New Roman"/>
          <w:sz w:val="24"/>
          <w:szCs w:val="24"/>
          <w:lang w:val="lv-LV"/>
        </w:rPr>
      </w:pPr>
      <w:r w:rsidRPr="006557B3">
        <w:rPr>
          <w:rFonts w:ascii="Times New Roman" w:eastAsia="Times New Roman" w:hAnsi="Times New Roman"/>
          <w:bCs/>
          <w:sz w:val="24"/>
          <w:szCs w:val="24"/>
          <w:lang w:val="lv-LV" w:eastAsia="fr-FR"/>
        </w:rPr>
        <w:t>augu un to daļu klātbūtne</w:t>
      </w:r>
      <w:r w:rsidR="00AD74F3" w:rsidRPr="006557B3">
        <w:rPr>
          <w:rFonts w:ascii="Times New Roman" w:eastAsia="Times New Roman" w:hAnsi="Times New Roman"/>
          <w:bCs/>
          <w:sz w:val="24"/>
          <w:szCs w:val="24"/>
          <w:lang w:val="lv-LV" w:eastAsia="fr-FR"/>
        </w:rPr>
        <w:t xml:space="preserve"> vai</w:t>
      </w:r>
      <w:r w:rsidRPr="006557B3">
        <w:rPr>
          <w:rFonts w:ascii="Times New Roman" w:eastAsia="Times New Roman" w:hAnsi="Times New Roman"/>
          <w:bCs/>
          <w:sz w:val="24"/>
          <w:szCs w:val="24"/>
          <w:lang w:val="lv-LV" w:eastAsia="fr-FR"/>
        </w:rPr>
        <w:t xml:space="preserve"> </w:t>
      </w:r>
      <w:r w:rsidR="00AD74F3" w:rsidRPr="006557B3">
        <w:rPr>
          <w:rFonts w:ascii="Times New Roman" w:eastAsia="Times New Roman" w:hAnsi="Times New Roman"/>
          <w:bCs/>
          <w:sz w:val="24"/>
          <w:szCs w:val="24"/>
          <w:lang w:val="lv-LV" w:eastAsia="fr-FR"/>
        </w:rPr>
        <w:t xml:space="preserve">vitamīnu un minerālvielu daudzums, </w:t>
      </w:r>
      <w:r w:rsidRPr="006557B3">
        <w:rPr>
          <w:rFonts w:ascii="Times New Roman" w:eastAsia="Times New Roman" w:hAnsi="Times New Roman"/>
          <w:bCs/>
          <w:sz w:val="24"/>
          <w:szCs w:val="24"/>
          <w:lang w:val="lv-LV" w:eastAsia="fr-FR"/>
        </w:rPr>
        <w:t>kas atbilst normatīvajiem aktiem, kur</w:t>
      </w:r>
      <w:r w:rsidR="00C81A2C" w:rsidRPr="006557B3">
        <w:rPr>
          <w:rFonts w:ascii="Times New Roman" w:eastAsia="Times New Roman" w:hAnsi="Times New Roman"/>
          <w:bCs/>
          <w:sz w:val="24"/>
          <w:szCs w:val="24"/>
          <w:lang w:val="lv-LV" w:eastAsia="fr-FR"/>
        </w:rPr>
        <w:t>os noteikts, ka</w:t>
      </w:r>
      <w:r w:rsidRPr="006557B3">
        <w:rPr>
          <w:rFonts w:ascii="Times New Roman" w:eastAsia="Times New Roman" w:hAnsi="Times New Roman"/>
          <w:bCs/>
          <w:sz w:val="24"/>
          <w:szCs w:val="24"/>
          <w:lang w:val="lv-LV" w:eastAsia="fr-FR"/>
        </w:rPr>
        <w:t xml:space="preserve"> š</w:t>
      </w:r>
      <w:r w:rsidR="00C81A2C" w:rsidRPr="006557B3">
        <w:rPr>
          <w:rFonts w:ascii="Times New Roman" w:eastAsia="Times New Roman" w:hAnsi="Times New Roman"/>
          <w:bCs/>
          <w:sz w:val="24"/>
          <w:szCs w:val="24"/>
          <w:lang w:val="lv-LV" w:eastAsia="fr-FR"/>
        </w:rPr>
        <w:t>ie</w:t>
      </w:r>
      <w:r w:rsidRPr="006557B3">
        <w:rPr>
          <w:rFonts w:ascii="Times New Roman" w:eastAsia="Times New Roman" w:hAnsi="Times New Roman"/>
          <w:bCs/>
          <w:sz w:val="24"/>
          <w:szCs w:val="24"/>
          <w:lang w:val="lv-LV" w:eastAsia="fr-FR"/>
        </w:rPr>
        <w:t xml:space="preserve"> uztura bagātinātāj</w:t>
      </w:r>
      <w:r w:rsidR="00C81A2C" w:rsidRPr="006557B3">
        <w:rPr>
          <w:rFonts w:ascii="Times New Roman" w:eastAsia="Times New Roman" w:hAnsi="Times New Roman"/>
          <w:bCs/>
          <w:sz w:val="24"/>
          <w:szCs w:val="24"/>
          <w:lang w:val="lv-LV" w:eastAsia="fr-FR"/>
        </w:rPr>
        <w:t>i</w:t>
      </w:r>
      <w:r w:rsidRPr="006557B3">
        <w:rPr>
          <w:rFonts w:ascii="Times New Roman" w:eastAsia="Times New Roman" w:hAnsi="Times New Roman"/>
          <w:bCs/>
          <w:sz w:val="24"/>
          <w:szCs w:val="24"/>
          <w:lang w:val="lv-LV" w:eastAsia="fr-FR"/>
        </w:rPr>
        <w:t xml:space="preserve"> ir jāklasificē kā zāles;</w:t>
      </w:r>
    </w:p>
    <w:p w14:paraId="2390B365" w14:textId="0CD91A48" w:rsidR="00D72850" w:rsidRPr="006557B3" w:rsidRDefault="00D72850" w:rsidP="00C05C12">
      <w:pPr>
        <w:pStyle w:val="Sarakstarindkopa"/>
        <w:numPr>
          <w:ilvl w:val="0"/>
          <w:numId w:val="25"/>
        </w:numPr>
        <w:tabs>
          <w:tab w:val="left" w:pos="8647"/>
        </w:tabs>
        <w:autoSpaceDE w:val="0"/>
        <w:autoSpaceDN w:val="0"/>
        <w:adjustRightInd w:val="0"/>
        <w:spacing w:after="0" w:line="240" w:lineRule="auto"/>
        <w:jc w:val="both"/>
        <w:rPr>
          <w:rFonts w:ascii="Times New Roman" w:eastAsia="Times New Roman" w:hAnsi="Times New Roman"/>
          <w:bCs/>
          <w:sz w:val="24"/>
          <w:szCs w:val="24"/>
          <w:lang w:val="lv-LV" w:eastAsia="fr-FR"/>
        </w:rPr>
      </w:pPr>
      <w:r w:rsidRPr="006557B3">
        <w:rPr>
          <w:rFonts w:ascii="Times New Roman" w:eastAsia="Times New Roman" w:hAnsi="Times New Roman"/>
          <w:bCs/>
          <w:sz w:val="24"/>
          <w:szCs w:val="24"/>
          <w:lang w:val="lv-LV" w:eastAsia="fr-FR"/>
        </w:rPr>
        <w:t>pārsniegts pieļaujamais smago metālu, piemēram, kadmij</w:t>
      </w:r>
      <w:r w:rsidR="00C81A2C" w:rsidRPr="006557B3">
        <w:rPr>
          <w:rFonts w:ascii="Times New Roman" w:eastAsia="Times New Roman" w:hAnsi="Times New Roman"/>
          <w:bCs/>
          <w:sz w:val="24"/>
          <w:szCs w:val="24"/>
          <w:lang w:val="lv-LV" w:eastAsia="fr-FR"/>
        </w:rPr>
        <w:t>a vai</w:t>
      </w:r>
      <w:r w:rsidRPr="006557B3">
        <w:rPr>
          <w:rFonts w:ascii="Times New Roman" w:eastAsia="Times New Roman" w:hAnsi="Times New Roman"/>
          <w:bCs/>
          <w:sz w:val="24"/>
          <w:szCs w:val="24"/>
          <w:lang w:val="lv-LV" w:eastAsia="fr-FR"/>
        </w:rPr>
        <w:t xml:space="preserve"> svin</w:t>
      </w:r>
      <w:r w:rsidR="00C81A2C" w:rsidRPr="006557B3">
        <w:rPr>
          <w:rFonts w:ascii="Times New Roman" w:eastAsia="Times New Roman" w:hAnsi="Times New Roman"/>
          <w:bCs/>
          <w:sz w:val="24"/>
          <w:szCs w:val="24"/>
          <w:lang w:val="lv-LV" w:eastAsia="fr-FR"/>
        </w:rPr>
        <w:t>a, daudzums</w:t>
      </w:r>
      <w:r w:rsidRPr="006557B3">
        <w:rPr>
          <w:rFonts w:ascii="Times New Roman" w:eastAsia="Times New Roman" w:hAnsi="Times New Roman"/>
          <w:bCs/>
          <w:sz w:val="24"/>
          <w:szCs w:val="24"/>
          <w:lang w:val="lv-LV" w:eastAsia="fr-FR"/>
        </w:rPr>
        <w:t>;</w:t>
      </w:r>
    </w:p>
    <w:p w14:paraId="013EEF87" w14:textId="7FD1F2B3" w:rsidR="00D72850" w:rsidRPr="006557B3" w:rsidRDefault="00D72850" w:rsidP="00C05C12">
      <w:pPr>
        <w:pStyle w:val="Sarakstarindkopa"/>
        <w:numPr>
          <w:ilvl w:val="0"/>
          <w:numId w:val="25"/>
        </w:numPr>
        <w:tabs>
          <w:tab w:val="left" w:pos="8647"/>
        </w:tabs>
        <w:autoSpaceDE w:val="0"/>
        <w:autoSpaceDN w:val="0"/>
        <w:adjustRightInd w:val="0"/>
        <w:spacing w:after="0" w:line="240" w:lineRule="auto"/>
        <w:jc w:val="both"/>
        <w:rPr>
          <w:rFonts w:ascii="Times New Roman" w:eastAsia="Times New Roman" w:hAnsi="Times New Roman"/>
          <w:bCs/>
          <w:sz w:val="24"/>
          <w:szCs w:val="24"/>
          <w:lang w:val="lv-LV" w:eastAsia="fr-FR"/>
        </w:rPr>
      </w:pPr>
      <w:r w:rsidRPr="006557B3">
        <w:rPr>
          <w:rFonts w:ascii="Times New Roman" w:eastAsia="Times New Roman" w:hAnsi="Times New Roman"/>
          <w:bCs/>
          <w:sz w:val="24"/>
          <w:szCs w:val="24"/>
          <w:lang w:val="lv-LV" w:eastAsia="fr-FR"/>
        </w:rPr>
        <w:t>uztura bagātinātāju apstarošana ar jonizēto starojumu;</w:t>
      </w:r>
    </w:p>
    <w:p w14:paraId="6677CC9B" w14:textId="3458C639" w:rsidR="00D72850" w:rsidRPr="006557B3" w:rsidRDefault="00D72850" w:rsidP="00C05C12">
      <w:pPr>
        <w:pStyle w:val="Sarakstarindkopa"/>
        <w:numPr>
          <w:ilvl w:val="0"/>
          <w:numId w:val="25"/>
        </w:numPr>
        <w:tabs>
          <w:tab w:val="left" w:pos="8647"/>
        </w:tabs>
        <w:spacing w:after="0" w:line="240" w:lineRule="auto"/>
        <w:rPr>
          <w:rFonts w:ascii="Times New Roman" w:eastAsia="Times New Roman" w:hAnsi="Times New Roman"/>
          <w:bCs/>
          <w:sz w:val="24"/>
          <w:szCs w:val="24"/>
          <w:lang w:val="lv-LV" w:eastAsia="fr-FR"/>
        </w:rPr>
      </w:pPr>
      <w:r w:rsidRPr="006557B3">
        <w:rPr>
          <w:rFonts w:ascii="Times New Roman" w:eastAsia="Times New Roman" w:hAnsi="Times New Roman"/>
          <w:bCs/>
          <w:sz w:val="24"/>
          <w:szCs w:val="24"/>
          <w:lang w:val="lv-LV" w:eastAsia="fr-FR"/>
        </w:rPr>
        <w:t>mikrobioloģiskais vai ķīmiskais piesārņojums;</w:t>
      </w:r>
    </w:p>
    <w:p w14:paraId="1CF149DA" w14:textId="7A3F31F2" w:rsidR="00D72850" w:rsidRPr="006557B3" w:rsidRDefault="00D72850" w:rsidP="00C05C12">
      <w:pPr>
        <w:pStyle w:val="Sarakstarindkopa"/>
        <w:numPr>
          <w:ilvl w:val="0"/>
          <w:numId w:val="25"/>
        </w:numPr>
        <w:tabs>
          <w:tab w:val="left" w:pos="8647"/>
        </w:tabs>
        <w:spacing w:after="0" w:line="240" w:lineRule="auto"/>
        <w:rPr>
          <w:rFonts w:ascii="Times New Roman" w:eastAsia="Times New Roman" w:hAnsi="Times New Roman"/>
          <w:bCs/>
          <w:sz w:val="24"/>
          <w:szCs w:val="24"/>
          <w:lang w:val="lv-LV" w:eastAsia="fr-FR"/>
        </w:rPr>
      </w:pPr>
      <w:r w:rsidRPr="006557B3">
        <w:rPr>
          <w:rFonts w:ascii="Times New Roman" w:eastAsia="Times New Roman" w:hAnsi="Times New Roman"/>
          <w:bCs/>
          <w:sz w:val="24"/>
          <w:szCs w:val="24"/>
          <w:lang w:val="lv-LV" w:eastAsia="fr-FR"/>
        </w:rPr>
        <w:t xml:space="preserve">aizvien </w:t>
      </w:r>
      <w:r w:rsidR="00C81A2C" w:rsidRPr="006557B3">
        <w:rPr>
          <w:rFonts w:ascii="Times New Roman" w:eastAsia="Times New Roman" w:hAnsi="Times New Roman"/>
          <w:bCs/>
          <w:sz w:val="24"/>
          <w:szCs w:val="24"/>
          <w:lang w:val="lv-LV" w:eastAsia="fr-FR"/>
        </w:rPr>
        <w:t>plašāka</w:t>
      </w:r>
      <w:r w:rsidRPr="006557B3">
        <w:rPr>
          <w:rFonts w:ascii="Times New Roman" w:eastAsia="Times New Roman" w:hAnsi="Times New Roman"/>
          <w:bCs/>
          <w:sz w:val="24"/>
          <w:szCs w:val="24"/>
          <w:lang w:val="lv-LV" w:eastAsia="fr-FR"/>
        </w:rPr>
        <w:t xml:space="preserve"> neatbilstošu uztura bagātinātāju izplatīšana internetā.</w:t>
      </w:r>
    </w:p>
    <w:p w14:paraId="6FAAF294" w14:textId="45D70760" w:rsidR="00D72850" w:rsidRPr="006557B3" w:rsidRDefault="00D72850" w:rsidP="00C05C12">
      <w:pPr>
        <w:tabs>
          <w:tab w:val="left" w:pos="8647"/>
        </w:tabs>
        <w:autoSpaceDE w:val="0"/>
        <w:autoSpaceDN w:val="0"/>
        <w:adjustRightInd w:val="0"/>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Svarīgi, lai visi uztura bagātinātāji Eiropas Savienības tirgū būtu nekaitīgi un droši lietojami neatkarīgi no tā</w:t>
      </w:r>
      <w:r w:rsidR="00C81A2C" w:rsidRPr="006557B3">
        <w:rPr>
          <w:rFonts w:ascii="Times New Roman" w:hAnsi="Times New Roman" w:cs="Times New Roman"/>
          <w:sz w:val="24"/>
          <w:szCs w:val="24"/>
          <w:lang w:val="lv-LV"/>
        </w:rPr>
        <w:t>,</w:t>
      </w:r>
      <w:r w:rsidRPr="006557B3">
        <w:rPr>
          <w:rFonts w:ascii="Times New Roman" w:hAnsi="Times New Roman" w:cs="Times New Roman"/>
          <w:sz w:val="24"/>
          <w:szCs w:val="24"/>
          <w:lang w:val="lv-LV"/>
        </w:rPr>
        <w:t xml:space="preserve"> vai tie ražoti Eiropas Savienībā vai importēti Eiropas Savienībā no trešajām valstīm. To var </w:t>
      </w:r>
      <w:r w:rsidR="007C54E8" w:rsidRPr="006557B3">
        <w:rPr>
          <w:rFonts w:ascii="Times New Roman" w:hAnsi="Times New Roman" w:cs="Times New Roman"/>
          <w:sz w:val="24"/>
          <w:szCs w:val="24"/>
          <w:lang w:val="lv-LV"/>
        </w:rPr>
        <w:t>panāk</w:t>
      </w:r>
      <w:r w:rsidRPr="006557B3">
        <w:rPr>
          <w:rFonts w:ascii="Times New Roman" w:hAnsi="Times New Roman" w:cs="Times New Roman"/>
          <w:sz w:val="24"/>
          <w:szCs w:val="24"/>
          <w:lang w:val="lv-LV"/>
        </w:rPr>
        <w:t xml:space="preserve">t, tikai īstenojot oficiālās kontroles gan iekšējā tirgū, gan uz Eiropas Savienības ārējās robežas, </w:t>
      </w:r>
      <w:r w:rsidR="007C54E8" w:rsidRPr="006557B3">
        <w:rPr>
          <w:rFonts w:ascii="Times New Roman" w:hAnsi="Times New Roman" w:cs="Times New Roman"/>
          <w:sz w:val="24"/>
          <w:szCs w:val="24"/>
          <w:lang w:val="lv-LV"/>
        </w:rPr>
        <w:t xml:space="preserve">lai </w:t>
      </w:r>
      <w:r w:rsidRPr="006557B3">
        <w:rPr>
          <w:rFonts w:ascii="Times New Roman" w:hAnsi="Times New Roman" w:cs="Times New Roman"/>
          <w:sz w:val="24"/>
          <w:szCs w:val="24"/>
          <w:lang w:val="lv-LV"/>
        </w:rPr>
        <w:t>nodrošin</w:t>
      </w:r>
      <w:r w:rsidR="007C54E8" w:rsidRPr="006557B3">
        <w:rPr>
          <w:rFonts w:ascii="Times New Roman" w:hAnsi="Times New Roman" w:cs="Times New Roman"/>
          <w:sz w:val="24"/>
          <w:szCs w:val="24"/>
          <w:lang w:val="lv-LV"/>
        </w:rPr>
        <w:t>ātu</w:t>
      </w:r>
      <w:r w:rsidRPr="006557B3">
        <w:rPr>
          <w:rFonts w:ascii="Times New Roman" w:hAnsi="Times New Roman" w:cs="Times New Roman"/>
          <w:sz w:val="24"/>
          <w:szCs w:val="24"/>
          <w:lang w:val="lv-LV"/>
        </w:rPr>
        <w:t xml:space="preserve">, ka tiek ievēroti Eiropas Savienības normatīvo aktu nosacījumi. </w:t>
      </w:r>
    </w:p>
    <w:p w14:paraId="6652C4A9" w14:textId="77777777" w:rsidR="00444E19" w:rsidRPr="006557B3" w:rsidRDefault="00765EFD"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Daudzos gadījumos uztura bagātinātāji (īpaši trešajās valstīs ražotie) satur vitamīnus, minerālvielas, augu izcelsmes vielas vai citas vielas </w:t>
      </w:r>
      <w:r w:rsidR="007C54E8" w:rsidRPr="006557B3">
        <w:rPr>
          <w:rFonts w:ascii="Times New Roman" w:hAnsi="Times New Roman" w:cs="Times New Roman"/>
          <w:sz w:val="24"/>
          <w:szCs w:val="24"/>
          <w:lang w:val="lv-LV"/>
        </w:rPr>
        <w:t xml:space="preserve">tādā </w:t>
      </w:r>
      <w:r w:rsidRPr="006557B3">
        <w:rPr>
          <w:rFonts w:ascii="Times New Roman" w:hAnsi="Times New Roman" w:cs="Times New Roman"/>
          <w:sz w:val="24"/>
          <w:szCs w:val="24"/>
          <w:lang w:val="lv-LV"/>
        </w:rPr>
        <w:t>daudzum</w:t>
      </w:r>
      <w:r w:rsidR="007C54E8" w:rsidRPr="006557B3">
        <w:rPr>
          <w:rFonts w:ascii="Times New Roman" w:hAnsi="Times New Roman" w:cs="Times New Roman"/>
          <w:sz w:val="24"/>
          <w:szCs w:val="24"/>
          <w:lang w:val="lv-LV"/>
        </w:rPr>
        <w:t>ā</w:t>
      </w:r>
      <w:r w:rsidRPr="006557B3">
        <w:rPr>
          <w:rFonts w:ascii="Times New Roman" w:hAnsi="Times New Roman" w:cs="Times New Roman"/>
          <w:sz w:val="24"/>
          <w:szCs w:val="24"/>
          <w:lang w:val="lv-LV"/>
        </w:rPr>
        <w:t>, kas ir identiska minimālaj</w:t>
      </w:r>
      <w:r w:rsidR="007C54E8" w:rsidRPr="006557B3">
        <w:rPr>
          <w:rFonts w:ascii="Times New Roman" w:hAnsi="Times New Roman" w:cs="Times New Roman"/>
          <w:sz w:val="24"/>
          <w:szCs w:val="24"/>
          <w:lang w:val="lv-LV"/>
        </w:rPr>
        <w:t>ai</w:t>
      </w:r>
      <w:r w:rsidRPr="006557B3">
        <w:rPr>
          <w:rFonts w:ascii="Times New Roman" w:hAnsi="Times New Roman" w:cs="Times New Roman"/>
          <w:sz w:val="24"/>
          <w:szCs w:val="24"/>
          <w:lang w:val="lv-LV"/>
        </w:rPr>
        <w:t xml:space="preserve"> terapeitiskaj</w:t>
      </w:r>
      <w:r w:rsidR="007C54E8" w:rsidRPr="006557B3">
        <w:rPr>
          <w:rFonts w:ascii="Times New Roman" w:hAnsi="Times New Roman" w:cs="Times New Roman"/>
          <w:sz w:val="24"/>
          <w:szCs w:val="24"/>
          <w:lang w:val="lv-LV"/>
        </w:rPr>
        <w:t>ai</w:t>
      </w:r>
      <w:r w:rsidRPr="006557B3">
        <w:rPr>
          <w:rFonts w:ascii="Times New Roman" w:hAnsi="Times New Roman" w:cs="Times New Roman"/>
          <w:sz w:val="24"/>
          <w:szCs w:val="24"/>
          <w:lang w:val="lv-LV"/>
        </w:rPr>
        <w:t xml:space="preserve"> (ārstnieciskaj</w:t>
      </w:r>
      <w:r w:rsidR="007C54E8" w:rsidRPr="006557B3">
        <w:rPr>
          <w:rFonts w:ascii="Times New Roman" w:hAnsi="Times New Roman" w:cs="Times New Roman"/>
          <w:sz w:val="24"/>
          <w:szCs w:val="24"/>
          <w:lang w:val="lv-LV"/>
        </w:rPr>
        <w:t>ai</w:t>
      </w:r>
      <w:r w:rsidRPr="006557B3">
        <w:rPr>
          <w:rFonts w:ascii="Times New Roman" w:hAnsi="Times New Roman" w:cs="Times New Roman"/>
          <w:sz w:val="24"/>
          <w:szCs w:val="24"/>
          <w:lang w:val="lv-LV"/>
        </w:rPr>
        <w:t>) dev</w:t>
      </w:r>
      <w:r w:rsidR="007C54E8" w:rsidRPr="006557B3">
        <w:rPr>
          <w:rFonts w:ascii="Times New Roman" w:hAnsi="Times New Roman" w:cs="Times New Roman"/>
          <w:sz w:val="24"/>
          <w:szCs w:val="24"/>
          <w:lang w:val="lv-LV"/>
        </w:rPr>
        <w:t>ai</w:t>
      </w:r>
      <w:r w:rsidRPr="006557B3">
        <w:rPr>
          <w:rFonts w:ascii="Times New Roman" w:hAnsi="Times New Roman" w:cs="Times New Roman"/>
          <w:sz w:val="24"/>
          <w:szCs w:val="24"/>
          <w:lang w:val="lv-LV"/>
        </w:rPr>
        <w:t xml:space="preserve"> vai arī </w:t>
      </w:r>
      <w:r w:rsidR="007C54E8" w:rsidRPr="006557B3">
        <w:rPr>
          <w:rFonts w:ascii="Times New Roman" w:hAnsi="Times New Roman" w:cs="Times New Roman"/>
          <w:sz w:val="24"/>
          <w:szCs w:val="24"/>
          <w:lang w:val="lv-LV"/>
        </w:rPr>
        <w:t xml:space="preserve">vairākas reizes </w:t>
      </w:r>
      <w:r w:rsidRPr="006557B3">
        <w:rPr>
          <w:rFonts w:ascii="Times New Roman" w:hAnsi="Times New Roman" w:cs="Times New Roman"/>
          <w:sz w:val="24"/>
          <w:szCs w:val="24"/>
          <w:lang w:val="lv-LV"/>
        </w:rPr>
        <w:t>pārsniedz minimāl</w:t>
      </w:r>
      <w:r w:rsidR="007C54E8" w:rsidRPr="006557B3">
        <w:rPr>
          <w:rFonts w:ascii="Times New Roman" w:hAnsi="Times New Roman" w:cs="Times New Roman"/>
          <w:sz w:val="24"/>
          <w:szCs w:val="24"/>
          <w:lang w:val="lv-LV"/>
        </w:rPr>
        <w:t>o</w:t>
      </w:r>
      <w:r w:rsidRPr="006557B3">
        <w:rPr>
          <w:rFonts w:ascii="Times New Roman" w:hAnsi="Times New Roman" w:cs="Times New Roman"/>
          <w:sz w:val="24"/>
          <w:szCs w:val="24"/>
          <w:lang w:val="lv-LV"/>
        </w:rPr>
        <w:t xml:space="preserve"> terapeitisk</w:t>
      </w:r>
      <w:r w:rsidR="007C54E8" w:rsidRPr="006557B3">
        <w:rPr>
          <w:rFonts w:ascii="Times New Roman" w:hAnsi="Times New Roman" w:cs="Times New Roman"/>
          <w:sz w:val="24"/>
          <w:szCs w:val="24"/>
          <w:lang w:val="lv-LV"/>
        </w:rPr>
        <w:t>o</w:t>
      </w:r>
      <w:r w:rsidRPr="006557B3">
        <w:rPr>
          <w:rFonts w:ascii="Times New Roman" w:hAnsi="Times New Roman" w:cs="Times New Roman"/>
          <w:sz w:val="24"/>
          <w:szCs w:val="24"/>
          <w:lang w:val="lv-LV"/>
        </w:rPr>
        <w:t xml:space="preserve"> dev</w:t>
      </w:r>
      <w:r w:rsidR="007C54E8" w:rsidRPr="006557B3">
        <w:rPr>
          <w:rFonts w:ascii="Times New Roman" w:hAnsi="Times New Roman" w:cs="Times New Roman"/>
          <w:sz w:val="24"/>
          <w:szCs w:val="24"/>
          <w:lang w:val="lv-LV"/>
        </w:rPr>
        <w:t>u</w:t>
      </w:r>
      <w:r w:rsidRPr="006557B3">
        <w:rPr>
          <w:rFonts w:ascii="Times New Roman" w:hAnsi="Times New Roman" w:cs="Times New Roman"/>
          <w:sz w:val="24"/>
          <w:szCs w:val="24"/>
          <w:lang w:val="lv-LV"/>
        </w:rPr>
        <w:t xml:space="preserve">. </w:t>
      </w:r>
    </w:p>
    <w:p w14:paraId="0C29156D" w14:textId="104F87AD" w:rsidR="00765EFD" w:rsidRPr="006557B3" w:rsidRDefault="00765EFD" w:rsidP="00C05C12">
      <w:pPr>
        <w:tabs>
          <w:tab w:val="left" w:pos="8647"/>
        </w:tabs>
        <w:spacing w:after="0" w:line="240" w:lineRule="auto"/>
        <w:ind w:firstLine="709"/>
        <w:jc w:val="both"/>
        <w:rPr>
          <w:rFonts w:ascii="Times New Roman" w:eastAsia="Times New Roman" w:hAnsi="Times New Roman" w:cs="Times New Roman"/>
          <w:bCs/>
          <w:sz w:val="24"/>
          <w:szCs w:val="24"/>
          <w:lang w:val="lv-LV" w:eastAsia="fr-FR"/>
        </w:rPr>
      </w:pPr>
      <w:r w:rsidRPr="006557B3">
        <w:rPr>
          <w:rFonts w:ascii="Times New Roman" w:hAnsi="Times New Roman" w:cs="Times New Roman"/>
          <w:sz w:val="24"/>
          <w:szCs w:val="24"/>
          <w:lang w:val="lv-LV"/>
        </w:rPr>
        <w:t xml:space="preserve">Līdzīga situācija dažreiz ir ar uztura bagātinātājiem, kas ražoti Eiropas Savienībā un </w:t>
      </w:r>
      <w:r w:rsidR="007C54E8" w:rsidRPr="006557B3">
        <w:rPr>
          <w:rFonts w:ascii="Times New Roman" w:hAnsi="Times New Roman" w:cs="Times New Roman"/>
          <w:sz w:val="24"/>
          <w:szCs w:val="24"/>
          <w:lang w:val="lv-LV"/>
        </w:rPr>
        <w:t>kād</w:t>
      </w:r>
      <w:r w:rsidRPr="006557B3">
        <w:rPr>
          <w:rFonts w:ascii="Times New Roman" w:hAnsi="Times New Roman" w:cs="Times New Roman"/>
          <w:sz w:val="24"/>
          <w:szCs w:val="24"/>
          <w:lang w:val="lv-LV"/>
        </w:rPr>
        <w:t xml:space="preserve">ā dalībvalstī tiek atzīti </w:t>
      </w:r>
      <w:r w:rsidR="007C54E8" w:rsidRPr="006557B3">
        <w:rPr>
          <w:rFonts w:ascii="Times New Roman" w:hAnsi="Times New Roman" w:cs="Times New Roman"/>
          <w:sz w:val="24"/>
          <w:szCs w:val="24"/>
          <w:lang w:val="lv-LV"/>
        </w:rPr>
        <w:t>par</w:t>
      </w:r>
      <w:r w:rsidRPr="006557B3">
        <w:rPr>
          <w:rFonts w:ascii="Times New Roman" w:hAnsi="Times New Roman" w:cs="Times New Roman"/>
          <w:sz w:val="24"/>
          <w:szCs w:val="24"/>
          <w:lang w:val="lv-LV"/>
        </w:rPr>
        <w:t xml:space="preserve"> uztura bagātinātāji</w:t>
      </w:r>
      <w:r w:rsidR="007C54E8" w:rsidRPr="006557B3">
        <w:rPr>
          <w:rFonts w:ascii="Times New Roman" w:hAnsi="Times New Roman" w:cs="Times New Roman"/>
          <w:sz w:val="24"/>
          <w:szCs w:val="24"/>
          <w:lang w:val="lv-LV"/>
        </w:rPr>
        <w:t>em</w:t>
      </w:r>
      <w:r w:rsidRPr="006557B3">
        <w:rPr>
          <w:rFonts w:ascii="Times New Roman" w:hAnsi="Times New Roman" w:cs="Times New Roman"/>
          <w:sz w:val="24"/>
          <w:szCs w:val="24"/>
          <w:lang w:val="lv-LV"/>
        </w:rPr>
        <w:t xml:space="preserve"> (pārtikas produkti</w:t>
      </w:r>
      <w:r w:rsidR="007C54E8" w:rsidRPr="006557B3">
        <w:rPr>
          <w:rFonts w:ascii="Times New Roman" w:hAnsi="Times New Roman" w:cs="Times New Roman"/>
          <w:sz w:val="24"/>
          <w:szCs w:val="24"/>
          <w:lang w:val="lv-LV"/>
        </w:rPr>
        <w:t>em</w:t>
      </w:r>
      <w:r w:rsidRPr="006557B3">
        <w:rPr>
          <w:rFonts w:ascii="Times New Roman" w:hAnsi="Times New Roman" w:cs="Times New Roman"/>
          <w:sz w:val="24"/>
          <w:szCs w:val="24"/>
          <w:lang w:val="lv-LV"/>
        </w:rPr>
        <w:t xml:space="preserve">), bet citā dalībvalstī tiek klasificēti </w:t>
      </w:r>
      <w:r w:rsidR="007C54E8" w:rsidRPr="006557B3">
        <w:rPr>
          <w:rFonts w:ascii="Times New Roman" w:hAnsi="Times New Roman" w:cs="Times New Roman"/>
          <w:sz w:val="24"/>
          <w:szCs w:val="24"/>
          <w:lang w:val="lv-LV"/>
        </w:rPr>
        <w:t>kā</w:t>
      </w:r>
      <w:r w:rsidRPr="006557B3">
        <w:rPr>
          <w:rFonts w:ascii="Times New Roman" w:hAnsi="Times New Roman" w:cs="Times New Roman"/>
          <w:sz w:val="24"/>
          <w:szCs w:val="24"/>
          <w:lang w:val="lv-LV"/>
        </w:rPr>
        <w:t xml:space="preserve"> zāl</w:t>
      </w:r>
      <w:r w:rsidR="007C54E8" w:rsidRPr="006557B3">
        <w:rPr>
          <w:rFonts w:ascii="Times New Roman" w:hAnsi="Times New Roman" w:cs="Times New Roman"/>
          <w:sz w:val="24"/>
          <w:szCs w:val="24"/>
          <w:lang w:val="lv-LV"/>
        </w:rPr>
        <w:t>es</w:t>
      </w:r>
      <w:r w:rsidRPr="006557B3">
        <w:rPr>
          <w:rFonts w:ascii="Times New Roman" w:hAnsi="Times New Roman" w:cs="Times New Roman"/>
          <w:sz w:val="24"/>
          <w:szCs w:val="24"/>
          <w:lang w:val="lv-LV"/>
        </w:rPr>
        <w:t>, piemēram, pa</w:t>
      </w:r>
      <w:r w:rsidR="007C54E8" w:rsidRPr="006557B3">
        <w:rPr>
          <w:rFonts w:ascii="Times New Roman" w:hAnsi="Times New Roman" w:cs="Times New Roman"/>
          <w:sz w:val="24"/>
          <w:szCs w:val="24"/>
          <w:lang w:val="lv-LV"/>
        </w:rPr>
        <w:t>liel</w:t>
      </w:r>
      <w:r w:rsidRPr="006557B3">
        <w:rPr>
          <w:rFonts w:ascii="Times New Roman" w:hAnsi="Times New Roman" w:cs="Times New Roman"/>
          <w:sz w:val="24"/>
          <w:szCs w:val="24"/>
          <w:lang w:val="lv-LV"/>
        </w:rPr>
        <w:t xml:space="preserve">inātā vitamīnu, minerālvielu daudzuma dēļ. Tas rada tirdzniecības </w:t>
      </w:r>
      <w:r w:rsidR="007C54E8" w:rsidRPr="006557B3">
        <w:rPr>
          <w:rFonts w:ascii="Times New Roman" w:hAnsi="Times New Roman" w:cs="Times New Roman"/>
          <w:sz w:val="24"/>
          <w:szCs w:val="24"/>
          <w:lang w:val="lv-LV"/>
        </w:rPr>
        <w:t>šķēršļus</w:t>
      </w:r>
      <w:r w:rsidRPr="006557B3">
        <w:rPr>
          <w:rFonts w:ascii="Times New Roman" w:hAnsi="Times New Roman" w:cs="Times New Roman"/>
          <w:sz w:val="24"/>
          <w:szCs w:val="24"/>
          <w:lang w:val="lv-LV"/>
        </w:rPr>
        <w:t xml:space="preserve"> starp </w:t>
      </w:r>
      <w:r w:rsidR="007A4333" w:rsidRPr="006557B3">
        <w:rPr>
          <w:rFonts w:ascii="Times New Roman" w:hAnsi="Times New Roman" w:cs="Times New Roman"/>
          <w:sz w:val="24"/>
          <w:szCs w:val="24"/>
          <w:lang w:val="lv-LV"/>
        </w:rPr>
        <w:t>Eiropas Savienības</w:t>
      </w:r>
      <w:r w:rsidRPr="006557B3">
        <w:rPr>
          <w:rFonts w:ascii="Times New Roman" w:hAnsi="Times New Roman" w:cs="Times New Roman"/>
          <w:sz w:val="24"/>
          <w:szCs w:val="24"/>
          <w:lang w:val="lv-LV"/>
        </w:rPr>
        <w:t xml:space="preserve"> dalībvalstīm</w:t>
      </w:r>
      <w:r w:rsidR="007C54E8" w:rsidRPr="006557B3">
        <w:rPr>
          <w:rFonts w:ascii="Times New Roman" w:hAnsi="Times New Roman" w:cs="Times New Roman"/>
          <w:sz w:val="24"/>
          <w:szCs w:val="24"/>
          <w:lang w:val="lv-LV"/>
        </w:rPr>
        <w:t>,</w:t>
      </w:r>
      <w:r w:rsidRPr="006557B3">
        <w:rPr>
          <w:rFonts w:ascii="Times New Roman" w:hAnsi="Times New Roman" w:cs="Times New Roman"/>
          <w:sz w:val="24"/>
          <w:szCs w:val="24"/>
          <w:lang w:val="lv-LV"/>
        </w:rPr>
        <w:t xml:space="preserve"> un šādi produkti tiek klasificēti kā robežprodukti. Daudzas </w:t>
      </w:r>
      <w:r w:rsidR="007A4333" w:rsidRPr="006557B3">
        <w:rPr>
          <w:rFonts w:ascii="Times New Roman" w:hAnsi="Times New Roman" w:cs="Times New Roman"/>
          <w:sz w:val="24"/>
          <w:szCs w:val="24"/>
          <w:lang w:val="lv-LV"/>
        </w:rPr>
        <w:t>Eiropas Savienības</w:t>
      </w:r>
      <w:r w:rsidRPr="006557B3">
        <w:rPr>
          <w:rFonts w:ascii="Times New Roman" w:hAnsi="Times New Roman" w:cs="Times New Roman"/>
          <w:sz w:val="24"/>
          <w:szCs w:val="24"/>
          <w:lang w:val="lv-LV"/>
        </w:rPr>
        <w:t xml:space="preserve"> dalībvalstis, lai aizsargātu savu patērētāju, </w:t>
      </w:r>
      <w:r w:rsidRPr="006557B3">
        <w:rPr>
          <w:rFonts w:ascii="Times New Roman" w:eastAsia="Times New Roman" w:hAnsi="Times New Roman" w:cs="Times New Roman"/>
          <w:bCs/>
          <w:sz w:val="24"/>
          <w:szCs w:val="24"/>
          <w:lang w:val="lv-LV" w:eastAsia="fr-FR"/>
        </w:rPr>
        <w:t xml:space="preserve">nacionālajos </w:t>
      </w:r>
      <w:r w:rsidR="007C54E8" w:rsidRPr="006557B3">
        <w:rPr>
          <w:rFonts w:ascii="Times New Roman" w:eastAsia="Times New Roman" w:hAnsi="Times New Roman" w:cs="Times New Roman"/>
          <w:bCs/>
          <w:sz w:val="24"/>
          <w:szCs w:val="24"/>
          <w:lang w:val="lv-LV" w:eastAsia="fr-FR"/>
        </w:rPr>
        <w:t>normatīvajos</w:t>
      </w:r>
      <w:r w:rsidRPr="006557B3">
        <w:rPr>
          <w:rFonts w:ascii="Times New Roman" w:eastAsia="Times New Roman" w:hAnsi="Times New Roman" w:cs="Times New Roman"/>
          <w:bCs/>
          <w:sz w:val="24"/>
          <w:szCs w:val="24"/>
          <w:lang w:val="lv-LV" w:eastAsia="fr-FR"/>
        </w:rPr>
        <w:t xml:space="preserve"> aktos </w:t>
      </w:r>
      <w:r w:rsidR="007C54E8" w:rsidRPr="006557B3">
        <w:rPr>
          <w:rFonts w:ascii="Times New Roman" w:hAnsi="Times New Roman" w:cs="Times New Roman"/>
          <w:sz w:val="24"/>
          <w:szCs w:val="24"/>
          <w:lang w:val="lv-LV"/>
        </w:rPr>
        <w:t xml:space="preserve">nosaka prasības </w:t>
      </w:r>
      <w:r w:rsidRPr="006557B3">
        <w:rPr>
          <w:rFonts w:ascii="Times New Roman" w:eastAsia="Times New Roman" w:hAnsi="Times New Roman" w:cs="Times New Roman"/>
          <w:bCs/>
          <w:sz w:val="24"/>
          <w:szCs w:val="24"/>
          <w:lang w:val="lv-LV" w:eastAsia="fr-FR"/>
        </w:rPr>
        <w:t>attiecībā uz maksimālajiem minerālvielu, vitamīnu daudzum</w:t>
      </w:r>
      <w:r w:rsidR="007C54E8" w:rsidRPr="006557B3">
        <w:rPr>
          <w:rFonts w:ascii="Times New Roman" w:eastAsia="Times New Roman" w:hAnsi="Times New Roman" w:cs="Times New Roman"/>
          <w:bCs/>
          <w:sz w:val="24"/>
          <w:szCs w:val="24"/>
          <w:lang w:val="lv-LV" w:eastAsia="fr-FR"/>
        </w:rPr>
        <w:t>u</w:t>
      </w:r>
      <w:r w:rsidRPr="006557B3">
        <w:rPr>
          <w:rFonts w:ascii="Times New Roman" w:eastAsia="Times New Roman" w:hAnsi="Times New Roman" w:cs="Times New Roman"/>
          <w:bCs/>
          <w:sz w:val="24"/>
          <w:szCs w:val="24"/>
          <w:lang w:val="lv-LV" w:eastAsia="fr-FR"/>
        </w:rPr>
        <w:t xml:space="preserve"> un atļautajiem augiem, ko var izmantot uztura bagātinātāju ražošanā. </w:t>
      </w:r>
    </w:p>
    <w:p w14:paraId="1F279B3D" w14:textId="77777777" w:rsidR="00AE4598" w:rsidRPr="006557B3" w:rsidRDefault="00AE4598" w:rsidP="00C05C12">
      <w:pPr>
        <w:tabs>
          <w:tab w:val="left" w:pos="8647"/>
        </w:tabs>
        <w:autoSpaceDE w:val="0"/>
        <w:autoSpaceDN w:val="0"/>
        <w:adjustRightInd w:val="0"/>
        <w:spacing w:after="0" w:line="240" w:lineRule="auto"/>
        <w:ind w:firstLine="709"/>
        <w:jc w:val="both"/>
        <w:rPr>
          <w:rFonts w:ascii="Times New Roman" w:hAnsi="Times New Roman" w:cs="Times New Roman"/>
          <w:sz w:val="24"/>
          <w:szCs w:val="24"/>
          <w:lang w:val="lv-LV"/>
        </w:rPr>
      </w:pPr>
    </w:p>
    <w:p w14:paraId="4D7B462E" w14:textId="77777777" w:rsidR="00AE4598" w:rsidRPr="006557B3" w:rsidRDefault="00163E80" w:rsidP="00C05C12">
      <w:pPr>
        <w:tabs>
          <w:tab w:val="left" w:pos="8647"/>
        </w:tabs>
        <w:autoSpaceDE w:val="0"/>
        <w:autoSpaceDN w:val="0"/>
        <w:adjustRightInd w:val="0"/>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t xml:space="preserve">4.2. </w:t>
      </w:r>
      <w:r w:rsidR="00AE4598" w:rsidRPr="006557B3">
        <w:rPr>
          <w:rFonts w:ascii="Times New Roman" w:hAnsi="Times New Roman" w:cs="Times New Roman"/>
          <w:b/>
          <w:sz w:val="24"/>
          <w:szCs w:val="24"/>
          <w:lang w:val="lv-LV"/>
        </w:rPr>
        <w:t>Situācija un problēmas Latvijā</w:t>
      </w:r>
      <w:r w:rsidR="00AE2D9E" w:rsidRPr="006557B3">
        <w:rPr>
          <w:rFonts w:ascii="Times New Roman" w:hAnsi="Times New Roman" w:cs="Times New Roman"/>
          <w:b/>
          <w:sz w:val="24"/>
          <w:szCs w:val="24"/>
          <w:lang w:val="lv-LV"/>
        </w:rPr>
        <w:t xml:space="preserve"> uztura bagātinātāju uzraudzībā un kontrolē</w:t>
      </w:r>
    </w:p>
    <w:p w14:paraId="0D403672" w14:textId="2F26C9B1" w:rsidR="00D72850" w:rsidRPr="006557B3" w:rsidRDefault="007C54E8"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Pēc PVD datiem, </w:t>
      </w:r>
      <w:r w:rsidR="00D72850" w:rsidRPr="006557B3">
        <w:rPr>
          <w:rFonts w:ascii="Times New Roman" w:hAnsi="Times New Roman" w:cs="Times New Roman"/>
          <w:sz w:val="24"/>
          <w:szCs w:val="24"/>
          <w:lang w:val="lv-LV"/>
        </w:rPr>
        <w:t xml:space="preserve">Latvijas tirgū vidēji gada laikā tiek laisti vairāk </w:t>
      </w:r>
      <w:r w:rsidRPr="006557B3">
        <w:rPr>
          <w:rFonts w:ascii="Times New Roman" w:hAnsi="Times New Roman" w:cs="Times New Roman"/>
          <w:sz w:val="24"/>
          <w:szCs w:val="24"/>
          <w:lang w:val="lv-LV"/>
        </w:rPr>
        <w:t>ne</w:t>
      </w:r>
      <w:r w:rsidR="00D72850" w:rsidRPr="006557B3">
        <w:rPr>
          <w:rFonts w:ascii="Times New Roman" w:hAnsi="Times New Roman" w:cs="Times New Roman"/>
          <w:sz w:val="24"/>
          <w:szCs w:val="24"/>
          <w:lang w:val="lv-LV"/>
        </w:rPr>
        <w:t>kā 500 jauni uztura bagātinātāji (sk.</w:t>
      </w:r>
      <w:r w:rsidRPr="006557B3">
        <w:rPr>
          <w:rFonts w:ascii="Times New Roman" w:hAnsi="Times New Roman" w:cs="Times New Roman"/>
          <w:sz w:val="24"/>
          <w:szCs w:val="24"/>
          <w:lang w:val="lv-LV"/>
        </w:rPr>
        <w:t xml:space="preserve"> </w:t>
      </w:r>
      <w:r w:rsidR="00D72850" w:rsidRPr="006557B3">
        <w:rPr>
          <w:rFonts w:ascii="Times New Roman" w:hAnsi="Times New Roman" w:cs="Times New Roman"/>
          <w:sz w:val="24"/>
          <w:szCs w:val="24"/>
          <w:lang w:val="lv-LV"/>
        </w:rPr>
        <w:t xml:space="preserve">1.attēlu). </w:t>
      </w:r>
    </w:p>
    <w:p w14:paraId="73755DD2" w14:textId="0EC409E1" w:rsidR="00D72850" w:rsidRPr="006557B3" w:rsidRDefault="007C54E8"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Arvien lielākā</w:t>
      </w:r>
      <w:r w:rsidR="00D72850"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 xml:space="preserve">tirgū piedāvātā </w:t>
      </w:r>
      <w:r w:rsidR="00D72850" w:rsidRPr="006557B3">
        <w:rPr>
          <w:rFonts w:ascii="Times New Roman" w:hAnsi="Times New Roman" w:cs="Times New Roman"/>
          <w:sz w:val="24"/>
          <w:szCs w:val="24"/>
          <w:lang w:val="lv-LV"/>
        </w:rPr>
        <w:t xml:space="preserve">uztura bagātinātāju daudzveidība, interneta tirdzniecība, sociālie tīkli un reklāmas rada nepieciešamību </w:t>
      </w:r>
      <w:r w:rsidRPr="006557B3">
        <w:rPr>
          <w:rFonts w:ascii="Times New Roman" w:hAnsi="Times New Roman" w:cs="Times New Roman"/>
          <w:sz w:val="24"/>
          <w:szCs w:val="24"/>
          <w:lang w:val="lv-LV"/>
        </w:rPr>
        <w:t>pēc</w:t>
      </w:r>
      <w:r w:rsidR="00D72850" w:rsidRPr="006557B3">
        <w:rPr>
          <w:rFonts w:ascii="Times New Roman" w:hAnsi="Times New Roman" w:cs="Times New Roman"/>
          <w:sz w:val="24"/>
          <w:szCs w:val="24"/>
          <w:lang w:val="lv-LV"/>
        </w:rPr>
        <w:t xml:space="preserve"> sabiedrības informēšanas un izglītošanas </w:t>
      </w:r>
      <w:r w:rsidR="00D72850" w:rsidRPr="006557B3">
        <w:rPr>
          <w:rFonts w:ascii="Times New Roman" w:hAnsi="Times New Roman" w:cs="Times New Roman"/>
          <w:sz w:val="24"/>
          <w:szCs w:val="24"/>
          <w:lang w:val="lv-LV"/>
        </w:rPr>
        <w:lastRenderedPageBreak/>
        <w:t>pasākum</w:t>
      </w:r>
      <w:r w:rsidRPr="006557B3">
        <w:rPr>
          <w:rFonts w:ascii="Times New Roman" w:hAnsi="Times New Roman" w:cs="Times New Roman"/>
          <w:sz w:val="24"/>
          <w:szCs w:val="24"/>
          <w:lang w:val="lv-LV"/>
        </w:rPr>
        <w:t>iem</w:t>
      </w:r>
      <w:r w:rsidR="00D72850" w:rsidRPr="006557B3">
        <w:rPr>
          <w:rFonts w:ascii="Times New Roman" w:hAnsi="Times New Roman" w:cs="Times New Roman"/>
          <w:sz w:val="24"/>
          <w:szCs w:val="24"/>
          <w:lang w:val="lv-LV"/>
        </w:rPr>
        <w:t>, kas palīdzētu patērētājam labāk orientēties un lietderīg</w:t>
      </w:r>
      <w:r w:rsidRPr="006557B3">
        <w:rPr>
          <w:rFonts w:ascii="Times New Roman" w:hAnsi="Times New Roman" w:cs="Times New Roman"/>
          <w:sz w:val="24"/>
          <w:szCs w:val="24"/>
          <w:lang w:val="lv-LV"/>
        </w:rPr>
        <w:t>i</w:t>
      </w:r>
      <w:r w:rsidR="00D72850"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 xml:space="preserve">izvēlēties </w:t>
      </w:r>
      <w:r w:rsidR="00D72850" w:rsidRPr="006557B3">
        <w:rPr>
          <w:rFonts w:ascii="Times New Roman" w:hAnsi="Times New Roman" w:cs="Times New Roman"/>
          <w:sz w:val="24"/>
          <w:szCs w:val="24"/>
          <w:lang w:val="lv-LV"/>
        </w:rPr>
        <w:t>uztura bagātinātāju</w:t>
      </w:r>
      <w:r w:rsidRPr="006557B3">
        <w:rPr>
          <w:rFonts w:ascii="Times New Roman" w:hAnsi="Times New Roman" w:cs="Times New Roman"/>
          <w:sz w:val="24"/>
          <w:szCs w:val="24"/>
          <w:lang w:val="lv-LV"/>
        </w:rPr>
        <w:t>s</w:t>
      </w:r>
      <w:r w:rsidR="00D72850" w:rsidRPr="006557B3">
        <w:rPr>
          <w:rFonts w:ascii="Times New Roman" w:hAnsi="Times New Roman" w:cs="Times New Roman"/>
          <w:sz w:val="24"/>
          <w:szCs w:val="24"/>
          <w:lang w:val="lv-LV"/>
        </w:rPr>
        <w:t>.</w:t>
      </w:r>
    </w:p>
    <w:p w14:paraId="789D3A25" w14:textId="58C5F817" w:rsidR="00D72850" w:rsidRPr="006557B3" w:rsidRDefault="00D72850"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Patērētājam ir jāsaņem pamatota informācija par lietderīgu uztura bagātinātāju lietošanu, par </w:t>
      </w:r>
      <w:r w:rsidR="007C54E8" w:rsidRPr="006557B3">
        <w:rPr>
          <w:rFonts w:ascii="Times New Roman" w:hAnsi="Times New Roman" w:cs="Times New Roman"/>
          <w:sz w:val="24"/>
          <w:szCs w:val="24"/>
          <w:lang w:val="lv-LV"/>
        </w:rPr>
        <w:t>to</w:t>
      </w:r>
      <w:r w:rsidRPr="006557B3">
        <w:rPr>
          <w:rFonts w:ascii="Times New Roman" w:hAnsi="Times New Roman" w:cs="Times New Roman"/>
          <w:sz w:val="24"/>
          <w:szCs w:val="24"/>
          <w:lang w:val="lv-LV"/>
        </w:rPr>
        <w:t xml:space="preserve"> lietošanu saistībā ar citiem pārtikas produktiem vai kopā ar zālēm, vai bezrecepšu zālēm, par drošām </w:t>
      </w:r>
      <w:r w:rsidR="007C54E8" w:rsidRPr="006557B3">
        <w:rPr>
          <w:rFonts w:ascii="Times New Roman" w:hAnsi="Times New Roman" w:cs="Times New Roman"/>
          <w:sz w:val="24"/>
          <w:szCs w:val="24"/>
          <w:lang w:val="lv-LV"/>
        </w:rPr>
        <w:t xml:space="preserve">tīmekļa </w:t>
      </w:r>
      <w:r w:rsidRPr="006557B3">
        <w:rPr>
          <w:rFonts w:ascii="Times New Roman" w:hAnsi="Times New Roman" w:cs="Times New Roman"/>
          <w:sz w:val="24"/>
          <w:szCs w:val="24"/>
          <w:lang w:val="lv-LV"/>
        </w:rPr>
        <w:t>vietnēm, kur</w:t>
      </w:r>
      <w:r w:rsidR="007C54E8" w:rsidRPr="006557B3">
        <w:rPr>
          <w:rFonts w:ascii="Times New Roman" w:hAnsi="Times New Roman" w:cs="Times New Roman"/>
          <w:sz w:val="24"/>
          <w:szCs w:val="24"/>
          <w:lang w:val="lv-LV"/>
        </w:rPr>
        <w:t>ās</w:t>
      </w:r>
      <w:r w:rsidRPr="006557B3">
        <w:rPr>
          <w:rFonts w:ascii="Times New Roman" w:hAnsi="Times New Roman" w:cs="Times New Roman"/>
          <w:sz w:val="24"/>
          <w:szCs w:val="24"/>
          <w:lang w:val="lv-LV"/>
        </w:rPr>
        <w:t xml:space="preserve"> tiek piedāvāti reģistrēti uztura bagātinātāji un </w:t>
      </w:r>
      <w:r w:rsidR="007C54E8" w:rsidRPr="006557B3">
        <w:rPr>
          <w:rFonts w:ascii="Times New Roman" w:hAnsi="Times New Roman" w:cs="Times New Roman"/>
          <w:sz w:val="24"/>
          <w:szCs w:val="24"/>
          <w:lang w:val="lv-LV"/>
        </w:rPr>
        <w:t xml:space="preserve">tādām </w:t>
      </w:r>
      <w:r w:rsidRPr="006557B3">
        <w:rPr>
          <w:rFonts w:ascii="Times New Roman" w:hAnsi="Times New Roman" w:cs="Times New Roman"/>
          <w:sz w:val="24"/>
          <w:szCs w:val="24"/>
          <w:lang w:val="lv-LV"/>
        </w:rPr>
        <w:t>vietnēm, kur</w:t>
      </w:r>
      <w:r w:rsidR="007C54E8" w:rsidRPr="006557B3">
        <w:rPr>
          <w:rFonts w:ascii="Times New Roman" w:hAnsi="Times New Roman" w:cs="Times New Roman"/>
          <w:sz w:val="24"/>
          <w:szCs w:val="24"/>
          <w:lang w:val="lv-LV"/>
        </w:rPr>
        <w:t>ās</w:t>
      </w:r>
      <w:r w:rsidRPr="006557B3">
        <w:rPr>
          <w:rFonts w:ascii="Times New Roman" w:hAnsi="Times New Roman" w:cs="Times New Roman"/>
          <w:sz w:val="24"/>
          <w:szCs w:val="24"/>
          <w:lang w:val="lv-LV"/>
        </w:rPr>
        <w:t xml:space="preserve"> tiek piedāvāti nereģistrēti uztura bagātinātāji.</w:t>
      </w:r>
    </w:p>
    <w:p w14:paraId="42CC9D32" w14:textId="197B542F" w:rsidR="00D72850" w:rsidRPr="006557B3" w:rsidRDefault="00D72850" w:rsidP="00C05C12">
      <w:pPr>
        <w:tabs>
          <w:tab w:val="left" w:pos="8647"/>
        </w:tabs>
        <w:spacing w:after="0" w:line="240" w:lineRule="auto"/>
        <w:ind w:firstLine="709"/>
        <w:jc w:val="both"/>
        <w:rPr>
          <w:rFonts w:ascii="Times New Roman" w:hAnsi="Times New Roman" w:cs="Times New Roman"/>
          <w:sz w:val="24"/>
          <w:szCs w:val="24"/>
          <w:lang w:val="lv-LV" w:eastAsia="fr-FR"/>
        </w:rPr>
      </w:pPr>
      <w:r w:rsidRPr="006557B3">
        <w:rPr>
          <w:rFonts w:ascii="Times New Roman" w:hAnsi="Times New Roman" w:cs="Times New Roman"/>
          <w:sz w:val="24"/>
          <w:szCs w:val="24"/>
          <w:lang w:val="lv-LV"/>
        </w:rPr>
        <w:t xml:space="preserve">Lai pārliecinātos, </w:t>
      </w:r>
      <w:r w:rsidR="007C54E8" w:rsidRPr="006557B3">
        <w:rPr>
          <w:rFonts w:ascii="Times New Roman" w:hAnsi="Times New Roman" w:cs="Times New Roman"/>
          <w:sz w:val="24"/>
          <w:szCs w:val="24"/>
          <w:lang w:val="lv-LV"/>
        </w:rPr>
        <w:t>vai</w:t>
      </w:r>
      <w:r w:rsidRPr="006557B3">
        <w:rPr>
          <w:rFonts w:ascii="Times New Roman" w:hAnsi="Times New Roman" w:cs="Times New Roman"/>
          <w:sz w:val="24"/>
          <w:szCs w:val="24"/>
          <w:lang w:val="lv-LV"/>
        </w:rPr>
        <w:t xml:space="preserve"> </w:t>
      </w:r>
      <w:r w:rsidR="007C54E8" w:rsidRPr="006557B3">
        <w:rPr>
          <w:rFonts w:ascii="Times New Roman" w:hAnsi="Times New Roman" w:cs="Times New Roman"/>
          <w:sz w:val="24"/>
          <w:szCs w:val="24"/>
          <w:lang w:val="lv-LV"/>
        </w:rPr>
        <w:t xml:space="preserve">tiek izpildītas </w:t>
      </w:r>
      <w:r w:rsidRPr="006557B3">
        <w:rPr>
          <w:rFonts w:ascii="Times New Roman" w:hAnsi="Times New Roman" w:cs="Times New Roman"/>
          <w:sz w:val="24"/>
          <w:szCs w:val="24"/>
          <w:lang w:val="lv-LV"/>
        </w:rPr>
        <w:t xml:space="preserve">normatīvajos aktos noteiktās prasības, Pārtikas un veterinārais dienests piemēro </w:t>
      </w:r>
      <w:r w:rsidRPr="006557B3">
        <w:rPr>
          <w:rFonts w:ascii="Times New Roman" w:hAnsi="Times New Roman" w:cs="Times New Roman"/>
          <w:bCs/>
          <w:sz w:val="24"/>
          <w:szCs w:val="24"/>
          <w:lang w:val="lv-LV"/>
        </w:rPr>
        <w:t>Eiropas Parlamenta un Padomes 2004.</w:t>
      </w:r>
      <w:r w:rsidR="007C54E8" w:rsidRPr="006557B3">
        <w:rPr>
          <w:rFonts w:ascii="Times New Roman" w:hAnsi="Times New Roman" w:cs="Times New Roman"/>
          <w:bCs/>
          <w:sz w:val="24"/>
          <w:szCs w:val="24"/>
          <w:lang w:val="lv-LV"/>
        </w:rPr>
        <w:t> </w:t>
      </w:r>
      <w:r w:rsidRPr="006557B3">
        <w:rPr>
          <w:rFonts w:ascii="Times New Roman" w:hAnsi="Times New Roman" w:cs="Times New Roman"/>
          <w:bCs/>
          <w:sz w:val="24"/>
          <w:szCs w:val="24"/>
          <w:lang w:val="lv-LV"/>
        </w:rPr>
        <w:t>gada 29. aprīļa Regulu (EK) 882/2004 par oficiālo kontroli, ko veic, lai nodrošinātu atbilstības pārbaudi saistībā ar dzīvnieku barības un pārtikas aprites tiesību aktiem un dzīvnieku veselības un dzīvnieku labturības noteikumiem (turpmāk – regula 882/2004).</w:t>
      </w:r>
      <w:r w:rsidRPr="006557B3">
        <w:rPr>
          <w:rFonts w:ascii="Times New Roman" w:hAnsi="Times New Roman" w:cs="Times New Roman"/>
          <w:b/>
          <w:bCs/>
          <w:sz w:val="24"/>
          <w:szCs w:val="24"/>
          <w:lang w:val="lv-LV"/>
        </w:rPr>
        <w:t xml:space="preserve"> </w:t>
      </w:r>
      <w:r w:rsidRPr="006557B3">
        <w:rPr>
          <w:rFonts w:ascii="Times New Roman" w:hAnsi="Times New Roman" w:cs="Times New Roman"/>
          <w:bCs/>
          <w:sz w:val="24"/>
          <w:szCs w:val="24"/>
          <w:lang w:val="lv-LV"/>
        </w:rPr>
        <w:t xml:space="preserve">Regulas 882/2004 10. un 11. pants </w:t>
      </w:r>
      <w:r w:rsidRPr="006557B3">
        <w:rPr>
          <w:rFonts w:ascii="Times New Roman" w:hAnsi="Times New Roman" w:cs="Times New Roman"/>
          <w:sz w:val="24"/>
          <w:szCs w:val="24"/>
          <w:lang w:val="lv-LV"/>
        </w:rPr>
        <w:t>nosaka pārtikas, tostarp uztura bagātinātāju</w:t>
      </w:r>
      <w:r w:rsidR="007C54E8" w:rsidRPr="006557B3">
        <w:rPr>
          <w:rFonts w:ascii="Times New Roman" w:hAnsi="Times New Roman" w:cs="Times New Roman"/>
          <w:sz w:val="24"/>
          <w:szCs w:val="24"/>
          <w:lang w:val="lv-LV"/>
        </w:rPr>
        <w:t>,</w:t>
      </w:r>
      <w:r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eastAsia="fr-FR"/>
        </w:rPr>
        <w:t>paraugu ņemšanu laboratoriskām analīzēm. Dārgo laboratori</w:t>
      </w:r>
      <w:r w:rsidR="007C54E8" w:rsidRPr="006557B3">
        <w:rPr>
          <w:rFonts w:ascii="Times New Roman" w:hAnsi="Times New Roman" w:cs="Times New Roman"/>
          <w:sz w:val="24"/>
          <w:szCs w:val="24"/>
          <w:lang w:val="lv-LV" w:eastAsia="fr-FR"/>
        </w:rPr>
        <w:t>jas</w:t>
      </w:r>
      <w:r w:rsidRPr="006557B3">
        <w:rPr>
          <w:rFonts w:ascii="Times New Roman" w:hAnsi="Times New Roman" w:cs="Times New Roman"/>
          <w:sz w:val="24"/>
          <w:szCs w:val="24"/>
          <w:lang w:val="lv-LV" w:eastAsia="fr-FR"/>
        </w:rPr>
        <w:t xml:space="preserve"> izmaksu dēļ uztura bagātinātāju paraugu ņemšana un laboratoriskā </w:t>
      </w:r>
      <w:r w:rsidR="0073493E" w:rsidRPr="006557B3">
        <w:rPr>
          <w:rFonts w:ascii="Times New Roman" w:hAnsi="Times New Roman" w:cs="Times New Roman"/>
          <w:sz w:val="24"/>
          <w:szCs w:val="24"/>
          <w:lang w:val="lv-LV" w:eastAsia="fr-FR"/>
        </w:rPr>
        <w:t>kontrole</w:t>
      </w:r>
      <w:r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eastAsia="fr-FR"/>
        </w:rPr>
        <w:t>netiek nodrošināta pienācīgā apjomā. Vienas uztura bagātinātāja sastāvdaļas noteikšana izmaksā no 200</w:t>
      </w:r>
      <w:r w:rsidR="007C54E8" w:rsidRPr="006557B3">
        <w:rPr>
          <w:rFonts w:ascii="Times New Roman" w:hAnsi="Times New Roman" w:cs="Times New Roman"/>
          <w:sz w:val="24"/>
          <w:szCs w:val="24"/>
          <w:lang w:val="lv-LV" w:eastAsia="fr-FR"/>
        </w:rPr>
        <w:t xml:space="preserve"> līdz</w:t>
      </w:r>
      <w:r w:rsidRPr="006557B3">
        <w:rPr>
          <w:rFonts w:ascii="Times New Roman" w:hAnsi="Times New Roman" w:cs="Times New Roman"/>
          <w:sz w:val="24"/>
          <w:szCs w:val="24"/>
          <w:lang w:val="lv-LV" w:eastAsia="fr-FR"/>
        </w:rPr>
        <w:t xml:space="preserve"> 350 </w:t>
      </w:r>
      <w:r w:rsidRPr="006557B3">
        <w:rPr>
          <w:rFonts w:ascii="Times New Roman" w:hAnsi="Times New Roman" w:cs="Times New Roman"/>
          <w:i/>
          <w:sz w:val="24"/>
          <w:szCs w:val="24"/>
          <w:lang w:val="lv-LV" w:eastAsia="fr-FR"/>
        </w:rPr>
        <w:t>euro</w:t>
      </w:r>
      <w:r w:rsidRPr="006557B3">
        <w:rPr>
          <w:rFonts w:ascii="Times New Roman" w:hAnsi="Times New Roman" w:cs="Times New Roman"/>
          <w:sz w:val="24"/>
          <w:szCs w:val="24"/>
          <w:lang w:val="lv-LV" w:eastAsia="fr-FR"/>
        </w:rPr>
        <w:t xml:space="preserve">, bet dažu sastāvdaļu izmaksas var </w:t>
      </w:r>
      <w:r w:rsidR="007C54E8" w:rsidRPr="006557B3">
        <w:rPr>
          <w:rFonts w:ascii="Times New Roman" w:hAnsi="Times New Roman" w:cs="Times New Roman"/>
          <w:sz w:val="24"/>
          <w:szCs w:val="24"/>
          <w:lang w:val="lv-LV" w:eastAsia="fr-FR"/>
        </w:rPr>
        <w:t xml:space="preserve">būt </w:t>
      </w:r>
      <w:r w:rsidRPr="006557B3">
        <w:rPr>
          <w:rFonts w:ascii="Times New Roman" w:hAnsi="Times New Roman" w:cs="Times New Roman"/>
          <w:sz w:val="24"/>
          <w:szCs w:val="24"/>
          <w:lang w:val="lv-LV" w:eastAsia="fr-FR"/>
        </w:rPr>
        <w:t xml:space="preserve">pat līdz 400 </w:t>
      </w:r>
      <w:r w:rsidRPr="006557B3">
        <w:rPr>
          <w:rFonts w:ascii="Times New Roman" w:hAnsi="Times New Roman" w:cs="Times New Roman"/>
          <w:i/>
          <w:sz w:val="24"/>
          <w:szCs w:val="24"/>
          <w:lang w:val="lv-LV" w:eastAsia="fr-FR"/>
        </w:rPr>
        <w:t>euro</w:t>
      </w:r>
      <w:r w:rsidRPr="006557B3">
        <w:rPr>
          <w:rFonts w:ascii="Times New Roman" w:hAnsi="Times New Roman" w:cs="Times New Roman"/>
          <w:sz w:val="24"/>
          <w:szCs w:val="24"/>
          <w:lang w:val="lv-LV" w:eastAsia="fr-FR"/>
        </w:rPr>
        <w:t xml:space="preserve">, un paraugi bieži jānosūta uz citu </w:t>
      </w:r>
      <w:r w:rsidR="007A4333" w:rsidRPr="006557B3">
        <w:rPr>
          <w:rFonts w:ascii="Times New Roman" w:hAnsi="Times New Roman" w:cs="Times New Roman"/>
          <w:sz w:val="24"/>
          <w:szCs w:val="24"/>
          <w:lang w:val="lv-LV"/>
        </w:rPr>
        <w:t>Eiropas Savienības</w:t>
      </w:r>
      <w:r w:rsidRPr="006557B3">
        <w:rPr>
          <w:rFonts w:ascii="Times New Roman" w:hAnsi="Times New Roman" w:cs="Times New Roman"/>
          <w:sz w:val="24"/>
          <w:szCs w:val="24"/>
          <w:lang w:val="lv-LV" w:eastAsia="fr-FR"/>
        </w:rPr>
        <w:t xml:space="preserve"> dalībvalstu laboratorijām.</w:t>
      </w:r>
    </w:p>
    <w:p w14:paraId="3EB75577" w14:textId="78498B7F" w:rsidR="00D72850" w:rsidRPr="006557B3" w:rsidRDefault="00D72850"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Tāpat aizdomu gadījumos pirmsreģistrācijas posmā, kad uzņēmēji iesniedz paziņojumu par uztura bagātinātāja laišanu tirgū, </w:t>
      </w:r>
      <w:r w:rsidR="007C54E8" w:rsidRPr="006557B3">
        <w:rPr>
          <w:rFonts w:ascii="Times New Roman" w:hAnsi="Times New Roman" w:cs="Times New Roman"/>
          <w:sz w:val="24"/>
          <w:szCs w:val="24"/>
          <w:lang w:val="lv-LV"/>
        </w:rPr>
        <w:t xml:space="preserve">PVD </w:t>
      </w:r>
      <w:r w:rsidRPr="006557B3">
        <w:rPr>
          <w:rFonts w:ascii="Times New Roman" w:hAnsi="Times New Roman" w:cs="Times New Roman"/>
          <w:sz w:val="24"/>
          <w:szCs w:val="24"/>
          <w:lang w:val="lv-LV"/>
        </w:rPr>
        <w:t>ir ierobežota iespēja nosūtīt konkrētā uztura bagātinātāja paraugu uz laboratoriju, lai pārliecinātos par paziņojumā norādītās informācijas atbilstību normatīv</w:t>
      </w:r>
      <w:r w:rsidR="007C54E8" w:rsidRPr="006557B3">
        <w:rPr>
          <w:rFonts w:ascii="Times New Roman" w:hAnsi="Times New Roman" w:cs="Times New Roman"/>
          <w:sz w:val="24"/>
          <w:szCs w:val="24"/>
          <w:lang w:val="lv-LV"/>
        </w:rPr>
        <w:t>o</w:t>
      </w:r>
      <w:r w:rsidRPr="006557B3">
        <w:rPr>
          <w:rFonts w:ascii="Times New Roman" w:hAnsi="Times New Roman" w:cs="Times New Roman"/>
          <w:sz w:val="24"/>
          <w:szCs w:val="24"/>
          <w:lang w:val="lv-LV"/>
        </w:rPr>
        <w:t xml:space="preserve"> akt</w:t>
      </w:r>
      <w:r w:rsidR="007C54E8" w:rsidRPr="006557B3">
        <w:rPr>
          <w:rFonts w:ascii="Times New Roman" w:hAnsi="Times New Roman" w:cs="Times New Roman"/>
          <w:sz w:val="24"/>
          <w:szCs w:val="24"/>
          <w:lang w:val="lv-LV"/>
        </w:rPr>
        <w:t>u</w:t>
      </w:r>
      <w:r w:rsidRPr="006557B3">
        <w:rPr>
          <w:rFonts w:ascii="Times New Roman" w:hAnsi="Times New Roman" w:cs="Times New Roman"/>
          <w:sz w:val="24"/>
          <w:szCs w:val="24"/>
          <w:lang w:val="lv-LV"/>
        </w:rPr>
        <w:t xml:space="preserve"> </w:t>
      </w:r>
      <w:r w:rsidR="007C54E8" w:rsidRPr="006557B3">
        <w:rPr>
          <w:rFonts w:ascii="Times New Roman" w:hAnsi="Times New Roman" w:cs="Times New Roman"/>
          <w:sz w:val="24"/>
          <w:szCs w:val="24"/>
          <w:lang w:val="lv-LV"/>
        </w:rPr>
        <w:t>prasībām</w:t>
      </w:r>
      <w:r w:rsidRPr="006557B3">
        <w:rPr>
          <w:rFonts w:ascii="Times New Roman" w:hAnsi="Times New Roman" w:cs="Times New Roman"/>
          <w:sz w:val="24"/>
          <w:szCs w:val="24"/>
          <w:lang w:val="lv-LV"/>
        </w:rPr>
        <w:t>.</w:t>
      </w:r>
    </w:p>
    <w:p w14:paraId="1A5688F4" w14:textId="426BFC57" w:rsidR="00D72850" w:rsidRPr="006557B3" w:rsidRDefault="007C54E8" w:rsidP="00C05C12">
      <w:pPr>
        <w:tabs>
          <w:tab w:val="left" w:pos="8647"/>
        </w:tabs>
        <w:spacing w:after="0" w:line="240" w:lineRule="auto"/>
        <w:ind w:firstLine="709"/>
        <w:jc w:val="both"/>
        <w:rPr>
          <w:rFonts w:ascii="Times New Roman" w:hAnsi="Times New Roman" w:cs="Times New Roman"/>
          <w:sz w:val="24"/>
          <w:szCs w:val="24"/>
          <w:lang w:val="lv-LV" w:eastAsia="fr-FR"/>
        </w:rPr>
      </w:pPr>
      <w:r w:rsidRPr="006557B3">
        <w:rPr>
          <w:rFonts w:ascii="Times New Roman" w:hAnsi="Times New Roman" w:cs="Times New Roman"/>
          <w:sz w:val="24"/>
          <w:szCs w:val="24"/>
          <w:lang w:val="lv-LV"/>
        </w:rPr>
        <w:t>PVD</w:t>
      </w:r>
      <w:r w:rsidR="00D72850" w:rsidRPr="006557B3">
        <w:rPr>
          <w:rFonts w:ascii="Times New Roman" w:hAnsi="Times New Roman" w:cs="Times New Roman"/>
          <w:sz w:val="24"/>
          <w:szCs w:val="24"/>
          <w:lang w:val="lv-LV" w:eastAsia="fr-FR"/>
        </w:rPr>
        <w:t xml:space="preserve"> </w:t>
      </w:r>
      <w:r w:rsidR="00D72850" w:rsidRPr="006557B3">
        <w:rPr>
          <w:rFonts w:ascii="Times New Roman" w:hAnsi="Times New Roman" w:cs="Times New Roman"/>
          <w:sz w:val="24"/>
          <w:szCs w:val="24"/>
          <w:lang w:val="lv-LV"/>
        </w:rPr>
        <w:t>uztura bagātinātāju reģistrācijas posmā</w:t>
      </w:r>
      <w:r w:rsidR="00D72850" w:rsidRPr="006557B3">
        <w:rPr>
          <w:rFonts w:ascii="Times New Roman" w:hAnsi="Times New Roman" w:cs="Times New Roman"/>
          <w:sz w:val="24"/>
          <w:szCs w:val="24"/>
          <w:lang w:val="lv-LV" w:eastAsia="fr-FR"/>
        </w:rPr>
        <w:t xml:space="preserve"> saskaras ar vairākām neatbilstībām un uzskata, ka pārtikas apritē esošiem </w:t>
      </w:r>
      <w:r w:rsidR="00D72850" w:rsidRPr="006557B3">
        <w:rPr>
          <w:rFonts w:ascii="Times New Roman" w:hAnsi="Times New Roman" w:cs="Times New Roman"/>
          <w:sz w:val="24"/>
          <w:szCs w:val="24"/>
          <w:lang w:val="lv-LV"/>
        </w:rPr>
        <w:t>pārtikas uzņēmumiem (izplatītājiem, importētājiem, ražotājiem) daudzos gadījumos ir jāpilnveido profesionālās zināšanas un izpratne par pārtikas aprites normatīvajiem aktiem un uztura bagātinātāju specifiskajām prasībām.</w:t>
      </w:r>
      <w:r w:rsidR="00D72850" w:rsidRPr="006557B3">
        <w:rPr>
          <w:rFonts w:ascii="Times New Roman" w:hAnsi="Times New Roman" w:cs="Times New Roman"/>
          <w:sz w:val="24"/>
          <w:szCs w:val="24"/>
          <w:lang w:val="lv-LV" w:eastAsia="fr-FR"/>
        </w:rPr>
        <w:t xml:space="preserve"> </w:t>
      </w:r>
    </w:p>
    <w:p w14:paraId="04D0C080" w14:textId="5DF8A81A" w:rsidR="00D72850" w:rsidRPr="006557B3" w:rsidRDefault="007C54E8"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PVD</w:t>
      </w:r>
      <w:r w:rsidR="00D72850" w:rsidRPr="006557B3">
        <w:rPr>
          <w:rFonts w:ascii="Times New Roman" w:hAnsi="Times New Roman" w:cs="Times New Roman"/>
          <w:sz w:val="24"/>
          <w:szCs w:val="24"/>
          <w:lang w:val="lv-LV" w:eastAsia="fr-FR"/>
        </w:rPr>
        <w:t xml:space="preserve"> </w:t>
      </w:r>
      <w:r w:rsidR="00D72850" w:rsidRPr="006557B3">
        <w:rPr>
          <w:rFonts w:ascii="Times New Roman" w:hAnsi="Times New Roman" w:cs="Times New Roman"/>
          <w:sz w:val="24"/>
          <w:szCs w:val="24"/>
          <w:lang w:val="lv-LV"/>
        </w:rPr>
        <w:t>ekspertiem ir jāspēj izvērtēt uztura bagātinātāju nekaitīgumu (drošumu) patērētājiem, īpaši, ja tie paredzēti jutīgākajām patērētāju grupām</w:t>
      </w:r>
      <w:r w:rsidRPr="006557B3">
        <w:rPr>
          <w:rFonts w:ascii="Times New Roman" w:hAnsi="Times New Roman" w:cs="Times New Roman"/>
          <w:sz w:val="24"/>
          <w:szCs w:val="24"/>
          <w:lang w:val="lv-LV"/>
        </w:rPr>
        <w:t> –</w:t>
      </w:r>
      <w:r w:rsidR="00D72850" w:rsidRPr="006557B3">
        <w:rPr>
          <w:rFonts w:ascii="Times New Roman" w:hAnsi="Times New Roman" w:cs="Times New Roman"/>
          <w:sz w:val="24"/>
          <w:szCs w:val="24"/>
          <w:lang w:val="lv-LV"/>
        </w:rPr>
        <w:t xml:space="preserve"> zīdaiņiem, bērniem, grūtniecēm</w:t>
      </w:r>
      <w:r w:rsidRPr="006557B3">
        <w:rPr>
          <w:rFonts w:ascii="Times New Roman" w:hAnsi="Times New Roman" w:cs="Times New Roman"/>
          <w:sz w:val="24"/>
          <w:szCs w:val="24"/>
          <w:lang w:val="lv-LV"/>
        </w:rPr>
        <w:t xml:space="preserve"> un</w:t>
      </w:r>
      <w:r w:rsidR="00D72850" w:rsidRPr="006557B3">
        <w:rPr>
          <w:rFonts w:ascii="Times New Roman" w:hAnsi="Times New Roman" w:cs="Times New Roman"/>
          <w:sz w:val="24"/>
          <w:szCs w:val="24"/>
          <w:lang w:val="lv-LV"/>
        </w:rPr>
        <w:t xml:space="preserve"> sievietēm laktācijas periodā. Uztura bagātinātāji var saturēt sastāvdaļas, kas raksturīgas Ķīnas tradicionālajai medicīnai vai </w:t>
      </w:r>
      <w:r w:rsidRPr="006557B3">
        <w:rPr>
          <w:rFonts w:ascii="Times New Roman" w:hAnsi="Times New Roman" w:cs="Times New Roman"/>
          <w:sz w:val="24"/>
          <w:szCs w:val="24"/>
          <w:lang w:val="lv-LV"/>
        </w:rPr>
        <w:t>ā</w:t>
      </w:r>
      <w:r w:rsidR="00D72850" w:rsidRPr="006557B3">
        <w:rPr>
          <w:rFonts w:ascii="Times New Roman" w:hAnsi="Times New Roman" w:cs="Times New Roman"/>
          <w:sz w:val="24"/>
          <w:szCs w:val="24"/>
          <w:lang w:val="lv-LV"/>
        </w:rPr>
        <w:t xml:space="preserve">jurvēdai, </w:t>
      </w:r>
      <w:r w:rsidRPr="006557B3">
        <w:rPr>
          <w:rFonts w:ascii="Times New Roman" w:hAnsi="Times New Roman" w:cs="Times New Roman"/>
          <w:sz w:val="24"/>
          <w:szCs w:val="24"/>
          <w:lang w:val="lv-LV"/>
        </w:rPr>
        <w:t xml:space="preserve">un </w:t>
      </w:r>
      <w:r w:rsidR="00D72850" w:rsidRPr="006557B3">
        <w:rPr>
          <w:rFonts w:ascii="Times New Roman" w:hAnsi="Times New Roman" w:cs="Times New Roman"/>
          <w:sz w:val="24"/>
          <w:szCs w:val="24"/>
          <w:lang w:val="lv-LV"/>
        </w:rPr>
        <w:t xml:space="preserve">šādos gadījumos ekspertiem ir jāspēj piemērot ne tikai normatīvo aktu prasības, bet arī dažādos avotos sniegto informāciju vai zinātniskos atzinumus, kas ir atrodami Eiropas Pārtikas nekaitīguma iestādes, Eiropas Zāļu aģentūras, Pasaules Veselības organizācijas u.c. institūciju </w:t>
      </w:r>
      <w:r w:rsidRPr="006557B3">
        <w:rPr>
          <w:rFonts w:ascii="Times New Roman" w:hAnsi="Times New Roman" w:cs="Times New Roman"/>
          <w:sz w:val="24"/>
          <w:szCs w:val="24"/>
          <w:lang w:val="lv-LV"/>
        </w:rPr>
        <w:t>tīmekļa vietnēs</w:t>
      </w:r>
      <w:r w:rsidR="00D72850" w:rsidRPr="006557B3">
        <w:rPr>
          <w:rFonts w:ascii="Times New Roman" w:hAnsi="Times New Roman" w:cs="Times New Roman"/>
          <w:sz w:val="24"/>
          <w:szCs w:val="24"/>
          <w:lang w:val="lv-LV"/>
        </w:rPr>
        <w:t xml:space="preserve">, lai </w:t>
      </w:r>
      <w:r w:rsidRPr="006557B3">
        <w:rPr>
          <w:rFonts w:ascii="Times New Roman" w:hAnsi="Times New Roman" w:cs="Times New Roman"/>
          <w:sz w:val="24"/>
          <w:szCs w:val="24"/>
          <w:lang w:val="lv-LV"/>
        </w:rPr>
        <w:t xml:space="preserve">šādus produktus </w:t>
      </w:r>
      <w:r w:rsidR="00D72850" w:rsidRPr="006557B3">
        <w:rPr>
          <w:rFonts w:ascii="Times New Roman" w:hAnsi="Times New Roman" w:cs="Times New Roman"/>
          <w:sz w:val="24"/>
          <w:szCs w:val="24"/>
          <w:lang w:val="lv-LV"/>
        </w:rPr>
        <w:t>varētu atzīt par nekaitīgiem patērētājam. Šāda veida uztura bagātinātāju izvērtēšana ir ļoti darbietilpīg</w:t>
      </w:r>
      <w:r w:rsidRPr="006557B3">
        <w:rPr>
          <w:rFonts w:ascii="Times New Roman" w:hAnsi="Times New Roman" w:cs="Times New Roman"/>
          <w:sz w:val="24"/>
          <w:szCs w:val="24"/>
          <w:lang w:val="lv-LV"/>
        </w:rPr>
        <w:t>a</w:t>
      </w:r>
      <w:r w:rsidR="00D72850" w:rsidRPr="006557B3">
        <w:rPr>
          <w:rFonts w:ascii="Times New Roman" w:hAnsi="Times New Roman" w:cs="Times New Roman"/>
          <w:sz w:val="24"/>
          <w:szCs w:val="24"/>
          <w:lang w:val="lv-LV"/>
        </w:rPr>
        <w:t>.</w:t>
      </w:r>
    </w:p>
    <w:p w14:paraId="5775A964" w14:textId="4E4EBA4F" w:rsidR="00AE2D9E" w:rsidRPr="009501A2" w:rsidRDefault="00AE2D9E" w:rsidP="00C05C12">
      <w:pPr>
        <w:pStyle w:val="Sarakstarindkopa"/>
        <w:tabs>
          <w:tab w:val="left" w:pos="8647"/>
        </w:tabs>
        <w:spacing w:after="0" w:line="240" w:lineRule="auto"/>
        <w:ind w:left="0" w:firstLine="709"/>
        <w:jc w:val="both"/>
        <w:rPr>
          <w:rFonts w:ascii="Times New Roman" w:hAnsi="Times New Roman"/>
          <w:sz w:val="24"/>
          <w:szCs w:val="24"/>
          <w:lang w:val="lv-LV"/>
        </w:rPr>
      </w:pPr>
      <w:r w:rsidRPr="009501A2">
        <w:rPr>
          <w:rFonts w:ascii="Times New Roman" w:hAnsi="Times New Roman"/>
          <w:sz w:val="24"/>
          <w:szCs w:val="24"/>
          <w:lang w:val="lv-LV"/>
        </w:rPr>
        <w:t xml:space="preserve">Veicot </w:t>
      </w:r>
      <w:r w:rsidR="0073493E" w:rsidRPr="009501A2">
        <w:rPr>
          <w:rFonts w:ascii="Times New Roman" w:hAnsi="Times New Roman"/>
          <w:sz w:val="24"/>
          <w:szCs w:val="24"/>
          <w:lang w:val="lv-LV"/>
        </w:rPr>
        <w:t>kontroles</w:t>
      </w:r>
      <w:r w:rsidRPr="009501A2">
        <w:rPr>
          <w:rFonts w:ascii="Times New Roman" w:hAnsi="Times New Roman"/>
          <w:sz w:val="24"/>
          <w:szCs w:val="24"/>
          <w:lang w:val="lv-LV"/>
        </w:rPr>
        <w:t xml:space="preserve"> tirgū, tiek konstatēts, ka tirdzniecībā esošo uztura bagātinātāju marķējum</w:t>
      </w:r>
      <w:r w:rsidR="007C54E8" w:rsidRPr="009501A2">
        <w:rPr>
          <w:rFonts w:ascii="Times New Roman" w:hAnsi="Times New Roman"/>
          <w:sz w:val="24"/>
          <w:szCs w:val="24"/>
          <w:lang w:val="lv-LV"/>
        </w:rPr>
        <w:t>s</w:t>
      </w:r>
      <w:r w:rsidRPr="009501A2">
        <w:rPr>
          <w:rFonts w:ascii="Times New Roman" w:hAnsi="Times New Roman"/>
          <w:sz w:val="24"/>
          <w:szCs w:val="24"/>
          <w:lang w:val="lv-LV"/>
        </w:rPr>
        <w:t xml:space="preserve"> un reklāmas informācija neatbilst </w:t>
      </w:r>
      <w:r w:rsidR="007C54E8" w:rsidRPr="009501A2">
        <w:rPr>
          <w:rFonts w:ascii="Times New Roman" w:hAnsi="Times New Roman"/>
          <w:sz w:val="24"/>
          <w:szCs w:val="24"/>
          <w:lang w:val="lv-LV"/>
        </w:rPr>
        <w:t>uztura bagātinātāju reģistrā esošajai informācijai</w:t>
      </w:r>
      <w:r w:rsidRPr="009501A2">
        <w:rPr>
          <w:rFonts w:ascii="Times New Roman" w:hAnsi="Times New Roman"/>
          <w:sz w:val="24"/>
          <w:szCs w:val="24"/>
          <w:lang w:val="lv-LV"/>
        </w:rPr>
        <w:t xml:space="preserve">. Bieži vien uztura bagātinātāju marķējumā, noformējumā vai reklāmā </w:t>
      </w:r>
      <w:r w:rsidR="007C54E8" w:rsidRPr="009501A2">
        <w:rPr>
          <w:rFonts w:ascii="Times New Roman" w:hAnsi="Times New Roman"/>
          <w:sz w:val="24"/>
          <w:szCs w:val="24"/>
          <w:lang w:val="lv-LV"/>
        </w:rPr>
        <w:t xml:space="preserve">tiek </w:t>
      </w:r>
      <w:r w:rsidRPr="009501A2">
        <w:rPr>
          <w:rFonts w:ascii="Times New Roman" w:hAnsi="Times New Roman"/>
          <w:sz w:val="24"/>
          <w:szCs w:val="24"/>
          <w:lang w:val="lv-LV"/>
        </w:rPr>
        <w:t>lieto</w:t>
      </w:r>
      <w:r w:rsidR="007C54E8" w:rsidRPr="009501A2">
        <w:rPr>
          <w:rFonts w:ascii="Times New Roman" w:hAnsi="Times New Roman"/>
          <w:sz w:val="24"/>
          <w:szCs w:val="24"/>
          <w:lang w:val="lv-LV"/>
        </w:rPr>
        <w:t>tas</w:t>
      </w:r>
      <w:r w:rsidRPr="009501A2">
        <w:rPr>
          <w:rFonts w:ascii="Times New Roman" w:hAnsi="Times New Roman"/>
          <w:sz w:val="24"/>
          <w:szCs w:val="24"/>
          <w:lang w:val="lv-LV"/>
        </w:rPr>
        <w:t xml:space="preserve"> neatļautas veselīguma un uzturvērtības norādes.</w:t>
      </w:r>
    </w:p>
    <w:p w14:paraId="36F09161" w14:textId="3B91CBA6" w:rsidR="000731E7" w:rsidRPr="009501A2" w:rsidRDefault="007C54E8" w:rsidP="00803690">
      <w:pPr>
        <w:spacing w:after="0" w:line="240" w:lineRule="auto"/>
        <w:ind w:firstLine="709"/>
        <w:jc w:val="both"/>
        <w:rPr>
          <w:rFonts w:ascii="Times New Roman" w:hAnsi="Times New Roman"/>
          <w:color w:val="000000"/>
          <w:sz w:val="24"/>
          <w:szCs w:val="24"/>
          <w:lang w:val="lv-LV" w:eastAsia="fr-FR"/>
        </w:rPr>
      </w:pPr>
      <w:r w:rsidRPr="009501A2">
        <w:rPr>
          <w:rFonts w:ascii="Times New Roman" w:hAnsi="Times New Roman" w:cs="Times New Roman"/>
          <w:sz w:val="24"/>
          <w:szCs w:val="24"/>
          <w:lang w:val="lv-LV"/>
        </w:rPr>
        <w:t>Patlaban</w:t>
      </w:r>
      <w:r w:rsidR="00AE2D9E" w:rsidRPr="009501A2">
        <w:rPr>
          <w:rFonts w:ascii="Times New Roman" w:hAnsi="Times New Roman" w:cs="Times New Roman"/>
          <w:sz w:val="24"/>
          <w:szCs w:val="24"/>
          <w:lang w:val="lv-LV"/>
        </w:rPr>
        <w:t xml:space="preserve"> </w:t>
      </w:r>
      <w:r w:rsidR="00765EFD" w:rsidRPr="009501A2">
        <w:rPr>
          <w:rFonts w:ascii="Times New Roman" w:hAnsi="Times New Roman" w:cs="Times New Roman"/>
          <w:sz w:val="24"/>
          <w:szCs w:val="24"/>
          <w:lang w:val="lv-LV"/>
        </w:rPr>
        <w:t>PVD</w:t>
      </w:r>
      <w:r w:rsidR="00AE2D9E" w:rsidRPr="009501A2">
        <w:rPr>
          <w:rFonts w:ascii="Times New Roman" w:hAnsi="Times New Roman" w:cs="Times New Roman"/>
          <w:sz w:val="24"/>
          <w:szCs w:val="24"/>
          <w:lang w:val="lv-LV"/>
        </w:rPr>
        <w:t xml:space="preserve"> nepietiek kapacitātes (finansējum</w:t>
      </w:r>
      <w:r w:rsidRPr="009501A2">
        <w:rPr>
          <w:rFonts w:ascii="Times New Roman" w:hAnsi="Times New Roman" w:cs="Times New Roman"/>
          <w:sz w:val="24"/>
          <w:szCs w:val="24"/>
          <w:lang w:val="lv-LV"/>
        </w:rPr>
        <w:t>a</w:t>
      </w:r>
      <w:r w:rsidR="00AE2D9E" w:rsidRPr="009501A2">
        <w:rPr>
          <w:rFonts w:ascii="Times New Roman" w:hAnsi="Times New Roman" w:cs="Times New Roman"/>
          <w:sz w:val="24"/>
          <w:szCs w:val="24"/>
          <w:lang w:val="lv-LV"/>
        </w:rPr>
        <w:t xml:space="preserve"> un personāl</w:t>
      </w:r>
      <w:r w:rsidRPr="009501A2">
        <w:rPr>
          <w:rFonts w:ascii="Times New Roman" w:hAnsi="Times New Roman" w:cs="Times New Roman"/>
          <w:sz w:val="24"/>
          <w:szCs w:val="24"/>
          <w:lang w:val="lv-LV"/>
        </w:rPr>
        <w:t>a</w:t>
      </w:r>
      <w:r w:rsidR="00AE2D9E" w:rsidRPr="009501A2">
        <w:rPr>
          <w:rFonts w:ascii="Times New Roman" w:hAnsi="Times New Roman" w:cs="Times New Roman"/>
          <w:sz w:val="24"/>
          <w:szCs w:val="24"/>
          <w:lang w:val="lv-LV"/>
        </w:rPr>
        <w:t xml:space="preserve">), </w:t>
      </w:r>
      <w:r w:rsidRPr="009501A2">
        <w:rPr>
          <w:rFonts w:ascii="Times New Roman" w:hAnsi="Times New Roman" w:cs="Times New Roman"/>
          <w:sz w:val="24"/>
          <w:szCs w:val="24"/>
          <w:lang w:val="lv-LV"/>
        </w:rPr>
        <w:t xml:space="preserve">lai </w:t>
      </w:r>
      <w:r w:rsidR="00AE2D9E" w:rsidRPr="009501A2">
        <w:rPr>
          <w:rFonts w:ascii="Times New Roman" w:hAnsi="Times New Roman" w:cs="Times New Roman"/>
          <w:sz w:val="24"/>
          <w:szCs w:val="24"/>
          <w:lang w:val="lv-LV"/>
        </w:rPr>
        <w:t xml:space="preserve">nodrošinātu regulāras uztura bagātinātāju tematiskās </w:t>
      </w:r>
      <w:r w:rsidR="007B5001" w:rsidRPr="009501A2">
        <w:rPr>
          <w:rFonts w:ascii="Times New Roman" w:hAnsi="Times New Roman" w:cs="Times New Roman"/>
          <w:sz w:val="24"/>
          <w:szCs w:val="24"/>
          <w:lang w:val="lv-LV"/>
        </w:rPr>
        <w:t>kontroles</w:t>
      </w:r>
      <w:r w:rsidR="00AE2D9E" w:rsidRPr="009501A2">
        <w:rPr>
          <w:rFonts w:ascii="Times New Roman" w:hAnsi="Times New Roman" w:cs="Times New Roman"/>
          <w:sz w:val="24"/>
          <w:szCs w:val="24"/>
          <w:lang w:val="lv-LV"/>
        </w:rPr>
        <w:t xml:space="preserve">. Pārtikas inspektoriem ir rūpīgi jāgatavojas kvalitatīvām un detalizētām </w:t>
      </w:r>
      <w:r w:rsidR="00820753" w:rsidRPr="009501A2">
        <w:rPr>
          <w:rFonts w:ascii="Times New Roman" w:hAnsi="Times New Roman" w:cs="Times New Roman"/>
          <w:sz w:val="24"/>
          <w:szCs w:val="24"/>
          <w:lang w:val="lv-LV"/>
        </w:rPr>
        <w:t>kontrolēm</w:t>
      </w:r>
      <w:r w:rsidR="00AE2D9E" w:rsidRPr="009501A2">
        <w:rPr>
          <w:rFonts w:ascii="Times New Roman" w:hAnsi="Times New Roman" w:cs="Times New Roman"/>
          <w:sz w:val="24"/>
          <w:szCs w:val="24"/>
          <w:lang w:val="lv-LV"/>
        </w:rPr>
        <w:t xml:space="preserve">, vai arī </w:t>
      </w:r>
      <w:r w:rsidR="00765EFD" w:rsidRPr="009501A2">
        <w:rPr>
          <w:rFonts w:ascii="Times New Roman" w:hAnsi="Times New Roman" w:cs="Times New Roman"/>
          <w:sz w:val="24"/>
          <w:szCs w:val="24"/>
          <w:lang w:val="lv-LV"/>
        </w:rPr>
        <w:t>PVD</w:t>
      </w:r>
      <w:r w:rsidR="00AE2D9E" w:rsidRPr="009501A2">
        <w:rPr>
          <w:rFonts w:ascii="Times New Roman" w:hAnsi="Times New Roman" w:cs="Times New Roman"/>
          <w:sz w:val="24"/>
          <w:szCs w:val="24"/>
          <w:lang w:val="lv-LV"/>
        </w:rPr>
        <w:t xml:space="preserve"> jāveido un regulāri jāapmāca specializēta pārtikas inspektoru komanda tieši uztura bagātinātāju uzraudzības jomā.</w:t>
      </w:r>
      <w:r w:rsidR="004F3293" w:rsidRPr="009501A2">
        <w:rPr>
          <w:rFonts w:ascii="Times New Roman" w:hAnsi="Times New Roman"/>
          <w:color w:val="000000"/>
          <w:sz w:val="24"/>
          <w:szCs w:val="24"/>
          <w:lang w:val="lv-LV" w:eastAsia="fr-FR"/>
        </w:rPr>
        <w:t xml:space="preserve"> </w:t>
      </w:r>
      <w:r w:rsidR="000731E7" w:rsidRPr="009501A2">
        <w:rPr>
          <w:rFonts w:ascii="Times New Roman" w:hAnsi="Times New Roman"/>
          <w:color w:val="000000"/>
          <w:sz w:val="24"/>
          <w:szCs w:val="24"/>
          <w:lang w:val="lv-LV" w:eastAsia="fr-FR"/>
        </w:rPr>
        <w:t xml:space="preserve">Īpaši tas attiecas uz lielajiem pārtikas tirdzniecības uzņēmumiem, kur PVD inspektoriem plānveida kontroļu laikā jāpārbauda atbilstība citu pārtikas aprites normatīvo aktu prasībām, </w:t>
      </w:r>
      <w:r w:rsidR="004F3293" w:rsidRPr="009501A2">
        <w:rPr>
          <w:rFonts w:ascii="Times New Roman" w:hAnsi="Times New Roman"/>
          <w:color w:val="000000"/>
          <w:sz w:val="24"/>
          <w:szCs w:val="24"/>
          <w:lang w:val="lv-LV" w:eastAsia="fr-FR"/>
        </w:rPr>
        <w:t xml:space="preserve">nerodot nepieciešamo </w:t>
      </w:r>
      <w:r w:rsidR="000731E7" w:rsidRPr="009501A2">
        <w:rPr>
          <w:rFonts w:ascii="Times New Roman" w:hAnsi="Times New Roman"/>
          <w:color w:val="000000"/>
          <w:sz w:val="24"/>
          <w:szCs w:val="24"/>
          <w:lang w:val="lv-LV" w:eastAsia="fr-FR"/>
        </w:rPr>
        <w:t>laik</w:t>
      </w:r>
      <w:r w:rsidR="004F3293" w:rsidRPr="009501A2">
        <w:rPr>
          <w:rFonts w:ascii="Times New Roman" w:hAnsi="Times New Roman"/>
          <w:color w:val="000000"/>
          <w:sz w:val="24"/>
          <w:szCs w:val="24"/>
          <w:lang w:val="lv-LV" w:eastAsia="fr-FR"/>
        </w:rPr>
        <w:t>u</w:t>
      </w:r>
      <w:r w:rsidR="000731E7" w:rsidRPr="009501A2">
        <w:rPr>
          <w:rFonts w:ascii="Times New Roman" w:hAnsi="Times New Roman"/>
          <w:color w:val="000000"/>
          <w:sz w:val="24"/>
          <w:szCs w:val="24"/>
          <w:lang w:val="lv-LV" w:eastAsia="fr-FR"/>
        </w:rPr>
        <w:t xml:space="preserve"> uztura bagātinātāju kontrolei. </w:t>
      </w:r>
    </w:p>
    <w:p w14:paraId="460616E5" w14:textId="7139576E" w:rsidR="000731E7" w:rsidRPr="009501A2" w:rsidRDefault="000731E7" w:rsidP="002D7E3A">
      <w:pPr>
        <w:spacing w:after="0" w:line="240" w:lineRule="auto"/>
        <w:ind w:firstLine="709"/>
        <w:jc w:val="both"/>
        <w:rPr>
          <w:rFonts w:ascii="Times New Roman" w:hAnsi="Times New Roman"/>
          <w:color w:val="000000"/>
          <w:sz w:val="24"/>
          <w:szCs w:val="24"/>
          <w:lang w:val="lv-LV"/>
        </w:rPr>
      </w:pPr>
      <w:r w:rsidRPr="009501A2">
        <w:rPr>
          <w:rFonts w:ascii="Times New Roman" w:hAnsi="Times New Roman"/>
          <w:color w:val="000000"/>
          <w:sz w:val="24"/>
          <w:szCs w:val="24"/>
          <w:lang w:val="lv-LV" w:eastAsia="fr-FR"/>
        </w:rPr>
        <w:t xml:space="preserve">PVD saskaņā ar </w:t>
      </w:r>
      <w:r w:rsidRPr="009501A2">
        <w:rPr>
          <w:rFonts w:ascii="Times New Roman" w:hAnsi="Times New Roman"/>
          <w:color w:val="000000"/>
          <w:sz w:val="24"/>
          <w:szCs w:val="24"/>
          <w:lang w:val="lv-LV"/>
        </w:rPr>
        <w:t xml:space="preserve">Ministru kabineta </w:t>
      </w:r>
      <w:r w:rsidR="004F3293" w:rsidRPr="009501A2">
        <w:rPr>
          <w:rFonts w:ascii="Times New Roman" w:hAnsi="Times New Roman"/>
          <w:color w:val="000000"/>
          <w:sz w:val="24"/>
          <w:szCs w:val="24"/>
          <w:lang w:val="lv-LV"/>
        </w:rPr>
        <w:t>2014.</w:t>
      </w:r>
      <w:r w:rsidR="0003361A">
        <w:rPr>
          <w:rFonts w:ascii="Times New Roman" w:hAnsi="Times New Roman"/>
          <w:color w:val="000000"/>
          <w:sz w:val="24"/>
          <w:szCs w:val="24"/>
          <w:lang w:val="lv-LV"/>
        </w:rPr>
        <w:t xml:space="preserve"> </w:t>
      </w:r>
      <w:r w:rsidR="004F3293" w:rsidRPr="009501A2">
        <w:rPr>
          <w:rFonts w:ascii="Times New Roman" w:hAnsi="Times New Roman"/>
          <w:color w:val="000000"/>
          <w:sz w:val="24"/>
          <w:szCs w:val="24"/>
          <w:lang w:val="lv-LV"/>
        </w:rPr>
        <w:t xml:space="preserve">gada 22.aprīļa </w:t>
      </w:r>
      <w:r w:rsidRPr="009501A2">
        <w:rPr>
          <w:rFonts w:ascii="Times New Roman" w:hAnsi="Times New Roman"/>
          <w:color w:val="000000"/>
          <w:sz w:val="24"/>
          <w:szCs w:val="24"/>
          <w:lang w:val="lv-LV"/>
        </w:rPr>
        <w:t xml:space="preserve">sēdes protokolu Nr.24 neplāno </w:t>
      </w:r>
      <w:r w:rsidR="004F3293" w:rsidRPr="009501A2">
        <w:rPr>
          <w:rFonts w:ascii="Times New Roman" w:hAnsi="Times New Roman"/>
          <w:color w:val="000000"/>
          <w:sz w:val="24"/>
          <w:szCs w:val="24"/>
          <w:lang w:val="lv-LV"/>
        </w:rPr>
        <w:t xml:space="preserve">veidot </w:t>
      </w:r>
      <w:r w:rsidRPr="009501A2">
        <w:rPr>
          <w:rFonts w:ascii="Times New Roman" w:hAnsi="Times New Roman"/>
          <w:color w:val="000000"/>
          <w:sz w:val="24"/>
          <w:szCs w:val="24"/>
          <w:lang w:val="lv-LV"/>
        </w:rPr>
        <w:t xml:space="preserve">jaunas amata vietas, bet vēlas iegūt papildu finansējumu, </w:t>
      </w:r>
      <w:r w:rsidR="000129E2" w:rsidRPr="009501A2">
        <w:rPr>
          <w:rFonts w:ascii="Times New Roman" w:hAnsi="Times New Roman"/>
          <w:color w:val="000000"/>
          <w:sz w:val="24"/>
          <w:szCs w:val="24"/>
          <w:lang w:val="lv-LV"/>
        </w:rPr>
        <w:t>lai atlīdzinātu esošajiem inspektoriem par virsstundu darbu,</w:t>
      </w:r>
      <w:r w:rsidRPr="009501A2">
        <w:rPr>
          <w:rFonts w:ascii="Times New Roman" w:hAnsi="Times New Roman"/>
          <w:color w:val="000000"/>
          <w:sz w:val="24"/>
          <w:szCs w:val="24"/>
          <w:lang w:val="lv-LV"/>
        </w:rPr>
        <w:t xml:space="preserve"> kas tiktu veltīts uztura bagātinātāju padziļinātai tematiskajai kontrolei. </w:t>
      </w:r>
    </w:p>
    <w:p w14:paraId="6758913D" w14:textId="13CFF2DE" w:rsidR="005947DB" w:rsidRPr="009501A2" w:rsidRDefault="005947DB" w:rsidP="005947DB">
      <w:pPr>
        <w:spacing w:after="0" w:line="240" w:lineRule="auto"/>
        <w:ind w:firstLine="709"/>
        <w:jc w:val="both"/>
        <w:rPr>
          <w:rFonts w:ascii="Times New Roman" w:hAnsi="Times New Roman" w:cs="Times New Roman"/>
          <w:sz w:val="24"/>
          <w:szCs w:val="24"/>
        </w:rPr>
      </w:pPr>
      <w:r w:rsidRPr="009501A2">
        <w:rPr>
          <w:rFonts w:ascii="Times New Roman" w:hAnsi="Times New Roman" w:cs="Times New Roman"/>
          <w:sz w:val="24"/>
          <w:szCs w:val="24"/>
        </w:rPr>
        <w:lastRenderedPageBreak/>
        <w:t>Veicot aprēķinus par papildu kontroļu apjomu uztura bagātinātāju uzraudzības un kontroles, kā arī sabiedrības izglītošanas jomā, tika konstatēts, ka kontrolei papildus nepieciešamas 400 inspektora darba stund</w:t>
      </w:r>
      <w:r w:rsidR="004F3293" w:rsidRPr="009501A2">
        <w:rPr>
          <w:rFonts w:ascii="Times New Roman" w:hAnsi="Times New Roman" w:cs="Times New Roman"/>
          <w:sz w:val="24"/>
          <w:szCs w:val="24"/>
        </w:rPr>
        <w:t>u</w:t>
      </w:r>
      <w:r w:rsidRPr="009501A2">
        <w:rPr>
          <w:rFonts w:ascii="Times New Roman" w:hAnsi="Times New Roman" w:cs="Times New Roman"/>
          <w:sz w:val="24"/>
          <w:szCs w:val="24"/>
        </w:rPr>
        <w:t xml:space="preserve"> (</w:t>
      </w:r>
      <w:r w:rsidR="004F3293" w:rsidRPr="009501A2">
        <w:rPr>
          <w:rFonts w:ascii="Times New Roman" w:hAnsi="Times New Roman" w:cs="Times New Roman"/>
          <w:sz w:val="24"/>
          <w:szCs w:val="24"/>
        </w:rPr>
        <w:t>plānots, ka viena</w:t>
      </w:r>
      <w:r w:rsidRPr="009501A2">
        <w:rPr>
          <w:rFonts w:ascii="Times New Roman" w:hAnsi="Times New Roman" w:cs="Times New Roman"/>
          <w:sz w:val="24"/>
          <w:szCs w:val="24"/>
        </w:rPr>
        <w:t xml:space="preserve"> kontrole </w:t>
      </w:r>
      <w:r w:rsidR="004F3293" w:rsidRPr="009501A2">
        <w:rPr>
          <w:rFonts w:ascii="Times New Roman" w:hAnsi="Times New Roman" w:cs="Times New Roman"/>
          <w:sz w:val="24"/>
          <w:szCs w:val="24"/>
        </w:rPr>
        <w:t>aizņem</w:t>
      </w:r>
      <w:r w:rsidRPr="009501A2">
        <w:rPr>
          <w:rFonts w:ascii="Times New Roman" w:hAnsi="Times New Roman" w:cs="Times New Roman"/>
          <w:sz w:val="24"/>
          <w:szCs w:val="24"/>
        </w:rPr>
        <w:t xml:space="preserve"> 4 stundas</w:t>
      </w:r>
      <w:r w:rsidR="004F3293" w:rsidRPr="009501A2">
        <w:rPr>
          <w:rFonts w:ascii="Times New Roman" w:hAnsi="Times New Roman" w:cs="Times New Roman"/>
          <w:sz w:val="24"/>
          <w:szCs w:val="24"/>
        </w:rPr>
        <w:t xml:space="preserve"> un ka</w:t>
      </w:r>
      <w:r w:rsidRPr="009501A2">
        <w:rPr>
          <w:rFonts w:ascii="Times New Roman" w:hAnsi="Times New Roman" w:cs="Times New Roman"/>
          <w:sz w:val="24"/>
          <w:szCs w:val="24"/>
        </w:rPr>
        <w:t xml:space="preserve"> gada laikā </w:t>
      </w:r>
      <w:r w:rsidR="004F3293" w:rsidRPr="009501A2">
        <w:rPr>
          <w:rFonts w:ascii="Times New Roman" w:hAnsi="Times New Roman" w:cs="Times New Roman"/>
          <w:sz w:val="24"/>
          <w:szCs w:val="24"/>
        </w:rPr>
        <w:t xml:space="preserve">būs </w:t>
      </w:r>
      <w:r w:rsidRPr="009501A2">
        <w:rPr>
          <w:rFonts w:ascii="Times New Roman" w:hAnsi="Times New Roman" w:cs="Times New Roman"/>
          <w:sz w:val="24"/>
          <w:szCs w:val="24"/>
        </w:rPr>
        <w:t>100 kontro</w:t>
      </w:r>
      <w:r w:rsidR="004F3293" w:rsidRPr="009501A2">
        <w:rPr>
          <w:rFonts w:ascii="Times New Roman" w:hAnsi="Times New Roman" w:cs="Times New Roman"/>
          <w:sz w:val="24"/>
          <w:szCs w:val="24"/>
        </w:rPr>
        <w:t>ļu</w:t>
      </w:r>
      <w:r w:rsidRPr="009501A2">
        <w:rPr>
          <w:rFonts w:ascii="Times New Roman" w:hAnsi="Times New Roman" w:cs="Times New Roman"/>
          <w:sz w:val="24"/>
          <w:szCs w:val="24"/>
        </w:rPr>
        <w:t>, t.i., 4 stundas x 100 kontro</w:t>
      </w:r>
      <w:r w:rsidR="004F3293" w:rsidRPr="009501A2">
        <w:rPr>
          <w:rFonts w:ascii="Times New Roman" w:hAnsi="Times New Roman" w:cs="Times New Roman"/>
          <w:sz w:val="24"/>
          <w:szCs w:val="24"/>
        </w:rPr>
        <w:t>ļu</w:t>
      </w:r>
      <w:r w:rsidRPr="009501A2">
        <w:rPr>
          <w:rFonts w:ascii="Times New Roman" w:hAnsi="Times New Roman" w:cs="Times New Roman"/>
          <w:sz w:val="24"/>
          <w:szCs w:val="24"/>
        </w:rPr>
        <w:t xml:space="preserve"> = 400 stund</w:t>
      </w:r>
      <w:r w:rsidR="004F3293" w:rsidRPr="009501A2">
        <w:rPr>
          <w:rFonts w:ascii="Times New Roman" w:hAnsi="Times New Roman" w:cs="Times New Roman"/>
          <w:sz w:val="24"/>
          <w:szCs w:val="24"/>
        </w:rPr>
        <w:t>u</w:t>
      </w:r>
      <w:r w:rsidRPr="009501A2">
        <w:rPr>
          <w:rFonts w:ascii="Times New Roman" w:hAnsi="Times New Roman" w:cs="Times New Roman"/>
          <w:sz w:val="24"/>
          <w:szCs w:val="24"/>
        </w:rPr>
        <w:t xml:space="preserve">). </w:t>
      </w:r>
    </w:p>
    <w:p w14:paraId="72A9352B" w14:textId="608E92C2" w:rsidR="000731E7" w:rsidRPr="006557B3" w:rsidRDefault="000731E7" w:rsidP="002D7E3A">
      <w:pPr>
        <w:spacing w:after="0" w:line="240" w:lineRule="auto"/>
        <w:ind w:firstLine="709"/>
        <w:jc w:val="both"/>
        <w:rPr>
          <w:rFonts w:ascii="Times New Roman" w:hAnsi="Times New Roman"/>
          <w:color w:val="000000"/>
          <w:lang w:val="lv-LV"/>
        </w:rPr>
      </w:pPr>
      <w:r w:rsidRPr="009501A2">
        <w:rPr>
          <w:rFonts w:ascii="Times New Roman" w:hAnsi="Times New Roman"/>
          <w:color w:val="000000"/>
          <w:sz w:val="24"/>
          <w:szCs w:val="24"/>
          <w:lang w:val="lv-LV"/>
        </w:rPr>
        <w:t>Ja PVD netiks piešķirts</w:t>
      </w:r>
      <w:r w:rsidR="004F3293" w:rsidRPr="009501A2">
        <w:rPr>
          <w:rFonts w:ascii="Times New Roman" w:hAnsi="Times New Roman"/>
          <w:color w:val="000000"/>
          <w:sz w:val="24"/>
          <w:szCs w:val="24"/>
          <w:lang w:val="lv-LV"/>
        </w:rPr>
        <w:t xml:space="preserve"> papildu finansējums</w:t>
      </w:r>
      <w:r w:rsidRPr="009501A2">
        <w:rPr>
          <w:rFonts w:ascii="Times New Roman" w:hAnsi="Times New Roman"/>
          <w:color w:val="000000"/>
          <w:sz w:val="24"/>
          <w:szCs w:val="24"/>
          <w:lang w:val="lv-LV"/>
        </w:rPr>
        <w:t>, padziļinātas uztura bagātinātāju tematiskās pārbaudes netiks nodrošinātas, jo esošo darba procesu optimizācija un prioritāšu pārvērtēšana par labu uztura bagātinātāju pastiprinātai kontrolei nav iespējama</w:t>
      </w:r>
      <w:r w:rsidR="004F3293" w:rsidRPr="009501A2">
        <w:rPr>
          <w:rFonts w:ascii="Times New Roman" w:hAnsi="Times New Roman"/>
          <w:color w:val="000000"/>
          <w:sz w:val="24"/>
          <w:szCs w:val="24"/>
          <w:lang w:val="lv-LV"/>
        </w:rPr>
        <w:t xml:space="preserve"> bez</w:t>
      </w:r>
      <w:r w:rsidRPr="009501A2">
        <w:rPr>
          <w:rFonts w:ascii="Times New Roman" w:hAnsi="Times New Roman"/>
          <w:color w:val="000000"/>
          <w:sz w:val="24"/>
          <w:szCs w:val="24"/>
          <w:lang w:val="lv-LV"/>
        </w:rPr>
        <w:t xml:space="preserve"> kopēj</w:t>
      </w:r>
      <w:r w:rsidR="004F3293" w:rsidRPr="009501A2">
        <w:rPr>
          <w:rFonts w:ascii="Times New Roman" w:hAnsi="Times New Roman"/>
          <w:color w:val="000000"/>
          <w:sz w:val="24"/>
          <w:szCs w:val="24"/>
          <w:lang w:val="lv-LV"/>
        </w:rPr>
        <w:t>ās</w:t>
      </w:r>
      <w:r w:rsidRPr="009501A2">
        <w:rPr>
          <w:rFonts w:ascii="Times New Roman" w:hAnsi="Times New Roman"/>
          <w:color w:val="000000"/>
          <w:sz w:val="24"/>
          <w:szCs w:val="24"/>
          <w:lang w:val="lv-LV"/>
        </w:rPr>
        <w:t xml:space="preserve"> pārtikas kontroļu efektivitāte</w:t>
      </w:r>
      <w:r w:rsidR="004F3293" w:rsidRPr="009501A2">
        <w:rPr>
          <w:rFonts w:ascii="Times New Roman" w:hAnsi="Times New Roman"/>
          <w:color w:val="000000"/>
          <w:sz w:val="24"/>
          <w:szCs w:val="24"/>
          <w:lang w:val="lv-LV"/>
        </w:rPr>
        <w:t>s pasliktināšanās</w:t>
      </w:r>
      <w:r w:rsidRPr="009501A2">
        <w:rPr>
          <w:rFonts w:ascii="Times New Roman" w:hAnsi="Times New Roman"/>
          <w:color w:val="000000"/>
          <w:sz w:val="24"/>
          <w:szCs w:val="24"/>
          <w:lang w:val="lv-LV"/>
        </w:rPr>
        <w:t>.</w:t>
      </w:r>
    </w:p>
    <w:p w14:paraId="3A873F57" w14:textId="14BD22FD" w:rsidR="00AE2D9E" w:rsidRPr="006557B3" w:rsidRDefault="00765EFD"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PVD</w:t>
      </w:r>
      <w:r w:rsidR="00AE2D9E" w:rsidRPr="006557B3">
        <w:rPr>
          <w:rFonts w:ascii="Times New Roman" w:hAnsi="Times New Roman" w:cs="Times New Roman"/>
          <w:sz w:val="24"/>
          <w:szCs w:val="24"/>
          <w:lang w:val="lv-LV" w:eastAsia="fr-FR"/>
        </w:rPr>
        <w:t xml:space="preserve"> </w:t>
      </w:r>
      <w:r w:rsidR="00AE2D9E" w:rsidRPr="006557B3">
        <w:rPr>
          <w:rFonts w:ascii="Times New Roman" w:hAnsi="Times New Roman" w:cs="Times New Roman"/>
          <w:sz w:val="24"/>
          <w:szCs w:val="24"/>
          <w:lang w:val="lv-LV"/>
        </w:rPr>
        <w:t>robežkontroles specifika ir saistīta ar kravu lielo apjomu</w:t>
      </w:r>
      <w:r w:rsidR="007C54E8" w:rsidRPr="006557B3">
        <w:rPr>
          <w:rFonts w:ascii="Times New Roman" w:hAnsi="Times New Roman" w:cs="Times New Roman"/>
          <w:sz w:val="24"/>
          <w:szCs w:val="24"/>
          <w:lang w:val="lv-LV"/>
        </w:rPr>
        <w:t xml:space="preserve">: </w:t>
      </w:r>
      <w:r w:rsidR="00AE2D9E" w:rsidRPr="006557B3">
        <w:rPr>
          <w:rFonts w:ascii="Times New Roman" w:hAnsi="Times New Roman" w:cs="Times New Roman"/>
          <w:sz w:val="24"/>
          <w:szCs w:val="24"/>
          <w:lang w:val="lv-LV"/>
        </w:rPr>
        <w:t xml:space="preserve">uztura bagātinātāju apjoms tajās var sasniegt </w:t>
      </w:r>
      <w:r w:rsidR="007C54E8" w:rsidRPr="006557B3">
        <w:rPr>
          <w:rFonts w:ascii="Times New Roman" w:hAnsi="Times New Roman" w:cs="Times New Roman"/>
          <w:sz w:val="24"/>
          <w:szCs w:val="24"/>
          <w:lang w:val="lv-LV"/>
        </w:rPr>
        <w:t xml:space="preserve">pat </w:t>
      </w:r>
      <w:r w:rsidR="00AE2D9E" w:rsidRPr="006557B3">
        <w:rPr>
          <w:rFonts w:ascii="Times New Roman" w:hAnsi="Times New Roman" w:cs="Times New Roman"/>
          <w:sz w:val="24"/>
          <w:szCs w:val="24"/>
          <w:lang w:val="lv-LV"/>
        </w:rPr>
        <w:t>10 tonn</w:t>
      </w:r>
      <w:r w:rsidR="007C54E8" w:rsidRPr="006557B3">
        <w:rPr>
          <w:rFonts w:ascii="Times New Roman" w:hAnsi="Times New Roman" w:cs="Times New Roman"/>
          <w:sz w:val="24"/>
          <w:szCs w:val="24"/>
          <w:lang w:val="lv-LV"/>
        </w:rPr>
        <w:t>u</w:t>
      </w:r>
      <w:r w:rsidR="00AE2D9E" w:rsidRPr="006557B3">
        <w:rPr>
          <w:rFonts w:ascii="Times New Roman" w:hAnsi="Times New Roman" w:cs="Times New Roman"/>
          <w:sz w:val="24"/>
          <w:szCs w:val="24"/>
          <w:lang w:val="lv-LV"/>
        </w:rPr>
        <w:t xml:space="preserve">. </w:t>
      </w:r>
      <w:r w:rsidR="007C54E8" w:rsidRPr="006557B3">
        <w:rPr>
          <w:rFonts w:ascii="Times New Roman" w:hAnsi="Times New Roman" w:cs="Times New Roman"/>
          <w:sz w:val="24"/>
          <w:szCs w:val="24"/>
          <w:lang w:val="lv-LV"/>
        </w:rPr>
        <w:t>Ja k</w:t>
      </w:r>
      <w:r w:rsidR="00AE2D9E" w:rsidRPr="006557B3">
        <w:rPr>
          <w:rFonts w:ascii="Times New Roman" w:hAnsi="Times New Roman" w:cs="Times New Roman"/>
          <w:sz w:val="24"/>
          <w:szCs w:val="24"/>
          <w:lang w:val="lv-LV"/>
        </w:rPr>
        <w:t>rav</w:t>
      </w:r>
      <w:r w:rsidR="007C54E8" w:rsidRPr="006557B3">
        <w:rPr>
          <w:rFonts w:ascii="Times New Roman" w:hAnsi="Times New Roman" w:cs="Times New Roman"/>
          <w:sz w:val="24"/>
          <w:szCs w:val="24"/>
          <w:lang w:val="lv-LV"/>
        </w:rPr>
        <w:t>a tiek</w:t>
      </w:r>
      <w:r w:rsidR="00AE2D9E" w:rsidRPr="006557B3">
        <w:rPr>
          <w:rFonts w:ascii="Times New Roman" w:hAnsi="Times New Roman" w:cs="Times New Roman"/>
          <w:sz w:val="24"/>
          <w:szCs w:val="24"/>
          <w:lang w:val="lv-LV"/>
        </w:rPr>
        <w:t xml:space="preserve"> aizturē</w:t>
      </w:r>
      <w:r w:rsidR="007C54E8" w:rsidRPr="006557B3">
        <w:rPr>
          <w:rFonts w:ascii="Times New Roman" w:hAnsi="Times New Roman" w:cs="Times New Roman"/>
          <w:sz w:val="24"/>
          <w:szCs w:val="24"/>
          <w:lang w:val="lv-LV"/>
        </w:rPr>
        <w:t>ta</w:t>
      </w:r>
      <w:r w:rsidR="00AE2D9E" w:rsidRPr="006557B3">
        <w:rPr>
          <w:rFonts w:ascii="Times New Roman" w:hAnsi="Times New Roman" w:cs="Times New Roman"/>
          <w:sz w:val="24"/>
          <w:szCs w:val="24"/>
          <w:lang w:val="lv-LV"/>
        </w:rPr>
        <w:t xml:space="preserve">, </w:t>
      </w:r>
      <w:r w:rsidR="007C54E8" w:rsidRPr="006557B3">
        <w:rPr>
          <w:rFonts w:ascii="Times New Roman" w:hAnsi="Times New Roman" w:cs="Times New Roman"/>
          <w:sz w:val="24"/>
          <w:szCs w:val="24"/>
          <w:lang w:val="lv-LV"/>
        </w:rPr>
        <w:t xml:space="preserve">bet </w:t>
      </w:r>
      <w:r w:rsidR="00AE2D9E" w:rsidRPr="006557B3">
        <w:rPr>
          <w:rFonts w:ascii="Times New Roman" w:hAnsi="Times New Roman" w:cs="Times New Roman"/>
          <w:sz w:val="24"/>
          <w:szCs w:val="24"/>
          <w:lang w:val="lv-LV"/>
        </w:rPr>
        <w:t xml:space="preserve">netiek konstatēta uztura bagātinātāja neatbilstība, </w:t>
      </w:r>
      <w:r w:rsidR="007C54E8" w:rsidRPr="006557B3">
        <w:rPr>
          <w:rFonts w:ascii="Times New Roman" w:hAnsi="Times New Roman" w:cs="Times New Roman"/>
          <w:sz w:val="24"/>
          <w:szCs w:val="24"/>
          <w:lang w:val="lv-LV"/>
        </w:rPr>
        <w:t xml:space="preserve">izdevumi </w:t>
      </w:r>
      <w:r w:rsidR="00AE2D9E" w:rsidRPr="006557B3">
        <w:rPr>
          <w:rFonts w:ascii="Times New Roman" w:hAnsi="Times New Roman" w:cs="Times New Roman"/>
          <w:sz w:val="24"/>
          <w:szCs w:val="24"/>
          <w:lang w:val="lv-LV"/>
        </w:rPr>
        <w:t>par kravas izkraušanu</w:t>
      </w:r>
      <w:r w:rsidR="007C54E8" w:rsidRPr="006557B3">
        <w:rPr>
          <w:rFonts w:ascii="Times New Roman" w:hAnsi="Times New Roman" w:cs="Times New Roman"/>
          <w:sz w:val="24"/>
          <w:szCs w:val="24"/>
          <w:lang w:val="lv-LV"/>
        </w:rPr>
        <w:t xml:space="preserve"> un</w:t>
      </w:r>
      <w:r w:rsidR="00AE2D9E" w:rsidRPr="006557B3">
        <w:rPr>
          <w:rFonts w:ascii="Times New Roman" w:hAnsi="Times New Roman" w:cs="Times New Roman"/>
          <w:sz w:val="24"/>
          <w:szCs w:val="24"/>
          <w:lang w:val="lv-LV"/>
        </w:rPr>
        <w:t xml:space="preserve"> iekraušanu ir jāsedz </w:t>
      </w:r>
      <w:r w:rsidRPr="006557B3">
        <w:rPr>
          <w:rFonts w:ascii="Times New Roman" w:hAnsi="Times New Roman" w:cs="Times New Roman"/>
          <w:sz w:val="24"/>
          <w:szCs w:val="24"/>
          <w:lang w:val="lv-LV"/>
        </w:rPr>
        <w:t>PVD</w:t>
      </w:r>
      <w:r w:rsidR="00AE2D9E" w:rsidRPr="006557B3">
        <w:rPr>
          <w:rFonts w:ascii="Times New Roman" w:hAnsi="Times New Roman" w:cs="Times New Roman"/>
          <w:sz w:val="24"/>
          <w:szCs w:val="24"/>
          <w:lang w:val="lv-LV"/>
        </w:rPr>
        <w:t xml:space="preserve">. Laboratoriskā kapacitāte un resursi, lai </w:t>
      </w:r>
      <w:r w:rsidR="007C54E8" w:rsidRPr="006557B3">
        <w:rPr>
          <w:rFonts w:ascii="Times New Roman" w:hAnsi="Times New Roman" w:cs="Times New Roman"/>
          <w:sz w:val="24"/>
          <w:szCs w:val="24"/>
          <w:lang w:val="lv-LV"/>
        </w:rPr>
        <w:t>testētu</w:t>
      </w:r>
      <w:r w:rsidR="00AE2D9E" w:rsidRPr="006557B3">
        <w:rPr>
          <w:rFonts w:ascii="Times New Roman" w:hAnsi="Times New Roman" w:cs="Times New Roman"/>
          <w:sz w:val="24"/>
          <w:szCs w:val="24"/>
          <w:lang w:val="lv-LV"/>
        </w:rPr>
        <w:t xml:space="preserve"> uztura bagātinātāju</w:t>
      </w:r>
      <w:r w:rsidR="007C54E8" w:rsidRPr="006557B3">
        <w:rPr>
          <w:rFonts w:ascii="Times New Roman" w:hAnsi="Times New Roman" w:cs="Times New Roman"/>
          <w:sz w:val="24"/>
          <w:szCs w:val="24"/>
          <w:lang w:val="lv-LV"/>
        </w:rPr>
        <w:t>s,</w:t>
      </w:r>
      <w:r w:rsidR="00AE2D9E" w:rsidRPr="006557B3">
        <w:rPr>
          <w:rFonts w:ascii="Times New Roman" w:hAnsi="Times New Roman" w:cs="Times New Roman"/>
          <w:sz w:val="24"/>
          <w:szCs w:val="24"/>
          <w:lang w:val="lv-LV"/>
        </w:rPr>
        <w:t xml:space="preserve"> arī ir ļoti ierobežot</w:t>
      </w:r>
      <w:r w:rsidR="007C54E8" w:rsidRPr="006557B3">
        <w:rPr>
          <w:rFonts w:ascii="Times New Roman" w:hAnsi="Times New Roman" w:cs="Times New Roman"/>
          <w:sz w:val="24"/>
          <w:szCs w:val="24"/>
          <w:lang w:val="lv-LV"/>
        </w:rPr>
        <w:t>i</w:t>
      </w:r>
      <w:r w:rsidR="00AE2D9E" w:rsidRPr="006557B3">
        <w:rPr>
          <w:rFonts w:ascii="Times New Roman" w:hAnsi="Times New Roman" w:cs="Times New Roman"/>
          <w:sz w:val="24"/>
          <w:szCs w:val="24"/>
          <w:lang w:val="lv-LV"/>
        </w:rPr>
        <w:t>, piemēram, parauga nosūtīšana uz laboratoriju un atbildes saņemšana prasa apmēram mēnesi.</w:t>
      </w:r>
    </w:p>
    <w:p w14:paraId="7195B98E" w14:textId="3AAA565E" w:rsidR="00AE2D9E" w:rsidRPr="006557B3" w:rsidRDefault="00AE2D9E"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Svarīgi ir atvieglot pārtikas apritē iesaistītajiem uzņēmējiem paziņošanas datu iesniegšanu </w:t>
      </w:r>
      <w:r w:rsidR="00765EFD" w:rsidRPr="006557B3">
        <w:rPr>
          <w:rFonts w:ascii="Times New Roman" w:hAnsi="Times New Roman" w:cs="Times New Roman"/>
          <w:sz w:val="24"/>
          <w:szCs w:val="24"/>
          <w:lang w:val="lv-LV"/>
        </w:rPr>
        <w:t>PVD</w:t>
      </w:r>
      <w:r w:rsidRPr="006557B3">
        <w:rPr>
          <w:rFonts w:ascii="Times New Roman" w:hAnsi="Times New Roman" w:cs="Times New Roman"/>
          <w:sz w:val="24"/>
          <w:szCs w:val="24"/>
          <w:lang w:val="lv-LV"/>
        </w:rPr>
        <w:t xml:space="preserve"> par uztura bagātinātāja laišanu tirgū, jo esošais uztura bagātinātāju reģistrs nav atbilstošs mūsdienu informācijas tehnoloģijām, </w:t>
      </w:r>
      <w:r w:rsidR="007C54E8" w:rsidRPr="006557B3">
        <w:rPr>
          <w:rFonts w:ascii="Times New Roman" w:hAnsi="Times New Roman" w:cs="Times New Roman"/>
          <w:sz w:val="24"/>
          <w:szCs w:val="24"/>
          <w:lang w:val="lv-LV"/>
        </w:rPr>
        <w:t>tāpēc</w:t>
      </w:r>
      <w:r w:rsidRPr="006557B3">
        <w:rPr>
          <w:rFonts w:ascii="Times New Roman" w:hAnsi="Times New Roman" w:cs="Times New Roman"/>
          <w:sz w:val="24"/>
          <w:szCs w:val="24"/>
          <w:lang w:val="lv-LV"/>
        </w:rPr>
        <w:t xml:space="preserve"> nepieciešam</w:t>
      </w:r>
      <w:r w:rsidR="007C54E8" w:rsidRPr="006557B3">
        <w:rPr>
          <w:rFonts w:ascii="Times New Roman" w:hAnsi="Times New Roman" w:cs="Times New Roman"/>
          <w:sz w:val="24"/>
          <w:szCs w:val="24"/>
          <w:lang w:val="lv-LV"/>
        </w:rPr>
        <w:t>s</w:t>
      </w:r>
      <w:r w:rsidRPr="006557B3">
        <w:rPr>
          <w:rFonts w:ascii="Times New Roman" w:hAnsi="Times New Roman" w:cs="Times New Roman"/>
          <w:sz w:val="24"/>
          <w:szCs w:val="24"/>
          <w:lang w:val="lv-LV"/>
        </w:rPr>
        <w:t xml:space="preserve"> </w:t>
      </w:r>
      <w:r w:rsidR="007C54E8" w:rsidRPr="006557B3">
        <w:rPr>
          <w:rFonts w:ascii="Times New Roman" w:hAnsi="Times New Roman" w:cs="Times New Roman"/>
          <w:sz w:val="24"/>
          <w:szCs w:val="24"/>
          <w:lang w:val="lv-LV"/>
        </w:rPr>
        <w:t>izveidot j</w:t>
      </w:r>
      <w:r w:rsidRPr="006557B3">
        <w:rPr>
          <w:rFonts w:ascii="Times New Roman" w:hAnsi="Times New Roman" w:cs="Times New Roman"/>
          <w:sz w:val="24"/>
          <w:szCs w:val="24"/>
          <w:lang w:val="lv-LV"/>
        </w:rPr>
        <w:t>aun</w:t>
      </w:r>
      <w:r w:rsidR="007C54E8" w:rsidRPr="006557B3">
        <w:rPr>
          <w:rFonts w:ascii="Times New Roman" w:hAnsi="Times New Roman" w:cs="Times New Roman"/>
          <w:sz w:val="24"/>
          <w:szCs w:val="24"/>
          <w:lang w:val="lv-LV"/>
        </w:rPr>
        <w:t>u</w:t>
      </w:r>
      <w:r w:rsidRPr="006557B3">
        <w:rPr>
          <w:rFonts w:ascii="Times New Roman" w:hAnsi="Times New Roman" w:cs="Times New Roman"/>
          <w:sz w:val="24"/>
          <w:szCs w:val="24"/>
          <w:lang w:val="lv-LV"/>
        </w:rPr>
        <w:t xml:space="preserve"> reģistr</w:t>
      </w:r>
      <w:r w:rsidR="007C54E8" w:rsidRPr="006557B3">
        <w:rPr>
          <w:rFonts w:ascii="Times New Roman" w:hAnsi="Times New Roman" w:cs="Times New Roman"/>
          <w:sz w:val="24"/>
          <w:szCs w:val="24"/>
          <w:lang w:val="lv-LV"/>
        </w:rPr>
        <w:t>u</w:t>
      </w:r>
      <w:r w:rsidRPr="006557B3">
        <w:rPr>
          <w:rFonts w:ascii="Times New Roman" w:hAnsi="Times New Roman" w:cs="Times New Roman"/>
          <w:sz w:val="24"/>
          <w:szCs w:val="24"/>
          <w:lang w:val="lv-LV"/>
        </w:rPr>
        <w:t>, kas d</w:t>
      </w:r>
      <w:r w:rsidR="007C54E8" w:rsidRPr="006557B3">
        <w:rPr>
          <w:rFonts w:ascii="Times New Roman" w:hAnsi="Times New Roman" w:cs="Times New Roman"/>
          <w:sz w:val="24"/>
          <w:szCs w:val="24"/>
          <w:lang w:val="lv-LV"/>
        </w:rPr>
        <w:t>o</w:t>
      </w:r>
      <w:r w:rsidRPr="006557B3">
        <w:rPr>
          <w:rFonts w:ascii="Times New Roman" w:hAnsi="Times New Roman" w:cs="Times New Roman"/>
          <w:sz w:val="24"/>
          <w:szCs w:val="24"/>
          <w:lang w:val="lv-LV"/>
        </w:rPr>
        <w:t xml:space="preserve">tu daudz plašākas iespējas (sk. </w:t>
      </w:r>
      <w:r w:rsidR="001C3867" w:rsidRPr="006557B3">
        <w:rPr>
          <w:rFonts w:ascii="Times New Roman" w:hAnsi="Times New Roman" w:cs="Times New Roman"/>
          <w:sz w:val="24"/>
          <w:szCs w:val="24"/>
          <w:lang w:val="lv-LV"/>
        </w:rPr>
        <w:t>7.6</w:t>
      </w:r>
      <w:r w:rsidRPr="006557B3">
        <w:rPr>
          <w:rFonts w:ascii="Times New Roman" w:hAnsi="Times New Roman" w:cs="Times New Roman"/>
          <w:sz w:val="24"/>
          <w:szCs w:val="24"/>
          <w:lang w:val="lv-LV"/>
        </w:rPr>
        <w:t>.</w:t>
      </w:r>
      <w:r w:rsidR="001C3867" w:rsidRPr="006557B3">
        <w:rPr>
          <w:rFonts w:ascii="Times New Roman" w:hAnsi="Times New Roman" w:cs="Times New Roman"/>
          <w:sz w:val="24"/>
          <w:szCs w:val="24"/>
          <w:lang w:val="lv-LV"/>
        </w:rPr>
        <w:t>apakš</w:t>
      </w:r>
      <w:r w:rsidRPr="006557B3">
        <w:rPr>
          <w:rFonts w:ascii="Times New Roman" w:hAnsi="Times New Roman" w:cs="Times New Roman"/>
          <w:sz w:val="24"/>
          <w:szCs w:val="24"/>
          <w:lang w:val="lv-LV"/>
        </w:rPr>
        <w:t>punktu).</w:t>
      </w:r>
    </w:p>
    <w:p w14:paraId="17FC6B55" w14:textId="77777777" w:rsidR="00AE2D9E" w:rsidRPr="006557B3" w:rsidRDefault="00AE2D9E" w:rsidP="00C05C12">
      <w:pPr>
        <w:tabs>
          <w:tab w:val="left" w:pos="8647"/>
        </w:tabs>
        <w:spacing w:after="0" w:line="240" w:lineRule="auto"/>
        <w:ind w:firstLine="709"/>
        <w:jc w:val="both"/>
        <w:rPr>
          <w:rFonts w:ascii="Times New Roman" w:hAnsi="Times New Roman" w:cs="Times New Roman"/>
          <w:sz w:val="24"/>
          <w:szCs w:val="24"/>
          <w:lang w:val="lv-LV"/>
        </w:rPr>
      </w:pPr>
    </w:p>
    <w:p w14:paraId="43B509B4" w14:textId="6996852B" w:rsidR="00AD0670" w:rsidRPr="006557B3" w:rsidRDefault="00A71DB1" w:rsidP="00AD0670">
      <w:pPr>
        <w:keepNext/>
        <w:tabs>
          <w:tab w:val="left" w:pos="8647"/>
        </w:tabs>
        <w:spacing w:after="0" w:line="240" w:lineRule="auto"/>
        <w:jc w:val="both"/>
        <w:rPr>
          <w:rFonts w:ascii="Times New Roman" w:eastAsia="Times New Roman" w:hAnsi="Times New Roman" w:cs="Times New Roman"/>
          <w:b/>
          <w:bCs/>
          <w:sz w:val="24"/>
          <w:szCs w:val="24"/>
          <w:lang w:val="lv-LV" w:eastAsia="fr-FR"/>
        </w:rPr>
      </w:pPr>
      <w:r w:rsidRPr="006557B3">
        <w:rPr>
          <w:rFonts w:ascii="Times New Roman" w:eastAsia="Times New Roman" w:hAnsi="Times New Roman" w:cs="Times New Roman"/>
          <w:b/>
          <w:bCs/>
          <w:sz w:val="24"/>
          <w:szCs w:val="24"/>
          <w:lang w:val="lv-LV" w:eastAsia="fr-FR"/>
        </w:rPr>
        <w:t>4.3.</w:t>
      </w:r>
      <w:r w:rsidR="00E97EDE" w:rsidRPr="006557B3">
        <w:rPr>
          <w:rFonts w:ascii="Times New Roman" w:eastAsia="Times New Roman" w:hAnsi="Times New Roman" w:cs="Times New Roman"/>
          <w:b/>
          <w:bCs/>
          <w:sz w:val="24"/>
          <w:szCs w:val="24"/>
          <w:lang w:val="lv-LV" w:eastAsia="fr-FR"/>
        </w:rPr>
        <w:t xml:space="preserve"> </w:t>
      </w:r>
      <w:r w:rsidR="00AE2D9E" w:rsidRPr="006557B3">
        <w:rPr>
          <w:rFonts w:ascii="Times New Roman" w:eastAsia="Times New Roman" w:hAnsi="Times New Roman" w:cs="Times New Roman"/>
          <w:b/>
          <w:bCs/>
          <w:sz w:val="24"/>
          <w:szCs w:val="24"/>
          <w:lang w:val="lv-LV" w:eastAsia="fr-FR"/>
        </w:rPr>
        <w:t>Situācija un problēmas uztura bagātinātāju interneta tirdzniecībā</w:t>
      </w:r>
    </w:p>
    <w:p w14:paraId="41D908B1" w14:textId="6868F4AA" w:rsidR="00D72850" w:rsidRPr="006557B3" w:rsidRDefault="00AE2D9E" w:rsidP="00AD0670">
      <w:pPr>
        <w:keepNext/>
        <w:tabs>
          <w:tab w:val="left" w:pos="8647"/>
        </w:tabs>
        <w:spacing w:after="0" w:line="240" w:lineRule="auto"/>
        <w:ind w:firstLine="709"/>
        <w:jc w:val="both"/>
        <w:rPr>
          <w:rFonts w:ascii="Times New Roman" w:eastAsia="Times New Roman" w:hAnsi="Times New Roman" w:cs="Times New Roman"/>
          <w:b/>
          <w:bCs/>
          <w:sz w:val="24"/>
          <w:szCs w:val="24"/>
          <w:lang w:val="lv-LV" w:eastAsia="fr-FR"/>
        </w:rPr>
      </w:pPr>
      <w:r w:rsidRPr="006557B3">
        <w:rPr>
          <w:rFonts w:ascii="Times New Roman" w:eastAsia="Times New Roman" w:hAnsi="Times New Roman" w:cs="Times New Roman"/>
          <w:b/>
          <w:bCs/>
          <w:sz w:val="24"/>
          <w:szCs w:val="24"/>
          <w:lang w:val="lv-LV" w:eastAsia="fr-FR"/>
        </w:rPr>
        <w:t xml:space="preserve"> </w:t>
      </w:r>
      <w:r w:rsidR="00D72850" w:rsidRPr="006557B3">
        <w:rPr>
          <w:rFonts w:ascii="Times New Roman" w:hAnsi="Times New Roman" w:cs="Times New Roman"/>
          <w:sz w:val="24"/>
          <w:szCs w:val="24"/>
          <w:lang w:val="lv-LV"/>
        </w:rPr>
        <w:t>Aizvien vairāk tiek konstatēti gadījumi, ka</w:t>
      </w:r>
      <w:r w:rsidR="00A31600" w:rsidRPr="006557B3">
        <w:rPr>
          <w:rFonts w:ascii="Times New Roman" w:hAnsi="Times New Roman" w:cs="Times New Roman"/>
          <w:sz w:val="24"/>
          <w:szCs w:val="24"/>
          <w:lang w:val="lv-LV"/>
        </w:rPr>
        <w:t>d</w:t>
      </w:r>
      <w:r w:rsidR="00D72850" w:rsidRPr="006557B3">
        <w:rPr>
          <w:rFonts w:ascii="Times New Roman" w:hAnsi="Times New Roman" w:cs="Times New Roman"/>
          <w:sz w:val="24"/>
          <w:szCs w:val="24"/>
          <w:lang w:val="lv-LV"/>
        </w:rPr>
        <w:t xml:space="preserve"> internetā un mazumtirdzniecībā tiek piedāvāti nereģistrēti uztura bagātinātāji, kas nav iekļauti </w:t>
      </w:r>
      <w:r w:rsidR="00765EFD" w:rsidRPr="006557B3">
        <w:rPr>
          <w:rFonts w:ascii="Times New Roman" w:hAnsi="Times New Roman" w:cs="Times New Roman"/>
          <w:sz w:val="24"/>
          <w:szCs w:val="24"/>
          <w:lang w:val="lv-LV"/>
        </w:rPr>
        <w:t>PVD</w:t>
      </w:r>
      <w:r w:rsidR="00D72850" w:rsidRPr="006557B3">
        <w:rPr>
          <w:rFonts w:ascii="Times New Roman" w:hAnsi="Times New Roman" w:cs="Times New Roman"/>
          <w:sz w:val="24"/>
          <w:szCs w:val="24"/>
          <w:lang w:val="lv-LV"/>
        </w:rPr>
        <w:t xml:space="preserve"> reģistrā. Patērētāji, kas iegādājās šādus uztura bagātinātājus, reti publiski sūdzas par veselības traucējumiem vai par to</w:t>
      </w:r>
      <w:r w:rsidR="00A96D1F">
        <w:rPr>
          <w:rFonts w:ascii="Times New Roman" w:hAnsi="Times New Roman" w:cs="Times New Roman"/>
          <w:sz w:val="24"/>
          <w:szCs w:val="24"/>
          <w:lang w:val="lv-LV"/>
        </w:rPr>
        <w:t>,</w:t>
      </w:r>
      <w:r w:rsidR="00D72850" w:rsidRPr="006557B3">
        <w:rPr>
          <w:rFonts w:ascii="Times New Roman" w:hAnsi="Times New Roman" w:cs="Times New Roman"/>
          <w:sz w:val="24"/>
          <w:szCs w:val="24"/>
          <w:lang w:val="lv-LV"/>
        </w:rPr>
        <w:t xml:space="preserve"> ka nav sasniegts vēlamais rezultāts.</w:t>
      </w:r>
    </w:p>
    <w:p w14:paraId="3E2F5015" w14:textId="1C857136" w:rsidR="00D72850" w:rsidRPr="006557B3" w:rsidRDefault="00D72850" w:rsidP="00C05C12">
      <w:pPr>
        <w:pStyle w:val="Sarakstarindkopa"/>
        <w:tabs>
          <w:tab w:val="left" w:pos="8647"/>
        </w:tabs>
        <w:spacing w:after="0" w:line="240" w:lineRule="auto"/>
        <w:ind w:left="0" w:firstLine="709"/>
        <w:jc w:val="both"/>
        <w:rPr>
          <w:rFonts w:ascii="Times New Roman" w:hAnsi="Times New Roman"/>
          <w:sz w:val="24"/>
          <w:szCs w:val="24"/>
          <w:lang w:val="lv-LV"/>
        </w:rPr>
      </w:pPr>
      <w:r w:rsidRPr="006557B3">
        <w:rPr>
          <w:rFonts w:ascii="Times New Roman" w:hAnsi="Times New Roman"/>
          <w:sz w:val="24"/>
          <w:szCs w:val="24"/>
          <w:lang w:val="lv-LV"/>
        </w:rPr>
        <w:t xml:space="preserve">Varētu pieņemt, ka nelegālās darbības veic fiziskās personas, kas uztura bagātinātājus </w:t>
      </w:r>
      <w:r w:rsidR="00A31600" w:rsidRPr="006557B3">
        <w:rPr>
          <w:rFonts w:ascii="Times New Roman" w:hAnsi="Times New Roman"/>
          <w:sz w:val="24"/>
          <w:szCs w:val="24"/>
          <w:lang w:val="lv-LV"/>
        </w:rPr>
        <w:t xml:space="preserve">regulāri </w:t>
      </w:r>
      <w:r w:rsidRPr="006557B3">
        <w:rPr>
          <w:rFonts w:ascii="Times New Roman" w:hAnsi="Times New Roman"/>
          <w:sz w:val="24"/>
          <w:szCs w:val="24"/>
          <w:lang w:val="lv-LV"/>
        </w:rPr>
        <w:t xml:space="preserve">iegādājas </w:t>
      </w:r>
      <w:r w:rsidR="00A31600" w:rsidRPr="006557B3">
        <w:rPr>
          <w:rFonts w:ascii="Times New Roman" w:hAnsi="Times New Roman"/>
          <w:sz w:val="24"/>
          <w:szCs w:val="24"/>
          <w:lang w:val="lv-LV"/>
        </w:rPr>
        <w:t xml:space="preserve">ar </w:t>
      </w:r>
      <w:r w:rsidRPr="006557B3">
        <w:rPr>
          <w:rFonts w:ascii="Times New Roman" w:hAnsi="Times New Roman"/>
          <w:sz w:val="24"/>
          <w:szCs w:val="24"/>
          <w:lang w:val="lv-LV"/>
        </w:rPr>
        <w:t>dažād</w:t>
      </w:r>
      <w:r w:rsidR="00A31600" w:rsidRPr="006557B3">
        <w:rPr>
          <w:rFonts w:ascii="Times New Roman" w:hAnsi="Times New Roman"/>
          <w:sz w:val="24"/>
          <w:szCs w:val="24"/>
          <w:lang w:val="lv-LV"/>
        </w:rPr>
        <w:t>u</w:t>
      </w:r>
      <w:r w:rsidRPr="006557B3">
        <w:rPr>
          <w:rFonts w:ascii="Times New Roman" w:hAnsi="Times New Roman"/>
          <w:sz w:val="24"/>
          <w:szCs w:val="24"/>
          <w:lang w:val="lv-LV"/>
        </w:rPr>
        <w:t xml:space="preserve"> </w:t>
      </w:r>
      <w:r w:rsidR="00A31600" w:rsidRPr="006557B3">
        <w:rPr>
          <w:rFonts w:ascii="Times New Roman" w:hAnsi="Times New Roman"/>
          <w:sz w:val="24"/>
          <w:szCs w:val="24"/>
          <w:lang w:val="lv-LV"/>
        </w:rPr>
        <w:t>tīmekļa vietņu starpniecību</w:t>
      </w:r>
      <w:r w:rsidRPr="006557B3">
        <w:rPr>
          <w:rFonts w:ascii="Times New Roman" w:hAnsi="Times New Roman"/>
          <w:sz w:val="24"/>
          <w:szCs w:val="24"/>
          <w:lang w:val="lv-LV"/>
        </w:rPr>
        <w:t xml:space="preserve"> pašpatēriņam, taču ir apstiprinājumi, ka šīs personas uztura bagātinātājus </w:t>
      </w:r>
      <w:r w:rsidR="00A31600" w:rsidRPr="006557B3">
        <w:rPr>
          <w:rFonts w:ascii="Times New Roman" w:hAnsi="Times New Roman"/>
          <w:sz w:val="24"/>
          <w:szCs w:val="24"/>
          <w:lang w:val="lv-LV"/>
        </w:rPr>
        <w:t xml:space="preserve">bieži vien </w:t>
      </w:r>
      <w:r w:rsidRPr="006557B3">
        <w:rPr>
          <w:rFonts w:ascii="Times New Roman" w:hAnsi="Times New Roman"/>
          <w:sz w:val="24"/>
          <w:szCs w:val="24"/>
          <w:lang w:val="lv-LV"/>
        </w:rPr>
        <w:t>realizē tālāk citām personām</w:t>
      </w:r>
      <w:r w:rsidR="00A31600" w:rsidRPr="006557B3">
        <w:rPr>
          <w:rFonts w:ascii="Times New Roman" w:hAnsi="Times New Roman"/>
          <w:sz w:val="24"/>
          <w:szCs w:val="24"/>
          <w:lang w:val="lv-LV"/>
        </w:rPr>
        <w:t>,</w:t>
      </w:r>
      <w:r w:rsidRPr="006557B3">
        <w:rPr>
          <w:rFonts w:ascii="Times New Roman" w:hAnsi="Times New Roman"/>
          <w:sz w:val="24"/>
          <w:szCs w:val="24"/>
          <w:lang w:val="lv-LV"/>
        </w:rPr>
        <w:t xml:space="preserve"> izmantojot reklāmu vai veidojot viltus profilus sociālajos tīklos. Šādā uztura bagātinātāju izplatīšanā iesaistīt</w:t>
      </w:r>
      <w:r w:rsidR="00A31600" w:rsidRPr="006557B3">
        <w:rPr>
          <w:rFonts w:ascii="Times New Roman" w:hAnsi="Times New Roman"/>
          <w:sz w:val="24"/>
          <w:szCs w:val="24"/>
          <w:lang w:val="lv-LV"/>
        </w:rPr>
        <w:t>ā</w:t>
      </w:r>
      <w:r w:rsidRPr="006557B3">
        <w:rPr>
          <w:rFonts w:ascii="Times New Roman" w:hAnsi="Times New Roman"/>
          <w:sz w:val="24"/>
          <w:szCs w:val="24"/>
          <w:lang w:val="lv-LV"/>
        </w:rPr>
        <w:t xml:space="preserve">s personas </w:t>
      </w:r>
      <w:r w:rsidR="00A31600" w:rsidRPr="006557B3">
        <w:rPr>
          <w:rFonts w:ascii="Times New Roman" w:hAnsi="Times New Roman"/>
          <w:sz w:val="24"/>
          <w:szCs w:val="24"/>
          <w:lang w:val="lv-LV"/>
        </w:rPr>
        <w:t xml:space="preserve">mēdz </w:t>
      </w:r>
      <w:r w:rsidRPr="006557B3">
        <w:rPr>
          <w:rFonts w:ascii="Times New Roman" w:hAnsi="Times New Roman"/>
          <w:sz w:val="24"/>
          <w:szCs w:val="24"/>
          <w:lang w:val="lv-LV"/>
        </w:rPr>
        <w:t>nodrošin</w:t>
      </w:r>
      <w:r w:rsidR="00A31600" w:rsidRPr="006557B3">
        <w:rPr>
          <w:rFonts w:ascii="Times New Roman" w:hAnsi="Times New Roman"/>
          <w:sz w:val="24"/>
          <w:szCs w:val="24"/>
          <w:lang w:val="lv-LV"/>
        </w:rPr>
        <w:t>āt arī</w:t>
      </w:r>
      <w:r w:rsidRPr="006557B3">
        <w:rPr>
          <w:rFonts w:ascii="Times New Roman" w:hAnsi="Times New Roman"/>
          <w:sz w:val="24"/>
          <w:szCs w:val="24"/>
          <w:lang w:val="lv-LV"/>
        </w:rPr>
        <w:t xml:space="preserve"> patērētāju atsauksmes no viltus profiliem, iedrošinot patērētājus lietot tieši šos uztura bagātinātājus, piedēvējot tiem ātru un efektīvu iedarbību un piedāvājot </w:t>
      </w:r>
      <w:r w:rsidR="00A31600" w:rsidRPr="006557B3">
        <w:rPr>
          <w:rFonts w:ascii="Times New Roman" w:hAnsi="Times New Roman"/>
          <w:sz w:val="24"/>
          <w:szCs w:val="24"/>
          <w:lang w:val="lv-LV"/>
        </w:rPr>
        <w:t xml:space="preserve">tos </w:t>
      </w:r>
      <w:r w:rsidRPr="006557B3">
        <w:rPr>
          <w:rFonts w:ascii="Times New Roman" w:hAnsi="Times New Roman"/>
          <w:sz w:val="24"/>
          <w:szCs w:val="24"/>
          <w:lang w:val="lv-LV"/>
        </w:rPr>
        <w:t>pasūtī</w:t>
      </w:r>
      <w:r w:rsidR="00A31600" w:rsidRPr="006557B3">
        <w:rPr>
          <w:rFonts w:ascii="Times New Roman" w:hAnsi="Times New Roman"/>
          <w:sz w:val="24"/>
          <w:szCs w:val="24"/>
          <w:lang w:val="lv-LV"/>
        </w:rPr>
        <w:t>t</w:t>
      </w:r>
      <w:r w:rsidRPr="006557B3">
        <w:rPr>
          <w:rFonts w:ascii="Times New Roman" w:hAnsi="Times New Roman"/>
          <w:sz w:val="24"/>
          <w:szCs w:val="24"/>
          <w:lang w:val="lv-LV"/>
        </w:rPr>
        <w:t xml:space="preserve"> </w:t>
      </w:r>
      <w:r w:rsidR="00A31600" w:rsidRPr="006557B3">
        <w:rPr>
          <w:rFonts w:ascii="Times New Roman" w:hAnsi="Times New Roman"/>
          <w:sz w:val="24"/>
          <w:szCs w:val="24"/>
          <w:lang w:val="lv-LV"/>
        </w:rPr>
        <w:t xml:space="preserve">pa telefonu </w:t>
      </w:r>
      <w:r w:rsidRPr="006557B3">
        <w:rPr>
          <w:rFonts w:ascii="Times New Roman" w:hAnsi="Times New Roman"/>
          <w:sz w:val="24"/>
          <w:szCs w:val="24"/>
          <w:lang w:val="lv-LV"/>
        </w:rPr>
        <w:t xml:space="preserve">vai </w:t>
      </w:r>
      <w:r w:rsidR="00A31600" w:rsidRPr="006557B3">
        <w:rPr>
          <w:rFonts w:ascii="Times New Roman" w:hAnsi="Times New Roman"/>
          <w:sz w:val="24"/>
          <w:szCs w:val="24"/>
          <w:lang w:val="lv-LV"/>
        </w:rPr>
        <w:t xml:space="preserve">internetā, kur jāaizpilda </w:t>
      </w:r>
      <w:r w:rsidRPr="006557B3">
        <w:rPr>
          <w:rFonts w:ascii="Times New Roman" w:hAnsi="Times New Roman"/>
          <w:sz w:val="24"/>
          <w:szCs w:val="24"/>
          <w:lang w:val="lv-LV"/>
        </w:rPr>
        <w:t>pieteikums. Šād</w:t>
      </w:r>
      <w:r w:rsidR="00A31600" w:rsidRPr="006557B3">
        <w:rPr>
          <w:rFonts w:ascii="Times New Roman" w:hAnsi="Times New Roman"/>
          <w:sz w:val="24"/>
          <w:szCs w:val="24"/>
          <w:lang w:val="lv-LV"/>
        </w:rPr>
        <w:t>i</w:t>
      </w:r>
      <w:r w:rsidRPr="006557B3">
        <w:rPr>
          <w:rFonts w:ascii="Times New Roman" w:hAnsi="Times New Roman"/>
          <w:sz w:val="24"/>
          <w:szCs w:val="24"/>
          <w:lang w:val="lv-LV"/>
        </w:rPr>
        <w:t xml:space="preserve"> piedāvājumi tiek attiecināti arī uz reģistrētiem uztura bagātinātājiem. </w:t>
      </w:r>
    </w:p>
    <w:p w14:paraId="3820110B" w14:textId="392BF3CE" w:rsidR="00D72850" w:rsidRPr="006557B3" w:rsidRDefault="00D72850" w:rsidP="00C05C12">
      <w:pPr>
        <w:pStyle w:val="Sarakstarindkopa"/>
        <w:tabs>
          <w:tab w:val="left" w:pos="8647"/>
        </w:tabs>
        <w:spacing w:after="0" w:line="240" w:lineRule="auto"/>
        <w:ind w:left="0" w:firstLine="709"/>
        <w:jc w:val="both"/>
        <w:rPr>
          <w:rFonts w:ascii="Times New Roman" w:hAnsi="Times New Roman"/>
          <w:sz w:val="24"/>
          <w:szCs w:val="24"/>
          <w:lang w:val="lv-LV"/>
        </w:rPr>
      </w:pPr>
      <w:r w:rsidRPr="006557B3">
        <w:rPr>
          <w:rFonts w:ascii="Times New Roman" w:hAnsi="Times New Roman"/>
          <w:sz w:val="24"/>
          <w:szCs w:val="24"/>
          <w:lang w:val="lv-LV"/>
        </w:rPr>
        <w:t xml:space="preserve">Pārbaudot šīs </w:t>
      </w:r>
      <w:r w:rsidR="00A31600" w:rsidRPr="006557B3">
        <w:rPr>
          <w:rFonts w:ascii="Times New Roman" w:hAnsi="Times New Roman"/>
          <w:sz w:val="24"/>
          <w:szCs w:val="24"/>
          <w:lang w:val="lv-LV"/>
        </w:rPr>
        <w:t xml:space="preserve">tīmekļa </w:t>
      </w:r>
      <w:r w:rsidRPr="006557B3">
        <w:rPr>
          <w:rFonts w:ascii="Times New Roman" w:hAnsi="Times New Roman"/>
          <w:sz w:val="24"/>
          <w:szCs w:val="24"/>
          <w:lang w:val="lv-LV"/>
        </w:rPr>
        <w:t>vietnes</w:t>
      </w:r>
      <w:r w:rsidR="00A31600" w:rsidRPr="006557B3">
        <w:rPr>
          <w:rFonts w:ascii="Times New Roman" w:hAnsi="Times New Roman"/>
          <w:sz w:val="24"/>
          <w:szCs w:val="24"/>
          <w:lang w:val="lv-LV"/>
        </w:rPr>
        <w:t>,</w:t>
      </w:r>
      <w:r w:rsidRPr="006557B3">
        <w:rPr>
          <w:rFonts w:ascii="Times New Roman" w:hAnsi="Times New Roman"/>
          <w:sz w:val="24"/>
          <w:szCs w:val="24"/>
          <w:lang w:val="lv-LV"/>
        </w:rPr>
        <w:t xml:space="preserve"> tiek konstatēts, ka tajās izplatītie uztura bagātinātāji satur </w:t>
      </w:r>
      <w:r w:rsidRPr="006557B3">
        <w:rPr>
          <w:rFonts w:ascii="Times New Roman" w:eastAsia="Times New Roman" w:hAnsi="Times New Roman"/>
          <w:bCs/>
          <w:sz w:val="24"/>
          <w:szCs w:val="24"/>
          <w:lang w:val="lv-LV" w:eastAsia="fr-FR"/>
        </w:rPr>
        <w:t>neatļaut</w:t>
      </w:r>
      <w:r w:rsidR="00A31600" w:rsidRPr="006557B3">
        <w:rPr>
          <w:rFonts w:ascii="Times New Roman" w:eastAsia="Times New Roman" w:hAnsi="Times New Roman"/>
          <w:bCs/>
          <w:sz w:val="24"/>
          <w:szCs w:val="24"/>
          <w:lang w:val="lv-LV" w:eastAsia="fr-FR"/>
        </w:rPr>
        <w:t>a</w:t>
      </w:r>
      <w:r w:rsidRPr="006557B3">
        <w:rPr>
          <w:rFonts w:ascii="Times New Roman" w:eastAsia="Times New Roman" w:hAnsi="Times New Roman"/>
          <w:bCs/>
          <w:sz w:val="24"/>
          <w:szCs w:val="24"/>
          <w:lang w:val="lv-LV" w:eastAsia="fr-FR"/>
        </w:rPr>
        <w:t xml:space="preserve">s farmaceitiskās vielas, tādas kā sibutramīns (ēstgribas </w:t>
      </w:r>
      <w:r w:rsidR="00A31600" w:rsidRPr="006557B3">
        <w:rPr>
          <w:rFonts w:ascii="Times New Roman" w:eastAsia="Times New Roman" w:hAnsi="Times New Roman"/>
          <w:bCs/>
          <w:sz w:val="24"/>
          <w:szCs w:val="24"/>
          <w:lang w:val="lv-LV" w:eastAsia="fr-FR"/>
        </w:rPr>
        <w:t>vai</w:t>
      </w:r>
      <w:r w:rsidRPr="006557B3">
        <w:rPr>
          <w:rFonts w:ascii="Times New Roman" w:eastAsia="Times New Roman" w:hAnsi="Times New Roman"/>
          <w:bCs/>
          <w:sz w:val="24"/>
          <w:szCs w:val="24"/>
          <w:lang w:val="lv-LV" w:eastAsia="fr-FR"/>
        </w:rPr>
        <w:t xml:space="preserve"> liekā </w:t>
      </w:r>
      <w:r w:rsidRPr="006557B3">
        <w:rPr>
          <w:rFonts w:ascii="Times New Roman" w:hAnsi="Times New Roman"/>
          <w:sz w:val="24"/>
          <w:szCs w:val="24"/>
          <w:lang w:val="lv-LV"/>
        </w:rPr>
        <w:t>svara samazināšanai</w:t>
      </w:r>
      <w:r w:rsidRPr="006557B3">
        <w:rPr>
          <w:rFonts w:ascii="Times New Roman" w:eastAsia="Times New Roman" w:hAnsi="Times New Roman"/>
          <w:bCs/>
          <w:sz w:val="24"/>
          <w:szCs w:val="24"/>
          <w:lang w:val="lv-LV" w:eastAsia="fr-FR"/>
        </w:rPr>
        <w:t>), tadalafils, sildenafils</w:t>
      </w:r>
      <w:r w:rsidRPr="006557B3">
        <w:rPr>
          <w:rFonts w:ascii="Times New Roman" w:hAnsi="Times New Roman"/>
          <w:sz w:val="24"/>
          <w:szCs w:val="24"/>
          <w:lang w:val="lv-LV"/>
        </w:rPr>
        <w:t xml:space="preserve">, </w:t>
      </w:r>
      <w:r w:rsidR="00A31600" w:rsidRPr="006557B3">
        <w:rPr>
          <w:rFonts w:ascii="Times New Roman" w:hAnsi="Times New Roman"/>
          <w:sz w:val="24"/>
          <w:szCs w:val="24"/>
          <w:lang w:val="lv-LV"/>
        </w:rPr>
        <w:t>un</w:t>
      </w:r>
      <w:r w:rsidRPr="006557B3">
        <w:rPr>
          <w:rFonts w:ascii="Times New Roman" w:hAnsi="Times New Roman"/>
          <w:sz w:val="24"/>
          <w:szCs w:val="24"/>
          <w:lang w:val="lv-LV"/>
        </w:rPr>
        <w:t xml:space="preserve"> tiek reklamēti kā augu valsts izcelsmes sastāvdaļu saturoši uztura bagātinātāji. Šo līdzekļu nekontrolēta lietošana ir ļoti bīstama patērētāju veselībai.</w:t>
      </w:r>
    </w:p>
    <w:p w14:paraId="413A9D8D" w14:textId="3D8BCCE4" w:rsidR="00D72850" w:rsidRPr="006557B3" w:rsidRDefault="00D72850"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Personas, kas izplata nereģistrētus uztura bagātinātājus, savu komercdarbību pārtikas apritē nav reģistrējušas un </w:t>
      </w:r>
      <w:r w:rsidR="00A31600" w:rsidRPr="006557B3">
        <w:rPr>
          <w:rFonts w:ascii="Times New Roman" w:hAnsi="Times New Roman" w:cs="Times New Roman"/>
          <w:sz w:val="24"/>
          <w:szCs w:val="24"/>
          <w:lang w:val="lv-LV"/>
        </w:rPr>
        <w:t>tādējādi</w:t>
      </w:r>
      <w:r w:rsidRPr="006557B3">
        <w:rPr>
          <w:rFonts w:ascii="Times New Roman" w:hAnsi="Times New Roman" w:cs="Times New Roman"/>
          <w:sz w:val="24"/>
          <w:szCs w:val="24"/>
          <w:lang w:val="lv-LV"/>
        </w:rPr>
        <w:t xml:space="preserve"> apdraud patērētāju veselību, kā arī nemaksā nodokļus un nodevas valsts budžetā. Pārbaudes </w:t>
      </w:r>
      <w:r w:rsidR="00A31600" w:rsidRPr="006557B3">
        <w:rPr>
          <w:rFonts w:ascii="Times New Roman" w:hAnsi="Times New Roman" w:cs="Times New Roman"/>
          <w:sz w:val="24"/>
          <w:szCs w:val="24"/>
          <w:lang w:val="lv-LV"/>
        </w:rPr>
        <w:t>tīmekļa</w:t>
      </w:r>
      <w:r w:rsidRPr="006557B3">
        <w:rPr>
          <w:rFonts w:ascii="Times New Roman" w:hAnsi="Times New Roman" w:cs="Times New Roman"/>
          <w:sz w:val="24"/>
          <w:szCs w:val="24"/>
          <w:lang w:val="lv-LV"/>
        </w:rPr>
        <w:t xml:space="preserve"> vietnēs ir sarežģītas un reizēm </w:t>
      </w:r>
      <w:r w:rsidR="00A31600" w:rsidRPr="006557B3">
        <w:rPr>
          <w:rFonts w:ascii="Times New Roman" w:hAnsi="Times New Roman" w:cs="Times New Roman"/>
          <w:sz w:val="24"/>
          <w:szCs w:val="24"/>
          <w:lang w:val="lv-LV"/>
        </w:rPr>
        <w:t xml:space="preserve">pat </w:t>
      </w:r>
      <w:r w:rsidRPr="006557B3">
        <w:rPr>
          <w:rFonts w:ascii="Times New Roman" w:hAnsi="Times New Roman" w:cs="Times New Roman"/>
          <w:sz w:val="24"/>
          <w:szCs w:val="24"/>
          <w:lang w:val="lv-LV"/>
        </w:rPr>
        <w:t xml:space="preserve">nav iespējamas, ja </w:t>
      </w:r>
      <w:r w:rsidR="00A31600" w:rsidRPr="006557B3">
        <w:rPr>
          <w:rFonts w:ascii="Times New Roman" w:hAnsi="Times New Roman" w:cs="Times New Roman"/>
          <w:sz w:val="24"/>
          <w:szCs w:val="24"/>
          <w:lang w:val="lv-LV"/>
        </w:rPr>
        <w:t>tīmekļa</w:t>
      </w:r>
      <w:r w:rsidRPr="006557B3">
        <w:rPr>
          <w:rFonts w:ascii="Times New Roman" w:hAnsi="Times New Roman" w:cs="Times New Roman"/>
          <w:sz w:val="24"/>
          <w:szCs w:val="24"/>
          <w:lang w:val="lv-LV"/>
        </w:rPr>
        <w:t xml:space="preserve"> vietne (domēns) nav reģistrēta Latvijā un nav norādīta atbilstoša kontaktinformācija.</w:t>
      </w:r>
    </w:p>
    <w:p w14:paraId="00BAF9CD" w14:textId="24514999" w:rsidR="00D72850" w:rsidRPr="006557B3" w:rsidRDefault="00D72850" w:rsidP="00C05C12">
      <w:pPr>
        <w:pStyle w:val="Sarakstarindkopa"/>
        <w:tabs>
          <w:tab w:val="left" w:pos="8647"/>
        </w:tabs>
        <w:spacing w:after="0" w:line="240" w:lineRule="auto"/>
        <w:ind w:left="0" w:firstLine="709"/>
        <w:jc w:val="both"/>
        <w:rPr>
          <w:rFonts w:ascii="Times New Roman" w:hAnsi="Times New Roman"/>
          <w:sz w:val="24"/>
          <w:szCs w:val="24"/>
          <w:lang w:val="lv-LV"/>
        </w:rPr>
      </w:pPr>
      <w:r w:rsidRPr="006557B3">
        <w:rPr>
          <w:rFonts w:ascii="Times New Roman" w:hAnsi="Times New Roman"/>
          <w:sz w:val="24"/>
          <w:szCs w:val="24"/>
          <w:lang w:val="lv-LV"/>
        </w:rPr>
        <w:t xml:space="preserve">Veicot kontroles pasākumus, konstatēts, ka reālie uztura bagātinātāju piegādātāji ir ārzemēs reģistrēti uzņēmumi, ar kuriem nav izdevies sazināties, </w:t>
      </w:r>
      <w:r w:rsidR="00A31600" w:rsidRPr="006557B3">
        <w:rPr>
          <w:rFonts w:ascii="Times New Roman" w:hAnsi="Times New Roman"/>
          <w:sz w:val="24"/>
          <w:szCs w:val="24"/>
          <w:lang w:val="lv-LV"/>
        </w:rPr>
        <w:t xml:space="preserve">tāpēc nav iespējams </w:t>
      </w:r>
      <w:r w:rsidRPr="006557B3">
        <w:rPr>
          <w:rFonts w:ascii="Times New Roman" w:hAnsi="Times New Roman"/>
          <w:sz w:val="24"/>
          <w:szCs w:val="24"/>
          <w:lang w:val="lv-LV"/>
        </w:rPr>
        <w:t xml:space="preserve">atklāt reālo nosūtītāju. Iespējamais problēmas risinājums – </w:t>
      </w:r>
      <w:r w:rsidR="00A31600" w:rsidRPr="006557B3">
        <w:rPr>
          <w:rFonts w:ascii="Times New Roman" w:hAnsi="Times New Roman"/>
          <w:sz w:val="24"/>
          <w:szCs w:val="24"/>
          <w:lang w:val="lv-LV"/>
        </w:rPr>
        <w:t>tīmekļa</w:t>
      </w:r>
      <w:r w:rsidR="00A31600" w:rsidRPr="006557B3" w:rsidDel="00A31600">
        <w:rPr>
          <w:rFonts w:ascii="Times New Roman" w:hAnsi="Times New Roman"/>
          <w:sz w:val="24"/>
          <w:szCs w:val="24"/>
          <w:lang w:val="lv-LV"/>
        </w:rPr>
        <w:t xml:space="preserve"> </w:t>
      </w:r>
      <w:r w:rsidRPr="006557B3">
        <w:rPr>
          <w:rFonts w:ascii="Times New Roman" w:hAnsi="Times New Roman"/>
          <w:sz w:val="24"/>
          <w:szCs w:val="24"/>
          <w:lang w:val="lv-LV"/>
        </w:rPr>
        <w:t>vietnes bloķēšana un patērētāja izglītošana.</w:t>
      </w:r>
    </w:p>
    <w:p w14:paraId="200DDD34" w14:textId="325DE55D" w:rsidR="00D72850" w:rsidRPr="006557B3" w:rsidRDefault="00D72850" w:rsidP="00C05C12">
      <w:pPr>
        <w:pStyle w:val="Sarakstarindkopa"/>
        <w:tabs>
          <w:tab w:val="left" w:pos="8647"/>
        </w:tabs>
        <w:spacing w:after="0" w:line="240" w:lineRule="auto"/>
        <w:ind w:left="0" w:firstLine="709"/>
        <w:jc w:val="both"/>
        <w:rPr>
          <w:rFonts w:ascii="Times New Roman" w:hAnsi="Times New Roman"/>
          <w:sz w:val="24"/>
          <w:szCs w:val="24"/>
          <w:lang w:val="lv-LV"/>
        </w:rPr>
      </w:pPr>
      <w:r w:rsidRPr="006557B3">
        <w:rPr>
          <w:rFonts w:ascii="Times New Roman" w:hAnsi="Times New Roman"/>
          <w:sz w:val="24"/>
          <w:szCs w:val="24"/>
          <w:lang w:val="lv-LV"/>
        </w:rPr>
        <w:t>P</w:t>
      </w:r>
      <w:r w:rsidR="00A31600" w:rsidRPr="006557B3">
        <w:rPr>
          <w:rFonts w:ascii="Times New Roman" w:hAnsi="Times New Roman"/>
          <w:sz w:val="24"/>
          <w:szCs w:val="24"/>
          <w:lang w:val="lv-LV"/>
        </w:rPr>
        <w:t>alielinoties</w:t>
      </w:r>
      <w:r w:rsidRPr="006557B3">
        <w:rPr>
          <w:rFonts w:ascii="Times New Roman" w:hAnsi="Times New Roman"/>
          <w:sz w:val="24"/>
          <w:szCs w:val="24"/>
          <w:lang w:val="lv-LV"/>
        </w:rPr>
        <w:t xml:space="preserve"> jauno sociālo m</w:t>
      </w:r>
      <w:r w:rsidR="00A31600" w:rsidRPr="006557B3">
        <w:rPr>
          <w:rFonts w:ascii="Times New Roman" w:hAnsi="Times New Roman"/>
          <w:sz w:val="24"/>
          <w:szCs w:val="24"/>
          <w:lang w:val="lv-LV"/>
        </w:rPr>
        <w:t>e</w:t>
      </w:r>
      <w:r w:rsidRPr="006557B3">
        <w:rPr>
          <w:rFonts w:ascii="Times New Roman" w:hAnsi="Times New Roman"/>
          <w:sz w:val="24"/>
          <w:szCs w:val="24"/>
          <w:lang w:val="lv-LV"/>
        </w:rPr>
        <w:t xml:space="preserve">diju popularitātei, kļūst plašāka mērķauditorija, </w:t>
      </w:r>
      <w:r w:rsidR="00A31600" w:rsidRPr="006557B3">
        <w:rPr>
          <w:rFonts w:ascii="Times New Roman" w:hAnsi="Times New Roman"/>
          <w:sz w:val="24"/>
          <w:szCs w:val="24"/>
          <w:lang w:val="lv-LV"/>
        </w:rPr>
        <w:t xml:space="preserve">un </w:t>
      </w:r>
      <w:r w:rsidRPr="006557B3">
        <w:rPr>
          <w:rFonts w:ascii="Times New Roman" w:hAnsi="Times New Roman"/>
          <w:sz w:val="24"/>
          <w:szCs w:val="24"/>
          <w:lang w:val="lv-LV"/>
        </w:rPr>
        <w:t xml:space="preserve">tas strauji veicina jaunu uztura bagātinātāju izplatīšanas kanālu attīstību un tirdzniecību </w:t>
      </w:r>
      <w:r w:rsidR="00A31600" w:rsidRPr="006557B3">
        <w:rPr>
          <w:rFonts w:ascii="Times New Roman" w:hAnsi="Times New Roman"/>
          <w:sz w:val="24"/>
          <w:szCs w:val="24"/>
          <w:lang w:val="lv-LV"/>
        </w:rPr>
        <w:t>ar tīmekļa</w:t>
      </w:r>
      <w:r w:rsidRPr="006557B3">
        <w:rPr>
          <w:rFonts w:ascii="Times New Roman" w:hAnsi="Times New Roman"/>
          <w:sz w:val="24"/>
          <w:szCs w:val="24"/>
          <w:lang w:val="lv-LV"/>
        </w:rPr>
        <w:t xml:space="preserve"> viet</w:t>
      </w:r>
      <w:r w:rsidR="00A31600" w:rsidRPr="006557B3">
        <w:rPr>
          <w:rFonts w:ascii="Times New Roman" w:hAnsi="Times New Roman"/>
          <w:sz w:val="24"/>
          <w:szCs w:val="24"/>
          <w:lang w:val="lv-LV"/>
        </w:rPr>
        <w:t>ņu starpniecību</w:t>
      </w:r>
      <w:r w:rsidRPr="006557B3">
        <w:rPr>
          <w:rFonts w:ascii="Times New Roman" w:hAnsi="Times New Roman"/>
          <w:sz w:val="24"/>
          <w:szCs w:val="24"/>
          <w:lang w:val="lv-LV"/>
        </w:rPr>
        <w:t xml:space="preserve">. </w:t>
      </w:r>
      <w:r w:rsidR="00A31600" w:rsidRPr="006557B3">
        <w:rPr>
          <w:rFonts w:ascii="Times New Roman" w:hAnsi="Times New Roman"/>
          <w:sz w:val="24"/>
          <w:szCs w:val="24"/>
          <w:lang w:val="lv-LV"/>
        </w:rPr>
        <w:t>V</w:t>
      </w:r>
      <w:r w:rsidRPr="006557B3">
        <w:rPr>
          <w:rFonts w:ascii="Times New Roman" w:hAnsi="Times New Roman"/>
          <w:sz w:val="24"/>
          <w:szCs w:val="24"/>
          <w:lang w:val="lv-LV"/>
        </w:rPr>
        <w:t>alsts kontrolējoš</w:t>
      </w:r>
      <w:r w:rsidR="00A31600" w:rsidRPr="006557B3">
        <w:rPr>
          <w:rFonts w:ascii="Times New Roman" w:hAnsi="Times New Roman"/>
          <w:sz w:val="24"/>
          <w:szCs w:val="24"/>
          <w:lang w:val="lv-LV"/>
        </w:rPr>
        <w:t>ajām</w:t>
      </w:r>
      <w:r w:rsidRPr="006557B3">
        <w:rPr>
          <w:rFonts w:ascii="Times New Roman" w:hAnsi="Times New Roman"/>
          <w:sz w:val="24"/>
          <w:szCs w:val="24"/>
          <w:lang w:val="lv-LV"/>
        </w:rPr>
        <w:t xml:space="preserve"> iestād</w:t>
      </w:r>
      <w:r w:rsidR="00A31600" w:rsidRPr="006557B3">
        <w:rPr>
          <w:rFonts w:ascii="Times New Roman" w:hAnsi="Times New Roman"/>
          <w:sz w:val="24"/>
          <w:szCs w:val="24"/>
          <w:lang w:val="lv-LV"/>
        </w:rPr>
        <w:t>ām</w:t>
      </w:r>
      <w:r w:rsidRPr="006557B3">
        <w:rPr>
          <w:rFonts w:ascii="Times New Roman" w:hAnsi="Times New Roman"/>
          <w:sz w:val="24"/>
          <w:szCs w:val="24"/>
          <w:lang w:val="lv-LV"/>
        </w:rPr>
        <w:t xml:space="preserve"> </w:t>
      </w:r>
      <w:r w:rsidR="00A31600" w:rsidRPr="006557B3">
        <w:rPr>
          <w:rFonts w:ascii="Times New Roman" w:hAnsi="Times New Roman"/>
          <w:sz w:val="24"/>
          <w:szCs w:val="24"/>
          <w:lang w:val="lv-LV"/>
        </w:rPr>
        <w:t xml:space="preserve">šāda </w:t>
      </w:r>
      <w:r w:rsidRPr="006557B3">
        <w:rPr>
          <w:rFonts w:ascii="Times New Roman" w:hAnsi="Times New Roman"/>
          <w:sz w:val="24"/>
          <w:szCs w:val="24"/>
          <w:lang w:val="lv-LV"/>
        </w:rPr>
        <w:t>uzraudzī</w:t>
      </w:r>
      <w:r w:rsidR="00A31600" w:rsidRPr="006557B3">
        <w:rPr>
          <w:rFonts w:ascii="Times New Roman" w:hAnsi="Times New Roman"/>
          <w:sz w:val="24"/>
          <w:szCs w:val="24"/>
          <w:lang w:val="lv-LV"/>
        </w:rPr>
        <w:t>ba</w:t>
      </w:r>
      <w:r w:rsidRPr="006557B3">
        <w:rPr>
          <w:rFonts w:ascii="Times New Roman" w:hAnsi="Times New Roman"/>
          <w:sz w:val="24"/>
          <w:szCs w:val="24"/>
          <w:lang w:val="lv-LV"/>
        </w:rPr>
        <w:t xml:space="preserve"> prasa papildu resursus un kapacitāti. </w:t>
      </w:r>
    </w:p>
    <w:p w14:paraId="5A131E24" w14:textId="61B4E524" w:rsidR="00AA4559" w:rsidRDefault="00AA4559" w:rsidP="00C05C12">
      <w:pPr>
        <w:pStyle w:val="Sarakstarindkopa"/>
        <w:tabs>
          <w:tab w:val="left" w:pos="8647"/>
        </w:tabs>
        <w:spacing w:after="0" w:line="240" w:lineRule="auto"/>
        <w:ind w:left="0" w:firstLine="709"/>
        <w:jc w:val="both"/>
        <w:rPr>
          <w:rFonts w:ascii="Times New Roman" w:hAnsi="Times New Roman"/>
          <w:sz w:val="24"/>
          <w:szCs w:val="24"/>
          <w:lang w:val="lv-LV"/>
        </w:rPr>
      </w:pPr>
    </w:p>
    <w:p w14:paraId="4A59EFA3" w14:textId="082B6990" w:rsidR="00872BB7" w:rsidRPr="006557B3" w:rsidRDefault="001503FB" w:rsidP="00777AB4">
      <w:pPr>
        <w:keepNext/>
        <w:tabs>
          <w:tab w:val="left" w:pos="8647"/>
        </w:tabs>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lastRenderedPageBreak/>
        <w:t xml:space="preserve">5. </w:t>
      </w:r>
      <w:r w:rsidR="00872BB7" w:rsidRPr="006557B3">
        <w:rPr>
          <w:rFonts w:ascii="Times New Roman" w:hAnsi="Times New Roman" w:cs="Times New Roman"/>
          <w:b/>
          <w:sz w:val="24"/>
          <w:szCs w:val="24"/>
          <w:lang w:val="lv-LV"/>
        </w:rPr>
        <w:t xml:space="preserve">Sabiedrisko organizāciju priekšlikumi uztura bagātinātāju jomā </w:t>
      </w:r>
    </w:p>
    <w:p w14:paraId="774B0A64" w14:textId="26DB99A9" w:rsidR="00872BB7" w:rsidRPr="006557B3" w:rsidRDefault="00872BB7" w:rsidP="00777AB4">
      <w:pPr>
        <w:pStyle w:val="Sarakstarindkopa"/>
        <w:keepNext/>
        <w:tabs>
          <w:tab w:val="left" w:pos="8647"/>
        </w:tabs>
        <w:spacing w:after="0" w:line="240" w:lineRule="auto"/>
        <w:ind w:left="0" w:firstLine="709"/>
        <w:jc w:val="both"/>
        <w:rPr>
          <w:rFonts w:ascii="Times New Roman" w:hAnsi="Times New Roman"/>
          <w:sz w:val="24"/>
          <w:szCs w:val="24"/>
          <w:lang w:val="lv-LV"/>
        </w:rPr>
      </w:pPr>
      <w:r w:rsidRPr="006557B3">
        <w:rPr>
          <w:rFonts w:ascii="Times New Roman" w:hAnsi="Times New Roman"/>
          <w:sz w:val="24"/>
          <w:szCs w:val="24"/>
          <w:lang w:val="lv-LV"/>
        </w:rPr>
        <w:t>Informatīvā ziņojuma sagatavošanas laikā tika saņemti ar uztura bagātinātāju jomu saistītu sabiedrisko organizāciju, uztura bagātinātāju ražotāju</w:t>
      </w:r>
      <w:r w:rsidR="00A31600" w:rsidRPr="006557B3">
        <w:rPr>
          <w:rFonts w:ascii="Times New Roman" w:hAnsi="Times New Roman"/>
          <w:sz w:val="24"/>
          <w:szCs w:val="24"/>
          <w:lang w:val="lv-LV"/>
        </w:rPr>
        <w:t>, kā</w:t>
      </w:r>
      <w:r w:rsidRPr="006557B3">
        <w:rPr>
          <w:rFonts w:ascii="Times New Roman" w:hAnsi="Times New Roman"/>
          <w:sz w:val="24"/>
          <w:szCs w:val="24"/>
          <w:lang w:val="lv-LV"/>
        </w:rPr>
        <w:t xml:space="preserve"> arī privātpersonu priekšlikumi un ieteikumi jomas pilnveidošanai. Tie ir iekļauti šajā informatīvajā ziņojumā. </w:t>
      </w:r>
    </w:p>
    <w:p w14:paraId="424E8A0E" w14:textId="77777777" w:rsidR="00AA4559" w:rsidRPr="006557B3" w:rsidRDefault="00AA4559" w:rsidP="00C05C12">
      <w:pPr>
        <w:pStyle w:val="Sarakstarindkopa"/>
        <w:keepNext/>
        <w:tabs>
          <w:tab w:val="left" w:pos="8647"/>
        </w:tabs>
        <w:spacing w:after="0" w:line="240" w:lineRule="auto"/>
        <w:ind w:left="0" w:firstLine="709"/>
        <w:jc w:val="both"/>
        <w:rPr>
          <w:rFonts w:ascii="Times New Roman" w:hAnsi="Times New Roman"/>
          <w:sz w:val="24"/>
          <w:szCs w:val="24"/>
          <w:lang w:val="lv-LV"/>
        </w:rPr>
      </w:pPr>
    </w:p>
    <w:p w14:paraId="20FDE4CB" w14:textId="77777777" w:rsidR="00872BB7" w:rsidRPr="006557B3" w:rsidRDefault="00250CF8" w:rsidP="00C05C12">
      <w:pPr>
        <w:keepNext/>
        <w:tabs>
          <w:tab w:val="left" w:pos="8647"/>
        </w:tabs>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t xml:space="preserve">5.1. </w:t>
      </w:r>
      <w:r w:rsidR="00872BB7" w:rsidRPr="006557B3">
        <w:rPr>
          <w:rFonts w:ascii="Times New Roman" w:hAnsi="Times New Roman" w:cs="Times New Roman"/>
          <w:b/>
          <w:sz w:val="24"/>
          <w:szCs w:val="24"/>
          <w:lang w:val="lv-LV"/>
        </w:rPr>
        <w:t xml:space="preserve">Latvijas ārstu biedrības (turpmāk – LĀB) priekšlikumi </w:t>
      </w:r>
    </w:p>
    <w:p w14:paraId="59D6CBE6" w14:textId="292FFCC3" w:rsidR="00872BB7" w:rsidRPr="006557B3" w:rsidRDefault="00A31600" w:rsidP="00C05C12">
      <w:pPr>
        <w:pStyle w:val="default0"/>
        <w:keepNext/>
        <w:tabs>
          <w:tab w:val="left" w:pos="8647"/>
        </w:tabs>
        <w:ind w:firstLine="708"/>
        <w:jc w:val="both"/>
        <w:rPr>
          <w:rFonts w:ascii="Times New Roman" w:hAnsi="Times New Roman"/>
          <w:color w:val="auto"/>
          <w:lang w:val="lv-LV"/>
        </w:rPr>
      </w:pPr>
      <w:r w:rsidRPr="006557B3">
        <w:rPr>
          <w:rFonts w:ascii="Times New Roman" w:hAnsi="Times New Roman"/>
          <w:b/>
          <w:color w:val="auto"/>
          <w:lang w:val="lv-LV"/>
        </w:rPr>
        <w:t>LĀB a</w:t>
      </w:r>
      <w:r w:rsidR="00872BB7" w:rsidRPr="006557B3">
        <w:rPr>
          <w:rFonts w:ascii="Times New Roman" w:hAnsi="Times New Roman"/>
          <w:b/>
          <w:lang w:val="lv-LV"/>
        </w:rPr>
        <w:t>tbalsta</w:t>
      </w:r>
      <w:r w:rsidR="00872BB7" w:rsidRPr="006557B3">
        <w:rPr>
          <w:rFonts w:ascii="Times New Roman" w:hAnsi="Times New Roman"/>
          <w:color w:val="auto"/>
          <w:lang w:val="lv-LV"/>
        </w:rPr>
        <w:t xml:space="preserve"> papildu līdzekļu piešķiršanu </w:t>
      </w:r>
      <w:r w:rsidRPr="006557B3">
        <w:rPr>
          <w:rFonts w:ascii="Times New Roman" w:hAnsi="Times New Roman"/>
          <w:color w:val="auto"/>
          <w:lang w:val="lv-LV"/>
        </w:rPr>
        <w:t xml:space="preserve">PVD </w:t>
      </w:r>
      <w:r w:rsidR="00872BB7" w:rsidRPr="006557B3">
        <w:rPr>
          <w:rFonts w:ascii="Times New Roman" w:hAnsi="Times New Roman"/>
          <w:color w:val="auto"/>
          <w:lang w:val="lv-LV"/>
        </w:rPr>
        <w:t xml:space="preserve">uztura bagātinātāju laboratorisko </w:t>
      </w:r>
      <w:r w:rsidR="000D42D1" w:rsidRPr="006557B3">
        <w:rPr>
          <w:rFonts w:ascii="Times New Roman" w:hAnsi="Times New Roman"/>
          <w:color w:val="auto"/>
          <w:lang w:val="lv-LV"/>
        </w:rPr>
        <w:t>kontroļu</w:t>
      </w:r>
      <w:r w:rsidR="00872BB7" w:rsidRPr="006557B3">
        <w:rPr>
          <w:rFonts w:ascii="Times New Roman" w:hAnsi="Times New Roman"/>
          <w:color w:val="auto"/>
          <w:lang w:val="lv-LV"/>
        </w:rPr>
        <w:t xml:space="preserve"> un sabiedrības informēšanas pasākumu </w:t>
      </w:r>
      <w:r w:rsidRPr="006557B3">
        <w:rPr>
          <w:rFonts w:ascii="Times New Roman" w:hAnsi="Times New Roman"/>
          <w:color w:val="auto"/>
          <w:lang w:val="lv-LV"/>
        </w:rPr>
        <w:t>īsteno</w:t>
      </w:r>
      <w:r w:rsidR="00872BB7" w:rsidRPr="006557B3">
        <w:rPr>
          <w:rFonts w:ascii="Times New Roman" w:hAnsi="Times New Roman"/>
          <w:color w:val="auto"/>
          <w:lang w:val="lv-LV"/>
        </w:rPr>
        <w:t xml:space="preserve">šanai un vērš uzmanību </w:t>
      </w:r>
      <w:r w:rsidRPr="006557B3">
        <w:rPr>
          <w:rFonts w:ascii="Times New Roman" w:hAnsi="Times New Roman"/>
          <w:color w:val="auto"/>
          <w:lang w:val="lv-LV"/>
        </w:rPr>
        <w:t>uz to</w:t>
      </w:r>
      <w:r w:rsidR="006F3F57" w:rsidRPr="006557B3">
        <w:rPr>
          <w:rFonts w:ascii="Times New Roman" w:hAnsi="Times New Roman"/>
          <w:color w:val="auto"/>
          <w:lang w:val="lv-LV"/>
        </w:rPr>
        <w:t>,</w:t>
      </w:r>
      <w:r w:rsidRPr="006557B3">
        <w:rPr>
          <w:rFonts w:ascii="Times New Roman" w:hAnsi="Times New Roman"/>
          <w:color w:val="auto"/>
          <w:lang w:val="lv-LV"/>
        </w:rPr>
        <w:t xml:space="preserve"> </w:t>
      </w:r>
      <w:r w:rsidR="00872BB7" w:rsidRPr="006557B3">
        <w:rPr>
          <w:rFonts w:ascii="Times New Roman" w:hAnsi="Times New Roman"/>
          <w:color w:val="auto"/>
          <w:lang w:val="lv-LV"/>
        </w:rPr>
        <w:t>ka Latvijas Republika neizpilda Eiropas Parlamenta un Padomes 2002.</w:t>
      </w:r>
      <w:r w:rsidR="006F3F57">
        <w:rPr>
          <w:rFonts w:ascii="Times New Roman" w:hAnsi="Times New Roman"/>
          <w:color w:val="auto"/>
          <w:lang w:val="lv-LV"/>
        </w:rPr>
        <w:t xml:space="preserve"> </w:t>
      </w:r>
      <w:r w:rsidR="00872BB7" w:rsidRPr="006557B3">
        <w:rPr>
          <w:rFonts w:ascii="Times New Roman" w:hAnsi="Times New Roman"/>
          <w:color w:val="auto"/>
          <w:lang w:val="lv-LV"/>
        </w:rPr>
        <w:t>gada 10.</w:t>
      </w:r>
      <w:r w:rsidR="006F3F57">
        <w:rPr>
          <w:rFonts w:ascii="Times New Roman" w:hAnsi="Times New Roman"/>
          <w:color w:val="auto"/>
          <w:lang w:val="lv-LV"/>
        </w:rPr>
        <w:t xml:space="preserve"> </w:t>
      </w:r>
      <w:r w:rsidR="00872BB7" w:rsidRPr="006557B3">
        <w:rPr>
          <w:rFonts w:ascii="Times New Roman" w:hAnsi="Times New Roman"/>
          <w:color w:val="auto"/>
          <w:lang w:val="lv-LV"/>
        </w:rPr>
        <w:t>jūnija Direktīvas 2002/46/EK par dalībvalstu tiesību aktu tuvināšanu attiecībā uz uztura bagātinātājiem 19.</w:t>
      </w:r>
      <w:r w:rsidR="006F3F57">
        <w:rPr>
          <w:rFonts w:ascii="Times New Roman" w:hAnsi="Times New Roman"/>
          <w:color w:val="auto"/>
          <w:lang w:val="lv-LV"/>
        </w:rPr>
        <w:t xml:space="preserve"> </w:t>
      </w:r>
      <w:r w:rsidR="00872BB7" w:rsidRPr="006557B3">
        <w:rPr>
          <w:rFonts w:ascii="Times New Roman" w:hAnsi="Times New Roman"/>
          <w:color w:val="auto"/>
          <w:lang w:val="lv-LV"/>
        </w:rPr>
        <w:t>preambulas punkt</w:t>
      </w:r>
      <w:r w:rsidRPr="006557B3">
        <w:rPr>
          <w:rFonts w:ascii="Times New Roman" w:hAnsi="Times New Roman"/>
          <w:color w:val="auto"/>
          <w:lang w:val="lv-LV"/>
        </w:rPr>
        <w:t>a prasību, t.i.</w:t>
      </w:r>
      <w:r w:rsidR="006F3F57">
        <w:rPr>
          <w:rFonts w:ascii="Times New Roman" w:hAnsi="Times New Roman"/>
          <w:color w:val="auto"/>
          <w:lang w:val="lv-LV"/>
        </w:rPr>
        <w:t>:</w:t>
      </w:r>
      <w:r w:rsidR="00872BB7" w:rsidRPr="006557B3">
        <w:rPr>
          <w:rFonts w:ascii="Times New Roman" w:hAnsi="Times New Roman"/>
          <w:color w:val="auto"/>
          <w:lang w:val="lv-LV"/>
        </w:rPr>
        <w:t xml:space="preserve"> </w:t>
      </w:r>
    </w:p>
    <w:p w14:paraId="20590CB9" w14:textId="19854836" w:rsidR="00872BB7" w:rsidRPr="006557B3" w:rsidRDefault="00872BB7" w:rsidP="00C05C12">
      <w:pPr>
        <w:pStyle w:val="default0"/>
        <w:tabs>
          <w:tab w:val="left" w:pos="8647"/>
        </w:tabs>
        <w:ind w:firstLine="709"/>
        <w:jc w:val="both"/>
        <w:rPr>
          <w:rFonts w:ascii="Times New Roman" w:hAnsi="Times New Roman"/>
          <w:color w:val="auto"/>
          <w:lang w:val="lv-LV"/>
        </w:rPr>
      </w:pPr>
      <w:r w:rsidRPr="006557B3">
        <w:rPr>
          <w:rFonts w:ascii="Times New Roman" w:hAnsi="Times New Roman"/>
          <w:color w:val="auto"/>
          <w:lang w:val="lv-LV"/>
        </w:rPr>
        <w:t>„Ievērojot uztura bagātinātāju īpatnības, lai atvieglotu šo produktu efektīvu uzraudzību, uzraugošajām organizācijām</w:t>
      </w:r>
      <w:r w:rsidR="006F3F57">
        <w:rPr>
          <w:rFonts w:ascii="Times New Roman" w:hAnsi="Times New Roman"/>
          <w:color w:val="auto"/>
          <w:lang w:val="lv-LV"/>
        </w:rPr>
        <w:t>,</w:t>
      </w:r>
      <w:r w:rsidRPr="006557B3">
        <w:rPr>
          <w:rFonts w:ascii="Times New Roman" w:hAnsi="Times New Roman"/>
          <w:color w:val="auto"/>
          <w:lang w:val="lv-LV"/>
        </w:rPr>
        <w:t xml:space="preserve"> būtu jābūt pieejamiem plašākiem līdzekļiem, nekā tas ir parasti”.</w:t>
      </w:r>
    </w:p>
    <w:p w14:paraId="1349EAB4" w14:textId="00AF16AA" w:rsidR="00872BB7" w:rsidRPr="006557B3" w:rsidRDefault="00A31600" w:rsidP="00C05C12">
      <w:pPr>
        <w:pStyle w:val="default0"/>
        <w:tabs>
          <w:tab w:val="left" w:pos="8647"/>
        </w:tabs>
        <w:jc w:val="both"/>
        <w:rPr>
          <w:rFonts w:ascii="Times New Roman" w:hAnsi="Times New Roman"/>
          <w:color w:val="auto"/>
          <w:lang w:val="lv-LV"/>
        </w:rPr>
      </w:pPr>
      <w:r w:rsidRPr="006557B3">
        <w:rPr>
          <w:rFonts w:ascii="Times New Roman" w:hAnsi="Times New Roman"/>
          <w:b/>
          <w:color w:val="auto"/>
          <w:lang w:val="lv-LV"/>
        </w:rPr>
        <w:t>LĀB i</w:t>
      </w:r>
      <w:r w:rsidR="00872BB7" w:rsidRPr="006557B3">
        <w:rPr>
          <w:rFonts w:ascii="Times New Roman" w:hAnsi="Times New Roman"/>
          <w:b/>
          <w:color w:val="auto"/>
          <w:lang w:val="lv-LV"/>
        </w:rPr>
        <w:t>erosina</w:t>
      </w:r>
      <w:r w:rsidR="00872BB7" w:rsidRPr="006557B3">
        <w:rPr>
          <w:rFonts w:ascii="Times New Roman" w:hAnsi="Times New Roman"/>
          <w:color w:val="auto"/>
          <w:lang w:val="lv-LV"/>
        </w:rPr>
        <w:t>:</w:t>
      </w:r>
    </w:p>
    <w:p w14:paraId="15BDB889" w14:textId="580516A1" w:rsidR="00872BB7" w:rsidRPr="006557B3" w:rsidRDefault="00872BB7" w:rsidP="00C05C12">
      <w:pPr>
        <w:pStyle w:val="default0"/>
        <w:numPr>
          <w:ilvl w:val="0"/>
          <w:numId w:val="27"/>
        </w:numPr>
        <w:tabs>
          <w:tab w:val="left" w:pos="8647"/>
        </w:tabs>
        <w:jc w:val="both"/>
        <w:rPr>
          <w:rFonts w:ascii="Times New Roman" w:hAnsi="Times New Roman"/>
          <w:color w:val="auto"/>
          <w:lang w:val="lv-LV"/>
        </w:rPr>
      </w:pPr>
      <w:r w:rsidRPr="006557B3">
        <w:rPr>
          <w:rFonts w:ascii="Times New Roman" w:hAnsi="Times New Roman"/>
          <w:color w:val="auto"/>
          <w:lang w:val="lv-LV"/>
        </w:rPr>
        <w:t>veikt pētījumu par uztura bagātinātājiem Latvijā, to lietošanas vai izvēles pamatojumiem;</w:t>
      </w:r>
    </w:p>
    <w:p w14:paraId="2A5D1BA4" w14:textId="6097B611" w:rsidR="00872BB7" w:rsidRPr="006557B3" w:rsidRDefault="00872BB7" w:rsidP="00C05C12">
      <w:pPr>
        <w:pStyle w:val="default0"/>
        <w:numPr>
          <w:ilvl w:val="0"/>
          <w:numId w:val="27"/>
        </w:numPr>
        <w:tabs>
          <w:tab w:val="left" w:pos="8647"/>
        </w:tabs>
        <w:jc w:val="both"/>
        <w:rPr>
          <w:rFonts w:ascii="Times New Roman" w:hAnsi="Times New Roman"/>
          <w:lang w:val="lv-LV"/>
        </w:rPr>
      </w:pPr>
      <w:r w:rsidRPr="006557B3">
        <w:rPr>
          <w:rFonts w:ascii="Times New Roman" w:hAnsi="Times New Roman"/>
          <w:lang w:val="lv-LV"/>
        </w:rPr>
        <w:t>vērst uzmanību uz nepieciešamību ierobežot uztura bagātinātāju reklāmu, īpaši bērniem</w:t>
      </w:r>
      <w:r w:rsidR="001F7031">
        <w:rPr>
          <w:rFonts w:ascii="Times New Roman" w:hAnsi="Times New Roman"/>
          <w:lang w:val="lv-LV"/>
        </w:rPr>
        <w:t>;</w:t>
      </w:r>
    </w:p>
    <w:p w14:paraId="50FA1B13" w14:textId="5D3C687E" w:rsidR="00872BB7" w:rsidRPr="006557B3" w:rsidRDefault="00A31600" w:rsidP="00C05C12">
      <w:pPr>
        <w:pStyle w:val="Sarakstarindkopa"/>
        <w:numPr>
          <w:ilvl w:val="0"/>
          <w:numId w:val="27"/>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izdarīt</w:t>
      </w:r>
      <w:r w:rsidR="00872BB7" w:rsidRPr="006557B3">
        <w:rPr>
          <w:rFonts w:ascii="Times New Roman" w:hAnsi="Times New Roman"/>
          <w:sz w:val="24"/>
          <w:szCs w:val="24"/>
          <w:lang w:val="lv-LV"/>
        </w:rPr>
        <w:t xml:space="preserve"> grozījumus Ministru kabineta 2015.</w:t>
      </w:r>
      <w:r w:rsidR="001F7031">
        <w:rPr>
          <w:rFonts w:ascii="Times New Roman" w:hAnsi="Times New Roman"/>
          <w:sz w:val="24"/>
          <w:szCs w:val="24"/>
          <w:lang w:val="lv-LV"/>
        </w:rPr>
        <w:t xml:space="preserve"> </w:t>
      </w:r>
      <w:r w:rsidR="00872BB7" w:rsidRPr="006557B3">
        <w:rPr>
          <w:rFonts w:ascii="Times New Roman" w:hAnsi="Times New Roman"/>
          <w:sz w:val="24"/>
          <w:szCs w:val="24"/>
          <w:lang w:val="lv-LV"/>
        </w:rPr>
        <w:t>gada 1.</w:t>
      </w:r>
      <w:r w:rsidR="001F7031">
        <w:rPr>
          <w:rFonts w:ascii="Times New Roman" w:hAnsi="Times New Roman"/>
          <w:sz w:val="24"/>
          <w:szCs w:val="24"/>
          <w:lang w:val="lv-LV"/>
        </w:rPr>
        <w:t xml:space="preserve"> </w:t>
      </w:r>
      <w:r w:rsidR="00872BB7" w:rsidRPr="006557B3">
        <w:rPr>
          <w:rFonts w:ascii="Times New Roman" w:hAnsi="Times New Roman"/>
          <w:sz w:val="24"/>
          <w:szCs w:val="24"/>
          <w:lang w:val="lv-LV"/>
        </w:rPr>
        <w:t xml:space="preserve">decembra noteikumos „Prasības uztura bagātinātājiem”, </w:t>
      </w:r>
      <w:r w:rsidRPr="006557B3">
        <w:rPr>
          <w:rFonts w:ascii="Times New Roman" w:hAnsi="Times New Roman"/>
          <w:sz w:val="24"/>
          <w:szCs w:val="24"/>
          <w:lang w:val="lv-LV"/>
        </w:rPr>
        <w:t xml:space="preserve">paredzot </w:t>
      </w:r>
      <w:r w:rsidR="00872BB7" w:rsidRPr="006557B3">
        <w:rPr>
          <w:rFonts w:ascii="Times New Roman" w:hAnsi="Times New Roman"/>
          <w:sz w:val="24"/>
          <w:szCs w:val="24"/>
          <w:lang w:val="lv-LV"/>
        </w:rPr>
        <w:t>skaidrāk</w:t>
      </w:r>
      <w:r w:rsidRPr="006557B3">
        <w:rPr>
          <w:rFonts w:ascii="Times New Roman" w:hAnsi="Times New Roman"/>
          <w:sz w:val="24"/>
          <w:szCs w:val="24"/>
          <w:lang w:val="lv-LV"/>
        </w:rPr>
        <w:t>us</w:t>
      </w:r>
      <w:r w:rsidR="00872BB7" w:rsidRPr="006557B3">
        <w:rPr>
          <w:rFonts w:ascii="Times New Roman" w:hAnsi="Times New Roman"/>
          <w:sz w:val="24"/>
          <w:szCs w:val="24"/>
          <w:lang w:val="lv-LV"/>
        </w:rPr>
        <w:t xml:space="preserve"> nosacījumus uztura bagātinātāju reklāmai.</w:t>
      </w:r>
    </w:p>
    <w:p w14:paraId="25ED8018" w14:textId="09B62452" w:rsidR="00872BB7" w:rsidRPr="006557B3" w:rsidRDefault="00872BB7"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color w:val="000000" w:themeColor="text1"/>
          <w:sz w:val="24"/>
          <w:szCs w:val="24"/>
          <w:lang w:val="lv-LV"/>
        </w:rPr>
        <w:t>LĀB uzskata, ka nepieciešams ierobežot uztura bagātinātāju reklāmu mazāk aizsargātajām iedzīvotāju grupām, īpaši bērniem, aizliedzot izmantot bērnus uztura bagātinātāju reklāmās un adresēt uztura bagātinātāju reklāmas bērniem, kā arī uztura bagātinātāju reklāmās</w:t>
      </w:r>
      <w:r w:rsidR="00A31600" w:rsidRPr="006557B3">
        <w:rPr>
          <w:rFonts w:ascii="Times New Roman" w:hAnsi="Times New Roman" w:cs="Times New Roman"/>
          <w:color w:val="000000" w:themeColor="text1"/>
          <w:sz w:val="24"/>
          <w:szCs w:val="24"/>
          <w:lang w:val="lv-LV"/>
        </w:rPr>
        <w:t xml:space="preserve"> (</w:t>
      </w:r>
      <w:r w:rsidRPr="006557B3">
        <w:rPr>
          <w:rFonts w:ascii="Times New Roman" w:hAnsi="Times New Roman" w:cs="Times New Roman"/>
          <w:color w:val="000000" w:themeColor="text1"/>
          <w:sz w:val="24"/>
          <w:szCs w:val="24"/>
          <w:lang w:val="lv-LV"/>
        </w:rPr>
        <w:t>marķējumā</w:t>
      </w:r>
      <w:r w:rsidR="00A31600" w:rsidRPr="006557B3">
        <w:rPr>
          <w:rFonts w:ascii="Times New Roman" w:hAnsi="Times New Roman" w:cs="Times New Roman"/>
          <w:color w:val="000000" w:themeColor="text1"/>
          <w:sz w:val="24"/>
          <w:szCs w:val="24"/>
          <w:lang w:val="lv-LV"/>
        </w:rPr>
        <w:t>)</w:t>
      </w:r>
      <w:r w:rsidRPr="006557B3">
        <w:rPr>
          <w:rFonts w:ascii="Times New Roman" w:hAnsi="Times New Roman" w:cs="Times New Roman"/>
          <w:color w:val="000000" w:themeColor="text1"/>
          <w:sz w:val="24"/>
          <w:szCs w:val="24"/>
          <w:lang w:val="lv-LV"/>
        </w:rPr>
        <w:t xml:space="preserve"> </w:t>
      </w:r>
      <w:r w:rsidR="00A31600" w:rsidRPr="006557B3">
        <w:rPr>
          <w:rFonts w:ascii="Times New Roman" w:hAnsi="Times New Roman" w:cs="Times New Roman"/>
          <w:color w:val="000000" w:themeColor="text1"/>
          <w:sz w:val="24"/>
          <w:szCs w:val="24"/>
          <w:lang w:val="lv-LV"/>
        </w:rPr>
        <w:t xml:space="preserve">papildus </w:t>
      </w:r>
      <w:r w:rsidRPr="006557B3">
        <w:rPr>
          <w:rFonts w:ascii="Times New Roman" w:hAnsi="Times New Roman" w:cs="Times New Roman"/>
          <w:color w:val="000000" w:themeColor="text1"/>
          <w:sz w:val="24"/>
          <w:szCs w:val="24"/>
          <w:lang w:val="lv-LV"/>
        </w:rPr>
        <w:t xml:space="preserve">norādīt, ka tie nav ārstniecības līdzekļi. </w:t>
      </w:r>
    </w:p>
    <w:p w14:paraId="2357EA8B" w14:textId="359871B3" w:rsidR="00872BB7" w:rsidRPr="006557B3" w:rsidRDefault="00872BB7" w:rsidP="00C05C12">
      <w:pPr>
        <w:tabs>
          <w:tab w:val="left" w:pos="8647"/>
        </w:tabs>
        <w:spacing w:after="0" w:line="240" w:lineRule="auto"/>
        <w:ind w:firstLine="709"/>
        <w:jc w:val="both"/>
        <w:rPr>
          <w:rFonts w:ascii="Times New Roman" w:hAnsi="Times New Roman" w:cs="Times New Roman"/>
          <w:color w:val="000000" w:themeColor="text1"/>
          <w:sz w:val="24"/>
          <w:szCs w:val="24"/>
          <w:lang w:val="lv-LV"/>
        </w:rPr>
      </w:pPr>
      <w:r w:rsidRPr="006557B3">
        <w:rPr>
          <w:rFonts w:ascii="Times New Roman" w:hAnsi="Times New Roman" w:cs="Times New Roman"/>
          <w:color w:val="000000" w:themeColor="text1"/>
          <w:sz w:val="24"/>
          <w:szCs w:val="24"/>
          <w:lang w:val="lv-LV"/>
        </w:rPr>
        <w:t>LĀB ir konstatējusi, ka interneta piedāvājumos ir saites, kas novirza patērētāju uz sadaļu „uztura bagātinātāji”</w:t>
      </w:r>
      <w:r w:rsidR="00A31600" w:rsidRPr="006557B3">
        <w:rPr>
          <w:rFonts w:ascii="Times New Roman" w:hAnsi="Times New Roman" w:cs="Times New Roman"/>
          <w:color w:val="000000" w:themeColor="text1"/>
          <w:sz w:val="24"/>
          <w:szCs w:val="24"/>
          <w:lang w:val="lv-LV"/>
        </w:rPr>
        <w:t xml:space="preserve">, un tajā atrodami </w:t>
      </w:r>
      <w:r w:rsidRPr="006557B3">
        <w:rPr>
          <w:rFonts w:ascii="Times New Roman" w:hAnsi="Times New Roman" w:cs="Times New Roman"/>
          <w:color w:val="000000" w:themeColor="text1"/>
          <w:sz w:val="24"/>
          <w:szCs w:val="24"/>
          <w:lang w:val="lv-LV"/>
        </w:rPr>
        <w:t xml:space="preserve">ir visi iespējamie slimību nosaukumi, </w:t>
      </w:r>
      <w:r w:rsidR="00A31600" w:rsidRPr="006557B3">
        <w:rPr>
          <w:rFonts w:ascii="Times New Roman" w:hAnsi="Times New Roman" w:cs="Times New Roman"/>
          <w:color w:val="000000" w:themeColor="text1"/>
          <w:sz w:val="24"/>
          <w:szCs w:val="24"/>
          <w:lang w:val="lv-LV"/>
        </w:rPr>
        <w:t>bet t</w:t>
      </w:r>
      <w:r w:rsidRPr="006557B3">
        <w:rPr>
          <w:rFonts w:ascii="Times New Roman" w:hAnsi="Times New Roman" w:cs="Times New Roman"/>
          <w:color w:val="000000" w:themeColor="text1"/>
          <w:sz w:val="24"/>
          <w:szCs w:val="24"/>
          <w:lang w:val="lv-LV"/>
        </w:rPr>
        <w:t xml:space="preserve">as rada </w:t>
      </w:r>
      <w:r w:rsidR="00A31600" w:rsidRPr="006557B3">
        <w:rPr>
          <w:rFonts w:ascii="Times New Roman" w:hAnsi="Times New Roman" w:cs="Times New Roman"/>
          <w:color w:val="000000" w:themeColor="text1"/>
          <w:sz w:val="24"/>
          <w:szCs w:val="24"/>
          <w:lang w:val="lv-LV"/>
        </w:rPr>
        <w:t>priekšstatu</w:t>
      </w:r>
      <w:r w:rsidRPr="006557B3">
        <w:rPr>
          <w:rFonts w:ascii="Times New Roman" w:hAnsi="Times New Roman" w:cs="Times New Roman"/>
          <w:color w:val="000000" w:themeColor="text1"/>
          <w:sz w:val="24"/>
          <w:szCs w:val="24"/>
          <w:lang w:val="lv-LV"/>
        </w:rPr>
        <w:t xml:space="preserve">, ka uztura bagātinātāji ir zāles. Bieži </w:t>
      </w:r>
      <w:r w:rsidR="00A31600" w:rsidRPr="006557B3">
        <w:rPr>
          <w:rFonts w:ascii="Times New Roman" w:hAnsi="Times New Roman" w:cs="Times New Roman"/>
          <w:color w:val="000000" w:themeColor="text1"/>
          <w:sz w:val="24"/>
          <w:szCs w:val="24"/>
          <w:lang w:val="lv-LV"/>
        </w:rPr>
        <w:t xml:space="preserve">vien </w:t>
      </w:r>
      <w:r w:rsidR="00A31600" w:rsidRPr="006557B3">
        <w:rPr>
          <w:rFonts w:ascii="Times New Roman" w:hAnsi="Times New Roman" w:cs="Times New Roman"/>
          <w:sz w:val="24"/>
          <w:szCs w:val="24"/>
          <w:lang w:val="lv-LV"/>
        </w:rPr>
        <w:t>tīmekļa</w:t>
      </w:r>
      <w:r w:rsidRPr="006557B3">
        <w:rPr>
          <w:rFonts w:ascii="Times New Roman" w:hAnsi="Times New Roman" w:cs="Times New Roman"/>
          <w:color w:val="000000" w:themeColor="text1"/>
          <w:sz w:val="24"/>
          <w:szCs w:val="24"/>
          <w:lang w:val="lv-LV"/>
        </w:rPr>
        <w:t xml:space="preserve"> saitēs tiek norādīta konkrēta slimības diagnoze</w:t>
      </w:r>
      <w:r w:rsidR="00A31600" w:rsidRPr="006557B3">
        <w:rPr>
          <w:rFonts w:ascii="Times New Roman" w:hAnsi="Times New Roman" w:cs="Times New Roman"/>
          <w:color w:val="000000" w:themeColor="text1"/>
          <w:sz w:val="24"/>
          <w:szCs w:val="24"/>
          <w:lang w:val="lv-LV"/>
        </w:rPr>
        <w:t xml:space="preserve">, kā arī </w:t>
      </w:r>
      <w:r w:rsidRPr="006557B3">
        <w:rPr>
          <w:rFonts w:ascii="Times New Roman" w:hAnsi="Times New Roman" w:cs="Times New Roman"/>
          <w:color w:val="000000" w:themeColor="text1"/>
          <w:sz w:val="24"/>
          <w:szCs w:val="24"/>
          <w:lang w:val="lv-LV"/>
        </w:rPr>
        <w:t xml:space="preserve">atsauce gan uz bezrecepšu zālēm, gan uz uztura bagātinātāju, ko var pievienot pirkuma grozam. Uztura bagātinātāji līdzīgi tiek reklamēti audio </w:t>
      </w:r>
      <w:r w:rsidR="00A31600" w:rsidRPr="006557B3">
        <w:rPr>
          <w:rFonts w:ascii="Times New Roman" w:hAnsi="Times New Roman" w:cs="Times New Roman"/>
          <w:color w:val="000000" w:themeColor="text1"/>
          <w:sz w:val="24"/>
          <w:szCs w:val="24"/>
          <w:lang w:val="lv-LV"/>
        </w:rPr>
        <w:t xml:space="preserve">un </w:t>
      </w:r>
      <w:r w:rsidRPr="006557B3">
        <w:rPr>
          <w:rFonts w:ascii="Times New Roman" w:hAnsi="Times New Roman" w:cs="Times New Roman"/>
          <w:color w:val="000000" w:themeColor="text1"/>
          <w:sz w:val="24"/>
          <w:szCs w:val="24"/>
          <w:lang w:val="lv-LV"/>
        </w:rPr>
        <w:t xml:space="preserve">vizuālajos medijos, drukātajā presē. </w:t>
      </w:r>
    </w:p>
    <w:p w14:paraId="5A567836" w14:textId="77777777" w:rsidR="00AA4559" w:rsidRPr="006557B3" w:rsidRDefault="00AA4559" w:rsidP="00C05C12">
      <w:pPr>
        <w:tabs>
          <w:tab w:val="left" w:pos="8647"/>
        </w:tabs>
        <w:spacing w:after="0" w:line="240" w:lineRule="auto"/>
        <w:ind w:firstLine="709"/>
        <w:jc w:val="both"/>
        <w:rPr>
          <w:rFonts w:ascii="Times New Roman" w:hAnsi="Times New Roman" w:cs="Times New Roman"/>
          <w:color w:val="000000" w:themeColor="text1"/>
          <w:sz w:val="24"/>
          <w:szCs w:val="24"/>
          <w:lang w:val="lv-LV"/>
        </w:rPr>
      </w:pPr>
    </w:p>
    <w:p w14:paraId="30384FDA" w14:textId="39C83727" w:rsidR="00872BB7" w:rsidRPr="006557B3" w:rsidRDefault="00E8503F" w:rsidP="009C1BE4">
      <w:pPr>
        <w:pStyle w:val="Sarakstarindkopa"/>
        <w:keepNext/>
        <w:tabs>
          <w:tab w:val="left" w:pos="8647"/>
        </w:tabs>
        <w:spacing w:after="0" w:line="240" w:lineRule="auto"/>
        <w:ind w:left="0"/>
        <w:jc w:val="both"/>
        <w:rPr>
          <w:rFonts w:ascii="Times New Roman" w:hAnsi="Times New Roman"/>
          <w:b/>
          <w:sz w:val="24"/>
          <w:szCs w:val="24"/>
          <w:lang w:val="lv-LV"/>
        </w:rPr>
      </w:pPr>
      <w:r w:rsidRPr="006557B3">
        <w:rPr>
          <w:rFonts w:ascii="Times New Roman" w:hAnsi="Times New Roman"/>
          <w:b/>
          <w:color w:val="000000"/>
          <w:sz w:val="24"/>
          <w:szCs w:val="24"/>
          <w:lang w:val="lv-LV"/>
        </w:rPr>
        <w:t xml:space="preserve">5.2. </w:t>
      </w:r>
      <w:r w:rsidR="00872BB7" w:rsidRPr="006557B3">
        <w:rPr>
          <w:rFonts w:ascii="Times New Roman" w:hAnsi="Times New Roman"/>
          <w:b/>
          <w:color w:val="000000"/>
          <w:sz w:val="24"/>
          <w:szCs w:val="24"/>
          <w:lang w:val="lv-LV"/>
        </w:rPr>
        <w:t>Starptautisko inovatīvo farmaceitisko firmu asociācija (turpmāk –SIFFA) un Latvijas Patentbrīvo medikamentu asociācija (turpmāk –</w:t>
      </w:r>
      <w:r w:rsidR="00872BB7" w:rsidRPr="006557B3">
        <w:rPr>
          <w:rFonts w:ascii="Times New Roman" w:hAnsi="Times New Roman"/>
          <w:b/>
          <w:sz w:val="24"/>
          <w:szCs w:val="24"/>
          <w:lang w:val="lv-LV"/>
        </w:rPr>
        <w:t xml:space="preserve"> LPMA</w:t>
      </w:r>
      <w:r w:rsidR="00872BB7" w:rsidRPr="006557B3">
        <w:rPr>
          <w:rFonts w:ascii="Times New Roman" w:hAnsi="Times New Roman"/>
          <w:b/>
          <w:color w:val="000000" w:themeColor="text1"/>
          <w:sz w:val="24"/>
          <w:szCs w:val="24"/>
          <w:lang w:val="lv-LV"/>
        </w:rPr>
        <w:t>).</w:t>
      </w:r>
    </w:p>
    <w:p w14:paraId="7B5C2AD8" w14:textId="344EB898" w:rsidR="00872BB7" w:rsidRPr="006557B3" w:rsidRDefault="004C6A0B" w:rsidP="009C1BE4">
      <w:pPr>
        <w:keepNext/>
        <w:tabs>
          <w:tab w:val="left" w:pos="8647"/>
        </w:tabs>
        <w:spacing w:after="0" w:line="240" w:lineRule="auto"/>
        <w:jc w:val="both"/>
        <w:rPr>
          <w:rFonts w:ascii="Times New Roman" w:hAnsi="Times New Roman" w:cs="Times New Roman"/>
          <w:color w:val="000000"/>
          <w:sz w:val="24"/>
          <w:szCs w:val="24"/>
          <w:lang w:val="lv-LV"/>
        </w:rPr>
      </w:pPr>
      <w:r w:rsidRPr="006557B3">
        <w:rPr>
          <w:rFonts w:ascii="Times New Roman" w:hAnsi="Times New Roman" w:cs="Times New Roman"/>
          <w:b/>
          <w:color w:val="000000"/>
          <w:sz w:val="24"/>
          <w:szCs w:val="24"/>
          <w:lang w:val="lv-LV"/>
        </w:rPr>
        <w:t xml:space="preserve">SIFFA un </w:t>
      </w:r>
      <w:r w:rsidRPr="006557B3">
        <w:rPr>
          <w:rFonts w:ascii="Times New Roman" w:hAnsi="Times New Roman" w:cs="Times New Roman"/>
          <w:b/>
          <w:sz w:val="24"/>
          <w:szCs w:val="24"/>
          <w:lang w:val="lv-LV"/>
        </w:rPr>
        <w:t>LPMA</w:t>
      </w:r>
      <w:r w:rsidRPr="006557B3">
        <w:rPr>
          <w:rFonts w:ascii="Times New Roman" w:hAnsi="Times New Roman" w:cs="Times New Roman"/>
          <w:b/>
          <w:color w:val="000000"/>
          <w:sz w:val="24"/>
          <w:szCs w:val="24"/>
          <w:lang w:val="lv-LV"/>
        </w:rPr>
        <w:t xml:space="preserve"> a</w:t>
      </w:r>
      <w:r w:rsidR="00872BB7" w:rsidRPr="006557B3">
        <w:rPr>
          <w:rFonts w:ascii="Times New Roman" w:hAnsi="Times New Roman" w:cs="Times New Roman"/>
          <w:b/>
          <w:color w:val="000000"/>
          <w:sz w:val="24"/>
          <w:szCs w:val="24"/>
          <w:lang w:val="lv-LV"/>
        </w:rPr>
        <w:t>tbalsta</w:t>
      </w:r>
      <w:r w:rsidR="00872BB7" w:rsidRPr="006557B3">
        <w:rPr>
          <w:rFonts w:ascii="Times New Roman" w:hAnsi="Times New Roman" w:cs="Times New Roman"/>
          <w:color w:val="000000"/>
          <w:sz w:val="24"/>
          <w:szCs w:val="24"/>
          <w:lang w:val="lv-LV"/>
        </w:rPr>
        <w:t>:</w:t>
      </w:r>
    </w:p>
    <w:p w14:paraId="19E499B5" w14:textId="08791590" w:rsidR="00872BB7" w:rsidRPr="006557B3" w:rsidRDefault="00351453" w:rsidP="009C4F12">
      <w:pPr>
        <w:tabs>
          <w:tab w:val="left" w:pos="8647"/>
        </w:tabs>
        <w:spacing w:after="0" w:line="240" w:lineRule="auto"/>
        <w:ind w:left="1429" w:hanging="357"/>
        <w:jc w:val="both"/>
        <w:rPr>
          <w:rFonts w:ascii="Times New Roman" w:hAnsi="Times New Roman" w:cs="Times New Roman"/>
          <w:color w:val="000000" w:themeColor="text1"/>
          <w:sz w:val="24"/>
          <w:szCs w:val="24"/>
          <w:lang w:val="lv-LV"/>
        </w:rPr>
      </w:pPr>
      <w:r w:rsidRPr="006557B3">
        <w:rPr>
          <w:rFonts w:ascii="Times New Roman" w:hAnsi="Times New Roman" w:cs="Times New Roman"/>
          <w:color w:val="000000" w:themeColor="text1"/>
          <w:sz w:val="24"/>
          <w:szCs w:val="24"/>
          <w:lang w:val="lv-LV"/>
        </w:rPr>
        <w:t xml:space="preserve">a) </w:t>
      </w:r>
      <w:r w:rsidR="00872BB7" w:rsidRPr="006557B3">
        <w:rPr>
          <w:rFonts w:ascii="Times New Roman" w:hAnsi="Times New Roman" w:cs="Times New Roman"/>
          <w:color w:val="000000" w:themeColor="text1"/>
          <w:sz w:val="24"/>
          <w:szCs w:val="24"/>
          <w:lang w:val="lv-LV"/>
        </w:rPr>
        <w:t>p</w:t>
      </w:r>
      <w:r w:rsidR="00872BB7" w:rsidRPr="006557B3">
        <w:rPr>
          <w:rFonts w:ascii="Times New Roman" w:hAnsi="Times New Roman" w:cs="Times New Roman"/>
          <w:sz w:val="24"/>
          <w:szCs w:val="24"/>
          <w:lang w:val="lv-LV"/>
        </w:rPr>
        <w:t>atērētāju veselības drošības nolūk</w:t>
      </w:r>
      <w:r w:rsidR="00A31600" w:rsidRPr="006557B3">
        <w:rPr>
          <w:rFonts w:ascii="Times New Roman" w:hAnsi="Times New Roman" w:cs="Times New Roman"/>
          <w:sz w:val="24"/>
          <w:szCs w:val="24"/>
          <w:lang w:val="lv-LV"/>
        </w:rPr>
        <w:t>ā</w:t>
      </w:r>
      <w:r w:rsidR="00872BB7" w:rsidRPr="006557B3">
        <w:rPr>
          <w:rFonts w:ascii="Times New Roman" w:hAnsi="Times New Roman" w:cs="Times New Roman"/>
          <w:sz w:val="24"/>
          <w:szCs w:val="24"/>
          <w:lang w:val="lv-LV"/>
        </w:rPr>
        <w:t xml:space="preserve"> </w:t>
      </w:r>
      <w:r w:rsidR="00872BB7" w:rsidRPr="006557B3">
        <w:rPr>
          <w:rFonts w:ascii="Times New Roman" w:hAnsi="Times New Roman" w:cs="Times New Roman"/>
          <w:color w:val="000000" w:themeColor="text1"/>
          <w:sz w:val="24"/>
          <w:szCs w:val="24"/>
          <w:lang w:val="lv-LV"/>
        </w:rPr>
        <w:t xml:space="preserve">pastiprināt kontroli uztura bagātinātāju reģistrācijas posmā, kā arī jau pārtikas apritē esošajiem uztura bagātinātājiem. Nodrošināt </w:t>
      </w:r>
      <w:r w:rsidR="00A31600" w:rsidRPr="006557B3">
        <w:rPr>
          <w:rFonts w:ascii="Times New Roman" w:hAnsi="Times New Roman" w:cs="Times New Roman"/>
          <w:color w:val="000000" w:themeColor="text1"/>
          <w:sz w:val="24"/>
          <w:szCs w:val="24"/>
          <w:lang w:val="lv-LV"/>
        </w:rPr>
        <w:t xml:space="preserve">PVD </w:t>
      </w:r>
      <w:r w:rsidR="00872BB7" w:rsidRPr="006557B3">
        <w:rPr>
          <w:rFonts w:ascii="Times New Roman" w:hAnsi="Times New Roman" w:cs="Times New Roman"/>
          <w:color w:val="000000" w:themeColor="text1"/>
          <w:sz w:val="24"/>
          <w:szCs w:val="24"/>
          <w:lang w:val="lv-LV"/>
        </w:rPr>
        <w:t>ar pietiekamiem finan</w:t>
      </w:r>
      <w:r w:rsidR="00881346" w:rsidRPr="006557B3">
        <w:rPr>
          <w:rFonts w:ascii="Times New Roman" w:hAnsi="Times New Roman" w:cs="Times New Roman"/>
          <w:color w:val="000000" w:themeColor="text1"/>
          <w:sz w:val="24"/>
          <w:szCs w:val="24"/>
          <w:lang w:val="lv-LV"/>
        </w:rPr>
        <w:t>šu</w:t>
      </w:r>
      <w:r w:rsidR="00872BB7" w:rsidRPr="006557B3">
        <w:rPr>
          <w:rFonts w:ascii="Times New Roman" w:hAnsi="Times New Roman" w:cs="Times New Roman"/>
          <w:color w:val="000000" w:themeColor="text1"/>
          <w:sz w:val="24"/>
          <w:szCs w:val="24"/>
          <w:lang w:val="lv-LV"/>
        </w:rPr>
        <w:t xml:space="preserve"> </w:t>
      </w:r>
      <w:r w:rsidR="00881346" w:rsidRPr="006557B3">
        <w:rPr>
          <w:rFonts w:ascii="Times New Roman" w:hAnsi="Times New Roman" w:cs="Times New Roman"/>
          <w:color w:val="000000" w:themeColor="text1"/>
          <w:sz w:val="24"/>
          <w:szCs w:val="24"/>
          <w:lang w:val="lv-LV"/>
        </w:rPr>
        <w:t xml:space="preserve">līdzekļiem </w:t>
      </w:r>
      <w:r w:rsidR="00872BB7" w:rsidRPr="006557B3">
        <w:rPr>
          <w:rFonts w:ascii="Times New Roman" w:hAnsi="Times New Roman" w:cs="Times New Roman"/>
          <w:color w:val="000000" w:themeColor="text1"/>
          <w:sz w:val="24"/>
          <w:szCs w:val="24"/>
          <w:lang w:val="lv-LV"/>
        </w:rPr>
        <w:t>šīs funkcijas veikšanai;</w:t>
      </w:r>
    </w:p>
    <w:p w14:paraId="71E96455" w14:textId="0B01E290" w:rsidR="00872BB7" w:rsidRPr="006557B3" w:rsidRDefault="00351453" w:rsidP="009C4F12">
      <w:pPr>
        <w:tabs>
          <w:tab w:val="left" w:pos="8647"/>
        </w:tabs>
        <w:spacing w:after="0" w:line="240" w:lineRule="auto"/>
        <w:ind w:left="1429" w:hanging="357"/>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b) </w:t>
      </w:r>
      <w:r w:rsidR="00872BB7" w:rsidRPr="006557B3">
        <w:rPr>
          <w:rFonts w:ascii="Times New Roman" w:hAnsi="Times New Roman" w:cs="Times New Roman"/>
          <w:sz w:val="24"/>
          <w:szCs w:val="24"/>
          <w:lang w:val="lv-LV"/>
        </w:rPr>
        <w:t>sabiedrības informēšanas pasākumus (ne tikai bukletu izdošanu), lai veicinātu informētības un izpratnes līmenī par uztura bagātinātājiem un skaidrotu atšķirības ar bezrecepšu zālēm. Patērētājam ir tiesības zināt</w:t>
      </w:r>
      <w:r w:rsidR="00881346" w:rsidRPr="006557B3">
        <w:rPr>
          <w:rFonts w:ascii="Times New Roman" w:hAnsi="Times New Roman" w:cs="Times New Roman"/>
          <w:sz w:val="24"/>
          <w:szCs w:val="24"/>
          <w:lang w:val="lv-LV"/>
        </w:rPr>
        <w:t>,</w:t>
      </w:r>
      <w:r w:rsidR="00872BB7" w:rsidRPr="006557B3">
        <w:rPr>
          <w:rFonts w:ascii="Times New Roman" w:hAnsi="Times New Roman" w:cs="Times New Roman"/>
          <w:sz w:val="24"/>
          <w:szCs w:val="24"/>
          <w:lang w:val="lv-LV"/>
        </w:rPr>
        <w:t xml:space="preserve"> k</w:t>
      </w:r>
      <w:r w:rsidR="00881346" w:rsidRPr="006557B3">
        <w:rPr>
          <w:rFonts w:ascii="Times New Roman" w:hAnsi="Times New Roman" w:cs="Times New Roman"/>
          <w:sz w:val="24"/>
          <w:szCs w:val="24"/>
          <w:lang w:val="lv-LV"/>
        </w:rPr>
        <w:t>ur</w:t>
      </w:r>
      <w:r w:rsidR="00872BB7" w:rsidRPr="006557B3">
        <w:rPr>
          <w:rFonts w:ascii="Times New Roman" w:hAnsi="Times New Roman" w:cs="Times New Roman"/>
          <w:sz w:val="24"/>
          <w:szCs w:val="24"/>
          <w:lang w:val="lv-LV"/>
        </w:rPr>
        <w:t xml:space="preserve">os gadījumos uztura bagātinātāji </w:t>
      </w:r>
      <w:r w:rsidR="00881346" w:rsidRPr="006557B3">
        <w:rPr>
          <w:rFonts w:ascii="Times New Roman" w:hAnsi="Times New Roman" w:cs="Times New Roman"/>
          <w:sz w:val="24"/>
          <w:szCs w:val="24"/>
          <w:lang w:val="lv-LV"/>
        </w:rPr>
        <w:t>būtu jālieto un kuros – ne</w:t>
      </w:r>
      <w:r w:rsidR="00A31600" w:rsidRPr="006557B3">
        <w:rPr>
          <w:rFonts w:ascii="Times New Roman" w:hAnsi="Times New Roman" w:cs="Times New Roman"/>
          <w:sz w:val="24"/>
          <w:szCs w:val="24"/>
          <w:lang w:val="lv-LV"/>
        </w:rPr>
        <w:t>.</w:t>
      </w:r>
      <w:r w:rsidR="00872BB7" w:rsidRPr="006557B3">
        <w:rPr>
          <w:rFonts w:ascii="Times New Roman" w:hAnsi="Times New Roman" w:cs="Times New Roman"/>
          <w:sz w:val="24"/>
          <w:szCs w:val="24"/>
          <w:lang w:val="lv-LV"/>
        </w:rPr>
        <w:t xml:space="preserve"> </w:t>
      </w:r>
    </w:p>
    <w:p w14:paraId="21BAF7D5" w14:textId="12925D6E" w:rsidR="00872BB7" w:rsidRPr="006557B3" w:rsidRDefault="004C6A0B" w:rsidP="00C05C12">
      <w:pPr>
        <w:pStyle w:val="Pamattekstsaratkpi"/>
        <w:tabs>
          <w:tab w:val="left" w:pos="8647"/>
        </w:tabs>
        <w:spacing w:after="0" w:line="240" w:lineRule="auto"/>
        <w:ind w:left="0"/>
        <w:jc w:val="both"/>
        <w:rPr>
          <w:rFonts w:ascii="Times New Roman" w:hAnsi="Times New Roman" w:cs="Times New Roman"/>
          <w:b/>
          <w:sz w:val="24"/>
          <w:szCs w:val="24"/>
          <w:lang w:val="lv-LV"/>
        </w:rPr>
      </w:pPr>
      <w:r w:rsidRPr="006557B3">
        <w:rPr>
          <w:rFonts w:ascii="Times New Roman" w:hAnsi="Times New Roman" w:cs="Times New Roman"/>
          <w:b/>
          <w:color w:val="000000"/>
          <w:sz w:val="24"/>
          <w:szCs w:val="24"/>
          <w:lang w:val="lv-LV"/>
        </w:rPr>
        <w:t xml:space="preserve">SIFFA un </w:t>
      </w:r>
      <w:r w:rsidRPr="006557B3">
        <w:rPr>
          <w:rFonts w:ascii="Times New Roman" w:hAnsi="Times New Roman" w:cs="Times New Roman"/>
          <w:b/>
          <w:sz w:val="24"/>
          <w:szCs w:val="24"/>
          <w:lang w:val="lv-LV"/>
        </w:rPr>
        <w:t>LPMA i</w:t>
      </w:r>
      <w:r w:rsidR="00872BB7" w:rsidRPr="006557B3">
        <w:rPr>
          <w:rFonts w:ascii="Times New Roman" w:hAnsi="Times New Roman" w:cs="Times New Roman"/>
          <w:b/>
          <w:sz w:val="24"/>
          <w:szCs w:val="24"/>
          <w:lang w:val="lv-LV"/>
        </w:rPr>
        <w:t>erosina:</w:t>
      </w:r>
    </w:p>
    <w:p w14:paraId="1CC27009" w14:textId="15251655" w:rsidR="00872BB7" w:rsidRPr="006557B3" w:rsidRDefault="00881346" w:rsidP="005F5ED8">
      <w:pPr>
        <w:pStyle w:val="Pamattekstsaratkpi"/>
        <w:numPr>
          <w:ilvl w:val="0"/>
          <w:numId w:val="31"/>
        </w:numPr>
        <w:tabs>
          <w:tab w:val="left" w:pos="8647"/>
        </w:tabs>
        <w:spacing w:after="0" w:line="240" w:lineRule="auto"/>
        <w:ind w:hanging="357"/>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izdarīt</w:t>
      </w:r>
      <w:r w:rsidR="00872BB7" w:rsidRPr="006557B3">
        <w:rPr>
          <w:rFonts w:ascii="Times New Roman" w:hAnsi="Times New Roman" w:cs="Times New Roman"/>
          <w:sz w:val="24"/>
          <w:szCs w:val="24"/>
          <w:lang w:val="lv-LV"/>
        </w:rPr>
        <w:t xml:space="preserve"> grozījumus Ministru kabineta 2015.</w:t>
      </w:r>
      <w:r w:rsidR="0003361A">
        <w:rPr>
          <w:rFonts w:ascii="Times New Roman" w:hAnsi="Times New Roman" w:cs="Times New Roman"/>
          <w:sz w:val="24"/>
          <w:szCs w:val="24"/>
          <w:lang w:val="lv-LV"/>
        </w:rPr>
        <w:t xml:space="preserve"> </w:t>
      </w:r>
      <w:r w:rsidR="00872BB7" w:rsidRPr="006557B3">
        <w:rPr>
          <w:rFonts w:ascii="Times New Roman" w:hAnsi="Times New Roman" w:cs="Times New Roman"/>
          <w:sz w:val="24"/>
          <w:szCs w:val="24"/>
          <w:lang w:val="lv-LV"/>
        </w:rPr>
        <w:t>gada 1.</w:t>
      </w:r>
      <w:r w:rsidR="0003361A">
        <w:rPr>
          <w:rFonts w:ascii="Times New Roman" w:hAnsi="Times New Roman" w:cs="Times New Roman"/>
          <w:sz w:val="24"/>
          <w:szCs w:val="24"/>
          <w:lang w:val="lv-LV"/>
        </w:rPr>
        <w:t xml:space="preserve"> </w:t>
      </w:r>
      <w:r w:rsidR="00872BB7" w:rsidRPr="006557B3">
        <w:rPr>
          <w:rFonts w:ascii="Times New Roman" w:hAnsi="Times New Roman" w:cs="Times New Roman"/>
          <w:sz w:val="24"/>
          <w:szCs w:val="24"/>
          <w:lang w:val="lv-LV"/>
        </w:rPr>
        <w:t xml:space="preserve">decembra noteikumos „Prasības uztura bagātinātājiem”, </w:t>
      </w:r>
      <w:r w:rsidRPr="006557B3">
        <w:rPr>
          <w:rFonts w:ascii="Times New Roman" w:hAnsi="Times New Roman" w:cs="Times New Roman"/>
          <w:sz w:val="24"/>
          <w:szCs w:val="24"/>
          <w:lang w:val="lv-LV"/>
        </w:rPr>
        <w:t>tajos paredzot</w:t>
      </w:r>
      <w:r w:rsidR="00872BB7" w:rsidRPr="006557B3">
        <w:rPr>
          <w:rFonts w:ascii="Times New Roman" w:hAnsi="Times New Roman" w:cs="Times New Roman"/>
          <w:sz w:val="24"/>
          <w:szCs w:val="24"/>
          <w:lang w:val="lv-LV"/>
        </w:rPr>
        <w:t xml:space="preserve"> skaidrāk</w:t>
      </w:r>
      <w:r w:rsidRPr="006557B3">
        <w:rPr>
          <w:rFonts w:ascii="Times New Roman" w:hAnsi="Times New Roman" w:cs="Times New Roman"/>
          <w:sz w:val="24"/>
          <w:szCs w:val="24"/>
          <w:lang w:val="lv-LV"/>
        </w:rPr>
        <w:t>us</w:t>
      </w:r>
      <w:r w:rsidR="00872BB7" w:rsidRPr="006557B3">
        <w:rPr>
          <w:rFonts w:ascii="Times New Roman" w:hAnsi="Times New Roman" w:cs="Times New Roman"/>
          <w:sz w:val="24"/>
          <w:szCs w:val="24"/>
          <w:lang w:val="lv-LV"/>
        </w:rPr>
        <w:t xml:space="preserve"> nosacījumus uztura bagātinātāju reklāmai</w:t>
      </w:r>
      <w:r w:rsidRPr="006557B3">
        <w:rPr>
          <w:rFonts w:ascii="Times New Roman" w:hAnsi="Times New Roman" w:cs="Times New Roman"/>
          <w:sz w:val="24"/>
          <w:szCs w:val="24"/>
          <w:lang w:val="lv-LV"/>
        </w:rPr>
        <w:t xml:space="preserve"> un</w:t>
      </w:r>
      <w:r w:rsidR="00872BB7"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s</w:t>
      </w:r>
      <w:r w:rsidR="00872BB7" w:rsidRPr="006557B3">
        <w:rPr>
          <w:rFonts w:ascii="Times New Roman" w:hAnsi="Times New Roman" w:cs="Times New Roman"/>
          <w:sz w:val="24"/>
          <w:szCs w:val="24"/>
          <w:lang w:val="lv-LV"/>
        </w:rPr>
        <w:t xml:space="preserve">kaidri </w:t>
      </w:r>
      <w:r w:rsidRPr="006557B3">
        <w:rPr>
          <w:rFonts w:ascii="Times New Roman" w:hAnsi="Times New Roman" w:cs="Times New Roman"/>
          <w:sz w:val="24"/>
          <w:szCs w:val="24"/>
          <w:lang w:val="lv-LV"/>
        </w:rPr>
        <w:t>nosak</w:t>
      </w:r>
      <w:r w:rsidR="00872BB7" w:rsidRPr="006557B3">
        <w:rPr>
          <w:rFonts w:ascii="Times New Roman" w:hAnsi="Times New Roman" w:cs="Times New Roman"/>
          <w:sz w:val="24"/>
          <w:szCs w:val="24"/>
          <w:lang w:val="lv-LV"/>
        </w:rPr>
        <w:t>ot, k</w:t>
      </w:r>
      <w:r w:rsidRPr="006557B3">
        <w:rPr>
          <w:rFonts w:ascii="Times New Roman" w:hAnsi="Times New Roman" w:cs="Times New Roman"/>
          <w:sz w:val="24"/>
          <w:szCs w:val="24"/>
          <w:lang w:val="lv-LV"/>
        </w:rPr>
        <w:t>ur</w:t>
      </w:r>
      <w:r w:rsidR="004F3293">
        <w:rPr>
          <w:rFonts w:ascii="Times New Roman" w:hAnsi="Times New Roman" w:cs="Times New Roman"/>
          <w:sz w:val="24"/>
          <w:szCs w:val="24"/>
          <w:lang w:val="lv-LV"/>
        </w:rPr>
        <w:t>a</w:t>
      </w:r>
      <w:r w:rsidR="00872BB7" w:rsidRPr="006557B3">
        <w:rPr>
          <w:rFonts w:ascii="Times New Roman" w:hAnsi="Times New Roman" w:cs="Times New Roman"/>
          <w:sz w:val="24"/>
          <w:szCs w:val="24"/>
          <w:lang w:val="lv-LV"/>
        </w:rPr>
        <w:t xml:space="preserve"> informācija ir iekļaujama un k</w:t>
      </w:r>
      <w:r w:rsidRPr="006557B3">
        <w:rPr>
          <w:rFonts w:ascii="Times New Roman" w:hAnsi="Times New Roman" w:cs="Times New Roman"/>
          <w:sz w:val="24"/>
          <w:szCs w:val="24"/>
          <w:lang w:val="lv-LV"/>
        </w:rPr>
        <w:t>ura</w:t>
      </w:r>
      <w:r w:rsidR="00872BB7" w:rsidRPr="006557B3">
        <w:rPr>
          <w:rFonts w:ascii="Times New Roman" w:hAnsi="Times New Roman" w:cs="Times New Roman"/>
          <w:sz w:val="24"/>
          <w:szCs w:val="24"/>
          <w:lang w:val="lv-LV"/>
        </w:rPr>
        <w:t xml:space="preserve"> informācija ir aizliegta uztura bagātinātāju reklāmā, </w:t>
      </w:r>
      <w:r w:rsidR="00343EB3" w:rsidRPr="006557B3">
        <w:rPr>
          <w:rFonts w:ascii="Times New Roman" w:hAnsi="Times New Roman" w:cs="Times New Roman"/>
          <w:sz w:val="24"/>
          <w:szCs w:val="24"/>
          <w:lang w:val="lv-LV"/>
        </w:rPr>
        <w:t>lai tā palīdzētu novērst,</w:t>
      </w:r>
      <w:r w:rsidR="00872BB7" w:rsidRPr="006557B3">
        <w:rPr>
          <w:rFonts w:ascii="Times New Roman" w:hAnsi="Times New Roman" w:cs="Times New Roman"/>
          <w:sz w:val="24"/>
          <w:szCs w:val="24"/>
          <w:lang w:val="lv-LV"/>
        </w:rPr>
        <w:t xml:space="preserve"> </w:t>
      </w:r>
      <w:r w:rsidR="00872BB7" w:rsidRPr="006557B3">
        <w:rPr>
          <w:rFonts w:ascii="Times New Roman" w:hAnsi="Times New Roman" w:cs="Times New Roman"/>
          <w:sz w:val="24"/>
          <w:szCs w:val="24"/>
          <w:lang w:val="lv-LV"/>
        </w:rPr>
        <w:lastRenderedPageBreak/>
        <w:t>nepamatot</w:t>
      </w:r>
      <w:r w:rsidRPr="006557B3">
        <w:rPr>
          <w:rFonts w:ascii="Times New Roman" w:hAnsi="Times New Roman" w:cs="Times New Roman"/>
          <w:sz w:val="24"/>
          <w:szCs w:val="24"/>
          <w:lang w:val="lv-LV"/>
        </w:rPr>
        <w:t>as un</w:t>
      </w:r>
      <w:r w:rsidR="00872BB7" w:rsidRPr="006557B3">
        <w:rPr>
          <w:rFonts w:ascii="Times New Roman" w:hAnsi="Times New Roman" w:cs="Times New Roman"/>
          <w:sz w:val="24"/>
          <w:szCs w:val="24"/>
          <w:lang w:val="lv-LV"/>
        </w:rPr>
        <w:t xml:space="preserve"> maldinošas informācijas </w:t>
      </w:r>
      <w:r w:rsidRPr="006557B3">
        <w:rPr>
          <w:rFonts w:ascii="Times New Roman" w:hAnsi="Times New Roman" w:cs="Times New Roman"/>
          <w:sz w:val="24"/>
          <w:szCs w:val="24"/>
          <w:lang w:val="lv-LV"/>
        </w:rPr>
        <w:t>(solot līdzīgu iedarbību kā zālēm) izplatīšanu</w:t>
      </w:r>
      <w:r w:rsidR="00872BB7" w:rsidRPr="006557B3">
        <w:rPr>
          <w:rFonts w:ascii="Times New Roman" w:hAnsi="Times New Roman" w:cs="Times New Roman"/>
          <w:sz w:val="24"/>
          <w:szCs w:val="24"/>
          <w:lang w:val="lv-LV"/>
        </w:rPr>
        <w:t xml:space="preserve"> sabiedrībai;</w:t>
      </w:r>
    </w:p>
    <w:p w14:paraId="6A50D1F3" w14:textId="17D092ED" w:rsidR="00872BB7" w:rsidRPr="006557B3" w:rsidRDefault="00872BB7" w:rsidP="005F5ED8">
      <w:pPr>
        <w:pStyle w:val="Pamattekstsaratkpi"/>
        <w:numPr>
          <w:ilvl w:val="0"/>
          <w:numId w:val="31"/>
        </w:numPr>
        <w:tabs>
          <w:tab w:val="left" w:pos="8647"/>
        </w:tabs>
        <w:spacing w:after="0" w:line="240" w:lineRule="auto"/>
        <w:ind w:hanging="357"/>
        <w:jc w:val="both"/>
        <w:rPr>
          <w:rFonts w:ascii="Times New Roman" w:hAnsi="Times New Roman" w:cs="Times New Roman"/>
          <w:sz w:val="24"/>
          <w:szCs w:val="24"/>
          <w:lang w:val="lv-LV" w:eastAsia="lv-LV"/>
        </w:rPr>
      </w:pPr>
      <w:r w:rsidRPr="006557B3">
        <w:rPr>
          <w:rFonts w:ascii="Times New Roman" w:hAnsi="Times New Roman" w:cs="Times New Roman"/>
          <w:sz w:val="24"/>
          <w:szCs w:val="24"/>
          <w:lang w:val="lv-LV"/>
        </w:rPr>
        <w:t xml:space="preserve">ieviest pasākumus, </w:t>
      </w:r>
      <w:r w:rsidR="00881346" w:rsidRPr="006557B3">
        <w:rPr>
          <w:rFonts w:ascii="Times New Roman" w:hAnsi="Times New Roman" w:cs="Times New Roman"/>
          <w:sz w:val="24"/>
          <w:szCs w:val="24"/>
          <w:lang w:val="lv-LV"/>
        </w:rPr>
        <w:t>lai</w:t>
      </w:r>
      <w:r w:rsidRPr="006557B3">
        <w:rPr>
          <w:rFonts w:ascii="Times New Roman" w:hAnsi="Times New Roman" w:cs="Times New Roman"/>
          <w:sz w:val="24"/>
          <w:szCs w:val="24"/>
          <w:lang w:val="lv-LV"/>
        </w:rPr>
        <w:t xml:space="preserve"> u</w:t>
      </w:r>
      <w:r w:rsidRPr="006557B3">
        <w:rPr>
          <w:rFonts w:ascii="Times New Roman" w:hAnsi="Times New Roman" w:cs="Times New Roman"/>
          <w:sz w:val="24"/>
          <w:szCs w:val="24"/>
          <w:lang w:val="lv-LV" w:eastAsia="lv-LV"/>
        </w:rPr>
        <w:t>ztura bagātinātāju informācijā un reklāmā iekļautā informācija veicin</w:t>
      </w:r>
      <w:r w:rsidR="00881346" w:rsidRPr="006557B3">
        <w:rPr>
          <w:rFonts w:ascii="Times New Roman" w:hAnsi="Times New Roman" w:cs="Times New Roman"/>
          <w:sz w:val="24"/>
          <w:szCs w:val="24"/>
          <w:lang w:val="lv-LV" w:eastAsia="lv-LV"/>
        </w:rPr>
        <w:t>ātu</w:t>
      </w:r>
      <w:r w:rsidRPr="006557B3">
        <w:rPr>
          <w:rFonts w:ascii="Times New Roman" w:hAnsi="Times New Roman" w:cs="Times New Roman"/>
          <w:sz w:val="24"/>
          <w:szCs w:val="24"/>
          <w:lang w:val="lv-LV" w:eastAsia="lv-LV"/>
        </w:rPr>
        <w:t xml:space="preserve"> racionālu uztura bagātinātāja lietošanu, </w:t>
      </w:r>
      <w:r w:rsidR="00881346" w:rsidRPr="006557B3">
        <w:rPr>
          <w:rFonts w:ascii="Times New Roman" w:hAnsi="Times New Roman" w:cs="Times New Roman"/>
          <w:sz w:val="24"/>
          <w:szCs w:val="24"/>
          <w:lang w:val="lv-LV" w:eastAsia="lv-LV"/>
        </w:rPr>
        <w:t>būtu</w:t>
      </w:r>
      <w:r w:rsidRPr="006557B3">
        <w:rPr>
          <w:rFonts w:ascii="Times New Roman" w:hAnsi="Times New Roman" w:cs="Times New Roman"/>
          <w:sz w:val="24"/>
          <w:szCs w:val="24"/>
          <w:lang w:val="lv-LV" w:eastAsia="lv-LV"/>
        </w:rPr>
        <w:t xml:space="preserve"> objektīva un nepārspīlē</w:t>
      </w:r>
      <w:r w:rsidR="00881346" w:rsidRPr="006557B3">
        <w:rPr>
          <w:rFonts w:ascii="Times New Roman" w:hAnsi="Times New Roman" w:cs="Times New Roman"/>
          <w:sz w:val="24"/>
          <w:szCs w:val="24"/>
          <w:lang w:val="lv-LV" w:eastAsia="lv-LV"/>
        </w:rPr>
        <w:t>tu</w:t>
      </w:r>
      <w:r w:rsidRPr="006557B3">
        <w:rPr>
          <w:rFonts w:ascii="Times New Roman" w:hAnsi="Times New Roman" w:cs="Times New Roman"/>
          <w:sz w:val="24"/>
          <w:szCs w:val="24"/>
          <w:lang w:val="lv-LV" w:eastAsia="lv-LV"/>
        </w:rPr>
        <w:t xml:space="preserve"> uztura bagātinātāja īpašības. </w:t>
      </w:r>
      <w:r w:rsidRPr="006557B3">
        <w:rPr>
          <w:rFonts w:ascii="Times New Roman" w:hAnsi="Times New Roman" w:cs="Times New Roman"/>
          <w:sz w:val="24"/>
          <w:szCs w:val="24"/>
          <w:lang w:val="lv-LV"/>
        </w:rPr>
        <w:t xml:space="preserve">Bieži </w:t>
      </w:r>
      <w:r w:rsidR="00881346" w:rsidRPr="006557B3">
        <w:rPr>
          <w:rFonts w:ascii="Times New Roman" w:hAnsi="Times New Roman" w:cs="Times New Roman"/>
          <w:sz w:val="24"/>
          <w:szCs w:val="24"/>
          <w:lang w:val="lv-LV"/>
        </w:rPr>
        <w:t xml:space="preserve">vien </w:t>
      </w:r>
      <w:r w:rsidRPr="006557B3">
        <w:rPr>
          <w:rFonts w:ascii="Times New Roman" w:hAnsi="Times New Roman" w:cs="Times New Roman"/>
          <w:sz w:val="24"/>
          <w:szCs w:val="24"/>
          <w:lang w:val="lv-LV"/>
        </w:rPr>
        <w:t xml:space="preserve">maldinoša uztura bagātinātāju reklāma </w:t>
      </w:r>
      <w:r w:rsidR="00881346" w:rsidRPr="006557B3">
        <w:rPr>
          <w:rFonts w:ascii="Times New Roman" w:hAnsi="Times New Roman" w:cs="Times New Roman"/>
          <w:sz w:val="24"/>
          <w:szCs w:val="24"/>
          <w:lang w:val="lv-LV"/>
        </w:rPr>
        <w:t>plašsaziņas līdzekļos</w:t>
      </w:r>
      <w:r w:rsidRPr="006557B3">
        <w:rPr>
          <w:rFonts w:ascii="Times New Roman" w:hAnsi="Times New Roman" w:cs="Times New Roman"/>
          <w:sz w:val="24"/>
          <w:szCs w:val="24"/>
          <w:lang w:val="lv-LV"/>
        </w:rPr>
        <w:t xml:space="preserve"> </w:t>
      </w:r>
      <w:r w:rsidR="00881346" w:rsidRPr="006557B3">
        <w:rPr>
          <w:rFonts w:ascii="Times New Roman" w:hAnsi="Times New Roman" w:cs="Times New Roman"/>
          <w:sz w:val="24"/>
          <w:szCs w:val="24"/>
          <w:lang w:val="lv-LV"/>
        </w:rPr>
        <w:t>veicina</w:t>
      </w:r>
      <w:r w:rsidRPr="006557B3">
        <w:rPr>
          <w:rFonts w:ascii="Times New Roman" w:hAnsi="Times New Roman" w:cs="Times New Roman"/>
          <w:sz w:val="24"/>
          <w:szCs w:val="24"/>
          <w:lang w:val="lv-LV"/>
        </w:rPr>
        <w:t xml:space="preserve"> nepamatotu uztura bagātinātāju lietošanu</w:t>
      </w:r>
      <w:r w:rsidR="00881346" w:rsidRPr="006557B3">
        <w:rPr>
          <w:rFonts w:ascii="Times New Roman" w:hAnsi="Times New Roman" w:cs="Times New Roman"/>
          <w:sz w:val="24"/>
          <w:szCs w:val="24"/>
          <w:lang w:val="lv-LV"/>
        </w:rPr>
        <w:t>, jo tiem tiek</w:t>
      </w:r>
      <w:r w:rsidRPr="006557B3">
        <w:rPr>
          <w:rFonts w:ascii="Times New Roman" w:hAnsi="Times New Roman" w:cs="Times New Roman"/>
          <w:sz w:val="24"/>
          <w:szCs w:val="24"/>
          <w:lang w:val="lv-LV"/>
        </w:rPr>
        <w:t xml:space="preserve"> piedēvē</w:t>
      </w:r>
      <w:r w:rsidR="00881346" w:rsidRPr="006557B3">
        <w:rPr>
          <w:rFonts w:ascii="Times New Roman" w:hAnsi="Times New Roman" w:cs="Times New Roman"/>
          <w:sz w:val="24"/>
          <w:szCs w:val="24"/>
          <w:lang w:val="lv-LV"/>
        </w:rPr>
        <w:t>tas</w:t>
      </w:r>
      <w:r w:rsidRPr="006557B3">
        <w:rPr>
          <w:rFonts w:ascii="Times New Roman" w:hAnsi="Times New Roman" w:cs="Times New Roman"/>
          <w:sz w:val="24"/>
          <w:szCs w:val="24"/>
          <w:lang w:val="lv-LV"/>
        </w:rPr>
        <w:t xml:space="preserve"> ārstnieciskas īpašības. </w:t>
      </w:r>
      <w:r w:rsidRPr="006557B3">
        <w:rPr>
          <w:rFonts w:ascii="Times New Roman" w:hAnsi="Times New Roman" w:cs="Times New Roman"/>
          <w:sz w:val="24"/>
          <w:szCs w:val="24"/>
          <w:lang w:val="lv-LV" w:eastAsia="lv-LV"/>
        </w:rPr>
        <w:t>Asociācija uzskata</w:t>
      </w:r>
      <w:r w:rsidRPr="006557B3">
        <w:rPr>
          <w:rFonts w:ascii="Times New Roman" w:hAnsi="Times New Roman" w:cs="Times New Roman"/>
          <w:sz w:val="24"/>
          <w:szCs w:val="24"/>
          <w:lang w:val="lv-LV"/>
        </w:rPr>
        <w:t>, ka uztura bagātinātāji tiek lietoti nepamatoti un patvaļīgi un t</w:t>
      </w:r>
      <w:r w:rsidR="00881346" w:rsidRPr="006557B3">
        <w:rPr>
          <w:rFonts w:ascii="Times New Roman" w:hAnsi="Times New Roman" w:cs="Times New Roman"/>
          <w:sz w:val="24"/>
          <w:szCs w:val="24"/>
          <w:lang w:val="lv-LV"/>
        </w:rPr>
        <w:t>āda lietošana</w:t>
      </w:r>
      <w:r w:rsidRPr="006557B3">
        <w:rPr>
          <w:rFonts w:ascii="Times New Roman" w:hAnsi="Times New Roman" w:cs="Times New Roman"/>
          <w:sz w:val="24"/>
          <w:szCs w:val="24"/>
          <w:lang w:val="lv-LV"/>
        </w:rPr>
        <w:t xml:space="preserve"> ir jāierobežo.</w:t>
      </w:r>
    </w:p>
    <w:p w14:paraId="39933876" w14:textId="75FBD3C3" w:rsidR="00872BB7" w:rsidRPr="006557B3" w:rsidRDefault="00872BB7"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eastAsia="lv-LV"/>
        </w:rPr>
        <w:t>Aizliegt tādu reklāmu un informāciju sabiedrībai, kurā</w:t>
      </w:r>
      <w:r w:rsidR="00881346" w:rsidRPr="006557B3">
        <w:rPr>
          <w:rFonts w:ascii="Times New Roman" w:hAnsi="Times New Roman" w:cs="Times New Roman"/>
          <w:sz w:val="24"/>
          <w:szCs w:val="24"/>
          <w:lang w:val="lv-LV" w:eastAsia="lv-LV"/>
        </w:rPr>
        <w:t xml:space="preserve"> uztura bagātinātājs tiek piedāvāts</w:t>
      </w:r>
      <w:r w:rsidRPr="006557B3">
        <w:rPr>
          <w:rFonts w:ascii="Times New Roman" w:hAnsi="Times New Roman" w:cs="Times New Roman"/>
          <w:sz w:val="24"/>
          <w:szCs w:val="24"/>
          <w:lang w:val="lv-LV" w:eastAsia="lv-LV"/>
        </w:rPr>
        <w:t xml:space="preserve">: </w:t>
      </w:r>
    </w:p>
    <w:p w14:paraId="5FE9D0E5" w14:textId="353E9B7E" w:rsidR="00872BB7" w:rsidRPr="006557B3" w:rsidRDefault="00881346" w:rsidP="00C05C12">
      <w:pPr>
        <w:tabs>
          <w:tab w:val="left" w:pos="8647"/>
        </w:tabs>
        <w:spacing w:after="0" w:line="240" w:lineRule="auto"/>
        <w:ind w:firstLine="709"/>
        <w:jc w:val="both"/>
        <w:rPr>
          <w:rFonts w:ascii="Times New Roman" w:hAnsi="Times New Roman" w:cs="Times New Roman"/>
          <w:sz w:val="24"/>
          <w:szCs w:val="24"/>
          <w:lang w:val="lv-LV" w:eastAsia="lv-LV"/>
        </w:rPr>
      </w:pPr>
      <w:r w:rsidRPr="006557B3">
        <w:rPr>
          <w:rFonts w:ascii="Times New Roman" w:hAnsi="Times New Roman" w:cs="Times New Roman"/>
          <w:sz w:val="24"/>
          <w:szCs w:val="24"/>
          <w:lang w:val="lv-LV" w:eastAsia="lv-LV"/>
        </w:rPr>
        <w:t>a)</w:t>
      </w:r>
      <w:r w:rsidR="00872BB7" w:rsidRPr="006557B3">
        <w:rPr>
          <w:rFonts w:ascii="Times New Roman" w:hAnsi="Times New Roman" w:cs="Times New Roman"/>
          <w:sz w:val="24"/>
          <w:szCs w:val="24"/>
          <w:lang w:val="lv-LV" w:eastAsia="lv-LV"/>
        </w:rPr>
        <w:t xml:space="preserve"> kā dāvana vai kompensācija par kādas preces iegādi vai pakalpojuma saņemšanu </w:t>
      </w:r>
      <w:r w:rsidRPr="006557B3">
        <w:rPr>
          <w:rFonts w:ascii="Times New Roman" w:hAnsi="Times New Roman" w:cs="Times New Roman"/>
          <w:sz w:val="24"/>
          <w:szCs w:val="24"/>
          <w:lang w:val="lv-LV" w:eastAsia="lv-LV"/>
        </w:rPr>
        <w:t>(</w:t>
      </w:r>
      <w:r w:rsidR="00872BB7" w:rsidRPr="006557B3">
        <w:rPr>
          <w:rFonts w:ascii="Times New Roman" w:hAnsi="Times New Roman" w:cs="Times New Roman"/>
          <w:sz w:val="24"/>
          <w:szCs w:val="24"/>
          <w:lang w:val="lv-LV" w:eastAsia="lv-LV"/>
        </w:rPr>
        <w:t>vai par uztura bagātinātāja iegādi</w:t>
      </w:r>
      <w:r w:rsidRPr="006557B3">
        <w:rPr>
          <w:rFonts w:ascii="Times New Roman" w:hAnsi="Times New Roman" w:cs="Times New Roman"/>
          <w:sz w:val="24"/>
          <w:szCs w:val="24"/>
          <w:lang w:val="lv-LV" w:eastAsia="lv-LV"/>
        </w:rPr>
        <w:t xml:space="preserve"> tiek apsolīta dāvana)</w:t>
      </w:r>
      <w:r w:rsidR="00872BB7" w:rsidRPr="006557B3">
        <w:rPr>
          <w:rFonts w:ascii="Times New Roman" w:hAnsi="Times New Roman" w:cs="Times New Roman"/>
          <w:sz w:val="24"/>
          <w:szCs w:val="24"/>
          <w:lang w:val="lv-LV" w:eastAsia="lv-LV"/>
        </w:rPr>
        <w:t xml:space="preserve">; </w:t>
      </w:r>
    </w:p>
    <w:p w14:paraId="27FFCCB7" w14:textId="1B12025C" w:rsidR="00872BB7" w:rsidRPr="006557B3" w:rsidRDefault="00881346"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eastAsia="lv-LV"/>
        </w:rPr>
        <w:t>b)</w:t>
      </w:r>
      <w:r w:rsidR="00872BB7" w:rsidRPr="006557B3">
        <w:rPr>
          <w:rFonts w:ascii="Times New Roman" w:hAnsi="Times New Roman" w:cs="Times New Roman"/>
          <w:sz w:val="24"/>
          <w:szCs w:val="24"/>
          <w:lang w:val="lv-LV" w:eastAsia="lv-LV"/>
        </w:rPr>
        <w:t xml:space="preserve"> ar atlaidi, </w:t>
      </w:r>
      <w:r w:rsidRPr="006557B3">
        <w:rPr>
          <w:rFonts w:ascii="Times New Roman" w:hAnsi="Times New Roman" w:cs="Times New Roman"/>
          <w:sz w:val="24"/>
          <w:szCs w:val="24"/>
          <w:lang w:val="lv-LV" w:eastAsia="lv-LV"/>
        </w:rPr>
        <w:t xml:space="preserve">jo ir </w:t>
      </w:r>
      <w:r w:rsidR="00872BB7" w:rsidRPr="006557B3">
        <w:rPr>
          <w:rFonts w:ascii="Times New Roman" w:hAnsi="Times New Roman" w:cs="Times New Roman"/>
          <w:sz w:val="24"/>
          <w:szCs w:val="24"/>
          <w:lang w:val="lv-LV" w:eastAsia="lv-LV"/>
        </w:rPr>
        <w:t>izsludin</w:t>
      </w:r>
      <w:r w:rsidRPr="006557B3">
        <w:rPr>
          <w:rFonts w:ascii="Times New Roman" w:hAnsi="Times New Roman" w:cs="Times New Roman"/>
          <w:sz w:val="24"/>
          <w:szCs w:val="24"/>
          <w:lang w:val="lv-LV" w:eastAsia="lv-LV"/>
        </w:rPr>
        <w:t>āta</w:t>
      </w:r>
      <w:r w:rsidR="00872BB7" w:rsidRPr="006557B3">
        <w:rPr>
          <w:rFonts w:ascii="Times New Roman" w:hAnsi="Times New Roman" w:cs="Times New Roman"/>
          <w:sz w:val="24"/>
          <w:szCs w:val="24"/>
          <w:lang w:val="lv-LV" w:eastAsia="lv-LV"/>
        </w:rPr>
        <w:t xml:space="preserve"> īpaš</w:t>
      </w:r>
      <w:r w:rsidRPr="006557B3">
        <w:rPr>
          <w:rFonts w:ascii="Times New Roman" w:hAnsi="Times New Roman" w:cs="Times New Roman"/>
          <w:sz w:val="24"/>
          <w:szCs w:val="24"/>
          <w:lang w:val="lv-LV" w:eastAsia="lv-LV"/>
        </w:rPr>
        <w:t>a</w:t>
      </w:r>
      <w:r w:rsidR="00872BB7" w:rsidRPr="006557B3">
        <w:rPr>
          <w:rFonts w:ascii="Times New Roman" w:hAnsi="Times New Roman" w:cs="Times New Roman"/>
          <w:sz w:val="24"/>
          <w:szCs w:val="24"/>
          <w:lang w:val="lv-LV" w:eastAsia="lv-LV"/>
        </w:rPr>
        <w:t xml:space="preserve"> izpārdošan</w:t>
      </w:r>
      <w:r w:rsidRPr="006557B3">
        <w:rPr>
          <w:rFonts w:ascii="Times New Roman" w:hAnsi="Times New Roman" w:cs="Times New Roman"/>
          <w:sz w:val="24"/>
          <w:szCs w:val="24"/>
          <w:lang w:val="lv-LV" w:eastAsia="lv-LV"/>
        </w:rPr>
        <w:t>a</w:t>
      </w:r>
      <w:r w:rsidR="00872BB7" w:rsidRPr="006557B3">
        <w:rPr>
          <w:rFonts w:ascii="Times New Roman" w:hAnsi="Times New Roman" w:cs="Times New Roman"/>
          <w:sz w:val="24"/>
          <w:szCs w:val="24"/>
          <w:lang w:val="lv-LV" w:eastAsia="lv-LV"/>
        </w:rPr>
        <w:t xml:space="preserve"> vai snie</w:t>
      </w:r>
      <w:r w:rsidRPr="006557B3">
        <w:rPr>
          <w:rFonts w:ascii="Times New Roman" w:hAnsi="Times New Roman" w:cs="Times New Roman"/>
          <w:sz w:val="24"/>
          <w:szCs w:val="24"/>
          <w:lang w:val="lv-LV" w:eastAsia="lv-LV"/>
        </w:rPr>
        <w:t>gts</w:t>
      </w:r>
      <w:r w:rsidR="00872BB7" w:rsidRPr="006557B3">
        <w:rPr>
          <w:rFonts w:ascii="Times New Roman" w:hAnsi="Times New Roman" w:cs="Times New Roman"/>
          <w:sz w:val="24"/>
          <w:szCs w:val="24"/>
          <w:lang w:val="lv-LV" w:eastAsia="lv-LV"/>
        </w:rPr>
        <w:t xml:space="preserve"> paziņojum</w:t>
      </w:r>
      <w:r w:rsidRPr="006557B3">
        <w:rPr>
          <w:rFonts w:ascii="Times New Roman" w:hAnsi="Times New Roman" w:cs="Times New Roman"/>
          <w:sz w:val="24"/>
          <w:szCs w:val="24"/>
          <w:lang w:val="lv-LV" w:eastAsia="lv-LV"/>
        </w:rPr>
        <w:t>s</w:t>
      </w:r>
      <w:r w:rsidR="00872BB7" w:rsidRPr="006557B3">
        <w:rPr>
          <w:rFonts w:ascii="Times New Roman" w:hAnsi="Times New Roman" w:cs="Times New Roman"/>
          <w:sz w:val="24"/>
          <w:szCs w:val="24"/>
          <w:lang w:val="lv-LV" w:eastAsia="lv-LV"/>
        </w:rPr>
        <w:t>, ka uztura bagātinātājs tiek pārdots komplektā ar cietiem uztura bagātinātājiem (t</w:t>
      </w:r>
      <w:r w:rsidRPr="006557B3">
        <w:rPr>
          <w:rFonts w:ascii="Times New Roman" w:hAnsi="Times New Roman" w:cs="Times New Roman"/>
          <w:sz w:val="24"/>
          <w:szCs w:val="24"/>
          <w:lang w:val="lv-LV" w:eastAsia="lv-LV"/>
        </w:rPr>
        <w:t>ostarp</w:t>
      </w:r>
      <w:r w:rsidR="00872BB7" w:rsidRPr="006557B3">
        <w:rPr>
          <w:rFonts w:ascii="Times New Roman" w:hAnsi="Times New Roman" w:cs="Times New Roman"/>
          <w:sz w:val="24"/>
          <w:szCs w:val="24"/>
          <w:lang w:val="lv-LV" w:eastAsia="lv-LV"/>
        </w:rPr>
        <w:t xml:space="preserve"> par pazeminātu cenu) vai precēm; </w:t>
      </w:r>
    </w:p>
    <w:p w14:paraId="1B5D550F" w14:textId="7AC4D67A" w:rsidR="00872BB7" w:rsidRPr="006557B3" w:rsidRDefault="00881346"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c)</w:t>
      </w:r>
      <w:r w:rsidR="00872BB7" w:rsidRPr="006557B3">
        <w:rPr>
          <w:rFonts w:ascii="Times New Roman" w:hAnsi="Times New Roman" w:cs="Times New Roman"/>
          <w:sz w:val="24"/>
          <w:szCs w:val="24"/>
          <w:lang w:val="lv-LV"/>
        </w:rPr>
        <w:t xml:space="preserve"> izmantojot pasta pakalpojumus vai sniedzot padomus citā līdzīgā veidā</w:t>
      </w:r>
      <w:r w:rsidR="004C6A0B" w:rsidRPr="006557B3">
        <w:rPr>
          <w:rFonts w:ascii="Times New Roman" w:hAnsi="Times New Roman" w:cs="Times New Roman"/>
          <w:sz w:val="24"/>
          <w:szCs w:val="24"/>
          <w:lang w:val="lv-LV"/>
        </w:rPr>
        <w:t xml:space="preserve"> un tā</w:t>
      </w:r>
      <w:r w:rsidR="00872BB7" w:rsidRPr="006557B3">
        <w:rPr>
          <w:rFonts w:ascii="Times New Roman" w:hAnsi="Times New Roman" w:cs="Times New Roman"/>
          <w:sz w:val="24"/>
          <w:szCs w:val="24"/>
          <w:lang w:val="lv-LV"/>
        </w:rPr>
        <w:t xml:space="preserve"> veicinot nepamatotu uztura bagātinātāju lietošanas uzsākšanu;</w:t>
      </w:r>
      <w:r w:rsidR="00872BB7" w:rsidRPr="006557B3">
        <w:rPr>
          <w:rFonts w:ascii="Times New Roman" w:hAnsi="Times New Roman" w:cs="Times New Roman"/>
          <w:sz w:val="24"/>
          <w:szCs w:val="24"/>
          <w:lang w:val="lv-LV" w:eastAsia="lv-LV"/>
        </w:rPr>
        <w:t xml:space="preserve"> </w:t>
      </w:r>
    </w:p>
    <w:p w14:paraId="6694EC59" w14:textId="6C650133" w:rsidR="00872BB7" w:rsidRPr="006557B3" w:rsidRDefault="004C6A0B"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d)</w:t>
      </w:r>
      <w:r w:rsidR="00872BB7" w:rsidRPr="006557B3">
        <w:rPr>
          <w:rFonts w:ascii="Times New Roman" w:hAnsi="Times New Roman" w:cs="Times New Roman"/>
          <w:sz w:val="24"/>
          <w:szCs w:val="24"/>
          <w:lang w:val="lv-LV"/>
        </w:rPr>
        <w:t xml:space="preserve"> bērniem vai piesaista bērnu uzmanību; </w:t>
      </w:r>
    </w:p>
    <w:p w14:paraId="7A3C129B" w14:textId="79EBFD88" w:rsidR="00872BB7" w:rsidRPr="006557B3" w:rsidRDefault="004C6A0B" w:rsidP="00C05C12">
      <w:pPr>
        <w:tabs>
          <w:tab w:val="left" w:pos="8647"/>
        </w:tabs>
        <w:spacing w:after="0" w:line="240" w:lineRule="auto"/>
        <w:ind w:firstLine="709"/>
        <w:jc w:val="both"/>
        <w:rPr>
          <w:rFonts w:ascii="Times New Roman" w:hAnsi="Times New Roman" w:cs="Times New Roman"/>
          <w:sz w:val="24"/>
          <w:szCs w:val="24"/>
          <w:lang w:val="lv-LV" w:eastAsia="lv-LV"/>
        </w:rPr>
      </w:pPr>
      <w:r w:rsidRPr="006557B3">
        <w:rPr>
          <w:rFonts w:ascii="Times New Roman" w:hAnsi="Times New Roman" w:cs="Times New Roman"/>
          <w:sz w:val="24"/>
          <w:szCs w:val="24"/>
          <w:lang w:val="lv-LV"/>
        </w:rPr>
        <w:t>e)</w:t>
      </w:r>
      <w:r w:rsidR="00872BB7" w:rsidRPr="006557B3">
        <w:rPr>
          <w:rFonts w:ascii="Times New Roman" w:hAnsi="Times New Roman" w:cs="Times New Roman"/>
          <w:sz w:val="24"/>
          <w:szCs w:val="24"/>
          <w:lang w:val="lv-LV"/>
        </w:rPr>
        <w:t xml:space="preserve"> </w:t>
      </w:r>
      <w:r w:rsidR="00872BB7" w:rsidRPr="006557B3">
        <w:rPr>
          <w:rFonts w:ascii="Times New Roman" w:hAnsi="Times New Roman" w:cs="Times New Roman"/>
          <w:sz w:val="24"/>
          <w:szCs w:val="24"/>
          <w:lang w:val="lv-LV" w:eastAsia="lv-LV"/>
        </w:rPr>
        <w:t>atsaucoties uz zinātnieku, veselības aprūpes darbinieku, uztura speciālistu vai tādu personu ieteikumiem, kuru popularitāte varētu veicināt uztura bagātinātāja patēriņu;</w:t>
      </w:r>
    </w:p>
    <w:p w14:paraId="6DA2C34F" w14:textId="5E030D7B" w:rsidR="00872BB7" w:rsidRPr="006557B3" w:rsidRDefault="004C6A0B"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eastAsia="lv-LV"/>
        </w:rPr>
        <w:t>f)</w:t>
      </w:r>
      <w:r w:rsidR="00872BB7" w:rsidRPr="006557B3">
        <w:rPr>
          <w:rFonts w:ascii="Times New Roman" w:hAnsi="Times New Roman" w:cs="Times New Roman"/>
          <w:sz w:val="24"/>
          <w:szCs w:val="24"/>
          <w:lang w:val="lv-LV" w:eastAsia="lv-LV"/>
        </w:rPr>
        <w:t xml:space="preserve"> rad</w:t>
      </w:r>
      <w:r w:rsidRPr="006557B3">
        <w:rPr>
          <w:rFonts w:ascii="Times New Roman" w:hAnsi="Times New Roman" w:cs="Times New Roman"/>
          <w:sz w:val="24"/>
          <w:szCs w:val="24"/>
          <w:lang w:val="lv-LV" w:eastAsia="lv-LV"/>
        </w:rPr>
        <w:t>ot</w:t>
      </w:r>
      <w:r w:rsidR="00872BB7" w:rsidRPr="006557B3">
        <w:rPr>
          <w:rFonts w:ascii="Times New Roman" w:hAnsi="Times New Roman" w:cs="Times New Roman"/>
          <w:sz w:val="24"/>
          <w:szCs w:val="24"/>
          <w:lang w:val="lv-LV" w:eastAsia="lv-LV"/>
        </w:rPr>
        <w:t xml:space="preserve"> </w:t>
      </w:r>
      <w:bookmarkStart w:id="2" w:name="p21"/>
      <w:bookmarkEnd w:id="2"/>
      <w:r w:rsidR="00872BB7" w:rsidRPr="006557B3">
        <w:rPr>
          <w:rFonts w:ascii="Times New Roman" w:hAnsi="Times New Roman" w:cs="Times New Roman"/>
          <w:sz w:val="24"/>
          <w:szCs w:val="24"/>
          <w:lang w:val="lv-LV"/>
        </w:rPr>
        <w:t xml:space="preserve">iespaidu, ka </w:t>
      </w:r>
      <w:r w:rsidR="00872BB7" w:rsidRPr="006557B3">
        <w:rPr>
          <w:rFonts w:ascii="Times New Roman" w:hAnsi="Times New Roman" w:cs="Times New Roman"/>
          <w:sz w:val="24"/>
          <w:szCs w:val="24"/>
          <w:lang w:val="lv-LV" w:eastAsia="lv-LV"/>
        </w:rPr>
        <w:t>uztura bagātinātāja</w:t>
      </w:r>
      <w:r w:rsidR="00872BB7" w:rsidRPr="006557B3">
        <w:rPr>
          <w:rFonts w:ascii="Times New Roman" w:hAnsi="Times New Roman" w:cs="Times New Roman"/>
          <w:sz w:val="24"/>
          <w:szCs w:val="24"/>
          <w:lang w:val="lv-LV"/>
        </w:rPr>
        <w:t xml:space="preserve"> iedarbība ir garantēta, </w:t>
      </w:r>
      <w:r w:rsidRPr="006557B3">
        <w:rPr>
          <w:rFonts w:ascii="Times New Roman" w:hAnsi="Times New Roman" w:cs="Times New Roman"/>
          <w:sz w:val="24"/>
          <w:szCs w:val="24"/>
          <w:lang w:val="lv-LV"/>
        </w:rPr>
        <w:t xml:space="preserve">līdzvērtīga vai ir labāka par to, ko sniedz cita ārstēšanas metode, zāles vai cits </w:t>
      </w:r>
      <w:r w:rsidRPr="006557B3">
        <w:rPr>
          <w:rFonts w:ascii="Times New Roman" w:hAnsi="Times New Roman" w:cs="Times New Roman"/>
          <w:sz w:val="24"/>
          <w:szCs w:val="24"/>
          <w:lang w:val="lv-LV" w:eastAsia="lv-LV"/>
        </w:rPr>
        <w:t>uztura bagātinātājs un</w:t>
      </w:r>
      <w:r w:rsidRPr="006557B3" w:rsidDel="004C6A0B">
        <w:rPr>
          <w:rFonts w:ascii="Times New Roman" w:hAnsi="Times New Roman" w:cs="Times New Roman"/>
          <w:sz w:val="24"/>
          <w:szCs w:val="24"/>
          <w:lang w:val="lv-LV" w:eastAsia="lv-LV"/>
        </w:rPr>
        <w:t xml:space="preserve"> </w:t>
      </w:r>
      <w:r w:rsidRPr="006557B3">
        <w:rPr>
          <w:rFonts w:ascii="Times New Roman" w:hAnsi="Times New Roman" w:cs="Times New Roman"/>
          <w:sz w:val="24"/>
          <w:szCs w:val="24"/>
          <w:lang w:val="lv-LV" w:eastAsia="lv-LV"/>
        </w:rPr>
        <w:t>tā</w:t>
      </w:r>
      <w:r w:rsidR="00872BB7" w:rsidRPr="006557B3">
        <w:rPr>
          <w:rFonts w:ascii="Times New Roman" w:hAnsi="Times New Roman" w:cs="Times New Roman"/>
          <w:sz w:val="24"/>
          <w:szCs w:val="24"/>
          <w:lang w:val="lv-LV"/>
        </w:rPr>
        <w:t xml:space="preserve"> lietošana neizraisa blakusparādības; </w:t>
      </w:r>
    </w:p>
    <w:p w14:paraId="182BA969" w14:textId="4F3E2940" w:rsidR="00872BB7" w:rsidRPr="006557B3" w:rsidRDefault="004C6A0B"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g)</w:t>
      </w:r>
      <w:r w:rsidR="00872BB7" w:rsidRPr="006557B3">
        <w:rPr>
          <w:rFonts w:ascii="Times New Roman" w:hAnsi="Times New Roman" w:cs="Times New Roman"/>
          <w:sz w:val="24"/>
          <w:szCs w:val="24"/>
          <w:lang w:val="lv-LV"/>
        </w:rPr>
        <w:t xml:space="preserve"> rad</w:t>
      </w:r>
      <w:r w:rsidRPr="006557B3">
        <w:rPr>
          <w:rFonts w:ascii="Times New Roman" w:hAnsi="Times New Roman" w:cs="Times New Roman"/>
          <w:sz w:val="24"/>
          <w:szCs w:val="24"/>
          <w:lang w:val="lv-LV"/>
        </w:rPr>
        <w:t>ot</w:t>
      </w:r>
      <w:r w:rsidR="00872BB7" w:rsidRPr="006557B3">
        <w:rPr>
          <w:rFonts w:ascii="Times New Roman" w:hAnsi="Times New Roman" w:cs="Times New Roman"/>
          <w:sz w:val="24"/>
          <w:szCs w:val="24"/>
          <w:lang w:val="lv-LV"/>
        </w:rPr>
        <w:t xml:space="preserve"> iespaidu, ka </w:t>
      </w:r>
      <w:r w:rsidRPr="006557B3">
        <w:rPr>
          <w:rFonts w:ascii="Times New Roman" w:hAnsi="Times New Roman" w:cs="Times New Roman"/>
          <w:sz w:val="24"/>
          <w:szCs w:val="24"/>
          <w:lang w:val="lv-LV" w:eastAsia="lv-LV"/>
        </w:rPr>
        <w:t>uztura bagātinātāja</w:t>
      </w:r>
      <w:r w:rsidRPr="006557B3">
        <w:rPr>
          <w:rFonts w:ascii="Times New Roman" w:hAnsi="Times New Roman" w:cs="Times New Roman"/>
          <w:sz w:val="24"/>
          <w:szCs w:val="24"/>
          <w:lang w:val="lv-LV"/>
        </w:rPr>
        <w:t xml:space="preserve"> </w:t>
      </w:r>
      <w:r w:rsidR="00872BB7" w:rsidRPr="006557B3">
        <w:rPr>
          <w:rFonts w:ascii="Times New Roman" w:hAnsi="Times New Roman" w:cs="Times New Roman"/>
          <w:sz w:val="24"/>
          <w:szCs w:val="24"/>
          <w:lang w:val="lv-LV"/>
        </w:rPr>
        <w:t>lieto</w:t>
      </w:r>
      <w:r w:rsidRPr="006557B3">
        <w:rPr>
          <w:rFonts w:ascii="Times New Roman" w:hAnsi="Times New Roman" w:cs="Times New Roman"/>
          <w:sz w:val="24"/>
          <w:szCs w:val="24"/>
          <w:lang w:val="lv-LV"/>
        </w:rPr>
        <w:t>šanas dēļ</w:t>
      </w:r>
      <w:r w:rsidR="00872BB7" w:rsidRPr="006557B3">
        <w:rPr>
          <w:rFonts w:ascii="Times New Roman" w:hAnsi="Times New Roman" w:cs="Times New Roman"/>
          <w:sz w:val="24"/>
          <w:szCs w:val="24"/>
          <w:lang w:val="lv-LV"/>
        </w:rPr>
        <w:t xml:space="preserve"> cilvēka vispārējais veselības stāvoklis ievērojami uzlabosies; </w:t>
      </w:r>
    </w:p>
    <w:p w14:paraId="5E0ED06C" w14:textId="60C390D9" w:rsidR="00872BB7" w:rsidRPr="006557B3" w:rsidRDefault="004C6A0B"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h) </w:t>
      </w:r>
      <w:r w:rsidR="00872BB7" w:rsidRPr="006557B3">
        <w:rPr>
          <w:rFonts w:ascii="Times New Roman" w:hAnsi="Times New Roman" w:cs="Times New Roman"/>
          <w:sz w:val="24"/>
          <w:szCs w:val="24"/>
          <w:lang w:val="lv-LV"/>
        </w:rPr>
        <w:t>pamatojoties uz informāciju, kas rada iespaidu, ka</w:t>
      </w:r>
      <w:r w:rsidRPr="006557B3">
        <w:rPr>
          <w:rFonts w:ascii="Times New Roman" w:hAnsi="Times New Roman" w:cs="Times New Roman"/>
          <w:sz w:val="24"/>
          <w:szCs w:val="24"/>
          <w:lang w:val="lv-LV"/>
        </w:rPr>
        <w:t xml:space="preserve"> cilvēka veselība var pasliktināties</w:t>
      </w:r>
      <w:r w:rsidR="00872BB7"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 xml:space="preserve">ja viņš </w:t>
      </w:r>
      <w:r w:rsidR="00872BB7" w:rsidRPr="006557B3">
        <w:rPr>
          <w:rFonts w:ascii="Times New Roman" w:hAnsi="Times New Roman" w:cs="Times New Roman"/>
          <w:sz w:val="24"/>
          <w:szCs w:val="24"/>
          <w:lang w:val="lv-LV"/>
        </w:rPr>
        <w:t>nelieto</w:t>
      </w:r>
      <w:r w:rsidRPr="006557B3">
        <w:rPr>
          <w:rFonts w:ascii="Times New Roman" w:hAnsi="Times New Roman" w:cs="Times New Roman"/>
          <w:sz w:val="24"/>
          <w:szCs w:val="24"/>
          <w:lang w:val="lv-LV"/>
        </w:rPr>
        <w:t>s</w:t>
      </w:r>
      <w:r w:rsidR="00872BB7" w:rsidRPr="006557B3">
        <w:rPr>
          <w:rFonts w:ascii="Times New Roman" w:hAnsi="Times New Roman" w:cs="Times New Roman"/>
          <w:sz w:val="24"/>
          <w:szCs w:val="24"/>
          <w:lang w:val="lv-LV"/>
        </w:rPr>
        <w:t xml:space="preserve"> </w:t>
      </w:r>
      <w:r w:rsidR="00872BB7" w:rsidRPr="006557B3">
        <w:rPr>
          <w:rFonts w:ascii="Times New Roman" w:hAnsi="Times New Roman" w:cs="Times New Roman"/>
          <w:sz w:val="24"/>
          <w:szCs w:val="24"/>
          <w:lang w:val="lv-LV" w:eastAsia="lv-LV"/>
        </w:rPr>
        <w:t>uztura bagātinātāju</w:t>
      </w:r>
      <w:r w:rsidR="00872BB7" w:rsidRPr="006557B3">
        <w:rPr>
          <w:rFonts w:ascii="Times New Roman" w:hAnsi="Times New Roman" w:cs="Times New Roman"/>
          <w:sz w:val="24"/>
          <w:szCs w:val="24"/>
          <w:lang w:val="lv-LV"/>
        </w:rPr>
        <w:t xml:space="preserve">; </w:t>
      </w:r>
    </w:p>
    <w:p w14:paraId="795EB0AC" w14:textId="1212A469" w:rsidR="00872BB7" w:rsidRDefault="004C6A0B" w:rsidP="00AF033F">
      <w:pPr>
        <w:pStyle w:val="Sarakstarindkopa"/>
        <w:tabs>
          <w:tab w:val="left" w:pos="8647"/>
        </w:tabs>
        <w:spacing w:after="0" w:line="240" w:lineRule="auto"/>
        <w:ind w:left="0" w:firstLine="709"/>
        <w:jc w:val="both"/>
        <w:rPr>
          <w:rFonts w:ascii="Times New Roman" w:hAnsi="Times New Roman"/>
          <w:sz w:val="24"/>
          <w:szCs w:val="24"/>
          <w:lang w:val="lv-LV"/>
        </w:rPr>
      </w:pPr>
      <w:r w:rsidRPr="006557B3">
        <w:rPr>
          <w:rFonts w:ascii="Times New Roman" w:hAnsi="Times New Roman"/>
          <w:sz w:val="24"/>
          <w:szCs w:val="24"/>
          <w:lang w:val="lv-LV"/>
        </w:rPr>
        <w:t xml:space="preserve">i) radot iespaidu, ka </w:t>
      </w:r>
      <w:r w:rsidR="00872BB7" w:rsidRPr="006557B3">
        <w:rPr>
          <w:rFonts w:ascii="Times New Roman" w:hAnsi="Times New Roman"/>
          <w:sz w:val="24"/>
          <w:szCs w:val="24"/>
          <w:lang w:val="lv-LV"/>
        </w:rPr>
        <w:t>uztura bagātinātāja drošību un efektivitāti garantē dabiskā izcelsme.</w:t>
      </w:r>
    </w:p>
    <w:p w14:paraId="7039FB4D" w14:textId="77777777" w:rsidR="00D9639C" w:rsidRPr="006557B3" w:rsidRDefault="00D9639C" w:rsidP="00C05C12">
      <w:pPr>
        <w:pStyle w:val="Sarakstarindkopa"/>
        <w:tabs>
          <w:tab w:val="left" w:pos="8647"/>
        </w:tabs>
        <w:spacing w:after="0" w:line="240" w:lineRule="auto"/>
        <w:jc w:val="both"/>
        <w:rPr>
          <w:rFonts w:ascii="Times New Roman" w:hAnsi="Times New Roman"/>
          <w:sz w:val="24"/>
          <w:szCs w:val="24"/>
          <w:lang w:val="lv-LV"/>
        </w:rPr>
      </w:pPr>
    </w:p>
    <w:p w14:paraId="40ACB6D6" w14:textId="3F18557C" w:rsidR="00872BB7" w:rsidRPr="006557B3" w:rsidRDefault="00BE29A5" w:rsidP="00C05C12">
      <w:pPr>
        <w:keepNext/>
        <w:tabs>
          <w:tab w:val="left" w:pos="8647"/>
        </w:tabs>
        <w:autoSpaceDE w:val="0"/>
        <w:autoSpaceDN w:val="0"/>
        <w:adjustRightInd w:val="0"/>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t xml:space="preserve">5.3. </w:t>
      </w:r>
      <w:r w:rsidR="00872BB7" w:rsidRPr="006557B3">
        <w:rPr>
          <w:rFonts w:ascii="Times New Roman" w:hAnsi="Times New Roman" w:cs="Times New Roman"/>
          <w:b/>
          <w:sz w:val="24"/>
          <w:szCs w:val="24"/>
          <w:lang w:val="lv-LV"/>
        </w:rPr>
        <w:t>Ārsta Artūra Tereško priekšlikumi uztura bagātinātāju jomā</w:t>
      </w:r>
    </w:p>
    <w:p w14:paraId="3A2FA0B7" w14:textId="15DC0B4C" w:rsidR="00872BB7" w:rsidRPr="006557B3" w:rsidRDefault="004C6A0B" w:rsidP="00C05C12">
      <w:pPr>
        <w:pStyle w:val="Paraststmeklis"/>
        <w:keepNext/>
        <w:tabs>
          <w:tab w:val="left" w:pos="8647"/>
        </w:tabs>
        <w:spacing w:before="0" w:beforeAutospacing="0" w:after="0" w:afterAutospacing="0"/>
        <w:jc w:val="both"/>
        <w:rPr>
          <w:color w:val="000000"/>
        </w:rPr>
      </w:pPr>
      <w:r w:rsidRPr="006557B3">
        <w:rPr>
          <w:b/>
        </w:rPr>
        <w:t xml:space="preserve">Ārsts Artūrs Tereško </w:t>
      </w:r>
      <w:r w:rsidRPr="006557B3">
        <w:rPr>
          <w:color w:val="000000"/>
          <w:u w:val="single"/>
        </w:rPr>
        <w:t>a</w:t>
      </w:r>
      <w:r w:rsidR="00872BB7" w:rsidRPr="006557B3">
        <w:rPr>
          <w:color w:val="000000"/>
          <w:u w:val="single"/>
        </w:rPr>
        <w:t>tbalsta</w:t>
      </w:r>
      <w:r w:rsidRPr="006557B3">
        <w:rPr>
          <w:color w:val="000000"/>
        </w:rPr>
        <w:t xml:space="preserve"> </w:t>
      </w:r>
      <w:r w:rsidR="00872BB7" w:rsidRPr="006557B3">
        <w:rPr>
          <w:color w:val="000000"/>
        </w:rPr>
        <w:t xml:space="preserve">pastiprinātu </w:t>
      </w:r>
      <w:r w:rsidRPr="006557B3">
        <w:rPr>
          <w:color w:val="000000"/>
        </w:rPr>
        <w:t xml:space="preserve">kontroli </w:t>
      </w:r>
      <w:r w:rsidR="00872BB7" w:rsidRPr="006557B3">
        <w:rPr>
          <w:color w:val="000000"/>
        </w:rPr>
        <w:t>uztura bagātinātāj</w:t>
      </w:r>
      <w:r w:rsidRPr="006557B3">
        <w:rPr>
          <w:color w:val="000000"/>
        </w:rPr>
        <w:t>iem</w:t>
      </w:r>
      <w:r w:rsidR="00872BB7" w:rsidRPr="006557B3">
        <w:rPr>
          <w:color w:val="000000"/>
        </w:rPr>
        <w:t xml:space="preserve">, īpaši </w:t>
      </w:r>
      <w:r w:rsidRPr="006557B3">
        <w:rPr>
          <w:color w:val="000000"/>
        </w:rPr>
        <w:t>t</w:t>
      </w:r>
      <w:r w:rsidR="00872BB7" w:rsidRPr="006557B3">
        <w:rPr>
          <w:color w:val="000000"/>
        </w:rPr>
        <w:t>iem, kas ražoti trešajās valstīs (Ķīn</w:t>
      </w:r>
      <w:r w:rsidRPr="006557B3">
        <w:rPr>
          <w:color w:val="000000"/>
        </w:rPr>
        <w:t>ā</w:t>
      </w:r>
      <w:r w:rsidR="00872BB7" w:rsidRPr="006557B3">
        <w:rPr>
          <w:color w:val="000000"/>
        </w:rPr>
        <w:t>, Indij</w:t>
      </w:r>
      <w:r w:rsidRPr="006557B3">
        <w:rPr>
          <w:color w:val="000000"/>
        </w:rPr>
        <w:t>ā</w:t>
      </w:r>
      <w:r w:rsidR="00872BB7" w:rsidRPr="006557B3">
        <w:rPr>
          <w:color w:val="000000"/>
        </w:rPr>
        <w:t>, Krievij</w:t>
      </w:r>
      <w:r w:rsidRPr="006557B3">
        <w:rPr>
          <w:color w:val="000000"/>
        </w:rPr>
        <w:t>ā</w:t>
      </w:r>
      <w:r w:rsidR="00872BB7" w:rsidRPr="006557B3">
        <w:rPr>
          <w:color w:val="000000"/>
        </w:rPr>
        <w:t>)</w:t>
      </w:r>
      <w:r w:rsidRPr="006557B3">
        <w:rPr>
          <w:color w:val="000000"/>
        </w:rPr>
        <w:t>.</w:t>
      </w:r>
    </w:p>
    <w:p w14:paraId="50355755" w14:textId="35AA1D0E" w:rsidR="00872BB7" w:rsidRPr="006557B3" w:rsidRDefault="004C6A0B" w:rsidP="00C05C12">
      <w:pPr>
        <w:pStyle w:val="Paraststmeklis"/>
        <w:tabs>
          <w:tab w:val="left" w:pos="8647"/>
        </w:tabs>
        <w:spacing w:before="0" w:beforeAutospacing="0" w:after="0" w:afterAutospacing="0"/>
        <w:jc w:val="both"/>
        <w:rPr>
          <w:u w:val="single"/>
        </w:rPr>
      </w:pPr>
      <w:r w:rsidRPr="006557B3">
        <w:rPr>
          <w:b/>
        </w:rPr>
        <w:t xml:space="preserve">Ārsts Artūrs Tereško </w:t>
      </w:r>
      <w:r w:rsidRPr="006557B3">
        <w:rPr>
          <w:b/>
          <w:color w:val="000000"/>
        </w:rPr>
        <w:t>i</w:t>
      </w:r>
      <w:r w:rsidR="00872BB7" w:rsidRPr="006557B3">
        <w:rPr>
          <w:b/>
          <w:color w:val="000000"/>
        </w:rPr>
        <w:t>erosina:</w:t>
      </w:r>
    </w:p>
    <w:p w14:paraId="29644354" w14:textId="19661A67" w:rsidR="00872BB7" w:rsidRPr="006557B3" w:rsidRDefault="004C6A0B" w:rsidP="00C05C12">
      <w:pPr>
        <w:pStyle w:val="Paraststmeklis"/>
        <w:tabs>
          <w:tab w:val="left" w:pos="8647"/>
        </w:tabs>
        <w:spacing w:before="0" w:beforeAutospacing="0" w:after="0" w:afterAutospacing="0"/>
        <w:ind w:firstLine="709"/>
        <w:jc w:val="both"/>
      </w:pPr>
      <w:r w:rsidRPr="006557B3">
        <w:rPr>
          <w:color w:val="000000"/>
        </w:rPr>
        <w:t>a)</w:t>
      </w:r>
      <w:r w:rsidR="00872BB7" w:rsidRPr="006557B3">
        <w:rPr>
          <w:color w:val="000000"/>
        </w:rPr>
        <w:t xml:space="preserve"> nodrošināt valsts kontrolējošās iestādes ar pietiekamu finansējumu uztura bagātinātāju laboratorisko </w:t>
      </w:r>
      <w:r w:rsidR="000D42D1" w:rsidRPr="006557B3">
        <w:rPr>
          <w:color w:val="000000"/>
        </w:rPr>
        <w:t>kontroļu</w:t>
      </w:r>
      <w:r w:rsidR="00872BB7" w:rsidRPr="006557B3">
        <w:rPr>
          <w:color w:val="000000"/>
        </w:rPr>
        <w:t xml:space="preserve"> veikšanai un sabiedrības informēšanai;</w:t>
      </w:r>
    </w:p>
    <w:p w14:paraId="0677B321" w14:textId="25416DFB" w:rsidR="00872BB7" w:rsidRPr="006557B3" w:rsidRDefault="004C6A0B" w:rsidP="00C05C12">
      <w:pPr>
        <w:pStyle w:val="Paraststmeklis"/>
        <w:tabs>
          <w:tab w:val="left" w:pos="8647"/>
        </w:tabs>
        <w:spacing w:before="0" w:beforeAutospacing="0" w:after="0" w:afterAutospacing="0"/>
        <w:ind w:firstLine="709"/>
        <w:jc w:val="both"/>
      </w:pPr>
      <w:r w:rsidRPr="006557B3">
        <w:rPr>
          <w:color w:val="000000"/>
        </w:rPr>
        <w:t>b)</w:t>
      </w:r>
      <w:r w:rsidR="00872BB7" w:rsidRPr="006557B3">
        <w:rPr>
          <w:color w:val="000000"/>
        </w:rPr>
        <w:t xml:space="preserve"> uzdot organizēt reklāmas uzraudzību PTAC, lai tiktu ievēroti reklāmas pasniegšanas </w:t>
      </w:r>
      <w:r w:rsidRPr="006557B3">
        <w:rPr>
          <w:color w:val="000000"/>
        </w:rPr>
        <w:t>n</w:t>
      </w:r>
      <w:r w:rsidR="00872BB7" w:rsidRPr="006557B3">
        <w:rPr>
          <w:color w:val="000000"/>
        </w:rPr>
        <w:t xml:space="preserve">oteikumi un </w:t>
      </w:r>
      <w:r w:rsidRPr="006557B3">
        <w:rPr>
          <w:color w:val="000000"/>
        </w:rPr>
        <w:t>l</w:t>
      </w:r>
      <w:r w:rsidR="00872BB7" w:rsidRPr="006557B3">
        <w:rPr>
          <w:color w:val="000000"/>
        </w:rPr>
        <w:t>ikumi. Tomēr reklāmu nevajadzētu pilnīgi aizliegt, jo bez reklāmas sabiedrība nevar uzzināt par jauniem uztura bagātinātājiem;</w:t>
      </w:r>
    </w:p>
    <w:p w14:paraId="391FA2A6" w14:textId="56CB570E" w:rsidR="00872BB7" w:rsidRPr="006557B3" w:rsidRDefault="004C6A0B" w:rsidP="00C05C12">
      <w:pPr>
        <w:pStyle w:val="Paraststmeklis"/>
        <w:tabs>
          <w:tab w:val="left" w:pos="8647"/>
        </w:tabs>
        <w:spacing w:before="0" w:beforeAutospacing="0" w:after="0" w:afterAutospacing="0"/>
        <w:ind w:firstLine="709"/>
        <w:jc w:val="both"/>
      </w:pPr>
      <w:r w:rsidRPr="006557B3">
        <w:rPr>
          <w:color w:val="000000"/>
        </w:rPr>
        <w:t>c)</w:t>
      </w:r>
      <w:r w:rsidR="00872BB7" w:rsidRPr="006557B3">
        <w:rPr>
          <w:color w:val="000000"/>
        </w:rPr>
        <w:t> publicēt zinātniski pamatotus rakstus par uztura bagātinātājiem (bez farmakomitoloģijas) Latvijas Ārstu biedrības izdotajā izdevumā „Ārsts.lv”;</w:t>
      </w:r>
    </w:p>
    <w:p w14:paraId="0DAF93D9" w14:textId="4275BBEA" w:rsidR="00872BB7" w:rsidRPr="006557B3" w:rsidRDefault="004C6A0B" w:rsidP="00C05C12">
      <w:pPr>
        <w:pStyle w:val="Paraststmeklis"/>
        <w:tabs>
          <w:tab w:val="left" w:pos="8647"/>
        </w:tabs>
        <w:spacing w:before="0" w:beforeAutospacing="0" w:after="0" w:afterAutospacing="0"/>
        <w:ind w:firstLine="709"/>
        <w:jc w:val="both"/>
      </w:pPr>
      <w:r w:rsidRPr="006557B3">
        <w:rPr>
          <w:color w:val="000000"/>
        </w:rPr>
        <w:t>d)</w:t>
      </w:r>
      <w:r w:rsidR="00872BB7" w:rsidRPr="006557B3">
        <w:rPr>
          <w:color w:val="000000"/>
        </w:rPr>
        <w:t xml:space="preserve"> </w:t>
      </w:r>
      <w:r w:rsidRPr="006557B3">
        <w:rPr>
          <w:color w:val="000000"/>
        </w:rPr>
        <w:t>uzskatīt</w:t>
      </w:r>
      <w:r w:rsidR="00872BB7" w:rsidRPr="006557B3">
        <w:rPr>
          <w:color w:val="000000"/>
        </w:rPr>
        <w:t xml:space="preserve">, ka bezjēdzīgi uztura bagātinātāju pirkumi vai neapdomāta lietošana ir ļoti reta, bet uzmācīgas reklāmas ietekmē </w:t>
      </w:r>
      <w:r w:rsidRPr="006557B3">
        <w:rPr>
          <w:color w:val="000000"/>
        </w:rPr>
        <w:t>tā ir</w:t>
      </w:r>
      <w:r w:rsidR="00872BB7" w:rsidRPr="006557B3">
        <w:rPr>
          <w:color w:val="000000"/>
        </w:rPr>
        <w:t xml:space="preserve"> iespējama;</w:t>
      </w:r>
    </w:p>
    <w:p w14:paraId="23C7A1A2" w14:textId="1E1A2E15" w:rsidR="00872BB7" w:rsidRPr="006557B3" w:rsidRDefault="004C6A0B" w:rsidP="00C05C12">
      <w:pPr>
        <w:pStyle w:val="Paraststmeklis"/>
        <w:tabs>
          <w:tab w:val="left" w:pos="8647"/>
        </w:tabs>
        <w:spacing w:before="0" w:beforeAutospacing="0" w:after="0" w:afterAutospacing="0"/>
        <w:ind w:firstLine="709"/>
        <w:jc w:val="both"/>
      </w:pPr>
      <w:r w:rsidRPr="006557B3">
        <w:rPr>
          <w:color w:val="000000"/>
        </w:rPr>
        <w:t>e)</w:t>
      </w:r>
      <w:r w:rsidR="00872BB7" w:rsidRPr="006557B3">
        <w:rPr>
          <w:color w:val="000000"/>
        </w:rPr>
        <w:t xml:space="preserve"> informē</w:t>
      </w:r>
      <w:r w:rsidRPr="006557B3">
        <w:rPr>
          <w:color w:val="000000"/>
        </w:rPr>
        <w:t>t</w:t>
      </w:r>
      <w:r w:rsidR="00872BB7" w:rsidRPr="006557B3">
        <w:rPr>
          <w:color w:val="000000"/>
        </w:rPr>
        <w:t xml:space="preserve"> sabiedrīb</w:t>
      </w:r>
      <w:r w:rsidRPr="006557B3">
        <w:rPr>
          <w:color w:val="000000"/>
        </w:rPr>
        <w:t>u</w:t>
      </w:r>
      <w:r w:rsidR="00872BB7" w:rsidRPr="006557B3">
        <w:rPr>
          <w:color w:val="000000"/>
        </w:rPr>
        <w:t xml:space="preserve"> par nereģistrētiem un neatbilstošiem uztura bagātinātājiem, kuru lietošana var kaitēt veselībai</w:t>
      </w:r>
      <w:r w:rsidRPr="006557B3">
        <w:rPr>
          <w:color w:val="000000"/>
        </w:rPr>
        <w:t>, lai ierobežotu interneta tirdzniecību ar uztura bagātinātājiem</w:t>
      </w:r>
      <w:r w:rsidR="00872BB7" w:rsidRPr="006557B3">
        <w:rPr>
          <w:color w:val="000000"/>
        </w:rPr>
        <w:t>;</w:t>
      </w:r>
    </w:p>
    <w:p w14:paraId="3C90875D" w14:textId="164CE54A" w:rsidR="00872BB7" w:rsidRPr="006557B3" w:rsidRDefault="004C6A0B" w:rsidP="00C05C12">
      <w:pPr>
        <w:pStyle w:val="Paraststmeklis"/>
        <w:tabs>
          <w:tab w:val="left" w:pos="8647"/>
        </w:tabs>
        <w:spacing w:before="0" w:beforeAutospacing="0" w:after="0" w:afterAutospacing="0"/>
        <w:ind w:firstLine="709"/>
        <w:jc w:val="both"/>
        <w:rPr>
          <w:color w:val="000000"/>
        </w:rPr>
      </w:pPr>
      <w:r w:rsidRPr="006557B3">
        <w:rPr>
          <w:color w:val="000000"/>
        </w:rPr>
        <w:lastRenderedPageBreak/>
        <w:t>f) apzināties, ka</w:t>
      </w:r>
      <w:r w:rsidR="00872BB7" w:rsidRPr="006557B3">
        <w:rPr>
          <w:color w:val="000000"/>
        </w:rPr>
        <w:t xml:space="preserve"> uztura bagātinātājiem ir jābūt veselībai drošiem un noderīgiem</w:t>
      </w:r>
      <w:r w:rsidRPr="006557B3">
        <w:rPr>
          <w:color w:val="000000"/>
        </w:rPr>
        <w:t xml:space="preserve"> un</w:t>
      </w:r>
      <w:r w:rsidR="00872BB7" w:rsidRPr="006557B3">
        <w:rPr>
          <w:color w:val="000000"/>
        </w:rPr>
        <w:t xml:space="preserve"> bez tiem tuvākajā nākotnē nevarēs iztikt. Pētījumi liecina, ka cilvēki, kas lieto uztura bagātinātājus, dzīvo ilgāk un kvalitatīvāk.</w:t>
      </w:r>
    </w:p>
    <w:p w14:paraId="2FD6B124" w14:textId="77777777" w:rsidR="00AA4559" w:rsidRPr="006557B3" w:rsidRDefault="00AA4559" w:rsidP="00C05C12">
      <w:pPr>
        <w:pStyle w:val="Paraststmeklis"/>
        <w:tabs>
          <w:tab w:val="left" w:pos="8647"/>
        </w:tabs>
        <w:spacing w:before="0" w:beforeAutospacing="0" w:after="0" w:afterAutospacing="0"/>
        <w:ind w:firstLine="709"/>
        <w:jc w:val="both"/>
        <w:rPr>
          <w:color w:val="000000"/>
        </w:rPr>
      </w:pPr>
    </w:p>
    <w:p w14:paraId="65E3C66D" w14:textId="030815D5" w:rsidR="00872BB7" w:rsidRPr="006557B3" w:rsidRDefault="000E6C60" w:rsidP="00C05C12">
      <w:pPr>
        <w:keepNext/>
        <w:tabs>
          <w:tab w:val="left" w:pos="8647"/>
        </w:tabs>
        <w:autoSpaceDE w:val="0"/>
        <w:autoSpaceDN w:val="0"/>
        <w:adjustRightInd w:val="0"/>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t xml:space="preserve">5.4. </w:t>
      </w:r>
      <w:r w:rsidR="00872BB7" w:rsidRPr="006557B3">
        <w:rPr>
          <w:rFonts w:ascii="Times New Roman" w:hAnsi="Times New Roman" w:cs="Times New Roman"/>
          <w:b/>
          <w:sz w:val="24"/>
          <w:szCs w:val="24"/>
          <w:lang w:val="lv-LV"/>
        </w:rPr>
        <w:t>Inovatīvo biomedicīnas tehnoloģiju institūta (</w:t>
      </w:r>
      <w:r w:rsidR="004C6A0B" w:rsidRPr="006557B3">
        <w:rPr>
          <w:rFonts w:ascii="Times New Roman" w:hAnsi="Times New Roman" w:cs="Times New Roman"/>
          <w:b/>
          <w:sz w:val="24"/>
          <w:szCs w:val="24"/>
          <w:lang w:val="lv-LV"/>
        </w:rPr>
        <w:t xml:space="preserve">turpmāk – </w:t>
      </w:r>
      <w:r w:rsidR="00872BB7" w:rsidRPr="006557B3">
        <w:rPr>
          <w:rFonts w:ascii="Times New Roman" w:hAnsi="Times New Roman" w:cs="Times New Roman"/>
          <w:b/>
          <w:sz w:val="24"/>
          <w:szCs w:val="24"/>
          <w:lang w:val="lv-LV"/>
        </w:rPr>
        <w:t>IBTI)</w:t>
      </w:r>
      <w:r w:rsidR="00872BB7" w:rsidRPr="006557B3">
        <w:rPr>
          <w:rFonts w:ascii="Times New Roman" w:hAnsi="Times New Roman" w:cs="Times New Roman"/>
          <w:sz w:val="24"/>
          <w:szCs w:val="24"/>
          <w:lang w:val="lv-LV"/>
        </w:rPr>
        <w:t xml:space="preserve"> </w:t>
      </w:r>
      <w:r w:rsidR="00872BB7" w:rsidRPr="006557B3">
        <w:rPr>
          <w:rFonts w:ascii="Times New Roman" w:hAnsi="Times New Roman" w:cs="Times New Roman"/>
          <w:b/>
          <w:sz w:val="24"/>
          <w:szCs w:val="24"/>
          <w:lang w:val="lv-LV"/>
        </w:rPr>
        <w:t xml:space="preserve">priekšlikumi </w:t>
      </w:r>
    </w:p>
    <w:p w14:paraId="6E403BA1" w14:textId="1F04FF8F" w:rsidR="00872BB7" w:rsidRPr="006557B3" w:rsidRDefault="004C6A0B" w:rsidP="00C05C12">
      <w:pPr>
        <w:keepNext/>
        <w:tabs>
          <w:tab w:val="left" w:pos="8647"/>
        </w:tabs>
        <w:autoSpaceDE w:val="0"/>
        <w:autoSpaceDN w:val="0"/>
        <w:adjustRightInd w:val="0"/>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t>IBTI a</w:t>
      </w:r>
      <w:r w:rsidR="00872BB7" w:rsidRPr="006557B3">
        <w:rPr>
          <w:rFonts w:ascii="Times New Roman" w:hAnsi="Times New Roman" w:cs="Times New Roman"/>
          <w:b/>
          <w:sz w:val="24"/>
          <w:szCs w:val="24"/>
          <w:lang w:val="lv-LV"/>
        </w:rPr>
        <w:t>tbalsta:</w:t>
      </w:r>
    </w:p>
    <w:p w14:paraId="28E35F14" w14:textId="535BFDFC" w:rsidR="004C6A0B" w:rsidRPr="006557B3" w:rsidRDefault="004C6A0B" w:rsidP="00C05C12">
      <w:pPr>
        <w:pStyle w:val="Sarakstarindkopa"/>
        <w:tabs>
          <w:tab w:val="left" w:pos="8647"/>
        </w:tabs>
        <w:autoSpaceDE w:val="0"/>
        <w:autoSpaceDN w:val="0"/>
        <w:adjustRightInd w:val="0"/>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 xml:space="preserve">a) cīņas </w:t>
      </w:r>
      <w:r w:rsidR="00872BB7" w:rsidRPr="006557B3">
        <w:rPr>
          <w:rFonts w:ascii="Times New Roman" w:hAnsi="Times New Roman"/>
          <w:sz w:val="24"/>
          <w:szCs w:val="24"/>
          <w:lang w:val="lv-LV"/>
        </w:rPr>
        <w:t>pastiprinā</w:t>
      </w:r>
      <w:r w:rsidRPr="006557B3">
        <w:rPr>
          <w:rFonts w:ascii="Times New Roman" w:hAnsi="Times New Roman"/>
          <w:sz w:val="24"/>
          <w:szCs w:val="24"/>
          <w:lang w:val="lv-LV"/>
        </w:rPr>
        <w:t>šanu</w:t>
      </w:r>
      <w:r w:rsidR="00872BB7" w:rsidRPr="006557B3">
        <w:rPr>
          <w:rFonts w:ascii="Times New Roman" w:hAnsi="Times New Roman"/>
          <w:sz w:val="24"/>
          <w:szCs w:val="24"/>
          <w:lang w:val="lv-LV"/>
        </w:rPr>
        <w:t xml:space="preserve"> ar nereģistrētu uztura bagātinātāju izplatīšanu, īpaši internetā; </w:t>
      </w:r>
    </w:p>
    <w:p w14:paraId="313C8F3E" w14:textId="0B2B8FC1" w:rsidR="00872BB7" w:rsidRPr="006557B3" w:rsidRDefault="004C6A0B" w:rsidP="00C05C12">
      <w:pPr>
        <w:pStyle w:val="Sarakstarindkopa"/>
        <w:tabs>
          <w:tab w:val="left" w:pos="8647"/>
        </w:tabs>
        <w:autoSpaceDE w:val="0"/>
        <w:autoSpaceDN w:val="0"/>
        <w:adjustRightInd w:val="0"/>
        <w:spacing w:after="0" w:line="240" w:lineRule="auto"/>
        <w:jc w:val="both"/>
        <w:rPr>
          <w:rFonts w:ascii="Times New Roman" w:hAnsi="Times New Roman"/>
          <w:b/>
          <w:color w:val="000000"/>
          <w:sz w:val="24"/>
          <w:szCs w:val="24"/>
          <w:lang w:val="lv-LV"/>
        </w:rPr>
      </w:pPr>
      <w:r w:rsidRPr="006557B3">
        <w:rPr>
          <w:rFonts w:ascii="Times New Roman" w:hAnsi="Times New Roman"/>
          <w:sz w:val="24"/>
          <w:szCs w:val="24"/>
          <w:lang w:val="lv-LV"/>
        </w:rPr>
        <w:t>b) </w:t>
      </w:r>
      <w:r w:rsidR="00872BB7" w:rsidRPr="006557B3">
        <w:rPr>
          <w:rFonts w:ascii="Times New Roman" w:hAnsi="Times New Roman"/>
          <w:sz w:val="24"/>
          <w:szCs w:val="24"/>
          <w:lang w:val="lv-LV"/>
        </w:rPr>
        <w:t>stingrāku kontroli no trešajām valstīm importētiem uztura bagātinātājiem.</w:t>
      </w:r>
    </w:p>
    <w:p w14:paraId="7B500BD2" w14:textId="2136A579" w:rsidR="00872BB7" w:rsidRPr="006557B3" w:rsidRDefault="004C6A0B" w:rsidP="00C05C12">
      <w:pPr>
        <w:tabs>
          <w:tab w:val="left" w:pos="8647"/>
        </w:tabs>
        <w:autoSpaceDE w:val="0"/>
        <w:autoSpaceDN w:val="0"/>
        <w:adjustRightInd w:val="0"/>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t>IBTI i</w:t>
      </w:r>
      <w:r w:rsidR="00872BB7" w:rsidRPr="006557B3">
        <w:rPr>
          <w:rFonts w:ascii="Times New Roman" w:hAnsi="Times New Roman" w:cs="Times New Roman"/>
          <w:b/>
          <w:sz w:val="24"/>
          <w:szCs w:val="24"/>
          <w:lang w:val="lv-LV"/>
        </w:rPr>
        <w:t>erosina:</w:t>
      </w:r>
    </w:p>
    <w:p w14:paraId="48E2705F" w14:textId="66222FEA" w:rsidR="00872BB7" w:rsidRPr="006557B3" w:rsidRDefault="004C6A0B" w:rsidP="00C05C12">
      <w:pPr>
        <w:tabs>
          <w:tab w:val="left" w:pos="8647"/>
        </w:tabs>
        <w:autoSpaceDE w:val="0"/>
        <w:autoSpaceDN w:val="0"/>
        <w:adjustRightInd w:val="0"/>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a)</w:t>
      </w:r>
      <w:r w:rsidR="00872BB7" w:rsidRPr="006557B3">
        <w:rPr>
          <w:rFonts w:ascii="Times New Roman" w:hAnsi="Times New Roman" w:cs="Times New Roman"/>
          <w:sz w:val="24"/>
          <w:szCs w:val="24"/>
          <w:lang w:val="lv-LV"/>
        </w:rPr>
        <w:t xml:space="preserve"> 2016. gadā izstrādāt noteikumus par augu vai to daļu daudzum</w:t>
      </w:r>
      <w:r w:rsidRPr="006557B3">
        <w:rPr>
          <w:rFonts w:ascii="Times New Roman" w:hAnsi="Times New Roman" w:cs="Times New Roman"/>
          <w:sz w:val="24"/>
          <w:szCs w:val="24"/>
          <w:lang w:val="lv-LV"/>
        </w:rPr>
        <w:t>u</w:t>
      </w:r>
      <w:r w:rsidR="00872BB7" w:rsidRPr="006557B3">
        <w:rPr>
          <w:rFonts w:ascii="Times New Roman" w:hAnsi="Times New Roman" w:cs="Times New Roman"/>
          <w:sz w:val="24"/>
          <w:szCs w:val="24"/>
          <w:lang w:val="lv-LV"/>
        </w:rPr>
        <w:t xml:space="preserve"> un citu vielu daudzum</w:t>
      </w:r>
      <w:r w:rsidRPr="006557B3">
        <w:rPr>
          <w:rFonts w:ascii="Times New Roman" w:hAnsi="Times New Roman" w:cs="Times New Roman"/>
          <w:sz w:val="24"/>
          <w:szCs w:val="24"/>
          <w:lang w:val="lv-LV"/>
        </w:rPr>
        <w:t>u</w:t>
      </w:r>
      <w:r w:rsidR="00872BB7" w:rsidRPr="006557B3">
        <w:rPr>
          <w:rFonts w:ascii="Times New Roman" w:hAnsi="Times New Roman" w:cs="Times New Roman"/>
          <w:sz w:val="24"/>
          <w:szCs w:val="24"/>
          <w:lang w:val="lv-LV"/>
        </w:rPr>
        <w:t xml:space="preserve">, ko </w:t>
      </w:r>
      <w:r w:rsidRPr="006557B3">
        <w:rPr>
          <w:rFonts w:ascii="Times New Roman" w:hAnsi="Times New Roman" w:cs="Times New Roman"/>
          <w:sz w:val="24"/>
          <w:szCs w:val="24"/>
          <w:lang w:val="lv-LV"/>
        </w:rPr>
        <w:t>atļauts</w:t>
      </w:r>
      <w:r w:rsidR="00872BB7" w:rsidRPr="006557B3">
        <w:rPr>
          <w:rFonts w:ascii="Times New Roman" w:hAnsi="Times New Roman" w:cs="Times New Roman"/>
          <w:sz w:val="24"/>
          <w:szCs w:val="24"/>
          <w:lang w:val="lv-LV"/>
        </w:rPr>
        <w:t xml:space="preserve"> izmantot uztura bagātinātāju ražošanā, </w:t>
      </w:r>
      <w:r w:rsidRPr="006557B3">
        <w:rPr>
          <w:rFonts w:ascii="Times New Roman" w:hAnsi="Times New Roman" w:cs="Times New Roman"/>
          <w:sz w:val="24"/>
          <w:szCs w:val="24"/>
          <w:lang w:val="lv-LV"/>
        </w:rPr>
        <w:t xml:space="preserve">kā arī </w:t>
      </w:r>
      <w:r w:rsidR="00872BB7" w:rsidRPr="006557B3">
        <w:rPr>
          <w:rFonts w:ascii="Times New Roman" w:hAnsi="Times New Roman" w:cs="Times New Roman"/>
          <w:sz w:val="24"/>
          <w:szCs w:val="24"/>
          <w:lang w:val="lv-LV"/>
        </w:rPr>
        <w:t>par vielām un augiem, kas aizliegti uztura bagātinātāju ražošanā;</w:t>
      </w:r>
    </w:p>
    <w:p w14:paraId="5DA35CFF" w14:textId="18007251" w:rsidR="004C6A0B" w:rsidRPr="006557B3" w:rsidRDefault="004C6A0B" w:rsidP="00C05C12">
      <w:pPr>
        <w:tabs>
          <w:tab w:val="left" w:pos="8647"/>
        </w:tabs>
        <w:autoSpaceDE w:val="0"/>
        <w:autoSpaceDN w:val="0"/>
        <w:adjustRightInd w:val="0"/>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b) </w:t>
      </w:r>
      <w:r w:rsidR="00872BB7" w:rsidRPr="006557B3">
        <w:rPr>
          <w:rFonts w:ascii="Times New Roman" w:hAnsi="Times New Roman" w:cs="Times New Roman"/>
          <w:sz w:val="24"/>
          <w:szCs w:val="24"/>
          <w:lang w:val="lv-LV"/>
        </w:rPr>
        <w:t xml:space="preserve">apspriest iespēju </w:t>
      </w:r>
      <w:r w:rsidRPr="006557B3">
        <w:rPr>
          <w:rFonts w:ascii="Times New Roman" w:hAnsi="Times New Roman" w:cs="Times New Roman"/>
          <w:sz w:val="24"/>
          <w:szCs w:val="24"/>
          <w:lang w:val="lv-LV"/>
        </w:rPr>
        <w:t xml:space="preserve">par </w:t>
      </w:r>
      <w:r w:rsidR="00872BB7" w:rsidRPr="006557B3">
        <w:rPr>
          <w:rFonts w:ascii="Times New Roman" w:hAnsi="Times New Roman" w:cs="Times New Roman"/>
          <w:sz w:val="24"/>
          <w:szCs w:val="24"/>
          <w:lang w:val="lv-LV"/>
        </w:rPr>
        <w:t>uztura bagātinātāju uzcenojuma regulēšanu aptiekās;</w:t>
      </w:r>
    </w:p>
    <w:p w14:paraId="72BD1930" w14:textId="69840203" w:rsidR="00872BB7" w:rsidRPr="006557B3" w:rsidRDefault="004C6A0B" w:rsidP="00C05C12">
      <w:pPr>
        <w:tabs>
          <w:tab w:val="left" w:pos="8647"/>
        </w:tabs>
        <w:autoSpaceDE w:val="0"/>
        <w:autoSpaceDN w:val="0"/>
        <w:adjustRightInd w:val="0"/>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c) </w:t>
      </w:r>
      <w:r w:rsidR="00872BB7" w:rsidRPr="006557B3">
        <w:rPr>
          <w:rFonts w:ascii="Times New Roman" w:hAnsi="Times New Roman" w:cs="Times New Roman"/>
          <w:sz w:val="24"/>
          <w:szCs w:val="24"/>
          <w:lang w:val="lv-LV"/>
        </w:rPr>
        <w:t>kvalifikācijas celšanas nolūk</w:t>
      </w:r>
      <w:r w:rsidRPr="006557B3">
        <w:rPr>
          <w:rFonts w:ascii="Times New Roman" w:hAnsi="Times New Roman" w:cs="Times New Roman"/>
          <w:sz w:val="24"/>
          <w:szCs w:val="24"/>
          <w:lang w:val="lv-LV"/>
        </w:rPr>
        <w:t>ā</w:t>
      </w:r>
      <w:r w:rsidR="00872BB7" w:rsidRPr="006557B3">
        <w:rPr>
          <w:rFonts w:ascii="Times New Roman" w:hAnsi="Times New Roman" w:cs="Times New Roman"/>
          <w:sz w:val="24"/>
          <w:szCs w:val="24"/>
          <w:lang w:val="lv-LV"/>
        </w:rPr>
        <w:t xml:space="preserve"> organizēt Zemkopības </w:t>
      </w:r>
      <w:r w:rsidRPr="006557B3">
        <w:rPr>
          <w:rFonts w:ascii="Times New Roman" w:hAnsi="Times New Roman" w:cs="Times New Roman"/>
          <w:sz w:val="24"/>
          <w:szCs w:val="24"/>
          <w:lang w:val="lv-LV"/>
        </w:rPr>
        <w:t>m</w:t>
      </w:r>
      <w:r w:rsidR="00872BB7" w:rsidRPr="006557B3">
        <w:rPr>
          <w:rFonts w:ascii="Times New Roman" w:hAnsi="Times New Roman" w:cs="Times New Roman"/>
          <w:sz w:val="24"/>
          <w:szCs w:val="24"/>
          <w:lang w:val="lv-LV"/>
        </w:rPr>
        <w:t>inistrijas darbiniekiem semināru par uztura bagātinātāju lietošanas pamatotību, bioloģiskajiem efektiem, kā arī pasaules tendencēm uztura bagātinātāju izstrādē un izplatīšanā. IBTI var uzņemties noorganizēt semināru, pieaicinot arī ārstus;</w:t>
      </w:r>
    </w:p>
    <w:p w14:paraId="5B7C3DCC" w14:textId="78631F29" w:rsidR="00872BB7" w:rsidRPr="006557B3" w:rsidRDefault="004C6A0B" w:rsidP="00C05C12">
      <w:pPr>
        <w:tabs>
          <w:tab w:val="left" w:pos="8647"/>
        </w:tabs>
        <w:autoSpaceDE w:val="0"/>
        <w:autoSpaceDN w:val="0"/>
        <w:adjustRightInd w:val="0"/>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d)</w:t>
      </w:r>
      <w:r w:rsidR="00872BB7"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 xml:space="preserve">organizēt izglītojošu semināru pārtikas ražotājiem, lai </w:t>
      </w:r>
      <w:r w:rsidR="00872BB7" w:rsidRPr="006557B3">
        <w:rPr>
          <w:rFonts w:ascii="Times New Roman" w:hAnsi="Times New Roman" w:cs="Times New Roman"/>
          <w:sz w:val="24"/>
          <w:szCs w:val="24"/>
          <w:lang w:val="lv-LV"/>
        </w:rPr>
        <w:t>veicināt</w:t>
      </w:r>
      <w:r w:rsidRPr="006557B3">
        <w:rPr>
          <w:rFonts w:ascii="Times New Roman" w:hAnsi="Times New Roman" w:cs="Times New Roman"/>
          <w:sz w:val="24"/>
          <w:szCs w:val="24"/>
          <w:lang w:val="lv-LV"/>
        </w:rPr>
        <w:t>u</w:t>
      </w:r>
      <w:r w:rsidR="00872BB7" w:rsidRPr="006557B3">
        <w:rPr>
          <w:rFonts w:ascii="Times New Roman" w:hAnsi="Times New Roman" w:cs="Times New Roman"/>
          <w:sz w:val="24"/>
          <w:szCs w:val="24"/>
          <w:lang w:val="lv-LV"/>
        </w:rPr>
        <w:t xml:space="preserve"> interesi ražot veselīg</w:t>
      </w:r>
      <w:r w:rsidRPr="006557B3">
        <w:rPr>
          <w:rFonts w:ascii="Times New Roman" w:hAnsi="Times New Roman" w:cs="Times New Roman"/>
          <w:sz w:val="24"/>
          <w:szCs w:val="24"/>
          <w:lang w:val="lv-LV"/>
        </w:rPr>
        <w:t>us</w:t>
      </w:r>
      <w:r w:rsidR="00872BB7" w:rsidRPr="006557B3">
        <w:rPr>
          <w:rFonts w:ascii="Times New Roman" w:hAnsi="Times New Roman" w:cs="Times New Roman"/>
          <w:sz w:val="24"/>
          <w:szCs w:val="24"/>
          <w:lang w:val="lv-LV"/>
        </w:rPr>
        <w:t xml:space="preserve"> pārtikas produktus.</w:t>
      </w:r>
    </w:p>
    <w:p w14:paraId="2E7A95EF" w14:textId="77777777" w:rsidR="00AA4559" w:rsidRPr="006557B3" w:rsidRDefault="00AA4559" w:rsidP="00C05C12">
      <w:pPr>
        <w:tabs>
          <w:tab w:val="left" w:pos="8647"/>
        </w:tabs>
        <w:autoSpaceDE w:val="0"/>
        <w:autoSpaceDN w:val="0"/>
        <w:adjustRightInd w:val="0"/>
        <w:spacing w:after="0" w:line="240" w:lineRule="auto"/>
        <w:ind w:firstLine="709"/>
        <w:jc w:val="both"/>
        <w:rPr>
          <w:rFonts w:ascii="Times New Roman" w:hAnsi="Times New Roman" w:cs="Times New Roman"/>
          <w:sz w:val="24"/>
          <w:szCs w:val="24"/>
          <w:lang w:val="lv-LV"/>
        </w:rPr>
      </w:pPr>
    </w:p>
    <w:p w14:paraId="7E792869" w14:textId="77777777" w:rsidR="00872BB7" w:rsidRPr="006557B3" w:rsidRDefault="004649A1" w:rsidP="00C05C12">
      <w:pPr>
        <w:keepNext/>
        <w:tabs>
          <w:tab w:val="left" w:pos="8647"/>
        </w:tabs>
        <w:autoSpaceDE w:val="0"/>
        <w:autoSpaceDN w:val="0"/>
        <w:adjustRightInd w:val="0"/>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t xml:space="preserve">5.5. </w:t>
      </w:r>
      <w:r w:rsidR="00872BB7" w:rsidRPr="006557B3">
        <w:rPr>
          <w:rFonts w:ascii="Times New Roman" w:hAnsi="Times New Roman" w:cs="Times New Roman"/>
          <w:b/>
          <w:sz w:val="24"/>
          <w:szCs w:val="24"/>
          <w:lang w:val="lv-LV"/>
        </w:rPr>
        <w:t xml:space="preserve">SIA “SILVANOLS” priekšlikumi </w:t>
      </w:r>
    </w:p>
    <w:p w14:paraId="09102EC5" w14:textId="0DAF6541" w:rsidR="00872BB7" w:rsidRPr="006557B3" w:rsidRDefault="00910A43" w:rsidP="00C05C12">
      <w:pPr>
        <w:keepNext/>
        <w:tabs>
          <w:tab w:val="left" w:pos="8647"/>
        </w:tabs>
        <w:spacing w:after="0" w:line="240" w:lineRule="auto"/>
        <w:jc w:val="both"/>
        <w:rPr>
          <w:rFonts w:ascii="Times New Roman" w:hAnsi="Times New Roman" w:cs="Times New Roman"/>
          <w:color w:val="000000"/>
          <w:sz w:val="24"/>
          <w:szCs w:val="24"/>
          <w:lang w:val="lv-LV"/>
        </w:rPr>
      </w:pPr>
      <w:r w:rsidRPr="006557B3">
        <w:rPr>
          <w:rFonts w:ascii="Times New Roman" w:hAnsi="Times New Roman" w:cs="Times New Roman"/>
          <w:b/>
          <w:sz w:val="24"/>
          <w:szCs w:val="24"/>
          <w:lang w:val="lv-LV"/>
        </w:rPr>
        <w:t xml:space="preserve">SIA “SILVANOLS” </w:t>
      </w:r>
      <w:r w:rsidRPr="006557B3">
        <w:rPr>
          <w:rFonts w:ascii="Times New Roman" w:hAnsi="Times New Roman" w:cs="Times New Roman"/>
          <w:b/>
          <w:color w:val="000000"/>
          <w:sz w:val="24"/>
          <w:szCs w:val="24"/>
          <w:lang w:val="lv-LV"/>
        </w:rPr>
        <w:t>a</w:t>
      </w:r>
      <w:r w:rsidR="00872BB7" w:rsidRPr="006557B3">
        <w:rPr>
          <w:rFonts w:ascii="Times New Roman" w:hAnsi="Times New Roman" w:cs="Times New Roman"/>
          <w:b/>
          <w:color w:val="000000"/>
          <w:sz w:val="24"/>
          <w:szCs w:val="24"/>
          <w:lang w:val="lv-LV"/>
        </w:rPr>
        <w:t>tbalsta:</w:t>
      </w:r>
    </w:p>
    <w:p w14:paraId="4CDF0153" w14:textId="5D9DE587" w:rsidR="00872BB7" w:rsidRPr="006557B3" w:rsidRDefault="00910A43" w:rsidP="00C05C12">
      <w:pPr>
        <w:pStyle w:val="Sarakstarindkopa"/>
        <w:tabs>
          <w:tab w:val="left" w:pos="8647"/>
        </w:tabs>
        <w:suppressAutoHyphens/>
        <w:spacing w:after="0" w:line="240" w:lineRule="auto"/>
        <w:ind w:left="0" w:firstLine="709"/>
        <w:jc w:val="both"/>
        <w:rPr>
          <w:rFonts w:ascii="Times New Roman" w:hAnsi="Times New Roman"/>
          <w:color w:val="000000"/>
          <w:sz w:val="24"/>
          <w:szCs w:val="24"/>
          <w:lang w:val="lv-LV"/>
        </w:rPr>
      </w:pPr>
      <w:r w:rsidRPr="006557B3">
        <w:rPr>
          <w:rFonts w:ascii="Times New Roman" w:hAnsi="Times New Roman"/>
          <w:color w:val="000000"/>
          <w:sz w:val="24"/>
          <w:szCs w:val="24"/>
          <w:lang w:val="lv-LV"/>
        </w:rPr>
        <w:t>a)</w:t>
      </w:r>
      <w:r w:rsidR="00872BB7" w:rsidRPr="006557B3">
        <w:rPr>
          <w:rFonts w:ascii="Times New Roman" w:hAnsi="Times New Roman"/>
          <w:color w:val="000000"/>
          <w:sz w:val="24"/>
          <w:szCs w:val="24"/>
          <w:lang w:val="lv-LV"/>
        </w:rPr>
        <w:t xml:space="preserve"> papildu finansējuma piešķiršanu uztura bagātinātāju kontrolējošajām institūcijām;</w:t>
      </w:r>
    </w:p>
    <w:p w14:paraId="2242AB1D" w14:textId="0D7B4E47" w:rsidR="00872BB7" w:rsidRPr="006557B3" w:rsidRDefault="00910A43" w:rsidP="00C05C12">
      <w:pPr>
        <w:pStyle w:val="Sarakstarindkopa"/>
        <w:tabs>
          <w:tab w:val="left" w:pos="8647"/>
        </w:tabs>
        <w:suppressAutoHyphens/>
        <w:spacing w:after="0" w:line="240" w:lineRule="auto"/>
        <w:ind w:left="0" w:firstLine="709"/>
        <w:jc w:val="both"/>
        <w:rPr>
          <w:rFonts w:ascii="Times New Roman" w:hAnsi="Times New Roman"/>
          <w:color w:val="000000"/>
          <w:sz w:val="24"/>
          <w:szCs w:val="24"/>
          <w:lang w:val="lv-LV"/>
        </w:rPr>
      </w:pPr>
      <w:r w:rsidRPr="006557B3">
        <w:rPr>
          <w:rFonts w:ascii="Times New Roman" w:hAnsi="Times New Roman"/>
          <w:sz w:val="24"/>
          <w:szCs w:val="24"/>
          <w:lang w:val="lv-LV"/>
        </w:rPr>
        <w:t>b)</w:t>
      </w:r>
      <w:r w:rsidR="00872BB7" w:rsidRPr="006557B3">
        <w:rPr>
          <w:rFonts w:ascii="Times New Roman" w:hAnsi="Times New Roman"/>
          <w:sz w:val="24"/>
          <w:szCs w:val="24"/>
          <w:lang w:val="lv-LV"/>
        </w:rPr>
        <w:t xml:space="preserve"> pētījumu par uztura bagātinātājiem Latvijā, to lietošanas vai izvēles pamatojumiem; </w:t>
      </w:r>
    </w:p>
    <w:p w14:paraId="72AB48D4" w14:textId="1D7BBB6D" w:rsidR="00872BB7" w:rsidRPr="006557B3" w:rsidRDefault="00910A43" w:rsidP="00C05C12">
      <w:pPr>
        <w:pStyle w:val="Sarakstarindkopa"/>
        <w:tabs>
          <w:tab w:val="left" w:pos="8647"/>
        </w:tabs>
        <w:suppressAutoHyphens/>
        <w:spacing w:after="0" w:line="240" w:lineRule="auto"/>
        <w:ind w:left="0" w:firstLine="709"/>
        <w:jc w:val="both"/>
        <w:rPr>
          <w:rFonts w:ascii="Times New Roman" w:hAnsi="Times New Roman"/>
          <w:color w:val="000000"/>
          <w:sz w:val="24"/>
          <w:szCs w:val="24"/>
          <w:lang w:val="lv-LV"/>
        </w:rPr>
      </w:pPr>
      <w:r w:rsidRPr="006557B3">
        <w:rPr>
          <w:rFonts w:ascii="Times New Roman" w:hAnsi="Times New Roman"/>
          <w:color w:val="000000"/>
          <w:sz w:val="24"/>
          <w:szCs w:val="24"/>
          <w:lang w:val="lv-LV"/>
        </w:rPr>
        <w:t>c)</w:t>
      </w:r>
      <w:r w:rsidR="00872BB7" w:rsidRPr="006557B3">
        <w:rPr>
          <w:rFonts w:ascii="Times New Roman" w:hAnsi="Times New Roman"/>
          <w:color w:val="000000"/>
          <w:sz w:val="24"/>
          <w:szCs w:val="24"/>
          <w:lang w:val="lv-LV"/>
        </w:rPr>
        <w:t xml:space="preserve"> pastiprinātu </w:t>
      </w:r>
      <w:r w:rsidRPr="006557B3">
        <w:rPr>
          <w:rFonts w:ascii="Times New Roman" w:hAnsi="Times New Roman"/>
          <w:color w:val="000000"/>
          <w:sz w:val="24"/>
          <w:szCs w:val="24"/>
          <w:lang w:val="lv-LV"/>
        </w:rPr>
        <w:t xml:space="preserve">kontroli </w:t>
      </w:r>
      <w:r w:rsidR="00872BB7" w:rsidRPr="006557B3">
        <w:rPr>
          <w:rFonts w:ascii="Times New Roman" w:hAnsi="Times New Roman"/>
          <w:color w:val="000000"/>
          <w:sz w:val="24"/>
          <w:szCs w:val="24"/>
          <w:lang w:val="lv-LV"/>
        </w:rPr>
        <w:t>uztura bagātinātāj</w:t>
      </w:r>
      <w:r w:rsidRPr="006557B3">
        <w:rPr>
          <w:rFonts w:ascii="Times New Roman" w:hAnsi="Times New Roman"/>
          <w:color w:val="000000"/>
          <w:sz w:val="24"/>
          <w:szCs w:val="24"/>
          <w:lang w:val="lv-LV"/>
        </w:rPr>
        <w:t>iem</w:t>
      </w:r>
      <w:r w:rsidR="00872BB7" w:rsidRPr="006557B3">
        <w:rPr>
          <w:rFonts w:ascii="Times New Roman" w:hAnsi="Times New Roman"/>
          <w:color w:val="000000"/>
          <w:sz w:val="24"/>
          <w:szCs w:val="24"/>
          <w:lang w:val="lv-LV"/>
        </w:rPr>
        <w:t xml:space="preserve">, īpaši </w:t>
      </w:r>
      <w:r w:rsidRPr="006557B3">
        <w:rPr>
          <w:rFonts w:ascii="Times New Roman" w:hAnsi="Times New Roman"/>
          <w:color w:val="000000"/>
          <w:sz w:val="24"/>
          <w:szCs w:val="24"/>
          <w:lang w:val="lv-LV"/>
        </w:rPr>
        <w:t>tiem</w:t>
      </w:r>
      <w:r w:rsidR="00872BB7" w:rsidRPr="006557B3">
        <w:rPr>
          <w:rFonts w:ascii="Times New Roman" w:hAnsi="Times New Roman"/>
          <w:color w:val="000000"/>
          <w:sz w:val="24"/>
          <w:szCs w:val="24"/>
          <w:lang w:val="lv-LV"/>
        </w:rPr>
        <w:t>, kas ražoti ārpus Latvijas</w:t>
      </w:r>
      <w:r w:rsidRPr="006557B3">
        <w:rPr>
          <w:rFonts w:ascii="Times New Roman" w:hAnsi="Times New Roman"/>
          <w:color w:val="000000"/>
          <w:sz w:val="24"/>
          <w:szCs w:val="24"/>
          <w:lang w:val="lv-LV"/>
        </w:rPr>
        <w:t xml:space="preserve"> un</w:t>
      </w:r>
      <w:r w:rsidR="00872BB7" w:rsidRPr="006557B3">
        <w:rPr>
          <w:rFonts w:ascii="Times New Roman" w:hAnsi="Times New Roman"/>
          <w:color w:val="000000"/>
          <w:sz w:val="24"/>
          <w:szCs w:val="24"/>
          <w:lang w:val="lv-LV"/>
        </w:rPr>
        <w:t xml:space="preserve"> Eiropas Ekonomiskās zonas</w:t>
      </w:r>
      <w:r w:rsidRPr="006557B3">
        <w:rPr>
          <w:rFonts w:ascii="Times New Roman" w:hAnsi="Times New Roman"/>
          <w:color w:val="000000"/>
          <w:sz w:val="24"/>
          <w:szCs w:val="24"/>
          <w:lang w:val="lv-LV"/>
        </w:rPr>
        <w:t>,</w:t>
      </w:r>
      <w:r w:rsidR="00872BB7" w:rsidRPr="006557B3">
        <w:rPr>
          <w:rFonts w:ascii="Times New Roman" w:hAnsi="Times New Roman"/>
          <w:color w:val="000000"/>
          <w:sz w:val="24"/>
          <w:szCs w:val="24"/>
          <w:lang w:val="lv-LV"/>
        </w:rPr>
        <w:t xml:space="preserve"> tādējādi nodrošinot </w:t>
      </w:r>
      <w:r w:rsidRPr="006557B3">
        <w:rPr>
          <w:rFonts w:ascii="Times New Roman" w:hAnsi="Times New Roman"/>
          <w:color w:val="000000"/>
          <w:sz w:val="24"/>
          <w:szCs w:val="24"/>
          <w:lang w:val="lv-LV"/>
        </w:rPr>
        <w:t xml:space="preserve">uztura bagātinātāju </w:t>
      </w:r>
      <w:r w:rsidR="00872BB7" w:rsidRPr="006557B3">
        <w:rPr>
          <w:rFonts w:ascii="Times New Roman" w:hAnsi="Times New Roman"/>
          <w:color w:val="000000"/>
          <w:sz w:val="24"/>
          <w:szCs w:val="24"/>
          <w:lang w:val="lv-LV"/>
        </w:rPr>
        <w:t>nekaitīgumu un atbilstību nacionāl</w:t>
      </w:r>
      <w:r w:rsidRPr="006557B3">
        <w:rPr>
          <w:rFonts w:ascii="Times New Roman" w:hAnsi="Times New Roman"/>
          <w:color w:val="000000"/>
          <w:sz w:val="24"/>
          <w:szCs w:val="24"/>
          <w:lang w:val="lv-LV"/>
        </w:rPr>
        <w:t>o</w:t>
      </w:r>
      <w:r w:rsidR="00872BB7" w:rsidRPr="006557B3">
        <w:rPr>
          <w:rFonts w:ascii="Times New Roman" w:hAnsi="Times New Roman"/>
          <w:color w:val="000000"/>
          <w:sz w:val="24"/>
          <w:szCs w:val="24"/>
          <w:lang w:val="lv-LV"/>
        </w:rPr>
        <w:t xml:space="preserve"> </w:t>
      </w:r>
      <w:r w:rsidRPr="006557B3">
        <w:rPr>
          <w:rFonts w:ascii="Times New Roman" w:hAnsi="Times New Roman"/>
          <w:color w:val="000000"/>
          <w:sz w:val="24"/>
          <w:szCs w:val="24"/>
          <w:lang w:val="lv-LV"/>
        </w:rPr>
        <w:t>normatīvo</w:t>
      </w:r>
      <w:r w:rsidR="00872BB7" w:rsidRPr="006557B3">
        <w:rPr>
          <w:rFonts w:ascii="Times New Roman" w:hAnsi="Times New Roman"/>
          <w:color w:val="000000"/>
          <w:sz w:val="24"/>
          <w:szCs w:val="24"/>
          <w:lang w:val="lv-LV"/>
        </w:rPr>
        <w:t xml:space="preserve"> akt</w:t>
      </w:r>
      <w:r w:rsidRPr="006557B3">
        <w:rPr>
          <w:rFonts w:ascii="Times New Roman" w:hAnsi="Times New Roman"/>
          <w:color w:val="000000"/>
          <w:sz w:val="24"/>
          <w:szCs w:val="24"/>
          <w:lang w:val="lv-LV"/>
        </w:rPr>
        <w:t>u prasībām</w:t>
      </w:r>
      <w:r w:rsidR="00872BB7" w:rsidRPr="006557B3">
        <w:rPr>
          <w:rFonts w:ascii="Times New Roman" w:hAnsi="Times New Roman"/>
          <w:color w:val="000000"/>
          <w:sz w:val="24"/>
          <w:szCs w:val="24"/>
          <w:lang w:val="lv-LV"/>
        </w:rPr>
        <w:t>;</w:t>
      </w:r>
    </w:p>
    <w:p w14:paraId="3015F04B" w14:textId="2ED1FDEB" w:rsidR="00872BB7" w:rsidRPr="006557B3" w:rsidRDefault="00910A43" w:rsidP="00C05C12">
      <w:pPr>
        <w:pStyle w:val="Sarakstarindkopa"/>
        <w:tabs>
          <w:tab w:val="left" w:pos="8647"/>
        </w:tabs>
        <w:suppressAutoHyphens/>
        <w:spacing w:after="0" w:line="240" w:lineRule="auto"/>
        <w:ind w:left="0" w:firstLine="709"/>
        <w:jc w:val="both"/>
        <w:rPr>
          <w:rFonts w:ascii="Times New Roman" w:hAnsi="Times New Roman"/>
          <w:color w:val="000000"/>
          <w:sz w:val="24"/>
          <w:szCs w:val="24"/>
          <w:lang w:val="lv-LV"/>
        </w:rPr>
      </w:pPr>
      <w:r w:rsidRPr="006557B3">
        <w:rPr>
          <w:rFonts w:ascii="Times New Roman" w:hAnsi="Times New Roman"/>
          <w:color w:val="000000"/>
          <w:sz w:val="24"/>
          <w:szCs w:val="24"/>
          <w:lang w:val="lv-LV"/>
        </w:rPr>
        <w:t>d)</w:t>
      </w:r>
      <w:r w:rsidR="00872BB7" w:rsidRPr="006557B3">
        <w:rPr>
          <w:rFonts w:ascii="Times New Roman" w:hAnsi="Times New Roman"/>
          <w:color w:val="000000"/>
          <w:sz w:val="24"/>
          <w:szCs w:val="24"/>
          <w:lang w:val="lv-LV"/>
        </w:rPr>
        <w:t xml:space="preserve"> sabiedrības informēšanu un izglītošanu par uztura bagātinātājiem un to lietošanu. </w:t>
      </w:r>
    </w:p>
    <w:p w14:paraId="54B029B6" w14:textId="4906F87D" w:rsidR="00872BB7" w:rsidRPr="006557B3" w:rsidRDefault="00910A43" w:rsidP="00C05C12">
      <w:pPr>
        <w:tabs>
          <w:tab w:val="left" w:pos="8647"/>
        </w:tabs>
        <w:spacing w:after="0" w:line="240" w:lineRule="auto"/>
        <w:jc w:val="both"/>
        <w:rPr>
          <w:rFonts w:ascii="Times New Roman" w:hAnsi="Times New Roman" w:cs="Times New Roman"/>
          <w:color w:val="000000"/>
          <w:sz w:val="24"/>
          <w:szCs w:val="24"/>
          <w:u w:val="single"/>
          <w:lang w:val="lv-LV"/>
        </w:rPr>
      </w:pPr>
      <w:r w:rsidRPr="006557B3">
        <w:rPr>
          <w:rFonts w:ascii="Times New Roman" w:hAnsi="Times New Roman" w:cs="Times New Roman"/>
          <w:b/>
          <w:sz w:val="24"/>
          <w:szCs w:val="24"/>
          <w:lang w:val="lv-LV"/>
        </w:rPr>
        <w:t xml:space="preserve">SIA “SILVANOLS” </w:t>
      </w:r>
      <w:r w:rsidRPr="006557B3">
        <w:rPr>
          <w:rFonts w:ascii="Times New Roman" w:hAnsi="Times New Roman" w:cs="Times New Roman"/>
          <w:b/>
          <w:color w:val="000000"/>
          <w:sz w:val="24"/>
          <w:szCs w:val="24"/>
          <w:lang w:val="lv-LV"/>
        </w:rPr>
        <w:t>i</w:t>
      </w:r>
      <w:r w:rsidR="00872BB7" w:rsidRPr="006557B3">
        <w:rPr>
          <w:rFonts w:ascii="Times New Roman" w:hAnsi="Times New Roman" w:cs="Times New Roman"/>
          <w:b/>
          <w:color w:val="000000"/>
          <w:sz w:val="24"/>
          <w:szCs w:val="24"/>
          <w:lang w:val="lv-LV"/>
        </w:rPr>
        <w:t>erosina:</w:t>
      </w:r>
    </w:p>
    <w:p w14:paraId="053D1B5D" w14:textId="26FF5BCA" w:rsidR="00872BB7" w:rsidRPr="006557B3" w:rsidRDefault="00910A43" w:rsidP="00C05C12">
      <w:pPr>
        <w:tabs>
          <w:tab w:val="left" w:pos="8647"/>
        </w:tabs>
        <w:suppressAutoHyphen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a)</w:t>
      </w:r>
      <w:r w:rsidR="00872BB7" w:rsidRPr="006557B3">
        <w:rPr>
          <w:rFonts w:ascii="Times New Roman" w:hAnsi="Times New Roman" w:cs="Times New Roman"/>
          <w:sz w:val="24"/>
          <w:szCs w:val="24"/>
          <w:lang w:val="lv-LV"/>
        </w:rPr>
        <w:t xml:space="preserve"> </w:t>
      </w:r>
      <w:r w:rsidR="00872BB7" w:rsidRPr="006557B3">
        <w:rPr>
          <w:rFonts w:ascii="Times New Roman" w:hAnsi="Times New Roman" w:cs="Times New Roman"/>
          <w:color w:val="000000"/>
          <w:sz w:val="24"/>
          <w:szCs w:val="24"/>
          <w:lang w:val="lv-LV"/>
        </w:rPr>
        <w:t>uztura bagātinātāju</w:t>
      </w:r>
      <w:r w:rsidR="00872BB7" w:rsidRPr="006557B3">
        <w:rPr>
          <w:rFonts w:ascii="Times New Roman" w:hAnsi="Times New Roman" w:cs="Times New Roman"/>
          <w:sz w:val="24"/>
          <w:szCs w:val="24"/>
          <w:lang w:val="lv-LV"/>
        </w:rPr>
        <w:t xml:space="preserve"> marķējumā, noformējumā</w:t>
      </w:r>
      <w:r w:rsidRPr="006557B3">
        <w:rPr>
          <w:rFonts w:ascii="Times New Roman" w:hAnsi="Times New Roman" w:cs="Times New Roman"/>
          <w:sz w:val="24"/>
          <w:szCs w:val="24"/>
          <w:lang w:val="lv-LV"/>
        </w:rPr>
        <w:t xml:space="preserve"> un</w:t>
      </w:r>
      <w:r w:rsidR="00872BB7" w:rsidRPr="006557B3">
        <w:rPr>
          <w:rFonts w:ascii="Times New Roman" w:hAnsi="Times New Roman" w:cs="Times New Roman"/>
          <w:sz w:val="24"/>
          <w:szCs w:val="24"/>
          <w:lang w:val="lv-LV"/>
        </w:rPr>
        <w:t xml:space="preserve"> reklāmā obligāti norādīt vecumu, no kura var lietot </w:t>
      </w:r>
      <w:r w:rsidR="00872BB7" w:rsidRPr="006557B3">
        <w:rPr>
          <w:rFonts w:ascii="Times New Roman" w:hAnsi="Times New Roman" w:cs="Times New Roman"/>
          <w:color w:val="000000"/>
          <w:sz w:val="24"/>
          <w:szCs w:val="24"/>
          <w:lang w:val="lv-LV"/>
        </w:rPr>
        <w:t>uztura bagātinātāju</w:t>
      </w:r>
      <w:r w:rsidR="00872BB7" w:rsidRPr="006557B3">
        <w:rPr>
          <w:rFonts w:ascii="Times New Roman" w:hAnsi="Times New Roman" w:cs="Times New Roman"/>
          <w:sz w:val="24"/>
          <w:szCs w:val="24"/>
          <w:lang w:val="lv-LV"/>
        </w:rPr>
        <w:t xml:space="preserve">; </w:t>
      </w:r>
    </w:p>
    <w:p w14:paraId="144F7603" w14:textId="6FFE13F7" w:rsidR="00872BB7" w:rsidRPr="006557B3" w:rsidRDefault="00910A43" w:rsidP="00C05C12">
      <w:pPr>
        <w:tabs>
          <w:tab w:val="left" w:pos="8647"/>
        </w:tabs>
        <w:suppressAutoHyphen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b)</w:t>
      </w:r>
      <w:r w:rsidR="00872BB7" w:rsidRPr="006557B3">
        <w:rPr>
          <w:rFonts w:ascii="Times New Roman" w:hAnsi="Times New Roman" w:cs="Times New Roman"/>
          <w:sz w:val="24"/>
          <w:szCs w:val="24"/>
          <w:lang w:val="lv-LV"/>
        </w:rPr>
        <w:t xml:space="preserve"> noteikt stingrāku kontroli un naudas sodus par nereģistrētu uztura bagātinātāju izplatīšanu, t</w:t>
      </w:r>
      <w:r w:rsidRPr="006557B3">
        <w:rPr>
          <w:rFonts w:ascii="Times New Roman" w:hAnsi="Times New Roman" w:cs="Times New Roman"/>
          <w:sz w:val="24"/>
          <w:szCs w:val="24"/>
          <w:lang w:val="lv-LV"/>
        </w:rPr>
        <w:t>ostarp</w:t>
      </w:r>
      <w:r w:rsidR="00872BB7" w:rsidRPr="006557B3">
        <w:rPr>
          <w:rFonts w:ascii="Times New Roman" w:hAnsi="Times New Roman" w:cs="Times New Roman"/>
          <w:sz w:val="24"/>
          <w:szCs w:val="24"/>
          <w:lang w:val="lv-LV"/>
        </w:rPr>
        <w:t xml:space="preserve"> internetā;</w:t>
      </w:r>
    </w:p>
    <w:p w14:paraId="476EFF8C" w14:textId="14F90B1D" w:rsidR="00872BB7" w:rsidRPr="006557B3" w:rsidRDefault="00910A43" w:rsidP="00C05C12">
      <w:pPr>
        <w:tabs>
          <w:tab w:val="left" w:pos="8647"/>
        </w:tabs>
        <w:suppressAutoHyphens/>
        <w:spacing w:after="0" w:line="240" w:lineRule="auto"/>
        <w:ind w:firstLine="709"/>
        <w:jc w:val="both"/>
        <w:rPr>
          <w:rFonts w:ascii="Times New Roman" w:hAnsi="Times New Roman" w:cs="Times New Roman"/>
          <w:color w:val="000000"/>
          <w:sz w:val="24"/>
          <w:szCs w:val="24"/>
          <w:lang w:val="lv-LV"/>
        </w:rPr>
      </w:pPr>
      <w:r w:rsidRPr="006557B3">
        <w:rPr>
          <w:rFonts w:ascii="Times New Roman" w:hAnsi="Times New Roman" w:cs="Times New Roman"/>
          <w:color w:val="000000"/>
          <w:sz w:val="24"/>
          <w:szCs w:val="24"/>
          <w:lang w:val="lv-LV"/>
        </w:rPr>
        <w:t>c)</w:t>
      </w:r>
      <w:r w:rsidR="00872BB7" w:rsidRPr="006557B3">
        <w:rPr>
          <w:rFonts w:ascii="Times New Roman" w:hAnsi="Times New Roman" w:cs="Times New Roman"/>
          <w:color w:val="000000"/>
          <w:sz w:val="24"/>
          <w:szCs w:val="24"/>
          <w:lang w:val="lv-LV"/>
        </w:rPr>
        <w:t xml:space="preserve"> </w:t>
      </w:r>
      <w:r w:rsidRPr="006557B3">
        <w:rPr>
          <w:rFonts w:ascii="Times New Roman" w:hAnsi="Times New Roman" w:cs="Times New Roman"/>
          <w:color w:val="000000"/>
          <w:sz w:val="24"/>
          <w:szCs w:val="24"/>
          <w:lang w:val="lv-LV"/>
        </w:rPr>
        <w:t>paredzēt</w:t>
      </w:r>
      <w:r w:rsidR="00872BB7" w:rsidRPr="006557B3">
        <w:rPr>
          <w:rFonts w:ascii="Times New Roman" w:hAnsi="Times New Roman" w:cs="Times New Roman"/>
          <w:color w:val="000000"/>
          <w:sz w:val="24"/>
          <w:szCs w:val="24"/>
          <w:lang w:val="lv-LV"/>
        </w:rPr>
        <w:t xml:space="preserve"> kvalitātes prasības Latvijā izplatīto uztura bagātinātāju ražotājiem</w:t>
      </w:r>
      <w:r w:rsidRPr="006557B3">
        <w:rPr>
          <w:rFonts w:ascii="Times New Roman" w:hAnsi="Times New Roman" w:cs="Times New Roman"/>
          <w:color w:val="000000"/>
          <w:sz w:val="24"/>
          <w:szCs w:val="24"/>
          <w:lang w:val="lv-LV"/>
        </w:rPr>
        <w:t>,</w:t>
      </w:r>
      <w:r w:rsidR="00872BB7" w:rsidRPr="006557B3">
        <w:rPr>
          <w:rFonts w:ascii="Times New Roman" w:hAnsi="Times New Roman" w:cs="Times New Roman"/>
          <w:color w:val="000000"/>
          <w:sz w:val="24"/>
          <w:szCs w:val="24"/>
          <w:lang w:val="lv-LV"/>
        </w:rPr>
        <w:t xml:space="preserve"> nosakot obligātu attiecīgā ISO 22 000 standarta sertifikāciju uzņēmumiem, kas ražo uztura bagātinātājus.</w:t>
      </w:r>
    </w:p>
    <w:p w14:paraId="0BB702B7" w14:textId="77777777" w:rsidR="00E40EAF" w:rsidRPr="006557B3" w:rsidRDefault="00E40EAF" w:rsidP="00C05C12">
      <w:pPr>
        <w:tabs>
          <w:tab w:val="left" w:pos="8647"/>
        </w:tabs>
        <w:suppressAutoHyphens/>
        <w:spacing w:after="0" w:line="240" w:lineRule="auto"/>
        <w:ind w:firstLine="709"/>
        <w:jc w:val="both"/>
        <w:rPr>
          <w:rFonts w:ascii="Times New Roman" w:hAnsi="Times New Roman" w:cs="Times New Roman"/>
          <w:sz w:val="24"/>
          <w:szCs w:val="24"/>
          <w:lang w:val="lv-LV"/>
        </w:rPr>
      </w:pPr>
    </w:p>
    <w:p w14:paraId="7F482882" w14:textId="5AB5FFAB" w:rsidR="00AF1621" w:rsidRPr="006557B3" w:rsidRDefault="00A30077" w:rsidP="00A30077">
      <w:pPr>
        <w:pStyle w:val="Sarakstarindkopa"/>
        <w:keepNext/>
        <w:tabs>
          <w:tab w:val="left" w:pos="8647"/>
        </w:tabs>
        <w:spacing w:after="0" w:line="240" w:lineRule="auto"/>
        <w:ind w:left="0"/>
        <w:rPr>
          <w:rFonts w:ascii="Times New Roman" w:hAnsi="Times New Roman"/>
          <w:sz w:val="24"/>
          <w:szCs w:val="24"/>
          <w:lang w:val="lv-LV" w:eastAsia="lv-LV"/>
        </w:rPr>
      </w:pPr>
      <w:r w:rsidRPr="006557B3">
        <w:rPr>
          <w:rFonts w:ascii="Times New Roman" w:hAnsi="Times New Roman"/>
          <w:b/>
          <w:bCs/>
          <w:sz w:val="24"/>
          <w:szCs w:val="24"/>
          <w:lang w:val="lv-LV"/>
        </w:rPr>
        <w:t xml:space="preserve">6. </w:t>
      </w:r>
      <w:r w:rsidR="00AF1621" w:rsidRPr="006557B3">
        <w:rPr>
          <w:rFonts w:ascii="Times New Roman" w:hAnsi="Times New Roman"/>
          <w:b/>
          <w:bCs/>
          <w:sz w:val="24"/>
          <w:szCs w:val="24"/>
          <w:lang w:val="lv-LV"/>
        </w:rPr>
        <w:t>Uztura bagātinātāju jomā iesaistīto valsts pārvaldes paveiktais darbs</w:t>
      </w:r>
      <w:r w:rsidR="00910A43" w:rsidRPr="006557B3">
        <w:rPr>
          <w:rFonts w:ascii="Times New Roman" w:hAnsi="Times New Roman"/>
          <w:b/>
          <w:bCs/>
          <w:sz w:val="24"/>
          <w:szCs w:val="24"/>
          <w:lang w:val="lv-LV"/>
        </w:rPr>
        <w:t>,</w:t>
      </w:r>
      <w:r w:rsidR="00AF1621" w:rsidRPr="006557B3">
        <w:rPr>
          <w:rFonts w:ascii="Times New Roman" w:hAnsi="Times New Roman"/>
          <w:b/>
          <w:bCs/>
          <w:sz w:val="24"/>
          <w:szCs w:val="24"/>
          <w:lang w:val="lv-LV"/>
        </w:rPr>
        <w:t xml:space="preserve"> </w:t>
      </w:r>
      <w:r w:rsidR="001119C5" w:rsidRPr="006557B3">
        <w:rPr>
          <w:rFonts w:ascii="Times New Roman" w:hAnsi="Times New Roman"/>
          <w:b/>
          <w:bCs/>
          <w:sz w:val="24"/>
          <w:szCs w:val="24"/>
          <w:lang w:val="lv-LV"/>
        </w:rPr>
        <w:t>turpmāk plānotie pasākumi</w:t>
      </w:r>
      <w:r w:rsidR="00910A43" w:rsidRPr="006557B3">
        <w:rPr>
          <w:rFonts w:ascii="Times New Roman" w:hAnsi="Times New Roman"/>
          <w:b/>
          <w:bCs/>
          <w:sz w:val="24"/>
          <w:szCs w:val="24"/>
          <w:lang w:val="lv-LV"/>
        </w:rPr>
        <w:t xml:space="preserve"> un</w:t>
      </w:r>
      <w:r w:rsidR="00C71417" w:rsidRPr="006557B3">
        <w:rPr>
          <w:rFonts w:ascii="Times New Roman" w:hAnsi="Times New Roman"/>
          <w:b/>
          <w:bCs/>
          <w:sz w:val="24"/>
          <w:szCs w:val="24"/>
          <w:lang w:val="lv-LV"/>
        </w:rPr>
        <w:t xml:space="preserve"> tam nepieciešamais finansējums</w:t>
      </w:r>
    </w:p>
    <w:p w14:paraId="54DA0A9A" w14:textId="4D151D35" w:rsidR="00F9681F" w:rsidRPr="006557B3" w:rsidRDefault="00872BB7" w:rsidP="00C05C12">
      <w:pPr>
        <w:keepNext/>
        <w:tabs>
          <w:tab w:val="left" w:pos="8647"/>
        </w:tabs>
        <w:spacing w:after="0" w:line="240" w:lineRule="auto"/>
        <w:rPr>
          <w:rFonts w:ascii="Times New Roman" w:hAnsi="Times New Roman" w:cs="Times New Roman"/>
          <w:b/>
          <w:color w:val="000000"/>
          <w:sz w:val="24"/>
          <w:szCs w:val="24"/>
          <w:lang w:val="lv-LV"/>
        </w:rPr>
      </w:pPr>
      <w:r w:rsidRPr="006557B3">
        <w:rPr>
          <w:rFonts w:ascii="Times New Roman" w:hAnsi="Times New Roman" w:cs="Times New Roman"/>
          <w:b/>
          <w:color w:val="000000"/>
          <w:sz w:val="24"/>
          <w:szCs w:val="24"/>
          <w:lang w:val="lv-LV"/>
        </w:rPr>
        <w:t>6</w:t>
      </w:r>
      <w:r w:rsidR="001119C5" w:rsidRPr="006557B3">
        <w:rPr>
          <w:rFonts w:ascii="Times New Roman" w:hAnsi="Times New Roman" w:cs="Times New Roman"/>
          <w:b/>
          <w:color w:val="000000"/>
          <w:sz w:val="24"/>
          <w:szCs w:val="24"/>
          <w:lang w:val="lv-LV"/>
        </w:rPr>
        <w:t>.1</w:t>
      </w:r>
      <w:r w:rsidRPr="006557B3">
        <w:rPr>
          <w:rFonts w:ascii="Times New Roman" w:hAnsi="Times New Roman" w:cs="Times New Roman"/>
          <w:b/>
          <w:color w:val="000000"/>
          <w:sz w:val="24"/>
          <w:szCs w:val="24"/>
          <w:lang w:val="lv-LV"/>
        </w:rPr>
        <w:t>.</w:t>
      </w:r>
      <w:r w:rsidR="001119C5" w:rsidRPr="006557B3">
        <w:rPr>
          <w:rFonts w:ascii="Times New Roman" w:hAnsi="Times New Roman" w:cs="Times New Roman"/>
          <w:b/>
          <w:color w:val="000000"/>
          <w:sz w:val="24"/>
          <w:szCs w:val="24"/>
          <w:lang w:val="lv-LV"/>
        </w:rPr>
        <w:t xml:space="preserve"> </w:t>
      </w:r>
      <w:r w:rsidR="00B23555" w:rsidRPr="006557B3">
        <w:rPr>
          <w:rFonts w:ascii="Times New Roman" w:hAnsi="Times New Roman" w:cs="Times New Roman"/>
          <w:b/>
          <w:color w:val="000000"/>
          <w:sz w:val="24"/>
          <w:szCs w:val="24"/>
          <w:lang w:val="lv-LV"/>
        </w:rPr>
        <w:t>Veselības ministrija</w:t>
      </w:r>
    </w:p>
    <w:p w14:paraId="4BD596E7" w14:textId="01BBC2E8" w:rsidR="00B23555" w:rsidRPr="006557B3" w:rsidRDefault="00B23555" w:rsidP="00C05C12">
      <w:pPr>
        <w:keepNext/>
        <w:tabs>
          <w:tab w:val="left" w:pos="8647"/>
        </w:tabs>
        <w:spacing w:after="0" w:line="240" w:lineRule="auto"/>
        <w:ind w:firstLine="709"/>
        <w:jc w:val="both"/>
        <w:rPr>
          <w:rFonts w:ascii="Times New Roman" w:hAnsi="Times New Roman" w:cs="Times New Roman"/>
          <w:color w:val="000000"/>
          <w:sz w:val="24"/>
          <w:szCs w:val="24"/>
          <w:lang w:val="lv-LV"/>
        </w:rPr>
      </w:pPr>
      <w:r w:rsidRPr="006557B3">
        <w:rPr>
          <w:rFonts w:ascii="Times New Roman" w:hAnsi="Times New Roman" w:cs="Times New Roman"/>
          <w:color w:val="000000"/>
          <w:sz w:val="24"/>
          <w:szCs w:val="24"/>
          <w:lang w:val="lv-LV"/>
        </w:rPr>
        <w:t xml:space="preserve">Veselības ministrija (turpmāk – VM) ir sagatavojusi un </w:t>
      </w:r>
      <w:r w:rsidR="00910A43" w:rsidRPr="006557B3">
        <w:rPr>
          <w:rFonts w:ascii="Times New Roman" w:hAnsi="Times New Roman" w:cs="Times New Roman"/>
          <w:color w:val="000000"/>
          <w:sz w:val="24"/>
          <w:szCs w:val="24"/>
          <w:lang w:val="lv-LV"/>
        </w:rPr>
        <w:t>savas tīmekļa vietnes</w:t>
      </w:r>
      <w:r w:rsidRPr="006557B3">
        <w:rPr>
          <w:rFonts w:ascii="Times New Roman" w:hAnsi="Times New Roman" w:cs="Times New Roman"/>
          <w:color w:val="000000"/>
          <w:sz w:val="24"/>
          <w:szCs w:val="24"/>
          <w:lang w:val="lv-LV"/>
        </w:rPr>
        <w:t xml:space="preserve"> sadaļā </w:t>
      </w:r>
      <w:r w:rsidRPr="006557B3">
        <w:rPr>
          <w:rFonts w:ascii="Times New Roman" w:hAnsi="Times New Roman" w:cs="Times New Roman"/>
          <w:i/>
          <w:iCs/>
          <w:color w:val="000000"/>
          <w:sz w:val="24"/>
          <w:szCs w:val="24"/>
          <w:lang w:val="lv-LV"/>
        </w:rPr>
        <w:t>Tava veselība</w:t>
      </w:r>
      <w:r w:rsidRPr="006557B3">
        <w:rPr>
          <w:rFonts w:ascii="Times New Roman" w:hAnsi="Times New Roman" w:cs="Times New Roman"/>
          <w:color w:val="000000"/>
          <w:sz w:val="24"/>
          <w:szCs w:val="24"/>
          <w:lang w:val="lv-LV"/>
        </w:rPr>
        <w:t xml:space="preserve"> tēmā </w:t>
      </w:r>
      <w:r w:rsidRPr="006557B3">
        <w:rPr>
          <w:rFonts w:ascii="Times New Roman" w:hAnsi="Times New Roman" w:cs="Times New Roman"/>
          <w:i/>
          <w:iCs/>
          <w:color w:val="000000"/>
          <w:sz w:val="24"/>
          <w:szCs w:val="24"/>
          <w:lang w:val="lv-LV"/>
        </w:rPr>
        <w:t>Veselīgs un aktīvs dzīvesveids</w:t>
      </w:r>
      <w:r w:rsidRPr="006557B3">
        <w:rPr>
          <w:rFonts w:ascii="Times New Roman" w:hAnsi="Times New Roman" w:cs="Times New Roman"/>
          <w:color w:val="000000"/>
          <w:sz w:val="24"/>
          <w:szCs w:val="24"/>
          <w:lang w:val="lv-LV"/>
        </w:rPr>
        <w:t xml:space="preserve"> </w:t>
      </w:r>
      <w:r w:rsidR="00910A43" w:rsidRPr="006557B3">
        <w:rPr>
          <w:rFonts w:ascii="Times New Roman" w:hAnsi="Times New Roman" w:cs="Times New Roman"/>
          <w:color w:val="000000"/>
          <w:sz w:val="24"/>
          <w:szCs w:val="24"/>
          <w:lang w:val="lv-LV"/>
        </w:rPr>
        <w:t xml:space="preserve">publicējusi </w:t>
      </w:r>
      <w:r w:rsidRPr="006557B3">
        <w:rPr>
          <w:rFonts w:ascii="Times New Roman" w:hAnsi="Times New Roman" w:cs="Times New Roman"/>
          <w:color w:val="000000"/>
          <w:sz w:val="24"/>
          <w:szCs w:val="24"/>
          <w:lang w:val="lv-LV"/>
        </w:rPr>
        <w:t xml:space="preserve">informāciju par uztura bagātinātājiem, to lietošanas ieteikumiem un brīdinājumiem par nekontrolētu nezināmas izcelsmes uztura bagātinātāju lietošanas bīstamību. </w:t>
      </w:r>
      <w:r w:rsidR="00910A43" w:rsidRPr="006557B3">
        <w:rPr>
          <w:rFonts w:ascii="Times New Roman" w:hAnsi="Times New Roman" w:cs="Times New Roman"/>
          <w:color w:val="000000"/>
          <w:sz w:val="24"/>
          <w:szCs w:val="24"/>
          <w:lang w:val="lv-LV"/>
        </w:rPr>
        <w:t>Šajā</w:t>
      </w:r>
      <w:r w:rsidRPr="006557B3">
        <w:rPr>
          <w:rFonts w:ascii="Times New Roman" w:hAnsi="Times New Roman" w:cs="Times New Roman"/>
          <w:color w:val="000000"/>
          <w:sz w:val="24"/>
          <w:szCs w:val="24"/>
          <w:lang w:val="lv-LV"/>
        </w:rPr>
        <w:t xml:space="preserve"> informatīvajā materiālā norādīts, ka uztura bagātinātāji nav </w:t>
      </w:r>
      <w:r w:rsidR="00D9290C" w:rsidRPr="006557B3">
        <w:rPr>
          <w:rFonts w:ascii="Times New Roman" w:hAnsi="Times New Roman" w:cs="Times New Roman"/>
          <w:color w:val="000000"/>
          <w:sz w:val="24"/>
          <w:szCs w:val="24"/>
          <w:lang w:val="lv-LV"/>
        </w:rPr>
        <w:t>„</w:t>
      </w:r>
      <w:r w:rsidRPr="006557B3">
        <w:rPr>
          <w:rFonts w:ascii="Times New Roman" w:hAnsi="Times New Roman" w:cs="Times New Roman"/>
          <w:color w:val="000000"/>
          <w:sz w:val="24"/>
          <w:szCs w:val="24"/>
          <w:lang w:val="lv-LV"/>
        </w:rPr>
        <w:t>brīnumlīdzekļi</w:t>
      </w:r>
      <w:r w:rsidR="00D9290C" w:rsidRPr="006557B3">
        <w:rPr>
          <w:rFonts w:ascii="Times New Roman" w:hAnsi="Times New Roman" w:cs="Times New Roman"/>
          <w:color w:val="000000"/>
          <w:sz w:val="24"/>
          <w:szCs w:val="24"/>
          <w:lang w:val="lv-LV"/>
        </w:rPr>
        <w:t>”</w:t>
      </w:r>
      <w:r w:rsidRPr="006557B3">
        <w:rPr>
          <w:rFonts w:ascii="Times New Roman" w:hAnsi="Times New Roman" w:cs="Times New Roman"/>
          <w:color w:val="000000"/>
          <w:sz w:val="24"/>
          <w:szCs w:val="24"/>
          <w:lang w:val="lv-LV"/>
        </w:rPr>
        <w:t xml:space="preserve"> un tie nespēj aizvietot veselīgu un sabalansētu uzturu, fizisk</w:t>
      </w:r>
      <w:r w:rsidR="00910A43" w:rsidRPr="006557B3">
        <w:rPr>
          <w:rFonts w:ascii="Times New Roman" w:hAnsi="Times New Roman" w:cs="Times New Roman"/>
          <w:color w:val="000000"/>
          <w:sz w:val="24"/>
          <w:szCs w:val="24"/>
          <w:lang w:val="lv-LV"/>
        </w:rPr>
        <w:t>u</w:t>
      </w:r>
      <w:r w:rsidRPr="006557B3">
        <w:rPr>
          <w:rFonts w:ascii="Times New Roman" w:hAnsi="Times New Roman" w:cs="Times New Roman"/>
          <w:color w:val="000000"/>
          <w:sz w:val="24"/>
          <w:szCs w:val="24"/>
          <w:lang w:val="lv-LV"/>
        </w:rPr>
        <w:t xml:space="preserve"> aktivitāt</w:t>
      </w:r>
      <w:r w:rsidR="00910A43" w:rsidRPr="006557B3">
        <w:rPr>
          <w:rFonts w:ascii="Times New Roman" w:hAnsi="Times New Roman" w:cs="Times New Roman"/>
          <w:color w:val="000000"/>
          <w:sz w:val="24"/>
          <w:szCs w:val="24"/>
          <w:lang w:val="lv-LV"/>
        </w:rPr>
        <w:t>i</w:t>
      </w:r>
      <w:r w:rsidRPr="006557B3">
        <w:rPr>
          <w:rFonts w:ascii="Times New Roman" w:hAnsi="Times New Roman" w:cs="Times New Roman"/>
          <w:color w:val="000000"/>
          <w:sz w:val="24"/>
          <w:szCs w:val="24"/>
          <w:lang w:val="lv-LV"/>
        </w:rPr>
        <w:t xml:space="preserve"> un pozitīvu attieksmi pret dzīvi. Papildus</w:t>
      </w:r>
      <w:r w:rsidR="00D9290C" w:rsidRPr="006557B3">
        <w:rPr>
          <w:rFonts w:ascii="Times New Roman" w:hAnsi="Times New Roman" w:cs="Times New Roman"/>
          <w:color w:val="000000"/>
          <w:sz w:val="24"/>
          <w:szCs w:val="24"/>
          <w:lang w:val="lv-LV"/>
        </w:rPr>
        <w:t xml:space="preserve"> </w:t>
      </w:r>
      <w:r w:rsidRPr="006557B3">
        <w:rPr>
          <w:rFonts w:ascii="Times New Roman" w:hAnsi="Times New Roman" w:cs="Times New Roman"/>
          <w:color w:val="000000"/>
          <w:sz w:val="24"/>
          <w:szCs w:val="24"/>
          <w:lang w:val="lv-LV"/>
        </w:rPr>
        <w:t xml:space="preserve">norādīts, ka uztura bagātinātāji satur dažādas aktīvās vielas, kas uz katra cilvēka organismu iedarbojas dažādi, tāpēc par to lietošanas nepieciešamību, </w:t>
      </w:r>
      <w:r w:rsidR="00910A43" w:rsidRPr="006557B3">
        <w:rPr>
          <w:rFonts w:ascii="Times New Roman" w:hAnsi="Times New Roman" w:cs="Times New Roman"/>
          <w:color w:val="000000"/>
          <w:sz w:val="24"/>
          <w:szCs w:val="24"/>
          <w:lang w:val="lv-LV"/>
        </w:rPr>
        <w:t xml:space="preserve">tāpat </w:t>
      </w:r>
      <w:r w:rsidRPr="006557B3">
        <w:rPr>
          <w:rFonts w:ascii="Times New Roman" w:hAnsi="Times New Roman" w:cs="Times New Roman"/>
          <w:color w:val="000000"/>
          <w:sz w:val="24"/>
          <w:szCs w:val="24"/>
          <w:lang w:val="lv-LV"/>
        </w:rPr>
        <w:t xml:space="preserve">kā par bezrecepšu zāļu lietošanu, vienmēr ir jākonsultējas ar ārstu vai </w:t>
      </w:r>
      <w:r w:rsidRPr="006557B3">
        <w:rPr>
          <w:rFonts w:ascii="Times New Roman" w:hAnsi="Times New Roman" w:cs="Times New Roman"/>
          <w:color w:val="000000"/>
          <w:sz w:val="24"/>
          <w:szCs w:val="24"/>
          <w:lang w:val="lv-LV"/>
        </w:rPr>
        <w:lastRenderedPageBreak/>
        <w:t xml:space="preserve">farmaceitu. Vienlaikus </w:t>
      </w:r>
      <w:r w:rsidR="00910A43" w:rsidRPr="006557B3">
        <w:rPr>
          <w:rFonts w:ascii="Times New Roman" w:hAnsi="Times New Roman" w:cs="Times New Roman"/>
          <w:color w:val="000000"/>
          <w:sz w:val="24"/>
          <w:szCs w:val="24"/>
          <w:lang w:val="lv-LV"/>
        </w:rPr>
        <w:t>uzsvērts</w:t>
      </w:r>
      <w:r w:rsidRPr="006557B3">
        <w:rPr>
          <w:rFonts w:ascii="Times New Roman" w:hAnsi="Times New Roman" w:cs="Times New Roman"/>
          <w:color w:val="000000"/>
          <w:sz w:val="24"/>
          <w:szCs w:val="24"/>
          <w:lang w:val="lv-LV"/>
        </w:rPr>
        <w:t xml:space="preserve">, ka norāde „dabisks” vai </w:t>
      </w:r>
      <w:r w:rsidR="00910A43" w:rsidRPr="006557B3">
        <w:rPr>
          <w:rFonts w:ascii="Times New Roman" w:hAnsi="Times New Roman" w:cs="Times New Roman"/>
          <w:color w:val="000000"/>
          <w:sz w:val="24"/>
          <w:szCs w:val="24"/>
          <w:lang w:val="lv-LV"/>
        </w:rPr>
        <w:t>„</w:t>
      </w:r>
      <w:r w:rsidRPr="006557B3">
        <w:rPr>
          <w:rFonts w:ascii="Times New Roman" w:hAnsi="Times New Roman" w:cs="Times New Roman"/>
          <w:color w:val="000000"/>
          <w:sz w:val="24"/>
          <w:szCs w:val="24"/>
          <w:lang w:val="lv-LV"/>
        </w:rPr>
        <w:t>iegūts no dabiskām izejvielām</w:t>
      </w:r>
      <w:r w:rsidR="00910A43" w:rsidRPr="006557B3">
        <w:rPr>
          <w:rFonts w:ascii="Times New Roman" w:hAnsi="Times New Roman" w:cs="Times New Roman"/>
          <w:color w:val="000000"/>
          <w:sz w:val="24"/>
          <w:szCs w:val="24"/>
          <w:lang w:val="lv-LV"/>
        </w:rPr>
        <w:t>”</w:t>
      </w:r>
      <w:r w:rsidRPr="006557B3">
        <w:rPr>
          <w:rFonts w:ascii="Times New Roman" w:hAnsi="Times New Roman" w:cs="Times New Roman"/>
          <w:color w:val="000000"/>
          <w:sz w:val="24"/>
          <w:szCs w:val="24"/>
          <w:lang w:val="lv-LV"/>
        </w:rPr>
        <w:t xml:space="preserve"> </w:t>
      </w:r>
      <w:r w:rsidR="00910A43" w:rsidRPr="006557B3">
        <w:rPr>
          <w:rFonts w:ascii="Times New Roman" w:hAnsi="Times New Roman" w:cs="Times New Roman"/>
          <w:color w:val="000000"/>
          <w:sz w:val="24"/>
          <w:szCs w:val="24"/>
          <w:lang w:val="lv-LV"/>
        </w:rPr>
        <w:t xml:space="preserve">uztura bagātinātāju marķējumā </w:t>
      </w:r>
      <w:r w:rsidRPr="006557B3">
        <w:rPr>
          <w:rFonts w:ascii="Times New Roman" w:hAnsi="Times New Roman" w:cs="Times New Roman"/>
          <w:color w:val="000000"/>
          <w:sz w:val="24"/>
          <w:szCs w:val="24"/>
          <w:lang w:val="lv-LV"/>
        </w:rPr>
        <w:t>negarantē attiecīgā uztura bagātinātāja drošumu un efektivitāti.</w:t>
      </w:r>
      <w:r w:rsidRPr="006557B3">
        <w:rPr>
          <w:rStyle w:val="Vresatsauce"/>
          <w:rFonts w:ascii="Times New Roman" w:hAnsi="Times New Roman" w:cs="Times New Roman"/>
          <w:sz w:val="24"/>
          <w:szCs w:val="24"/>
          <w:lang w:val="lv-LV"/>
        </w:rPr>
        <w:footnoteReference w:id="3"/>
      </w:r>
    </w:p>
    <w:p w14:paraId="5C0AF767" w14:textId="0712DF21" w:rsidR="00B23555" w:rsidRPr="006557B3" w:rsidRDefault="00B23555" w:rsidP="00C05C12">
      <w:pPr>
        <w:tabs>
          <w:tab w:val="left" w:pos="8647"/>
        </w:tabs>
        <w:spacing w:after="0" w:line="240" w:lineRule="auto"/>
        <w:ind w:firstLine="720"/>
        <w:jc w:val="both"/>
        <w:rPr>
          <w:rFonts w:ascii="Times New Roman" w:hAnsi="Times New Roman" w:cs="Times New Roman"/>
          <w:color w:val="000000"/>
          <w:sz w:val="24"/>
          <w:szCs w:val="24"/>
          <w:lang w:val="lv-LV"/>
        </w:rPr>
      </w:pPr>
      <w:r w:rsidRPr="006557B3">
        <w:rPr>
          <w:rFonts w:ascii="Times New Roman" w:hAnsi="Times New Roman" w:cs="Times New Roman"/>
          <w:color w:val="000000"/>
          <w:sz w:val="24"/>
          <w:szCs w:val="24"/>
          <w:lang w:val="lv-LV"/>
        </w:rPr>
        <w:t>Papildus saskaņā ar Pārtikas aprites uzraudzības likuma 19.panta trešo daļu VM ir izstrādājusi ieteicamās Latvijas iedzīvotāju uztura normas un veselīga uztura ieteikumus bērniem, pieaugušajiem</w:t>
      </w:r>
      <w:r w:rsidR="00910A43" w:rsidRPr="006557B3">
        <w:rPr>
          <w:rFonts w:ascii="Times New Roman" w:hAnsi="Times New Roman" w:cs="Times New Roman"/>
          <w:color w:val="000000"/>
          <w:sz w:val="24"/>
          <w:szCs w:val="24"/>
          <w:lang w:val="lv-LV"/>
        </w:rPr>
        <w:t xml:space="preserve"> un</w:t>
      </w:r>
      <w:r w:rsidRPr="006557B3">
        <w:rPr>
          <w:rFonts w:ascii="Times New Roman" w:hAnsi="Times New Roman" w:cs="Times New Roman"/>
          <w:color w:val="000000"/>
          <w:sz w:val="24"/>
          <w:szCs w:val="24"/>
          <w:lang w:val="lv-LV"/>
        </w:rPr>
        <w:t xml:space="preserve"> cilvēkiem, kas ir vecāki par 60 gadiem u.c. (turpmāk – Ieteikumi).</w:t>
      </w:r>
      <w:r w:rsidRPr="006557B3">
        <w:rPr>
          <w:rStyle w:val="Vresatsauce"/>
          <w:rFonts w:ascii="Times New Roman" w:hAnsi="Times New Roman" w:cs="Times New Roman"/>
          <w:color w:val="000000"/>
          <w:sz w:val="24"/>
          <w:szCs w:val="24"/>
          <w:lang w:val="lv-LV"/>
        </w:rPr>
        <w:footnoteReference w:id="4"/>
      </w:r>
      <w:r w:rsidRPr="006557B3">
        <w:rPr>
          <w:rFonts w:ascii="Times New Roman" w:hAnsi="Times New Roman" w:cs="Times New Roman"/>
          <w:color w:val="000000"/>
          <w:sz w:val="24"/>
          <w:szCs w:val="24"/>
          <w:lang w:val="lv-LV"/>
        </w:rPr>
        <w:t xml:space="preserve"> </w:t>
      </w:r>
      <w:r w:rsidR="00910A43" w:rsidRPr="006557B3">
        <w:rPr>
          <w:rFonts w:ascii="Times New Roman" w:hAnsi="Times New Roman" w:cs="Times New Roman"/>
          <w:color w:val="000000"/>
          <w:sz w:val="24"/>
          <w:szCs w:val="24"/>
          <w:lang w:val="lv-LV"/>
        </w:rPr>
        <w:t>Ieteikumos a</w:t>
      </w:r>
      <w:r w:rsidRPr="006557B3">
        <w:rPr>
          <w:rFonts w:ascii="Times New Roman" w:hAnsi="Times New Roman" w:cs="Times New Roman"/>
          <w:color w:val="000000"/>
          <w:sz w:val="24"/>
          <w:szCs w:val="24"/>
          <w:lang w:val="lv-LV"/>
        </w:rPr>
        <w:t>ttiecībā par uztura bagātinātāju lietošanu pieaugušajiem ir norādīts, ka pilnvērtīgs un sabalansēts uzturs, kas ir bagāts ar uzturvielām, minerālvielām un vitamīniem ir pietiek</w:t>
      </w:r>
      <w:r w:rsidR="00910A43" w:rsidRPr="006557B3">
        <w:rPr>
          <w:rFonts w:ascii="Times New Roman" w:hAnsi="Times New Roman" w:cs="Times New Roman"/>
          <w:color w:val="000000"/>
          <w:sz w:val="24"/>
          <w:szCs w:val="24"/>
          <w:lang w:val="lv-LV"/>
        </w:rPr>
        <w:t>am</w:t>
      </w:r>
      <w:r w:rsidRPr="006557B3">
        <w:rPr>
          <w:rFonts w:ascii="Times New Roman" w:hAnsi="Times New Roman" w:cs="Times New Roman"/>
          <w:color w:val="000000"/>
          <w:sz w:val="24"/>
          <w:szCs w:val="24"/>
          <w:lang w:val="lv-LV"/>
        </w:rPr>
        <w:t xml:space="preserve">s, lai organismu nodrošinātu ar visām nepieciešamajām vielām, un </w:t>
      </w:r>
      <w:r w:rsidR="0074032F" w:rsidRPr="006557B3">
        <w:rPr>
          <w:rFonts w:ascii="Times New Roman" w:hAnsi="Times New Roman" w:cs="Times New Roman"/>
          <w:iCs/>
          <w:color w:val="000000" w:themeColor="text1"/>
          <w:sz w:val="24"/>
          <w:szCs w:val="24"/>
          <w:lang w:val="lv-LV"/>
        </w:rPr>
        <w:t>attiecīgi</w:t>
      </w:r>
      <w:r w:rsidR="0074032F" w:rsidRPr="006557B3">
        <w:rPr>
          <w:rFonts w:ascii="Times New Roman" w:hAnsi="Times New Roman" w:cs="Times New Roman"/>
          <w:color w:val="000000" w:themeColor="text1"/>
          <w:sz w:val="24"/>
          <w:szCs w:val="24"/>
          <w:lang w:val="lv-LV"/>
        </w:rPr>
        <w:t xml:space="preserve"> papildus lietot uztura bagātinātājus nav nepieciešams.</w:t>
      </w:r>
      <w:r w:rsidRPr="006557B3">
        <w:rPr>
          <w:rFonts w:ascii="Times New Roman" w:hAnsi="Times New Roman" w:cs="Times New Roman"/>
          <w:color w:val="000000" w:themeColor="text1"/>
          <w:sz w:val="24"/>
          <w:szCs w:val="24"/>
          <w:lang w:val="lv-LV"/>
        </w:rPr>
        <w:t xml:space="preserve"> </w:t>
      </w:r>
      <w:r w:rsidRPr="006557B3">
        <w:rPr>
          <w:rFonts w:ascii="Times New Roman" w:hAnsi="Times New Roman" w:cs="Times New Roman"/>
          <w:color w:val="000000"/>
          <w:sz w:val="24"/>
          <w:szCs w:val="24"/>
          <w:lang w:val="lv-LV"/>
        </w:rPr>
        <w:t>Savukārt, lai samazinātu vai kontrolētu svaru, ir jāievēro ieteicamās dienas enerģijas normas, kā arī jāpalielina fiziskā aktivitāte. Savukārt par uztura bagātinātāju lietošanu svara samazināšanai tiek norādīts, ka tam ir nepieciešama ārstējošā ārsta konsultācija.</w:t>
      </w:r>
      <w:r w:rsidRPr="006557B3">
        <w:rPr>
          <w:rStyle w:val="Vresatsauce"/>
          <w:rFonts w:ascii="Times New Roman" w:hAnsi="Times New Roman" w:cs="Times New Roman"/>
          <w:color w:val="000000"/>
          <w:sz w:val="24"/>
          <w:szCs w:val="24"/>
          <w:lang w:val="lv-LV"/>
        </w:rPr>
        <w:footnoteReference w:id="5"/>
      </w:r>
    </w:p>
    <w:p w14:paraId="2BC2224E" w14:textId="5A2853EE" w:rsidR="00B23555" w:rsidRPr="006557B3" w:rsidRDefault="00B23555" w:rsidP="00C05C12">
      <w:pPr>
        <w:tabs>
          <w:tab w:val="left" w:pos="8647"/>
        </w:tabs>
        <w:spacing w:after="0" w:line="240" w:lineRule="auto"/>
        <w:ind w:firstLine="720"/>
        <w:jc w:val="both"/>
        <w:rPr>
          <w:rFonts w:ascii="Times New Roman" w:hAnsi="Times New Roman" w:cs="Times New Roman"/>
          <w:color w:val="000000"/>
          <w:sz w:val="24"/>
          <w:szCs w:val="24"/>
          <w:lang w:val="lv-LV"/>
        </w:rPr>
      </w:pPr>
      <w:r w:rsidRPr="006557B3">
        <w:rPr>
          <w:rFonts w:ascii="Times New Roman" w:hAnsi="Times New Roman" w:cs="Times New Roman"/>
          <w:color w:val="000000"/>
          <w:sz w:val="24"/>
          <w:szCs w:val="24"/>
          <w:lang w:val="lv-LV"/>
        </w:rPr>
        <w:t>Ieteikumos cilvēkiem, kas vecāki par 60 gadiem, tiek uzsvērts, ka</w:t>
      </w:r>
      <w:r w:rsidR="00910A43" w:rsidRPr="006557B3">
        <w:rPr>
          <w:rFonts w:ascii="Times New Roman" w:hAnsi="Times New Roman" w:cs="Times New Roman"/>
          <w:color w:val="000000"/>
          <w:sz w:val="24"/>
          <w:szCs w:val="24"/>
          <w:lang w:val="lv-LV"/>
        </w:rPr>
        <w:t xml:space="preserve"> visu nepieciešamo uzturvielu</w:t>
      </w:r>
      <w:r w:rsidRPr="006557B3">
        <w:rPr>
          <w:rFonts w:ascii="Times New Roman" w:hAnsi="Times New Roman" w:cs="Times New Roman"/>
          <w:color w:val="000000"/>
          <w:sz w:val="24"/>
          <w:szCs w:val="24"/>
          <w:lang w:val="lv-LV"/>
        </w:rPr>
        <w:t>, vitamīnu un minerālviel</w:t>
      </w:r>
      <w:r w:rsidR="00910A43" w:rsidRPr="006557B3">
        <w:rPr>
          <w:rFonts w:ascii="Times New Roman" w:hAnsi="Times New Roman" w:cs="Times New Roman"/>
          <w:color w:val="000000"/>
          <w:sz w:val="24"/>
          <w:szCs w:val="24"/>
          <w:lang w:val="lv-LV"/>
        </w:rPr>
        <w:t>u uzņemšanai</w:t>
      </w:r>
      <w:r w:rsidRPr="006557B3">
        <w:rPr>
          <w:rFonts w:ascii="Times New Roman" w:hAnsi="Times New Roman" w:cs="Times New Roman"/>
          <w:color w:val="000000"/>
          <w:sz w:val="24"/>
          <w:szCs w:val="24"/>
          <w:lang w:val="lv-LV"/>
        </w:rPr>
        <w:t xml:space="preserve">, ir jālieto pilnvērtīgs un daudzveidīgs uzturs, </w:t>
      </w:r>
      <w:r w:rsidR="00910A43" w:rsidRPr="006557B3">
        <w:rPr>
          <w:rFonts w:ascii="Times New Roman" w:hAnsi="Times New Roman" w:cs="Times New Roman"/>
          <w:color w:val="000000"/>
          <w:sz w:val="24"/>
          <w:szCs w:val="24"/>
          <w:lang w:val="lv-LV"/>
        </w:rPr>
        <w:t xml:space="preserve">tajā </w:t>
      </w:r>
      <w:r w:rsidRPr="006557B3">
        <w:rPr>
          <w:rFonts w:ascii="Times New Roman" w:hAnsi="Times New Roman" w:cs="Times New Roman"/>
          <w:color w:val="000000"/>
          <w:sz w:val="24"/>
          <w:szCs w:val="24"/>
          <w:lang w:val="lv-LV"/>
        </w:rPr>
        <w:t>iekļaujot augļus un dārzeņus</w:t>
      </w:r>
      <w:r w:rsidR="00910A43" w:rsidRPr="006557B3">
        <w:rPr>
          <w:rFonts w:ascii="Times New Roman" w:hAnsi="Times New Roman" w:cs="Times New Roman"/>
          <w:color w:val="000000"/>
          <w:sz w:val="24"/>
          <w:szCs w:val="24"/>
          <w:lang w:val="lv-LV"/>
        </w:rPr>
        <w:t xml:space="preserve"> pietiekamā daudzumā</w:t>
      </w:r>
      <w:r w:rsidRPr="006557B3">
        <w:rPr>
          <w:rFonts w:ascii="Times New Roman" w:hAnsi="Times New Roman" w:cs="Times New Roman"/>
          <w:color w:val="000000"/>
          <w:sz w:val="24"/>
          <w:szCs w:val="24"/>
          <w:lang w:val="lv-LV"/>
        </w:rPr>
        <w:t>. Vienlaikus minēts, ka</w:t>
      </w:r>
      <w:r w:rsidR="00910A43" w:rsidRPr="006557B3">
        <w:rPr>
          <w:rFonts w:ascii="Times New Roman" w:hAnsi="Times New Roman" w:cs="Times New Roman"/>
          <w:color w:val="000000"/>
          <w:sz w:val="24"/>
          <w:szCs w:val="24"/>
          <w:lang w:val="lv-LV"/>
        </w:rPr>
        <w:t xml:space="preserve"> ar</w:t>
      </w:r>
      <w:r w:rsidRPr="006557B3">
        <w:rPr>
          <w:rFonts w:ascii="Times New Roman" w:hAnsi="Times New Roman" w:cs="Times New Roman"/>
          <w:color w:val="000000"/>
          <w:sz w:val="24"/>
          <w:szCs w:val="24"/>
          <w:lang w:val="lv-LV"/>
        </w:rPr>
        <w:t xml:space="preserve"> šād</w:t>
      </w:r>
      <w:r w:rsidR="00910A43" w:rsidRPr="006557B3">
        <w:rPr>
          <w:rFonts w:ascii="Times New Roman" w:hAnsi="Times New Roman" w:cs="Times New Roman"/>
          <w:color w:val="000000"/>
          <w:sz w:val="24"/>
          <w:szCs w:val="24"/>
          <w:lang w:val="lv-LV"/>
        </w:rPr>
        <w:t>a</w:t>
      </w:r>
      <w:r w:rsidRPr="006557B3">
        <w:rPr>
          <w:rFonts w:ascii="Times New Roman" w:hAnsi="Times New Roman" w:cs="Times New Roman"/>
          <w:color w:val="000000"/>
          <w:sz w:val="24"/>
          <w:szCs w:val="24"/>
          <w:lang w:val="lv-LV"/>
        </w:rPr>
        <w:t xml:space="preserve"> uztur</w:t>
      </w:r>
      <w:r w:rsidR="00910A43" w:rsidRPr="006557B3">
        <w:rPr>
          <w:rFonts w:ascii="Times New Roman" w:hAnsi="Times New Roman" w:cs="Times New Roman"/>
          <w:color w:val="000000"/>
          <w:sz w:val="24"/>
          <w:szCs w:val="24"/>
          <w:lang w:val="lv-LV"/>
        </w:rPr>
        <w:t>a lietošanu</w:t>
      </w:r>
      <w:r w:rsidRPr="006557B3">
        <w:rPr>
          <w:rFonts w:ascii="Times New Roman" w:hAnsi="Times New Roman" w:cs="Times New Roman"/>
          <w:color w:val="000000"/>
          <w:sz w:val="24"/>
          <w:szCs w:val="24"/>
          <w:lang w:val="lv-LV"/>
        </w:rPr>
        <w:t xml:space="preserve"> cilvēkiem, kas ir vecāki par 60 gadiem, tiek nodrošinātas visas organismam nepieciešamās vielas. Tomēr cilvēkiem ar hroniskām vai akūtām slim</w:t>
      </w:r>
      <w:r w:rsidR="00910A43" w:rsidRPr="006557B3">
        <w:rPr>
          <w:rFonts w:ascii="Times New Roman" w:hAnsi="Times New Roman" w:cs="Times New Roman"/>
          <w:color w:val="000000"/>
          <w:sz w:val="24"/>
          <w:szCs w:val="24"/>
          <w:lang w:val="lv-LV"/>
        </w:rPr>
        <w:t>ībām līdz ar</w:t>
      </w:r>
      <w:r w:rsidRPr="006557B3">
        <w:rPr>
          <w:rFonts w:ascii="Times New Roman" w:hAnsi="Times New Roman" w:cs="Times New Roman"/>
          <w:color w:val="000000"/>
          <w:sz w:val="24"/>
          <w:szCs w:val="24"/>
          <w:lang w:val="lv-LV"/>
        </w:rPr>
        <w:t xml:space="preserve"> </w:t>
      </w:r>
      <w:r w:rsidR="00910A43" w:rsidRPr="006557B3">
        <w:rPr>
          <w:rFonts w:ascii="Times New Roman" w:hAnsi="Times New Roman" w:cs="Times New Roman"/>
          <w:color w:val="000000"/>
          <w:sz w:val="24"/>
          <w:szCs w:val="24"/>
          <w:lang w:val="lv-LV"/>
        </w:rPr>
        <w:t xml:space="preserve">apetītes mazināšanos </w:t>
      </w:r>
      <w:r w:rsidRPr="006557B3">
        <w:rPr>
          <w:rFonts w:ascii="Times New Roman" w:hAnsi="Times New Roman" w:cs="Times New Roman"/>
          <w:color w:val="000000"/>
          <w:sz w:val="24"/>
          <w:szCs w:val="24"/>
          <w:lang w:val="lv-LV"/>
        </w:rPr>
        <w:t>vai citād</w:t>
      </w:r>
      <w:r w:rsidR="00910A43" w:rsidRPr="006557B3">
        <w:rPr>
          <w:rFonts w:ascii="Times New Roman" w:hAnsi="Times New Roman" w:cs="Times New Roman"/>
          <w:color w:val="000000"/>
          <w:sz w:val="24"/>
          <w:szCs w:val="24"/>
          <w:lang w:val="lv-LV"/>
        </w:rPr>
        <w:t>u</w:t>
      </w:r>
      <w:r w:rsidRPr="006557B3">
        <w:rPr>
          <w:rFonts w:ascii="Times New Roman" w:hAnsi="Times New Roman" w:cs="Times New Roman"/>
          <w:color w:val="000000"/>
          <w:sz w:val="24"/>
          <w:szCs w:val="24"/>
          <w:lang w:val="lv-LV"/>
        </w:rPr>
        <w:t xml:space="preserve"> ietekm</w:t>
      </w:r>
      <w:r w:rsidR="00910A43" w:rsidRPr="006557B3">
        <w:rPr>
          <w:rFonts w:ascii="Times New Roman" w:hAnsi="Times New Roman" w:cs="Times New Roman"/>
          <w:color w:val="000000"/>
          <w:sz w:val="24"/>
          <w:szCs w:val="24"/>
          <w:lang w:val="lv-LV"/>
        </w:rPr>
        <w:t>i uz</w:t>
      </w:r>
      <w:r w:rsidRPr="006557B3">
        <w:rPr>
          <w:rFonts w:ascii="Times New Roman" w:hAnsi="Times New Roman" w:cs="Times New Roman"/>
          <w:color w:val="000000"/>
          <w:sz w:val="24"/>
          <w:szCs w:val="24"/>
          <w:lang w:val="lv-LV"/>
        </w:rPr>
        <w:t xml:space="preserve"> uztura paradumiem var rasties vēlme papildus lietot uztura bagātinātājus. Ieteikumos t</w:t>
      </w:r>
      <w:r w:rsidR="00910A43" w:rsidRPr="006557B3">
        <w:rPr>
          <w:rFonts w:ascii="Times New Roman" w:hAnsi="Times New Roman" w:cs="Times New Roman"/>
          <w:color w:val="000000"/>
          <w:sz w:val="24"/>
          <w:szCs w:val="24"/>
          <w:lang w:val="lv-LV"/>
        </w:rPr>
        <w:t>eikts</w:t>
      </w:r>
      <w:r w:rsidRPr="006557B3">
        <w:rPr>
          <w:rFonts w:ascii="Times New Roman" w:hAnsi="Times New Roman" w:cs="Times New Roman"/>
          <w:color w:val="000000"/>
          <w:sz w:val="24"/>
          <w:szCs w:val="24"/>
          <w:lang w:val="lv-LV"/>
        </w:rPr>
        <w:t>, ka šādos gadījumos cilvēkiem, kas ir vecāki par 60 gadiem, būtu jāvēršas pie sava ārstējošā ārsta vai ģimenes ārsta</w:t>
      </w:r>
      <w:r w:rsidR="00910A43" w:rsidRPr="006557B3">
        <w:rPr>
          <w:rFonts w:ascii="Times New Roman" w:hAnsi="Times New Roman" w:cs="Times New Roman"/>
          <w:color w:val="000000"/>
          <w:sz w:val="24"/>
          <w:szCs w:val="24"/>
          <w:lang w:val="lv-LV"/>
        </w:rPr>
        <w:t>,</w:t>
      </w:r>
      <w:r w:rsidRPr="006557B3">
        <w:rPr>
          <w:rFonts w:ascii="Times New Roman" w:hAnsi="Times New Roman" w:cs="Times New Roman"/>
          <w:color w:val="000000"/>
          <w:sz w:val="24"/>
          <w:szCs w:val="24"/>
          <w:lang w:val="lv-LV"/>
        </w:rPr>
        <w:t xml:space="preserve"> uzsv</w:t>
      </w:r>
      <w:r w:rsidR="00910A43" w:rsidRPr="006557B3">
        <w:rPr>
          <w:rFonts w:ascii="Times New Roman" w:hAnsi="Times New Roman" w:cs="Times New Roman"/>
          <w:color w:val="000000"/>
          <w:sz w:val="24"/>
          <w:szCs w:val="24"/>
          <w:lang w:val="lv-LV"/>
        </w:rPr>
        <w:t>erot</w:t>
      </w:r>
      <w:r w:rsidRPr="006557B3">
        <w:rPr>
          <w:rFonts w:ascii="Times New Roman" w:hAnsi="Times New Roman" w:cs="Times New Roman"/>
          <w:color w:val="000000"/>
          <w:sz w:val="24"/>
          <w:szCs w:val="24"/>
          <w:lang w:val="lv-LV"/>
        </w:rPr>
        <w:t>, ka vitamīni un minerālvielas organismā labāk uzsūcas un tiek labāk izmantoti, ja tie tiek uzņemti ar dab</w:t>
      </w:r>
      <w:r w:rsidR="00910A43" w:rsidRPr="006557B3">
        <w:rPr>
          <w:rFonts w:ascii="Times New Roman" w:hAnsi="Times New Roman" w:cs="Times New Roman"/>
          <w:color w:val="000000"/>
          <w:sz w:val="24"/>
          <w:szCs w:val="24"/>
          <w:lang w:val="lv-LV"/>
        </w:rPr>
        <w:t>isk</w:t>
      </w:r>
      <w:r w:rsidRPr="006557B3">
        <w:rPr>
          <w:rFonts w:ascii="Times New Roman" w:hAnsi="Times New Roman" w:cs="Times New Roman"/>
          <w:color w:val="000000"/>
          <w:sz w:val="24"/>
          <w:szCs w:val="24"/>
          <w:lang w:val="lv-LV"/>
        </w:rPr>
        <w:t>iem produktiem, piemēram, augļiem un dārzeņiem.</w:t>
      </w:r>
      <w:r w:rsidRPr="006557B3">
        <w:rPr>
          <w:rStyle w:val="Vresatsauce"/>
          <w:rFonts w:ascii="Times New Roman" w:hAnsi="Times New Roman" w:cs="Times New Roman"/>
          <w:color w:val="000000"/>
          <w:sz w:val="24"/>
          <w:szCs w:val="24"/>
          <w:lang w:val="lv-LV"/>
        </w:rPr>
        <w:footnoteReference w:id="6"/>
      </w:r>
    </w:p>
    <w:p w14:paraId="51AAD5CA" w14:textId="065E42EF" w:rsidR="000B5BBE" w:rsidRPr="006557B3" w:rsidRDefault="000B5BBE" w:rsidP="00C05C12">
      <w:pPr>
        <w:pStyle w:val="Sarakstaaizzme"/>
        <w:numPr>
          <w:ilvl w:val="0"/>
          <w:numId w:val="0"/>
        </w:num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Turpmāko gadu laikā </w:t>
      </w:r>
      <w:r w:rsidR="00910A43" w:rsidRPr="006557B3">
        <w:rPr>
          <w:rFonts w:ascii="Times New Roman" w:hAnsi="Times New Roman" w:cs="Times New Roman"/>
          <w:sz w:val="24"/>
          <w:szCs w:val="24"/>
          <w:lang w:val="lv-LV"/>
        </w:rPr>
        <w:t>VM</w:t>
      </w:r>
      <w:r w:rsidRPr="006557B3">
        <w:rPr>
          <w:rFonts w:ascii="Times New Roman" w:hAnsi="Times New Roman" w:cs="Times New Roman"/>
          <w:sz w:val="24"/>
          <w:szCs w:val="24"/>
          <w:lang w:val="lv-LV"/>
        </w:rPr>
        <w:t xml:space="preserve"> atbilstoši Sabiedrības veselības pamatnostādnēs 2014.</w:t>
      </w:r>
      <w:r w:rsidR="00910A43" w:rsidRPr="006557B3">
        <w:rPr>
          <w:rFonts w:ascii="Times New Roman" w:hAnsi="Times New Roman" w:cs="Times New Roman"/>
          <w:sz w:val="24"/>
          <w:szCs w:val="24"/>
          <w:lang w:val="lv-LV"/>
        </w:rPr>
        <w:t>–</w:t>
      </w:r>
      <w:r w:rsidRPr="006557B3">
        <w:rPr>
          <w:rFonts w:ascii="Times New Roman" w:hAnsi="Times New Roman" w:cs="Times New Roman"/>
          <w:sz w:val="24"/>
          <w:szCs w:val="24"/>
          <w:lang w:val="lv-LV"/>
        </w:rPr>
        <w:t>2020.gadam paredzētaja</w:t>
      </w:r>
      <w:r w:rsidR="00814C03">
        <w:rPr>
          <w:rFonts w:ascii="Times New Roman" w:hAnsi="Times New Roman" w:cs="Times New Roman"/>
          <w:sz w:val="24"/>
          <w:szCs w:val="24"/>
          <w:lang w:val="lv-LV"/>
        </w:rPr>
        <w:t>i</w:t>
      </w:r>
      <w:r w:rsidRPr="006557B3">
        <w:rPr>
          <w:rFonts w:ascii="Times New Roman" w:eastAsia="Calibri" w:hAnsi="Times New Roman" w:cs="Times New Roman"/>
          <w:bCs/>
          <w:color w:val="000000"/>
          <w:sz w:val="24"/>
          <w:szCs w:val="24"/>
          <w:shd w:val="clear" w:color="auto" w:fill="FFFFFF"/>
          <w:lang w:val="lv-LV" w:eastAsia="lv-LV" w:bidi="lv-LV"/>
        </w:rPr>
        <w:t xml:space="preserve"> </w:t>
      </w:r>
      <w:r w:rsidRPr="006557B3">
        <w:rPr>
          <w:rFonts w:ascii="Times New Roman" w:hAnsi="Times New Roman" w:cs="Times New Roman"/>
          <w:bCs/>
          <w:sz w:val="24"/>
          <w:szCs w:val="24"/>
          <w:lang w:val="lv-LV" w:bidi="lv-LV"/>
        </w:rPr>
        <w:t>n</w:t>
      </w:r>
      <w:r w:rsidRPr="006557B3">
        <w:rPr>
          <w:rFonts w:ascii="Times New Roman" w:eastAsia="Calibri" w:hAnsi="Times New Roman" w:cs="Times New Roman"/>
          <w:bCs/>
          <w:sz w:val="24"/>
          <w:szCs w:val="24"/>
          <w:lang w:val="lv-LV" w:bidi="lv-LV"/>
        </w:rPr>
        <w:t>einfekcijas slimību riska faktoru mazināšanai</w:t>
      </w:r>
      <w:r w:rsidRPr="006557B3">
        <w:rPr>
          <w:rFonts w:ascii="Times New Roman" w:hAnsi="Times New Roman" w:cs="Times New Roman"/>
          <w:sz w:val="24"/>
          <w:szCs w:val="24"/>
          <w:lang w:val="lv-LV"/>
        </w:rPr>
        <w:t xml:space="preserve"> plāno turpināt organizēt izglītojošus pasākumus sabiedrības informēšanai (t</w:t>
      </w:r>
      <w:r w:rsidR="00910A43" w:rsidRPr="006557B3">
        <w:rPr>
          <w:rFonts w:ascii="Times New Roman" w:hAnsi="Times New Roman" w:cs="Times New Roman"/>
          <w:sz w:val="24"/>
          <w:szCs w:val="24"/>
          <w:lang w:val="lv-LV"/>
        </w:rPr>
        <w:t>osta</w:t>
      </w:r>
      <w:r w:rsidR="004F3293">
        <w:rPr>
          <w:rFonts w:ascii="Times New Roman" w:hAnsi="Times New Roman" w:cs="Times New Roman"/>
          <w:sz w:val="24"/>
          <w:szCs w:val="24"/>
          <w:lang w:val="lv-LV"/>
        </w:rPr>
        <w:t>r</w:t>
      </w:r>
      <w:r w:rsidR="00910A43" w:rsidRPr="006557B3">
        <w:rPr>
          <w:rFonts w:ascii="Times New Roman" w:hAnsi="Times New Roman" w:cs="Times New Roman"/>
          <w:sz w:val="24"/>
          <w:szCs w:val="24"/>
          <w:lang w:val="lv-LV"/>
        </w:rPr>
        <w:t xml:space="preserve">p </w:t>
      </w:r>
      <w:r w:rsidRPr="006557B3">
        <w:rPr>
          <w:rFonts w:ascii="Times New Roman" w:hAnsi="Times New Roman" w:cs="Times New Roman"/>
          <w:sz w:val="24"/>
          <w:szCs w:val="24"/>
          <w:lang w:val="lv-LV"/>
        </w:rPr>
        <w:t xml:space="preserve">darbspējīgajiem iedzīvotājiem, īpaši </w:t>
      </w:r>
      <w:r w:rsidRPr="006557B3">
        <w:rPr>
          <w:rFonts w:ascii="Times New Roman" w:hAnsi="Times New Roman" w:cs="Times New Roman"/>
          <w:bCs/>
          <w:sz w:val="24"/>
          <w:szCs w:val="24"/>
          <w:lang w:val="lv-LV"/>
        </w:rPr>
        <w:t>sociālās atstumtības un nabadzības riskam pakļauto iedzīvotāju grupām)</w:t>
      </w:r>
      <w:r w:rsidRPr="006557B3">
        <w:rPr>
          <w:rFonts w:ascii="Times New Roman" w:hAnsi="Times New Roman" w:cs="Times New Roman"/>
          <w:b/>
          <w:bCs/>
          <w:sz w:val="24"/>
          <w:szCs w:val="24"/>
          <w:lang w:val="lv-LV"/>
        </w:rPr>
        <w:t xml:space="preserve"> </w:t>
      </w:r>
      <w:r w:rsidRPr="006557B3">
        <w:rPr>
          <w:rFonts w:ascii="Times New Roman" w:hAnsi="Times New Roman" w:cs="Times New Roman"/>
          <w:sz w:val="24"/>
          <w:szCs w:val="24"/>
          <w:lang w:val="lv-LV"/>
        </w:rPr>
        <w:t xml:space="preserve">par veselīga uztura jautājumiem, </w:t>
      </w:r>
      <w:r w:rsidR="00910A43" w:rsidRPr="006557B3">
        <w:rPr>
          <w:rFonts w:ascii="Times New Roman" w:hAnsi="Times New Roman" w:cs="Times New Roman"/>
          <w:sz w:val="24"/>
          <w:szCs w:val="24"/>
          <w:lang w:val="lv-LV"/>
        </w:rPr>
        <w:t>arī</w:t>
      </w:r>
      <w:r w:rsidRPr="006557B3">
        <w:rPr>
          <w:rFonts w:ascii="Times New Roman" w:hAnsi="Times New Roman" w:cs="Times New Roman"/>
          <w:sz w:val="24"/>
          <w:szCs w:val="24"/>
          <w:lang w:val="lv-LV"/>
        </w:rPr>
        <w:t xml:space="preserve"> izglītojošus pasākumus par veselīgu uzturu darbavietās un izglītības iestādēs, līdzaudžu izglītošanas programmas, interešu grupas iedzīvotājiem, tematiskās lekcijas un seminārus </w:t>
      </w:r>
      <w:r w:rsidRPr="006557B3">
        <w:rPr>
          <w:rFonts w:ascii="Times New Roman" w:eastAsia="Calibri" w:hAnsi="Times New Roman" w:cs="Times New Roman"/>
          <w:sz w:val="24"/>
          <w:szCs w:val="24"/>
          <w:lang w:val="lv-LV"/>
        </w:rPr>
        <w:t>pašvaldību un izglītības iestāžu pārstāvjiem, kā arī veselības aprūpes speciālistiem u</w:t>
      </w:r>
      <w:r w:rsidR="007161A5" w:rsidRPr="006557B3">
        <w:rPr>
          <w:rFonts w:ascii="Times New Roman" w:eastAsia="Calibri" w:hAnsi="Times New Roman" w:cs="Times New Roman"/>
          <w:sz w:val="24"/>
          <w:szCs w:val="24"/>
          <w:lang w:val="lv-LV"/>
        </w:rPr>
        <w:t xml:space="preserve">n </w:t>
      </w:r>
      <w:r w:rsidRPr="006557B3">
        <w:rPr>
          <w:rFonts w:ascii="Times New Roman" w:eastAsia="Calibri" w:hAnsi="Times New Roman" w:cs="Times New Roman"/>
          <w:sz w:val="24"/>
          <w:szCs w:val="24"/>
          <w:lang w:val="lv-LV"/>
        </w:rPr>
        <w:t>c</w:t>
      </w:r>
      <w:r w:rsidR="007161A5" w:rsidRPr="006557B3">
        <w:rPr>
          <w:rFonts w:ascii="Times New Roman" w:eastAsia="Calibri" w:hAnsi="Times New Roman" w:cs="Times New Roman"/>
          <w:sz w:val="24"/>
          <w:szCs w:val="24"/>
          <w:lang w:val="lv-LV"/>
        </w:rPr>
        <w:t>itus</w:t>
      </w:r>
      <w:r w:rsidRPr="006557B3">
        <w:rPr>
          <w:rFonts w:ascii="Times New Roman" w:eastAsia="Calibri" w:hAnsi="Times New Roman" w:cs="Times New Roman"/>
          <w:sz w:val="24"/>
          <w:szCs w:val="24"/>
          <w:lang w:val="lv-LV"/>
        </w:rPr>
        <w:t xml:space="preserve"> pasākumus. </w:t>
      </w:r>
      <w:r w:rsidRPr="006557B3">
        <w:rPr>
          <w:rFonts w:ascii="Times New Roman" w:hAnsi="Times New Roman" w:cs="Times New Roman"/>
          <w:sz w:val="24"/>
          <w:szCs w:val="24"/>
          <w:lang w:val="lv-LV"/>
        </w:rPr>
        <w:t>Tāpat ir paredzēts organizēt pasākumus pašvaldībās (piemēram, veselības dien</w:t>
      </w:r>
      <w:r w:rsidR="007161A5" w:rsidRPr="006557B3">
        <w:rPr>
          <w:rFonts w:ascii="Times New Roman" w:hAnsi="Times New Roman" w:cs="Times New Roman"/>
          <w:sz w:val="24"/>
          <w:szCs w:val="24"/>
          <w:lang w:val="lv-LV"/>
        </w:rPr>
        <w:t>as</w:t>
      </w:r>
      <w:r w:rsidRPr="006557B3">
        <w:rPr>
          <w:rFonts w:ascii="Times New Roman" w:hAnsi="Times New Roman" w:cs="Times New Roman"/>
          <w:sz w:val="24"/>
          <w:szCs w:val="24"/>
          <w:lang w:val="lv-LV"/>
        </w:rPr>
        <w:t>), sagatavot informatīvos materiālus un uzskates līdzekļus (piemēram, plakātus, žurnālus, grāmatas, bukletus), kā arī v</w:t>
      </w:r>
      <w:r w:rsidRPr="006557B3">
        <w:rPr>
          <w:rFonts w:ascii="Times New Roman" w:eastAsia="Calibri" w:hAnsi="Times New Roman" w:cs="Times New Roman"/>
          <w:sz w:val="24"/>
          <w:szCs w:val="24"/>
          <w:lang w:val="lv-LV"/>
        </w:rPr>
        <w:t>eicināt augļu un dārzeņu patēriņu uzturā, popularizējot programmu “5dienā”</w:t>
      </w:r>
      <w:r w:rsidRPr="006557B3">
        <w:rPr>
          <w:rFonts w:ascii="Times New Roman" w:hAnsi="Times New Roman" w:cs="Times New Roman"/>
          <w:sz w:val="24"/>
          <w:szCs w:val="24"/>
          <w:lang w:val="lv-LV"/>
        </w:rPr>
        <w:t xml:space="preserve">. Minētos pasākumus plānots īstenot </w:t>
      </w:r>
      <w:r w:rsidR="007161A5" w:rsidRPr="006557B3">
        <w:rPr>
          <w:rFonts w:ascii="Times New Roman" w:hAnsi="Times New Roman" w:cs="Times New Roman"/>
          <w:sz w:val="24"/>
          <w:szCs w:val="24"/>
          <w:lang w:val="lv-LV"/>
        </w:rPr>
        <w:t xml:space="preserve">par </w:t>
      </w:r>
      <w:r w:rsidRPr="006557B3">
        <w:rPr>
          <w:rFonts w:ascii="Times New Roman" w:hAnsi="Times New Roman" w:cs="Times New Roman"/>
          <w:sz w:val="24"/>
          <w:szCs w:val="24"/>
          <w:lang w:val="lv-LV"/>
        </w:rPr>
        <w:t>valsts budžet</w:t>
      </w:r>
      <w:r w:rsidR="007161A5" w:rsidRPr="006557B3">
        <w:rPr>
          <w:rFonts w:ascii="Times New Roman" w:hAnsi="Times New Roman" w:cs="Times New Roman"/>
          <w:sz w:val="24"/>
          <w:szCs w:val="24"/>
          <w:lang w:val="lv-LV"/>
        </w:rPr>
        <w:t>ā</w:t>
      </w:r>
      <w:r w:rsidRPr="006557B3">
        <w:rPr>
          <w:rFonts w:ascii="Times New Roman" w:hAnsi="Times New Roman" w:cs="Times New Roman"/>
          <w:sz w:val="24"/>
          <w:szCs w:val="24"/>
          <w:lang w:val="lv-LV"/>
        </w:rPr>
        <w:t xml:space="preserve"> kārtējam gadam paredzēt</w:t>
      </w:r>
      <w:r w:rsidR="007161A5" w:rsidRPr="006557B3">
        <w:rPr>
          <w:rFonts w:ascii="Times New Roman" w:hAnsi="Times New Roman" w:cs="Times New Roman"/>
          <w:sz w:val="24"/>
          <w:szCs w:val="24"/>
          <w:lang w:val="lv-LV"/>
        </w:rPr>
        <w:t>ajiem</w:t>
      </w:r>
      <w:r w:rsidRPr="006557B3">
        <w:rPr>
          <w:rFonts w:ascii="Times New Roman" w:hAnsi="Times New Roman" w:cs="Times New Roman"/>
          <w:sz w:val="24"/>
          <w:szCs w:val="24"/>
          <w:lang w:val="lv-LV"/>
        </w:rPr>
        <w:t xml:space="preserve"> finanšu līdzekļ</w:t>
      </w:r>
      <w:r w:rsidR="007161A5" w:rsidRPr="006557B3">
        <w:rPr>
          <w:rFonts w:ascii="Times New Roman" w:hAnsi="Times New Roman" w:cs="Times New Roman"/>
          <w:sz w:val="24"/>
          <w:szCs w:val="24"/>
          <w:lang w:val="lv-LV"/>
        </w:rPr>
        <w:t>iem</w:t>
      </w:r>
      <w:r w:rsidRPr="006557B3">
        <w:rPr>
          <w:rFonts w:ascii="Times New Roman" w:hAnsi="Times New Roman" w:cs="Times New Roman"/>
          <w:sz w:val="24"/>
          <w:szCs w:val="24"/>
          <w:lang w:val="lv-LV"/>
        </w:rPr>
        <w:t xml:space="preserve"> un </w:t>
      </w:r>
      <w:r w:rsidRPr="006557B3">
        <w:rPr>
          <w:rFonts w:ascii="Times New Roman" w:hAnsi="Times New Roman" w:cs="Times New Roman"/>
          <w:iCs/>
          <w:sz w:val="24"/>
          <w:szCs w:val="24"/>
          <w:lang w:val="lv-LV"/>
        </w:rPr>
        <w:t>Eiropas Savienības struktūrfondu finansējuma</w:t>
      </w:r>
      <w:r w:rsidRPr="006557B3">
        <w:rPr>
          <w:rFonts w:ascii="Times New Roman" w:hAnsi="Times New Roman" w:cs="Times New Roman"/>
          <w:sz w:val="24"/>
          <w:szCs w:val="24"/>
          <w:lang w:val="lv-LV"/>
        </w:rPr>
        <w:t>.</w:t>
      </w:r>
      <w:r w:rsidRPr="006557B3">
        <w:rPr>
          <w:rStyle w:val="Vresatsauce"/>
          <w:rFonts w:ascii="Times New Roman" w:hAnsi="Times New Roman" w:cs="Times New Roman"/>
          <w:sz w:val="24"/>
          <w:szCs w:val="24"/>
          <w:lang w:val="lv-LV"/>
        </w:rPr>
        <w:footnoteReference w:id="7"/>
      </w:r>
    </w:p>
    <w:p w14:paraId="0B5A69E1" w14:textId="77777777" w:rsidR="00E40EAF" w:rsidRPr="006557B3" w:rsidRDefault="00E40EAF" w:rsidP="00C05C12">
      <w:pPr>
        <w:pStyle w:val="Sarakstaaizzme"/>
        <w:numPr>
          <w:ilvl w:val="0"/>
          <w:numId w:val="0"/>
        </w:numPr>
        <w:tabs>
          <w:tab w:val="left" w:pos="8647"/>
        </w:tabs>
        <w:spacing w:after="0" w:line="240" w:lineRule="auto"/>
        <w:ind w:firstLine="709"/>
        <w:jc w:val="both"/>
        <w:rPr>
          <w:rFonts w:ascii="Times New Roman" w:hAnsi="Times New Roman" w:cs="Times New Roman"/>
          <w:sz w:val="24"/>
          <w:szCs w:val="24"/>
          <w:lang w:val="lv-LV"/>
        </w:rPr>
      </w:pPr>
    </w:p>
    <w:p w14:paraId="093A8234" w14:textId="77777777" w:rsidR="003C0374" w:rsidRPr="006557B3" w:rsidRDefault="00872BB7" w:rsidP="00C05C12">
      <w:pPr>
        <w:tabs>
          <w:tab w:val="left" w:pos="8647"/>
        </w:tabs>
        <w:spacing w:after="0" w:line="240" w:lineRule="auto"/>
        <w:rPr>
          <w:rFonts w:ascii="Times New Roman" w:hAnsi="Times New Roman" w:cs="Times New Roman"/>
          <w:b/>
          <w:color w:val="000000"/>
          <w:sz w:val="24"/>
          <w:szCs w:val="24"/>
          <w:lang w:val="lv-LV"/>
        </w:rPr>
      </w:pPr>
      <w:r w:rsidRPr="006557B3">
        <w:rPr>
          <w:rFonts w:ascii="Times New Roman" w:hAnsi="Times New Roman" w:cs="Times New Roman"/>
          <w:b/>
          <w:color w:val="000000" w:themeColor="text1"/>
          <w:sz w:val="24"/>
          <w:szCs w:val="24"/>
          <w:lang w:val="lv-LV"/>
        </w:rPr>
        <w:t>6</w:t>
      </w:r>
      <w:r w:rsidR="00F75D64" w:rsidRPr="006557B3">
        <w:rPr>
          <w:rFonts w:ascii="Times New Roman" w:hAnsi="Times New Roman" w:cs="Times New Roman"/>
          <w:b/>
          <w:color w:val="000000" w:themeColor="text1"/>
          <w:sz w:val="24"/>
          <w:szCs w:val="24"/>
          <w:lang w:val="lv-LV"/>
        </w:rPr>
        <w:t>.2.</w:t>
      </w:r>
      <w:r w:rsidR="00321340" w:rsidRPr="006557B3">
        <w:rPr>
          <w:rFonts w:ascii="Times New Roman" w:hAnsi="Times New Roman" w:cs="Times New Roman"/>
          <w:b/>
          <w:color w:val="000000" w:themeColor="text1"/>
          <w:sz w:val="24"/>
          <w:szCs w:val="24"/>
          <w:lang w:val="lv-LV"/>
        </w:rPr>
        <w:t xml:space="preserve"> </w:t>
      </w:r>
      <w:r w:rsidR="003C0374" w:rsidRPr="006557B3">
        <w:rPr>
          <w:rFonts w:ascii="Times New Roman" w:hAnsi="Times New Roman" w:cs="Times New Roman"/>
          <w:b/>
          <w:color w:val="000000"/>
          <w:sz w:val="24"/>
          <w:szCs w:val="24"/>
          <w:lang w:val="lv-LV"/>
        </w:rPr>
        <w:t>Slimību profilakses un kontroles centr</w:t>
      </w:r>
      <w:r w:rsidR="00321340" w:rsidRPr="006557B3">
        <w:rPr>
          <w:rFonts w:ascii="Times New Roman" w:hAnsi="Times New Roman" w:cs="Times New Roman"/>
          <w:b/>
          <w:color w:val="000000"/>
          <w:sz w:val="24"/>
          <w:szCs w:val="24"/>
          <w:lang w:val="lv-LV"/>
        </w:rPr>
        <w:t>s</w:t>
      </w:r>
      <w:r w:rsidR="003C0374" w:rsidRPr="006557B3">
        <w:rPr>
          <w:rFonts w:ascii="Times New Roman" w:hAnsi="Times New Roman" w:cs="Times New Roman"/>
          <w:b/>
          <w:color w:val="000000"/>
          <w:sz w:val="24"/>
          <w:szCs w:val="24"/>
          <w:lang w:val="lv-LV"/>
        </w:rPr>
        <w:t xml:space="preserve"> </w:t>
      </w:r>
    </w:p>
    <w:p w14:paraId="24A1B18D" w14:textId="79C7FDCD" w:rsidR="00B23555" w:rsidRPr="006557B3" w:rsidRDefault="00B23555"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Slimību profilakses un kontroles centrs 2013.</w:t>
      </w:r>
      <w:r w:rsidR="00C64A74">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gadā</w:t>
      </w:r>
      <w:r w:rsidR="007161A5" w:rsidRPr="006557B3">
        <w:rPr>
          <w:rFonts w:ascii="Times New Roman" w:hAnsi="Times New Roman" w:cs="Times New Roman"/>
          <w:sz w:val="24"/>
          <w:szCs w:val="24"/>
          <w:lang w:val="lv-LV"/>
        </w:rPr>
        <w:t>, īstenojot</w:t>
      </w:r>
      <w:r w:rsidRPr="006557B3">
        <w:rPr>
          <w:rFonts w:ascii="Times New Roman" w:hAnsi="Times New Roman" w:cs="Times New Roman"/>
          <w:sz w:val="24"/>
          <w:szCs w:val="24"/>
          <w:lang w:val="lv-LV"/>
        </w:rPr>
        <w:t xml:space="preserve"> projekt</w:t>
      </w:r>
      <w:r w:rsidR="007161A5" w:rsidRPr="006557B3">
        <w:rPr>
          <w:rFonts w:ascii="Times New Roman" w:hAnsi="Times New Roman" w:cs="Times New Roman"/>
          <w:sz w:val="24"/>
          <w:szCs w:val="24"/>
          <w:lang w:val="lv-LV"/>
        </w:rPr>
        <w:t>u</w:t>
      </w:r>
      <w:r w:rsidRPr="006557B3">
        <w:rPr>
          <w:rFonts w:ascii="Times New Roman" w:hAnsi="Times New Roman" w:cs="Times New Roman"/>
          <w:sz w:val="24"/>
          <w:szCs w:val="24"/>
          <w:lang w:val="lv-LV"/>
        </w:rPr>
        <w:t xml:space="preserve"> „</w:t>
      </w:r>
      <w:r w:rsidRPr="006557B3">
        <w:rPr>
          <w:rFonts w:ascii="Times New Roman" w:hAnsi="Times New Roman" w:cs="Times New Roman"/>
          <w:bCs/>
          <w:sz w:val="24"/>
          <w:szCs w:val="24"/>
          <w:lang w:val="lv-LV"/>
        </w:rPr>
        <w:t>Izglābsim</w:t>
      </w:r>
      <w:r w:rsidR="007161A5" w:rsidRPr="006557B3">
        <w:rPr>
          <w:rFonts w:ascii="Times New Roman" w:hAnsi="Times New Roman" w:cs="Times New Roman"/>
          <w:bCs/>
          <w:sz w:val="24"/>
          <w:szCs w:val="24"/>
          <w:lang w:val="lv-LV"/>
        </w:rPr>
        <w:t xml:space="preserve"> </w:t>
      </w:r>
      <w:r w:rsidRPr="006557B3">
        <w:rPr>
          <w:rFonts w:ascii="Times New Roman" w:hAnsi="Times New Roman" w:cs="Times New Roman"/>
          <w:bCs/>
          <w:sz w:val="24"/>
          <w:szCs w:val="24"/>
          <w:lang w:val="lv-LV"/>
        </w:rPr>
        <w:t>100 bērnus”</w:t>
      </w:r>
      <w:r w:rsidR="007161A5" w:rsidRPr="006557B3">
        <w:rPr>
          <w:rFonts w:ascii="Times New Roman" w:hAnsi="Times New Roman" w:cs="Times New Roman"/>
          <w:bCs/>
          <w:sz w:val="24"/>
          <w:szCs w:val="24"/>
          <w:lang w:val="lv-LV"/>
        </w:rPr>
        <w:t>,</w:t>
      </w:r>
      <w:r w:rsidRPr="006557B3">
        <w:rPr>
          <w:rFonts w:ascii="Times New Roman" w:hAnsi="Times New Roman" w:cs="Times New Roman"/>
          <w:bCs/>
          <w:sz w:val="24"/>
          <w:szCs w:val="24"/>
          <w:lang w:val="lv-LV"/>
        </w:rPr>
        <w:t xml:space="preserve"> </w:t>
      </w:r>
      <w:r w:rsidRPr="006557B3">
        <w:rPr>
          <w:rFonts w:ascii="Times New Roman" w:hAnsi="Times New Roman" w:cs="Times New Roman"/>
          <w:sz w:val="24"/>
          <w:szCs w:val="24"/>
          <w:lang w:val="lv-LV"/>
        </w:rPr>
        <w:t>sadarbībā ar Rīgas Austrumu klīniskās universitātes slimnīcas Atbalsta fondu un veselības aprūpes kompāniju „</w:t>
      </w:r>
      <w:r w:rsidRPr="006557B3">
        <w:rPr>
          <w:rFonts w:ascii="Times New Roman" w:hAnsi="Times New Roman" w:cs="Times New Roman"/>
          <w:bCs/>
          <w:sz w:val="24"/>
          <w:szCs w:val="24"/>
          <w:lang w:val="lv-LV"/>
        </w:rPr>
        <w:t xml:space="preserve">Roche Latvija” izdeva </w:t>
      </w:r>
      <w:r w:rsidRPr="006557B3">
        <w:rPr>
          <w:rFonts w:ascii="Times New Roman" w:hAnsi="Times New Roman" w:cs="Times New Roman"/>
          <w:sz w:val="24"/>
          <w:szCs w:val="24"/>
          <w:lang w:val="lv-LV"/>
        </w:rPr>
        <w:t>rokasgrāmatu topošām un jaunām māmiņām „</w:t>
      </w:r>
      <w:r w:rsidRPr="006557B3">
        <w:rPr>
          <w:rFonts w:ascii="Times New Roman" w:hAnsi="Times New Roman" w:cs="Times New Roman"/>
          <w:bCs/>
          <w:sz w:val="24"/>
          <w:szCs w:val="24"/>
          <w:lang w:val="lv-LV"/>
        </w:rPr>
        <w:t xml:space="preserve">Gribu būt māmiņa”, kurā </w:t>
      </w:r>
      <w:r w:rsidR="007161A5" w:rsidRPr="006557B3">
        <w:rPr>
          <w:rFonts w:ascii="Times New Roman" w:hAnsi="Times New Roman" w:cs="Times New Roman"/>
          <w:bCs/>
          <w:sz w:val="24"/>
          <w:szCs w:val="24"/>
          <w:lang w:val="lv-LV"/>
        </w:rPr>
        <w:t>doti</w:t>
      </w:r>
      <w:r w:rsidRPr="006557B3">
        <w:rPr>
          <w:rFonts w:ascii="Times New Roman" w:hAnsi="Times New Roman" w:cs="Times New Roman"/>
          <w:bCs/>
          <w:sz w:val="24"/>
          <w:szCs w:val="24"/>
          <w:lang w:val="lv-LV"/>
        </w:rPr>
        <w:t xml:space="preserve"> praktiski padomi sievietēm veselīgas grūtniecības nodrošināšanai. </w:t>
      </w:r>
      <w:r w:rsidR="007161A5" w:rsidRPr="006557B3">
        <w:rPr>
          <w:rFonts w:ascii="Times New Roman" w:hAnsi="Times New Roman" w:cs="Times New Roman"/>
          <w:bCs/>
          <w:sz w:val="24"/>
          <w:szCs w:val="24"/>
          <w:lang w:val="lv-LV"/>
        </w:rPr>
        <w:t>Šajā r</w:t>
      </w:r>
      <w:r w:rsidR="007161A5" w:rsidRPr="006557B3">
        <w:rPr>
          <w:rFonts w:ascii="Times New Roman" w:hAnsi="Times New Roman" w:cs="Times New Roman"/>
          <w:sz w:val="24"/>
          <w:szCs w:val="24"/>
          <w:lang w:val="lv-LV"/>
        </w:rPr>
        <w:t>okasgrāmatā</w:t>
      </w:r>
      <w:r w:rsidR="007161A5" w:rsidRPr="006557B3">
        <w:rPr>
          <w:rFonts w:ascii="Times New Roman" w:hAnsi="Times New Roman" w:cs="Times New Roman"/>
          <w:bCs/>
          <w:sz w:val="24"/>
          <w:szCs w:val="24"/>
          <w:lang w:val="lv-LV"/>
        </w:rPr>
        <w:t xml:space="preserve"> teikts</w:t>
      </w:r>
      <w:r w:rsidRPr="006557B3">
        <w:rPr>
          <w:rFonts w:ascii="Times New Roman" w:hAnsi="Times New Roman" w:cs="Times New Roman"/>
          <w:sz w:val="24"/>
          <w:szCs w:val="24"/>
          <w:lang w:val="lv-LV"/>
        </w:rPr>
        <w:t xml:space="preserve">, ka ar pilnvērtīgu, dabīgu un dažādu uzturu grūtniecības laikā </w:t>
      </w:r>
      <w:r w:rsidR="007161A5" w:rsidRPr="006557B3">
        <w:rPr>
          <w:rFonts w:ascii="Times New Roman" w:hAnsi="Times New Roman" w:cs="Times New Roman"/>
          <w:sz w:val="24"/>
          <w:szCs w:val="24"/>
          <w:lang w:val="lv-LV"/>
        </w:rPr>
        <w:t xml:space="preserve">organismu </w:t>
      </w:r>
      <w:r w:rsidRPr="006557B3">
        <w:rPr>
          <w:rFonts w:ascii="Times New Roman" w:hAnsi="Times New Roman" w:cs="Times New Roman"/>
          <w:sz w:val="24"/>
          <w:szCs w:val="24"/>
          <w:lang w:val="lv-LV"/>
        </w:rPr>
        <w:t xml:space="preserve">ir iespējams nodrošināt ar nepieciešamajām uzturvielām, </w:t>
      </w:r>
      <w:r w:rsidRPr="006557B3">
        <w:rPr>
          <w:rFonts w:ascii="Times New Roman" w:hAnsi="Times New Roman" w:cs="Times New Roman"/>
          <w:sz w:val="24"/>
          <w:szCs w:val="24"/>
          <w:lang w:val="lv-LV"/>
        </w:rPr>
        <w:lastRenderedPageBreak/>
        <w:t>vitamīniem un minerālvielām. Rokasgrāmatā</w:t>
      </w:r>
      <w:r w:rsidRPr="006557B3">
        <w:rPr>
          <w:rFonts w:ascii="Times New Roman" w:hAnsi="Times New Roman" w:cs="Times New Roman"/>
          <w:bCs/>
          <w:sz w:val="24"/>
          <w:szCs w:val="24"/>
          <w:lang w:val="lv-LV"/>
        </w:rPr>
        <w:t xml:space="preserve"> uzsvērts, ka grūtniecības laikā nepieciešams izvērtēt uztura bagātinātāju lietošanu, kā arī informēt savu aprūpes speciālistu par iepriekš lietotajiem uztura bagātinātājiem. </w:t>
      </w:r>
      <w:r w:rsidRPr="006557B3">
        <w:rPr>
          <w:rFonts w:ascii="Times New Roman" w:hAnsi="Times New Roman" w:cs="Times New Roman"/>
          <w:sz w:val="24"/>
          <w:szCs w:val="24"/>
          <w:lang w:val="lv-LV"/>
        </w:rPr>
        <w:t>2015.</w:t>
      </w:r>
      <w:r w:rsidR="00C64A74">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 xml:space="preserve">gadā Slimību profilakses un kontroles centrs </w:t>
      </w:r>
      <w:r w:rsidR="007161A5" w:rsidRPr="006557B3">
        <w:rPr>
          <w:rFonts w:ascii="Times New Roman" w:hAnsi="Times New Roman" w:cs="Times New Roman"/>
          <w:sz w:val="24"/>
          <w:szCs w:val="24"/>
          <w:lang w:val="lv-LV"/>
        </w:rPr>
        <w:t>minēto r</w:t>
      </w:r>
      <w:r w:rsidRPr="006557B3">
        <w:rPr>
          <w:rFonts w:ascii="Times New Roman" w:hAnsi="Times New Roman" w:cs="Times New Roman"/>
          <w:sz w:val="24"/>
          <w:szCs w:val="24"/>
          <w:lang w:val="lv-LV"/>
        </w:rPr>
        <w:t>okasgrāmatu izdeva atkārtoti</w:t>
      </w:r>
      <w:r w:rsidR="007161A5" w:rsidRPr="006557B3">
        <w:rPr>
          <w:rFonts w:ascii="Times New Roman" w:hAnsi="Times New Roman" w:cs="Times New Roman"/>
          <w:sz w:val="24"/>
          <w:szCs w:val="24"/>
          <w:lang w:val="lv-LV"/>
        </w:rPr>
        <w:t>,</w:t>
      </w:r>
      <w:r w:rsidRPr="006557B3">
        <w:rPr>
          <w:rFonts w:ascii="Times New Roman" w:hAnsi="Times New Roman" w:cs="Times New Roman"/>
          <w:sz w:val="24"/>
          <w:szCs w:val="24"/>
          <w:lang w:val="lv-LV"/>
        </w:rPr>
        <w:t xml:space="preserve"> un tā ir pieejama arī elektroniski.</w:t>
      </w:r>
      <w:r w:rsidRPr="006557B3">
        <w:rPr>
          <w:rFonts w:ascii="Times New Roman" w:hAnsi="Times New Roman" w:cs="Times New Roman"/>
          <w:bCs/>
          <w:sz w:val="24"/>
          <w:szCs w:val="24"/>
          <w:vertAlign w:val="superscript"/>
          <w:lang w:val="lv-LV"/>
        </w:rPr>
        <w:footnoteReference w:id="8"/>
      </w:r>
    </w:p>
    <w:p w14:paraId="4108DA99" w14:textId="77777777" w:rsidR="00E40EAF" w:rsidRPr="006557B3" w:rsidRDefault="00E40EAF" w:rsidP="00C05C12">
      <w:pPr>
        <w:tabs>
          <w:tab w:val="left" w:pos="8647"/>
        </w:tabs>
        <w:spacing w:after="0" w:line="240" w:lineRule="auto"/>
        <w:ind w:firstLine="709"/>
        <w:jc w:val="both"/>
        <w:rPr>
          <w:rFonts w:ascii="Times New Roman" w:hAnsi="Times New Roman" w:cs="Times New Roman"/>
          <w:bCs/>
          <w:sz w:val="24"/>
          <w:szCs w:val="24"/>
          <w:vertAlign w:val="superscript"/>
          <w:lang w:val="lv-LV"/>
        </w:rPr>
      </w:pPr>
    </w:p>
    <w:p w14:paraId="2F0610A1" w14:textId="297BA05F" w:rsidR="00D83277" w:rsidRPr="006557B3" w:rsidRDefault="00872BB7" w:rsidP="00C05C12">
      <w:pPr>
        <w:tabs>
          <w:tab w:val="left" w:pos="8647"/>
        </w:tabs>
        <w:spacing w:after="0" w:line="240" w:lineRule="auto"/>
        <w:jc w:val="both"/>
        <w:rPr>
          <w:rFonts w:ascii="Times New Roman" w:hAnsi="Times New Roman" w:cs="Times New Roman"/>
          <w:sz w:val="24"/>
          <w:szCs w:val="24"/>
          <w:lang w:val="lv-LV"/>
        </w:rPr>
      </w:pPr>
      <w:r w:rsidRPr="006557B3">
        <w:rPr>
          <w:rFonts w:ascii="Times New Roman" w:hAnsi="Times New Roman" w:cs="Times New Roman"/>
          <w:b/>
          <w:color w:val="000000" w:themeColor="text1"/>
          <w:sz w:val="24"/>
          <w:szCs w:val="24"/>
          <w:lang w:val="lv-LV"/>
        </w:rPr>
        <w:t>6</w:t>
      </w:r>
      <w:r w:rsidR="00F75D64" w:rsidRPr="006557B3">
        <w:rPr>
          <w:rFonts w:ascii="Times New Roman" w:hAnsi="Times New Roman" w:cs="Times New Roman"/>
          <w:b/>
          <w:color w:val="000000" w:themeColor="text1"/>
          <w:sz w:val="24"/>
          <w:szCs w:val="24"/>
          <w:lang w:val="lv-LV"/>
        </w:rPr>
        <w:t xml:space="preserve">.3. </w:t>
      </w:r>
      <w:r w:rsidR="00D83277" w:rsidRPr="006557B3">
        <w:rPr>
          <w:rFonts w:ascii="Times New Roman" w:hAnsi="Times New Roman" w:cs="Times New Roman"/>
          <w:b/>
          <w:sz w:val="24"/>
          <w:szCs w:val="24"/>
          <w:lang w:val="lv-LV"/>
        </w:rPr>
        <w:t>Zāļu valsts aģentūra</w:t>
      </w:r>
      <w:r w:rsidR="007161A5" w:rsidRPr="006557B3">
        <w:rPr>
          <w:rFonts w:ascii="Times New Roman" w:hAnsi="Times New Roman" w:cs="Times New Roman"/>
          <w:b/>
          <w:sz w:val="24"/>
          <w:szCs w:val="24"/>
          <w:lang w:val="lv-LV"/>
        </w:rPr>
        <w:t xml:space="preserve"> (turpmāk – ZVA)</w:t>
      </w:r>
    </w:p>
    <w:p w14:paraId="16B8C2FD" w14:textId="66487E9A" w:rsidR="00DD2F0B" w:rsidRPr="006557B3" w:rsidRDefault="00DD2F0B"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ZVA ir izveidojusies laba sadarbība ar</w:t>
      </w:r>
      <w:r w:rsidR="007161A5"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PVD</w:t>
      </w:r>
      <w:r w:rsidR="007161A5" w:rsidRPr="006557B3">
        <w:rPr>
          <w:rFonts w:ascii="Times New Roman" w:hAnsi="Times New Roman" w:cs="Times New Roman"/>
          <w:sz w:val="24"/>
          <w:szCs w:val="24"/>
          <w:lang w:val="lv-LV"/>
        </w:rPr>
        <w:t>,</w:t>
      </w:r>
      <w:r w:rsidRPr="006557B3">
        <w:rPr>
          <w:rFonts w:ascii="Times New Roman" w:hAnsi="Times New Roman" w:cs="Times New Roman"/>
          <w:sz w:val="24"/>
          <w:szCs w:val="24"/>
          <w:lang w:val="lv-LV"/>
        </w:rPr>
        <w:t xml:space="preserve"> </w:t>
      </w:r>
      <w:r w:rsidR="007161A5" w:rsidRPr="006557B3">
        <w:rPr>
          <w:rFonts w:ascii="Times New Roman" w:hAnsi="Times New Roman" w:cs="Times New Roman"/>
          <w:sz w:val="24"/>
          <w:szCs w:val="24"/>
          <w:lang w:val="lv-LV"/>
        </w:rPr>
        <w:t>jo</w:t>
      </w:r>
      <w:r w:rsidRPr="006557B3">
        <w:rPr>
          <w:rFonts w:ascii="Times New Roman" w:hAnsi="Times New Roman" w:cs="Times New Roman"/>
          <w:sz w:val="24"/>
          <w:szCs w:val="24"/>
          <w:lang w:val="lv-LV"/>
        </w:rPr>
        <w:t xml:space="preserve"> PVD ekspertiem </w:t>
      </w:r>
      <w:r w:rsidR="007161A5" w:rsidRPr="006557B3">
        <w:rPr>
          <w:rFonts w:ascii="Times New Roman" w:hAnsi="Times New Roman" w:cs="Times New Roman"/>
          <w:sz w:val="24"/>
          <w:szCs w:val="24"/>
          <w:lang w:val="lv-LV"/>
        </w:rPr>
        <w:t xml:space="preserve">mēdz </w:t>
      </w:r>
      <w:r w:rsidRPr="006557B3">
        <w:rPr>
          <w:rFonts w:ascii="Times New Roman" w:hAnsi="Times New Roman" w:cs="Times New Roman"/>
          <w:sz w:val="24"/>
          <w:szCs w:val="24"/>
          <w:lang w:val="lv-LV"/>
        </w:rPr>
        <w:t>r</w:t>
      </w:r>
      <w:r w:rsidR="007161A5" w:rsidRPr="006557B3">
        <w:rPr>
          <w:rFonts w:ascii="Times New Roman" w:hAnsi="Times New Roman" w:cs="Times New Roman"/>
          <w:sz w:val="24"/>
          <w:szCs w:val="24"/>
          <w:lang w:val="lv-LV"/>
        </w:rPr>
        <w:t>asties</w:t>
      </w:r>
      <w:r w:rsidRPr="006557B3">
        <w:rPr>
          <w:rFonts w:ascii="Times New Roman" w:hAnsi="Times New Roman" w:cs="Times New Roman"/>
          <w:sz w:val="24"/>
          <w:szCs w:val="24"/>
          <w:lang w:val="lv-LV"/>
        </w:rPr>
        <w:t xml:space="preserve"> jautājumi par to</w:t>
      </w:r>
      <w:r w:rsidR="007161A5" w:rsidRPr="006557B3">
        <w:rPr>
          <w:rFonts w:ascii="Times New Roman" w:hAnsi="Times New Roman" w:cs="Times New Roman"/>
          <w:sz w:val="24"/>
          <w:szCs w:val="24"/>
          <w:lang w:val="lv-LV"/>
        </w:rPr>
        <w:t>,</w:t>
      </w:r>
      <w:r w:rsidRPr="006557B3">
        <w:rPr>
          <w:rFonts w:ascii="Times New Roman" w:hAnsi="Times New Roman" w:cs="Times New Roman"/>
          <w:sz w:val="24"/>
          <w:szCs w:val="24"/>
          <w:lang w:val="lv-LV"/>
        </w:rPr>
        <w:t xml:space="preserve"> vai reģistrācijai iesniegtais uztura bagātinātājs </w:t>
      </w:r>
      <w:r w:rsidR="007161A5" w:rsidRPr="006557B3">
        <w:rPr>
          <w:rFonts w:ascii="Times New Roman" w:hAnsi="Times New Roman" w:cs="Times New Roman"/>
          <w:sz w:val="24"/>
          <w:szCs w:val="24"/>
          <w:lang w:val="lv-LV"/>
        </w:rPr>
        <w:t xml:space="preserve">ir </w:t>
      </w:r>
      <w:r w:rsidRPr="006557B3">
        <w:rPr>
          <w:rFonts w:ascii="Times New Roman" w:hAnsi="Times New Roman" w:cs="Times New Roman"/>
          <w:sz w:val="24"/>
          <w:szCs w:val="24"/>
          <w:lang w:val="lv-LV"/>
        </w:rPr>
        <w:t xml:space="preserve">klasificējams kā zāles, </w:t>
      </w:r>
      <w:r w:rsidR="007161A5" w:rsidRPr="006557B3">
        <w:rPr>
          <w:rFonts w:ascii="Times New Roman" w:hAnsi="Times New Roman" w:cs="Times New Roman"/>
          <w:sz w:val="24"/>
          <w:szCs w:val="24"/>
          <w:lang w:val="lv-LV"/>
        </w:rPr>
        <w:t xml:space="preserve">un tad </w:t>
      </w:r>
      <w:r w:rsidRPr="006557B3">
        <w:rPr>
          <w:rFonts w:ascii="Times New Roman" w:hAnsi="Times New Roman" w:cs="Times New Roman"/>
          <w:sz w:val="24"/>
          <w:szCs w:val="24"/>
          <w:lang w:val="lv-LV"/>
        </w:rPr>
        <w:t xml:space="preserve">PVD eksperti lūdz ZVA atzinumu. ZVA eksperti, veicot padziļinātu uztura bagātinātāja sastāva analīzi, dod </w:t>
      </w:r>
      <w:r w:rsidR="007161A5" w:rsidRPr="006557B3">
        <w:rPr>
          <w:rFonts w:ascii="Times New Roman" w:hAnsi="Times New Roman" w:cs="Times New Roman"/>
          <w:sz w:val="24"/>
          <w:szCs w:val="24"/>
          <w:lang w:val="lv-LV"/>
        </w:rPr>
        <w:t xml:space="preserve">atbilstošu </w:t>
      </w:r>
      <w:r w:rsidRPr="006557B3">
        <w:rPr>
          <w:rFonts w:ascii="Times New Roman" w:hAnsi="Times New Roman" w:cs="Times New Roman"/>
          <w:sz w:val="24"/>
          <w:szCs w:val="24"/>
          <w:lang w:val="lv-LV"/>
        </w:rPr>
        <w:t>atzinumu.</w:t>
      </w:r>
    </w:p>
    <w:p w14:paraId="491D16DC" w14:textId="1BA75ADC" w:rsidR="00DD2F0B" w:rsidRPr="006557B3" w:rsidRDefault="00DD2F0B"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Pēdējos gados ZVA </w:t>
      </w:r>
      <w:r w:rsidR="007161A5" w:rsidRPr="006557B3">
        <w:rPr>
          <w:rFonts w:ascii="Times New Roman" w:hAnsi="Times New Roman" w:cs="Times New Roman"/>
          <w:sz w:val="24"/>
          <w:szCs w:val="24"/>
          <w:lang w:val="lv-LV"/>
        </w:rPr>
        <w:t xml:space="preserve">ir </w:t>
      </w:r>
      <w:r w:rsidRPr="006557B3">
        <w:rPr>
          <w:rFonts w:ascii="Times New Roman" w:hAnsi="Times New Roman" w:cs="Times New Roman"/>
          <w:sz w:val="24"/>
          <w:szCs w:val="24"/>
          <w:lang w:val="lv-LV"/>
        </w:rPr>
        <w:t>izvērtēju</w:t>
      </w:r>
      <w:r w:rsidR="007161A5" w:rsidRPr="006557B3">
        <w:rPr>
          <w:rFonts w:ascii="Times New Roman" w:hAnsi="Times New Roman" w:cs="Times New Roman"/>
          <w:sz w:val="24"/>
          <w:szCs w:val="24"/>
          <w:lang w:val="lv-LV"/>
        </w:rPr>
        <w:t>si</w:t>
      </w:r>
      <w:r w:rsidRPr="006557B3">
        <w:rPr>
          <w:rFonts w:ascii="Times New Roman" w:hAnsi="Times New Roman" w:cs="Times New Roman"/>
          <w:sz w:val="24"/>
          <w:szCs w:val="24"/>
          <w:lang w:val="lv-LV"/>
        </w:rPr>
        <w:t xml:space="preserve"> aptuveni 30 šād</w:t>
      </w:r>
      <w:r w:rsidR="007161A5" w:rsidRPr="006557B3">
        <w:rPr>
          <w:rFonts w:ascii="Times New Roman" w:hAnsi="Times New Roman" w:cs="Times New Roman"/>
          <w:sz w:val="24"/>
          <w:szCs w:val="24"/>
          <w:lang w:val="lv-LV"/>
        </w:rPr>
        <w:t>u</w:t>
      </w:r>
      <w:r w:rsidRPr="006557B3">
        <w:rPr>
          <w:rFonts w:ascii="Times New Roman" w:hAnsi="Times New Roman" w:cs="Times New Roman"/>
          <w:sz w:val="24"/>
          <w:szCs w:val="24"/>
          <w:lang w:val="lv-LV"/>
        </w:rPr>
        <w:t xml:space="preserve"> produkt</w:t>
      </w:r>
      <w:r w:rsidR="007161A5" w:rsidRPr="006557B3">
        <w:rPr>
          <w:rFonts w:ascii="Times New Roman" w:hAnsi="Times New Roman" w:cs="Times New Roman"/>
          <w:sz w:val="24"/>
          <w:szCs w:val="24"/>
          <w:lang w:val="lv-LV"/>
        </w:rPr>
        <w:t>u</w:t>
      </w:r>
      <w:r w:rsidRPr="006557B3">
        <w:rPr>
          <w:rFonts w:ascii="Times New Roman" w:hAnsi="Times New Roman" w:cs="Times New Roman"/>
          <w:sz w:val="24"/>
          <w:szCs w:val="24"/>
          <w:lang w:val="lv-LV"/>
        </w:rPr>
        <w:t xml:space="preserve"> gadā.</w:t>
      </w:r>
    </w:p>
    <w:p w14:paraId="7C02E38A" w14:textId="77777777" w:rsidR="00DD2F0B" w:rsidRPr="006557B3" w:rsidRDefault="00DD2F0B" w:rsidP="00C05C12">
      <w:pPr>
        <w:tabs>
          <w:tab w:val="left" w:pos="8647"/>
        </w:tabs>
        <w:jc w:val="both"/>
        <w:rPr>
          <w:rFonts w:ascii="Times New Roman" w:hAnsi="Times New Roman" w:cs="Times New Roman"/>
          <w:sz w:val="24"/>
          <w:szCs w:val="24"/>
        </w:rPr>
      </w:pPr>
      <w:r w:rsidRPr="006557B3">
        <w:rPr>
          <w:rFonts w:ascii="Times New Roman" w:hAnsi="Times New Roman" w:cs="Times New Roman"/>
          <w:noProof/>
          <w:sz w:val="24"/>
          <w:szCs w:val="24"/>
          <w:lang w:val="lv-LV" w:eastAsia="lv-LV"/>
        </w:rPr>
        <w:drawing>
          <wp:inline distT="0" distB="0" distL="0" distR="0" wp14:anchorId="63D702C3" wp14:editId="6883C45B">
            <wp:extent cx="5274310" cy="3076575"/>
            <wp:effectExtent l="0" t="0" r="21590" b="9525"/>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5E01B5F" w14:textId="2423F5CE" w:rsidR="00DD2F0B" w:rsidRPr="006557B3" w:rsidRDefault="00DD2F0B" w:rsidP="00C05C12">
      <w:pPr>
        <w:tabs>
          <w:tab w:val="left" w:pos="8647"/>
        </w:tabs>
        <w:spacing w:after="0" w:line="240" w:lineRule="auto"/>
        <w:ind w:firstLine="720"/>
        <w:jc w:val="both"/>
        <w:rPr>
          <w:rFonts w:ascii="Times New Roman" w:hAnsi="Times New Roman" w:cs="Times New Roman"/>
          <w:sz w:val="24"/>
          <w:szCs w:val="24"/>
        </w:rPr>
      </w:pPr>
      <w:r w:rsidRPr="006557B3">
        <w:rPr>
          <w:rFonts w:ascii="Times New Roman" w:hAnsi="Times New Roman" w:cs="Times New Roman"/>
          <w:sz w:val="24"/>
          <w:szCs w:val="24"/>
        </w:rPr>
        <w:t>Lai nodrošinātu kvalitatīvu ekspertīzi</w:t>
      </w:r>
      <w:r w:rsidR="007161A5" w:rsidRPr="006557B3">
        <w:rPr>
          <w:rFonts w:ascii="Times New Roman" w:hAnsi="Times New Roman" w:cs="Times New Roman"/>
          <w:sz w:val="24"/>
          <w:szCs w:val="24"/>
        </w:rPr>
        <w:t>,</w:t>
      </w:r>
      <w:r w:rsidRPr="006557B3">
        <w:rPr>
          <w:rFonts w:ascii="Times New Roman" w:hAnsi="Times New Roman" w:cs="Times New Roman"/>
          <w:sz w:val="24"/>
          <w:szCs w:val="24"/>
        </w:rPr>
        <w:t xml:space="preserve"> ZVA budžetā </w:t>
      </w:r>
      <w:r w:rsidR="007161A5" w:rsidRPr="006557B3">
        <w:rPr>
          <w:rFonts w:ascii="Times New Roman" w:hAnsi="Times New Roman" w:cs="Times New Roman"/>
          <w:sz w:val="24"/>
          <w:szCs w:val="24"/>
        </w:rPr>
        <w:t xml:space="preserve">tam </w:t>
      </w:r>
      <w:r w:rsidRPr="006557B3">
        <w:rPr>
          <w:rFonts w:ascii="Times New Roman" w:hAnsi="Times New Roman" w:cs="Times New Roman"/>
          <w:sz w:val="24"/>
          <w:szCs w:val="24"/>
        </w:rPr>
        <w:t>paredzēta viena augsti kvalificēta eksperta slodze, kas sadalīta uz diviem ekspertiem</w:t>
      </w:r>
      <w:r w:rsidR="007161A5" w:rsidRPr="006557B3">
        <w:rPr>
          <w:rFonts w:ascii="Times New Roman" w:hAnsi="Times New Roman" w:cs="Times New Roman"/>
          <w:sz w:val="24"/>
          <w:szCs w:val="24"/>
        </w:rPr>
        <w:t>, t.i.,</w:t>
      </w:r>
      <w:r w:rsidRPr="006557B3">
        <w:rPr>
          <w:rFonts w:ascii="Times New Roman" w:hAnsi="Times New Roman" w:cs="Times New Roman"/>
          <w:sz w:val="24"/>
          <w:szCs w:val="24"/>
        </w:rPr>
        <w:t xml:space="preserve"> </w:t>
      </w:r>
      <w:r w:rsidR="007161A5" w:rsidRPr="006557B3">
        <w:rPr>
          <w:rFonts w:ascii="Times New Roman" w:hAnsi="Times New Roman" w:cs="Times New Roman"/>
          <w:sz w:val="24"/>
          <w:szCs w:val="24"/>
        </w:rPr>
        <w:t>pus</w:t>
      </w:r>
      <w:r w:rsidRPr="006557B3">
        <w:rPr>
          <w:rFonts w:ascii="Times New Roman" w:hAnsi="Times New Roman" w:cs="Times New Roman"/>
          <w:sz w:val="24"/>
          <w:szCs w:val="24"/>
        </w:rPr>
        <w:t>slodz</w:t>
      </w:r>
      <w:r w:rsidR="007161A5" w:rsidRPr="006557B3">
        <w:rPr>
          <w:rFonts w:ascii="Times New Roman" w:hAnsi="Times New Roman" w:cs="Times New Roman"/>
          <w:sz w:val="24"/>
          <w:szCs w:val="24"/>
        </w:rPr>
        <w:t>e</w:t>
      </w:r>
      <w:r w:rsidRPr="006557B3">
        <w:rPr>
          <w:rFonts w:ascii="Times New Roman" w:hAnsi="Times New Roman" w:cs="Times New Roman"/>
          <w:sz w:val="24"/>
          <w:szCs w:val="24"/>
        </w:rPr>
        <w:t xml:space="preserve"> katram. </w:t>
      </w:r>
      <w:r w:rsidR="007161A5" w:rsidRPr="006557B3">
        <w:rPr>
          <w:rFonts w:ascii="Times New Roman" w:hAnsi="Times New Roman" w:cs="Times New Roman"/>
          <w:sz w:val="24"/>
          <w:szCs w:val="24"/>
        </w:rPr>
        <w:t>Ir</w:t>
      </w:r>
      <w:r w:rsidRPr="006557B3">
        <w:rPr>
          <w:rFonts w:ascii="Times New Roman" w:hAnsi="Times New Roman" w:cs="Times New Roman"/>
          <w:sz w:val="24"/>
          <w:szCs w:val="24"/>
        </w:rPr>
        <w:t xml:space="preserve"> izveidota </w:t>
      </w:r>
      <w:r w:rsidR="007161A5" w:rsidRPr="006557B3">
        <w:rPr>
          <w:rFonts w:ascii="Times New Roman" w:hAnsi="Times New Roman" w:cs="Times New Roman"/>
          <w:sz w:val="24"/>
          <w:szCs w:val="24"/>
        </w:rPr>
        <w:t xml:space="preserve">arī </w:t>
      </w:r>
      <w:r w:rsidRPr="006557B3">
        <w:rPr>
          <w:rFonts w:ascii="Times New Roman" w:hAnsi="Times New Roman" w:cs="Times New Roman"/>
          <w:sz w:val="24"/>
          <w:szCs w:val="24"/>
        </w:rPr>
        <w:t xml:space="preserve">Produkta atbilstības zāļu definīcijai novērtēšanas komisija, kas izvērtē sagatavotos atzinumus un </w:t>
      </w:r>
      <w:r w:rsidR="007161A5" w:rsidRPr="006557B3">
        <w:rPr>
          <w:rFonts w:ascii="Times New Roman" w:hAnsi="Times New Roman" w:cs="Times New Roman"/>
          <w:sz w:val="24"/>
          <w:szCs w:val="24"/>
        </w:rPr>
        <w:t xml:space="preserve">tos </w:t>
      </w:r>
      <w:r w:rsidRPr="006557B3">
        <w:rPr>
          <w:rFonts w:ascii="Times New Roman" w:hAnsi="Times New Roman" w:cs="Times New Roman"/>
          <w:sz w:val="24"/>
          <w:szCs w:val="24"/>
        </w:rPr>
        <w:t xml:space="preserve">apstiprina. Komisijas sastāvā ir </w:t>
      </w:r>
      <w:r w:rsidR="00DD5656" w:rsidRPr="006557B3">
        <w:rPr>
          <w:rFonts w:ascii="Times New Roman" w:hAnsi="Times New Roman" w:cs="Times New Roman"/>
          <w:sz w:val="24"/>
          <w:szCs w:val="24"/>
        </w:rPr>
        <w:t xml:space="preserve">pieci </w:t>
      </w:r>
      <w:r w:rsidRPr="006557B3">
        <w:rPr>
          <w:rFonts w:ascii="Times New Roman" w:hAnsi="Times New Roman" w:cs="Times New Roman"/>
          <w:sz w:val="24"/>
          <w:szCs w:val="24"/>
        </w:rPr>
        <w:t>patstāvīgi locekļi</w:t>
      </w:r>
      <w:r w:rsidR="007161A5" w:rsidRPr="006557B3">
        <w:rPr>
          <w:rFonts w:ascii="Times New Roman" w:hAnsi="Times New Roman" w:cs="Times New Roman"/>
          <w:sz w:val="24"/>
          <w:szCs w:val="24"/>
        </w:rPr>
        <w:t>,</w:t>
      </w:r>
      <w:r w:rsidRPr="006557B3">
        <w:rPr>
          <w:rFonts w:ascii="Times New Roman" w:hAnsi="Times New Roman" w:cs="Times New Roman"/>
          <w:sz w:val="24"/>
          <w:szCs w:val="24"/>
        </w:rPr>
        <w:t xml:space="preserve"> k</w:t>
      </w:r>
      <w:r w:rsidR="007161A5" w:rsidRPr="006557B3">
        <w:rPr>
          <w:rFonts w:ascii="Times New Roman" w:hAnsi="Times New Roman" w:cs="Times New Roman"/>
          <w:sz w:val="24"/>
          <w:szCs w:val="24"/>
        </w:rPr>
        <w:t>uri</w:t>
      </w:r>
      <w:r w:rsidRPr="006557B3">
        <w:rPr>
          <w:rFonts w:ascii="Times New Roman" w:hAnsi="Times New Roman" w:cs="Times New Roman"/>
          <w:sz w:val="24"/>
          <w:szCs w:val="24"/>
        </w:rPr>
        <w:t xml:space="preserve"> tiek aicināti uz komisijas sēdi, k</w:t>
      </w:r>
      <w:r w:rsidR="007161A5" w:rsidRPr="006557B3">
        <w:rPr>
          <w:rFonts w:ascii="Times New Roman" w:hAnsi="Times New Roman" w:cs="Times New Roman"/>
          <w:sz w:val="24"/>
          <w:szCs w:val="24"/>
        </w:rPr>
        <w:t>o</w:t>
      </w:r>
      <w:r w:rsidRPr="006557B3">
        <w:rPr>
          <w:rFonts w:ascii="Times New Roman" w:hAnsi="Times New Roman" w:cs="Times New Roman"/>
          <w:sz w:val="24"/>
          <w:szCs w:val="24"/>
        </w:rPr>
        <w:t xml:space="preserve"> sasauc pēc nepieciešamības.</w:t>
      </w:r>
    </w:p>
    <w:p w14:paraId="5186D743" w14:textId="77777777" w:rsidR="00DD2F0B" w:rsidRPr="006557B3" w:rsidRDefault="00DD2F0B" w:rsidP="00C05C12">
      <w:pPr>
        <w:tabs>
          <w:tab w:val="left" w:pos="8647"/>
        </w:tabs>
        <w:spacing w:after="0" w:line="240" w:lineRule="auto"/>
        <w:ind w:firstLine="720"/>
        <w:jc w:val="both"/>
        <w:rPr>
          <w:rFonts w:ascii="Times New Roman" w:hAnsi="Times New Roman" w:cs="Times New Roman"/>
          <w:sz w:val="24"/>
          <w:szCs w:val="24"/>
        </w:rPr>
      </w:pPr>
      <w:r w:rsidRPr="006557B3">
        <w:rPr>
          <w:rFonts w:ascii="Times New Roman" w:hAnsi="Times New Roman" w:cs="Times New Roman"/>
          <w:sz w:val="24"/>
          <w:szCs w:val="24"/>
        </w:rPr>
        <w:t>Šāds pakalpojums ir klasificēts kā maksas pakalpojums un ietverts ZVA maksas pakalpojumu cenrāža 13.punktā</w:t>
      </w:r>
      <w:r w:rsidR="00872BB7" w:rsidRPr="006557B3">
        <w:rPr>
          <w:rFonts w:ascii="Times New Roman" w:hAnsi="Times New Roman" w:cs="Times New Roman"/>
          <w:sz w:val="24"/>
          <w:szCs w:val="24"/>
        </w:rPr>
        <w:t>.</w:t>
      </w:r>
    </w:p>
    <w:p w14:paraId="3CFD17AE" w14:textId="77777777" w:rsidR="008F5A01" w:rsidRPr="006557B3" w:rsidRDefault="008F5A01" w:rsidP="00C05C12">
      <w:pPr>
        <w:tabs>
          <w:tab w:val="left" w:pos="8647"/>
        </w:tabs>
        <w:spacing w:after="0" w:line="240" w:lineRule="auto"/>
        <w:ind w:firstLine="720"/>
        <w:jc w:val="both"/>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2"/>
        <w:gridCol w:w="2924"/>
        <w:gridCol w:w="1733"/>
        <w:gridCol w:w="3371"/>
      </w:tblGrid>
      <w:tr w:rsidR="00DD2F0B" w:rsidRPr="006557B3" w14:paraId="5FDE99CD" w14:textId="77777777" w:rsidTr="00F04B92">
        <w:trPr>
          <w:trHeight w:val="375"/>
          <w:tblCellSpacing w:w="15" w:type="dxa"/>
        </w:trPr>
        <w:tc>
          <w:tcPr>
            <w:tcW w:w="523" w:type="pct"/>
            <w:tcBorders>
              <w:top w:val="outset" w:sz="6" w:space="0" w:color="auto"/>
              <w:left w:val="outset" w:sz="6" w:space="0" w:color="auto"/>
              <w:bottom w:val="outset" w:sz="6" w:space="0" w:color="auto"/>
              <w:right w:val="outset" w:sz="6" w:space="0" w:color="auto"/>
            </w:tcBorders>
            <w:hideMark/>
          </w:tcPr>
          <w:p w14:paraId="54824F18" w14:textId="77777777" w:rsidR="00DD2F0B" w:rsidRPr="006557B3" w:rsidRDefault="00DD2F0B" w:rsidP="00C05C12">
            <w:pPr>
              <w:tabs>
                <w:tab w:val="left" w:pos="8647"/>
              </w:tabs>
              <w:spacing w:after="0" w:line="240" w:lineRule="auto"/>
              <w:jc w:val="both"/>
              <w:rPr>
                <w:rFonts w:ascii="Times New Roman" w:eastAsia="Times New Roman" w:hAnsi="Times New Roman" w:cs="Times New Roman"/>
                <w:sz w:val="24"/>
                <w:szCs w:val="24"/>
                <w:lang w:eastAsia="lv-LV"/>
              </w:rPr>
            </w:pPr>
            <w:r w:rsidRPr="006557B3">
              <w:rPr>
                <w:rFonts w:ascii="Times New Roman" w:eastAsia="Times New Roman" w:hAnsi="Times New Roman" w:cs="Times New Roman"/>
                <w:sz w:val="24"/>
                <w:szCs w:val="24"/>
                <w:lang w:eastAsia="lv-LV"/>
              </w:rPr>
              <w:t>13.</w:t>
            </w:r>
          </w:p>
        </w:tc>
        <w:tc>
          <w:tcPr>
            <w:tcW w:w="4428" w:type="pct"/>
            <w:gridSpan w:val="3"/>
            <w:tcBorders>
              <w:top w:val="outset" w:sz="6" w:space="0" w:color="auto"/>
              <w:left w:val="outset" w:sz="6" w:space="0" w:color="auto"/>
              <w:bottom w:val="outset" w:sz="6" w:space="0" w:color="auto"/>
              <w:right w:val="outset" w:sz="6" w:space="0" w:color="auto"/>
            </w:tcBorders>
            <w:hideMark/>
          </w:tcPr>
          <w:p w14:paraId="2621203D" w14:textId="77777777" w:rsidR="00DD2F0B" w:rsidRPr="006557B3" w:rsidRDefault="00DD2F0B" w:rsidP="00C05C12">
            <w:pPr>
              <w:tabs>
                <w:tab w:val="left" w:pos="8647"/>
              </w:tabs>
              <w:spacing w:after="0" w:line="240" w:lineRule="auto"/>
              <w:jc w:val="both"/>
              <w:rPr>
                <w:rFonts w:ascii="Times New Roman" w:eastAsia="Times New Roman" w:hAnsi="Times New Roman" w:cs="Times New Roman"/>
                <w:sz w:val="24"/>
                <w:szCs w:val="24"/>
                <w:lang w:eastAsia="lv-LV"/>
              </w:rPr>
            </w:pPr>
            <w:r w:rsidRPr="006557B3">
              <w:rPr>
                <w:rFonts w:ascii="Times New Roman" w:eastAsia="Times New Roman" w:hAnsi="Times New Roman" w:cs="Times New Roman"/>
                <w:sz w:val="24"/>
                <w:szCs w:val="24"/>
                <w:lang w:eastAsia="lv-LV"/>
              </w:rPr>
              <w:t>Produkta (piemēram, uztura bagātinātāja, kosmētikas līdzekļa, biocīda, medicīniskās ierīces) izvērtēšana, lai noteiktu tā atbilstību zāļu definīcijai</w:t>
            </w:r>
            <w:r w:rsidRPr="006557B3">
              <w:rPr>
                <w:rFonts w:ascii="Times New Roman" w:eastAsia="Times New Roman" w:hAnsi="Times New Roman" w:cs="Times New Roman"/>
                <w:sz w:val="24"/>
                <w:szCs w:val="24"/>
                <w:vertAlign w:val="superscript"/>
                <w:lang w:eastAsia="lv-LV"/>
              </w:rPr>
              <w:t>1</w:t>
            </w:r>
          </w:p>
        </w:tc>
      </w:tr>
      <w:tr w:rsidR="00F04B92" w:rsidRPr="006557B3" w14:paraId="05282716" w14:textId="77777777" w:rsidTr="00F04B92">
        <w:trPr>
          <w:trHeight w:val="375"/>
          <w:tblCellSpacing w:w="15" w:type="dxa"/>
        </w:trPr>
        <w:tc>
          <w:tcPr>
            <w:tcW w:w="523" w:type="pct"/>
            <w:tcBorders>
              <w:top w:val="outset" w:sz="6" w:space="0" w:color="auto"/>
              <w:left w:val="outset" w:sz="6" w:space="0" w:color="auto"/>
              <w:bottom w:val="outset" w:sz="6" w:space="0" w:color="auto"/>
              <w:right w:val="outset" w:sz="6" w:space="0" w:color="auto"/>
            </w:tcBorders>
            <w:hideMark/>
          </w:tcPr>
          <w:p w14:paraId="79BF3EE9" w14:textId="77777777" w:rsidR="00F04B92" w:rsidRPr="006557B3" w:rsidRDefault="00F04B92" w:rsidP="00C05C12">
            <w:pPr>
              <w:tabs>
                <w:tab w:val="left" w:pos="8647"/>
              </w:tabs>
              <w:spacing w:after="0" w:line="240" w:lineRule="auto"/>
              <w:jc w:val="both"/>
              <w:rPr>
                <w:rFonts w:ascii="Times New Roman" w:eastAsia="Times New Roman" w:hAnsi="Times New Roman" w:cs="Times New Roman"/>
                <w:sz w:val="24"/>
                <w:szCs w:val="24"/>
                <w:lang w:eastAsia="lv-LV"/>
              </w:rPr>
            </w:pPr>
            <w:r w:rsidRPr="006557B3">
              <w:rPr>
                <w:rFonts w:ascii="Times New Roman" w:eastAsia="Times New Roman" w:hAnsi="Times New Roman" w:cs="Times New Roman"/>
                <w:sz w:val="24"/>
                <w:szCs w:val="24"/>
                <w:lang w:eastAsia="lv-LV"/>
              </w:rPr>
              <w:t>13.1.</w:t>
            </w:r>
          </w:p>
        </w:tc>
        <w:tc>
          <w:tcPr>
            <w:tcW w:w="1617" w:type="pct"/>
            <w:tcBorders>
              <w:top w:val="outset" w:sz="6" w:space="0" w:color="auto"/>
              <w:left w:val="outset" w:sz="6" w:space="0" w:color="auto"/>
              <w:bottom w:val="outset" w:sz="6" w:space="0" w:color="auto"/>
              <w:right w:val="outset" w:sz="6" w:space="0" w:color="auto"/>
            </w:tcBorders>
            <w:hideMark/>
          </w:tcPr>
          <w:p w14:paraId="38DD70FF" w14:textId="77777777" w:rsidR="00F04B92" w:rsidRPr="006557B3" w:rsidRDefault="00F04B92" w:rsidP="00C05C12">
            <w:pPr>
              <w:tabs>
                <w:tab w:val="left" w:pos="8647"/>
              </w:tabs>
              <w:spacing w:after="0" w:line="240" w:lineRule="auto"/>
              <w:jc w:val="both"/>
              <w:rPr>
                <w:rFonts w:ascii="Times New Roman" w:eastAsia="Times New Roman" w:hAnsi="Times New Roman" w:cs="Times New Roman"/>
                <w:sz w:val="24"/>
                <w:szCs w:val="24"/>
                <w:lang w:eastAsia="lv-LV"/>
              </w:rPr>
            </w:pPr>
            <w:r w:rsidRPr="006557B3">
              <w:rPr>
                <w:rFonts w:ascii="Times New Roman" w:eastAsia="Times New Roman" w:hAnsi="Times New Roman" w:cs="Times New Roman"/>
                <w:sz w:val="24"/>
                <w:szCs w:val="24"/>
                <w:lang w:eastAsia="lv-LV"/>
              </w:rPr>
              <w:t>produkts, kura dokumentācijas novērtēšanai nav nepieciešama padziļināta zinātniska ekspertīze</w:t>
            </w:r>
          </w:p>
        </w:tc>
        <w:tc>
          <w:tcPr>
            <w:tcW w:w="952" w:type="pct"/>
            <w:tcBorders>
              <w:top w:val="outset" w:sz="6" w:space="0" w:color="auto"/>
              <w:left w:val="outset" w:sz="6" w:space="0" w:color="auto"/>
              <w:bottom w:val="outset" w:sz="6" w:space="0" w:color="auto"/>
              <w:right w:val="outset" w:sz="6" w:space="0" w:color="auto"/>
            </w:tcBorders>
            <w:hideMark/>
          </w:tcPr>
          <w:p w14:paraId="2244C653" w14:textId="77777777" w:rsidR="00F04B92" w:rsidRPr="006557B3" w:rsidRDefault="00F04B92" w:rsidP="00C05C12">
            <w:pPr>
              <w:tabs>
                <w:tab w:val="left" w:pos="8647"/>
              </w:tabs>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6557B3">
              <w:rPr>
                <w:rFonts w:ascii="Times New Roman" w:eastAsia="Times New Roman" w:hAnsi="Times New Roman" w:cs="Times New Roman"/>
                <w:sz w:val="24"/>
                <w:szCs w:val="24"/>
                <w:lang w:eastAsia="lv-LV"/>
              </w:rPr>
              <w:t>iesniegums</w:t>
            </w:r>
          </w:p>
        </w:tc>
        <w:tc>
          <w:tcPr>
            <w:tcW w:w="1827" w:type="pct"/>
            <w:tcBorders>
              <w:top w:val="outset" w:sz="6" w:space="0" w:color="auto"/>
              <w:left w:val="outset" w:sz="6" w:space="0" w:color="auto"/>
              <w:bottom w:val="outset" w:sz="6" w:space="0" w:color="auto"/>
              <w:right w:val="outset" w:sz="6" w:space="0" w:color="auto"/>
            </w:tcBorders>
            <w:hideMark/>
          </w:tcPr>
          <w:p w14:paraId="15B2BDCD" w14:textId="0C9DB525" w:rsidR="00F04B92" w:rsidRPr="006557B3" w:rsidRDefault="00F04B92" w:rsidP="00F04B92">
            <w:pPr>
              <w:tabs>
                <w:tab w:val="left" w:pos="8647"/>
              </w:tabs>
              <w:spacing w:before="100" w:beforeAutospacing="1" w:after="100" w:afterAutospacing="1" w:line="360" w:lineRule="auto"/>
              <w:jc w:val="center"/>
              <w:rPr>
                <w:rFonts w:ascii="Times New Roman" w:eastAsia="Times New Roman" w:hAnsi="Times New Roman" w:cs="Times New Roman"/>
                <w:sz w:val="24"/>
                <w:szCs w:val="24"/>
                <w:lang w:eastAsia="lv-LV"/>
              </w:rPr>
            </w:pPr>
            <w:r w:rsidRPr="006557B3">
              <w:rPr>
                <w:rFonts w:ascii="Times New Roman" w:eastAsia="Times New Roman" w:hAnsi="Times New Roman" w:cs="Times New Roman"/>
                <w:sz w:val="24"/>
                <w:szCs w:val="24"/>
                <w:lang w:eastAsia="lv-LV"/>
              </w:rPr>
              <w:t>426,86</w:t>
            </w:r>
          </w:p>
        </w:tc>
      </w:tr>
      <w:tr w:rsidR="00F04B92" w:rsidRPr="006557B3" w14:paraId="04A3311A" w14:textId="77777777" w:rsidTr="00F04B92">
        <w:trPr>
          <w:trHeight w:val="375"/>
          <w:tblCellSpacing w:w="15" w:type="dxa"/>
        </w:trPr>
        <w:tc>
          <w:tcPr>
            <w:tcW w:w="523" w:type="pct"/>
            <w:tcBorders>
              <w:top w:val="outset" w:sz="6" w:space="0" w:color="auto"/>
              <w:left w:val="outset" w:sz="6" w:space="0" w:color="auto"/>
              <w:bottom w:val="outset" w:sz="6" w:space="0" w:color="auto"/>
              <w:right w:val="outset" w:sz="6" w:space="0" w:color="auto"/>
            </w:tcBorders>
            <w:hideMark/>
          </w:tcPr>
          <w:p w14:paraId="707020A6" w14:textId="77777777" w:rsidR="00F04B92" w:rsidRPr="006557B3" w:rsidRDefault="00F04B92" w:rsidP="00C05C12">
            <w:pPr>
              <w:tabs>
                <w:tab w:val="left" w:pos="8647"/>
              </w:tabs>
              <w:spacing w:after="0" w:line="240" w:lineRule="auto"/>
              <w:jc w:val="both"/>
              <w:rPr>
                <w:rFonts w:ascii="Times New Roman" w:eastAsia="Times New Roman" w:hAnsi="Times New Roman" w:cs="Times New Roman"/>
                <w:sz w:val="24"/>
                <w:szCs w:val="24"/>
                <w:lang w:eastAsia="lv-LV"/>
              </w:rPr>
            </w:pPr>
            <w:r w:rsidRPr="006557B3">
              <w:rPr>
                <w:rFonts w:ascii="Times New Roman" w:eastAsia="Times New Roman" w:hAnsi="Times New Roman" w:cs="Times New Roman"/>
                <w:sz w:val="24"/>
                <w:szCs w:val="24"/>
                <w:lang w:eastAsia="lv-LV"/>
              </w:rPr>
              <w:lastRenderedPageBreak/>
              <w:t>13.2.</w:t>
            </w:r>
          </w:p>
        </w:tc>
        <w:tc>
          <w:tcPr>
            <w:tcW w:w="1617" w:type="pct"/>
            <w:tcBorders>
              <w:top w:val="outset" w:sz="6" w:space="0" w:color="auto"/>
              <w:left w:val="outset" w:sz="6" w:space="0" w:color="auto"/>
              <w:bottom w:val="outset" w:sz="6" w:space="0" w:color="auto"/>
              <w:right w:val="outset" w:sz="6" w:space="0" w:color="auto"/>
            </w:tcBorders>
            <w:hideMark/>
          </w:tcPr>
          <w:p w14:paraId="18A18036" w14:textId="77777777" w:rsidR="00F04B92" w:rsidRPr="006557B3" w:rsidRDefault="00F04B92" w:rsidP="00C05C12">
            <w:pPr>
              <w:tabs>
                <w:tab w:val="left" w:pos="8647"/>
              </w:tabs>
              <w:spacing w:after="0" w:line="240" w:lineRule="auto"/>
              <w:jc w:val="both"/>
              <w:rPr>
                <w:rFonts w:ascii="Times New Roman" w:eastAsia="Times New Roman" w:hAnsi="Times New Roman" w:cs="Times New Roman"/>
                <w:sz w:val="24"/>
                <w:szCs w:val="24"/>
                <w:lang w:eastAsia="lv-LV"/>
              </w:rPr>
            </w:pPr>
            <w:r w:rsidRPr="006557B3">
              <w:rPr>
                <w:rFonts w:ascii="Times New Roman" w:eastAsia="Times New Roman" w:hAnsi="Times New Roman" w:cs="Times New Roman"/>
                <w:sz w:val="24"/>
                <w:szCs w:val="24"/>
                <w:lang w:eastAsia="lv-LV"/>
              </w:rPr>
              <w:t>produkta sastāva un farmakoloģisko īpašību padziļināta zinātniska ekspertīze</w:t>
            </w:r>
          </w:p>
        </w:tc>
        <w:tc>
          <w:tcPr>
            <w:tcW w:w="952" w:type="pct"/>
            <w:tcBorders>
              <w:top w:val="outset" w:sz="6" w:space="0" w:color="auto"/>
              <w:left w:val="outset" w:sz="6" w:space="0" w:color="auto"/>
              <w:bottom w:val="outset" w:sz="6" w:space="0" w:color="auto"/>
              <w:right w:val="outset" w:sz="6" w:space="0" w:color="auto"/>
            </w:tcBorders>
            <w:hideMark/>
          </w:tcPr>
          <w:p w14:paraId="06C04D7F" w14:textId="77777777" w:rsidR="00F04B92" w:rsidRPr="006557B3" w:rsidRDefault="00F04B92" w:rsidP="00C05C12">
            <w:pPr>
              <w:tabs>
                <w:tab w:val="left" w:pos="8647"/>
              </w:tabs>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6557B3">
              <w:rPr>
                <w:rFonts w:ascii="Times New Roman" w:eastAsia="Times New Roman" w:hAnsi="Times New Roman" w:cs="Times New Roman"/>
                <w:sz w:val="24"/>
                <w:szCs w:val="24"/>
                <w:lang w:eastAsia="lv-LV"/>
              </w:rPr>
              <w:t>iesniegums</w:t>
            </w:r>
          </w:p>
        </w:tc>
        <w:tc>
          <w:tcPr>
            <w:tcW w:w="1827" w:type="pct"/>
            <w:tcBorders>
              <w:top w:val="outset" w:sz="6" w:space="0" w:color="auto"/>
              <w:left w:val="outset" w:sz="6" w:space="0" w:color="auto"/>
              <w:bottom w:val="outset" w:sz="6" w:space="0" w:color="auto"/>
              <w:right w:val="outset" w:sz="6" w:space="0" w:color="auto"/>
            </w:tcBorders>
            <w:hideMark/>
          </w:tcPr>
          <w:p w14:paraId="20EB798F" w14:textId="1338A12F" w:rsidR="00F04B92" w:rsidRPr="006557B3" w:rsidRDefault="00F04B92" w:rsidP="00F04B92">
            <w:pPr>
              <w:tabs>
                <w:tab w:val="left" w:pos="8647"/>
              </w:tabs>
              <w:spacing w:before="100" w:beforeAutospacing="1" w:after="100" w:afterAutospacing="1" w:line="360" w:lineRule="auto"/>
              <w:jc w:val="center"/>
              <w:rPr>
                <w:rFonts w:ascii="Times New Roman" w:eastAsia="Times New Roman" w:hAnsi="Times New Roman" w:cs="Times New Roman"/>
                <w:sz w:val="24"/>
                <w:szCs w:val="24"/>
                <w:lang w:eastAsia="lv-LV"/>
              </w:rPr>
            </w:pPr>
            <w:r w:rsidRPr="006557B3">
              <w:rPr>
                <w:rFonts w:ascii="Times New Roman" w:eastAsia="Times New Roman" w:hAnsi="Times New Roman" w:cs="Times New Roman"/>
                <w:sz w:val="24"/>
                <w:szCs w:val="24"/>
                <w:lang w:eastAsia="lv-LV"/>
              </w:rPr>
              <w:t>853,72</w:t>
            </w:r>
          </w:p>
        </w:tc>
      </w:tr>
    </w:tbl>
    <w:p w14:paraId="3AE1350D" w14:textId="69827493" w:rsidR="00B15390" w:rsidRDefault="00DD2F0B" w:rsidP="00C05C12">
      <w:pPr>
        <w:tabs>
          <w:tab w:val="left" w:pos="8647"/>
        </w:tabs>
        <w:spacing w:after="0" w:line="240" w:lineRule="auto"/>
        <w:ind w:firstLine="720"/>
        <w:jc w:val="both"/>
        <w:rPr>
          <w:rFonts w:ascii="Times New Roman" w:hAnsi="Times New Roman" w:cs="Times New Roman"/>
          <w:sz w:val="24"/>
          <w:szCs w:val="24"/>
        </w:rPr>
      </w:pPr>
      <w:r w:rsidRPr="006557B3">
        <w:rPr>
          <w:rFonts w:ascii="Times New Roman" w:hAnsi="Times New Roman" w:cs="Times New Roman"/>
          <w:sz w:val="24"/>
          <w:szCs w:val="24"/>
        </w:rPr>
        <w:t xml:space="preserve">Izveidojusies situācija, ka ekspertīze, ko ZVA eksperti veic pēc PVD pieprasījuma, netiek atlīdzināta. </w:t>
      </w:r>
      <w:r w:rsidR="007161A5" w:rsidRPr="006557B3">
        <w:rPr>
          <w:rFonts w:ascii="Times New Roman" w:hAnsi="Times New Roman" w:cs="Times New Roman"/>
          <w:sz w:val="24"/>
          <w:szCs w:val="24"/>
        </w:rPr>
        <w:t>J</w:t>
      </w:r>
      <w:r w:rsidRPr="006557B3">
        <w:rPr>
          <w:rFonts w:ascii="Times New Roman" w:hAnsi="Times New Roman" w:cs="Times New Roman"/>
          <w:sz w:val="24"/>
          <w:szCs w:val="24"/>
        </w:rPr>
        <w:t xml:space="preserve">a vērtē ekspertīžu skaitu, tad ZVA budžetā netiek iekasēti </w:t>
      </w:r>
      <w:r w:rsidR="007161A5" w:rsidRPr="006557B3">
        <w:rPr>
          <w:rFonts w:ascii="Times New Roman" w:hAnsi="Times New Roman" w:cs="Times New Roman"/>
          <w:sz w:val="24"/>
          <w:szCs w:val="24"/>
        </w:rPr>
        <w:t>diezgan</w:t>
      </w:r>
      <w:r w:rsidRPr="006557B3">
        <w:rPr>
          <w:rFonts w:ascii="Times New Roman" w:hAnsi="Times New Roman" w:cs="Times New Roman"/>
          <w:sz w:val="24"/>
          <w:szCs w:val="24"/>
        </w:rPr>
        <w:t xml:space="preserve"> ievērojami naudas līdzekļi un PVD pieprasījumu ekspertīzi ZVA nodrošina </w:t>
      </w:r>
      <w:r w:rsidR="007161A5" w:rsidRPr="006557B3">
        <w:rPr>
          <w:rFonts w:ascii="Times New Roman" w:hAnsi="Times New Roman" w:cs="Times New Roman"/>
          <w:sz w:val="24"/>
          <w:szCs w:val="24"/>
        </w:rPr>
        <w:t xml:space="preserve">no </w:t>
      </w:r>
      <w:r w:rsidRPr="006557B3">
        <w:rPr>
          <w:rFonts w:ascii="Times New Roman" w:hAnsi="Times New Roman" w:cs="Times New Roman"/>
          <w:sz w:val="24"/>
          <w:szCs w:val="24"/>
        </w:rPr>
        <w:t>sava budžeta.</w:t>
      </w:r>
    </w:p>
    <w:p w14:paraId="4CBF2383" w14:textId="77777777" w:rsidR="00B15390" w:rsidRPr="006557B3" w:rsidRDefault="00B15390" w:rsidP="00C05C12">
      <w:pPr>
        <w:tabs>
          <w:tab w:val="left" w:pos="8647"/>
        </w:tabs>
        <w:spacing w:after="0" w:line="240" w:lineRule="auto"/>
        <w:ind w:firstLine="720"/>
        <w:jc w:val="both"/>
        <w:rPr>
          <w:rFonts w:ascii="Times New Roman" w:hAnsi="Times New Roman" w:cs="Times New Roman"/>
          <w:sz w:val="24"/>
          <w:szCs w:val="24"/>
        </w:rPr>
      </w:pPr>
    </w:p>
    <w:tbl>
      <w:tblPr>
        <w:tblW w:w="9180" w:type="dxa"/>
        <w:tblLook w:val="04A0" w:firstRow="1" w:lastRow="0" w:firstColumn="1" w:lastColumn="0" w:noHBand="0" w:noVBand="1"/>
      </w:tblPr>
      <w:tblGrid>
        <w:gridCol w:w="1101"/>
        <w:gridCol w:w="1984"/>
        <w:gridCol w:w="2410"/>
        <w:gridCol w:w="3685"/>
      </w:tblGrid>
      <w:tr w:rsidR="00DD2F0B" w:rsidRPr="006557B3" w14:paraId="30293AC9" w14:textId="77777777" w:rsidTr="00DD2F0B">
        <w:trPr>
          <w:trHeight w:val="315"/>
        </w:trPr>
        <w:tc>
          <w:tcPr>
            <w:tcW w:w="1101" w:type="dxa"/>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04D85BEB" w14:textId="77777777" w:rsidR="00DD2F0B" w:rsidRPr="006557B3" w:rsidRDefault="00DD2F0B" w:rsidP="00C05C12">
            <w:pPr>
              <w:tabs>
                <w:tab w:val="left" w:pos="8647"/>
              </w:tabs>
              <w:spacing w:after="0" w:line="240" w:lineRule="auto"/>
              <w:jc w:val="center"/>
              <w:rPr>
                <w:rFonts w:ascii="Times New Roman" w:eastAsia="Times New Roman" w:hAnsi="Times New Roman" w:cs="Times New Roman"/>
                <w:b/>
                <w:bCs/>
                <w:color w:val="000000"/>
                <w:sz w:val="24"/>
                <w:szCs w:val="24"/>
                <w:lang w:eastAsia="lv-LV"/>
              </w:rPr>
            </w:pPr>
            <w:r w:rsidRPr="006557B3">
              <w:rPr>
                <w:rFonts w:ascii="Times New Roman" w:eastAsia="Times New Roman" w:hAnsi="Times New Roman" w:cs="Times New Roman"/>
                <w:b/>
                <w:bCs/>
                <w:color w:val="000000"/>
                <w:sz w:val="24"/>
                <w:szCs w:val="24"/>
                <w:lang w:eastAsia="lv-LV"/>
              </w:rPr>
              <w:t>Gads</w:t>
            </w:r>
          </w:p>
        </w:tc>
        <w:tc>
          <w:tcPr>
            <w:tcW w:w="1984" w:type="dxa"/>
            <w:tcBorders>
              <w:top w:val="single" w:sz="8" w:space="0" w:color="auto"/>
              <w:left w:val="nil"/>
              <w:bottom w:val="single" w:sz="8" w:space="0" w:color="auto"/>
              <w:right w:val="single" w:sz="4" w:space="0" w:color="auto"/>
            </w:tcBorders>
            <w:shd w:val="clear" w:color="000000" w:fill="BFBFBF"/>
            <w:noWrap/>
            <w:vAlign w:val="center"/>
            <w:hideMark/>
          </w:tcPr>
          <w:p w14:paraId="7B4AF80C" w14:textId="77777777" w:rsidR="00DD2F0B" w:rsidRPr="006557B3" w:rsidRDefault="00DD2F0B" w:rsidP="00C05C12">
            <w:pPr>
              <w:tabs>
                <w:tab w:val="left" w:pos="8647"/>
              </w:tabs>
              <w:spacing w:after="0" w:line="240" w:lineRule="auto"/>
              <w:jc w:val="center"/>
              <w:rPr>
                <w:rFonts w:ascii="Times New Roman" w:eastAsia="Times New Roman" w:hAnsi="Times New Roman" w:cs="Times New Roman"/>
                <w:b/>
                <w:bCs/>
                <w:color w:val="000000"/>
                <w:sz w:val="24"/>
                <w:szCs w:val="24"/>
                <w:lang w:eastAsia="lv-LV"/>
              </w:rPr>
            </w:pPr>
            <w:r w:rsidRPr="006557B3">
              <w:rPr>
                <w:rFonts w:ascii="Times New Roman" w:eastAsia="Times New Roman" w:hAnsi="Times New Roman" w:cs="Times New Roman"/>
                <w:b/>
                <w:bCs/>
                <w:color w:val="000000"/>
                <w:sz w:val="24"/>
                <w:szCs w:val="24"/>
                <w:lang w:eastAsia="lv-LV"/>
              </w:rPr>
              <w:t>Iesniegumi</w:t>
            </w:r>
          </w:p>
        </w:tc>
        <w:tc>
          <w:tcPr>
            <w:tcW w:w="2410" w:type="dxa"/>
            <w:tcBorders>
              <w:top w:val="single" w:sz="8" w:space="0" w:color="auto"/>
              <w:left w:val="nil"/>
              <w:bottom w:val="single" w:sz="8" w:space="0" w:color="auto"/>
              <w:right w:val="single" w:sz="4" w:space="0" w:color="auto"/>
            </w:tcBorders>
            <w:shd w:val="clear" w:color="000000" w:fill="BFBFBF"/>
            <w:noWrap/>
            <w:vAlign w:val="center"/>
            <w:hideMark/>
          </w:tcPr>
          <w:p w14:paraId="061ACE9D" w14:textId="77777777" w:rsidR="00DD2F0B" w:rsidRPr="006557B3" w:rsidRDefault="00DD2F0B" w:rsidP="00C05C12">
            <w:pPr>
              <w:tabs>
                <w:tab w:val="left" w:pos="8647"/>
              </w:tabs>
              <w:spacing w:after="0" w:line="240" w:lineRule="auto"/>
              <w:jc w:val="center"/>
              <w:rPr>
                <w:rFonts w:ascii="Times New Roman" w:eastAsia="Times New Roman" w:hAnsi="Times New Roman" w:cs="Times New Roman"/>
                <w:b/>
                <w:bCs/>
                <w:color w:val="000000"/>
                <w:sz w:val="24"/>
                <w:szCs w:val="24"/>
                <w:lang w:eastAsia="lv-LV"/>
              </w:rPr>
            </w:pPr>
            <w:r w:rsidRPr="006557B3">
              <w:rPr>
                <w:rFonts w:ascii="Times New Roman" w:eastAsia="Times New Roman" w:hAnsi="Times New Roman" w:cs="Times New Roman"/>
                <w:b/>
                <w:bCs/>
                <w:color w:val="000000"/>
                <w:sz w:val="24"/>
                <w:szCs w:val="24"/>
                <w:lang w:eastAsia="lv-LV"/>
              </w:rPr>
              <w:t>Cena</w:t>
            </w:r>
          </w:p>
        </w:tc>
        <w:tc>
          <w:tcPr>
            <w:tcW w:w="3685" w:type="dxa"/>
            <w:tcBorders>
              <w:top w:val="single" w:sz="8" w:space="0" w:color="auto"/>
              <w:left w:val="nil"/>
              <w:bottom w:val="single" w:sz="8" w:space="0" w:color="auto"/>
              <w:right w:val="single" w:sz="8" w:space="0" w:color="auto"/>
            </w:tcBorders>
            <w:shd w:val="clear" w:color="000000" w:fill="BFBFBF"/>
            <w:noWrap/>
            <w:vAlign w:val="center"/>
            <w:hideMark/>
          </w:tcPr>
          <w:p w14:paraId="4D750007" w14:textId="7834866E" w:rsidR="00DD2F0B" w:rsidRPr="006557B3" w:rsidRDefault="00DD2F0B" w:rsidP="00C05C12">
            <w:pPr>
              <w:tabs>
                <w:tab w:val="left" w:pos="8647"/>
              </w:tabs>
              <w:spacing w:after="0" w:line="240" w:lineRule="auto"/>
              <w:jc w:val="center"/>
              <w:rPr>
                <w:rFonts w:ascii="Times New Roman" w:eastAsia="Times New Roman" w:hAnsi="Times New Roman" w:cs="Times New Roman"/>
                <w:b/>
                <w:bCs/>
                <w:color w:val="000000"/>
                <w:sz w:val="24"/>
                <w:szCs w:val="24"/>
                <w:lang w:eastAsia="lv-LV"/>
              </w:rPr>
            </w:pPr>
            <w:r w:rsidRPr="006557B3">
              <w:rPr>
                <w:rFonts w:ascii="Times New Roman" w:eastAsia="Times New Roman" w:hAnsi="Times New Roman" w:cs="Times New Roman"/>
                <w:b/>
                <w:bCs/>
                <w:color w:val="000000"/>
                <w:sz w:val="24"/>
                <w:szCs w:val="24"/>
                <w:lang w:eastAsia="lv-LV"/>
              </w:rPr>
              <w:t>Summa, par kuru nav izmaksāti rēķini</w:t>
            </w:r>
            <w:r w:rsidR="007161A5" w:rsidRPr="006557B3">
              <w:rPr>
                <w:rFonts w:ascii="Times New Roman" w:eastAsia="Times New Roman" w:hAnsi="Times New Roman" w:cs="Times New Roman"/>
                <w:b/>
                <w:bCs/>
                <w:color w:val="000000"/>
                <w:sz w:val="24"/>
                <w:szCs w:val="24"/>
                <w:lang w:eastAsia="lv-LV"/>
              </w:rPr>
              <w:t>.</w:t>
            </w:r>
          </w:p>
          <w:p w14:paraId="1C8EDFB7" w14:textId="77777777" w:rsidR="00DD2F0B" w:rsidRPr="006557B3" w:rsidRDefault="00DD2F0B" w:rsidP="00C05C12">
            <w:pPr>
              <w:tabs>
                <w:tab w:val="left" w:pos="8647"/>
              </w:tabs>
              <w:spacing w:after="0" w:line="240" w:lineRule="auto"/>
              <w:jc w:val="center"/>
              <w:rPr>
                <w:rFonts w:ascii="Times New Roman" w:eastAsia="Times New Roman" w:hAnsi="Times New Roman" w:cs="Times New Roman"/>
                <w:b/>
                <w:bCs/>
                <w:color w:val="000000"/>
                <w:sz w:val="24"/>
                <w:szCs w:val="24"/>
                <w:lang w:eastAsia="lv-LV"/>
              </w:rPr>
            </w:pPr>
            <w:r w:rsidRPr="006557B3">
              <w:rPr>
                <w:rFonts w:ascii="Times New Roman" w:eastAsia="Times New Roman" w:hAnsi="Times New Roman" w:cs="Times New Roman"/>
                <w:b/>
                <w:bCs/>
                <w:color w:val="000000"/>
                <w:sz w:val="24"/>
                <w:szCs w:val="24"/>
                <w:lang w:eastAsia="lv-LV"/>
              </w:rPr>
              <w:t>EUR</w:t>
            </w:r>
          </w:p>
        </w:tc>
      </w:tr>
      <w:tr w:rsidR="00DD2F0B" w:rsidRPr="006557B3" w14:paraId="0FAA5A13" w14:textId="77777777" w:rsidTr="00DD2F0B">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38C0F98D" w14:textId="2165003C" w:rsidR="00DD2F0B" w:rsidRPr="006557B3" w:rsidRDefault="00DD2F0B" w:rsidP="00C05C12">
            <w:pPr>
              <w:tabs>
                <w:tab w:val="left" w:pos="8647"/>
              </w:tabs>
              <w:spacing w:after="0" w:line="240" w:lineRule="auto"/>
              <w:jc w:val="center"/>
              <w:rPr>
                <w:rFonts w:ascii="Times New Roman" w:eastAsia="Times New Roman" w:hAnsi="Times New Roman" w:cs="Times New Roman"/>
                <w:b/>
                <w:bCs/>
                <w:color w:val="000000"/>
                <w:sz w:val="24"/>
                <w:szCs w:val="24"/>
                <w:lang w:eastAsia="lv-LV"/>
              </w:rPr>
            </w:pPr>
            <w:r w:rsidRPr="006557B3">
              <w:rPr>
                <w:rFonts w:ascii="Times New Roman" w:eastAsia="Times New Roman" w:hAnsi="Times New Roman" w:cs="Times New Roman"/>
                <w:b/>
                <w:bCs/>
                <w:color w:val="000000"/>
                <w:sz w:val="24"/>
                <w:szCs w:val="24"/>
                <w:lang w:eastAsia="lv-LV"/>
              </w:rPr>
              <w:t>2014</w:t>
            </w:r>
            <w:r w:rsidR="007161A5" w:rsidRPr="006557B3">
              <w:rPr>
                <w:rFonts w:ascii="Times New Roman" w:eastAsia="Times New Roman" w:hAnsi="Times New Roman" w:cs="Times New Roman"/>
                <w:b/>
                <w:bCs/>
                <w:color w:val="000000"/>
                <w:sz w:val="24"/>
                <w:szCs w:val="24"/>
                <w:lang w:eastAsia="lv-LV"/>
              </w:rPr>
              <w:t>.</w:t>
            </w:r>
          </w:p>
        </w:tc>
        <w:tc>
          <w:tcPr>
            <w:tcW w:w="1984" w:type="dxa"/>
            <w:tcBorders>
              <w:top w:val="nil"/>
              <w:left w:val="nil"/>
              <w:bottom w:val="single" w:sz="4" w:space="0" w:color="auto"/>
              <w:right w:val="single" w:sz="4" w:space="0" w:color="auto"/>
            </w:tcBorders>
            <w:shd w:val="clear" w:color="auto" w:fill="auto"/>
            <w:noWrap/>
            <w:vAlign w:val="bottom"/>
            <w:hideMark/>
          </w:tcPr>
          <w:p w14:paraId="5E326977" w14:textId="77777777" w:rsidR="00DD2F0B" w:rsidRPr="006557B3" w:rsidRDefault="00DD2F0B" w:rsidP="00C05C12">
            <w:pPr>
              <w:tabs>
                <w:tab w:val="left" w:pos="8647"/>
              </w:tabs>
              <w:spacing w:after="0" w:line="240" w:lineRule="auto"/>
              <w:jc w:val="center"/>
              <w:rPr>
                <w:rFonts w:ascii="Times New Roman" w:eastAsia="Times New Roman" w:hAnsi="Times New Roman" w:cs="Times New Roman"/>
                <w:color w:val="000000"/>
                <w:sz w:val="24"/>
                <w:szCs w:val="24"/>
                <w:lang w:eastAsia="lv-LV"/>
              </w:rPr>
            </w:pPr>
            <w:r w:rsidRPr="006557B3">
              <w:rPr>
                <w:rFonts w:ascii="Times New Roman" w:eastAsia="Times New Roman" w:hAnsi="Times New Roman" w:cs="Times New Roman"/>
                <w:color w:val="000000"/>
                <w:sz w:val="24"/>
                <w:szCs w:val="24"/>
                <w:lang w:eastAsia="lv-LV"/>
              </w:rPr>
              <w:t>23</w:t>
            </w:r>
          </w:p>
        </w:tc>
        <w:tc>
          <w:tcPr>
            <w:tcW w:w="2410" w:type="dxa"/>
            <w:tcBorders>
              <w:top w:val="nil"/>
              <w:left w:val="nil"/>
              <w:bottom w:val="single" w:sz="4" w:space="0" w:color="auto"/>
              <w:right w:val="single" w:sz="4" w:space="0" w:color="auto"/>
            </w:tcBorders>
            <w:shd w:val="clear" w:color="auto" w:fill="auto"/>
            <w:noWrap/>
            <w:vAlign w:val="bottom"/>
            <w:hideMark/>
          </w:tcPr>
          <w:p w14:paraId="4F04F2DD" w14:textId="77777777" w:rsidR="00DD2F0B" w:rsidRPr="006557B3" w:rsidRDefault="00DD2F0B" w:rsidP="00C05C12">
            <w:pPr>
              <w:tabs>
                <w:tab w:val="left" w:pos="8647"/>
              </w:tabs>
              <w:spacing w:after="0" w:line="240" w:lineRule="auto"/>
              <w:jc w:val="center"/>
              <w:rPr>
                <w:rFonts w:ascii="Times New Roman" w:eastAsia="Times New Roman" w:hAnsi="Times New Roman" w:cs="Times New Roman"/>
                <w:color w:val="000000"/>
                <w:sz w:val="24"/>
                <w:szCs w:val="24"/>
                <w:lang w:eastAsia="lv-LV"/>
              </w:rPr>
            </w:pPr>
            <w:r w:rsidRPr="006557B3">
              <w:rPr>
                <w:rFonts w:ascii="Times New Roman" w:eastAsia="Times New Roman" w:hAnsi="Times New Roman" w:cs="Times New Roman"/>
                <w:color w:val="000000"/>
                <w:sz w:val="24"/>
                <w:szCs w:val="24"/>
                <w:lang w:eastAsia="lv-LV"/>
              </w:rPr>
              <w:t>426,86</w:t>
            </w:r>
          </w:p>
        </w:tc>
        <w:tc>
          <w:tcPr>
            <w:tcW w:w="3685" w:type="dxa"/>
            <w:tcBorders>
              <w:top w:val="nil"/>
              <w:left w:val="nil"/>
              <w:bottom w:val="single" w:sz="4" w:space="0" w:color="auto"/>
              <w:right w:val="single" w:sz="4" w:space="0" w:color="auto"/>
            </w:tcBorders>
            <w:shd w:val="clear" w:color="auto" w:fill="auto"/>
            <w:noWrap/>
            <w:vAlign w:val="bottom"/>
            <w:hideMark/>
          </w:tcPr>
          <w:p w14:paraId="0BE5F310" w14:textId="77777777" w:rsidR="00DD2F0B" w:rsidRPr="006557B3" w:rsidRDefault="00DD2F0B" w:rsidP="00C05C12">
            <w:pPr>
              <w:tabs>
                <w:tab w:val="left" w:pos="8647"/>
              </w:tabs>
              <w:spacing w:after="0" w:line="240" w:lineRule="auto"/>
              <w:jc w:val="center"/>
              <w:rPr>
                <w:rFonts w:ascii="Times New Roman" w:eastAsia="Times New Roman" w:hAnsi="Times New Roman" w:cs="Times New Roman"/>
                <w:color w:val="000000"/>
                <w:sz w:val="24"/>
                <w:szCs w:val="24"/>
                <w:lang w:eastAsia="lv-LV"/>
              </w:rPr>
            </w:pPr>
            <w:r w:rsidRPr="006557B3">
              <w:rPr>
                <w:rFonts w:ascii="Times New Roman" w:eastAsia="Times New Roman" w:hAnsi="Times New Roman" w:cs="Times New Roman"/>
                <w:color w:val="000000"/>
                <w:sz w:val="24"/>
                <w:szCs w:val="24"/>
                <w:lang w:eastAsia="lv-LV"/>
              </w:rPr>
              <w:t>9817,78</w:t>
            </w:r>
          </w:p>
        </w:tc>
      </w:tr>
      <w:tr w:rsidR="00DD2F0B" w:rsidRPr="006557B3" w14:paraId="3FF4A027" w14:textId="77777777" w:rsidTr="00DD2F0B">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154E334B" w14:textId="3AC6D05E" w:rsidR="00DD2F0B" w:rsidRPr="006557B3" w:rsidRDefault="00DD2F0B" w:rsidP="00C05C12">
            <w:pPr>
              <w:tabs>
                <w:tab w:val="left" w:pos="8647"/>
              </w:tabs>
              <w:spacing w:after="0" w:line="240" w:lineRule="auto"/>
              <w:jc w:val="center"/>
              <w:rPr>
                <w:rFonts w:ascii="Times New Roman" w:eastAsia="Times New Roman" w:hAnsi="Times New Roman" w:cs="Times New Roman"/>
                <w:b/>
                <w:bCs/>
                <w:color w:val="000000"/>
                <w:sz w:val="24"/>
                <w:szCs w:val="24"/>
                <w:lang w:eastAsia="lv-LV"/>
              </w:rPr>
            </w:pPr>
            <w:r w:rsidRPr="006557B3">
              <w:rPr>
                <w:rFonts w:ascii="Times New Roman" w:eastAsia="Times New Roman" w:hAnsi="Times New Roman" w:cs="Times New Roman"/>
                <w:b/>
                <w:bCs/>
                <w:color w:val="000000"/>
                <w:sz w:val="24"/>
                <w:szCs w:val="24"/>
                <w:lang w:eastAsia="lv-LV"/>
              </w:rPr>
              <w:t>2015</w:t>
            </w:r>
            <w:r w:rsidR="007161A5" w:rsidRPr="006557B3">
              <w:rPr>
                <w:rFonts w:ascii="Times New Roman" w:eastAsia="Times New Roman" w:hAnsi="Times New Roman" w:cs="Times New Roman"/>
                <w:b/>
                <w:bCs/>
                <w:color w:val="000000"/>
                <w:sz w:val="24"/>
                <w:szCs w:val="24"/>
                <w:lang w:eastAsia="lv-LV"/>
              </w:rPr>
              <w:t>.</w:t>
            </w:r>
          </w:p>
        </w:tc>
        <w:tc>
          <w:tcPr>
            <w:tcW w:w="1984" w:type="dxa"/>
            <w:tcBorders>
              <w:top w:val="nil"/>
              <w:left w:val="nil"/>
              <w:bottom w:val="single" w:sz="4" w:space="0" w:color="auto"/>
              <w:right w:val="single" w:sz="4" w:space="0" w:color="auto"/>
            </w:tcBorders>
            <w:shd w:val="clear" w:color="auto" w:fill="auto"/>
            <w:noWrap/>
            <w:vAlign w:val="bottom"/>
            <w:hideMark/>
          </w:tcPr>
          <w:p w14:paraId="7412740C" w14:textId="77777777" w:rsidR="00DD2F0B" w:rsidRPr="006557B3" w:rsidRDefault="00DD2F0B" w:rsidP="00C05C12">
            <w:pPr>
              <w:tabs>
                <w:tab w:val="left" w:pos="8647"/>
              </w:tabs>
              <w:spacing w:after="0" w:line="240" w:lineRule="auto"/>
              <w:jc w:val="center"/>
              <w:rPr>
                <w:rFonts w:ascii="Times New Roman" w:eastAsia="Times New Roman" w:hAnsi="Times New Roman" w:cs="Times New Roman"/>
                <w:color w:val="000000"/>
                <w:sz w:val="24"/>
                <w:szCs w:val="24"/>
                <w:lang w:eastAsia="lv-LV"/>
              </w:rPr>
            </w:pPr>
            <w:r w:rsidRPr="006557B3">
              <w:rPr>
                <w:rFonts w:ascii="Times New Roman" w:eastAsia="Times New Roman" w:hAnsi="Times New Roman" w:cs="Times New Roman"/>
                <w:color w:val="000000"/>
                <w:sz w:val="24"/>
                <w:szCs w:val="24"/>
                <w:lang w:eastAsia="lv-LV"/>
              </w:rPr>
              <w:t>25</w:t>
            </w:r>
          </w:p>
        </w:tc>
        <w:tc>
          <w:tcPr>
            <w:tcW w:w="2410" w:type="dxa"/>
            <w:tcBorders>
              <w:top w:val="nil"/>
              <w:left w:val="nil"/>
              <w:bottom w:val="single" w:sz="4" w:space="0" w:color="auto"/>
              <w:right w:val="single" w:sz="4" w:space="0" w:color="auto"/>
            </w:tcBorders>
            <w:shd w:val="clear" w:color="auto" w:fill="auto"/>
            <w:noWrap/>
            <w:vAlign w:val="bottom"/>
            <w:hideMark/>
          </w:tcPr>
          <w:p w14:paraId="02FAEC38" w14:textId="77777777" w:rsidR="00DD2F0B" w:rsidRPr="006557B3" w:rsidRDefault="00DD2F0B" w:rsidP="00C05C12">
            <w:pPr>
              <w:tabs>
                <w:tab w:val="left" w:pos="8647"/>
              </w:tabs>
              <w:spacing w:after="0" w:line="240" w:lineRule="auto"/>
              <w:jc w:val="center"/>
              <w:rPr>
                <w:rFonts w:ascii="Times New Roman" w:eastAsia="Times New Roman" w:hAnsi="Times New Roman" w:cs="Times New Roman"/>
                <w:color w:val="000000"/>
                <w:sz w:val="24"/>
                <w:szCs w:val="24"/>
                <w:lang w:eastAsia="lv-LV"/>
              </w:rPr>
            </w:pPr>
            <w:r w:rsidRPr="006557B3">
              <w:rPr>
                <w:rFonts w:ascii="Times New Roman" w:eastAsia="Times New Roman" w:hAnsi="Times New Roman" w:cs="Times New Roman"/>
                <w:color w:val="000000"/>
                <w:sz w:val="24"/>
                <w:szCs w:val="24"/>
                <w:lang w:eastAsia="lv-LV"/>
              </w:rPr>
              <w:t>426,86</w:t>
            </w:r>
          </w:p>
        </w:tc>
        <w:tc>
          <w:tcPr>
            <w:tcW w:w="3685" w:type="dxa"/>
            <w:tcBorders>
              <w:top w:val="nil"/>
              <w:left w:val="nil"/>
              <w:bottom w:val="single" w:sz="4" w:space="0" w:color="auto"/>
              <w:right w:val="single" w:sz="4" w:space="0" w:color="auto"/>
            </w:tcBorders>
            <w:shd w:val="clear" w:color="auto" w:fill="auto"/>
            <w:noWrap/>
            <w:vAlign w:val="bottom"/>
            <w:hideMark/>
          </w:tcPr>
          <w:p w14:paraId="6F44DD8F" w14:textId="77777777" w:rsidR="00DD2F0B" w:rsidRPr="006557B3" w:rsidRDefault="00DD2F0B" w:rsidP="00C05C12">
            <w:pPr>
              <w:tabs>
                <w:tab w:val="left" w:pos="8647"/>
              </w:tabs>
              <w:spacing w:after="0" w:line="240" w:lineRule="auto"/>
              <w:jc w:val="center"/>
              <w:rPr>
                <w:rFonts w:ascii="Times New Roman" w:eastAsia="Times New Roman" w:hAnsi="Times New Roman" w:cs="Times New Roman"/>
                <w:color w:val="000000"/>
                <w:sz w:val="24"/>
                <w:szCs w:val="24"/>
                <w:lang w:eastAsia="lv-LV"/>
              </w:rPr>
            </w:pPr>
            <w:r w:rsidRPr="006557B3">
              <w:rPr>
                <w:rFonts w:ascii="Times New Roman" w:eastAsia="Times New Roman" w:hAnsi="Times New Roman" w:cs="Times New Roman"/>
                <w:color w:val="000000"/>
                <w:sz w:val="24"/>
                <w:szCs w:val="24"/>
                <w:lang w:eastAsia="lv-LV"/>
              </w:rPr>
              <w:t>10671,50</w:t>
            </w:r>
          </w:p>
        </w:tc>
      </w:tr>
    </w:tbl>
    <w:p w14:paraId="2CFE8719" w14:textId="17109368" w:rsidR="00B510A5" w:rsidRDefault="009D519A" w:rsidP="00B510A5">
      <w:pPr>
        <w:tabs>
          <w:tab w:val="left" w:pos="8647"/>
        </w:tabs>
        <w:spacing w:after="0" w:line="240" w:lineRule="auto"/>
        <w:ind w:firstLine="720"/>
        <w:jc w:val="both"/>
        <w:rPr>
          <w:rFonts w:ascii="Times New Roman" w:hAnsi="Times New Roman" w:cs="Times New Roman"/>
          <w:sz w:val="24"/>
          <w:szCs w:val="24"/>
        </w:rPr>
      </w:pPr>
      <w:r w:rsidRPr="006557B3">
        <w:rPr>
          <w:rFonts w:ascii="Times New Roman" w:hAnsi="Times New Roman" w:cs="Times New Roman"/>
          <w:sz w:val="24"/>
          <w:szCs w:val="24"/>
        </w:rPr>
        <w:t>Perspektīvā būtu jāparedz normatīvajos aktos norma, kas noteiktu, ka šīs ekspertīzes izmaksas sedz komersants vai attiecīgais pasūtītājs</w:t>
      </w:r>
      <w:r w:rsidR="00F01418" w:rsidRPr="006557B3">
        <w:rPr>
          <w:rFonts w:ascii="Times New Roman" w:hAnsi="Times New Roman" w:cs="Times New Roman"/>
          <w:sz w:val="24"/>
          <w:szCs w:val="24"/>
        </w:rPr>
        <w:t>.</w:t>
      </w:r>
      <w:r w:rsidRPr="006557B3">
        <w:rPr>
          <w:rFonts w:ascii="Times New Roman" w:hAnsi="Times New Roman" w:cs="Times New Roman"/>
          <w:sz w:val="24"/>
          <w:szCs w:val="24"/>
        </w:rPr>
        <w:t xml:space="preserve"> </w:t>
      </w:r>
    </w:p>
    <w:p w14:paraId="71F3CD3C" w14:textId="77777777" w:rsidR="00B510A5" w:rsidRDefault="00B510A5" w:rsidP="00B510A5">
      <w:pPr>
        <w:tabs>
          <w:tab w:val="left" w:pos="8647"/>
        </w:tabs>
        <w:spacing w:after="0" w:line="240" w:lineRule="auto"/>
        <w:ind w:firstLine="720"/>
        <w:jc w:val="both"/>
        <w:rPr>
          <w:rFonts w:ascii="Times New Roman" w:hAnsi="Times New Roman" w:cs="Times New Roman"/>
          <w:sz w:val="24"/>
          <w:szCs w:val="24"/>
        </w:rPr>
      </w:pPr>
    </w:p>
    <w:p w14:paraId="721CBEB5" w14:textId="6C65E7F4" w:rsidR="00780B19" w:rsidRPr="00421B03" w:rsidRDefault="00421B03" w:rsidP="00EF1952">
      <w:pPr>
        <w:keepNext/>
        <w:tabs>
          <w:tab w:val="left" w:pos="8647"/>
        </w:tabs>
        <w:spacing w:after="0" w:line="240" w:lineRule="auto"/>
        <w:jc w:val="both"/>
        <w:rPr>
          <w:rFonts w:ascii="Times New Roman" w:hAnsi="Times New Roman" w:cs="Times New Roman"/>
          <w:b/>
          <w:strike/>
          <w:color w:val="000000"/>
          <w:sz w:val="24"/>
          <w:szCs w:val="24"/>
        </w:rPr>
      </w:pPr>
      <w:r w:rsidRPr="00421B03">
        <w:rPr>
          <w:rFonts w:ascii="Times New Roman" w:hAnsi="Times New Roman" w:cs="Times New Roman"/>
          <w:b/>
          <w:sz w:val="24"/>
          <w:szCs w:val="24"/>
        </w:rPr>
        <w:t xml:space="preserve">6.4. </w:t>
      </w:r>
      <w:r w:rsidR="00780B19" w:rsidRPr="00421B03">
        <w:rPr>
          <w:rFonts w:ascii="Times New Roman" w:hAnsi="Times New Roman" w:cs="Times New Roman"/>
          <w:b/>
          <w:sz w:val="24"/>
          <w:szCs w:val="24"/>
        </w:rPr>
        <w:t xml:space="preserve">Ekonomikas ministrija </w:t>
      </w:r>
    </w:p>
    <w:p w14:paraId="53CD097C" w14:textId="2172D008" w:rsidR="00320F05" w:rsidRPr="006557B3" w:rsidRDefault="00DB1D9B" w:rsidP="00EF1952">
      <w:pPr>
        <w:keepNext/>
        <w:tabs>
          <w:tab w:val="left" w:pos="8647"/>
        </w:tabs>
        <w:spacing w:after="0" w:line="240" w:lineRule="auto"/>
        <w:ind w:firstLine="709"/>
        <w:jc w:val="both"/>
        <w:rPr>
          <w:rFonts w:ascii="Times New Roman" w:hAnsi="Times New Roman" w:cs="Times New Roman"/>
          <w:color w:val="000000" w:themeColor="text1"/>
          <w:sz w:val="24"/>
          <w:szCs w:val="24"/>
          <w:lang w:val="lv-LV"/>
        </w:rPr>
      </w:pPr>
      <w:r w:rsidRPr="006557B3">
        <w:rPr>
          <w:rFonts w:ascii="Times New Roman" w:hAnsi="Times New Roman" w:cs="Times New Roman"/>
          <w:iCs/>
          <w:color w:val="000000" w:themeColor="text1"/>
          <w:sz w:val="24"/>
          <w:szCs w:val="24"/>
          <w:lang w:val="lv-LV"/>
        </w:rPr>
        <w:t>Tā kā</w:t>
      </w:r>
      <w:r w:rsidR="00320F05" w:rsidRPr="006557B3">
        <w:rPr>
          <w:rFonts w:ascii="Times New Roman" w:hAnsi="Times New Roman" w:cs="Times New Roman"/>
          <w:iCs/>
          <w:color w:val="000000" w:themeColor="text1"/>
          <w:sz w:val="24"/>
          <w:szCs w:val="24"/>
          <w:lang w:val="lv-LV"/>
        </w:rPr>
        <w:t xml:space="preserve"> uztura bagātinātāju reklāmas un komercprakses uzraudzība vairākus gadus (kopš 2013.gada) ir bijusi un ir Patērētāju tiesību aizsardzības centra (turpmāk – PTAC) prioritāte, </w:t>
      </w:r>
      <w:r w:rsidR="00706E39" w:rsidRPr="006557B3">
        <w:rPr>
          <w:rFonts w:ascii="Times New Roman" w:hAnsi="Times New Roman" w:cs="Times New Roman"/>
          <w:iCs/>
          <w:color w:val="000000" w:themeColor="text1"/>
          <w:sz w:val="24"/>
          <w:szCs w:val="24"/>
          <w:lang w:val="lv-LV"/>
        </w:rPr>
        <w:t xml:space="preserve">patērētāju </w:t>
      </w:r>
      <w:r w:rsidR="00320F05" w:rsidRPr="006557B3">
        <w:rPr>
          <w:rFonts w:ascii="Times New Roman" w:hAnsi="Times New Roman" w:cs="Times New Roman"/>
          <w:iCs/>
          <w:color w:val="000000" w:themeColor="text1"/>
          <w:sz w:val="24"/>
          <w:szCs w:val="24"/>
          <w:lang w:val="lv-LV"/>
        </w:rPr>
        <w:t>tiek arī regulār</w:t>
      </w:r>
      <w:r w:rsidR="00706E39" w:rsidRPr="006557B3">
        <w:rPr>
          <w:rFonts w:ascii="Times New Roman" w:hAnsi="Times New Roman" w:cs="Times New Roman"/>
          <w:iCs/>
          <w:color w:val="000000" w:themeColor="text1"/>
          <w:sz w:val="24"/>
          <w:szCs w:val="24"/>
          <w:lang w:val="lv-LV"/>
        </w:rPr>
        <w:t>i</w:t>
      </w:r>
      <w:r w:rsidR="00320F05" w:rsidRPr="006557B3">
        <w:rPr>
          <w:rFonts w:ascii="Times New Roman" w:hAnsi="Times New Roman" w:cs="Times New Roman"/>
          <w:iCs/>
          <w:color w:val="000000" w:themeColor="text1"/>
          <w:sz w:val="24"/>
          <w:szCs w:val="24"/>
          <w:lang w:val="lv-LV"/>
        </w:rPr>
        <w:t xml:space="preserve"> informē</w:t>
      </w:r>
      <w:r w:rsidR="00706E39" w:rsidRPr="006557B3">
        <w:rPr>
          <w:rFonts w:ascii="Times New Roman" w:hAnsi="Times New Roman" w:cs="Times New Roman"/>
          <w:iCs/>
          <w:color w:val="000000" w:themeColor="text1"/>
          <w:sz w:val="24"/>
          <w:szCs w:val="24"/>
          <w:lang w:val="lv-LV"/>
        </w:rPr>
        <w:t>ti</w:t>
      </w:r>
      <w:r w:rsidR="00320F05" w:rsidRPr="006557B3">
        <w:rPr>
          <w:rFonts w:ascii="Times New Roman" w:hAnsi="Times New Roman" w:cs="Times New Roman"/>
          <w:iCs/>
          <w:color w:val="000000" w:themeColor="text1"/>
          <w:sz w:val="24"/>
          <w:szCs w:val="24"/>
          <w:lang w:val="lv-LV"/>
        </w:rPr>
        <w:t xml:space="preserve"> par to, kas jāņem vērā, iegādājoties uztura bagātinātājus, kā arī par konstatētām neatbilstībām konkrētajā tirgus jomā, tostarp sadarbībā ar</w:t>
      </w:r>
      <w:r w:rsidR="00706E39" w:rsidRPr="006557B3">
        <w:rPr>
          <w:rFonts w:ascii="Times New Roman" w:hAnsi="Times New Roman" w:cs="Times New Roman"/>
          <w:iCs/>
          <w:color w:val="000000" w:themeColor="text1"/>
          <w:sz w:val="24"/>
          <w:szCs w:val="24"/>
          <w:lang w:val="lv-LV"/>
        </w:rPr>
        <w:t xml:space="preserve"> PVD</w:t>
      </w:r>
      <w:r w:rsidR="00320F05" w:rsidRPr="006557B3">
        <w:rPr>
          <w:rFonts w:ascii="Times New Roman" w:hAnsi="Times New Roman" w:cs="Times New Roman"/>
          <w:iCs/>
          <w:color w:val="000000" w:themeColor="text1"/>
          <w:sz w:val="24"/>
          <w:szCs w:val="24"/>
          <w:lang w:val="lv-LV"/>
        </w:rPr>
        <w:t xml:space="preserve">. Ik gadu tiek sagatavotas vairākas preses relīzes, kā arī sniegtas atbildes uz mediju uzdotajiem jautājumiem un informācijas pieprasījumiem par šo jomu. </w:t>
      </w:r>
    </w:p>
    <w:p w14:paraId="7BF1AAE4" w14:textId="4CA14B6C" w:rsidR="00320F05" w:rsidRPr="006557B3" w:rsidRDefault="00320F05" w:rsidP="00C05C12">
      <w:pPr>
        <w:tabs>
          <w:tab w:val="left" w:pos="8647"/>
        </w:tabs>
        <w:spacing w:after="0" w:line="240" w:lineRule="auto"/>
        <w:ind w:firstLine="709"/>
        <w:jc w:val="both"/>
        <w:rPr>
          <w:rFonts w:ascii="Times New Roman" w:hAnsi="Times New Roman" w:cs="Times New Roman"/>
          <w:color w:val="000000" w:themeColor="text1"/>
          <w:sz w:val="24"/>
          <w:szCs w:val="24"/>
          <w:lang w:val="lv-LV"/>
        </w:rPr>
      </w:pPr>
      <w:r w:rsidRPr="006557B3">
        <w:rPr>
          <w:rFonts w:ascii="Times New Roman" w:hAnsi="Times New Roman" w:cs="Times New Roman"/>
          <w:iCs/>
          <w:color w:val="000000" w:themeColor="text1"/>
          <w:sz w:val="24"/>
          <w:szCs w:val="24"/>
          <w:lang w:val="lv-LV"/>
        </w:rPr>
        <w:t xml:space="preserve">Pēdējos gados PTAC </w:t>
      </w:r>
      <w:r w:rsidR="007161A5" w:rsidRPr="006557B3">
        <w:rPr>
          <w:rFonts w:ascii="Times New Roman" w:hAnsi="Times New Roman" w:cs="Times New Roman"/>
          <w:iCs/>
          <w:color w:val="000000" w:themeColor="text1"/>
          <w:sz w:val="24"/>
          <w:szCs w:val="24"/>
          <w:lang w:val="lv-LV"/>
        </w:rPr>
        <w:t>īstenotie</w:t>
      </w:r>
      <w:r w:rsidRPr="006557B3">
        <w:rPr>
          <w:rFonts w:ascii="Times New Roman" w:hAnsi="Times New Roman" w:cs="Times New Roman"/>
          <w:iCs/>
          <w:color w:val="000000" w:themeColor="text1"/>
          <w:sz w:val="24"/>
          <w:szCs w:val="24"/>
          <w:lang w:val="lv-LV"/>
        </w:rPr>
        <w:t xml:space="preserve"> galven</w:t>
      </w:r>
      <w:r w:rsidR="007161A5" w:rsidRPr="006557B3">
        <w:rPr>
          <w:rFonts w:ascii="Times New Roman" w:hAnsi="Times New Roman" w:cs="Times New Roman"/>
          <w:iCs/>
          <w:color w:val="000000" w:themeColor="text1"/>
          <w:sz w:val="24"/>
          <w:szCs w:val="24"/>
          <w:lang w:val="lv-LV"/>
        </w:rPr>
        <w:t>ie</w:t>
      </w:r>
      <w:r w:rsidRPr="006557B3">
        <w:rPr>
          <w:rFonts w:ascii="Times New Roman" w:hAnsi="Times New Roman" w:cs="Times New Roman"/>
          <w:iCs/>
          <w:color w:val="000000" w:themeColor="text1"/>
          <w:sz w:val="24"/>
          <w:szCs w:val="24"/>
          <w:lang w:val="lv-LV"/>
        </w:rPr>
        <w:t xml:space="preserve"> patērētāju informēšanas </w:t>
      </w:r>
      <w:r w:rsidR="007161A5" w:rsidRPr="006557B3">
        <w:rPr>
          <w:rFonts w:ascii="Times New Roman" w:hAnsi="Times New Roman" w:cs="Times New Roman"/>
          <w:iCs/>
          <w:color w:val="000000" w:themeColor="text1"/>
          <w:sz w:val="24"/>
          <w:szCs w:val="24"/>
          <w:lang w:val="lv-LV"/>
        </w:rPr>
        <w:t>pasākumi</w:t>
      </w:r>
      <w:r w:rsidRPr="006557B3">
        <w:rPr>
          <w:rFonts w:ascii="Times New Roman" w:hAnsi="Times New Roman" w:cs="Times New Roman"/>
          <w:iCs/>
          <w:color w:val="000000" w:themeColor="text1"/>
          <w:sz w:val="24"/>
          <w:szCs w:val="24"/>
          <w:lang w:val="lv-LV"/>
        </w:rPr>
        <w:t xml:space="preserve"> ir šād</w:t>
      </w:r>
      <w:r w:rsidR="007161A5" w:rsidRPr="006557B3">
        <w:rPr>
          <w:rFonts w:ascii="Times New Roman" w:hAnsi="Times New Roman" w:cs="Times New Roman"/>
          <w:iCs/>
          <w:color w:val="000000" w:themeColor="text1"/>
          <w:sz w:val="24"/>
          <w:szCs w:val="24"/>
          <w:lang w:val="lv-LV"/>
        </w:rPr>
        <w:t>i</w:t>
      </w:r>
      <w:r w:rsidRPr="006557B3">
        <w:rPr>
          <w:rFonts w:ascii="Times New Roman" w:hAnsi="Times New Roman" w:cs="Times New Roman"/>
          <w:iCs/>
          <w:color w:val="000000" w:themeColor="text1"/>
          <w:sz w:val="24"/>
          <w:szCs w:val="24"/>
          <w:lang w:val="lv-LV"/>
        </w:rPr>
        <w:t xml:space="preserve">: </w:t>
      </w:r>
    </w:p>
    <w:p w14:paraId="0135ECA9" w14:textId="3B1709D4" w:rsidR="00320F05" w:rsidRPr="006557B3" w:rsidRDefault="00706E39" w:rsidP="00C05C12">
      <w:pPr>
        <w:tabs>
          <w:tab w:val="left" w:pos="8647"/>
        </w:tabs>
        <w:spacing w:after="0" w:line="240" w:lineRule="auto"/>
        <w:ind w:firstLine="709"/>
        <w:jc w:val="both"/>
        <w:rPr>
          <w:rFonts w:ascii="Times New Roman" w:hAnsi="Times New Roman" w:cs="Times New Roman"/>
          <w:color w:val="000000" w:themeColor="text1"/>
          <w:sz w:val="24"/>
          <w:szCs w:val="24"/>
          <w:lang w:val="lv-LV"/>
        </w:rPr>
      </w:pPr>
      <w:r w:rsidRPr="006557B3">
        <w:rPr>
          <w:rFonts w:ascii="Times New Roman" w:hAnsi="Times New Roman" w:cs="Times New Roman"/>
          <w:iCs/>
          <w:color w:val="000000" w:themeColor="text1"/>
          <w:sz w:val="24"/>
          <w:szCs w:val="24"/>
          <w:lang w:val="lv-LV"/>
        </w:rPr>
        <w:t>1)</w:t>
      </w:r>
      <w:r w:rsidR="00320F05" w:rsidRPr="006557B3">
        <w:rPr>
          <w:rFonts w:ascii="Times New Roman" w:hAnsi="Times New Roman" w:cs="Times New Roman"/>
          <w:iCs/>
          <w:color w:val="000000" w:themeColor="text1"/>
          <w:sz w:val="24"/>
          <w:szCs w:val="24"/>
          <w:lang w:val="lv-LV"/>
        </w:rPr>
        <w:t xml:space="preserve"> 2014.</w:t>
      </w:r>
      <w:r w:rsidR="002B57D1">
        <w:rPr>
          <w:rFonts w:ascii="Times New Roman" w:hAnsi="Times New Roman" w:cs="Times New Roman"/>
          <w:iCs/>
          <w:color w:val="000000" w:themeColor="text1"/>
          <w:sz w:val="24"/>
          <w:szCs w:val="24"/>
          <w:lang w:val="lv-LV"/>
        </w:rPr>
        <w:t xml:space="preserve"> </w:t>
      </w:r>
      <w:r w:rsidR="00320F05" w:rsidRPr="006557B3">
        <w:rPr>
          <w:rFonts w:ascii="Times New Roman" w:hAnsi="Times New Roman" w:cs="Times New Roman"/>
          <w:iCs/>
          <w:color w:val="000000" w:themeColor="text1"/>
          <w:sz w:val="24"/>
          <w:szCs w:val="24"/>
          <w:lang w:val="lv-LV"/>
        </w:rPr>
        <w:t xml:space="preserve">gada februārī tika izplatīta preses relīze par PTAC patērētāju tiesību uzraudzības rezultātiem uztura bagātinātāju jomā, </w:t>
      </w:r>
      <w:r w:rsidRPr="006557B3">
        <w:rPr>
          <w:rFonts w:ascii="Times New Roman" w:hAnsi="Times New Roman" w:cs="Times New Roman"/>
          <w:iCs/>
          <w:color w:val="000000" w:themeColor="text1"/>
          <w:sz w:val="24"/>
          <w:szCs w:val="24"/>
          <w:lang w:val="lv-LV"/>
        </w:rPr>
        <w:t>un tā</w:t>
      </w:r>
      <w:r w:rsidR="00320F05" w:rsidRPr="006557B3">
        <w:rPr>
          <w:rFonts w:ascii="Times New Roman" w:hAnsi="Times New Roman" w:cs="Times New Roman"/>
          <w:iCs/>
          <w:color w:val="000000" w:themeColor="text1"/>
          <w:sz w:val="24"/>
          <w:szCs w:val="24"/>
          <w:lang w:val="lv-LV"/>
        </w:rPr>
        <w:t xml:space="preserve"> šo jomu ievirzīja sabiedrības dienas kārtībā</w:t>
      </w:r>
      <w:r w:rsidR="00320F05" w:rsidRPr="006557B3">
        <w:rPr>
          <w:rFonts w:ascii="Times New Roman" w:hAnsi="Times New Roman" w:cs="Times New Roman"/>
          <w:b/>
          <w:bCs/>
          <w:iCs/>
          <w:color w:val="000000" w:themeColor="text1"/>
          <w:sz w:val="24"/>
          <w:szCs w:val="24"/>
          <w:vertAlign w:val="superscript"/>
          <w:lang w:val="lv-LV"/>
        </w:rPr>
        <w:footnoteReference w:customMarkFollows="1" w:id="9"/>
        <w:t>[1]</w:t>
      </w:r>
      <w:r w:rsidRPr="006557B3">
        <w:rPr>
          <w:rFonts w:ascii="Times New Roman" w:hAnsi="Times New Roman" w:cs="Times New Roman"/>
          <w:iCs/>
          <w:color w:val="000000" w:themeColor="text1"/>
          <w:sz w:val="24"/>
          <w:szCs w:val="24"/>
          <w:lang w:val="lv-LV"/>
        </w:rPr>
        <w:t>;</w:t>
      </w:r>
      <w:r w:rsidR="00320F05" w:rsidRPr="006557B3">
        <w:rPr>
          <w:rFonts w:ascii="Times New Roman" w:hAnsi="Times New Roman" w:cs="Times New Roman"/>
          <w:iCs/>
          <w:color w:val="000000" w:themeColor="text1"/>
          <w:sz w:val="24"/>
          <w:szCs w:val="24"/>
          <w:lang w:val="lv-LV"/>
        </w:rPr>
        <w:t xml:space="preserve"> </w:t>
      </w:r>
    </w:p>
    <w:p w14:paraId="0CC4BE61" w14:textId="7E08CFB4" w:rsidR="00320F05" w:rsidRPr="006557B3" w:rsidRDefault="00706E39" w:rsidP="00C05C12">
      <w:pPr>
        <w:tabs>
          <w:tab w:val="left" w:pos="8647"/>
        </w:tabs>
        <w:spacing w:after="0" w:line="240" w:lineRule="auto"/>
        <w:ind w:firstLine="709"/>
        <w:jc w:val="both"/>
        <w:rPr>
          <w:rFonts w:ascii="Times New Roman" w:hAnsi="Times New Roman" w:cs="Times New Roman"/>
          <w:color w:val="000000" w:themeColor="text1"/>
          <w:sz w:val="24"/>
          <w:szCs w:val="24"/>
          <w:lang w:val="lv-LV"/>
        </w:rPr>
      </w:pPr>
      <w:r w:rsidRPr="006557B3">
        <w:rPr>
          <w:rFonts w:ascii="Times New Roman" w:hAnsi="Times New Roman" w:cs="Times New Roman"/>
          <w:iCs/>
          <w:color w:val="000000" w:themeColor="text1"/>
          <w:sz w:val="24"/>
          <w:szCs w:val="24"/>
          <w:lang w:val="lv-LV"/>
        </w:rPr>
        <w:t>2)</w:t>
      </w:r>
      <w:r w:rsidR="00320F05" w:rsidRPr="006557B3">
        <w:rPr>
          <w:rFonts w:ascii="Times New Roman" w:hAnsi="Times New Roman" w:cs="Times New Roman"/>
          <w:iCs/>
          <w:color w:val="000000" w:themeColor="text1"/>
          <w:sz w:val="24"/>
          <w:szCs w:val="24"/>
          <w:lang w:val="lv-LV"/>
        </w:rPr>
        <w:t xml:space="preserve"> </w:t>
      </w:r>
      <w:r w:rsidRPr="006557B3">
        <w:rPr>
          <w:rFonts w:ascii="Times New Roman" w:hAnsi="Times New Roman" w:cs="Times New Roman"/>
          <w:iCs/>
          <w:color w:val="000000" w:themeColor="text1"/>
          <w:sz w:val="24"/>
          <w:szCs w:val="24"/>
          <w:lang w:val="lv-LV"/>
        </w:rPr>
        <w:t>ī</w:t>
      </w:r>
      <w:r w:rsidR="00320F05" w:rsidRPr="006557B3">
        <w:rPr>
          <w:rFonts w:ascii="Times New Roman" w:hAnsi="Times New Roman" w:cs="Times New Roman"/>
          <w:iCs/>
          <w:color w:val="000000" w:themeColor="text1"/>
          <w:sz w:val="24"/>
          <w:szCs w:val="24"/>
          <w:lang w:val="lv-LV"/>
        </w:rPr>
        <w:t xml:space="preserve">pašu popularitāti guva 2015. gada septembrī izplatītā preses relīze par konkrētām </w:t>
      </w:r>
      <w:r w:rsidRPr="006557B3">
        <w:rPr>
          <w:rFonts w:ascii="Times New Roman" w:hAnsi="Times New Roman" w:cs="Times New Roman"/>
          <w:iCs/>
          <w:color w:val="000000" w:themeColor="text1"/>
          <w:sz w:val="24"/>
          <w:szCs w:val="24"/>
          <w:lang w:val="lv-LV"/>
        </w:rPr>
        <w:t>tīmekļa</w:t>
      </w:r>
      <w:r w:rsidR="00320F05" w:rsidRPr="006557B3">
        <w:rPr>
          <w:rFonts w:ascii="Times New Roman" w:hAnsi="Times New Roman" w:cs="Times New Roman"/>
          <w:iCs/>
          <w:color w:val="000000" w:themeColor="text1"/>
          <w:sz w:val="24"/>
          <w:szCs w:val="24"/>
          <w:lang w:val="lv-LV"/>
        </w:rPr>
        <w:t xml:space="preserve"> vietnēm, kur</w:t>
      </w:r>
      <w:r w:rsidRPr="006557B3">
        <w:rPr>
          <w:rFonts w:ascii="Times New Roman" w:hAnsi="Times New Roman" w:cs="Times New Roman"/>
          <w:iCs/>
          <w:color w:val="000000" w:themeColor="text1"/>
          <w:sz w:val="24"/>
          <w:szCs w:val="24"/>
          <w:lang w:val="lv-LV"/>
        </w:rPr>
        <w:t>ās</w:t>
      </w:r>
      <w:r w:rsidR="00320F05" w:rsidRPr="006557B3">
        <w:rPr>
          <w:rFonts w:ascii="Times New Roman" w:hAnsi="Times New Roman" w:cs="Times New Roman"/>
          <w:iCs/>
          <w:color w:val="000000" w:themeColor="text1"/>
          <w:sz w:val="24"/>
          <w:szCs w:val="24"/>
          <w:lang w:val="lv-LV"/>
        </w:rPr>
        <w:t xml:space="preserve"> patērētājiem </w:t>
      </w:r>
      <w:r w:rsidRPr="006557B3">
        <w:rPr>
          <w:rFonts w:ascii="Times New Roman" w:hAnsi="Times New Roman" w:cs="Times New Roman"/>
          <w:iCs/>
          <w:color w:val="000000" w:themeColor="text1"/>
          <w:sz w:val="24"/>
          <w:szCs w:val="24"/>
          <w:lang w:val="lv-LV"/>
        </w:rPr>
        <w:t xml:space="preserve">tiek </w:t>
      </w:r>
      <w:r w:rsidR="00320F05" w:rsidRPr="006557B3">
        <w:rPr>
          <w:rFonts w:ascii="Times New Roman" w:hAnsi="Times New Roman" w:cs="Times New Roman"/>
          <w:iCs/>
          <w:color w:val="000000" w:themeColor="text1"/>
          <w:sz w:val="24"/>
          <w:szCs w:val="24"/>
          <w:lang w:val="lv-LV"/>
        </w:rPr>
        <w:t xml:space="preserve">piedāvāti nereģistrēti uztura bagātinātāji. Tika saņemti vismaz </w:t>
      </w:r>
      <w:r w:rsidRPr="006557B3">
        <w:rPr>
          <w:rFonts w:ascii="Times New Roman" w:hAnsi="Times New Roman" w:cs="Times New Roman"/>
          <w:iCs/>
          <w:color w:val="000000" w:themeColor="text1"/>
          <w:sz w:val="24"/>
          <w:szCs w:val="24"/>
          <w:lang w:val="lv-LV"/>
        </w:rPr>
        <w:t>10</w:t>
      </w:r>
      <w:r w:rsidR="00320F05" w:rsidRPr="006557B3">
        <w:rPr>
          <w:rFonts w:ascii="Times New Roman" w:hAnsi="Times New Roman" w:cs="Times New Roman"/>
          <w:iCs/>
          <w:color w:val="000000" w:themeColor="text1"/>
          <w:sz w:val="24"/>
          <w:szCs w:val="24"/>
          <w:lang w:val="lv-LV"/>
        </w:rPr>
        <w:t xml:space="preserve"> plašsaziņas līdzekļu pārstāvju pieprasījumi pēc komentāriem. Plašu popularitāti ziņa guva arī sociālajos medijos</w:t>
      </w:r>
      <w:r w:rsidR="00320F05" w:rsidRPr="006557B3">
        <w:rPr>
          <w:rFonts w:ascii="Times New Roman" w:hAnsi="Times New Roman" w:cs="Times New Roman"/>
          <w:b/>
          <w:bCs/>
          <w:iCs/>
          <w:color w:val="000000" w:themeColor="text1"/>
          <w:sz w:val="24"/>
          <w:szCs w:val="24"/>
          <w:vertAlign w:val="superscript"/>
          <w:lang w:val="lv-LV"/>
        </w:rPr>
        <w:footnoteReference w:customMarkFollows="1" w:id="10"/>
        <w:t>[2]</w:t>
      </w:r>
      <w:r w:rsidRPr="006557B3">
        <w:rPr>
          <w:rFonts w:ascii="Times New Roman" w:hAnsi="Times New Roman" w:cs="Times New Roman"/>
          <w:iCs/>
          <w:color w:val="000000" w:themeColor="text1"/>
          <w:sz w:val="24"/>
          <w:szCs w:val="24"/>
          <w:lang w:val="lv-LV"/>
        </w:rPr>
        <w:t>;</w:t>
      </w:r>
      <w:r w:rsidR="00320F05" w:rsidRPr="006557B3">
        <w:rPr>
          <w:rFonts w:ascii="Times New Roman" w:hAnsi="Times New Roman" w:cs="Times New Roman"/>
          <w:iCs/>
          <w:color w:val="000000" w:themeColor="text1"/>
          <w:sz w:val="24"/>
          <w:szCs w:val="24"/>
          <w:lang w:val="lv-LV"/>
        </w:rPr>
        <w:t xml:space="preserve"> </w:t>
      </w:r>
    </w:p>
    <w:p w14:paraId="72C83E71" w14:textId="649642B1" w:rsidR="00320F05" w:rsidRPr="006557B3" w:rsidRDefault="00706E39"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iCs/>
          <w:color w:val="000000" w:themeColor="text1"/>
          <w:sz w:val="24"/>
          <w:szCs w:val="24"/>
          <w:lang w:val="lv-LV"/>
        </w:rPr>
        <w:t>3)</w:t>
      </w:r>
      <w:r w:rsidR="00320F05" w:rsidRPr="006557B3">
        <w:rPr>
          <w:rFonts w:ascii="Times New Roman" w:hAnsi="Times New Roman" w:cs="Times New Roman"/>
          <w:iCs/>
          <w:color w:val="000000" w:themeColor="text1"/>
          <w:sz w:val="24"/>
          <w:szCs w:val="24"/>
          <w:lang w:val="lv-LV"/>
        </w:rPr>
        <w:t xml:space="preserve"> 2014. gadā tika uzsākta sadarbība ar sabiedrisko organizāciju </w:t>
      </w:r>
      <w:r w:rsidR="00B9510F" w:rsidRPr="006557B3">
        <w:rPr>
          <w:rFonts w:ascii="Times New Roman" w:hAnsi="Times New Roman" w:cs="Times New Roman"/>
          <w:iCs/>
          <w:color w:val="000000" w:themeColor="text1"/>
          <w:sz w:val="24"/>
          <w:szCs w:val="24"/>
          <w:lang w:val="lv-LV"/>
        </w:rPr>
        <w:t>„</w:t>
      </w:r>
      <w:r w:rsidR="00320F05" w:rsidRPr="006557B3">
        <w:rPr>
          <w:rFonts w:ascii="Times New Roman" w:hAnsi="Times New Roman" w:cs="Times New Roman"/>
          <w:iCs/>
          <w:color w:val="000000" w:themeColor="text1"/>
          <w:sz w:val="24"/>
          <w:szCs w:val="24"/>
          <w:lang w:val="lv-LV"/>
        </w:rPr>
        <w:t>Veselības projekti Latvijai</w:t>
      </w:r>
      <w:r w:rsidR="00B9510F" w:rsidRPr="006557B3">
        <w:rPr>
          <w:rFonts w:ascii="Times New Roman" w:hAnsi="Times New Roman" w:cs="Times New Roman"/>
          <w:iCs/>
          <w:color w:val="000000" w:themeColor="text1"/>
          <w:sz w:val="24"/>
          <w:szCs w:val="24"/>
          <w:lang w:val="lv-LV"/>
        </w:rPr>
        <w:t>”</w:t>
      </w:r>
      <w:r w:rsidR="00320F05" w:rsidRPr="006557B3">
        <w:rPr>
          <w:rFonts w:ascii="Times New Roman" w:hAnsi="Times New Roman" w:cs="Times New Roman"/>
          <w:iCs/>
          <w:color w:val="000000" w:themeColor="text1"/>
          <w:sz w:val="24"/>
          <w:szCs w:val="24"/>
          <w:lang w:val="lv-LV"/>
        </w:rPr>
        <w:t>, kas ar EEZ finanšu instrumenta palīdzību 2014.</w:t>
      </w:r>
      <w:r w:rsidRPr="006557B3">
        <w:rPr>
          <w:rFonts w:ascii="Times New Roman" w:hAnsi="Times New Roman" w:cs="Times New Roman"/>
          <w:iCs/>
          <w:color w:val="000000" w:themeColor="text1"/>
          <w:sz w:val="24"/>
          <w:szCs w:val="24"/>
          <w:lang w:val="lv-LV"/>
        </w:rPr>
        <w:t> </w:t>
      </w:r>
      <w:r w:rsidR="00320F05" w:rsidRPr="006557B3">
        <w:rPr>
          <w:rFonts w:ascii="Times New Roman" w:hAnsi="Times New Roman" w:cs="Times New Roman"/>
          <w:iCs/>
          <w:color w:val="000000" w:themeColor="text1"/>
          <w:sz w:val="24"/>
          <w:szCs w:val="24"/>
          <w:lang w:val="lv-LV"/>
        </w:rPr>
        <w:t>un 2015. gadā</w:t>
      </w:r>
      <w:r w:rsidRPr="006557B3">
        <w:rPr>
          <w:rFonts w:ascii="Times New Roman" w:hAnsi="Times New Roman" w:cs="Times New Roman"/>
          <w:iCs/>
          <w:color w:val="000000" w:themeColor="text1"/>
          <w:sz w:val="24"/>
          <w:szCs w:val="24"/>
          <w:lang w:val="lv-LV"/>
        </w:rPr>
        <w:t>, īstenojot</w:t>
      </w:r>
      <w:r w:rsidR="00320F05" w:rsidRPr="006557B3">
        <w:rPr>
          <w:rFonts w:ascii="Times New Roman" w:hAnsi="Times New Roman" w:cs="Times New Roman"/>
          <w:iCs/>
          <w:color w:val="000000" w:themeColor="text1"/>
          <w:sz w:val="24"/>
          <w:szCs w:val="24"/>
          <w:lang w:val="lv-LV"/>
        </w:rPr>
        <w:t xml:space="preserve"> projekt</w:t>
      </w:r>
      <w:r w:rsidRPr="006557B3">
        <w:rPr>
          <w:rFonts w:ascii="Times New Roman" w:hAnsi="Times New Roman" w:cs="Times New Roman"/>
          <w:iCs/>
          <w:color w:val="000000" w:themeColor="text1"/>
          <w:sz w:val="24"/>
          <w:szCs w:val="24"/>
          <w:lang w:val="lv-LV"/>
        </w:rPr>
        <w:t>u</w:t>
      </w:r>
      <w:r w:rsidR="00320F05" w:rsidRPr="006557B3">
        <w:rPr>
          <w:rFonts w:ascii="Times New Roman" w:hAnsi="Times New Roman" w:cs="Times New Roman"/>
          <w:iCs/>
          <w:color w:val="000000" w:themeColor="text1"/>
          <w:sz w:val="24"/>
          <w:szCs w:val="24"/>
          <w:lang w:val="lv-LV"/>
        </w:rPr>
        <w:t xml:space="preserve"> </w:t>
      </w:r>
      <w:r w:rsidR="00B9510F" w:rsidRPr="006557B3">
        <w:rPr>
          <w:rFonts w:ascii="Times New Roman" w:hAnsi="Times New Roman" w:cs="Times New Roman"/>
          <w:iCs/>
          <w:color w:val="000000" w:themeColor="text1"/>
          <w:sz w:val="24"/>
          <w:szCs w:val="24"/>
          <w:lang w:val="lv-LV"/>
        </w:rPr>
        <w:t>„</w:t>
      </w:r>
      <w:r w:rsidR="00320F05" w:rsidRPr="006557B3">
        <w:rPr>
          <w:rFonts w:ascii="Times New Roman" w:hAnsi="Times New Roman" w:cs="Times New Roman"/>
          <w:iCs/>
          <w:color w:val="000000" w:themeColor="text1"/>
          <w:sz w:val="24"/>
          <w:szCs w:val="24"/>
          <w:lang w:val="lv-LV"/>
        </w:rPr>
        <w:t>Laba pārvaldība un pacientu līdzdalība Latvijas veselības aprūpes sistēmā</w:t>
      </w:r>
      <w:r w:rsidR="00B9510F" w:rsidRPr="006557B3">
        <w:rPr>
          <w:rFonts w:ascii="Times New Roman" w:hAnsi="Times New Roman" w:cs="Times New Roman"/>
          <w:iCs/>
          <w:color w:val="000000" w:themeColor="text1"/>
          <w:sz w:val="24"/>
          <w:szCs w:val="24"/>
          <w:lang w:val="lv-LV"/>
        </w:rPr>
        <w:t>”</w:t>
      </w:r>
      <w:r w:rsidRPr="006557B3">
        <w:rPr>
          <w:rFonts w:ascii="Times New Roman" w:hAnsi="Times New Roman" w:cs="Times New Roman"/>
          <w:iCs/>
          <w:color w:val="000000" w:themeColor="text1"/>
          <w:sz w:val="24"/>
          <w:szCs w:val="24"/>
          <w:lang w:val="lv-LV"/>
        </w:rPr>
        <w:t>,</w:t>
      </w:r>
      <w:r w:rsidR="00320F05" w:rsidRPr="006557B3">
        <w:rPr>
          <w:rFonts w:ascii="Times New Roman" w:hAnsi="Times New Roman" w:cs="Times New Roman"/>
          <w:iCs/>
          <w:color w:val="000000" w:themeColor="text1"/>
          <w:sz w:val="24"/>
          <w:szCs w:val="24"/>
          <w:lang w:val="lv-LV"/>
        </w:rPr>
        <w:t xml:space="preserve"> veica uztura bagātinātāju tirgus uzraudzību, ziņojot par potenciāliem pārkāpumiem PTAC, </w:t>
      </w:r>
      <w:r w:rsidRPr="006557B3">
        <w:rPr>
          <w:rFonts w:ascii="Times New Roman" w:hAnsi="Times New Roman" w:cs="Times New Roman"/>
          <w:iCs/>
          <w:color w:val="000000" w:themeColor="text1"/>
          <w:sz w:val="24"/>
          <w:szCs w:val="24"/>
          <w:lang w:val="lv-LV"/>
        </w:rPr>
        <w:t>kā arī</w:t>
      </w:r>
      <w:r w:rsidR="00320F05" w:rsidRPr="006557B3">
        <w:rPr>
          <w:rFonts w:ascii="Times New Roman" w:hAnsi="Times New Roman" w:cs="Times New Roman"/>
          <w:iCs/>
          <w:color w:val="000000" w:themeColor="text1"/>
          <w:sz w:val="24"/>
          <w:szCs w:val="24"/>
          <w:lang w:val="lv-LV"/>
        </w:rPr>
        <w:t xml:space="preserve"> izglītojot un informējot patērētājus par uztura bagātinātāju jomu un saprātīgu lietošanu</w:t>
      </w:r>
      <w:r w:rsidR="00320F05" w:rsidRPr="006557B3">
        <w:rPr>
          <w:rFonts w:ascii="Times New Roman" w:hAnsi="Times New Roman" w:cs="Times New Roman"/>
          <w:b/>
          <w:bCs/>
          <w:iCs/>
          <w:color w:val="000000" w:themeColor="text1"/>
          <w:sz w:val="24"/>
          <w:szCs w:val="24"/>
          <w:vertAlign w:val="superscript"/>
          <w:lang w:val="lv-LV"/>
        </w:rPr>
        <w:footnoteReference w:customMarkFollows="1" w:id="11"/>
        <w:t>[3]</w:t>
      </w:r>
      <w:r w:rsidR="00320F05" w:rsidRPr="006557B3">
        <w:rPr>
          <w:rFonts w:ascii="Times New Roman" w:hAnsi="Times New Roman" w:cs="Times New Roman"/>
          <w:iCs/>
          <w:color w:val="000000" w:themeColor="text1"/>
          <w:sz w:val="24"/>
          <w:szCs w:val="24"/>
          <w:lang w:val="lv-LV"/>
        </w:rPr>
        <w:t>.</w:t>
      </w:r>
      <w:r w:rsidR="00320F05" w:rsidRPr="006557B3">
        <w:rPr>
          <w:rFonts w:ascii="Times New Roman" w:hAnsi="Times New Roman" w:cs="Times New Roman"/>
          <w:i/>
          <w:iCs/>
          <w:color w:val="000000" w:themeColor="text1"/>
          <w:sz w:val="24"/>
          <w:szCs w:val="24"/>
          <w:lang w:val="lv-LV"/>
        </w:rPr>
        <w:t xml:space="preserve"> </w:t>
      </w:r>
    </w:p>
    <w:p w14:paraId="07106B07" w14:textId="79AF8D97" w:rsidR="00C64940" w:rsidRPr="006557B3" w:rsidRDefault="00706E39" w:rsidP="00C05C12">
      <w:pPr>
        <w:tabs>
          <w:tab w:val="left" w:pos="8647"/>
        </w:tabs>
        <w:spacing w:after="0"/>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Ievērojot</w:t>
      </w:r>
      <w:r w:rsidR="00780B19" w:rsidRPr="006557B3">
        <w:rPr>
          <w:rFonts w:ascii="Times New Roman" w:hAnsi="Times New Roman" w:cs="Times New Roman"/>
          <w:sz w:val="24"/>
          <w:szCs w:val="24"/>
          <w:lang w:val="lv-LV"/>
        </w:rPr>
        <w:t xml:space="preserve"> lielo uztura bagātinātāju reklāmas un tirgus apjomu, ir nepieciešams mērķēts un aktīvs patērētāju informēšanas darbs, lai tie lētticīgi nepakļautos lielajam uztura bagātinātāju reklāmdevēju spiedienam un izdarītu informētu izvēli. </w:t>
      </w:r>
    </w:p>
    <w:p w14:paraId="1BE6B20E" w14:textId="26825F95" w:rsidR="00780B19" w:rsidRPr="006557B3" w:rsidRDefault="00780B19"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Patērētāju informēšana ir svarīgs instruments arī uztura bagātinātāju jomas tirgus uzraudzības rezultātu sasniegšanā, jo liela daļa </w:t>
      </w:r>
      <w:r w:rsidR="00B9510F" w:rsidRPr="006557B3">
        <w:rPr>
          <w:rFonts w:ascii="Times New Roman" w:hAnsi="Times New Roman" w:cs="Times New Roman"/>
          <w:sz w:val="24"/>
          <w:szCs w:val="24"/>
          <w:lang w:val="lv-LV"/>
        </w:rPr>
        <w:t>„</w:t>
      </w:r>
      <w:r w:rsidRPr="006557B3">
        <w:rPr>
          <w:rFonts w:ascii="Times New Roman" w:hAnsi="Times New Roman" w:cs="Times New Roman"/>
          <w:sz w:val="24"/>
          <w:szCs w:val="24"/>
          <w:lang w:val="lv-LV"/>
        </w:rPr>
        <w:t xml:space="preserve">brīnumlīdzekļu” reklāmu piedāvātāju </w:t>
      </w:r>
      <w:r w:rsidR="00706E39" w:rsidRPr="006557B3">
        <w:rPr>
          <w:rFonts w:ascii="Times New Roman" w:hAnsi="Times New Roman" w:cs="Times New Roman"/>
          <w:sz w:val="24"/>
          <w:szCs w:val="24"/>
          <w:lang w:val="lv-LV"/>
        </w:rPr>
        <w:t xml:space="preserve">tīmekļa </w:t>
      </w:r>
      <w:r w:rsidR="00706E39" w:rsidRPr="006557B3">
        <w:rPr>
          <w:rFonts w:ascii="Times New Roman" w:hAnsi="Times New Roman" w:cs="Times New Roman"/>
          <w:sz w:val="24"/>
          <w:szCs w:val="24"/>
          <w:lang w:val="lv-LV"/>
        </w:rPr>
        <w:lastRenderedPageBreak/>
        <w:t>vietnes</w:t>
      </w:r>
      <w:r w:rsidRPr="006557B3">
        <w:rPr>
          <w:rFonts w:ascii="Times New Roman" w:hAnsi="Times New Roman" w:cs="Times New Roman"/>
          <w:sz w:val="24"/>
          <w:szCs w:val="24"/>
          <w:lang w:val="lv-LV"/>
        </w:rPr>
        <w:t xml:space="preserve"> ir lokalizētas ārpus Latvijas un Eiropas Savienības robežām, tāpēc cīnīties ar šiem komersantiem un reklāmām</w:t>
      </w:r>
      <w:r w:rsidR="00706E39" w:rsidRPr="006557B3">
        <w:rPr>
          <w:rFonts w:ascii="Times New Roman" w:hAnsi="Times New Roman" w:cs="Times New Roman"/>
          <w:sz w:val="24"/>
          <w:szCs w:val="24"/>
          <w:lang w:val="lv-LV"/>
        </w:rPr>
        <w:t>,</w:t>
      </w:r>
      <w:r w:rsidRPr="006557B3">
        <w:rPr>
          <w:rFonts w:ascii="Times New Roman" w:hAnsi="Times New Roman" w:cs="Times New Roman"/>
          <w:sz w:val="24"/>
          <w:szCs w:val="24"/>
          <w:lang w:val="lv-LV"/>
        </w:rPr>
        <w:t xml:space="preserve"> izmantojot administratīvām uzraudzības metodes</w:t>
      </w:r>
      <w:r w:rsidR="00706E39" w:rsidRPr="006557B3">
        <w:rPr>
          <w:rFonts w:ascii="Times New Roman" w:hAnsi="Times New Roman" w:cs="Times New Roman"/>
          <w:sz w:val="24"/>
          <w:szCs w:val="24"/>
          <w:lang w:val="lv-LV"/>
        </w:rPr>
        <w:t>, ir sarežģīti un</w:t>
      </w:r>
      <w:r w:rsidRPr="006557B3">
        <w:rPr>
          <w:rFonts w:ascii="Times New Roman" w:hAnsi="Times New Roman" w:cs="Times New Roman"/>
          <w:sz w:val="24"/>
          <w:szCs w:val="24"/>
          <w:lang w:val="lv-LV"/>
        </w:rPr>
        <w:t xml:space="preserve"> svarīgākais patērētāju ekonomisko interešu aizsardzības līdzeklis ir patērētāju informēšana un izglītošana. </w:t>
      </w:r>
    </w:p>
    <w:p w14:paraId="7C4973A3" w14:textId="4A82F995" w:rsidR="009B57D7" w:rsidRPr="006557B3" w:rsidRDefault="00706E39"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Ievērojot minēto</w:t>
      </w:r>
      <w:r w:rsidR="003D7583" w:rsidRPr="006557B3">
        <w:rPr>
          <w:rFonts w:ascii="Times New Roman" w:hAnsi="Times New Roman" w:cs="Times New Roman"/>
          <w:sz w:val="24"/>
          <w:szCs w:val="24"/>
          <w:lang w:val="lv-LV"/>
        </w:rPr>
        <w:t xml:space="preserve">, </w:t>
      </w:r>
      <w:r w:rsidR="009B57D7" w:rsidRPr="006557B3">
        <w:rPr>
          <w:rFonts w:ascii="Times New Roman" w:hAnsi="Times New Roman" w:cs="Times New Roman"/>
          <w:sz w:val="24"/>
          <w:szCs w:val="24"/>
          <w:lang w:val="lv-LV"/>
        </w:rPr>
        <w:t xml:space="preserve">PTAC pievienojas PVD iniciatīvai par </w:t>
      </w:r>
      <w:r w:rsidR="00ED282A" w:rsidRPr="006557B3">
        <w:rPr>
          <w:rFonts w:ascii="Times New Roman" w:hAnsi="Times New Roman" w:cs="Times New Roman"/>
          <w:sz w:val="24"/>
          <w:szCs w:val="24"/>
          <w:lang w:val="lv-LV"/>
        </w:rPr>
        <w:t>s</w:t>
      </w:r>
      <w:r w:rsidR="009B57D7" w:rsidRPr="006557B3">
        <w:rPr>
          <w:rFonts w:ascii="Times New Roman" w:hAnsi="Times New Roman" w:cs="Times New Roman"/>
          <w:sz w:val="24"/>
          <w:szCs w:val="24"/>
          <w:lang w:val="lv-LV"/>
        </w:rPr>
        <w:t>abiedrības (patērētāja) izglītošanu. Taču, lai efektīvāk informētu patērētājus par uztura bagātinātāju un “brīnumlīdzekļu” reklām</w:t>
      </w:r>
      <w:r w:rsidRPr="006557B3">
        <w:rPr>
          <w:rFonts w:ascii="Times New Roman" w:hAnsi="Times New Roman" w:cs="Times New Roman"/>
          <w:sz w:val="24"/>
          <w:szCs w:val="24"/>
          <w:lang w:val="lv-LV"/>
        </w:rPr>
        <w:t>ās sludinātajiem</w:t>
      </w:r>
      <w:r w:rsidR="009B57D7" w:rsidRPr="006557B3">
        <w:rPr>
          <w:rFonts w:ascii="Times New Roman" w:hAnsi="Times New Roman" w:cs="Times New Roman"/>
          <w:sz w:val="24"/>
          <w:szCs w:val="24"/>
          <w:lang w:val="lv-LV"/>
        </w:rPr>
        <w:t xml:space="preserve"> pārspīlētajiem efektiem, PTAC </w:t>
      </w:r>
      <w:r w:rsidRPr="006557B3">
        <w:rPr>
          <w:rFonts w:ascii="Times New Roman" w:hAnsi="Times New Roman" w:cs="Times New Roman"/>
          <w:sz w:val="24"/>
          <w:szCs w:val="24"/>
          <w:lang w:val="lv-LV"/>
        </w:rPr>
        <w:t>uzskata, ka</w:t>
      </w:r>
      <w:r w:rsidR="009B57D7" w:rsidRPr="006557B3">
        <w:rPr>
          <w:rFonts w:ascii="Times New Roman" w:hAnsi="Times New Roman" w:cs="Times New Roman"/>
          <w:sz w:val="24"/>
          <w:szCs w:val="24"/>
          <w:lang w:val="lv-LV"/>
        </w:rPr>
        <w:t xml:space="preserve"> PVD </w:t>
      </w:r>
      <w:r w:rsidRPr="006557B3">
        <w:rPr>
          <w:rFonts w:ascii="Times New Roman" w:hAnsi="Times New Roman" w:cs="Times New Roman"/>
          <w:sz w:val="24"/>
          <w:szCs w:val="24"/>
          <w:lang w:val="lv-LV"/>
        </w:rPr>
        <w:t xml:space="preserve">iecerētie </w:t>
      </w:r>
      <w:r w:rsidR="009B57D7" w:rsidRPr="006557B3">
        <w:rPr>
          <w:rFonts w:ascii="Times New Roman" w:hAnsi="Times New Roman" w:cs="Times New Roman"/>
          <w:sz w:val="24"/>
          <w:szCs w:val="24"/>
          <w:lang w:val="lv-LV"/>
        </w:rPr>
        <w:t xml:space="preserve">sabiedrības informēšanas kampaņas pasākumi būtu papildināmi arī ar šādiem komunikāciju kanāliem un </w:t>
      </w:r>
      <w:r w:rsidRPr="006557B3">
        <w:rPr>
          <w:rFonts w:ascii="Times New Roman" w:hAnsi="Times New Roman" w:cs="Times New Roman"/>
          <w:sz w:val="24"/>
          <w:szCs w:val="24"/>
          <w:lang w:val="lv-LV"/>
        </w:rPr>
        <w:t>darbībām</w:t>
      </w:r>
      <w:r w:rsidR="009B57D7" w:rsidRPr="006557B3">
        <w:rPr>
          <w:rFonts w:ascii="Times New Roman" w:hAnsi="Times New Roman" w:cs="Times New Roman"/>
          <w:sz w:val="24"/>
          <w:szCs w:val="24"/>
          <w:lang w:val="lv-LV"/>
        </w:rPr>
        <w:t xml:space="preserve">: </w:t>
      </w:r>
    </w:p>
    <w:p w14:paraId="28E62908" w14:textId="3A64B417" w:rsidR="009B57D7" w:rsidRPr="006557B3" w:rsidRDefault="00706E39" w:rsidP="00C05C12">
      <w:pPr>
        <w:pStyle w:val="Sarakstarindkopa"/>
        <w:tabs>
          <w:tab w:val="left" w:pos="8647"/>
        </w:tabs>
        <w:spacing w:after="0" w:line="240" w:lineRule="auto"/>
        <w:ind w:left="435" w:firstLine="709"/>
        <w:jc w:val="both"/>
        <w:rPr>
          <w:rFonts w:ascii="Times New Roman" w:hAnsi="Times New Roman"/>
          <w:sz w:val="24"/>
          <w:szCs w:val="24"/>
          <w:lang w:val="lv-LV"/>
        </w:rPr>
      </w:pPr>
      <w:r w:rsidRPr="006557B3">
        <w:rPr>
          <w:rFonts w:ascii="Times New Roman" w:hAnsi="Times New Roman"/>
          <w:sz w:val="24"/>
          <w:szCs w:val="24"/>
          <w:lang w:val="lv-LV"/>
        </w:rPr>
        <w:t>a) a</w:t>
      </w:r>
      <w:r w:rsidR="009B57D7" w:rsidRPr="006557B3">
        <w:rPr>
          <w:rFonts w:ascii="Times New Roman" w:hAnsi="Times New Roman"/>
          <w:sz w:val="24"/>
          <w:szCs w:val="24"/>
          <w:lang w:val="lv-LV"/>
        </w:rPr>
        <w:t>udio un TV reklāmu raidīšana plašsaziņas līdzekļos. Nepieciešamais finansējums</w:t>
      </w:r>
      <w:r w:rsidRPr="006557B3">
        <w:rPr>
          <w:rFonts w:ascii="Times New Roman" w:hAnsi="Times New Roman"/>
          <w:sz w:val="24"/>
          <w:szCs w:val="24"/>
          <w:lang w:val="lv-LV"/>
        </w:rPr>
        <w:t> – aptuveni</w:t>
      </w:r>
      <w:r w:rsidR="009B57D7" w:rsidRPr="006557B3">
        <w:rPr>
          <w:rFonts w:ascii="Times New Roman" w:hAnsi="Times New Roman"/>
          <w:sz w:val="24"/>
          <w:szCs w:val="24"/>
          <w:lang w:val="lv-LV"/>
        </w:rPr>
        <w:t xml:space="preserve"> 60 000 </w:t>
      </w:r>
      <w:r w:rsidRPr="006557B3">
        <w:rPr>
          <w:rFonts w:ascii="Times New Roman" w:hAnsi="Times New Roman"/>
          <w:i/>
          <w:sz w:val="24"/>
          <w:szCs w:val="24"/>
          <w:lang w:val="lv-LV"/>
        </w:rPr>
        <w:t>euro</w:t>
      </w:r>
      <w:r w:rsidR="009B57D7" w:rsidRPr="006557B3">
        <w:rPr>
          <w:rFonts w:ascii="Times New Roman" w:hAnsi="Times New Roman"/>
          <w:sz w:val="24"/>
          <w:szCs w:val="24"/>
          <w:lang w:val="lv-LV"/>
        </w:rPr>
        <w:t xml:space="preserve"> (TV un audio rullīšu sagatavošana un raidīšana); </w:t>
      </w:r>
    </w:p>
    <w:p w14:paraId="20C0D247" w14:textId="564C3FC9" w:rsidR="009B57D7" w:rsidRPr="006557B3" w:rsidRDefault="00706E39" w:rsidP="00C05C12">
      <w:pPr>
        <w:pStyle w:val="Sarakstarindkopa"/>
        <w:tabs>
          <w:tab w:val="left" w:pos="8647"/>
        </w:tabs>
        <w:spacing w:after="0" w:line="240" w:lineRule="auto"/>
        <w:ind w:left="435" w:firstLine="709"/>
        <w:jc w:val="both"/>
        <w:rPr>
          <w:rFonts w:ascii="Times New Roman" w:hAnsi="Times New Roman"/>
          <w:sz w:val="24"/>
          <w:szCs w:val="24"/>
          <w:lang w:val="fr-FR"/>
        </w:rPr>
      </w:pPr>
      <w:r w:rsidRPr="006557B3">
        <w:rPr>
          <w:rFonts w:ascii="Times New Roman" w:hAnsi="Times New Roman"/>
          <w:sz w:val="24"/>
          <w:szCs w:val="24"/>
          <w:lang w:val="fr-FR"/>
        </w:rPr>
        <w:t>b)</w:t>
      </w:r>
      <w:r w:rsidR="009B57D7" w:rsidRPr="006557B3">
        <w:rPr>
          <w:rFonts w:ascii="Times New Roman" w:hAnsi="Times New Roman"/>
          <w:sz w:val="24"/>
          <w:szCs w:val="24"/>
          <w:lang w:val="fr-FR"/>
        </w:rPr>
        <w:t xml:space="preserve"> </w:t>
      </w:r>
      <w:r w:rsidRPr="006557B3">
        <w:rPr>
          <w:rFonts w:ascii="Times New Roman" w:hAnsi="Times New Roman"/>
          <w:sz w:val="24"/>
          <w:szCs w:val="24"/>
          <w:lang w:val="fr-FR"/>
        </w:rPr>
        <w:t>i</w:t>
      </w:r>
      <w:r w:rsidR="009B57D7" w:rsidRPr="006557B3">
        <w:rPr>
          <w:rFonts w:ascii="Times New Roman" w:hAnsi="Times New Roman"/>
          <w:sz w:val="24"/>
          <w:szCs w:val="24"/>
          <w:lang w:val="fr-FR"/>
        </w:rPr>
        <w:t>nterneta baneru izveide un izvietošana</w:t>
      </w:r>
      <w:r w:rsidRPr="006557B3">
        <w:rPr>
          <w:rFonts w:ascii="Times New Roman" w:hAnsi="Times New Roman"/>
          <w:sz w:val="24"/>
          <w:szCs w:val="24"/>
          <w:lang w:val="lv-LV"/>
        </w:rPr>
        <w:t>– aptuveni</w:t>
      </w:r>
      <w:r w:rsidR="009B57D7" w:rsidRPr="006557B3">
        <w:rPr>
          <w:rFonts w:ascii="Times New Roman" w:hAnsi="Times New Roman"/>
          <w:sz w:val="24"/>
          <w:szCs w:val="24"/>
          <w:lang w:val="fr-FR"/>
        </w:rPr>
        <w:t xml:space="preserve"> 6000 </w:t>
      </w:r>
      <w:r w:rsidRPr="006557B3">
        <w:rPr>
          <w:rFonts w:ascii="Times New Roman" w:hAnsi="Times New Roman"/>
          <w:i/>
          <w:sz w:val="24"/>
          <w:szCs w:val="24"/>
          <w:lang w:val="lv-LV"/>
        </w:rPr>
        <w:t>euro</w:t>
      </w:r>
      <w:r w:rsidRPr="006557B3">
        <w:rPr>
          <w:rFonts w:ascii="Times New Roman" w:hAnsi="Times New Roman"/>
          <w:sz w:val="24"/>
          <w:szCs w:val="24"/>
          <w:lang w:val="lv-LV"/>
        </w:rPr>
        <w:t>;</w:t>
      </w:r>
      <w:r w:rsidR="009B57D7" w:rsidRPr="006557B3">
        <w:rPr>
          <w:rFonts w:ascii="Times New Roman" w:hAnsi="Times New Roman"/>
          <w:sz w:val="24"/>
          <w:szCs w:val="24"/>
          <w:lang w:val="fr-FR"/>
        </w:rPr>
        <w:t xml:space="preserve"> </w:t>
      </w:r>
    </w:p>
    <w:p w14:paraId="204FB461" w14:textId="07E88305" w:rsidR="009B57D7" w:rsidRPr="006557B3" w:rsidRDefault="00706E39" w:rsidP="00C05C12">
      <w:pPr>
        <w:pStyle w:val="Sarakstarindkopa"/>
        <w:tabs>
          <w:tab w:val="left" w:pos="8647"/>
        </w:tabs>
        <w:spacing w:after="0" w:line="240" w:lineRule="auto"/>
        <w:ind w:left="435" w:firstLine="709"/>
        <w:jc w:val="both"/>
        <w:rPr>
          <w:rFonts w:ascii="Times New Roman" w:hAnsi="Times New Roman"/>
          <w:sz w:val="24"/>
          <w:szCs w:val="24"/>
          <w:lang w:val="fr-FR"/>
        </w:rPr>
      </w:pPr>
      <w:r w:rsidRPr="006557B3">
        <w:rPr>
          <w:rFonts w:ascii="Times New Roman" w:hAnsi="Times New Roman"/>
          <w:sz w:val="24"/>
          <w:szCs w:val="24"/>
          <w:lang w:val="fr-FR"/>
        </w:rPr>
        <w:t>c)</w:t>
      </w:r>
      <w:r w:rsidR="009B57D7" w:rsidRPr="006557B3">
        <w:rPr>
          <w:rFonts w:ascii="Times New Roman" w:hAnsi="Times New Roman"/>
          <w:sz w:val="24"/>
          <w:szCs w:val="24"/>
          <w:lang w:val="fr-FR"/>
        </w:rPr>
        <w:t> </w:t>
      </w:r>
      <w:r w:rsidRPr="006557B3">
        <w:rPr>
          <w:rFonts w:ascii="Times New Roman" w:hAnsi="Times New Roman"/>
          <w:sz w:val="24"/>
          <w:szCs w:val="24"/>
          <w:lang w:val="fr-FR"/>
        </w:rPr>
        <w:t>k</w:t>
      </w:r>
      <w:r w:rsidR="009B57D7" w:rsidRPr="006557B3">
        <w:rPr>
          <w:rFonts w:ascii="Times New Roman" w:hAnsi="Times New Roman"/>
          <w:sz w:val="24"/>
          <w:szCs w:val="24"/>
          <w:lang w:val="fr-FR"/>
        </w:rPr>
        <w:t xml:space="preserve">ampaņas pasākumi un citas </w:t>
      </w:r>
      <w:r w:rsidRPr="006557B3">
        <w:rPr>
          <w:rFonts w:ascii="Times New Roman" w:hAnsi="Times New Roman"/>
          <w:sz w:val="24"/>
          <w:szCs w:val="24"/>
          <w:lang w:val="fr-FR"/>
        </w:rPr>
        <w:t>darbības</w:t>
      </w:r>
      <w:r w:rsidR="009B57D7" w:rsidRPr="006557B3">
        <w:rPr>
          <w:rFonts w:ascii="Times New Roman" w:hAnsi="Times New Roman"/>
          <w:sz w:val="24"/>
          <w:szCs w:val="24"/>
          <w:lang w:val="fr-FR"/>
        </w:rPr>
        <w:t xml:space="preserve"> </w:t>
      </w:r>
      <w:r w:rsidRPr="006557B3">
        <w:rPr>
          <w:rFonts w:ascii="Times New Roman" w:hAnsi="Times New Roman"/>
          <w:sz w:val="24"/>
          <w:szCs w:val="24"/>
          <w:lang w:val="lv-LV"/>
        </w:rPr>
        <w:t>– aptuveni</w:t>
      </w:r>
      <w:r w:rsidR="009B57D7" w:rsidRPr="006557B3">
        <w:rPr>
          <w:rFonts w:ascii="Times New Roman" w:hAnsi="Times New Roman"/>
          <w:sz w:val="24"/>
          <w:szCs w:val="24"/>
          <w:lang w:val="fr-FR"/>
        </w:rPr>
        <w:t xml:space="preserve"> 4000 </w:t>
      </w:r>
      <w:r w:rsidRPr="006557B3">
        <w:rPr>
          <w:rFonts w:ascii="Times New Roman" w:hAnsi="Times New Roman"/>
          <w:i/>
          <w:sz w:val="24"/>
          <w:szCs w:val="24"/>
          <w:lang w:val="lv-LV"/>
        </w:rPr>
        <w:t>euro.</w:t>
      </w:r>
      <w:r w:rsidR="009B57D7" w:rsidRPr="006557B3">
        <w:rPr>
          <w:rFonts w:ascii="Times New Roman" w:hAnsi="Times New Roman"/>
          <w:sz w:val="24"/>
          <w:szCs w:val="24"/>
          <w:lang w:val="fr-FR"/>
        </w:rPr>
        <w:t xml:space="preserve"> </w:t>
      </w:r>
    </w:p>
    <w:p w14:paraId="53AA4191" w14:textId="5B766213" w:rsidR="00773642" w:rsidRPr="006557B3" w:rsidRDefault="00773642" w:rsidP="000A4CAC">
      <w:pPr>
        <w:spacing w:after="0" w:line="240" w:lineRule="auto"/>
        <w:ind w:firstLine="709"/>
        <w:jc w:val="both"/>
        <w:rPr>
          <w:rFonts w:ascii="Times New Roman" w:hAnsi="Times New Roman" w:cs="Times New Roman"/>
          <w:color w:val="000000" w:themeColor="text1"/>
          <w:sz w:val="24"/>
          <w:szCs w:val="24"/>
        </w:rPr>
      </w:pPr>
      <w:r w:rsidRPr="006557B3">
        <w:rPr>
          <w:rFonts w:ascii="Times New Roman" w:hAnsi="Times New Roman" w:cs="Times New Roman"/>
          <w:color w:val="000000" w:themeColor="text1"/>
          <w:sz w:val="24"/>
          <w:szCs w:val="24"/>
        </w:rPr>
        <w:t xml:space="preserve">Attiecībā uz papildu finansējuma pieprasījumu 70 000,00 </w:t>
      </w:r>
      <w:r w:rsidRPr="006557B3">
        <w:rPr>
          <w:rFonts w:ascii="Times New Roman" w:hAnsi="Times New Roman" w:cs="Times New Roman"/>
          <w:i/>
          <w:color w:val="000000" w:themeColor="text1"/>
          <w:sz w:val="24"/>
          <w:szCs w:val="24"/>
        </w:rPr>
        <w:t>euro</w:t>
      </w:r>
      <w:r w:rsidRPr="006557B3">
        <w:rPr>
          <w:rFonts w:ascii="Times New Roman" w:hAnsi="Times New Roman" w:cs="Times New Roman"/>
          <w:color w:val="000000" w:themeColor="text1"/>
          <w:sz w:val="24"/>
          <w:szCs w:val="24"/>
        </w:rPr>
        <w:t xml:space="preserve"> apmērā 201</w:t>
      </w:r>
      <w:r w:rsidR="00E35574" w:rsidRPr="006557B3">
        <w:rPr>
          <w:rFonts w:ascii="Times New Roman" w:hAnsi="Times New Roman" w:cs="Times New Roman"/>
          <w:color w:val="000000" w:themeColor="text1"/>
          <w:sz w:val="24"/>
          <w:szCs w:val="24"/>
        </w:rPr>
        <w:t>8</w:t>
      </w:r>
      <w:r w:rsidRPr="006557B3">
        <w:rPr>
          <w:rFonts w:ascii="Times New Roman" w:hAnsi="Times New Roman" w:cs="Times New Roman"/>
          <w:color w:val="000000" w:themeColor="text1"/>
          <w:sz w:val="24"/>
          <w:szCs w:val="24"/>
        </w:rPr>
        <w:t>.-20</w:t>
      </w:r>
      <w:r w:rsidR="00E35574" w:rsidRPr="006557B3">
        <w:rPr>
          <w:rFonts w:ascii="Times New Roman" w:hAnsi="Times New Roman" w:cs="Times New Roman"/>
          <w:color w:val="000000" w:themeColor="text1"/>
          <w:sz w:val="24"/>
          <w:szCs w:val="24"/>
        </w:rPr>
        <w:t>20</w:t>
      </w:r>
      <w:r w:rsidRPr="006557B3">
        <w:rPr>
          <w:rFonts w:ascii="Times New Roman" w:hAnsi="Times New Roman" w:cs="Times New Roman"/>
          <w:color w:val="000000" w:themeColor="text1"/>
          <w:sz w:val="24"/>
          <w:szCs w:val="24"/>
        </w:rPr>
        <w:t>.</w:t>
      </w:r>
      <w:r w:rsidR="003403AE">
        <w:rPr>
          <w:rFonts w:ascii="Times New Roman" w:hAnsi="Times New Roman" w:cs="Times New Roman"/>
          <w:color w:val="000000" w:themeColor="text1"/>
          <w:sz w:val="24"/>
          <w:szCs w:val="24"/>
        </w:rPr>
        <w:t xml:space="preserve"> </w:t>
      </w:r>
      <w:r w:rsidRPr="006557B3">
        <w:rPr>
          <w:rFonts w:ascii="Times New Roman" w:hAnsi="Times New Roman" w:cs="Times New Roman"/>
          <w:color w:val="000000" w:themeColor="text1"/>
          <w:sz w:val="24"/>
          <w:szCs w:val="24"/>
        </w:rPr>
        <w:t xml:space="preserve">gadam paskaidrojam, ka šajā pieprasījuma aprēķinā nav ietvertas darbinieku algas, bet tas attiecas uz konkrētajiem informēšanas pasākumiem, kas minēti Informatīvajā ziņojumā (t.sk. ietverot ārpakalpojumus, piemēram, par reklāmu veidošanu, vizuālo materiālu izstrādi un drukāšanu, par reklāmu izplatīšanu televīzijā, interneta portālos utt.). </w:t>
      </w:r>
    </w:p>
    <w:p w14:paraId="1A17E6B5" w14:textId="457F9B28" w:rsidR="00773642" w:rsidRPr="006557B3" w:rsidRDefault="00773642" w:rsidP="000A4CAC">
      <w:pPr>
        <w:spacing w:after="0" w:line="240" w:lineRule="auto"/>
        <w:ind w:firstLine="709"/>
        <w:jc w:val="both"/>
        <w:rPr>
          <w:rFonts w:ascii="Times New Roman" w:hAnsi="Times New Roman" w:cs="Times New Roman"/>
          <w:color w:val="000000" w:themeColor="text1"/>
          <w:sz w:val="24"/>
          <w:szCs w:val="24"/>
        </w:rPr>
      </w:pPr>
      <w:r w:rsidRPr="006557B3">
        <w:rPr>
          <w:rFonts w:ascii="Times New Roman" w:hAnsi="Times New Roman" w:cs="Times New Roman"/>
          <w:color w:val="000000" w:themeColor="text1"/>
          <w:sz w:val="24"/>
          <w:szCs w:val="24"/>
          <w:lang w:eastAsia="lv-LV"/>
        </w:rPr>
        <w:t>PTAC plāno savu sabiedrības informēšanas pasākumu organizēt kā vienu kampaņveidīgu pasākumu, kas būs plānots 201</w:t>
      </w:r>
      <w:r w:rsidR="008969A7" w:rsidRPr="006557B3">
        <w:rPr>
          <w:rFonts w:ascii="Times New Roman" w:hAnsi="Times New Roman" w:cs="Times New Roman"/>
          <w:color w:val="000000" w:themeColor="text1"/>
          <w:sz w:val="24"/>
          <w:szCs w:val="24"/>
          <w:lang w:eastAsia="lv-LV"/>
        </w:rPr>
        <w:t>9</w:t>
      </w:r>
      <w:r w:rsidRPr="006557B3">
        <w:rPr>
          <w:rFonts w:ascii="Times New Roman" w:hAnsi="Times New Roman" w:cs="Times New Roman"/>
          <w:color w:val="000000" w:themeColor="text1"/>
          <w:sz w:val="24"/>
          <w:szCs w:val="24"/>
          <w:lang w:eastAsia="lv-LV"/>
        </w:rPr>
        <w:t>.</w:t>
      </w:r>
      <w:r w:rsidR="001F5D54">
        <w:rPr>
          <w:rFonts w:ascii="Times New Roman" w:hAnsi="Times New Roman" w:cs="Times New Roman"/>
          <w:color w:val="000000" w:themeColor="text1"/>
          <w:sz w:val="24"/>
          <w:szCs w:val="24"/>
          <w:lang w:eastAsia="lv-LV"/>
        </w:rPr>
        <w:t xml:space="preserve"> </w:t>
      </w:r>
      <w:r w:rsidRPr="006557B3">
        <w:rPr>
          <w:rFonts w:ascii="Times New Roman" w:hAnsi="Times New Roman" w:cs="Times New Roman"/>
          <w:color w:val="000000" w:themeColor="text1"/>
          <w:sz w:val="24"/>
          <w:szCs w:val="24"/>
          <w:lang w:eastAsia="lv-LV"/>
        </w:rPr>
        <w:t>gadā, 201</w:t>
      </w:r>
      <w:r w:rsidR="008969A7" w:rsidRPr="006557B3">
        <w:rPr>
          <w:rFonts w:ascii="Times New Roman" w:hAnsi="Times New Roman" w:cs="Times New Roman"/>
          <w:color w:val="000000" w:themeColor="text1"/>
          <w:sz w:val="24"/>
          <w:szCs w:val="24"/>
          <w:lang w:eastAsia="lv-LV"/>
        </w:rPr>
        <w:t>8</w:t>
      </w:r>
      <w:r w:rsidRPr="006557B3">
        <w:rPr>
          <w:rFonts w:ascii="Times New Roman" w:hAnsi="Times New Roman" w:cs="Times New Roman"/>
          <w:color w:val="000000" w:themeColor="text1"/>
          <w:sz w:val="24"/>
          <w:szCs w:val="24"/>
          <w:lang w:eastAsia="lv-LV"/>
        </w:rPr>
        <w:t>.</w:t>
      </w:r>
      <w:r w:rsidR="001F5D54">
        <w:rPr>
          <w:rFonts w:ascii="Times New Roman" w:hAnsi="Times New Roman" w:cs="Times New Roman"/>
          <w:color w:val="000000" w:themeColor="text1"/>
          <w:sz w:val="24"/>
          <w:szCs w:val="24"/>
          <w:lang w:eastAsia="lv-LV"/>
        </w:rPr>
        <w:t xml:space="preserve"> </w:t>
      </w:r>
      <w:r w:rsidRPr="006557B3">
        <w:rPr>
          <w:rFonts w:ascii="Times New Roman" w:hAnsi="Times New Roman" w:cs="Times New Roman"/>
          <w:color w:val="000000" w:themeColor="text1"/>
          <w:sz w:val="24"/>
          <w:szCs w:val="24"/>
          <w:lang w:eastAsia="lv-LV"/>
        </w:rPr>
        <w:t xml:space="preserve">gadā paredzot sagatavošanās darbus (reklāmas materiālu izstrādi). </w:t>
      </w:r>
      <w:r w:rsidRPr="006557B3">
        <w:rPr>
          <w:rFonts w:ascii="Times New Roman" w:hAnsi="Times New Roman" w:cs="Times New Roman"/>
          <w:color w:val="000000" w:themeColor="text1"/>
          <w:sz w:val="24"/>
          <w:szCs w:val="24"/>
        </w:rPr>
        <w:t>Vairāku gadu pieredzē ir gūti apstiprinājumi, ka izglītošanas pasākumus lietderīgāk ir veikt viena gada laikā, tāpēc  20</w:t>
      </w:r>
      <w:r w:rsidR="008969A7" w:rsidRPr="006557B3">
        <w:rPr>
          <w:rFonts w:ascii="Times New Roman" w:hAnsi="Times New Roman" w:cs="Times New Roman"/>
          <w:color w:val="000000" w:themeColor="text1"/>
          <w:sz w:val="24"/>
          <w:szCs w:val="24"/>
        </w:rPr>
        <w:t>20</w:t>
      </w:r>
      <w:r w:rsidRPr="006557B3">
        <w:rPr>
          <w:rFonts w:ascii="Times New Roman" w:hAnsi="Times New Roman" w:cs="Times New Roman"/>
          <w:color w:val="000000" w:themeColor="text1"/>
          <w:sz w:val="24"/>
          <w:szCs w:val="24"/>
        </w:rPr>
        <w:t>.</w:t>
      </w:r>
      <w:r w:rsidR="001F5D54">
        <w:rPr>
          <w:rFonts w:ascii="Times New Roman" w:hAnsi="Times New Roman" w:cs="Times New Roman"/>
          <w:color w:val="000000" w:themeColor="text1"/>
          <w:sz w:val="24"/>
          <w:szCs w:val="24"/>
        </w:rPr>
        <w:t xml:space="preserve"> </w:t>
      </w:r>
      <w:r w:rsidRPr="006557B3">
        <w:rPr>
          <w:rFonts w:ascii="Times New Roman" w:hAnsi="Times New Roman" w:cs="Times New Roman"/>
          <w:color w:val="000000" w:themeColor="text1"/>
          <w:sz w:val="24"/>
          <w:szCs w:val="24"/>
        </w:rPr>
        <w:t xml:space="preserve">gadā </w:t>
      </w:r>
      <w:r w:rsidRPr="006557B3">
        <w:rPr>
          <w:rFonts w:ascii="Times New Roman" w:hAnsi="Times New Roman" w:cs="Times New Roman"/>
          <w:color w:val="000000" w:themeColor="text1"/>
          <w:sz w:val="24"/>
          <w:szCs w:val="24"/>
          <w:lang w:eastAsia="lv-LV"/>
        </w:rPr>
        <w:t>PTAC</w:t>
      </w:r>
      <w:r w:rsidRPr="006557B3">
        <w:rPr>
          <w:rFonts w:ascii="Times New Roman" w:hAnsi="Times New Roman" w:cs="Times New Roman"/>
          <w:color w:val="000000" w:themeColor="text1"/>
          <w:sz w:val="24"/>
          <w:szCs w:val="24"/>
        </w:rPr>
        <w:t xml:space="preserve"> neplāno veikt sabiedrības izglītošanas pasākumus.</w:t>
      </w:r>
    </w:p>
    <w:p w14:paraId="21FA72FD" w14:textId="77777777" w:rsidR="00773642" w:rsidRPr="006557B3" w:rsidRDefault="00773642" w:rsidP="00773642">
      <w:pPr>
        <w:pStyle w:val="Sarakstarindkopa"/>
        <w:tabs>
          <w:tab w:val="left" w:pos="8647"/>
        </w:tabs>
        <w:spacing w:after="0" w:line="240" w:lineRule="auto"/>
        <w:ind w:left="0" w:firstLine="709"/>
        <w:jc w:val="both"/>
        <w:rPr>
          <w:rFonts w:ascii="Times New Roman" w:hAnsi="Times New Roman"/>
          <w:sz w:val="24"/>
          <w:szCs w:val="24"/>
          <w:lang w:val="fr-FR"/>
        </w:rPr>
      </w:pPr>
    </w:p>
    <w:p w14:paraId="0208972C" w14:textId="3C83E6CA" w:rsidR="0030545E" w:rsidRPr="006557B3" w:rsidRDefault="00872BB7" w:rsidP="00C05C12">
      <w:pPr>
        <w:keepNext/>
        <w:tabs>
          <w:tab w:val="left" w:pos="8647"/>
        </w:tabs>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t>6.5.</w:t>
      </w:r>
      <w:r w:rsidR="00974A48" w:rsidRPr="006557B3">
        <w:rPr>
          <w:rFonts w:ascii="Times New Roman" w:hAnsi="Times New Roman" w:cs="Times New Roman"/>
          <w:b/>
          <w:sz w:val="24"/>
          <w:szCs w:val="24"/>
          <w:lang w:val="lv-LV"/>
        </w:rPr>
        <w:t xml:space="preserve"> </w:t>
      </w:r>
      <w:r w:rsidR="000277D9" w:rsidRPr="006557B3">
        <w:rPr>
          <w:rFonts w:ascii="Times New Roman" w:hAnsi="Times New Roman" w:cs="Times New Roman"/>
          <w:b/>
          <w:sz w:val="24"/>
          <w:szCs w:val="24"/>
          <w:lang w:val="lv-LV"/>
        </w:rPr>
        <w:t>P</w:t>
      </w:r>
      <w:r w:rsidR="00706E39" w:rsidRPr="006557B3">
        <w:rPr>
          <w:rFonts w:ascii="Times New Roman" w:hAnsi="Times New Roman" w:cs="Times New Roman"/>
          <w:b/>
          <w:sz w:val="24"/>
          <w:szCs w:val="24"/>
          <w:lang w:val="lv-LV"/>
        </w:rPr>
        <w:t>VD</w:t>
      </w:r>
      <w:r w:rsidR="00CC7583" w:rsidRPr="006557B3">
        <w:rPr>
          <w:rFonts w:ascii="Times New Roman" w:hAnsi="Times New Roman" w:cs="Times New Roman"/>
          <w:b/>
          <w:sz w:val="24"/>
          <w:szCs w:val="24"/>
          <w:lang w:val="lv-LV"/>
        </w:rPr>
        <w:t xml:space="preserve"> darbs uztura bagātinātāju jomā 2010.–2015. gadā</w:t>
      </w:r>
      <w:r w:rsidR="00A3068B" w:rsidRPr="006557B3">
        <w:rPr>
          <w:rFonts w:ascii="Times New Roman" w:hAnsi="Times New Roman" w:cs="Times New Roman"/>
          <w:b/>
          <w:sz w:val="24"/>
          <w:szCs w:val="24"/>
          <w:lang w:val="lv-LV"/>
        </w:rPr>
        <w:t xml:space="preserve"> un turpmākajos </w:t>
      </w:r>
      <w:r w:rsidR="00DB1D9B" w:rsidRPr="006557B3">
        <w:rPr>
          <w:rFonts w:ascii="Times New Roman" w:hAnsi="Times New Roman" w:cs="Times New Roman"/>
          <w:b/>
          <w:sz w:val="24"/>
          <w:szCs w:val="24"/>
          <w:lang w:val="lv-LV"/>
        </w:rPr>
        <w:t>trīs</w:t>
      </w:r>
      <w:r w:rsidR="00A3068B" w:rsidRPr="006557B3">
        <w:rPr>
          <w:rFonts w:ascii="Times New Roman" w:hAnsi="Times New Roman" w:cs="Times New Roman"/>
          <w:b/>
          <w:sz w:val="24"/>
          <w:szCs w:val="24"/>
          <w:lang w:val="lv-LV"/>
        </w:rPr>
        <w:t xml:space="preserve"> gados plānotie pasākumi</w:t>
      </w:r>
      <w:r w:rsidR="00CC7583" w:rsidRPr="006557B3">
        <w:rPr>
          <w:rFonts w:ascii="Times New Roman" w:hAnsi="Times New Roman" w:cs="Times New Roman"/>
          <w:b/>
          <w:sz w:val="24"/>
          <w:szCs w:val="24"/>
          <w:lang w:val="lv-LV"/>
        </w:rPr>
        <w:t xml:space="preserve"> </w:t>
      </w:r>
    </w:p>
    <w:p w14:paraId="1E9C2DA8" w14:textId="5C60D1C0" w:rsidR="000F38C0" w:rsidRPr="006557B3" w:rsidRDefault="00884B29" w:rsidP="00C05C12">
      <w:pPr>
        <w:keepNext/>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PVD</w:t>
      </w:r>
      <w:r w:rsidR="00E67AE1" w:rsidRPr="006557B3">
        <w:rPr>
          <w:rFonts w:ascii="Times New Roman" w:hAnsi="Times New Roman" w:cs="Times New Roman"/>
          <w:sz w:val="24"/>
          <w:szCs w:val="24"/>
          <w:lang w:val="lv-LV"/>
        </w:rPr>
        <w:t xml:space="preserve"> ir apkopojis informāciju par uztura bagātinātāju uzraudzību un kontroli</w:t>
      </w:r>
      <w:r w:rsidR="005734BB" w:rsidRPr="006557B3">
        <w:rPr>
          <w:rFonts w:ascii="Times New Roman" w:hAnsi="Times New Roman" w:cs="Times New Roman"/>
          <w:sz w:val="24"/>
          <w:szCs w:val="24"/>
          <w:lang w:val="lv-LV"/>
        </w:rPr>
        <w:t xml:space="preserve"> </w:t>
      </w:r>
      <w:r w:rsidR="00DF4A9D" w:rsidRPr="006557B3">
        <w:rPr>
          <w:rFonts w:ascii="Times New Roman" w:hAnsi="Times New Roman" w:cs="Times New Roman"/>
          <w:sz w:val="24"/>
          <w:szCs w:val="24"/>
          <w:lang w:val="lv-LV"/>
        </w:rPr>
        <w:t xml:space="preserve">par </w:t>
      </w:r>
      <w:r w:rsidR="0030545E" w:rsidRPr="006557B3">
        <w:rPr>
          <w:rFonts w:ascii="Times New Roman" w:hAnsi="Times New Roman" w:cs="Times New Roman"/>
          <w:sz w:val="24"/>
          <w:szCs w:val="24"/>
          <w:lang w:val="lv-LV"/>
        </w:rPr>
        <w:t xml:space="preserve">laikposmu no 2010. </w:t>
      </w:r>
      <w:r w:rsidR="00706E39" w:rsidRPr="006557B3">
        <w:rPr>
          <w:rFonts w:ascii="Times New Roman" w:hAnsi="Times New Roman" w:cs="Times New Roman"/>
          <w:sz w:val="24"/>
          <w:szCs w:val="24"/>
          <w:lang w:val="lv-LV"/>
        </w:rPr>
        <w:t>līdz</w:t>
      </w:r>
      <w:r w:rsidR="0030545E" w:rsidRPr="006557B3">
        <w:rPr>
          <w:rFonts w:ascii="Times New Roman" w:hAnsi="Times New Roman" w:cs="Times New Roman"/>
          <w:sz w:val="24"/>
          <w:szCs w:val="24"/>
          <w:lang w:val="lv-LV"/>
        </w:rPr>
        <w:t xml:space="preserve"> 2015.</w:t>
      </w:r>
      <w:r w:rsidR="00970CD1">
        <w:rPr>
          <w:rFonts w:ascii="Times New Roman" w:hAnsi="Times New Roman" w:cs="Times New Roman"/>
          <w:sz w:val="24"/>
          <w:szCs w:val="24"/>
          <w:lang w:val="lv-LV"/>
        </w:rPr>
        <w:t xml:space="preserve"> </w:t>
      </w:r>
      <w:r w:rsidR="0030545E" w:rsidRPr="006557B3">
        <w:rPr>
          <w:rFonts w:ascii="Times New Roman" w:hAnsi="Times New Roman" w:cs="Times New Roman"/>
          <w:sz w:val="24"/>
          <w:szCs w:val="24"/>
          <w:lang w:val="lv-LV"/>
        </w:rPr>
        <w:t>gadam</w:t>
      </w:r>
      <w:r w:rsidR="00706E39" w:rsidRPr="006557B3">
        <w:rPr>
          <w:rFonts w:ascii="Times New Roman" w:hAnsi="Times New Roman" w:cs="Times New Roman"/>
          <w:sz w:val="24"/>
          <w:szCs w:val="24"/>
          <w:lang w:val="lv-LV"/>
        </w:rPr>
        <w:t>, un šis</w:t>
      </w:r>
      <w:r w:rsidR="00DF4A9D" w:rsidRPr="006557B3">
        <w:rPr>
          <w:rFonts w:ascii="Times New Roman" w:hAnsi="Times New Roman" w:cs="Times New Roman"/>
          <w:sz w:val="24"/>
          <w:szCs w:val="24"/>
          <w:lang w:val="lv-LV"/>
        </w:rPr>
        <w:t xml:space="preserve"> </w:t>
      </w:r>
      <w:r w:rsidR="00706E39" w:rsidRPr="006557B3">
        <w:rPr>
          <w:rFonts w:ascii="Times New Roman" w:hAnsi="Times New Roman" w:cs="Times New Roman"/>
          <w:sz w:val="24"/>
          <w:szCs w:val="24"/>
          <w:lang w:val="lv-LV"/>
        </w:rPr>
        <w:t>i</w:t>
      </w:r>
      <w:r w:rsidR="00E67AE1" w:rsidRPr="006557B3">
        <w:rPr>
          <w:rFonts w:ascii="Times New Roman" w:hAnsi="Times New Roman" w:cs="Times New Roman"/>
          <w:sz w:val="24"/>
          <w:szCs w:val="24"/>
          <w:lang w:val="lv-LV"/>
        </w:rPr>
        <w:t>nform</w:t>
      </w:r>
      <w:r w:rsidR="00706E39" w:rsidRPr="006557B3">
        <w:rPr>
          <w:rFonts w:ascii="Times New Roman" w:hAnsi="Times New Roman" w:cs="Times New Roman"/>
          <w:sz w:val="24"/>
          <w:szCs w:val="24"/>
          <w:lang w:val="lv-LV"/>
        </w:rPr>
        <w:t>atīvais</w:t>
      </w:r>
      <w:r w:rsidR="00E67AE1" w:rsidRPr="006557B3">
        <w:rPr>
          <w:rFonts w:ascii="Times New Roman" w:hAnsi="Times New Roman" w:cs="Times New Roman"/>
          <w:sz w:val="24"/>
          <w:szCs w:val="24"/>
          <w:lang w:val="lv-LV"/>
        </w:rPr>
        <w:t xml:space="preserve"> </w:t>
      </w:r>
      <w:r w:rsidR="007042DE" w:rsidRPr="006557B3">
        <w:rPr>
          <w:rFonts w:ascii="Times New Roman" w:hAnsi="Times New Roman" w:cs="Times New Roman"/>
          <w:sz w:val="24"/>
          <w:szCs w:val="24"/>
          <w:lang w:val="lv-LV"/>
        </w:rPr>
        <w:t>materiāls</w:t>
      </w:r>
      <w:r w:rsidR="00E67AE1" w:rsidRPr="006557B3">
        <w:rPr>
          <w:rFonts w:ascii="Times New Roman" w:hAnsi="Times New Roman" w:cs="Times New Roman"/>
          <w:sz w:val="24"/>
          <w:szCs w:val="24"/>
          <w:lang w:val="lv-LV"/>
        </w:rPr>
        <w:t xml:space="preserve"> satur datus</w:t>
      </w:r>
      <w:r w:rsidR="000F38C0" w:rsidRPr="006557B3">
        <w:rPr>
          <w:rFonts w:ascii="Times New Roman" w:hAnsi="Times New Roman" w:cs="Times New Roman"/>
          <w:sz w:val="24"/>
          <w:szCs w:val="24"/>
          <w:lang w:val="lv-LV"/>
        </w:rPr>
        <w:t xml:space="preserve"> par:</w:t>
      </w:r>
    </w:p>
    <w:p w14:paraId="68904220" w14:textId="5E90F4CB" w:rsidR="00DE0950" w:rsidRPr="006557B3" w:rsidRDefault="00DE0950" w:rsidP="003A1F06">
      <w:pPr>
        <w:pStyle w:val="Sarakstarindkopa"/>
        <w:numPr>
          <w:ilvl w:val="1"/>
          <w:numId w:val="33"/>
        </w:numPr>
        <w:tabs>
          <w:tab w:val="left" w:pos="8647"/>
        </w:tabs>
        <w:spacing w:after="0" w:line="240" w:lineRule="auto"/>
        <w:ind w:left="1434" w:hanging="357"/>
        <w:jc w:val="both"/>
        <w:rPr>
          <w:rFonts w:ascii="Times New Roman" w:hAnsi="Times New Roman"/>
          <w:sz w:val="24"/>
          <w:szCs w:val="24"/>
          <w:lang w:val="lv-LV"/>
        </w:rPr>
      </w:pPr>
      <w:r w:rsidRPr="006557B3">
        <w:rPr>
          <w:rFonts w:ascii="Times New Roman" w:hAnsi="Times New Roman"/>
          <w:sz w:val="24"/>
          <w:szCs w:val="24"/>
          <w:lang w:val="lv-LV"/>
        </w:rPr>
        <w:t xml:space="preserve">sabiedrības informēšanas </w:t>
      </w:r>
      <w:r w:rsidR="00706E39" w:rsidRPr="006557B3">
        <w:rPr>
          <w:rFonts w:ascii="Times New Roman" w:hAnsi="Times New Roman"/>
          <w:sz w:val="24"/>
          <w:szCs w:val="24"/>
          <w:lang w:val="lv-LV"/>
        </w:rPr>
        <w:t>pasākumiem</w:t>
      </w:r>
      <w:r w:rsidRPr="006557B3">
        <w:rPr>
          <w:rFonts w:ascii="Times New Roman" w:hAnsi="Times New Roman"/>
          <w:sz w:val="24"/>
          <w:szCs w:val="24"/>
          <w:lang w:val="lv-LV"/>
        </w:rPr>
        <w:t xml:space="preserve"> uztura bagātinātāju jomā;</w:t>
      </w:r>
    </w:p>
    <w:p w14:paraId="0145AA08" w14:textId="3754A26C" w:rsidR="000F38C0" w:rsidRPr="006557B3" w:rsidRDefault="00C26213" w:rsidP="003A1F06">
      <w:pPr>
        <w:pStyle w:val="Sarakstarindkopa"/>
        <w:numPr>
          <w:ilvl w:val="1"/>
          <w:numId w:val="33"/>
        </w:numPr>
        <w:tabs>
          <w:tab w:val="left" w:pos="8647"/>
        </w:tabs>
        <w:spacing w:after="0" w:line="240" w:lineRule="auto"/>
        <w:ind w:left="1434" w:hanging="357"/>
        <w:jc w:val="both"/>
        <w:rPr>
          <w:rFonts w:ascii="Times New Roman" w:hAnsi="Times New Roman"/>
          <w:sz w:val="24"/>
          <w:szCs w:val="24"/>
          <w:lang w:val="lv-LV"/>
        </w:rPr>
      </w:pPr>
      <w:r w:rsidRPr="006557B3">
        <w:rPr>
          <w:rFonts w:ascii="Times New Roman" w:hAnsi="Times New Roman"/>
          <w:sz w:val="24"/>
          <w:szCs w:val="24"/>
          <w:lang w:val="lv-LV"/>
        </w:rPr>
        <w:t xml:space="preserve">esošo situāciju </w:t>
      </w:r>
      <w:r w:rsidR="007A3E5D" w:rsidRPr="006557B3">
        <w:rPr>
          <w:rFonts w:ascii="Times New Roman" w:hAnsi="Times New Roman"/>
          <w:sz w:val="24"/>
          <w:szCs w:val="24"/>
          <w:lang w:val="lv-LV"/>
        </w:rPr>
        <w:t>uztura bagātinātāju</w:t>
      </w:r>
      <w:r w:rsidR="00E67AE1" w:rsidRPr="006557B3">
        <w:rPr>
          <w:rFonts w:ascii="Times New Roman" w:hAnsi="Times New Roman"/>
          <w:sz w:val="24"/>
          <w:szCs w:val="24"/>
          <w:lang w:val="lv-LV"/>
        </w:rPr>
        <w:t xml:space="preserve"> </w:t>
      </w:r>
      <w:r w:rsidR="000F38C0" w:rsidRPr="006557B3">
        <w:rPr>
          <w:rFonts w:ascii="Times New Roman" w:hAnsi="Times New Roman"/>
          <w:sz w:val="24"/>
          <w:szCs w:val="24"/>
          <w:lang w:val="lv-LV"/>
        </w:rPr>
        <w:t>paziņošan</w:t>
      </w:r>
      <w:r w:rsidRPr="006557B3">
        <w:rPr>
          <w:rFonts w:ascii="Times New Roman" w:hAnsi="Times New Roman"/>
          <w:sz w:val="24"/>
          <w:szCs w:val="24"/>
          <w:lang w:val="lv-LV"/>
        </w:rPr>
        <w:t>as</w:t>
      </w:r>
      <w:r w:rsidR="00CC353F" w:rsidRPr="006557B3">
        <w:rPr>
          <w:rFonts w:ascii="Times New Roman" w:hAnsi="Times New Roman"/>
          <w:sz w:val="24"/>
          <w:szCs w:val="24"/>
          <w:lang w:val="lv-LV"/>
        </w:rPr>
        <w:t>, novērtēšanas</w:t>
      </w:r>
      <w:r w:rsidRPr="006557B3">
        <w:rPr>
          <w:rFonts w:ascii="Times New Roman" w:hAnsi="Times New Roman"/>
          <w:sz w:val="24"/>
          <w:szCs w:val="24"/>
          <w:lang w:val="lv-LV"/>
        </w:rPr>
        <w:t xml:space="preserve"> </w:t>
      </w:r>
      <w:r w:rsidR="00E67AE1" w:rsidRPr="006557B3">
        <w:rPr>
          <w:rFonts w:ascii="Times New Roman" w:hAnsi="Times New Roman"/>
          <w:sz w:val="24"/>
          <w:szCs w:val="24"/>
          <w:lang w:val="lv-LV"/>
        </w:rPr>
        <w:t>un reģistrācij</w:t>
      </w:r>
      <w:r w:rsidRPr="006557B3">
        <w:rPr>
          <w:rFonts w:ascii="Times New Roman" w:hAnsi="Times New Roman"/>
          <w:sz w:val="24"/>
          <w:szCs w:val="24"/>
          <w:lang w:val="lv-LV"/>
        </w:rPr>
        <w:t>as jomā</w:t>
      </w:r>
      <w:r w:rsidR="000F38C0" w:rsidRPr="006557B3">
        <w:rPr>
          <w:rFonts w:ascii="Times New Roman" w:hAnsi="Times New Roman"/>
          <w:sz w:val="24"/>
          <w:szCs w:val="24"/>
          <w:lang w:val="lv-LV"/>
        </w:rPr>
        <w:t>;</w:t>
      </w:r>
    </w:p>
    <w:p w14:paraId="6898B7AA" w14:textId="44E7D92F" w:rsidR="00CC353F" w:rsidRPr="006557B3" w:rsidRDefault="00CC353F" w:rsidP="003A1F06">
      <w:pPr>
        <w:pStyle w:val="Sarakstarindkopa"/>
        <w:numPr>
          <w:ilvl w:val="1"/>
          <w:numId w:val="33"/>
        </w:numPr>
        <w:tabs>
          <w:tab w:val="left" w:pos="8647"/>
        </w:tabs>
        <w:spacing w:after="0" w:line="240" w:lineRule="auto"/>
        <w:ind w:left="1434" w:hanging="357"/>
        <w:jc w:val="both"/>
        <w:rPr>
          <w:rFonts w:ascii="Times New Roman" w:hAnsi="Times New Roman"/>
          <w:sz w:val="24"/>
          <w:szCs w:val="24"/>
          <w:lang w:val="lv-LV"/>
        </w:rPr>
      </w:pPr>
      <w:r w:rsidRPr="006557B3">
        <w:rPr>
          <w:rFonts w:ascii="Times New Roman" w:hAnsi="Times New Roman"/>
          <w:sz w:val="24"/>
          <w:szCs w:val="24"/>
          <w:lang w:val="lv-LV"/>
        </w:rPr>
        <w:t>uztura bagātinātāju iekšējo tirgus kontroli;</w:t>
      </w:r>
    </w:p>
    <w:p w14:paraId="45CAEEE4" w14:textId="77092755" w:rsidR="00FA2AE8" w:rsidRPr="006557B3" w:rsidRDefault="00E67AE1" w:rsidP="003A1F06">
      <w:pPr>
        <w:pStyle w:val="Sarakstarindkopa"/>
        <w:numPr>
          <w:ilvl w:val="1"/>
          <w:numId w:val="33"/>
        </w:numPr>
        <w:tabs>
          <w:tab w:val="left" w:pos="8647"/>
        </w:tabs>
        <w:spacing w:after="0" w:line="240" w:lineRule="auto"/>
        <w:ind w:left="1434" w:hanging="357"/>
        <w:jc w:val="both"/>
        <w:rPr>
          <w:rFonts w:ascii="Times New Roman" w:hAnsi="Times New Roman"/>
          <w:sz w:val="24"/>
          <w:szCs w:val="24"/>
          <w:lang w:val="lv-LV"/>
        </w:rPr>
      </w:pPr>
      <w:r w:rsidRPr="006557B3">
        <w:rPr>
          <w:rFonts w:ascii="Times New Roman" w:hAnsi="Times New Roman"/>
          <w:sz w:val="24"/>
          <w:szCs w:val="24"/>
          <w:lang w:val="lv-LV"/>
        </w:rPr>
        <w:t>pārtikas aprites uzņēmumu kontrol</w:t>
      </w:r>
      <w:r w:rsidR="00706E39" w:rsidRPr="006557B3">
        <w:rPr>
          <w:rFonts w:ascii="Times New Roman" w:hAnsi="Times New Roman"/>
          <w:sz w:val="24"/>
          <w:szCs w:val="24"/>
          <w:lang w:val="lv-LV"/>
        </w:rPr>
        <w:t>ēm</w:t>
      </w:r>
      <w:r w:rsidR="00CC353F" w:rsidRPr="006557B3">
        <w:rPr>
          <w:rFonts w:ascii="Times New Roman" w:hAnsi="Times New Roman"/>
          <w:sz w:val="24"/>
          <w:szCs w:val="24"/>
          <w:lang w:val="lv-LV"/>
        </w:rPr>
        <w:t xml:space="preserve"> </w:t>
      </w:r>
      <w:r w:rsidR="00FA2AE8" w:rsidRPr="006557B3">
        <w:rPr>
          <w:rFonts w:ascii="Times New Roman" w:hAnsi="Times New Roman"/>
          <w:sz w:val="24"/>
          <w:szCs w:val="24"/>
          <w:lang w:val="lv-LV"/>
        </w:rPr>
        <w:t>laik</w:t>
      </w:r>
      <w:r w:rsidR="00C45850" w:rsidRPr="006557B3">
        <w:rPr>
          <w:rFonts w:ascii="Times New Roman" w:hAnsi="Times New Roman"/>
          <w:sz w:val="24"/>
          <w:szCs w:val="24"/>
          <w:lang w:val="lv-LV"/>
        </w:rPr>
        <w:t xml:space="preserve">posmā </w:t>
      </w:r>
      <w:r w:rsidR="00FA2AE8" w:rsidRPr="006557B3">
        <w:rPr>
          <w:rFonts w:ascii="Times New Roman" w:hAnsi="Times New Roman"/>
          <w:sz w:val="24"/>
          <w:szCs w:val="24"/>
          <w:lang w:val="lv-LV"/>
        </w:rPr>
        <w:t xml:space="preserve">no 2010. </w:t>
      </w:r>
      <w:r w:rsidR="00706E39" w:rsidRPr="006557B3">
        <w:rPr>
          <w:rFonts w:ascii="Times New Roman" w:hAnsi="Times New Roman"/>
          <w:sz w:val="24"/>
          <w:szCs w:val="24"/>
          <w:lang w:val="lv-LV"/>
        </w:rPr>
        <w:t xml:space="preserve">līdz </w:t>
      </w:r>
      <w:r w:rsidR="00FA2AE8" w:rsidRPr="006557B3">
        <w:rPr>
          <w:rFonts w:ascii="Times New Roman" w:hAnsi="Times New Roman"/>
          <w:sz w:val="24"/>
          <w:szCs w:val="24"/>
          <w:lang w:val="lv-LV"/>
        </w:rPr>
        <w:t>2015.</w:t>
      </w:r>
      <w:r w:rsidR="00B007AC">
        <w:rPr>
          <w:rFonts w:ascii="Times New Roman" w:hAnsi="Times New Roman"/>
          <w:sz w:val="24"/>
          <w:szCs w:val="24"/>
          <w:lang w:val="lv-LV"/>
        </w:rPr>
        <w:t xml:space="preserve"> </w:t>
      </w:r>
      <w:r w:rsidR="00FA2AE8" w:rsidRPr="006557B3">
        <w:rPr>
          <w:rFonts w:ascii="Times New Roman" w:hAnsi="Times New Roman"/>
          <w:sz w:val="24"/>
          <w:szCs w:val="24"/>
          <w:lang w:val="lv-LV"/>
        </w:rPr>
        <w:t>gadam (vidēji);</w:t>
      </w:r>
    </w:p>
    <w:p w14:paraId="153B88FB" w14:textId="47FAA1F2" w:rsidR="000F38C0" w:rsidRPr="006557B3" w:rsidRDefault="007A3E5D" w:rsidP="003A1F06">
      <w:pPr>
        <w:pStyle w:val="Sarakstarindkopa"/>
        <w:numPr>
          <w:ilvl w:val="1"/>
          <w:numId w:val="33"/>
        </w:numPr>
        <w:tabs>
          <w:tab w:val="left" w:pos="8647"/>
        </w:tabs>
        <w:spacing w:after="0" w:line="240" w:lineRule="auto"/>
        <w:ind w:left="1434" w:hanging="357"/>
        <w:jc w:val="both"/>
        <w:rPr>
          <w:rFonts w:ascii="Times New Roman" w:hAnsi="Times New Roman"/>
          <w:sz w:val="24"/>
          <w:szCs w:val="24"/>
          <w:lang w:val="lv-LV"/>
        </w:rPr>
      </w:pPr>
      <w:r w:rsidRPr="006557B3">
        <w:rPr>
          <w:rFonts w:ascii="Times New Roman" w:hAnsi="Times New Roman"/>
          <w:sz w:val="24"/>
          <w:szCs w:val="24"/>
          <w:lang w:val="lv-LV"/>
        </w:rPr>
        <w:t>uztura bagātinātāju</w:t>
      </w:r>
      <w:r w:rsidR="00E67AE1" w:rsidRPr="006557B3">
        <w:rPr>
          <w:rFonts w:ascii="Times New Roman" w:hAnsi="Times New Roman"/>
          <w:sz w:val="24"/>
          <w:szCs w:val="24"/>
          <w:lang w:val="lv-LV"/>
        </w:rPr>
        <w:t xml:space="preserve"> </w:t>
      </w:r>
      <w:r w:rsidR="000F38C0" w:rsidRPr="006557B3">
        <w:rPr>
          <w:rFonts w:ascii="Times New Roman" w:hAnsi="Times New Roman"/>
          <w:sz w:val="24"/>
          <w:szCs w:val="24"/>
          <w:lang w:val="lv-LV"/>
        </w:rPr>
        <w:t xml:space="preserve">oficiālo </w:t>
      </w:r>
      <w:r w:rsidR="00E67AE1" w:rsidRPr="006557B3">
        <w:rPr>
          <w:rFonts w:ascii="Times New Roman" w:hAnsi="Times New Roman"/>
          <w:sz w:val="24"/>
          <w:szCs w:val="24"/>
          <w:lang w:val="lv-LV"/>
        </w:rPr>
        <w:t>kontroli uz ārējās E</w:t>
      </w:r>
      <w:r w:rsidR="0075364F" w:rsidRPr="006557B3">
        <w:rPr>
          <w:rFonts w:ascii="Times New Roman" w:hAnsi="Times New Roman"/>
          <w:sz w:val="24"/>
          <w:szCs w:val="24"/>
          <w:lang w:val="lv-LV"/>
        </w:rPr>
        <w:t xml:space="preserve">iropas </w:t>
      </w:r>
      <w:r w:rsidR="00E67AE1" w:rsidRPr="006557B3">
        <w:rPr>
          <w:rFonts w:ascii="Times New Roman" w:hAnsi="Times New Roman"/>
          <w:sz w:val="24"/>
          <w:szCs w:val="24"/>
          <w:lang w:val="lv-LV"/>
        </w:rPr>
        <w:t>S</w:t>
      </w:r>
      <w:r w:rsidR="0075364F" w:rsidRPr="006557B3">
        <w:rPr>
          <w:rFonts w:ascii="Times New Roman" w:hAnsi="Times New Roman"/>
          <w:sz w:val="24"/>
          <w:szCs w:val="24"/>
          <w:lang w:val="lv-LV"/>
        </w:rPr>
        <w:t>avienības</w:t>
      </w:r>
      <w:r w:rsidR="00E67AE1" w:rsidRPr="006557B3">
        <w:rPr>
          <w:rFonts w:ascii="Times New Roman" w:hAnsi="Times New Roman"/>
          <w:sz w:val="24"/>
          <w:szCs w:val="24"/>
          <w:lang w:val="lv-LV"/>
        </w:rPr>
        <w:t xml:space="preserve"> robežas</w:t>
      </w:r>
      <w:r w:rsidR="000F38C0" w:rsidRPr="006557B3">
        <w:rPr>
          <w:rFonts w:ascii="Times New Roman" w:hAnsi="Times New Roman"/>
          <w:sz w:val="24"/>
          <w:szCs w:val="24"/>
          <w:lang w:val="lv-LV"/>
        </w:rPr>
        <w:t>;</w:t>
      </w:r>
    </w:p>
    <w:p w14:paraId="2802CB18" w14:textId="7073811D" w:rsidR="00234EDB" w:rsidRPr="006557B3" w:rsidRDefault="00C26213" w:rsidP="003A1F06">
      <w:pPr>
        <w:pStyle w:val="Sarakstarindkopa"/>
        <w:numPr>
          <w:ilvl w:val="1"/>
          <w:numId w:val="33"/>
        </w:numPr>
        <w:tabs>
          <w:tab w:val="left" w:pos="8647"/>
        </w:tabs>
        <w:spacing w:after="0" w:line="240" w:lineRule="auto"/>
        <w:ind w:left="1434" w:hanging="357"/>
        <w:jc w:val="both"/>
        <w:rPr>
          <w:rFonts w:ascii="Times New Roman" w:hAnsi="Times New Roman"/>
          <w:sz w:val="24"/>
          <w:szCs w:val="24"/>
          <w:lang w:val="lv-LV"/>
        </w:rPr>
      </w:pPr>
      <w:r w:rsidRPr="006557B3">
        <w:rPr>
          <w:rFonts w:ascii="Times New Roman" w:hAnsi="Times New Roman"/>
          <w:sz w:val="24"/>
          <w:szCs w:val="24"/>
          <w:lang w:val="lv-LV"/>
        </w:rPr>
        <w:t>nepieciešamā finansējuma aprēķin</w:t>
      </w:r>
      <w:r w:rsidR="00706E39" w:rsidRPr="006557B3">
        <w:rPr>
          <w:rFonts w:ascii="Times New Roman" w:hAnsi="Times New Roman"/>
          <w:sz w:val="24"/>
          <w:szCs w:val="24"/>
          <w:lang w:val="lv-LV"/>
        </w:rPr>
        <w:t>iem</w:t>
      </w:r>
      <w:r w:rsidRPr="006557B3">
        <w:rPr>
          <w:rFonts w:ascii="Times New Roman" w:hAnsi="Times New Roman"/>
          <w:sz w:val="24"/>
          <w:szCs w:val="24"/>
          <w:lang w:val="lv-LV"/>
        </w:rPr>
        <w:t xml:space="preserve"> </w:t>
      </w:r>
      <w:r w:rsidR="007A3E5D" w:rsidRPr="006557B3">
        <w:rPr>
          <w:rFonts w:ascii="Times New Roman" w:hAnsi="Times New Roman"/>
          <w:sz w:val="24"/>
          <w:szCs w:val="24"/>
          <w:lang w:val="lv-LV"/>
        </w:rPr>
        <w:t>uztura bagātinātāju</w:t>
      </w:r>
      <w:r w:rsidRPr="006557B3">
        <w:rPr>
          <w:rFonts w:ascii="Times New Roman" w:hAnsi="Times New Roman"/>
          <w:sz w:val="24"/>
          <w:szCs w:val="24"/>
          <w:lang w:val="lv-LV"/>
        </w:rPr>
        <w:t xml:space="preserve"> oficiālajai kontrolei</w:t>
      </w:r>
      <w:r w:rsidR="009D6A05" w:rsidRPr="006557B3">
        <w:rPr>
          <w:rFonts w:ascii="Times New Roman" w:hAnsi="Times New Roman"/>
          <w:sz w:val="24"/>
          <w:szCs w:val="24"/>
          <w:lang w:val="lv-LV"/>
        </w:rPr>
        <w:t xml:space="preserve"> un</w:t>
      </w:r>
      <w:r w:rsidR="00CC353F" w:rsidRPr="006557B3">
        <w:rPr>
          <w:rFonts w:ascii="Times New Roman" w:hAnsi="Times New Roman"/>
          <w:sz w:val="24"/>
          <w:szCs w:val="24"/>
          <w:lang w:val="lv-LV"/>
        </w:rPr>
        <w:t xml:space="preserve"> </w:t>
      </w:r>
      <w:r w:rsidRPr="006557B3">
        <w:rPr>
          <w:rFonts w:ascii="Times New Roman" w:hAnsi="Times New Roman"/>
          <w:sz w:val="24"/>
          <w:szCs w:val="24"/>
          <w:lang w:val="lv-LV"/>
        </w:rPr>
        <w:t xml:space="preserve">sabiedrības </w:t>
      </w:r>
      <w:r w:rsidRPr="006557B3">
        <w:rPr>
          <w:rFonts w:ascii="Times New Roman" w:hAnsi="Times New Roman"/>
          <w:color w:val="000000" w:themeColor="text1"/>
          <w:sz w:val="24"/>
          <w:szCs w:val="24"/>
          <w:lang w:val="lv-LV"/>
        </w:rPr>
        <w:t>izglītošanas jomā</w:t>
      </w:r>
      <w:r w:rsidR="00C9398C" w:rsidRPr="006557B3">
        <w:rPr>
          <w:rFonts w:ascii="Times New Roman" w:hAnsi="Times New Roman"/>
          <w:color w:val="000000" w:themeColor="text1"/>
          <w:sz w:val="24"/>
          <w:szCs w:val="24"/>
          <w:lang w:val="lv-LV"/>
        </w:rPr>
        <w:t>.</w:t>
      </w:r>
      <w:r w:rsidRPr="006557B3">
        <w:rPr>
          <w:rFonts w:ascii="Times New Roman" w:hAnsi="Times New Roman"/>
          <w:color w:val="000000" w:themeColor="text1"/>
          <w:sz w:val="24"/>
          <w:szCs w:val="24"/>
          <w:lang w:val="lv-LV"/>
        </w:rPr>
        <w:t xml:space="preserve"> </w:t>
      </w:r>
    </w:p>
    <w:p w14:paraId="54AA9D42" w14:textId="77777777" w:rsidR="00825CC9" w:rsidRPr="006557B3" w:rsidRDefault="00825CC9" w:rsidP="00C56916">
      <w:pPr>
        <w:pStyle w:val="Sarakstarindkopa"/>
        <w:tabs>
          <w:tab w:val="left" w:pos="8647"/>
        </w:tabs>
        <w:spacing w:after="0" w:line="240" w:lineRule="auto"/>
        <w:ind w:left="1434"/>
        <w:jc w:val="both"/>
        <w:rPr>
          <w:rFonts w:ascii="Times New Roman" w:hAnsi="Times New Roman"/>
          <w:sz w:val="24"/>
          <w:szCs w:val="24"/>
          <w:lang w:val="lv-LV"/>
        </w:rPr>
      </w:pPr>
    </w:p>
    <w:p w14:paraId="03080473" w14:textId="4FE70E46" w:rsidR="00332A32" w:rsidRPr="006557B3" w:rsidRDefault="00872BB7" w:rsidP="00C05C12">
      <w:pPr>
        <w:pStyle w:val="Sarakstarindkopa"/>
        <w:keepNext/>
        <w:tabs>
          <w:tab w:val="left" w:pos="8647"/>
        </w:tabs>
        <w:spacing w:after="0" w:line="240" w:lineRule="auto"/>
        <w:ind w:left="0"/>
        <w:jc w:val="both"/>
        <w:rPr>
          <w:rFonts w:ascii="Times New Roman" w:hAnsi="Times New Roman"/>
          <w:b/>
          <w:sz w:val="24"/>
          <w:szCs w:val="24"/>
          <w:lang w:val="lv-LV"/>
        </w:rPr>
      </w:pPr>
      <w:r w:rsidRPr="006557B3">
        <w:rPr>
          <w:rFonts w:ascii="Times New Roman" w:hAnsi="Times New Roman"/>
          <w:b/>
          <w:sz w:val="24"/>
          <w:szCs w:val="24"/>
          <w:lang w:val="lv-LV"/>
        </w:rPr>
        <w:t>6.5</w:t>
      </w:r>
      <w:r w:rsidR="00283294" w:rsidRPr="006557B3">
        <w:rPr>
          <w:rFonts w:ascii="Times New Roman" w:hAnsi="Times New Roman"/>
          <w:b/>
          <w:sz w:val="24"/>
          <w:szCs w:val="24"/>
          <w:lang w:val="lv-LV"/>
        </w:rPr>
        <w:t>.</w:t>
      </w:r>
      <w:r w:rsidRPr="006557B3">
        <w:rPr>
          <w:rFonts w:ascii="Times New Roman" w:hAnsi="Times New Roman"/>
          <w:b/>
          <w:sz w:val="24"/>
          <w:szCs w:val="24"/>
          <w:lang w:val="lv-LV"/>
        </w:rPr>
        <w:t>1.</w:t>
      </w:r>
      <w:r w:rsidR="00283294" w:rsidRPr="006557B3">
        <w:rPr>
          <w:rFonts w:ascii="Times New Roman" w:hAnsi="Times New Roman"/>
          <w:b/>
          <w:sz w:val="24"/>
          <w:szCs w:val="24"/>
          <w:lang w:val="lv-LV"/>
        </w:rPr>
        <w:t xml:space="preserve"> </w:t>
      </w:r>
      <w:r w:rsidR="00706E39" w:rsidRPr="006557B3">
        <w:rPr>
          <w:rFonts w:ascii="Times New Roman" w:hAnsi="Times New Roman"/>
          <w:b/>
          <w:sz w:val="24"/>
          <w:szCs w:val="24"/>
          <w:lang w:val="lv-LV"/>
        </w:rPr>
        <w:t>Pasākumi</w:t>
      </w:r>
      <w:r w:rsidR="00332A32" w:rsidRPr="006557B3">
        <w:rPr>
          <w:rFonts w:ascii="Times New Roman" w:hAnsi="Times New Roman"/>
          <w:b/>
          <w:sz w:val="24"/>
          <w:szCs w:val="24"/>
          <w:lang w:val="lv-LV"/>
        </w:rPr>
        <w:t xml:space="preserve"> sabiedrības informēšanas jomā</w:t>
      </w:r>
      <w:r w:rsidR="000479F3" w:rsidRPr="006557B3">
        <w:rPr>
          <w:rFonts w:ascii="Times New Roman" w:hAnsi="Times New Roman"/>
          <w:b/>
          <w:sz w:val="24"/>
          <w:szCs w:val="24"/>
          <w:lang w:val="lv-LV"/>
        </w:rPr>
        <w:t xml:space="preserve"> par uztura bagātinātājiem</w:t>
      </w:r>
    </w:p>
    <w:p w14:paraId="659F5072" w14:textId="2DE55A1C" w:rsidR="006B57EF" w:rsidRPr="006557B3" w:rsidRDefault="0075364F" w:rsidP="00C05C12">
      <w:pPr>
        <w:keepNext/>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PVD</w:t>
      </w:r>
      <w:r w:rsidR="006B57EF" w:rsidRPr="006557B3">
        <w:rPr>
          <w:rFonts w:ascii="Times New Roman" w:hAnsi="Times New Roman" w:cs="Times New Roman"/>
          <w:sz w:val="24"/>
          <w:szCs w:val="24"/>
          <w:lang w:val="lv-LV"/>
        </w:rPr>
        <w:t xml:space="preserve"> 2015. gadā sabiedrības informēšanas jomā par uztura bagātinātājiem</w:t>
      </w:r>
      <w:r w:rsidR="00706E39" w:rsidRPr="006557B3">
        <w:rPr>
          <w:rFonts w:ascii="Times New Roman" w:hAnsi="Times New Roman" w:cs="Times New Roman"/>
          <w:sz w:val="24"/>
          <w:szCs w:val="24"/>
          <w:lang w:val="lv-LV"/>
        </w:rPr>
        <w:t xml:space="preserve"> ir īstenojis šādus pasākumus</w:t>
      </w:r>
      <w:r w:rsidR="006B57EF" w:rsidRPr="006557B3">
        <w:rPr>
          <w:rFonts w:ascii="Times New Roman" w:hAnsi="Times New Roman" w:cs="Times New Roman"/>
          <w:sz w:val="24"/>
          <w:szCs w:val="24"/>
          <w:lang w:val="lv-LV"/>
        </w:rPr>
        <w:t>:</w:t>
      </w:r>
    </w:p>
    <w:p w14:paraId="2BDE06C0" w14:textId="52BEB0AC" w:rsidR="006B57EF" w:rsidRPr="006557B3" w:rsidRDefault="006B57EF" w:rsidP="00C05C12">
      <w:pPr>
        <w:pStyle w:val="Sarakstarindkopa"/>
        <w:numPr>
          <w:ilvl w:val="1"/>
          <w:numId w:val="34"/>
        </w:numPr>
        <w:tabs>
          <w:tab w:val="left" w:pos="8647"/>
        </w:tabs>
        <w:spacing w:after="0" w:line="240" w:lineRule="auto"/>
        <w:jc w:val="both"/>
        <w:rPr>
          <w:rFonts w:ascii="Times New Roman" w:hAnsi="Times New Roman"/>
          <w:sz w:val="24"/>
          <w:szCs w:val="24"/>
          <w:lang w:val="fr-FR"/>
        </w:rPr>
      </w:pPr>
      <w:r w:rsidRPr="006557B3">
        <w:rPr>
          <w:rFonts w:ascii="Times New Roman" w:hAnsi="Times New Roman"/>
          <w:sz w:val="24"/>
          <w:szCs w:val="24"/>
          <w:lang w:val="fr-FR"/>
        </w:rPr>
        <w:t xml:space="preserve">sagatavots informatīvais buklets sabiedrībai </w:t>
      </w:r>
      <w:r w:rsidR="00A85615" w:rsidRPr="006557B3">
        <w:rPr>
          <w:rFonts w:ascii="Times New Roman" w:hAnsi="Times New Roman"/>
          <w:sz w:val="24"/>
          <w:szCs w:val="24"/>
          <w:lang w:val="fr-FR"/>
        </w:rPr>
        <w:t>„</w:t>
      </w:r>
      <w:r w:rsidRPr="006557B3">
        <w:rPr>
          <w:rFonts w:ascii="Times New Roman" w:hAnsi="Times New Roman"/>
          <w:sz w:val="24"/>
          <w:szCs w:val="24"/>
          <w:lang w:val="fr-FR"/>
        </w:rPr>
        <w:t>Uztura bagātinātāji</w:t>
      </w:r>
      <w:r w:rsidR="006056BE" w:rsidRPr="006557B3">
        <w:rPr>
          <w:rFonts w:ascii="Times New Roman" w:hAnsi="Times New Roman"/>
          <w:sz w:val="24"/>
          <w:szCs w:val="24"/>
          <w:lang w:val="fr-FR"/>
        </w:rPr>
        <w:t>”</w:t>
      </w:r>
      <w:r w:rsidRPr="006557B3">
        <w:rPr>
          <w:rFonts w:ascii="Times New Roman" w:hAnsi="Times New Roman"/>
          <w:sz w:val="24"/>
          <w:szCs w:val="24"/>
          <w:lang w:val="fr-FR"/>
        </w:rPr>
        <w:t>;</w:t>
      </w:r>
    </w:p>
    <w:p w14:paraId="7FB5BC5A" w14:textId="462753B1" w:rsidR="006B57EF" w:rsidRPr="006557B3" w:rsidRDefault="006B57EF" w:rsidP="00C05C12">
      <w:pPr>
        <w:pStyle w:val="Sarakstarindkopa"/>
        <w:numPr>
          <w:ilvl w:val="1"/>
          <w:numId w:val="34"/>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 xml:space="preserve">izstrādātas vadlīnijas </w:t>
      </w:r>
      <w:r w:rsidR="00A85615" w:rsidRPr="006557B3">
        <w:rPr>
          <w:rFonts w:ascii="Times New Roman" w:hAnsi="Times New Roman"/>
          <w:sz w:val="24"/>
          <w:szCs w:val="24"/>
          <w:lang w:val="lv-LV"/>
        </w:rPr>
        <w:t>„</w:t>
      </w:r>
      <w:r w:rsidRPr="006557B3">
        <w:rPr>
          <w:rFonts w:ascii="Times New Roman" w:hAnsi="Times New Roman"/>
          <w:sz w:val="24"/>
          <w:szCs w:val="24"/>
          <w:lang w:val="lv-LV"/>
        </w:rPr>
        <w:t xml:space="preserve">Uztura bagātinātāju </w:t>
      </w:r>
      <w:r w:rsidR="00706E39" w:rsidRPr="006557B3">
        <w:rPr>
          <w:rFonts w:ascii="Times New Roman" w:hAnsi="Times New Roman"/>
          <w:sz w:val="24"/>
          <w:szCs w:val="24"/>
          <w:lang w:val="lv-LV"/>
        </w:rPr>
        <w:t>v</w:t>
      </w:r>
      <w:r w:rsidRPr="006557B3">
        <w:rPr>
          <w:rFonts w:ascii="Times New Roman" w:hAnsi="Times New Roman"/>
          <w:sz w:val="24"/>
          <w:szCs w:val="24"/>
          <w:lang w:val="lv-LV"/>
        </w:rPr>
        <w:t xml:space="preserve">adlīnijas”, kas paredzētas uztura bagātinātāju ražotājiem un izplatītājiem; </w:t>
      </w:r>
    </w:p>
    <w:p w14:paraId="7A07C945" w14:textId="5A8DC456" w:rsidR="006B57EF" w:rsidRPr="006557B3" w:rsidRDefault="006B57EF" w:rsidP="00C05C12">
      <w:pPr>
        <w:pStyle w:val="Sarakstarindkopa"/>
        <w:numPr>
          <w:ilvl w:val="1"/>
          <w:numId w:val="34"/>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 xml:space="preserve">izstādes „Riga Food 2015” </w:t>
      </w:r>
      <w:r w:rsidR="00DB1D9B" w:rsidRPr="006557B3">
        <w:rPr>
          <w:rFonts w:ascii="Times New Roman" w:hAnsi="Times New Roman"/>
          <w:sz w:val="24"/>
          <w:szCs w:val="24"/>
          <w:lang w:val="lv-LV"/>
        </w:rPr>
        <w:t>laikā</w:t>
      </w:r>
      <w:r w:rsidRPr="006557B3">
        <w:rPr>
          <w:rFonts w:ascii="Times New Roman" w:hAnsi="Times New Roman"/>
          <w:sz w:val="24"/>
          <w:szCs w:val="24"/>
          <w:lang w:val="lv-LV"/>
        </w:rPr>
        <w:t xml:space="preserve"> organizēts seminārs </w:t>
      </w:r>
      <w:r w:rsidR="00A85615" w:rsidRPr="006557B3">
        <w:rPr>
          <w:rFonts w:ascii="Times New Roman" w:hAnsi="Times New Roman"/>
          <w:sz w:val="24"/>
          <w:szCs w:val="24"/>
          <w:lang w:val="lv-LV"/>
        </w:rPr>
        <w:t>„</w:t>
      </w:r>
      <w:r w:rsidRPr="006557B3">
        <w:rPr>
          <w:rFonts w:ascii="Times New Roman" w:hAnsi="Times New Roman"/>
          <w:sz w:val="24"/>
          <w:szCs w:val="24"/>
          <w:lang w:val="lv-LV"/>
        </w:rPr>
        <w:t>Kas jāzina un jāievēro, reģistrējot uztura bagātinātājus Pārtikas un veterinārā dienestā. Uztura bagātinātāju vadlīnijas un jomas aktualitātes”;</w:t>
      </w:r>
    </w:p>
    <w:p w14:paraId="17C15095" w14:textId="2C2C4735" w:rsidR="006B57EF" w:rsidRPr="006557B3" w:rsidRDefault="0075364F" w:rsidP="00C05C12">
      <w:pPr>
        <w:pStyle w:val="Sarakstarindkopa"/>
        <w:numPr>
          <w:ilvl w:val="1"/>
          <w:numId w:val="34"/>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lastRenderedPageBreak/>
        <w:t>PVD</w:t>
      </w:r>
      <w:r w:rsidR="006B57EF" w:rsidRPr="006557B3">
        <w:rPr>
          <w:rFonts w:ascii="Times New Roman" w:hAnsi="Times New Roman"/>
          <w:sz w:val="24"/>
          <w:szCs w:val="24"/>
          <w:lang w:val="lv-LV"/>
        </w:rPr>
        <w:t xml:space="preserve"> Novērtēšanas un reģistrācijas departamentā </w:t>
      </w:r>
      <w:r w:rsidR="00C012E9" w:rsidRPr="006557B3">
        <w:rPr>
          <w:rFonts w:ascii="Times New Roman" w:hAnsi="Times New Roman"/>
          <w:sz w:val="24"/>
          <w:szCs w:val="24"/>
          <w:lang w:val="lv-LV"/>
        </w:rPr>
        <w:t>notikušas</w:t>
      </w:r>
      <w:r w:rsidR="006B57EF" w:rsidRPr="006557B3">
        <w:rPr>
          <w:rFonts w:ascii="Times New Roman" w:hAnsi="Times New Roman"/>
          <w:sz w:val="24"/>
          <w:szCs w:val="24"/>
          <w:lang w:val="lv-LV"/>
        </w:rPr>
        <w:t xml:space="preserve"> regulāras bezmaksas klientu konsultācijas (klātienē, </w:t>
      </w:r>
      <w:r w:rsidR="00C012E9" w:rsidRPr="006557B3">
        <w:rPr>
          <w:rFonts w:ascii="Times New Roman" w:hAnsi="Times New Roman"/>
          <w:sz w:val="24"/>
          <w:szCs w:val="24"/>
          <w:lang w:val="lv-LV"/>
        </w:rPr>
        <w:t xml:space="preserve">pa </w:t>
      </w:r>
      <w:r w:rsidR="006B57EF" w:rsidRPr="006557B3">
        <w:rPr>
          <w:rFonts w:ascii="Times New Roman" w:hAnsi="Times New Roman"/>
          <w:sz w:val="24"/>
          <w:szCs w:val="24"/>
          <w:lang w:val="lv-LV"/>
        </w:rPr>
        <w:t>telefon</w:t>
      </w:r>
      <w:r w:rsidR="00C012E9" w:rsidRPr="006557B3">
        <w:rPr>
          <w:rFonts w:ascii="Times New Roman" w:hAnsi="Times New Roman"/>
          <w:sz w:val="24"/>
          <w:szCs w:val="24"/>
          <w:lang w:val="lv-LV"/>
        </w:rPr>
        <w:t>u</w:t>
      </w:r>
      <w:r w:rsidR="006B57EF" w:rsidRPr="006557B3">
        <w:rPr>
          <w:rFonts w:ascii="Times New Roman" w:hAnsi="Times New Roman"/>
          <w:sz w:val="24"/>
          <w:szCs w:val="24"/>
          <w:lang w:val="lv-LV"/>
        </w:rPr>
        <w:t xml:space="preserve">, e-pastā) par uztura bagātinātāju reģistrācijas un marķēšanas jautājumiem uzņēmējiem, patērētājiem un </w:t>
      </w:r>
      <w:r w:rsidR="00C012E9" w:rsidRPr="006557B3">
        <w:rPr>
          <w:rFonts w:ascii="Times New Roman" w:hAnsi="Times New Roman"/>
          <w:sz w:val="24"/>
          <w:szCs w:val="24"/>
          <w:lang w:val="lv-LV"/>
        </w:rPr>
        <w:t xml:space="preserve">citu </w:t>
      </w:r>
      <w:r w:rsidRPr="006557B3">
        <w:rPr>
          <w:rFonts w:ascii="Times New Roman" w:hAnsi="Times New Roman"/>
          <w:sz w:val="24"/>
          <w:szCs w:val="24"/>
          <w:lang w:val="lv-LV"/>
        </w:rPr>
        <w:t>PVD</w:t>
      </w:r>
      <w:r w:rsidR="006B57EF" w:rsidRPr="006557B3">
        <w:rPr>
          <w:rFonts w:ascii="Times New Roman" w:hAnsi="Times New Roman"/>
          <w:sz w:val="24"/>
          <w:szCs w:val="24"/>
          <w:lang w:val="lv-LV"/>
        </w:rPr>
        <w:t xml:space="preserve"> struktūrvienību kolēģiem.</w:t>
      </w:r>
    </w:p>
    <w:p w14:paraId="305FC16C" w14:textId="77777777" w:rsidR="00825CC9" w:rsidRPr="006557B3" w:rsidRDefault="00825CC9" w:rsidP="00241242">
      <w:pPr>
        <w:pStyle w:val="Sarakstarindkopa"/>
        <w:tabs>
          <w:tab w:val="left" w:pos="8647"/>
        </w:tabs>
        <w:spacing w:after="0" w:line="240" w:lineRule="auto"/>
        <w:ind w:left="1440"/>
        <w:jc w:val="both"/>
        <w:rPr>
          <w:rFonts w:ascii="Times New Roman" w:hAnsi="Times New Roman"/>
          <w:sz w:val="24"/>
          <w:szCs w:val="24"/>
          <w:lang w:val="lv-LV"/>
        </w:rPr>
      </w:pPr>
    </w:p>
    <w:p w14:paraId="3B5A48FA" w14:textId="77777777" w:rsidR="000D5000" w:rsidRPr="006557B3" w:rsidRDefault="00872BB7" w:rsidP="00C05C12">
      <w:pPr>
        <w:keepNext/>
        <w:tabs>
          <w:tab w:val="left" w:pos="8647"/>
        </w:tabs>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t>6.5.2.</w:t>
      </w:r>
      <w:r w:rsidR="008C7A9D" w:rsidRPr="006557B3">
        <w:rPr>
          <w:rFonts w:ascii="Times New Roman" w:hAnsi="Times New Roman" w:cs="Times New Roman"/>
          <w:b/>
          <w:sz w:val="24"/>
          <w:szCs w:val="24"/>
          <w:lang w:val="lv-LV"/>
        </w:rPr>
        <w:t xml:space="preserve"> </w:t>
      </w:r>
      <w:r w:rsidR="000B3B27" w:rsidRPr="006557B3">
        <w:rPr>
          <w:rFonts w:ascii="Times New Roman" w:hAnsi="Times New Roman" w:cs="Times New Roman"/>
          <w:b/>
          <w:sz w:val="24"/>
          <w:szCs w:val="24"/>
          <w:lang w:val="lv-LV"/>
        </w:rPr>
        <w:t>U</w:t>
      </w:r>
      <w:r w:rsidR="008C11EB" w:rsidRPr="006557B3">
        <w:rPr>
          <w:rFonts w:ascii="Times New Roman" w:hAnsi="Times New Roman" w:cs="Times New Roman"/>
          <w:b/>
          <w:sz w:val="24"/>
          <w:szCs w:val="24"/>
          <w:lang w:val="lv-LV"/>
        </w:rPr>
        <w:t>ztura bagātinātāju paziņošana, novērtēšana un reģistrācija</w:t>
      </w:r>
    </w:p>
    <w:p w14:paraId="2224C7B7" w14:textId="33D0FF2F" w:rsidR="00DC69D6" w:rsidRPr="006557B3" w:rsidRDefault="00C05213" w:rsidP="00E07340">
      <w:pPr>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bCs/>
          <w:sz w:val="24"/>
          <w:szCs w:val="24"/>
          <w:lang w:val="lv-LV"/>
        </w:rPr>
        <w:t xml:space="preserve">Pārtikas uzņēmumi paziņo par </w:t>
      </w:r>
      <w:r w:rsidRPr="006557B3">
        <w:rPr>
          <w:rFonts w:ascii="Times New Roman" w:hAnsi="Times New Roman" w:cs="Times New Roman"/>
          <w:sz w:val="24"/>
          <w:szCs w:val="24"/>
          <w:lang w:val="lv-LV"/>
        </w:rPr>
        <w:t>uztura bagātinātāju</w:t>
      </w:r>
      <w:r w:rsidRPr="006557B3">
        <w:rPr>
          <w:rFonts w:ascii="Times New Roman" w:hAnsi="Times New Roman" w:cs="Times New Roman"/>
          <w:bCs/>
          <w:sz w:val="24"/>
          <w:szCs w:val="24"/>
          <w:lang w:val="lv-LV"/>
        </w:rPr>
        <w:t xml:space="preserve"> laišanu tirgū, </w:t>
      </w:r>
      <w:r w:rsidR="00C012E9" w:rsidRPr="006557B3">
        <w:rPr>
          <w:rFonts w:ascii="Times New Roman" w:hAnsi="Times New Roman" w:cs="Times New Roman"/>
          <w:bCs/>
          <w:sz w:val="24"/>
          <w:szCs w:val="24"/>
          <w:lang w:val="lv-LV"/>
        </w:rPr>
        <w:t xml:space="preserve">un </w:t>
      </w:r>
      <w:r w:rsidRPr="006557B3">
        <w:rPr>
          <w:rFonts w:ascii="Times New Roman" w:hAnsi="Times New Roman" w:cs="Times New Roman"/>
          <w:bCs/>
          <w:sz w:val="24"/>
          <w:szCs w:val="24"/>
          <w:lang w:val="lv-LV"/>
        </w:rPr>
        <w:t xml:space="preserve">PVD </w:t>
      </w:r>
      <w:r w:rsidR="00C012E9" w:rsidRPr="006557B3">
        <w:rPr>
          <w:rFonts w:ascii="Times New Roman" w:hAnsi="Times New Roman" w:cs="Times New Roman"/>
          <w:bCs/>
          <w:sz w:val="24"/>
          <w:szCs w:val="24"/>
          <w:lang w:val="lv-LV"/>
        </w:rPr>
        <w:t>tos</w:t>
      </w:r>
      <w:r w:rsidRPr="006557B3">
        <w:rPr>
          <w:rFonts w:ascii="Times New Roman" w:hAnsi="Times New Roman" w:cs="Times New Roman"/>
          <w:bCs/>
          <w:sz w:val="24"/>
          <w:szCs w:val="24"/>
          <w:lang w:val="lv-LV"/>
        </w:rPr>
        <w:t xml:space="preserve"> reģistr</w:t>
      </w:r>
      <w:r w:rsidR="00C012E9" w:rsidRPr="006557B3">
        <w:rPr>
          <w:rFonts w:ascii="Times New Roman" w:hAnsi="Times New Roman" w:cs="Times New Roman"/>
          <w:bCs/>
          <w:sz w:val="24"/>
          <w:szCs w:val="24"/>
          <w:lang w:val="lv-LV"/>
        </w:rPr>
        <w:t>ē</w:t>
      </w:r>
      <w:r w:rsidRPr="006557B3">
        <w:rPr>
          <w:rFonts w:ascii="Times New Roman" w:hAnsi="Times New Roman" w:cs="Times New Roman"/>
          <w:bCs/>
          <w:sz w:val="24"/>
          <w:szCs w:val="24"/>
          <w:lang w:val="lv-LV"/>
        </w:rPr>
        <w:t xml:space="preserve">, pārliecinoties, </w:t>
      </w:r>
      <w:r w:rsidR="00DB1D9B" w:rsidRPr="006557B3">
        <w:rPr>
          <w:rFonts w:ascii="Times New Roman" w:hAnsi="Times New Roman" w:cs="Times New Roman"/>
          <w:bCs/>
          <w:sz w:val="24"/>
          <w:szCs w:val="24"/>
          <w:lang w:val="lv-LV"/>
        </w:rPr>
        <w:t>vai</w:t>
      </w:r>
      <w:r w:rsidRPr="006557B3">
        <w:rPr>
          <w:rFonts w:ascii="Times New Roman" w:hAnsi="Times New Roman" w:cs="Times New Roman"/>
          <w:sz w:val="24"/>
          <w:szCs w:val="24"/>
          <w:lang w:val="lv-LV"/>
        </w:rPr>
        <w:t xml:space="preserve"> </w:t>
      </w:r>
      <w:r w:rsidR="00DB1D9B" w:rsidRPr="006557B3">
        <w:rPr>
          <w:rFonts w:ascii="Times New Roman" w:hAnsi="Times New Roman" w:cs="Times New Roman"/>
          <w:sz w:val="24"/>
          <w:szCs w:val="24"/>
          <w:lang w:val="lv-LV"/>
        </w:rPr>
        <w:t>normatīvajos</w:t>
      </w:r>
      <w:r w:rsidRPr="006557B3">
        <w:rPr>
          <w:rFonts w:ascii="Times New Roman" w:hAnsi="Times New Roman" w:cs="Times New Roman"/>
          <w:sz w:val="24"/>
          <w:szCs w:val="24"/>
          <w:lang w:val="lv-LV"/>
        </w:rPr>
        <w:t xml:space="preserve"> aktos noteiktās prasības tiek pareizi izpildītas.</w:t>
      </w:r>
      <w:r w:rsidR="00177B6B" w:rsidRPr="006557B3">
        <w:rPr>
          <w:rFonts w:ascii="Times New Roman" w:hAnsi="Times New Roman" w:cs="Times New Roman"/>
          <w:sz w:val="24"/>
          <w:szCs w:val="24"/>
          <w:lang w:val="lv-LV"/>
        </w:rPr>
        <w:t xml:space="preserve"> </w:t>
      </w:r>
      <w:r w:rsidRPr="006557B3">
        <w:rPr>
          <w:rFonts w:ascii="Times New Roman" w:hAnsi="Times New Roman" w:cs="Times New Roman"/>
          <w:bCs/>
          <w:sz w:val="24"/>
          <w:szCs w:val="24"/>
          <w:lang w:val="lv-LV"/>
        </w:rPr>
        <w:t xml:space="preserve">PVD </w:t>
      </w:r>
      <w:r w:rsidRPr="006557B3">
        <w:rPr>
          <w:rFonts w:ascii="Times New Roman" w:hAnsi="Times New Roman" w:cs="Times New Roman"/>
          <w:sz w:val="24"/>
          <w:szCs w:val="24"/>
          <w:lang w:val="lv-LV"/>
        </w:rPr>
        <w:t>uztura bagātinātāju</w:t>
      </w:r>
      <w:r w:rsidRPr="006557B3">
        <w:rPr>
          <w:rFonts w:ascii="Times New Roman" w:hAnsi="Times New Roman" w:cs="Times New Roman"/>
          <w:bCs/>
          <w:sz w:val="24"/>
          <w:szCs w:val="24"/>
          <w:lang w:val="lv-LV"/>
        </w:rPr>
        <w:t xml:space="preserve"> reģistrā iekļauto </w:t>
      </w:r>
      <w:r w:rsidRPr="006557B3">
        <w:rPr>
          <w:rFonts w:ascii="Times New Roman" w:hAnsi="Times New Roman" w:cs="Times New Roman"/>
          <w:sz w:val="24"/>
          <w:szCs w:val="24"/>
          <w:lang w:val="lv-LV"/>
        </w:rPr>
        <w:t>uztura bagātinātāju</w:t>
      </w:r>
      <w:r w:rsidRPr="006557B3">
        <w:rPr>
          <w:rFonts w:ascii="Times New Roman" w:hAnsi="Times New Roman" w:cs="Times New Roman"/>
          <w:bCs/>
          <w:sz w:val="24"/>
          <w:szCs w:val="24"/>
          <w:lang w:val="lv-LV"/>
        </w:rPr>
        <w:t xml:space="preserve"> kopēj</w:t>
      </w:r>
      <w:r w:rsidR="00C012E9" w:rsidRPr="006557B3">
        <w:rPr>
          <w:rFonts w:ascii="Times New Roman" w:hAnsi="Times New Roman" w:cs="Times New Roman"/>
          <w:bCs/>
          <w:sz w:val="24"/>
          <w:szCs w:val="24"/>
          <w:lang w:val="lv-LV"/>
        </w:rPr>
        <w:t>ais</w:t>
      </w:r>
      <w:r w:rsidRPr="006557B3">
        <w:rPr>
          <w:rFonts w:ascii="Times New Roman" w:hAnsi="Times New Roman" w:cs="Times New Roman"/>
          <w:bCs/>
          <w:sz w:val="24"/>
          <w:szCs w:val="24"/>
          <w:lang w:val="lv-LV"/>
        </w:rPr>
        <w:t xml:space="preserve"> skait</w:t>
      </w:r>
      <w:r w:rsidR="00C012E9" w:rsidRPr="006557B3">
        <w:rPr>
          <w:rFonts w:ascii="Times New Roman" w:hAnsi="Times New Roman" w:cs="Times New Roman"/>
          <w:bCs/>
          <w:sz w:val="24"/>
          <w:szCs w:val="24"/>
          <w:lang w:val="lv-LV"/>
        </w:rPr>
        <w:t>s</w:t>
      </w:r>
      <w:r w:rsidRPr="006557B3">
        <w:rPr>
          <w:rFonts w:ascii="Times New Roman" w:hAnsi="Times New Roman" w:cs="Times New Roman"/>
          <w:bCs/>
          <w:sz w:val="24"/>
          <w:szCs w:val="24"/>
          <w:lang w:val="lv-LV"/>
        </w:rPr>
        <w:t xml:space="preserve"> laikposmā no 2009.</w:t>
      </w:r>
      <w:r w:rsidR="00DB1D9B" w:rsidRPr="006557B3">
        <w:rPr>
          <w:rFonts w:ascii="Times New Roman" w:hAnsi="Times New Roman" w:cs="Times New Roman"/>
          <w:bCs/>
          <w:sz w:val="24"/>
          <w:szCs w:val="24"/>
          <w:lang w:val="lv-LV"/>
        </w:rPr>
        <w:t xml:space="preserve"> </w:t>
      </w:r>
      <w:r w:rsidRPr="006557B3">
        <w:rPr>
          <w:rFonts w:ascii="Times New Roman" w:hAnsi="Times New Roman" w:cs="Times New Roman"/>
          <w:bCs/>
          <w:sz w:val="24"/>
          <w:szCs w:val="24"/>
          <w:lang w:val="lv-LV"/>
        </w:rPr>
        <w:t>gada līdz 2015.</w:t>
      </w:r>
      <w:r w:rsidR="00DB1D9B" w:rsidRPr="006557B3">
        <w:rPr>
          <w:rFonts w:ascii="Times New Roman" w:hAnsi="Times New Roman" w:cs="Times New Roman"/>
          <w:bCs/>
          <w:sz w:val="24"/>
          <w:szCs w:val="24"/>
          <w:lang w:val="lv-LV"/>
        </w:rPr>
        <w:t xml:space="preserve"> </w:t>
      </w:r>
      <w:r w:rsidRPr="006557B3">
        <w:rPr>
          <w:rFonts w:ascii="Times New Roman" w:hAnsi="Times New Roman" w:cs="Times New Roman"/>
          <w:bCs/>
          <w:sz w:val="24"/>
          <w:szCs w:val="24"/>
          <w:lang w:val="lv-LV"/>
        </w:rPr>
        <w:t xml:space="preserve">gadam </w:t>
      </w:r>
      <w:r w:rsidR="00C012E9" w:rsidRPr="006557B3">
        <w:rPr>
          <w:rFonts w:ascii="Times New Roman" w:hAnsi="Times New Roman" w:cs="Times New Roman"/>
          <w:bCs/>
          <w:sz w:val="24"/>
          <w:szCs w:val="24"/>
          <w:lang w:val="lv-LV"/>
        </w:rPr>
        <w:t xml:space="preserve">ir palielinājies </w:t>
      </w:r>
      <w:r w:rsidRPr="006557B3">
        <w:rPr>
          <w:rFonts w:ascii="Times New Roman" w:hAnsi="Times New Roman" w:cs="Times New Roman"/>
          <w:bCs/>
          <w:sz w:val="24"/>
          <w:szCs w:val="24"/>
          <w:lang w:val="lv-LV"/>
        </w:rPr>
        <w:t>(</w:t>
      </w:r>
      <w:r w:rsidR="00C26AE3" w:rsidRPr="006557B3">
        <w:rPr>
          <w:rFonts w:ascii="Times New Roman" w:hAnsi="Times New Roman" w:cs="Times New Roman"/>
          <w:bCs/>
          <w:sz w:val="24"/>
          <w:szCs w:val="24"/>
          <w:lang w:val="lv-LV"/>
        </w:rPr>
        <w:t xml:space="preserve">sk. </w:t>
      </w:r>
      <w:r w:rsidRPr="006557B3">
        <w:rPr>
          <w:rFonts w:ascii="Times New Roman" w:hAnsi="Times New Roman" w:cs="Times New Roman"/>
          <w:bCs/>
          <w:sz w:val="24"/>
          <w:szCs w:val="24"/>
          <w:lang w:val="lv-LV"/>
        </w:rPr>
        <w:t>1.</w:t>
      </w:r>
      <w:r w:rsidR="00DB1D9B" w:rsidRPr="006557B3">
        <w:rPr>
          <w:rFonts w:ascii="Times New Roman" w:hAnsi="Times New Roman" w:cs="Times New Roman"/>
          <w:bCs/>
          <w:sz w:val="24"/>
          <w:szCs w:val="24"/>
          <w:lang w:val="lv-LV"/>
        </w:rPr>
        <w:t xml:space="preserve"> </w:t>
      </w:r>
      <w:r w:rsidRPr="006557B3">
        <w:rPr>
          <w:rFonts w:ascii="Times New Roman" w:hAnsi="Times New Roman" w:cs="Times New Roman"/>
          <w:bCs/>
          <w:sz w:val="24"/>
          <w:szCs w:val="24"/>
          <w:lang w:val="lv-LV"/>
        </w:rPr>
        <w:t>attēl</w:t>
      </w:r>
      <w:r w:rsidR="00C26AE3" w:rsidRPr="006557B3">
        <w:rPr>
          <w:rFonts w:ascii="Times New Roman" w:hAnsi="Times New Roman" w:cs="Times New Roman"/>
          <w:bCs/>
          <w:sz w:val="24"/>
          <w:szCs w:val="24"/>
          <w:lang w:val="lv-LV"/>
        </w:rPr>
        <w:t>u</w:t>
      </w:r>
      <w:r w:rsidR="00332524" w:rsidRPr="006557B3">
        <w:rPr>
          <w:rFonts w:ascii="Times New Roman" w:hAnsi="Times New Roman" w:cs="Times New Roman"/>
          <w:bCs/>
          <w:sz w:val="24"/>
          <w:szCs w:val="24"/>
          <w:lang w:val="lv-LV"/>
        </w:rPr>
        <w:t>)</w:t>
      </w:r>
      <w:r w:rsidR="00E07340" w:rsidRPr="006557B3">
        <w:rPr>
          <w:rFonts w:ascii="Times New Roman" w:hAnsi="Times New Roman" w:cs="Times New Roman"/>
          <w:bCs/>
          <w:sz w:val="24"/>
          <w:szCs w:val="24"/>
          <w:lang w:val="lv-LV"/>
        </w:rPr>
        <w:t>.</w:t>
      </w:r>
      <w:r w:rsidR="004F3293">
        <w:rPr>
          <w:rFonts w:ascii="Times New Roman" w:hAnsi="Times New Roman" w:cs="Times New Roman"/>
          <w:bCs/>
          <w:sz w:val="24"/>
          <w:szCs w:val="24"/>
          <w:lang w:val="lv-LV"/>
        </w:rPr>
        <w:t xml:space="preserve"> </w:t>
      </w:r>
      <w:r w:rsidR="00DC69D6" w:rsidRPr="006557B3">
        <w:rPr>
          <w:rFonts w:ascii="Times New Roman" w:hAnsi="Times New Roman" w:cs="Times New Roman"/>
          <w:sz w:val="24"/>
          <w:szCs w:val="24"/>
          <w:lang w:val="lv-LV"/>
        </w:rPr>
        <w:t>Tekstā tiek lietots saīsinājums „UB” – uztura bagātinātājs.</w:t>
      </w:r>
    </w:p>
    <w:p w14:paraId="5BE3F2A1" w14:textId="77777777" w:rsidR="000D5000" w:rsidRPr="006557B3" w:rsidRDefault="000D5000" w:rsidP="00C05C12">
      <w:pPr>
        <w:pStyle w:val="Default"/>
        <w:numPr>
          <w:ilvl w:val="0"/>
          <w:numId w:val="7"/>
        </w:numPr>
        <w:tabs>
          <w:tab w:val="left" w:pos="8647"/>
        </w:tabs>
        <w:adjustRightInd w:val="0"/>
        <w:jc w:val="right"/>
        <w:rPr>
          <w:rFonts w:ascii="Times New Roman" w:hAnsi="Times New Roman"/>
          <w:bCs/>
        </w:rPr>
      </w:pPr>
      <w:r w:rsidRPr="006557B3">
        <w:rPr>
          <w:rFonts w:ascii="Times New Roman" w:hAnsi="Times New Roman"/>
          <w:bCs/>
        </w:rPr>
        <w:t>attēls</w:t>
      </w:r>
    </w:p>
    <w:p w14:paraId="52DFE646" w14:textId="77777777" w:rsidR="000D5000" w:rsidRPr="006557B3" w:rsidRDefault="000D5000" w:rsidP="00C05C12">
      <w:pPr>
        <w:pStyle w:val="Default"/>
        <w:tabs>
          <w:tab w:val="left" w:pos="8647"/>
        </w:tabs>
        <w:ind w:left="720"/>
        <w:jc w:val="center"/>
        <w:rPr>
          <w:rFonts w:ascii="Times New Roman" w:hAnsi="Times New Roman"/>
          <w:bCs/>
        </w:rPr>
      </w:pPr>
    </w:p>
    <w:p w14:paraId="7291F8D2" w14:textId="77777777" w:rsidR="000D5000" w:rsidRPr="006557B3" w:rsidRDefault="000D5000" w:rsidP="00C05C12">
      <w:pPr>
        <w:pStyle w:val="Default"/>
        <w:tabs>
          <w:tab w:val="left" w:pos="8647"/>
        </w:tabs>
        <w:jc w:val="center"/>
        <w:rPr>
          <w:rFonts w:ascii="Times New Roman" w:hAnsi="Times New Roman"/>
        </w:rPr>
      </w:pPr>
      <w:r w:rsidRPr="006557B3">
        <w:rPr>
          <w:rFonts w:ascii="Times New Roman" w:hAnsi="Times New Roman"/>
          <w:noProof/>
        </w:rPr>
        <w:drawing>
          <wp:inline distT="0" distB="0" distL="0" distR="0" wp14:anchorId="59E3F8A9" wp14:editId="67EF3285">
            <wp:extent cx="4429125" cy="23050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5EA7696" w14:textId="09C0794A" w:rsidR="000D5000" w:rsidRPr="006557B3" w:rsidRDefault="000D5000" w:rsidP="00BB5595">
      <w:pPr>
        <w:pStyle w:val="Default"/>
        <w:tabs>
          <w:tab w:val="left" w:pos="8647"/>
        </w:tabs>
        <w:ind w:firstLine="709"/>
        <w:jc w:val="both"/>
        <w:rPr>
          <w:rFonts w:ascii="Times New Roman" w:hAnsi="Times New Roman"/>
        </w:rPr>
      </w:pPr>
      <w:r w:rsidRPr="006557B3">
        <w:rPr>
          <w:rFonts w:ascii="Times New Roman" w:hAnsi="Times New Roman"/>
        </w:rPr>
        <w:t>Laikposmā no 2012.</w:t>
      </w:r>
      <w:r w:rsidR="001212E4">
        <w:rPr>
          <w:rFonts w:ascii="Times New Roman" w:hAnsi="Times New Roman"/>
        </w:rPr>
        <w:t xml:space="preserve"> </w:t>
      </w:r>
      <w:r w:rsidRPr="006557B3">
        <w:rPr>
          <w:rFonts w:ascii="Times New Roman" w:hAnsi="Times New Roman"/>
        </w:rPr>
        <w:t>gada līdz 2015.</w:t>
      </w:r>
      <w:r w:rsidR="001212E4">
        <w:rPr>
          <w:rFonts w:ascii="Times New Roman" w:hAnsi="Times New Roman"/>
        </w:rPr>
        <w:t xml:space="preserve"> </w:t>
      </w:r>
      <w:r w:rsidRPr="006557B3">
        <w:rPr>
          <w:rFonts w:ascii="Times New Roman" w:hAnsi="Times New Roman"/>
        </w:rPr>
        <w:t>gadam ir novērojama stabila tendence</w:t>
      </w:r>
      <w:r w:rsidR="007175D0" w:rsidRPr="006557B3">
        <w:rPr>
          <w:rFonts w:ascii="Times New Roman" w:hAnsi="Times New Roman"/>
        </w:rPr>
        <w:t>, ka</w:t>
      </w:r>
      <w:r w:rsidRPr="006557B3">
        <w:rPr>
          <w:rFonts w:ascii="Times New Roman" w:hAnsi="Times New Roman"/>
        </w:rPr>
        <w:t xml:space="preserve"> katru gadu </w:t>
      </w:r>
      <w:r w:rsidR="007175D0" w:rsidRPr="006557B3">
        <w:rPr>
          <w:rFonts w:ascii="Times New Roman" w:hAnsi="Times New Roman"/>
        </w:rPr>
        <w:t>pieaug</w:t>
      </w:r>
      <w:r w:rsidRPr="006557B3">
        <w:rPr>
          <w:rFonts w:ascii="Times New Roman" w:hAnsi="Times New Roman"/>
        </w:rPr>
        <w:t xml:space="preserve"> </w:t>
      </w:r>
      <w:r w:rsidR="007175D0" w:rsidRPr="006557B3">
        <w:rPr>
          <w:rFonts w:ascii="Times New Roman" w:hAnsi="Times New Roman"/>
        </w:rPr>
        <w:t xml:space="preserve">paziņojumu skaits par </w:t>
      </w:r>
      <w:r w:rsidRPr="006557B3">
        <w:rPr>
          <w:rFonts w:ascii="Times New Roman" w:hAnsi="Times New Roman"/>
        </w:rPr>
        <w:t xml:space="preserve">jaunu </w:t>
      </w:r>
      <w:r w:rsidR="007175D0" w:rsidRPr="006557B3">
        <w:rPr>
          <w:rFonts w:ascii="Times New Roman" w:hAnsi="Times New Roman"/>
        </w:rPr>
        <w:t>uztura bagātinātāju</w:t>
      </w:r>
      <w:r w:rsidR="007175D0" w:rsidRPr="006557B3">
        <w:rPr>
          <w:rFonts w:ascii="Times New Roman" w:hAnsi="Times New Roman"/>
          <w:bCs/>
        </w:rPr>
        <w:t xml:space="preserve"> </w:t>
      </w:r>
      <w:r w:rsidR="007175D0" w:rsidRPr="006557B3">
        <w:rPr>
          <w:rFonts w:ascii="Times New Roman" w:hAnsi="Times New Roman"/>
        </w:rPr>
        <w:t>laišanu tirgū</w:t>
      </w:r>
      <w:r w:rsidRPr="006557B3">
        <w:rPr>
          <w:rFonts w:ascii="Times New Roman" w:hAnsi="Times New Roman"/>
        </w:rPr>
        <w:t xml:space="preserve">. </w:t>
      </w:r>
    </w:p>
    <w:p w14:paraId="41753FB3" w14:textId="5C5CFF17" w:rsidR="009E1EE8" w:rsidRPr="006557B3" w:rsidRDefault="000D5000" w:rsidP="00177B6B">
      <w:pPr>
        <w:pStyle w:val="Default"/>
        <w:tabs>
          <w:tab w:val="left" w:pos="8647"/>
        </w:tabs>
        <w:ind w:firstLine="709"/>
        <w:jc w:val="both"/>
        <w:rPr>
          <w:rFonts w:ascii="Times New Roman" w:hAnsi="Times New Roman"/>
        </w:rPr>
      </w:pPr>
      <w:r w:rsidRPr="006557B3">
        <w:rPr>
          <w:rFonts w:ascii="Times New Roman" w:hAnsi="Times New Roman"/>
        </w:rPr>
        <w:t>2015.</w:t>
      </w:r>
      <w:r w:rsidR="001212E4">
        <w:rPr>
          <w:rFonts w:ascii="Times New Roman" w:hAnsi="Times New Roman"/>
        </w:rPr>
        <w:t xml:space="preserve"> </w:t>
      </w:r>
      <w:r w:rsidRPr="006557B3">
        <w:rPr>
          <w:rFonts w:ascii="Times New Roman" w:hAnsi="Times New Roman"/>
        </w:rPr>
        <w:t>gada nogal</w:t>
      </w:r>
      <w:r w:rsidR="00C26AE3" w:rsidRPr="006557B3">
        <w:rPr>
          <w:rFonts w:ascii="Times New Roman" w:hAnsi="Times New Roman"/>
        </w:rPr>
        <w:t>ē</w:t>
      </w:r>
      <w:r w:rsidRPr="006557B3">
        <w:rPr>
          <w:rFonts w:ascii="Times New Roman" w:hAnsi="Times New Roman"/>
        </w:rPr>
        <w:t xml:space="preserve"> </w:t>
      </w:r>
      <w:r w:rsidR="007175D0" w:rsidRPr="006557B3">
        <w:rPr>
          <w:rFonts w:ascii="Times New Roman" w:hAnsi="Times New Roman"/>
        </w:rPr>
        <w:t>uztura bagātinātāju</w:t>
      </w:r>
      <w:r w:rsidR="007175D0" w:rsidRPr="006557B3">
        <w:rPr>
          <w:rFonts w:ascii="Times New Roman" w:hAnsi="Times New Roman"/>
          <w:bCs/>
        </w:rPr>
        <w:t xml:space="preserve"> reģistrā bija </w:t>
      </w:r>
      <w:r w:rsidRPr="006557B3">
        <w:rPr>
          <w:rFonts w:ascii="Times New Roman" w:hAnsi="Times New Roman"/>
        </w:rPr>
        <w:t xml:space="preserve">iekļauti 6070 </w:t>
      </w:r>
      <w:r w:rsidR="007175D0" w:rsidRPr="006557B3">
        <w:rPr>
          <w:rFonts w:ascii="Times New Roman" w:hAnsi="Times New Roman"/>
        </w:rPr>
        <w:t>uztura bagātinātāj</w:t>
      </w:r>
      <w:r w:rsidR="003A52E2" w:rsidRPr="006557B3">
        <w:rPr>
          <w:rFonts w:ascii="Times New Roman" w:hAnsi="Times New Roman"/>
        </w:rPr>
        <w:t>i</w:t>
      </w:r>
      <w:r w:rsidRPr="006557B3">
        <w:rPr>
          <w:rFonts w:ascii="Times New Roman" w:hAnsi="Times New Roman"/>
        </w:rPr>
        <w:t>.</w:t>
      </w:r>
      <w:r w:rsidR="00BB5595" w:rsidRPr="006557B3">
        <w:rPr>
          <w:rFonts w:ascii="Times New Roman" w:hAnsi="Times New Roman"/>
        </w:rPr>
        <w:t xml:space="preserve"> </w:t>
      </w:r>
      <w:r w:rsidR="007175D0" w:rsidRPr="006557B3">
        <w:rPr>
          <w:rFonts w:ascii="Times New Roman" w:hAnsi="Times New Roman"/>
          <w:bCs/>
        </w:rPr>
        <w:t xml:space="preserve">PVD </w:t>
      </w:r>
      <w:r w:rsidR="007175D0" w:rsidRPr="006557B3">
        <w:rPr>
          <w:rFonts w:ascii="Times New Roman" w:hAnsi="Times New Roman"/>
        </w:rPr>
        <w:t>uztura bagātinātāju</w:t>
      </w:r>
      <w:r w:rsidR="007175D0" w:rsidRPr="006557B3">
        <w:rPr>
          <w:rFonts w:ascii="Times New Roman" w:hAnsi="Times New Roman"/>
          <w:bCs/>
        </w:rPr>
        <w:t xml:space="preserve"> reģistrā </w:t>
      </w:r>
      <w:r w:rsidR="00C26AE3" w:rsidRPr="006557B3">
        <w:rPr>
          <w:rFonts w:ascii="Times New Roman" w:hAnsi="Times New Roman"/>
          <w:bCs/>
        </w:rPr>
        <w:t>izdarī</w:t>
      </w:r>
      <w:r w:rsidR="007175D0" w:rsidRPr="006557B3">
        <w:rPr>
          <w:rFonts w:ascii="Times New Roman" w:hAnsi="Times New Roman"/>
          <w:bCs/>
        </w:rPr>
        <w:t xml:space="preserve">tās izmaiņas </w:t>
      </w:r>
      <w:r w:rsidR="007175D0" w:rsidRPr="006557B3">
        <w:rPr>
          <w:rFonts w:ascii="Times New Roman" w:hAnsi="Times New Roman"/>
        </w:rPr>
        <w:t>reģistrētam uztura bagātinātājam</w:t>
      </w:r>
      <w:r w:rsidR="000A33D6" w:rsidRPr="006557B3">
        <w:rPr>
          <w:rFonts w:ascii="Times New Roman" w:hAnsi="Times New Roman"/>
        </w:rPr>
        <w:t xml:space="preserve"> laikposmā no 2011. gada līdz 2015.</w:t>
      </w:r>
      <w:r w:rsidR="001212E4">
        <w:rPr>
          <w:rFonts w:ascii="Times New Roman" w:hAnsi="Times New Roman"/>
        </w:rPr>
        <w:t xml:space="preserve"> </w:t>
      </w:r>
      <w:r w:rsidR="000A33D6" w:rsidRPr="006557B3">
        <w:rPr>
          <w:rFonts w:ascii="Times New Roman" w:hAnsi="Times New Roman"/>
        </w:rPr>
        <w:t xml:space="preserve">gadam </w:t>
      </w:r>
      <w:r w:rsidR="00C26AE3" w:rsidRPr="006557B3">
        <w:rPr>
          <w:rFonts w:ascii="Times New Roman" w:hAnsi="Times New Roman"/>
        </w:rPr>
        <w:t xml:space="preserve">atspoguļo </w:t>
      </w:r>
      <w:r w:rsidR="000A33D6" w:rsidRPr="006557B3">
        <w:rPr>
          <w:rFonts w:ascii="Times New Roman" w:hAnsi="Times New Roman"/>
        </w:rPr>
        <w:t>2.</w:t>
      </w:r>
      <w:r w:rsidR="001212E4">
        <w:rPr>
          <w:rFonts w:ascii="Times New Roman" w:hAnsi="Times New Roman"/>
        </w:rPr>
        <w:t xml:space="preserve"> </w:t>
      </w:r>
      <w:r w:rsidR="000A33D6" w:rsidRPr="006557B3">
        <w:rPr>
          <w:rFonts w:ascii="Times New Roman" w:hAnsi="Times New Roman"/>
        </w:rPr>
        <w:t>attēls.</w:t>
      </w:r>
    </w:p>
    <w:p w14:paraId="01FC3BAC" w14:textId="3F6E96CA" w:rsidR="000D5000" w:rsidRPr="006557B3" w:rsidRDefault="007E6424" w:rsidP="007E6424">
      <w:pPr>
        <w:pStyle w:val="Default"/>
        <w:tabs>
          <w:tab w:val="left" w:pos="8647"/>
        </w:tabs>
        <w:adjustRightInd w:val="0"/>
        <w:ind w:left="720"/>
        <w:jc w:val="right"/>
        <w:rPr>
          <w:rFonts w:ascii="Times New Roman" w:hAnsi="Times New Roman"/>
        </w:rPr>
      </w:pPr>
      <w:r>
        <w:rPr>
          <w:rFonts w:ascii="Times New Roman" w:hAnsi="Times New Roman"/>
        </w:rPr>
        <w:t>2.</w:t>
      </w:r>
      <w:r w:rsidR="000D5000" w:rsidRPr="006557B3">
        <w:rPr>
          <w:rFonts w:ascii="Times New Roman" w:hAnsi="Times New Roman"/>
        </w:rPr>
        <w:t>attēls</w:t>
      </w:r>
    </w:p>
    <w:p w14:paraId="4489D6E7" w14:textId="77777777" w:rsidR="000D5000" w:rsidRPr="006557B3" w:rsidRDefault="000D5000" w:rsidP="00C05C12">
      <w:pPr>
        <w:pStyle w:val="Default"/>
        <w:tabs>
          <w:tab w:val="left" w:pos="8647"/>
        </w:tabs>
        <w:jc w:val="center"/>
        <w:rPr>
          <w:rFonts w:ascii="Times New Roman" w:hAnsi="Times New Roman"/>
        </w:rPr>
      </w:pPr>
      <w:r w:rsidRPr="006557B3">
        <w:rPr>
          <w:rFonts w:ascii="Times New Roman" w:hAnsi="Times New Roman"/>
          <w:noProof/>
        </w:rPr>
        <w:drawing>
          <wp:inline distT="0" distB="0" distL="0" distR="0" wp14:anchorId="100D9A10" wp14:editId="2459D0C3">
            <wp:extent cx="4772025" cy="26193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3BEFE9" w14:textId="2D04B0E8" w:rsidR="00D032CA" w:rsidRPr="006557B3" w:rsidRDefault="00C26AE3" w:rsidP="00C05C12">
      <w:pPr>
        <w:pStyle w:val="Default"/>
        <w:tabs>
          <w:tab w:val="left" w:pos="8647"/>
        </w:tabs>
        <w:spacing w:before="120"/>
        <w:jc w:val="both"/>
        <w:rPr>
          <w:rFonts w:ascii="Times New Roman" w:hAnsi="Times New Roman"/>
          <w:u w:val="single"/>
        </w:rPr>
      </w:pPr>
      <w:r w:rsidRPr="006557B3">
        <w:rPr>
          <w:rFonts w:ascii="Times New Roman" w:hAnsi="Times New Roman"/>
        </w:rPr>
        <w:lastRenderedPageBreak/>
        <w:t xml:space="preserve">Dati par </w:t>
      </w:r>
      <w:r w:rsidR="003A52E2" w:rsidRPr="006557B3">
        <w:rPr>
          <w:rFonts w:ascii="Times New Roman" w:hAnsi="Times New Roman"/>
          <w:bCs/>
        </w:rPr>
        <w:t xml:space="preserve">PVD </w:t>
      </w:r>
      <w:r w:rsidR="003A52E2" w:rsidRPr="006557B3">
        <w:rPr>
          <w:rFonts w:ascii="Times New Roman" w:hAnsi="Times New Roman"/>
        </w:rPr>
        <w:t>uztura bagātinātāju</w:t>
      </w:r>
      <w:r w:rsidR="003A52E2" w:rsidRPr="006557B3">
        <w:rPr>
          <w:rFonts w:ascii="Times New Roman" w:hAnsi="Times New Roman"/>
          <w:bCs/>
        </w:rPr>
        <w:t xml:space="preserve"> reģistrā iekļaut</w:t>
      </w:r>
      <w:r w:rsidRPr="006557B3">
        <w:rPr>
          <w:rFonts w:ascii="Times New Roman" w:hAnsi="Times New Roman"/>
          <w:bCs/>
        </w:rPr>
        <w:t>o</w:t>
      </w:r>
      <w:r w:rsidR="003A52E2" w:rsidRPr="006557B3">
        <w:rPr>
          <w:rFonts w:ascii="Times New Roman" w:hAnsi="Times New Roman"/>
          <w:bCs/>
        </w:rPr>
        <w:t xml:space="preserve"> trešajās valstīs</w:t>
      </w:r>
      <w:r w:rsidR="003A52E2" w:rsidRPr="006557B3">
        <w:rPr>
          <w:rFonts w:ascii="Times New Roman" w:hAnsi="Times New Roman"/>
        </w:rPr>
        <w:t xml:space="preserve"> ražot</w:t>
      </w:r>
      <w:r w:rsidRPr="006557B3">
        <w:rPr>
          <w:rFonts w:ascii="Times New Roman" w:hAnsi="Times New Roman"/>
        </w:rPr>
        <w:t>o to</w:t>
      </w:r>
      <w:r w:rsidR="003A52E2" w:rsidRPr="006557B3">
        <w:rPr>
          <w:rFonts w:ascii="Times New Roman" w:hAnsi="Times New Roman"/>
        </w:rPr>
        <w:t xml:space="preserve"> uztura bagātinātāj</w:t>
      </w:r>
      <w:r w:rsidR="004F3293">
        <w:rPr>
          <w:rFonts w:ascii="Times New Roman" w:hAnsi="Times New Roman"/>
        </w:rPr>
        <w:t xml:space="preserve">u </w:t>
      </w:r>
      <w:r w:rsidR="004F3293" w:rsidRPr="006557B3">
        <w:rPr>
          <w:rFonts w:ascii="Times New Roman" w:hAnsi="Times New Roman"/>
        </w:rPr>
        <w:t>pieaugumu</w:t>
      </w:r>
      <w:r w:rsidR="003A52E2" w:rsidRPr="006557B3">
        <w:rPr>
          <w:rFonts w:ascii="Times New Roman" w:hAnsi="Times New Roman"/>
        </w:rPr>
        <w:t xml:space="preserve">, </w:t>
      </w:r>
      <w:r w:rsidR="002413B8" w:rsidRPr="006557B3">
        <w:rPr>
          <w:rFonts w:ascii="Times New Roman" w:hAnsi="Times New Roman"/>
        </w:rPr>
        <w:t>kas nebija laisti Eiropas Ekonomikas zonas valstu tirgū</w:t>
      </w:r>
      <w:r w:rsidR="00D032CA" w:rsidRPr="006557B3">
        <w:rPr>
          <w:rFonts w:ascii="Times New Roman" w:hAnsi="Times New Roman"/>
        </w:rPr>
        <w:t xml:space="preserve">, </w:t>
      </w:r>
      <w:r w:rsidRPr="006557B3">
        <w:rPr>
          <w:rFonts w:ascii="Times New Roman" w:hAnsi="Times New Roman"/>
        </w:rPr>
        <w:t>salīdzinājumā ar</w:t>
      </w:r>
      <w:r w:rsidR="00D032CA" w:rsidRPr="006557B3">
        <w:rPr>
          <w:rFonts w:ascii="Times New Roman" w:hAnsi="Times New Roman"/>
        </w:rPr>
        <w:t xml:space="preserve"> jaunu uztura bagātinātāju kopēj</w:t>
      </w:r>
      <w:r w:rsidRPr="006557B3">
        <w:rPr>
          <w:rFonts w:ascii="Times New Roman" w:hAnsi="Times New Roman"/>
        </w:rPr>
        <w:t>o</w:t>
      </w:r>
      <w:r w:rsidR="00D032CA" w:rsidRPr="006557B3">
        <w:rPr>
          <w:rFonts w:ascii="Times New Roman" w:hAnsi="Times New Roman"/>
        </w:rPr>
        <w:t xml:space="preserve"> skait</w:t>
      </w:r>
      <w:r w:rsidRPr="006557B3">
        <w:rPr>
          <w:rFonts w:ascii="Times New Roman" w:hAnsi="Times New Roman"/>
        </w:rPr>
        <w:t>u</w:t>
      </w:r>
      <w:r w:rsidR="00D032CA" w:rsidRPr="006557B3">
        <w:rPr>
          <w:rFonts w:ascii="Times New Roman" w:hAnsi="Times New Roman"/>
        </w:rPr>
        <w:t xml:space="preserve"> laikposmā no 2011. gada līdz 2015.</w:t>
      </w:r>
      <w:r w:rsidR="00E6245E">
        <w:rPr>
          <w:rFonts w:ascii="Times New Roman" w:hAnsi="Times New Roman"/>
        </w:rPr>
        <w:t xml:space="preserve"> </w:t>
      </w:r>
      <w:r w:rsidR="00D032CA" w:rsidRPr="006557B3">
        <w:rPr>
          <w:rFonts w:ascii="Times New Roman" w:hAnsi="Times New Roman"/>
        </w:rPr>
        <w:t>gadam</w:t>
      </w:r>
      <w:r w:rsidRPr="006557B3">
        <w:rPr>
          <w:rFonts w:ascii="Times New Roman" w:hAnsi="Times New Roman"/>
        </w:rPr>
        <w:t xml:space="preserve"> doti </w:t>
      </w:r>
      <w:r w:rsidR="00D032CA" w:rsidRPr="006557B3">
        <w:rPr>
          <w:rFonts w:ascii="Times New Roman" w:hAnsi="Times New Roman"/>
        </w:rPr>
        <w:t>3.</w:t>
      </w:r>
      <w:r w:rsidR="00561538">
        <w:rPr>
          <w:rFonts w:ascii="Times New Roman" w:hAnsi="Times New Roman"/>
        </w:rPr>
        <w:t xml:space="preserve"> </w:t>
      </w:r>
      <w:r w:rsidR="00D032CA" w:rsidRPr="006557B3">
        <w:rPr>
          <w:rFonts w:ascii="Times New Roman" w:hAnsi="Times New Roman"/>
        </w:rPr>
        <w:t>attēl</w:t>
      </w:r>
      <w:r w:rsidRPr="006557B3">
        <w:rPr>
          <w:rFonts w:ascii="Times New Roman" w:hAnsi="Times New Roman"/>
        </w:rPr>
        <w:t>ā</w:t>
      </w:r>
      <w:r w:rsidR="00D032CA" w:rsidRPr="006557B3">
        <w:rPr>
          <w:rFonts w:ascii="Times New Roman" w:hAnsi="Times New Roman"/>
        </w:rPr>
        <w:t>.</w:t>
      </w:r>
    </w:p>
    <w:p w14:paraId="3C6F95E9" w14:textId="77777777" w:rsidR="000D5000" w:rsidRPr="006557B3" w:rsidRDefault="000D5000" w:rsidP="00C05C12">
      <w:pPr>
        <w:pStyle w:val="Default"/>
        <w:tabs>
          <w:tab w:val="left" w:pos="8647"/>
        </w:tabs>
        <w:jc w:val="right"/>
        <w:rPr>
          <w:rFonts w:ascii="Times New Roman" w:hAnsi="Times New Roman"/>
          <w:bCs/>
        </w:rPr>
      </w:pPr>
      <w:r w:rsidRPr="006557B3">
        <w:rPr>
          <w:rFonts w:ascii="Times New Roman" w:hAnsi="Times New Roman"/>
          <w:bCs/>
        </w:rPr>
        <w:t>3.attēls</w:t>
      </w:r>
    </w:p>
    <w:p w14:paraId="1FD6E470" w14:textId="77777777" w:rsidR="000D5000" w:rsidRPr="006557B3" w:rsidRDefault="000D5000" w:rsidP="00C05C12">
      <w:pPr>
        <w:tabs>
          <w:tab w:val="left" w:pos="8647"/>
        </w:tabs>
        <w:jc w:val="center"/>
        <w:rPr>
          <w:rFonts w:ascii="Times New Roman" w:hAnsi="Times New Roman" w:cs="Times New Roman"/>
          <w:b/>
          <w:color w:val="FF0000"/>
          <w:sz w:val="24"/>
          <w:szCs w:val="24"/>
        </w:rPr>
      </w:pPr>
      <w:r w:rsidRPr="006557B3">
        <w:rPr>
          <w:rFonts w:ascii="Times New Roman" w:hAnsi="Times New Roman" w:cs="Times New Roman"/>
          <w:noProof/>
          <w:sz w:val="24"/>
          <w:szCs w:val="24"/>
          <w:lang w:val="lv-LV" w:eastAsia="lv-LV"/>
        </w:rPr>
        <w:drawing>
          <wp:inline distT="0" distB="0" distL="0" distR="0" wp14:anchorId="392581FF" wp14:editId="275E148A">
            <wp:extent cx="5067300" cy="2804160"/>
            <wp:effectExtent l="0" t="0" r="1905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FB03430" w14:textId="77777777" w:rsidR="00C51ED8" w:rsidRPr="006557B3" w:rsidRDefault="000B3B27" w:rsidP="00C05C12">
      <w:pPr>
        <w:pStyle w:val="Sarakstarindkopa"/>
        <w:keepNext/>
        <w:numPr>
          <w:ilvl w:val="2"/>
          <w:numId w:val="17"/>
        </w:numPr>
        <w:tabs>
          <w:tab w:val="left" w:pos="8647"/>
        </w:tabs>
        <w:spacing w:after="0" w:line="240" w:lineRule="auto"/>
        <w:jc w:val="both"/>
        <w:rPr>
          <w:rFonts w:ascii="Times New Roman" w:hAnsi="Times New Roman"/>
          <w:b/>
          <w:sz w:val="24"/>
          <w:szCs w:val="24"/>
          <w:lang w:val="lv-LV"/>
        </w:rPr>
      </w:pPr>
      <w:r w:rsidRPr="006557B3">
        <w:rPr>
          <w:rFonts w:ascii="Times New Roman" w:hAnsi="Times New Roman"/>
          <w:b/>
          <w:sz w:val="24"/>
          <w:szCs w:val="24"/>
          <w:lang w:val="lv-LV"/>
        </w:rPr>
        <w:t>U</w:t>
      </w:r>
      <w:r w:rsidR="00C51ED8" w:rsidRPr="006557B3">
        <w:rPr>
          <w:rFonts w:ascii="Times New Roman" w:hAnsi="Times New Roman"/>
          <w:b/>
          <w:sz w:val="24"/>
          <w:szCs w:val="24"/>
          <w:lang w:val="lv-LV"/>
        </w:rPr>
        <w:t>ztura bagātinātāju iekšējā tirgus kontrole</w:t>
      </w:r>
    </w:p>
    <w:p w14:paraId="2885D01D" w14:textId="55A4EC44" w:rsidR="00CE7BD9" w:rsidRPr="006557B3" w:rsidRDefault="00156FB4" w:rsidP="0074757E">
      <w:pPr>
        <w:keepNext/>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color w:val="000000" w:themeColor="text1"/>
          <w:sz w:val="24"/>
          <w:szCs w:val="24"/>
          <w:lang w:val="lv-LV"/>
        </w:rPr>
        <w:t xml:space="preserve">Visi PVD pārtikas uzņēmumu </w:t>
      </w:r>
      <w:r w:rsidR="00914EDC" w:rsidRPr="006557B3">
        <w:rPr>
          <w:rFonts w:ascii="Times New Roman" w:hAnsi="Times New Roman" w:cs="Times New Roman"/>
          <w:color w:val="000000" w:themeColor="text1"/>
          <w:sz w:val="24"/>
          <w:szCs w:val="24"/>
          <w:lang w:val="lv-LV"/>
        </w:rPr>
        <w:t>kontroļu</w:t>
      </w:r>
      <w:r w:rsidRPr="006557B3">
        <w:rPr>
          <w:rFonts w:ascii="Times New Roman" w:hAnsi="Times New Roman" w:cs="Times New Roman"/>
          <w:color w:val="000000" w:themeColor="text1"/>
          <w:sz w:val="24"/>
          <w:szCs w:val="24"/>
          <w:lang w:val="lv-LV"/>
        </w:rPr>
        <w:t xml:space="preserve"> rezultāti tiek protokolēti un ievadīti PVD </w:t>
      </w:r>
      <w:r w:rsidR="00E13778" w:rsidRPr="006557B3">
        <w:rPr>
          <w:rFonts w:ascii="Times New Roman" w:hAnsi="Times New Roman" w:cs="Times New Roman"/>
          <w:color w:val="000000" w:themeColor="text1"/>
          <w:sz w:val="24"/>
          <w:szCs w:val="24"/>
          <w:lang w:val="lv-LV"/>
        </w:rPr>
        <w:t>kontroles</w:t>
      </w:r>
      <w:r w:rsidRPr="006557B3">
        <w:rPr>
          <w:rFonts w:ascii="Times New Roman" w:hAnsi="Times New Roman" w:cs="Times New Roman"/>
          <w:color w:val="000000" w:themeColor="text1"/>
          <w:sz w:val="24"/>
          <w:szCs w:val="24"/>
          <w:lang w:val="lv-LV"/>
        </w:rPr>
        <w:t xml:space="preserve"> protokolu datubāzē.</w:t>
      </w:r>
      <w:r w:rsidR="0074757E" w:rsidRPr="006557B3">
        <w:rPr>
          <w:rFonts w:ascii="Times New Roman" w:hAnsi="Times New Roman" w:cs="Times New Roman"/>
          <w:color w:val="000000" w:themeColor="text1"/>
          <w:sz w:val="24"/>
          <w:szCs w:val="24"/>
          <w:lang w:val="lv-LV"/>
        </w:rPr>
        <w:t xml:space="preserve"> </w:t>
      </w:r>
      <w:r w:rsidR="00CE7BD9" w:rsidRPr="006557B3">
        <w:rPr>
          <w:rFonts w:ascii="Times New Roman" w:hAnsi="Times New Roman" w:cs="Times New Roman"/>
          <w:sz w:val="24"/>
          <w:szCs w:val="24"/>
          <w:lang w:val="lv-LV"/>
        </w:rPr>
        <w:t xml:space="preserve">PVD </w:t>
      </w:r>
      <w:r w:rsidR="00C26AE3" w:rsidRPr="006557B3">
        <w:rPr>
          <w:rFonts w:ascii="Times New Roman" w:hAnsi="Times New Roman" w:cs="Times New Roman"/>
          <w:sz w:val="24"/>
          <w:szCs w:val="24"/>
          <w:lang w:val="lv-LV"/>
        </w:rPr>
        <w:t>patlaban</w:t>
      </w:r>
      <w:r w:rsidR="00CE7BD9" w:rsidRPr="006557B3">
        <w:rPr>
          <w:rFonts w:ascii="Times New Roman" w:hAnsi="Times New Roman" w:cs="Times New Roman"/>
          <w:sz w:val="24"/>
          <w:szCs w:val="24"/>
          <w:lang w:val="lv-LV"/>
        </w:rPr>
        <w:t xml:space="preserve"> ir pieejama informācija par visām veiktajām </w:t>
      </w:r>
      <w:r w:rsidR="004018F8" w:rsidRPr="006557B3">
        <w:rPr>
          <w:rFonts w:ascii="Times New Roman" w:hAnsi="Times New Roman" w:cs="Times New Roman"/>
          <w:sz w:val="24"/>
          <w:szCs w:val="24"/>
          <w:lang w:val="lv-LV"/>
        </w:rPr>
        <w:t>kontrolēm</w:t>
      </w:r>
      <w:r w:rsidR="00CE7BD9" w:rsidRPr="006557B3">
        <w:rPr>
          <w:rFonts w:ascii="Times New Roman" w:hAnsi="Times New Roman" w:cs="Times New Roman"/>
          <w:sz w:val="24"/>
          <w:szCs w:val="24"/>
          <w:lang w:val="lv-LV"/>
        </w:rPr>
        <w:t xml:space="preserve"> dažād</w:t>
      </w:r>
      <w:r w:rsidR="00C26AE3" w:rsidRPr="006557B3">
        <w:rPr>
          <w:rFonts w:ascii="Times New Roman" w:hAnsi="Times New Roman" w:cs="Times New Roman"/>
          <w:sz w:val="24"/>
          <w:szCs w:val="24"/>
          <w:lang w:val="lv-LV"/>
        </w:rPr>
        <w:t>os</w:t>
      </w:r>
      <w:r w:rsidR="00CE7BD9" w:rsidRPr="006557B3">
        <w:rPr>
          <w:rFonts w:ascii="Times New Roman" w:hAnsi="Times New Roman" w:cs="Times New Roman"/>
          <w:sz w:val="24"/>
          <w:szCs w:val="24"/>
          <w:lang w:val="lv-LV"/>
        </w:rPr>
        <w:t xml:space="preserve"> uzraudzības uzņēmum</w:t>
      </w:r>
      <w:r w:rsidR="00C26AE3" w:rsidRPr="006557B3">
        <w:rPr>
          <w:rFonts w:ascii="Times New Roman" w:hAnsi="Times New Roman" w:cs="Times New Roman"/>
          <w:sz w:val="24"/>
          <w:szCs w:val="24"/>
          <w:lang w:val="lv-LV"/>
        </w:rPr>
        <w:t>os</w:t>
      </w:r>
      <w:r w:rsidR="00CE7BD9" w:rsidRPr="006557B3">
        <w:rPr>
          <w:rFonts w:ascii="Times New Roman" w:hAnsi="Times New Roman" w:cs="Times New Roman"/>
          <w:sz w:val="24"/>
          <w:szCs w:val="24"/>
          <w:lang w:val="lv-LV"/>
        </w:rPr>
        <w:t>, tostarp ir iespējams atlasīt</w:t>
      </w:r>
      <w:r w:rsidR="00DB1D9B" w:rsidRPr="006557B3">
        <w:rPr>
          <w:rFonts w:ascii="Times New Roman" w:hAnsi="Times New Roman" w:cs="Times New Roman"/>
          <w:sz w:val="24"/>
          <w:szCs w:val="24"/>
          <w:lang w:val="lv-LV"/>
        </w:rPr>
        <w:t>,</w:t>
      </w:r>
      <w:r w:rsidR="00CE7BD9" w:rsidRPr="006557B3">
        <w:rPr>
          <w:rFonts w:ascii="Times New Roman" w:hAnsi="Times New Roman" w:cs="Times New Roman"/>
          <w:sz w:val="24"/>
          <w:szCs w:val="24"/>
          <w:lang w:val="lv-LV"/>
        </w:rPr>
        <w:t xml:space="preserve"> cik </w:t>
      </w:r>
      <w:r w:rsidR="004018F8" w:rsidRPr="006557B3">
        <w:rPr>
          <w:rFonts w:ascii="Times New Roman" w:hAnsi="Times New Roman" w:cs="Times New Roman"/>
          <w:sz w:val="24"/>
          <w:szCs w:val="24"/>
          <w:lang w:val="lv-LV"/>
        </w:rPr>
        <w:t>kontroļu</w:t>
      </w:r>
      <w:r w:rsidR="00CE7BD9" w:rsidRPr="006557B3">
        <w:rPr>
          <w:rFonts w:ascii="Times New Roman" w:hAnsi="Times New Roman" w:cs="Times New Roman"/>
          <w:sz w:val="24"/>
          <w:szCs w:val="24"/>
          <w:lang w:val="lv-LV"/>
        </w:rPr>
        <w:t xml:space="preserve"> veikts aptiekās</w:t>
      </w:r>
      <w:r w:rsidR="00DB1D9B" w:rsidRPr="006557B3">
        <w:rPr>
          <w:rFonts w:ascii="Times New Roman" w:hAnsi="Times New Roman" w:cs="Times New Roman"/>
          <w:sz w:val="24"/>
          <w:szCs w:val="24"/>
          <w:lang w:val="lv-LV"/>
        </w:rPr>
        <w:t xml:space="preserve"> un</w:t>
      </w:r>
      <w:r w:rsidR="00CE7BD9" w:rsidRPr="006557B3">
        <w:rPr>
          <w:rFonts w:ascii="Times New Roman" w:hAnsi="Times New Roman" w:cs="Times New Roman"/>
          <w:sz w:val="24"/>
          <w:szCs w:val="24"/>
          <w:lang w:val="lv-LV"/>
        </w:rPr>
        <w:t xml:space="preserve"> zāļu lieltirgotavās, bet nav iespējams atlasīt informāciju</w:t>
      </w:r>
      <w:r w:rsidR="00C26AE3" w:rsidRPr="006557B3">
        <w:rPr>
          <w:rFonts w:ascii="Times New Roman" w:hAnsi="Times New Roman" w:cs="Times New Roman"/>
          <w:sz w:val="24"/>
          <w:szCs w:val="24"/>
          <w:lang w:val="lv-LV"/>
        </w:rPr>
        <w:t xml:space="preserve"> par to</w:t>
      </w:r>
      <w:r w:rsidR="00CE7BD9" w:rsidRPr="006557B3">
        <w:rPr>
          <w:rFonts w:ascii="Times New Roman" w:hAnsi="Times New Roman" w:cs="Times New Roman"/>
          <w:sz w:val="24"/>
          <w:szCs w:val="24"/>
          <w:lang w:val="lv-LV"/>
        </w:rPr>
        <w:t xml:space="preserve">, cik </w:t>
      </w:r>
      <w:r w:rsidR="004018F8" w:rsidRPr="006557B3">
        <w:rPr>
          <w:rFonts w:ascii="Times New Roman" w:hAnsi="Times New Roman" w:cs="Times New Roman"/>
          <w:sz w:val="24"/>
          <w:szCs w:val="24"/>
          <w:lang w:val="lv-LV"/>
        </w:rPr>
        <w:t>kontroļu</w:t>
      </w:r>
      <w:r w:rsidR="00CE7BD9" w:rsidRPr="006557B3">
        <w:rPr>
          <w:rFonts w:ascii="Times New Roman" w:hAnsi="Times New Roman" w:cs="Times New Roman"/>
          <w:sz w:val="24"/>
          <w:szCs w:val="24"/>
          <w:lang w:val="lv-LV"/>
        </w:rPr>
        <w:t xml:space="preserve"> bija saistītas ar uztura bagātinātāj</w:t>
      </w:r>
      <w:r w:rsidR="00C26AE3" w:rsidRPr="006557B3">
        <w:rPr>
          <w:rFonts w:ascii="Times New Roman" w:hAnsi="Times New Roman" w:cs="Times New Roman"/>
          <w:sz w:val="24"/>
          <w:szCs w:val="24"/>
          <w:lang w:val="lv-LV"/>
        </w:rPr>
        <w:t>iem</w:t>
      </w:r>
      <w:r w:rsidR="00CE7BD9" w:rsidRPr="006557B3">
        <w:rPr>
          <w:rFonts w:ascii="Times New Roman" w:hAnsi="Times New Roman" w:cs="Times New Roman"/>
          <w:sz w:val="24"/>
          <w:szCs w:val="24"/>
          <w:lang w:val="lv-LV"/>
        </w:rPr>
        <w:t>.</w:t>
      </w:r>
    </w:p>
    <w:p w14:paraId="308DAF32" w14:textId="77777777" w:rsidR="00156FB4" w:rsidRPr="006557B3" w:rsidRDefault="00156FB4" w:rsidP="00C05C12">
      <w:pPr>
        <w:tabs>
          <w:tab w:val="left" w:pos="8647"/>
        </w:tabs>
        <w:spacing w:after="0" w:line="240" w:lineRule="auto"/>
        <w:jc w:val="both"/>
        <w:rPr>
          <w:rFonts w:ascii="Times New Roman" w:hAnsi="Times New Roman" w:cs="Times New Roman"/>
          <w:sz w:val="24"/>
          <w:szCs w:val="24"/>
          <w:lang w:val="lv-LV"/>
        </w:rPr>
      </w:pPr>
    </w:p>
    <w:p w14:paraId="4686CFA7" w14:textId="4D01FBD0" w:rsidR="00FC7AE6" w:rsidRPr="006557B3" w:rsidRDefault="009D1A6E" w:rsidP="00C05C12">
      <w:pPr>
        <w:keepNext/>
        <w:tabs>
          <w:tab w:val="left" w:pos="8647"/>
        </w:tabs>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t>6.5.3.1</w:t>
      </w:r>
      <w:r w:rsidR="00CE7BD9" w:rsidRPr="006557B3">
        <w:rPr>
          <w:rFonts w:ascii="Times New Roman" w:hAnsi="Times New Roman" w:cs="Times New Roman"/>
          <w:b/>
          <w:sz w:val="24"/>
          <w:szCs w:val="24"/>
          <w:lang w:val="lv-LV"/>
        </w:rPr>
        <w:t xml:space="preserve">. </w:t>
      </w:r>
      <w:r w:rsidRPr="006557B3">
        <w:rPr>
          <w:rFonts w:ascii="Times New Roman" w:hAnsi="Times New Roman" w:cs="Times New Roman"/>
          <w:b/>
          <w:sz w:val="24"/>
          <w:szCs w:val="24"/>
          <w:lang w:val="lv-LV"/>
        </w:rPr>
        <w:t>U</w:t>
      </w:r>
      <w:r w:rsidR="00FC7AE6" w:rsidRPr="006557B3">
        <w:rPr>
          <w:rFonts w:ascii="Times New Roman" w:hAnsi="Times New Roman" w:cs="Times New Roman"/>
          <w:b/>
          <w:sz w:val="24"/>
          <w:szCs w:val="24"/>
          <w:lang w:val="lv-LV"/>
        </w:rPr>
        <w:t xml:space="preserve">ztura bagātinātāju laboratoriskā </w:t>
      </w:r>
      <w:r w:rsidR="00A01D65" w:rsidRPr="006557B3">
        <w:rPr>
          <w:rFonts w:ascii="Times New Roman" w:hAnsi="Times New Roman" w:cs="Times New Roman"/>
          <w:b/>
          <w:sz w:val="24"/>
          <w:szCs w:val="24"/>
          <w:lang w:val="lv-LV"/>
        </w:rPr>
        <w:t>kontrole</w:t>
      </w:r>
      <w:r w:rsidR="00FC7AE6" w:rsidRPr="006557B3">
        <w:rPr>
          <w:rFonts w:ascii="Times New Roman" w:hAnsi="Times New Roman" w:cs="Times New Roman"/>
          <w:b/>
          <w:sz w:val="24"/>
          <w:szCs w:val="24"/>
          <w:lang w:val="lv-LV"/>
        </w:rPr>
        <w:t xml:space="preserve"> iekšējā tirgū</w:t>
      </w:r>
    </w:p>
    <w:p w14:paraId="3CD9263D" w14:textId="28037AB7" w:rsidR="000D5000" w:rsidRPr="006557B3" w:rsidRDefault="00FC7AE6" w:rsidP="00C05C12">
      <w:pPr>
        <w:keepNext/>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E</w:t>
      </w:r>
      <w:r w:rsidR="0093533C" w:rsidRPr="006557B3">
        <w:rPr>
          <w:rFonts w:ascii="Times New Roman" w:hAnsi="Times New Roman" w:cs="Times New Roman"/>
          <w:sz w:val="24"/>
          <w:szCs w:val="24"/>
          <w:lang w:val="lv-LV"/>
        </w:rPr>
        <w:t xml:space="preserve">iropas </w:t>
      </w:r>
      <w:r w:rsidRPr="006557B3">
        <w:rPr>
          <w:rFonts w:ascii="Times New Roman" w:hAnsi="Times New Roman" w:cs="Times New Roman"/>
          <w:sz w:val="24"/>
          <w:szCs w:val="24"/>
          <w:lang w:val="lv-LV"/>
        </w:rPr>
        <w:t>S</w:t>
      </w:r>
      <w:r w:rsidR="0093533C" w:rsidRPr="006557B3">
        <w:rPr>
          <w:rFonts w:ascii="Times New Roman" w:hAnsi="Times New Roman" w:cs="Times New Roman"/>
          <w:sz w:val="24"/>
          <w:szCs w:val="24"/>
          <w:lang w:val="lv-LV"/>
        </w:rPr>
        <w:t>avienības</w:t>
      </w:r>
      <w:r w:rsidRPr="006557B3">
        <w:rPr>
          <w:rFonts w:ascii="Times New Roman" w:hAnsi="Times New Roman" w:cs="Times New Roman"/>
          <w:sz w:val="24"/>
          <w:szCs w:val="24"/>
          <w:lang w:val="lv-LV"/>
        </w:rPr>
        <w:t xml:space="preserve"> </w:t>
      </w:r>
      <w:r w:rsidR="007455D6" w:rsidRPr="006557B3">
        <w:rPr>
          <w:rFonts w:ascii="Times New Roman" w:hAnsi="Times New Roman" w:cs="Times New Roman"/>
          <w:sz w:val="24"/>
          <w:szCs w:val="24"/>
          <w:lang w:val="lv-LV"/>
        </w:rPr>
        <w:t xml:space="preserve">normatīvajos </w:t>
      </w:r>
      <w:r w:rsidRPr="006557B3">
        <w:rPr>
          <w:rFonts w:ascii="Times New Roman" w:hAnsi="Times New Roman" w:cs="Times New Roman"/>
          <w:sz w:val="24"/>
          <w:szCs w:val="24"/>
          <w:lang w:val="lv-LV"/>
        </w:rPr>
        <w:t>aktos nav noteikts</w:t>
      </w:r>
      <w:r w:rsidR="007455D6" w:rsidRPr="006557B3">
        <w:rPr>
          <w:rFonts w:ascii="Times New Roman" w:hAnsi="Times New Roman" w:cs="Times New Roman"/>
          <w:sz w:val="24"/>
          <w:szCs w:val="24"/>
          <w:lang w:val="lv-LV"/>
        </w:rPr>
        <w:t xml:space="preserve">, ka jāīsteno </w:t>
      </w:r>
      <w:r w:rsidRPr="006557B3">
        <w:rPr>
          <w:rFonts w:ascii="Times New Roman" w:hAnsi="Times New Roman" w:cs="Times New Roman"/>
          <w:sz w:val="24"/>
          <w:szCs w:val="24"/>
          <w:lang w:val="lv-LV"/>
        </w:rPr>
        <w:t>obligātās monitoringa programmas uztura bagātinātājiem, nosūtot paraugu analīzēm uz laboratoriju.</w:t>
      </w:r>
      <w:r w:rsidR="0093533C" w:rsidRPr="006557B3">
        <w:rPr>
          <w:rFonts w:ascii="Times New Roman" w:hAnsi="Times New Roman" w:cs="Times New Roman"/>
          <w:sz w:val="24"/>
          <w:szCs w:val="24"/>
          <w:lang w:val="lv-LV"/>
        </w:rPr>
        <w:t xml:space="preserve"> </w:t>
      </w:r>
      <w:r w:rsidR="000D5000" w:rsidRPr="006557B3">
        <w:rPr>
          <w:rFonts w:ascii="Times New Roman" w:hAnsi="Times New Roman" w:cs="Times New Roman"/>
          <w:sz w:val="24"/>
          <w:szCs w:val="24"/>
          <w:lang w:val="lv-LV"/>
        </w:rPr>
        <w:t>Līdz 2015.</w:t>
      </w:r>
      <w:r w:rsidR="00561538">
        <w:rPr>
          <w:rFonts w:ascii="Times New Roman" w:hAnsi="Times New Roman" w:cs="Times New Roman"/>
          <w:sz w:val="24"/>
          <w:szCs w:val="24"/>
          <w:lang w:val="lv-LV"/>
        </w:rPr>
        <w:t xml:space="preserve"> </w:t>
      </w:r>
      <w:r w:rsidR="000D5000" w:rsidRPr="006557B3">
        <w:rPr>
          <w:rFonts w:ascii="Times New Roman" w:hAnsi="Times New Roman" w:cs="Times New Roman"/>
          <w:sz w:val="24"/>
          <w:szCs w:val="24"/>
          <w:lang w:val="lv-LV"/>
        </w:rPr>
        <w:t>gadam PVD monitoringa programmas</w:t>
      </w:r>
      <w:r w:rsidRPr="006557B3">
        <w:rPr>
          <w:rFonts w:ascii="Times New Roman" w:hAnsi="Times New Roman" w:cs="Times New Roman"/>
          <w:sz w:val="24"/>
          <w:szCs w:val="24"/>
          <w:lang w:val="lv-LV"/>
        </w:rPr>
        <w:t xml:space="preserve"> </w:t>
      </w:r>
      <w:r w:rsidR="000D5000" w:rsidRPr="006557B3">
        <w:rPr>
          <w:rFonts w:ascii="Times New Roman" w:hAnsi="Times New Roman" w:cs="Times New Roman"/>
          <w:sz w:val="24"/>
          <w:szCs w:val="24"/>
          <w:lang w:val="lv-LV"/>
        </w:rPr>
        <w:t xml:space="preserve">neparedzēja </w:t>
      </w:r>
      <w:r w:rsidRPr="006557B3">
        <w:rPr>
          <w:rFonts w:ascii="Times New Roman" w:hAnsi="Times New Roman" w:cs="Times New Roman"/>
          <w:sz w:val="24"/>
          <w:szCs w:val="24"/>
          <w:lang w:val="lv-LV"/>
        </w:rPr>
        <w:t>uztura bagātinātāj</w:t>
      </w:r>
      <w:r w:rsidR="007455D6" w:rsidRPr="006557B3">
        <w:rPr>
          <w:rFonts w:ascii="Times New Roman" w:hAnsi="Times New Roman" w:cs="Times New Roman"/>
          <w:sz w:val="24"/>
          <w:szCs w:val="24"/>
          <w:lang w:val="lv-LV"/>
        </w:rPr>
        <w:t>u</w:t>
      </w:r>
      <w:r w:rsidRPr="006557B3">
        <w:rPr>
          <w:rFonts w:ascii="Times New Roman" w:hAnsi="Times New Roman" w:cs="Times New Roman"/>
          <w:sz w:val="24"/>
          <w:szCs w:val="24"/>
          <w:lang w:val="lv-LV"/>
        </w:rPr>
        <w:t xml:space="preserve"> </w:t>
      </w:r>
      <w:r w:rsidR="000D5000" w:rsidRPr="006557B3">
        <w:rPr>
          <w:rFonts w:ascii="Times New Roman" w:hAnsi="Times New Roman" w:cs="Times New Roman"/>
          <w:sz w:val="24"/>
          <w:szCs w:val="24"/>
          <w:lang w:val="lv-LV"/>
        </w:rPr>
        <w:t xml:space="preserve">regulāru laboratorisko </w:t>
      </w:r>
      <w:r w:rsidR="009F7A1C" w:rsidRPr="006557B3">
        <w:rPr>
          <w:rFonts w:ascii="Times New Roman" w:hAnsi="Times New Roman" w:cs="Times New Roman"/>
          <w:sz w:val="24"/>
          <w:szCs w:val="24"/>
          <w:lang w:val="lv-LV"/>
        </w:rPr>
        <w:t>kontroli</w:t>
      </w:r>
      <w:r w:rsidR="000D5000" w:rsidRPr="006557B3">
        <w:rPr>
          <w:rFonts w:ascii="Times New Roman" w:hAnsi="Times New Roman" w:cs="Times New Roman"/>
          <w:sz w:val="24"/>
          <w:szCs w:val="24"/>
          <w:lang w:val="lv-LV"/>
        </w:rPr>
        <w:t xml:space="preserve">. </w:t>
      </w:r>
    </w:p>
    <w:p w14:paraId="719CD390" w14:textId="656F4BE2" w:rsidR="0093533C" w:rsidRPr="006557B3" w:rsidRDefault="007455D6"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Paraugu l</w:t>
      </w:r>
      <w:r w:rsidR="000D5000" w:rsidRPr="006557B3">
        <w:rPr>
          <w:rFonts w:ascii="Times New Roman" w:hAnsi="Times New Roman" w:cs="Times New Roman"/>
          <w:sz w:val="24"/>
          <w:szCs w:val="24"/>
          <w:lang w:val="lv-LV"/>
        </w:rPr>
        <w:t xml:space="preserve">aboratoriskā </w:t>
      </w:r>
      <w:r w:rsidR="00A01D65" w:rsidRPr="006557B3">
        <w:rPr>
          <w:rFonts w:ascii="Times New Roman" w:hAnsi="Times New Roman" w:cs="Times New Roman"/>
          <w:sz w:val="24"/>
          <w:szCs w:val="24"/>
          <w:lang w:val="lv-LV"/>
        </w:rPr>
        <w:t>kontrole</w:t>
      </w:r>
      <w:r w:rsidR="000D5000" w:rsidRPr="006557B3">
        <w:rPr>
          <w:rFonts w:ascii="Times New Roman" w:hAnsi="Times New Roman" w:cs="Times New Roman"/>
          <w:sz w:val="24"/>
          <w:szCs w:val="24"/>
          <w:lang w:val="lv-LV"/>
        </w:rPr>
        <w:t xml:space="preserve"> bija iespējama</w:t>
      </w:r>
      <w:r w:rsidRPr="006557B3">
        <w:rPr>
          <w:rFonts w:ascii="Times New Roman" w:hAnsi="Times New Roman" w:cs="Times New Roman"/>
          <w:sz w:val="24"/>
          <w:szCs w:val="24"/>
          <w:lang w:val="lv-LV"/>
        </w:rPr>
        <w:t>, šim mērķim izmantojot</w:t>
      </w:r>
      <w:r w:rsidR="000D5000"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līdzekļus neparedzētiem gadījumiem</w:t>
      </w:r>
      <w:r w:rsidR="000D5000"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saistībā arī ar</w:t>
      </w:r>
      <w:r w:rsidR="000D5000" w:rsidRPr="006557B3">
        <w:rPr>
          <w:rFonts w:ascii="Times New Roman" w:hAnsi="Times New Roman" w:cs="Times New Roman"/>
          <w:sz w:val="24"/>
          <w:szCs w:val="24"/>
          <w:lang w:val="lv-LV"/>
        </w:rPr>
        <w:t xml:space="preserve"> </w:t>
      </w:r>
      <w:r w:rsidR="000D5000" w:rsidRPr="006557B3">
        <w:rPr>
          <w:rFonts w:ascii="Times New Roman" w:hAnsi="Times New Roman" w:cs="Times New Roman"/>
          <w:i/>
          <w:sz w:val="24"/>
          <w:szCs w:val="24"/>
          <w:lang w:val="lv-LV"/>
        </w:rPr>
        <w:t>RASFF</w:t>
      </w:r>
      <w:r w:rsidR="000D5000" w:rsidRPr="006557B3">
        <w:rPr>
          <w:rFonts w:ascii="Times New Roman" w:hAnsi="Times New Roman" w:cs="Times New Roman"/>
          <w:sz w:val="24"/>
          <w:szCs w:val="24"/>
          <w:lang w:val="lv-LV"/>
        </w:rPr>
        <w:t xml:space="preserve"> ziņojum</w:t>
      </w:r>
      <w:r w:rsidRPr="006557B3">
        <w:rPr>
          <w:rFonts w:ascii="Times New Roman" w:hAnsi="Times New Roman" w:cs="Times New Roman"/>
          <w:sz w:val="24"/>
          <w:szCs w:val="24"/>
          <w:lang w:val="lv-LV"/>
        </w:rPr>
        <w:t>iem</w:t>
      </w:r>
      <w:r w:rsidR="000D5000" w:rsidRPr="006557B3">
        <w:rPr>
          <w:rFonts w:ascii="Times New Roman" w:hAnsi="Times New Roman" w:cs="Times New Roman"/>
          <w:sz w:val="24"/>
          <w:szCs w:val="24"/>
          <w:lang w:val="lv-LV"/>
        </w:rPr>
        <w:t xml:space="preserve"> un sūdzīb</w:t>
      </w:r>
      <w:r w:rsidRPr="006557B3">
        <w:rPr>
          <w:rFonts w:ascii="Times New Roman" w:hAnsi="Times New Roman" w:cs="Times New Roman"/>
          <w:sz w:val="24"/>
          <w:szCs w:val="24"/>
          <w:lang w:val="lv-LV"/>
        </w:rPr>
        <w:t>ām</w:t>
      </w:r>
      <w:r w:rsidR="000D5000" w:rsidRPr="006557B3">
        <w:rPr>
          <w:rFonts w:ascii="Times New Roman" w:hAnsi="Times New Roman" w:cs="Times New Roman"/>
          <w:sz w:val="24"/>
          <w:szCs w:val="24"/>
          <w:lang w:val="lv-LV"/>
        </w:rPr>
        <w:t>.</w:t>
      </w:r>
    </w:p>
    <w:p w14:paraId="286D409D" w14:textId="28878E6E" w:rsidR="000D5000" w:rsidRPr="006557B3" w:rsidRDefault="000D5000"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b/>
          <w:sz w:val="24"/>
          <w:szCs w:val="24"/>
          <w:lang w:val="lv-LV"/>
        </w:rPr>
        <w:t>2014.</w:t>
      </w:r>
      <w:r w:rsidR="00561538">
        <w:rPr>
          <w:rFonts w:ascii="Times New Roman" w:hAnsi="Times New Roman" w:cs="Times New Roman"/>
          <w:b/>
          <w:sz w:val="24"/>
          <w:szCs w:val="24"/>
          <w:lang w:val="lv-LV"/>
        </w:rPr>
        <w:t xml:space="preserve"> </w:t>
      </w:r>
      <w:r w:rsidRPr="006557B3">
        <w:rPr>
          <w:rFonts w:ascii="Times New Roman" w:hAnsi="Times New Roman" w:cs="Times New Roman"/>
          <w:b/>
          <w:sz w:val="24"/>
          <w:szCs w:val="24"/>
          <w:lang w:val="lv-LV"/>
        </w:rPr>
        <w:t>gadā</w:t>
      </w:r>
      <w:r w:rsidR="007455D6" w:rsidRPr="006557B3">
        <w:rPr>
          <w:rFonts w:ascii="Times New Roman" w:hAnsi="Times New Roman" w:cs="Times New Roman"/>
          <w:sz w:val="24"/>
          <w:szCs w:val="24"/>
          <w:lang w:val="lv-LV"/>
        </w:rPr>
        <w:t>,</w:t>
      </w:r>
      <w:r w:rsidRPr="006557B3">
        <w:rPr>
          <w:rFonts w:ascii="Times New Roman" w:hAnsi="Times New Roman" w:cs="Times New Roman"/>
          <w:sz w:val="24"/>
          <w:szCs w:val="24"/>
          <w:lang w:val="lv-LV"/>
        </w:rPr>
        <w:t xml:space="preserve"> </w:t>
      </w:r>
      <w:r w:rsidR="007455D6" w:rsidRPr="006557B3">
        <w:rPr>
          <w:rFonts w:ascii="Times New Roman" w:hAnsi="Times New Roman" w:cs="Times New Roman"/>
          <w:sz w:val="24"/>
          <w:szCs w:val="24"/>
          <w:lang w:val="lv-LV"/>
        </w:rPr>
        <w:t>ievērojot</w:t>
      </w:r>
      <w:r w:rsidRPr="006557B3">
        <w:rPr>
          <w:rFonts w:ascii="Times New Roman" w:hAnsi="Times New Roman" w:cs="Times New Roman"/>
          <w:sz w:val="24"/>
          <w:szCs w:val="24"/>
          <w:lang w:val="lv-LV"/>
        </w:rPr>
        <w:t xml:space="preserve"> uzņēmēju un patērētāju sūdzīb</w:t>
      </w:r>
      <w:r w:rsidR="007455D6" w:rsidRPr="006557B3">
        <w:rPr>
          <w:rFonts w:ascii="Times New Roman" w:hAnsi="Times New Roman" w:cs="Times New Roman"/>
          <w:sz w:val="24"/>
          <w:szCs w:val="24"/>
          <w:lang w:val="lv-LV"/>
        </w:rPr>
        <w:t>as,</w:t>
      </w:r>
      <w:r w:rsidRPr="006557B3">
        <w:rPr>
          <w:rFonts w:ascii="Times New Roman" w:hAnsi="Times New Roman" w:cs="Times New Roman"/>
          <w:sz w:val="24"/>
          <w:szCs w:val="24"/>
          <w:lang w:val="lv-LV"/>
        </w:rPr>
        <w:t xml:space="preserve"> tika pārbaudīti </w:t>
      </w:r>
      <w:r w:rsidRPr="006557B3">
        <w:rPr>
          <w:rFonts w:ascii="Times New Roman" w:hAnsi="Times New Roman" w:cs="Times New Roman"/>
          <w:b/>
          <w:sz w:val="24"/>
          <w:szCs w:val="24"/>
          <w:lang w:val="lv-LV"/>
        </w:rPr>
        <w:t>11 uztura bagātinātāju paraugi</w:t>
      </w:r>
      <w:r w:rsidRPr="006557B3">
        <w:rPr>
          <w:rFonts w:ascii="Times New Roman" w:hAnsi="Times New Roman" w:cs="Times New Roman"/>
          <w:sz w:val="24"/>
          <w:szCs w:val="24"/>
          <w:lang w:val="lv-LV"/>
        </w:rPr>
        <w:t xml:space="preserve">, </w:t>
      </w:r>
      <w:r w:rsidR="007455D6" w:rsidRPr="006557B3">
        <w:rPr>
          <w:rFonts w:ascii="Times New Roman" w:hAnsi="Times New Roman" w:cs="Times New Roman"/>
          <w:sz w:val="24"/>
          <w:szCs w:val="24"/>
          <w:lang w:val="lv-LV"/>
        </w:rPr>
        <w:t xml:space="preserve">un </w:t>
      </w:r>
      <w:r w:rsidRPr="006557B3">
        <w:rPr>
          <w:rFonts w:ascii="Times New Roman" w:hAnsi="Times New Roman" w:cs="Times New Roman"/>
          <w:sz w:val="24"/>
          <w:szCs w:val="24"/>
          <w:lang w:val="lv-LV"/>
        </w:rPr>
        <w:t xml:space="preserve">no tiem </w:t>
      </w:r>
      <w:r w:rsidR="00C26AE3" w:rsidRPr="006557B3">
        <w:rPr>
          <w:rFonts w:ascii="Times New Roman" w:hAnsi="Times New Roman" w:cs="Times New Roman"/>
          <w:sz w:val="24"/>
          <w:szCs w:val="24"/>
          <w:lang w:val="lv-LV"/>
        </w:rPr>
        <w:t>trīs</w:t>
      </w:r>
      <w:r w:rsidRPr="006557B3">
        <w:rPr>
          <w:rFonts w:ascii="Times New Roman" w:hAnsi="Times New Roman" w:cs="Times New Roman"/>
          <w:sz w:val="24"/>
          <w:szCs w:val="24"/>
          <w:lang w:val="lv-LV"/>
        </w:rPr>
        <w:t xml:space="preserve"> bija neatbilstoši</w:t>
      </w:r>
      <w:r w:rsidR="007455D6" w:rsidRPr="006557B3">
        <w:rPr>
          <w:rFonts w:ascii="Times New Roman" w:hAnsi="Times New Roman" w:cs="Times New Roman"/>
          <w:sz w:val="24"/>
          <w:szCs w:val="24"/>
          <w:lang w:val="lv-LV"/>
        </w:rPr>
        <w:t xml:space="preserve">: </w:t>
      </w:r>
      <w:r w:rsidR="00C26AE3" w:rsidRPr="006557B3">
        <w:rPr>
          <w:rFonts w:ascii="Times New Roman" w:hAnsi="Times New Roman" w:cs="Times New Roman"/>
          <w:sz w:val="24"/>
          <w:szCs w:val="24"/>
          <w:lang w:val="lv-LV"/>
        </w:rPr>
        <w:t xml:space="preserve">divos paraugos </w:t>
      </w:r>
      <w:r w:rsidRPr="006557B3">
        <w:rPr>
          <w:rFonts w:ascii="Times New Roman" w:hAnsi="Times New Roman" w:cs="Times New Roman"/>
          <w:sz w:val="24"/>
          <w:szCs w:val="24"/>
          <w:lang w:val="lv-LV"/>
        </w:rPr>
        <w:t>neatbilstošs monakolīna daudzums</w:t>
      </w:r>
      <w:r w:rsidR="00C26AE3" w:rsidRPr="006557B3">
        <w:rPr>
          <w:rFonts w:ascii="Times New Roman" w:hAnsi="Times New Roman" w:cs="Times New Roman"/>
          <w:sz w:val="24"/>
          <w:szCs w:val="24"/>
          <w:lang w:val="lv-LV"/>
        </w:rPr>
        <w:t>,</w:t>
      </w:r>
      <w:r w:rsidRPr="006557B3">
        <w:rPr>
          <w:rFonts w:ascii="Times New Roman" w:hAnsi="Times New Roman" w:cs="Times New Roman"/>
          <w:sz w:val="24"/>
          <w:szCs w:val="24"/>
          <w:lang w:val="lv-LV"/>
        </w:rPr>
        <w:t xml:space="preserve"> un vienā konstatētas aizliegtas vielas sildenafils un tadalafils. Kopējas izmaksas – vidēji 3000 </w:t>
      </w:r>
      <w:r w:rsidR="005D6508" w:rsidRPr="006557B3">
        <w:rPr>
          <w:rFonts w:ascii="Times New Roman" w:hAnsi="Times New Roman" w:cs="Times New Roman"/>
          <w:i/>
          <w:sz w:val="24"/>
          <w:szCs w:val="24"/>
          <w:lang w:val="lv-LV"/>
        </w:rPr>
        <w:t>euro</w:t>
      </w:r>
      <w:r w:rsidR="006D3B18" w:rsidRPr="006557B3">
        <w:rPr>
          <w:rFonts w:ascii="Times New Roman" w:hAnsi="Times New Roman" w:cs="Times New Roman"/>
          <w:sz w:val="24"/>
          <w:szCs w:val="24"/>
          <w:lang w:val="lv-LV"/>
        </w:rPr>
        <w:t>.</w:t>
      </w:r>
    </w:p>
    <w:p w14:paraId="02547FE9" w14:textId="6C7B596A" w:rsidR="000D5000" w:rsidRPr="006557B3" w:rsidRDefault="000D5000"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b/>
          <w:sz w:val="24"/>
          <w:szCs w:val="24"/>
          <w:lang w:val="lv-LV"/>
        </w:rPr>
        <w:t>2015.</w:t>
      </w:r>
      <w:r w:rsidR="004F11FE">
        <w:rPr>
          <w:rFonts w:ascii="Times New Roman" w:hAnsi="Times New Roman" w:cs="Times New Roman"/>
          <w:b/>
          <w:sz w:val="24"/>
          <w:szCs w:val="24"/>
          <w:lang w:val="lv-LV"/>
        </w:rPr>
        <w:t xml:space="preserve"> </w:t>
      </w:r>
      <w:r w:rsidRPr="006557B3">
        <w:rPr>
          <w:rFonts w:ascii="Times New Roman" w:hAnsi="Times New Roman" w:cs="Times New Roman"/>
          <w:b/>
          <w:sz w:val="24"/>
          <w:szCs w:val="24"/>
          <w:lang w:val="lv-LV"/>
        </w:rPr>
        <w:t>gadā</w:t>
      </w:r>
      <w:r w:rsidR="007455D6" w:rsidRPr="006557B3">
        <w:rPr>
          <w:rFonts w:ascii="Times New Roman" w:hAnsi="Times New Roman" w:cs="Times New Roman"/>
          <w:sz w:val="24"/>
          <w:szCs w:val="24"/>
          <w:lang w:val="lv-LV"/>
        </w:rPr>
        <w:t>, izmantojot līdzekļus</w:t>
      </w:r>
      <w:r w:rsidRPr="006557B3">
        <w:rPr>
          <w:rFonts w:ascii="Times New Roman" w:hAnsi="Times New Roman" w:cs="Times New Roman"/>
          <w:sz w:val="24"/>
          <w:szCs w:val="24"/>
          <w:lang w:val="lv-LV"/>
        </w:rPr>
        <w:t xml:space="preserve"> neparedzētiem gadījumiem, noņemti</w:t>
      </w:r>
      <w:r w:rsidR="004F11FE" w:rsidRPr="006557B3">
        <w:rPr>
          <w:rFonts w:ascii="Times New Roman" w:hAnsi="Times New Roman" w:cs="Times New Roman"/>
          <w:sz w:val="24"/>
          <w:szCs w:val="24"/>
          <w:lang w:val="lv-LV"/>
        </w:rPr>
        <w:t>, un</w:t>
      </w:r>
      <w:r w:rsidRPr="006557B3">
        <w:rPr>
          <w:rFonts w:ascii="Times New Roman" w:hAnsi="Times New Roman" w:cs="Times New Roman"/>
          <w:sz w:val="24"/>
          <w:szCs w:val="24"/>
          <w:lang w:val="lv-LV"/>
        </w:rPr>
        <w:t xml:space="preserve"> laboratoriski izmeklēti </w:t>
      </w:r>
      <w:r w:rsidRPr="006557B3">
        <w:rPr>
          <w:rFonts w:ascii="Times New Roman" w:hAnsi="Times New Roman" w:cs="Times New Roman"/>
          <w:b/>
          <w:sz w:val="24"/>
          <w:szCs w:val="24"/>
          <w:lang w:val="lv-LV"/>
        </w:rPr>
        <w:t>20 uztura bagātinātāju paraugi,</w:t>
      </w:r>
      <w:r w:rsidRPr="006557B3">
        <w:rPr>
          <w:rFonts w:ascii="Times New Roman" w:hAnsi="Times New Roman" w:cs="Times New Roman"/>
          <w:sz w:val="24"/>
          <w:szCs w:val="24"/>
          <w:lang w:val="lv-LV"/>
        </w:rPr>
        <w:t xml:space="preserve"> kuros noteikts </w:t>
      </w:r>
      <w:r w:rsidR="007455D6" w:rsidRPr="006557B3">
        <w:rPr>
          <w:rFonts w:ascii="Times New Roman" w:hAnsi="Times New Roman" w:cs="Times New Roman"/>
          <w:sz w:val="24"/>
          <w:szCs w:val="24"/>
          <w:lang w:val="lv-LV"/>
        </w:rPr>
        <w:t>D</w:t>
      </w:r>
      <w:r w:rsidR="007455D6" w:rsidRPr="006557B3">
        <w:rPr>
          <w:rFonts w:ascii="Times New Roman" w:hAnsi="Times New Roman" w:cs="Times New Roman"/>
          <w:sz w:val="24"/>
          <w:szCs w:val="24"/>
          <w:vertAlign w:val="subscript"/>
          <w:lang w:val="lv-LV"/>
        </w:rPr>
        <w:t>3</w:t>
      </w:r>
      <w:r w:rsidR="007455D6" w:rsidRPr="006557B3">
        <w:rPr>
          <w:rFonts w:ascii="Times New Roman" w:hAnsi="Times New Roman" w:cs="Times New Roman"/>
          <w:sz w:val="24"/>
          <w:szCs w:val="24"/>
          <w:lang w:val="lv-LV"/>
        </w:rPr>
        <w:t xml:space="preserve"> un B</w:t>
      </w:r>
      <w:r w:rsidR="007455D6" w:rsidRPr="006557B3">
        <w:rPr>
          <w:rFonts w:ascii="Times New Roman" w:hAnsi="Times New Roman" w:cs="Times New Roman"/>
          <w:sz w:val="24"/>
          <w:szCs w:val="24"/>
          <w:vertAlign w:val="subscript"/>
          <w:lang w:val="lv-LV"/>
        </w:rPr>
        <w:t>9</w:t>
      </w:r>
      <w:r w:rsidR="007455D6"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vitamīnu daudzums, dzelzs, cinks, selēns</w:t>
      </w:r>
      <w:r w:rsidR="007455D6" w:rsidRPr="006557B3">
        <w:rPr>
          <w:rFonts w:ascii="Times New Roman" w:hAnsi="Times New Roman" w:cs="Times New Roman"/>
          <w:sz w:val="24"/>
          <w:szCs w:val="24"/>
          <w:lang w:val="lv-LV"/>
        </w:rPr>
        <w:t xml:space="preserve"> un</w:t>
      </w:r>
      <w:r w:rsidRPr="006557B3">
        <w:rPr>
          <w:rFonts w:ascii="Times New Roman" w:hAnsi="Times New Roman" w:cs="Times New Roman"/>
          <w:sz w:val="24"/>
          <w:szCs w:val="24"/>
          <w:lang w:val="lv-LV"/>
        </w:rPr>
        <w:t xml:space="preserve"> kalcijs. Pārbaudīto uztura bagātinātāju izcelsme</w:t>
      </w:r>
      <w:r w:rsidR="007455D6" w:rsidRPr="006557B3">
        <w:rPr>
          <w:rFonts w:ascii="Times New Roman" w:hAnsi="Times New Roman" w:cs="Times New Roman"/>
          <w:sz w:val="24"/>
          <w:szCs w:val="24"/>
          <w:lang w:val="lv-LV"/>
        </w:rPr>
        <w:t>s valstis ir</w:t>
      </w:r>
      <w:r w:rsidRPr="006557B3">
        <w:rPr>
          <w:rFonts w:ascii="Times New Roman" w:hAnsi="Times New Roman" w:cs="Times New Roman"/>
          <w:sz w:val="24"/>
          <w:szCs w:val="24"/>
          <w:lang w:val="lv-LV"/>
        </w:rPr>
        <w:t xml:space="preserve"> Lielbritānija, Vācija, ASV, Kanāda, Baltkrievija</w:t>
      </w:r>
      <w:r w:rsidR="007455D6" w:rsidRPr="006557B3">
        <w:rPr>
          <w:rFonts w:ascii="Times New Roman" w:hAnsi="Times New Roman" w:cs="Times New Roman"/>
          <w:sz w:val="24"/>
          <w:szCs w:val="24"/>
          <w:lang w:val="lv-LV"/>
        </w:rPr>
        <w:t xml:space="preserve"> un</w:t>
      </w:r>
      <w:r w:rsidRPr="006557B3">
        <w:rPr>
          <w:rFonts w:ascii="Times New Roman" w:hAnsi="Times New Roman" w:cs="Times New Roman"/>
          <w:sz w:val="24"/>
          <w:szCs w:val="24"/>
          <w:lang w:val="lv-LV"/>
        </w:rPr>
        <w:t xml:space="preserve"> Latvija. </w:t>
      </w:r>
      <w:r w:rsidR="007455D6" w:rsidRPr="006557B3">
        <w:rPr>
          <w:rFonts w:ascii="Times New Roman" w:hAnsi="Times New Roman" w:cs="Times New Roman"/>
          <w:sz w:val="24"/>
          <w:szCs w:val="24"/>
          <w:lang w:val="lv-LV"/>
        </w:rPr>
        <w:t>Septiņos</w:t>
      </w:r>
      <w:r w:rsidRPr="006557B3">
        <w:rPr>
          <w:rFonts w:ascii="Times New Roman" w:hAnsi="Times New Roman" w:cs="Times New Roman"/>
          <w:sz w:val="24"/>
          <w:szCs w:val="24"/>
          <w:lang w:val="lv-LV"/>
        </w:rPr>
        <w:t xml:space="preserve"> paraugos </w:t>
      </w:r>
      <w:r w:rsidR="007455D6" w:rsidRPr="006557B3">
        <w:rPr>
          <w:rFonts w:ascii="Times New Roman" w:hAnsi="Times New Roman" w:cs="Times New Roman"/>
          <w:sz w:val="24"/>
          <w:szCs w:val="24"/>
          <w:lang w:val="lv-LV"/>
        </w:rPr>
        <w:t xml:space="preserve">tika konstatēts </w:t>
      </w:r>
      <w:r w:rsidRPr="006557B3">
        <w:rPr>
          <w:rFonts w:ascii="Times New Roman" w:hAnsi="Times New Roman" w:cs="Times New Roman"/>
          <w:sz w:val="24"/>
          <w:szCs w:val="24"/>
          <w:lang w:val="lv-LV"/>
        </w:rPr>
        <w:t xml:space="preserve">pārsniegts vai nepietiekams </w:t>
      </w:r>
      <w:r w:rsidR="007455D6" w:rsidRPr="006557B3">
        <w:rPr>
          <w:rFonts w:ascii="Times New Roman" w:hAnsi="Times New Roman" w:cs="Times New Roman"/>
          <w:sz w:val="24"/>
          <w:szCs w:val="24"/>
          <w:lang w:val="lv-LV"/>
        </w:rPr>
        <w:t>B</w:t>
      </w:r>
      <w:r w:rsidR="007455D6" w:rsidRPr="006557B3">
        <w:rPr>
          <w:rFonts w:ascii="Times New Roman" w:hAnsi="Times New Roman" w:cs="Times New Roman"/>
          <w:sz w:val="24"/>
          <w:szCs w:val="24"/>
          <w:vertAlign w:val="subscript"/>
          <w:lang w:val="lv-LV"/>
        </w:rPr>
        <w:t xml:space="preserve">9 </w:t>
      </w:r>
      <w:r w:rsidRPr="006557B3">
        <w:rPr>
          <w:rFonts w:ascii="Times New Roman" w:hAnsi="Times New Roman" w:cs="Times New Roman"/>
          <w:sz w:val="24"/>
          <w:szCs w:val="24"/>
          <w:lang w:val="lv-LV"/>
        </w:rPr>
        <w:t>vitamīna (folskābes) daudzums</w:t>
      </w:r>
      <w:r w:rsidR="007455D6" w:rsidRPr="006557B3">
        <w:rPr>
          <w:rFonts w:ascii="Times New Roman" w:hAnsi="Times New Roman" w:cs="Times New Roman"/>
          <w:sz w:val="24"/>
          <w:szCs w:val="24"/>
          <w:lang w:val="lv-LV"/>
        </w:rPr>
        <w:t>,</w:t>
      </w:r>
      <w:r w:rsidRPr="006557B3">
        <w:rPr>
          <w:rFonts w:ascii="Times New Roman" w:hAnsi="Times New Roman" w:cs="Times New Roman"/>
          <w:sz w:val="24"/>
          <w:szCs w:val="24"/>
          <w:lang w:val="lv-LV"/>
        </w:rPr>
        <w:t xml:space="preserve"> </w:t>
      </w:r>
      <w:r w:rsidR="007455D6" w:rsidRPr="006557B3">
        <w:rPr>
          <w:rFonts w:ascii="Times New Roman" w:hAnsi="Times New Roman" w:cs="Times New Roman"/>
          <w:sz w:val="24"/>
          <w:szCs w:val="24"/>
          <w:lang w:val="lv-LV"/>
        </w:rPr>
        <w:t>četros paraugos –</w:t>
      </w:r>
      <w:r w:rsidRPr="006557B3">
        <w:rPr>
          <w:rFonts w:ascii="Times New Roman" w:hAnsi="Times New Roman" w:cs="Times New Roman"/>
          <w:sz w:val="24"/>
          <w:szCs w:val="24"/>
          <w:lang w:val="lv-LV"/>
        </w:rPr>
        <w:t xml:space="preserve"> </w:t>
      </w:r>
      <w:r w:rsidR="007455D6" w:rsidRPr="006557B3">
        <w:rPr>
          <w:rFonts w:ascii="Times New Roman" w:hAnsi="Times New Roman" w:cs="Times New Roman"/>
          <w:sz w:val="24"/>
          <w:szCs w:val="24"/>
          <w:lang w:val="lv-LV"/>
        </w:rPr>
        <w:t>D</w:t>
      </w:r>
      <w:r w:rsidR="007455D6" w:rsidRPr="006557B3">
        <w:rPr>
          <w:rFonts w:ascii="Times New Roman" w:hAnsi="Times New Roman" w:cs="Times New Roman"/>
          <w:sz w:val="24"/>
          <w:szCs w:val="24"/>
          <w:vertAlign w:val="subscript"/>
          <w:lang w:val="lv-LV"/>
        </w:rPr>
        <w:t xml:space="preserve">3 </w:t>
      </w:r>
      <w:r w:rsidRPr="006557B3">
        <w:rPr>
          <w:rFonts w:ascii="Times New Roman" w:hAnsi="Times New Roman" w:cs="Times New Roman"/>
          <w:sz w:val="24"/>
          <w:szCs w:val="24"/>
          <w:lang w:val="lv-LV"/>
        </w:rPr>
        <w:t>vitamīna daudzums</w:t>
      </w:r>
      <w:r w:rsidR="007455D6" w:rsidRPr="006557B3">
        <w:rPr>
          <w:rFonts w:ascii="Times New Roman" w:hAnsi="Times New Roman" w:cs="Times New Roman"/>
          <w:sz w:val="24"/>
          <w:szCs w:val="24"/>
          <w:lang w:val="lv-LV"/>
        </w:rPr>
        <w:t xml:space="preserve"> un vienā paraugā –</w:t>
      </w:r>
      <w:r w:rsidRPr="006557B3">
        <w:rPr>
          <w:rFonts w:ascii="Times New Roman" w:hAnsi="Times New Roman" w:cs="Times New Roman"/>
          <w:sz w:val="24"/>
          <w:szCs w:val="24"/>
          <w:lang w:val="lv-LV"/>
        </w:rPr>
        <w:t xml:space="preserve"> selēna daudzums</w:t>
      </w:r>
      <w:r w:rsidR="007455D6" w:rsidRPr="006557B3">
        <w:rPr>
          <w:rFonts w:ascii="Times New Roman" w:hAnsi="Times New Roman" w:cs="Times New Roman"/>
          <w:sz w:val="24"/>
          <w:szCs w:val="24"/>
          <w:lang w:val="lv-LV"/>
        </w:rPr>
        <w:t>.</w:t>
      </w:r>
      <w:r w:rsidRPr="006557B3">
        <w:rPr>
          <w:rFonts w:ascii="Times New Roman" w:hAnsi="Times New Roman" w:cs="Times New Roman"/>
          <w:sz w:val="24"/>
          <w:szCs w:val="24"/>
          <w:lang w:val="lv-LV"/>
        </w:rPr>
        <w:t xml:space="preserve"> </w:t>
      </w:r>
      <w:r w:rsidR="007455D6" w:rsidRPr="006557B3">
        <w:rPr>
          <w:rFonts w:ascii="Times New Roman" w:hAnsi="Times New Roman" w:cs="Times New Roman"/>
          <w:sz w:val="24"/>
          <w:szCs w:val="24"/>
          <w:lang w:val="lv-LV"/>
        </w:rPr>
        <w:t>Četros paraugos</w:t>
      </w:r>
      <w:r w:rsidRPr="006557B3">
        <w:rPr>
          <w:rFonts w:ascii="Times New Roman" w:hAnsi="Times New Roman" w:cs="Times New Roman"/>
          <w:sz w:val="24"/>
          <w:szCs w:val="24"/>
          <w:lang w:val="lv-LV"/>
        </w:rPr>
        <w:t xml:space="preserve"> paraugos selēna daudzums </w:t>
      </w:r>
      <w:r w:rsidR="007455D6" w:rsidRPr="006557B3">
        <w:rPr>
          <w:rFonts w:ascii="Times New Roman" w:hAnsi="Times New Roman" w:cs="Times New Roman"/>
          <w:sz w:val="24"/>
          <w:szCs w:val="24"/>
          <w:lang w:val="lv-LV"/>
        </w:rPr>
        <w:t>bija mazāks</w:t>
      </w:r>
      <w:r w:rsidRPr="006557B3">
        <w:rPr>
          <w:rFonts w:ascii="Times New Roman" w:hAnsi="Times New Roman" w:cs="Times New Roman"/>
          <w:sz w:val="24"/>
          <w:szCs w:val="24"/>
          <w:lang w:val="lv-LV"/>
        </w:rPr>
        <w:t xml:space="preserve"> par deklarēto un </w:t>
      </w:r>
      <w:r w:rsidR="007455D6" w:rsidRPr="006557B3">
        <w:rPr>
          <w:rFonts w:ascii="Times New Roman" w:hAnsi="Times New Roman" w:cs="Times New Roman"/>
          <w:sz w:val="24"/>
          <w:szCs w:val="24"/>
          <w:lang w:val="lv-LV"/>
        </w:rPr>
        <w:t>divos</w:t>
      </w:r>
      <w:r w:rsidRPr="006557B3">
        <w:rPr>
          <w:rFonts w:ascii="Times New Roman" w:hAnsi="Times New Roman" w:cs="Times New Roman"/>
          <w:sz w:val="24"/>
          <w:szCs w:val="24"/>
          <w:lang w:val="lv-LV"/>
        </w:rPr>
        <w:t xml:space="preserve"> paraugos </w:t>
      </w:r>
      <w:r w:rsidR="007455D6"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 xml:space="preserve">kalcija daudzums. Kopējās izmaksas </w:t>
      </w:r>
      <w:r w:rsidR="00FB7FF9" w:rsidRPr="006557B3">
        <w:rPr>
          <w:rFonts w:ascii="Times New Roman" w:hAnsi="Times New Roman" w:cs="Times New Roman"/>
          <w:sz w:val="24"/>
          <w:szCs w:val="24"/>
          <w:lang w:val="lv-LV"/>
        </w:rPr>
        <w:t>–</w:t>
      </w:r>
      <w:r w:rsidR="004A5C68"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5995</w:t>
      </w:r>
      <w:r w:rsidR="00FB7FF9" w:rsidRPr="006557B3">
        <w:rPr>
          <w:rFonts w:ascii="Times New Roman" w:hAnsi="Times New Roman" w:cs="Times New Roman"/>
          <w:sz w:val="24"/>
          <w:szCs w:val="24"/>
          <w:lang w:val="lv-LV"/>
        </w:rPr>
        <w:t>,</w:t>
      </w:r>
      <w:r w:rsidRPr="006557B3">
        <w:rPr>
          <w:rFonts w:ascii="Times New Roman" w:hAnsi="Times New Roman" w:cs="Times New Roman"/>
          <w:sz w:val="24"/>
          <w:szCs w:val="24"/>
          <w:lang w:val="lv-LV"/>
        </w:rPr>
        <w:t xml:space="preserve">62 </w:t>
      </w:r>
      <w:r w:rsidR="004A5C68" w:rsidRPr="006557B3">
        <w:rPr>
          <w:rFonts w:ascii="Times New Roman" w:hAnsi="Times New Roman" w:cs="Times New Roman"/>
          <w:i/>
          <w:sz w:val="24"/>
          <w:szCs w:val="24"/>
          <w:lang w:val="lv-LV"/>
        </w:rPr>
        <w:t>euro</w:t>
      </w:r>
      <w:r w:rsidR="006D3B18" w:rsidRPr="006557B3">
        <w:rPr>
          <w:rFonts w:ascii="Times New Roman" w:hAnsi="Times New Roman" w:cs="Times New Roman"/>
          <w:sz w:val="24"/>
          <w:szCs w:val="24"/>
          <w:lang w:val="lv-LV"/>
        </w:rPr>
        <w:t>.</w:t>
      </w:r>
    </w:p>
    <w:p w14:paraId="7EBBBBF2" w14:textId="777501D4" w:rsidR="00FC7AE6" w:rsidRPr="006557B3" w:rsidRDefault="00FC7AE6" w:rsidP="00C05C12">
      <w:pPr>
        <w:tabs>
          <w:tab w:val="left" w:pos="8647"/>
        </w:tabs>
        <w:spacing w:after="0" w:line="240" w:lineRule="auto"/>
        <w:ind w:firstLine="709"/>
        <w:jc w:val="both"/>
        <w:rPr>
          <w:rFonts w:ascii="Times New Roman" w:hAnsi="Times New Roman" w:cs="Times New Roman"/>
          <w:color w:val="000000" w:themeColor="text1"/>
          <w:sz w:val="24"/>
          <w:szCs w:val="24"/>
          <w:lang w:val="lv-LV"/>
        </w:rPr>
      </w:pPr>
      <w:r w:rsidRPr="006557B3">
        <w:rPr>
          <w:rFonts w:ascii="Times New Roman" w:hAnsi="Times New Roman" w:cs="Times New Roman"/>
          <w:sz w:val="24"/>
          <w:szCs w:val="24"/>
          <w:lang w:val="lv-LV"/>
        </w:rPr>
        <w:t xml:space="preserve">Uztura bagātinātāju laboratoriskā </w:t>
      </w:r>
      <w:r w:rsidR="008A45C1" w:rsidRPr="006557B3">
        <w:rPr>
          <w:rFonts w:ascii="Times New Roman" w:hAnsi="Times New Roman" w:cs="Times New Roman"/>
          <w:sz w:val="24"/>
          <w:szCs w:val="24"/>
          <w:lang w:val="lv-LV"/>
        </w:rPr>
        <w:t>kontrole</w:t>
      </w:r>
      <w:r w:rsidRPr="006557B3">
        <w:rPr>
          <w:rFonts w:ascii="Times New Roman" w:hAnsi="Times New Roman" w:cs="Times New Roman"/>
          <w:sz w:val="24"/>
          <w:szCs w:val="24"/>
          <w:lang w:val="lv-LV"/>
        </w:rPr>
        <w:t xml:space="preserve"> ir ļoti ierobežota, jo uztura bagātinātājos nosakāmās sastāvdaļas ir </w:t>
      </w:r>
      <w:r w:rsidR="007455D6" w:rsidRPr="006557B3">
        <w:rPr>
          <w:rFonts w:ascii="Times New Roman" w:hAnsi="Times New Roman" w:cs="Times New Roman"/>
          <w:sz w:val="24"/>
          <w:szCs w:val="24"/>
          <w:lang w:val="lv-LV"/>
        </w:rPr>
        <w:t>visai</w:t>
      </w:r>
      <w:r w:rsidRPr="006557B3">
        <w:rPr>
          <w:rFonts w:ascii="Times New Roman" w:hAnsi="Times New Roman" w:cs="Times New Roman"/>
          <w:sz w:val="24"/>
          <w:szCs w:val="24"/>
          <w:lang w:val="lv-LV"/>
        </w:rPr>
        <w:t xml:space="preserve"> daudzveidīgas, laboratoriskās izmaksas ir </w:t>
      </w:r>
      <w:r w:rsidR="007455D6" w:rsidRPr="006557B3">
        <w:rPr>
          <w:rFonts w:ascii="Times New Roman" w:hAnsi="Times New Roman" w:cs="Times New Roman"/>
          <w:sz w:val="24"/>
          <w:szCs w:val="24"/>
          <w:lang w:val="lv-LV"/>
        </w:rPr>
        <w:t>lielas</w:t>
      </w:r>
      <w:r w:rsidRPr="006557B3">
        <w:rPr>
          <w:rFonts w:ascii="Times New Roman" w:hAnsi="Times New Roman" w:cs="Times New Roman"/>
          <w:sz w:val="24"/>
          <w:szCs w:val="24"/>
          <w:lang w:val="lv-LV"/>
        </w:rPr>
        <w:t xml:space="preserve">, un paraugi bieži </w:t>
      </w:r>
      <w:r w:rsidR="007455D6" w:rsidRPr="006557B3">
        <w:rPr>
          <w:rFonts w:ascii="Times New Roman" w:hAnsi="Times New Roman" w:cs="Times New Roman"/>
          <w:sz w:val="24"/>
          <w:szCs w:val="24"/>
          <w:lang w:val="lv-LV"/>
        </w:rPr>
        <w:lastRenderedPageBreak/>
        <w:t xml:space="preserve">vien </w:t>
      </w:r>
      <w:r w:rsidRPr="006557B3">
        <w:rPr>
          <w:rFonts w:ascii="Times New Roman" w:hAnsi="Times New Roman" w:cs="Times New Roman"/>
          <w:sz w:val="24"/>
          <w:szCs w:val="24"/>
          <w:lang w:val="lv-LV"/>
        </w:rPr>
        <w:t>ir jānosūta uz citu dalībvalstu laboratorijām.</w:t>
      </w:r>
      <w:r w:rsidR="00926933" w:rsidRPr="006557B3">
        <w:rPr>
          <w:rFonts w:ascii="Times New Roman" w:hAnsi="Times New Roman" w:cs="Times New Roman"/>
          <w:sz w:val="24"/>
          <w:szCs w:val="24"/>
          <w:lang w:val="lv-LV"/>
        </w:rPr>
        <w:t xml:space="preserve"> </w:t>
      </w:r>
      <w:r w:rsidRPr="006557B3">
        <w:rPr>
          <w:rFonts w:ascii="Times New Roman" w:hAnsi="Times New Roman" w:cs="Times New Roman"/>
          <w:color w:val="000000" w:themeColor="text1"/>
          <w:sz w:val="24"/>
          <w:szCs w:val="24"/>
          <w:lang w:val="lv-LV"/>
        </w:rPr>
        <w:t xml:space="preserve">Vidēji viena uztura bagātinātāja parauga (sastāvdaļa) laboratoriskās izmaksas svārstās no </w:t>
      </w:r>
      <w:r w:rsidR="00033BAD" w:rsidRPr="006557B3">
        <w:rPr>
          <w:rFonts w:ascii="Times New Roman" w:hAnsi="Times New Roman" w:cs="Times New Roman"/>
          <w:color w:val="000000" w:themeColor="text1"/>
          <w:sz w:val="24"/>
          <w:szCs w:val="24"/>
          <w:lang w:val="lv-LV"/>
        </w:rPr>
        <w:t>2</w:t>
      </w:r>
      <w:r w:rsidRPr="006557B3">
        <w:rPr>
          <w:rFonts w:ascii="Times New Roman" w:hAnsi="Times New Roman" w:cs="Times New Roman"/>
          <w:color w:val="000000" w:themeColor="text1"/>
          <w:sz w:val="24"/>
          <w:szCs w:val="24"/>
          <w:lang w:val="lv-LV"/>
        </w:rPr>
        <w:t>00</w:t>
      </w:r>
      <w:r w:rsidR="008519AC" w:rsidRPr="006557B3">
        <w:rPr>
          <w:rFonts w:ascii="Times New Roman" w:hAnsi="Times New Roman" w:cs="Times New Roman"/>
          <w:color w:val="000000" w:themeColor="text1"/>
          <w:sz w:val="24"/>
          <w:szCs w:val="24"/>
          <w:lang w:val="lv-LV"/>
        </w:rPr>
        <w:t xml:space="preserve"> līdz </w:t>
      </w:r>
      <w:r w:rsidR="00926933" w:rsidRPr="006557B3">
        <w:rPr>
          <w:rFonts w:ascii="Times New Roman" w:hAnsi="Times New Roman" w:cs="Times New Roman"/>
          <w:color w:val="000000" w:themeColor="text1"/>
          <w:sz w:val="24"/>
          <w:szCs w:val="24"/>
          <w:lang w:val="lv-LV"/>
        </w:rPr>
        <w:t>400</w:t>
      </w:r>
      <w:r w:rsidRPr="006557B3">
        <w:rPr>
          <w:rFonts w:ascii="Times New Roman" w:hAnsi="Times New Roman" w:cs="Times New Roman"/>
          <w:color w:val="000000" w:themeColor="text1"/>
          <w:sz w:val="24"/>
          <w:szCs w:val="24"/>
          <w:lang w:val="lv-LV"/>
        </w:rPr>
        <w:t xml:space="preserve"> </w:t>
      </w:r>
      <w:r w:rsidRPr="006557B3">
        <w:rPr>
          <w:rFonts w:ascii="Times New Roman" w:hAnsi="Times New Roman" w:cs="Times New Roman"/>
          <w:i/>
          <w:color w:val="000000" w:themeColor="text1"/>
          <w:sz w:val="24"/>
          <w:szCs w:val="24"/>
          <w:lang w:val="lv-LV"/>
        </w:rPr>
        <w:t>euro</w:t>
      </w:r>
      <w:r w:rsidRPr="006557B3">
        <w:rPr>
          <w:rFonts w:ascii="Times New Roman" w:hAnsi="Times New Roman" w:cs="Times New Roman"/>
          <w:color w:val="000000" w:themeColor="text1"/>
          <w:sz w:val="24"/>
          <w:szCs w:val="24"/>
          <w:lang w:val="lv-LV"/>
        </w:rPr>
        <w:t>.</w:t>
      </w:r>
    </w:p>
    <w:p w14:paraId="03263CDD" w14:textId="77777777" w:rsidR="00297D59" w:rsidRPr="006557B3" w:rsidRDefault="00297D59" w:rsidP="00C05C12">
      <w:pPr>
        <w:tabs>
          <w:tab w:val="left" w:pos="8647"/>
        </w:tabs>
        <w:spacing w:after="0" w:line="240" w:lineRule="auto"/>
        <w:ind w:firstLine="709"/>
        <w:jc w:val="both"/>
        <w:rPr>
          <w:rFonts w:ascii="Times New Roman" w:hAnsi="Times New Roman" w:cs="Times New Roman"/>
          <w:color w:val="000000" w:themeColor="text1"/>
          <w:sz w:val="24"/>
          <w:szCs w:val="24"/>
          <w:lang w:val="lv-LV"/>
        </w:rPr>
      </w:pPr>
    </w:p>
    <w:p w14:paraId="6CF99DC2" w14:textId="77777777" w:rsidR="00FC7AE6" w:rsidRPr="006557B3" w:rsidRDefault="00025CF8" w:rsidP="00C05C12">
      <w:pPr>
        <w:keepNext/>
        <w:tabs>
          <w:tab w:val="left" w:pos="8647"/>
        </w:tabs>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t>6.5.3.2</w:t>
      </w:r>
      <w:r w:rsidR="000D47E8" w:rsidRPr="006557B3">
        <w:rPr>
          <w:rFonts w:ascii="Times New Roman" w:hAnsi="Times New Roman" w:cs="Times New Roman"/>
          <w:b/>
          <w:sz w:val="24"/>
          <w:szCs w:val="24"/>
          <w:lang w:val="lv-LV"/>
        </w:rPr>
        <w:t xml:space="preserve">. </w:t>
      </w:r>
      <w:r w:rsidR="000D47E8" w:rsidRPr="006557B3">
        <w:rPr>
          <w:rFonts w:ascii="Times New Roman" w:hAnsi="Times New Roman" w:cs="Times New Roman"/>
          <w:b/>
          <w:i/>
          <w:sz w:val="24"/>
          <w:szCs w:val="24"/>
          <w:lang w:val="lv-LV"/>
        </w:rPr>
        <w:t>RASFF</w:t>
      </w:r>
      <w:r w:rsidR="000D47E8" w:rsidRPr="006557B3">
        <w:rPr>
          <w:rFonts w:ascii="Times New Roman" w:hAnsi="Times New Roman" w:cs="Times New Roman"/>
          <w:b/>
          <w:sz w:val="24"/>
          <w:szCs w:val="24"/>
          <w:lang w:val="lv-LV"/>
        </w:rPr>
        <w:t xml:space="preserve"> paziņojumi saistībā ar uztura bagātinātājiem</w:t>
      </w:r>
    </w:p>
    <w:p w14:paraId="11CACFCE" w14:textId="77777777" w:rsidR="00EC7D9F" w:rsidRPr="006557B3" w:rsidRDefault="00EC7D9F" w:rsidP="00C05C12">
      <w:pPr>
        <w:keepNext/>
        <w:tabs>
          <w:tab w:val="left" w:pos="8647"/>
        </w:tabs>
        <w:spacing w:after="0" w:line="240" w:lineRule="auto"/>
        <w:jc w:val="both"/>
        <w:rPr>
          <w:rFonts w:ascii="Times New Roman" w:hAnsi="Times New Roman" w:cs="Times New Roman"/>
          <w:sz w:val="24"/>
          <w:szCs w:val="24"/>
          <w:lang w:val="lv-LV"/>
        </w:rPr>
      </w:pPr>
    </w:p>
    <w:p w14:paraId="32C7790F" w14:textId="53223BC1" w:rsidR="000D5000" w:rsidRPr="006557B3" w:rsidRDefault="000D5000" w:rsidP="00EC7D9F">
      <w:pPr>
        <w:keepNext/>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b/>
          <w:sz w:val="24"/>
          <w:szCs w:val="24"/>
          <w:lang w:val="lv-LV"/>
        </w:rPr>
        <w:t>2011.</w:t>
      </w:r>
      <w:r w:rsidR="004F11FE">
        <w:rPr>
          <w:rFonts w:ascii="Times New Roman" w:hAnsi="Times New Roman" w:cs="Times New Roman"/>
          <w:b/>
          <w:sz w:val="24"/>
          <w:szCs w:val="24"/>
          <w:lang w:val="lv-LV"/>
        </w:rPr>
        <w:t xml:space="preserve"> </w:t>
      </w:r>
      <w:r w:rsidRPr="006557B3">
        <w:rPr>
          <w:rFonts w:ascii="Times New Roman" w:hAnsi="Times New Roman" w:cs="Times New Roman"/>
          <w:b/>
          <w:sz w:val="24"/>
          <w:szCs w:val="24"/>
          <w:lang w:val="lv-LV"/>
        </w:rPr>
        <w:t>gadā</w:t>
      </w:r>
      <w:r w:rsidRPr="006557B3">
        <w:rPr>
          <w:rFonts w:ascii="Times New Roman" w:hAnsi="Times New Roman" w:cs="Times New Roman"/>
          <w:sz w:val="24"/>
          <w:szCs w:val="24"/>
          <w:lang w:val="lv-LV"/>
        </w:rPr>
        <w:t xml:space="preserve"> saņemti </w:t>
      </w:r>
      <w:r w:rsidR="00C26AE3" w:rsidRPr="006557B3">
        <w:rPr>
          <w:rFonts w:ascii="Times New Roman" w:hAnsi="Times New Roman" w:cs="Times New Roman"/>
          <w:sz w:val="24"/>
          <w:szCs w:val="24"/>
          <w:lang w:val="lv-LV"/>
        </w:rPr>
        <w:t>trīs</w:t>
      </w:r>
      <w:r w:rsidRPr="006557B3">
        <w:rPr>
          <w:rFonts w:ascii="Times New Roman" w:hAnsi="Times New Roman" w:cs="Times New Roman"/>
          <w:sz w:val="24"/>
          <w:szCs w:val="24"/>
          <w:lang w:val="lv-LV"/>
        </w:rPr>
        <w:t xml:space="preserve"> un nosūtīti </w:t>
      </w:r>
      <w:r w:rsidR="00C26AE3" w:rsidRPr="006557B3">
        <w:rPr>
          <w:rFonts w:ascii="Times New Roman" w:hAnsi="Times New Roman" w:cs="Times New Roman"/>
          <w:sz w:val="24"/>
          <w:szCs w:val="24"/>
          <w:lang w:val="lv-LV"/>
        </w:rPr>
        <w:t>pieci</w:t>
      </w:r>
      <w:r w:rsidRPr="006557B3">
        <w:rPr>
          <w:rFonts w:ascii="Times New Roman" w:hAnsi="Times New Roman" w:cs="Times New Roman"/>
          <w:sz w:val="24"/>
          <w:szCs w:val="24"/>
          <w:lang w:val="lv-LV"/>
        </w:rPr>
        <w:t xml:space="preserve"> </w:t>
      </w:r>
      <w:r w:rsidRPr="006557B3">
        <w:rPr>
          <w:rFonts w:ascii="Times New Roman" w:hAnsi="Times New Roman" w:cs="Times New Roman"/>
          <w:i/>
          <w:sz w:val="24"/>
          <w:szCs w:val="24"/>
          <w:lang w:val="lv-LV"/>
        </w:rPr>
        <w:t>RASFF</w:t>
      </w:r>
      <w:r w:rsidRPr="006557B3">
        <w:rPr>
          <w:rFonts w:ascii="Times New Roman" w:hAnsi="Times New Roman" w:cs="Times New Roman"/>
          <w:sz w:val="24"/>
          <w:szCs w:val="24"/>
          <w:lang w:val="lv-LV"/>
        </w:rPr>
        <w:t xml:space="preserve"> </w:t>
      </w:r>
      <w:r w:rsidR="000D47E8" w:rsidRPr="006557B3">
        <w:rPr>
          <w:rFonts w:ascii="Times New Roman" w:hAnsi="Times New Roman" w:cs="Times New Roman"/>
          <w:sz w:val="24"/>
          <w:szCs w:val="24"/>
          <w:lang w:val="lv-LV"/>
        </w:rPr>
        <w:t>pa</w:t>
      </w:r>
      <w:r w:rsidRPr="006557B3">
        <w:rPr>
          <w:rFonts w:ascii="Times New Roman" w:hAnsi="Times New Roman" w:cs="Times New Roman"/>
          <w:sz w:val="24"/>
          <w:szCs w:val="24"/>
          <w:lang w:val="lv-LV"/>
        </w:rPr>
        <w:t xml:space="preserve">ziņojumi par </w:t>
      </w:r>
      <w:r w:rsidR="000D47E8" w:rsidRPr="006557B3">
        <w:rPr>
          <w:rFonts w:ascii="Times New Roman" w:hAnsi="Times New Roman" w:cs="Times New Roman"/>
          <w:sz w:val="24"/>
          <w:szCs w:val="24"/>
          <w:lang w:val="lv-LV"/>
        </w:rPr>
        <w:t>uztura bagātinātāju</w:t>
      </w:r>
      <w:r w:rsidRPr="006557B3">
        <w:rPr>
          <w:rFonts w:ascii="Times New Roman" w:hAnsi="Times New Roman" w:cs="Times New Roman"/>
          <w:sz w:val="24"/>
          <w:szCs w:val="24"/>
          <w:lang w:val="lv-LV"/>
        </w:rPr>
        <w:t xml:space="preserve"> </w:t>
      </w:r>
      <w:r w:rsidR="000D47E8" w:rsidRPr="006557B3">
        <w:rPr>
          <w:rFonts w:ascii="Times New Roman" w:hAnsi="Times New Roman" w:cs="Times New Roman"/>
          <w:sz w:val="24"/>
          <w:szCs w:val="24"/>
          <w:lang w:val="lv-LV"/>
        </w:rPr>
        <w:t>neatbilstīb</w:t>
      </w:r>
      <w:r w:rsidR="007455D6" w:rsidRPr="006557B3">
        <w:rPr>
          <w:rFonts w:ascii="Times New Roman" w:hAnsi="Times New Roman" w:cs="Times New Roman"/>
          <w:sz w:val="24"/>
          <w:szCs w:val="24"/>
          <w:lang w:val="lv-LV"/>
        </w:rPr>
        <w:t>u</w:t>
      </w:r>
      <w:r w:rsidR="000D47E8" w:rsidRPr="006557B3">
        <w:rPr>
          <w:rFonts w:ascii="Times New Roman" w:hAnsi="Times New Roman" w:cs="Times New Roman"/>
          <w:sz w:val="24"/>
          <w:szCs w:val="24"/>
          <w:lang w:val="lv-LV"/>
        </w:rPr>
        <w:t xml:space="preserve"> </w:t>
      </w:r>
      <w:r w:rsidR="007455D6" w:rsidRPr="006557B3">
        <w:rPr>
          <w:rFonts w:ascii="Times New Roman" w:hAnsi="Times New Roman" w:cs="Times New Roman"/>
          <w:sz w:val="24"/>
          <w:szCs w:val="24"/>
          <w:lang w:val="lv-LV"/>
        </w:rPr>
        <w:t>normatīvajos</w:t>
      </w:r>
      <w:r w:rsidR="000D47E8" w:rsidRPr="006557B3">
        <w:rPr>
          <w:rFonts w:ascii="Times New Roman" w:hAnsi="Times New Roman" w:cs="Times New Roman"/>
          <w:sz w:val="24"/>
          <w:szCs w:val="24"/>
          <w:lang w:val="lv-LV"/>
        </w:rPr>
        <w:t xml:space="preserve"> akt</w:t>
      </w:r>
      <w:r w:rsidR="007455D6" w:rsidRPr="006557B3">
        <w:rPr>
          <w:rFonts w:ascii="Times New Roman" w:hAnsi="Times New Roman" w:cs="Times New Roman"/>
          <w:sz w:val="24"/>
          <w:szCs w:val="24"/>
          <w:lang w:val="lv-LV"/>
        </w:rPr>
        <w:t>os noteiktajām prasībām</w:t>
      </w:r>
      <w:r w:rsidR="000D47E8"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(aizliegtas vielas vai apstrāde ar jonizējošo starojumu)</w:t>
      </w:r>
      <w:r w:rsidR="007455D6" w:rsidRPr="006557B3">
        <w:rPr>
          <w:rFonts w:ascii="Times New Roman" w:hAnsi="Times New Roman" w:cs="Times New Roman"/>
          <w:sz w:val="24"/>
          <w:szCs w:val="24"/>
          <w:lang w:val="lv-LV"/>
        </w:rPr>
        <w:t>.</w:t>
      </w:r>
    </w:p>
    <w:tbl>
      <w:tblPr>
        <w:tblW w:w="8860" w:type="dxa"/>
        <w:tblInd w:w="93" w:type="dxa"/>
        <w:tblLook w:val="04A0" w:firstRow="1" w:lastRow="0" w:firstColumn="1" w:lastColumn="0" w:noHBand="0" w:noVBand="1"/>
      </w:tblPr>
      <w:tblGrid>
        <w:gridCol w:w="556"/>
        <w:gridCol w:w="2011"/>
        <w:gridCol w:w="1276"/>
        <w:gridCol w:w="3032"/>
        <w:gridCol w:w="1985"/>
      </w:tblGrid>
      <w:tr w:rsidR="000D5000" w:rsidRPr="006557B3" w14:paraId="1EE5B3A3" w14:textId="77777777" w:rsidTr="00E0679E">
        <w:trPr>
          <w:trHeight w:val="54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C0094" w14:textId="77777777" w:rsidR="000D5000" w:rsidRPr="006557B3" w:rsidRDefault="000D5000" w:rsidP="00EC7D9F">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Nr.</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14:paraId="152EF639" w14:textId="09073DBA" w:rsidR="000D5000" w:rsidRPr="006557B3" w:rsidRDefault="00B11040" w:rsidP="00EC7D9F">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Produkts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A8B4FC" w14:textId="77777777" w:rsidR="000D5000" w:rsidRPr="006557B3" w:rsidRDefault="000D5000" w:rsidP="00EC7D9F">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Izcelsmes valsts</w:t>
            </w:r>
          </w:p>
        </w:tc>
        <w:tc>
          <w:tcPr>
            <w:tcW w:w="3032" w:type="dxa"/>
            <w:tcBorders>
              <w:top w:val="single" w:sz="4" w:space="0" w:color="auto"/>
              <w:left w:val="nil"/>
              <w:bottom w:val="single" w:sz="4" w:space="0" w:color="auto"/>
              <w:right w:val="single" w:sz="4" w:space="0" w:color="auto"/>
            </w:tcBorders>
            <w:shd w:val="clear" w:color="auto" w:fill="auto"/>
            <w:noWrap/>
            <w:vAlign w:val="center"/>
            <w:hideMark/>
          </w:tcPr>
          <w:p w14:paraId="7433FDF0" w14:textId="77777777" w:rsidR="000D5000" w:rsidRPr="006557B3" w:rsidRDefault="000D5000" w:rsidP="00EC7D9F">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Konstatētais pārkāpums</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9A1CA97" w14:textId="77777777" w:rsidR="000D5000" w:rsidRPr="006557B3" w:rsidRDefault="000D5000" w:rsidP="00EC7D9F">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Piezīmes</w:t>
            </w:r>
          </w:p>
        </w:tc>
      </w:tr>
      <w:tr w:rsidR="000D5000" w:rsidRPr="006557B3" w14:paraId="346FEC09" w14:textId="77777777" w:rsidTr="00E0679E">
        <w:trPr>
          <w:trHeight w:val="300"/>
        </w:trPr>
        <w:tc>
          <w:tcPr>
            <w:tcW w:w="687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293134" w14:textId="6FD772B8"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2011.</w:t>
            </w:r>
            <w:r w:rsidR="008519AC" w:rsidRPr="006557B3">
              <w:rPr>
                <w:rFonts w:ascii="Times New Roman" w:hAnsi="Times New Roman" w:cs="Times New Roman"/>
                <w:b/>
                <w:bCs/>
                <w:color w:val="000000"/>
                <w:sz w:val="24"/>
                <w:szCs w:val="24"/>
                <w:lang w:eastAsia="lv-LV"/>
              </w:rPr>
              <w:t xml:space="preserve"> </w:t>
            </w:r>
            <w:r w:rsidRPr="006557B3">
              <w:rPr>
                <w:rFonts w:ascii="Times New Roman" w:hAnsi="Times New Roman" w:cs="Times New Roman"/>
                <w:b/>
                <w:bCs/>
                <w:color w:val="000000"/>
                <w:sz w:val="24"/>
                <w:szCs w:val="24"/>
                <w:lang w:eastAsia="lv-LV"/>
              </w:rPr>
              <w:t>gads</w:t>
            </w:r>
          </w:p>
        </w:tc>
        <w:tc>
          <w:tcPr>
            <w:tcW w:w="1985" w:type="dxa"/>
            <w:tcBorders>
              <w:top w:val="nil"/>
              <w:left w:val="nil"/>
              <w:bottom w:val="single" w:sz="4" w:space="0" w:color="auto"/>
              <w:right w:val="single" w:sz="4" w:space="0" w:color="auto"/>
            </w:tcBorders>
            <w:shd w:val="clear" w:color="auto" w:fill="auto"/>
            <w:noWrap/>
            <w:vAlign w:val="center"/>
            <w:hideMark/>
          </w:tcPr>
          <w:p w14:paraId="6051928C"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p>
        </w:tc>
      </w:tr>
      <w:tr w:rsidR="000D5000" w:rsidRPr="006557B3" w14:paraId="77AD86DE" w14:textId="77777777" w:rsidTr="00E0679E">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44BEF3AE"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w:t>
            </w:r>
          </w:p>
        </w:tc>
        <w:tc>
          <w:tcPr>
            <w:tcW w:w="2011" w:type="dxa"/>
            <w:tcBorders>
              <w:top w:val="nil"/>
              <w:left w:val="nil"/>
              <w:bottom w:val="single" w:sz="4" w:space="0" w:color="auto"/>
              <w:right w:val="single" w:sz="4" w:space="0" w:color="auto"/>
            </w:tcBorders>
            <w:shd w:val="clear" w:color="auto" w:fill="auto"/>
            <w:noWrap/>
            <w:vAlign w:val="bottom"/>
            <w:hideMark/>
          </w:tcPr>
          <w:p w14:paraId="6C972EF4"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UB tējas</w:t>
            </w:r>
          </w:p>
        </w:tc>
        <w:tc>
          <w:tcPr>
            <w:tcW w:w="1276" w:type="dxa"/>
            <w:tcBorders>
              <w:top w:val="nil"/>
              <w:left w:val="nil"/>
              <w:bottom w:val="single" w:sz="4" w:space="0" w:color="auto"/>
              <w:right w:val="single" w:sz="4" w:space="0" w:color="auto"/>
            </w:tcBorders>
            <w:shd w:val="clear" w:color="auto" w:fill="auto"/>
            <w:noWrap/>
            <w:vAlign w:val="bottom"/>
            <w:hideMark/>
          </w:tcPr>
          <w:p w14:paraId="7EF1312F"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Krievija</w:t>
            </w:r>
          </w:p>
        </w:tc>
        <w:tc>
          <w:tcPr>
            <w:tcW w:w="3032" w:type="dxa"/>
            <w:tcBorders>
              <w:top w:val="nil"/>
              <w:left w:val="nil"/>
              <w:bottom w:val="single" w:sz="4" w:space="0" w:color="auto"/>
              <w:right w:val="single" w:sz="4" w:space="0" w:color="auto"/>
            </w:tcBorders>
            <w:shd w:val="clear" w:color="auto" w:fill="auto"/>
            <w:noWrap/>
            <w:vAlign w:val="bottom"/>
            <w:hideMark/>
          </w:tcPr>
          <w:p w14:paraId="05F8E3AB"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neatļauta apstrāde ar jonizējošo starojumu</w:t>
            </w:r>
          </w:p>
        </w:tc>
        <w:tc>
          <w:tcPr>
            <w:tcW w:w="1985" w:type="dxa"/>
            <w:tcBorders>
              <w:top w:val="nil"/>
              <w:left w:val="nil"/>
              <w:bottom w:val="single" w:sz="4" w:space="0" w:color="auto"/>
              <w:right w:val="single" w:sz="4" w:space="0" w:color="auto"/>
            </w:tcBorders>
            <w:shd w:val="clear" w:color="auto" w:fill="auto"/>
            <w:noWrap/>
            <w:vAlign w:val="bottom"/>
            <w:hideMark/>
          </w:tcPr>
          <w:p w14:paraId="3842D9E2" w14:textId="77777777" w:rsidR="000D5000" w:rsidRPr="006557B3" w:rsidRDefault="000D5000" w:rsidP="00C92ECA">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Ziņotājvalsts </w:t>
            </w:r>
            <w:r w:rsidRPr="006557B3">
              <w:rPr>
                <w:rFonts w:ascii="Times New Roman" w:hAnsi="Times New Roman" w:cs="Times New Roman"/>
                <w:b/>
                <w:bCs/>
                <w:color w:val="000000"/>
                <w:sz w:val="24"/>
                <w:szCs w:val="24"/>
                <w:lang w:eastAsia="lv-LV"/>
              </w:rPr>
              <w:t>Latvija</w:t>
            </w:r>
            <w:r w:rsidRPr="006557B3">
              <w:rPr>
                <w:rFonts w:ascii="Times New Roman" w:hAnsi="Times New Roman" w:cs="Times New Roman"/>
                <w:color w:val="000000"/>
                <w:sz w:val="24"/>
                <w:szCs w:val="24"/>
                <w:lang w:eastAsia="lv-LV"/>
              </w:rPr>
              <w:t xml:space="preserve"> kopā 5 ziņojumi</w:t>
            </w:r>
          </w:p>
        </w:tc>
      </w:tr>
      <w:tr w:rsidR="000D5000" w:rsidRPr="006557B3" w14:paraId="388EA6A4" w14:textId="77777777" w:rsidTr="00E0679E">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571BF5B2"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w:t>
            </w:r>
          </w:p>
        </w:tc>
        <w:tc>
          <w:tcPr>
            <w:tcW w:w="2011" w:type="dxa"/>
            <w:tcBorders>
              <w:top w:val="nil"/>
              <w:left w:val="nil"/>
              <w:bottom w:val="single" w:sz="4" w:space="0" w:color="auto"/>
              <w:right w:val="single" w:sz="4" w:space="0" w:color="auto"/>
            </w:tcBorders>
            <w:shd w:val="clear" w:color="auto" w:fill="auto"/>
            <w:noWrap/>
            <w:vAlign w:val="bottom"/>
            <w:hideMark/>
          </w:tcPr>
          <w:p w14:paraId="66ADA207" w14:textId="5C612458" w:rsidR="000D5000" w:rsidRPr="006557B3" w:rsidRDefault="00D23F11" w:rsidP="00D23F11">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r w:rsidR="000D5000" w:rsidRPr="006557B3">
              <w:rPr>
                <w:rFonts w:ascii="Times New Roman" w:hAnsi="Times New Roman" w:cs="Times New Roman"/>
                <w:color w:val="000000"/>
                <w:sz w:val="24"/>
                <w:szCs w:val="24"/>
                <w:lang w:eastAsia="lv-LV"/>
              </w:rPr>
              <w:t>ekstrakts</w:t>
            </w:r>
          </w:p>
        </w:tc>
        <w:tc>
          <w:tcPr>
            <w:tcW w:w="1276" w:type="dxa"/>
            <w:tcBorders>
              <w:top w:val="nil"/>
              <w:left w:val="nil"/>
              <w:bottom w:val="single" w:sz="4" w:space="0" w:color="auto"/>
              <w:right w:val="single" w:sz="4" w:space="0" w:color="auto"/>
            </w:tcBorders>
            <w:shd w:val="clear" w:color="auto" w:fill="auto"/>
            <w:noWrap/>
            <w:vAlign w:val="bottom"/>
            <w:hideMark/>
          </w:tcPr>
          <w:p w14:paraId="2E2DC3C1"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3032" w:type="dxa"/>
            <w:tcBorders>
              <w:top w:val="nil"/>
              <w:left w:val="nil"/>
              <w:bottom w:val="single" w:sz="4" w:space="0" w:color="auto"/>
              <w:right w:val="single" w:sz="4" w:space="0" w:color="auto"/>
            </w:tcBorders>
            <w:shd w:val="clear" w:color="auto" w:fill="auto"/>
            <w:noWrap/>
            <w:vAlign w:val="bottom"/>
            <w:hideMark/>
          </w:tcPr>
          <w:p w14:paraId="2CBB9B75" w14:textId="1D1D1968" w:rsidR="000D5000" w:rsidRPr="006557B3" w:rsidRDefault="000D5000" w:rsidP="00C92ECA">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benzetonija hlorīds, benzalkonija hlorīds</w:t>
            </w:r>
            <w:r w:rsidR="009018B1" w:rsidRPr="006557B3">
              <w:rPr>
                <w:rFonts w:ascii="Times New Roman" w:hAnsi="Times New Roman" w:cs="Times New Roman"/>
                <w:color w:val="000000"/>
                <w:sz w:val="24"/>
                <w:szCs w:val="24"/>
                <w:lang w:eastAsia="lv-LV"/>
              </w:rPr>
              <w:t>, neatļautas vielas</w:t>
            </w:r>
          </w:p>
        </w:tc>
        <w:tc>
          <w:tcPr>
            <w:tcW w:w="1985" w:type="dxa"/>
            <w:tcBorders>
              <w:top w:val="nil"/>
              <w:left w:val="nil"/>
              <w:bottom w:val="single" w:sz="4" w:space="0" w:color="auto"/>
              <w:right w:val="single" w:sz="4" w:space="0" w:color="auto"/>
            </w:tcBorders>
            <w:shd w:val="clear" w:color="auto" w:fill="auto"/>
            <w:noWrap/>
            <w:vAlign w:val="bottom"/>
            <w:hideMark/>
          </w:tcPr>
          <w:p w14:paraId="344790E6"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0D5000" w:rsidRPr="006557B3" w14:paraId="120865ED" w14:textId="77777777" w:rsidTr="00E0679E">
        <w:trPr>
          <w:trHeight w:val="28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539BA84F"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3.</w:t>
            </w:r>
          </w:p>
        </w:tc>
        <w:tc>
          <w:tcPr>
            <w:tcW w:w="2011" w:type="dxa"/>
            <w:tcBorders>
              <w:top w:val="nil"/>
              <w:left w:val="nil"/>
              <w:bottom w:val="single" w:sz="4" w:space="0" w:color="auto"/>
              <w:right w:val="single" w:sz="4" w:space="0" w:color="auto"/>
            </w:tcBorders>
            <w:shd w:val="clear" w:color="auto" w:fill="auto"/>
            <w:noWrap/>
            <w:vAlign w:val="bottom"/>
            <w:hideMark/>
          </w:tcPr>
          <w:p w14:paraId="1594CA86" w14:textId="15F1D056" w:rsidR="000D5000" w:rsidRPr="006557B3" w:rsidRDefault="000D5000" w:rsidP="00D23F11">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p>
        </w:tc>
        <w:tc>
          <w:tcPr>
            <w:tcW w:w="1276" w:type="dxa"/>
            <w:tcBorders>
              <w:top w:val="nil"/>
              <w:left w:val="nil"/>
              <w:bottom w:val="single" w:sz="4" w:space="0" w:color="auto"/>
              <w:right w:val="single" w:sz="4" w:space="0" w:color="auto"/>
            </w:tcBorders>
            <w:shd w:val="clear" w:color="auto" w:fill="auto"/>
            <w:noWrap/>
            <w:vAlign w:val="bottom"/>
            <w:hideMark/>
          </w:tcPr>
          <w:p w14:paraId="082A38C5"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3032" w:type="dxa"/>
            <w:tcBorders>
              <w:top w:val="nil"/>
              <w:left w:val="nil"/>
              <w:bottom w:val="single" w:sz="4" w:space="0" w:color="auto"/>
              <w:right w:val="single" w:sz="4" w:space="0" w:color="auto"/>
            </w:tcBorders>
            <w:shd w:val="clear" w:color="auto" w:fill="auto"/>
            <w:noWrap/>
            <w:vAlign w:val="bottom"/>
            <w:hideMark/>
          </w:tcPr>
          <w:p w14:paraId="56D098FC" w14:textId="232C0BF7" w:rsidR="000D5000" w:rsidRPr="006557B3" w:rsidRDefault="000D5000" w:rsidP="00E0679E">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N-acetilcisteīns</w:t>
            </w:r>
            <w:r w:rsidR="009018B1" w:rsidRPr="006557B3">
              <w:rPr>
                <w:rFonts w:ascii="Times New Roman" w:hAnsi="Times New Roman" w:cs="Times New Roman"/>
                <w:color w:val="000000"/>
                <w:sz w:val="24"/>
                <w:szCs w:val="24"/>
                <w:lang w:eastAsia="lv-LV"/>
              </w:rPr>
              <w:t>, neatļauta viela</w:t>
            </w:r>
          </w:p>
        </w:tc>
        <w:tc>
          <w:tcPr>
            <w:tcW w:w="1985" w:type="dxa"/>
            <w:tcBorders>
              <w:top w:val="nil"/>
              <w:left w:val="nil"/>
              <w:bottom w:val="single" w:sz="4" w:space="0" w:color="auto"/>
              <w:right w:val="single" w:sz="4" w:space="0" w:color="auto"/>
            </w:tcBorders>
            <w:shd w:val="clear" w:color="auto" w:fill="auto"/>
            <w:noWrap/>
            <w:vAlign w:val="bottom"/>
          </w:tcPr>
          <w:p w14:paraId="1B89D6F6"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0D5000" w:rsidRPr="006557B3" w14:paraId="59E16AE9" w14:textId="77777777" w:rsidTr="00E0679E">
        <w:trPr>
          <w:trHeight w:val="288"/>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ADE4E"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4.</w:t>
            </w:r>
          </w:p>
        </w:tc>
        <w:tc>
          <w:tcPr>
            <w:tcW w:w="2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F52CA" w14:textId="1DE459CA" w:rsidR="000D5000"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UB ekstrakts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80445"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Polija</w:t>
            </w:r>
          </w:p>
        </w:tc>
        <w:tc>
          <w:tcPr>
            <w:tcW w:w="3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8B2B2" w14:textId="3DBDDA2D" w:rsidR="000D5000" w:rsidRPr="006557B3" w:rsidRDefault="000D5000" w:rsidP="00E0679E">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benzalkonija hlorīds</w:t>
            </w:r>
            <w:r w:rsidR="009018B1" w:rsidRPr="006557B3">
              <w:rPr>
                <w:rFonts w:ascii="Times New Roman" w:hAnsi="Times New Roman" w:cs="Times New Roman"/>
                <w:color w:val="000000"/>
                <w:sz w:val="24"/>
                <w:szCs w:val="24"/>
                <w:lang w:eastAsia="lv-LV"/>
              </w:rPr>
              <w:t>, neatļauta viela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C1229"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bl>
    <w:p w14:paraId="37CF5971" w14:textId="77777777" w:rsidR="001A3D37" w:rsidRPr="006557B3" w:rsidRDefault="001A3D37" w:rsidP="00C05C12">
      <w:pPr>
        <w:tabs>
          <w:tab w:val="left" w:pos="8647"/>
        </w:tabs>
        <w:spacing w:after="0" w:line="240" w:lineRule="auto"/>
        <w:rPr>
          <w:rFonts w:ascii="Times New Roman" w:hAnsi="Times New Roman" w:cs="Times New Roman"/>
          <w:b/>
          <w:sz w:val="24"/>
          <w:szCs w:val="24"/>
        </w:rPr>
      </w:pPr>
    </w:p>
    <w:p w14:paraId="06E9BF53" w14:textId="635B4BE1" w:rsidR="000D5000" w:rsidRPr="006557B3" w:rsidRDefault="000D5000" w:rsidP="00EC7D9F">
      <w:pPr>
        <w:keepNext/>
        <w:tabs>
          <w:tab w:val="left" w:pos="8647"/>
        </w:tabs>
        <w:spacing w:after="0" w:line="240" w:lineRule="auto"/>
        <w:jc w:val="both"/>
        <w:rPr>
          <w:rFonts w:ascii="Times New Roman" w:hAnsi="Times New Roman" w:cs="Times New Roman"/>
          <w:sz w:val="24"/>
          <w:szCs w:val="24"/>
        </w:rPr>
      </w:pPr>
      <w:r w:rsidRPr="006557B3">
        <w:rPr>
          <w:rFonts w:ascii="Times New Roman" w:hAnsi="Times New Roman" w:cs="Times New Roman"/>
          <w:b/>
          <w:sz w:val="24"/>
          <w:szCs w:val="24"/>
        </w:rPr>
        <w:t>2012.</w:t>
      </w:r>
      <w:r w:rsidR="004F11FE">
        <w:rPr>
          <w:rFonts w:ascii="Times New Roman" w:hAnsi="Times New Roman" w:cs="Times New Roman"/>
          <w:b/>
          <w:sz w:val="24"/>
          <w:szCs w:val="24"/>
        </w:rPr>
        <w:t xml:space="preserve"> </w:t>
      </w:r>
      <w:r w:rsidRPr="006557B3">
        <w:rPr>
          <w:rFonts w:ascii="Times New Roman" w:hAnsi="Times New Roman" w:cs="Times New Roman"/>
          <w:b/>
          <w:sz w:val="24"/>
          <w:szCs w:val="24"/>
        </w:rPr>
        <w:t>gadā</w:t>
      </w:r>
      <w:r w:rsidRPr="006557B3">
        <w:rPr>
          <w:rFonts w:ascii="Times New Roman" w:hAnsi="Times New Roman" w:cs="Times New Roman"/>
          <w:sz w:val="24"/>
          <w:szCs w:val="24"/>
        </w:rPr>
        <w:t xml:space="preserve"> saņemti </w:t>
      </w:r>
      <w:r w:rsidR="007455D6" w:rsidRPr="006557B3">
        <w:rPr>
          <w:rFonts w:ascii="Times New Roman" w:hAnsi="Times New Roman" w:cs="Times New Roman"/>
          <w:sz w:val="24"/>
          <w:szCs w:val="24"/>
        </w:rPr>
        <w:t>astoņi</w:t>
      </w:r>
      <w:r w:rsidRPr="006557B3">
        <w:rPr>
          <w:rFonts w:ascii="Times New Roman" w:hAnsi="Times New Roman" w:cs="Times New Roman"/>
          <w:sz w:val="24"/>
          <w:szCs w:val="24"/>
        </w:rPr>
        <w:t xml:space="preserve"> un nosūtīti </w:t>
      </w:r>
      <w:r w:rsidR="007455D6" w:rsidRPr="006557B3">
        <w:rPr>
          <w:rFonts w:ascii="Times New Roman" w:hAnsi="Times New Roman" w:cs="Times New Roman"/>
          <w:sz w:val="24"/>
          <w:szCs w:val="24"/>
        </w:rPr>
        <w:t>pieci</w:t>
      </w:r>
      <w:r w:rsidRPr="006557B3">
        <w:rPr>
          <w:rFonts w:ascii="Times New Roman" w:hAnsi="Times New Roman" w:cs="Times New Roman"/>
          <w:sz w:val="24"/>
          <w:szCs w:val="24"/>
        </w:rPr>
        <w:t xml:space="preserve"> </w:t>
      </w:r>
      <w:r w:rsidRPr="006557B3">
        <w:rPr>
          <w:rFonts w:ascii="Times New Roman" w:hAnsi="Times New Roman" w:cs="Times New Roman"/>
          <w:i/>
          <w:sz w:val="24"/>
          <w:szCs w:val="24"/>
        </w:rPr>
        <w:t>RASFF</w:t>
      </w:r>
      <w:r w:rsidRPr="006557B3">
        <w:rPr>
          <w:rFonts w:ascii="Times New Roman" w:hAnsi="Times New Roman" w:cs="Times New Roman"/>
          <w:sz w:val="24"/>
          <w:szCs w:val="24"/>
        </w:rPr>
        <w:t xml:space="preserve"> </w:t>
      </w:r>
      <w:r w:rsidR="00FC793D" w:rsidRPr="006557B3">
        <w:rPr>
          <w:rFonts w:ascii="Times New Roman" w:hAnsi="Times New Roman" w:cs="Times New Roman"/>
          <w:sz w:val="24"/>
          <w:szCs w:val="24"/>
        </w:rPr>
        <w:t>pa</w:t>
      </w:r>
      <w:r w:rsidRPr="006557B3">
        <w:rPr>
          <w:rFonts w:ascii="Times New Roman" w:hAnsi="Times New Roman" w:cs="Times New Roman"/>
          <w:sz w:val="24"/>
          <w:szCs w:val="24"/>
        </w:rPr>
        <w:t xml:space="preserve">ziņojumi par </w:t>
      </w:r>
      <w:r w:rsidR="004B13C3" w:rsidRPr="006557B3">
        <w:rPr>
          <w:rFonts w:ascii="Times New Roman" w:hAnsi="Times New Roman" w:cs="Times New Roman"/>
          <w:sz w:val="24"/>
          <w:szCs w:val="24"/>
          <w:lang w:val="lv-LV"/>
        </w:rPr>
        <w:t xml:space="preserve">uztura bagātinātāju </w:t>
      </w:r>
      <w:r w:rsidR="007455D6" w:rsidRPr="006557B3">
        <w:rPr>
          <w:rFonts w:ascii="Times New Roman" w:hAnsi="Times New Roman" w:cs="Times New Roman"/>
          <w:sz w:val="24"/>
          <w:szCs w:val="24"/>
          <w:lang w:val="lv-LV"/>
        </w:rPr>
        <w:t xml:space="preserve">neatbilstību normatīvajos aktos noteiktajām prasībām </w:t>
      </w:r>
      <w:r w:rsidRPr="006557B3">
        <w:rPr>
          <w:rFonts w:ascii="Times New Roman" w:hAnsi="Times New Roman" w:cs="Times New Roman"/>
          <w:sz w:val="24"/>
          <w:szCs w:val="24"/>
        </w:rPr>
        <w:t>(aizliegtas vielas vai apstrāde ar jonizējošo starojumu)</w:t>
      </w:r>
      <w:r w:rsidR="007455D6" w:rsidRPr="006557B3">
        <w:rPr>
          <w:rFonts w:ascii="Times New Roman" w:hAnsi="Times New Roman" w:cs="Times New Roman"/>
          <w:sz w:val="24"/>
          <w:szCs w:val="24"/>
        </w:rPr>
        <w:t>.</w:t>
      </w:r>
      <w:r w:rsidRPr="006557B3">
        <w:rPr>
          <w:rFonts w:ascii="Times New Roman" w:hAnsi="Times New Roman" w:cs="Times New Roman"/>
          <w:sz w:val="24"/>
          <w:szCs w:val="24"/>
        </w:rPr>
        <w:t xml:space="preserve"> </w:t>
      </w:r>
    </w:p>
    <w:tbl>
      <w:tblPr>
        <w:tblW w:w="8923" w:type="dxa"/>
        <w:tblInd w:w="93" w:type="dxa"/>
        <w:tblLook w:val="04A0" w:firstRow="1" w:lastRow="0" w:firstColumn="1" w:lastColumn="0" w:noHBand="0" w:noVBand="1"/>
      </w:tblPr>
      <w:tblGrid>
        <w:gridCol w:w="554"/>
        <w:gridCol w:w="2020"/>
        <w:gridCol w:w="1189"/>
        <w:gridCol w:w="3202"/>
        <w:gridCol w:w="1958"/>
      </w:tblGrid>
      <w:tr w:rsidR="000D5000" w:rsidRPr="006557B3" w14:paraId="70BA7380" w14:textId="77777777" w:rsidTr="004F11FE">
        <w:trPr>
          <w:trHeight w:val="54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D964A" w14:textId="4FC32444" w:rsidR="000D5000" w:rsidRPr="006557B3" w:rsidRDefault="000D5000" w:rsidP="004F11FE">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Nr</w:t>
            </w:r>
          </w:p>
        </w:tc>
        <w:tc>
          <w:tcPr>
            <w:tcW w:w="2021" w:type="dxa"/>
            <w:tcBorders>
              <w:top w:val="single" w:sz="4" w:space="0" w:color="auto"/>
              <w:left w:val="nil"/>
              <w:bottom w:val="single" w:sz="4" w:space="0" w:color="auto"/>
              <w:right w:val="single" w:sz="4" w:space="0" w:color="auto"/>
            </w:tcBorders>
            <w:shd w:val="clear" w:color="auto" w:fill="auto"/>
            <w:noWrap/>
            <w:vAlign w:val="center"/>
            <w:hideMark/>
          </w:tcPr>
          <w:p w14:paraId="315B6522" w14:textId="439CC6F1" w:rsidR="000D5000" w:rsidRPr="006557B3" w:rsidRDefault="00417745" w:rsidP="00EC7D9F">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Produkts</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14:paraId="1A43916F" w14:textId="77777777" w:rsidR="000D5000" w:rsidRPr="006557B3" w:rsidRDefault="000D5000" w:rsidP="00EC7D9F">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Izcelsmes valsts</w:t>
            </w:r>
          </w:p>
        </w:tc>
        <w:tc>
          <w:tcPr>
            <w:tcW w:w="3204" w:type="dxa"/>
            <w:tcBorders>
              <w:top w:val="single" w:sz="4" w:space="0" w:color="auto"/>
              <w:left w:val="nil"/>
              <w:bottom w:val="single" w:sz="4" w:space="0" w:color="auto"/>
              <w:right w:val="single" w:sz="4" w:space="0" w:color="auto"/>
            </w:tcBorders>
            <w:shd w:val="clear" w:color="auto" w:fill="auto"/>
            <w:noWrap/>
            <w:vAlign w:val="center"/>
            <w:hideMark/>
          </w:tcPr>
          <w:p w14:paraId="2D2F1F20" w14:textId="77777777" w:rsidR="000D5000" w:rsidRPr="006557B3" w:rsidRDefault="000D5000" w:rsidP="00EC7D9F">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Konstatētais pārkāpums</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14:paraId="03C9D343" w14:textId="77777777" w:rsidR="000D5000" w:rsidRPr="006557B3" w:rsidRDefault="000D5000" w:rsidP="00EC7D9F">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Piezīmes</w:t>
            </w:r>
          </w:p>
        </w:tc>
      </w:tr>
      <w:tr w:rsidR="000D5000" w:rsidRPr="006557B3" w14:paraId="134AA32B" w14:textId="77777777" w:rsidTr="004F11FE">
        <w:trPr>
          <w:trHeight w:val="300"/>
        </w:trPr>
        <w:tc>
          <w:tcPr>
            <w:tcW w:w="696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EDDE40" w14:textId="354C466A"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2012.</w:t>
            </w:r>
            <w:r w:rsidR="007455D6" w:rsidRPr="006557B3">
              <w:rPr>
                <w:rFonts w:ascii="Times New Roman" w:hAnsi="Times New Roman" w:cs="Times New Roman"/>
                <w:b/>
                <w:bCs/>
                <w:color w:val="000000"/>
                <w:sz w:val="24"/>
                <w:szCs w:val="24"/>
                <w:lang w:eastAsia="lv-LV"/>
              </w:rPr>
              <w:t xml:space="preserve"> </w:t>
            </w:r>
            <w:r w:rsidRPr="006557B3">
              <w:rPr>
                <w:rFonts w:ascii="Times New Roman" w:hAnsi="Times New Roman" w:cs="Times New Roman"/>
                <w:b/>
                <w:bCs/>
                <w:color w:val="000000"/>
                <w:sz w:val="24"/>
                <w:szCs w:val="24"/>
                <w:lang w:eastAsia="lv-LV"/>
              </w:rPr>
              <w:t>gads</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14:paraId="2F7414B1"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0D5000" w:rsidRPr="006557B3" w14:paraId="6A208DC0" w14:textId="77777777" w:rsidTr="004F11FE">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31626C6F"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w:t>
            </w:r>
          </w:p>
        </w:tc>
        <w:tc>
          <w:tcPr>
            <w:tcW w:w="2021" w:type="dxa"/>
            <w:tcBorders>
              <w:top w:val="nil"/>
              <w:left w:val="nil"/>
              <w:bottom w:val="single" w:sz="4" w:space="0" w:color="auto"/>
              <w:right w:val="single" w:sz="4" w:space="0" w:color="auto"/>
            </w:tcBorders>
            <w:shd w:val="clear" w:color="auto" w:fill="auto"/>
            <w:noWrap/>
            <w:vAlign w:val="center"/>
            <w:hideMark/>
          </w:tcPr>
          <w:p w14:paraId="27E6A090"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UB tējas</w:t>
            </w:r>
          </w:p>
        </w:tc>
        <w:tc>
          <w:tcPr>
            <w:tcW w:w="1185" w:type="dxa"/>
            <w:tcBorders>
              <w:top w:val="nil"/>
              <w:left w:val="nil"/>
              <w:bottom w:val="single" w:sz="4" w:space="0" w:color="auto"/>
              <w:right w:val="single" w:sz="4" w:space="0" w:color="auto"/>
            </w:tcBorders>
            <w:shd w:val="clear" w:color="auto" w:fill="auto"/>
            <w:noWrap/>
            <w:vAlign w:val="center"/>
            <w:hideMark/>
          </w:tcPr>
          <w:p w14:paraId="55AA7DAB"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Krievija</w:t>
            </w:r>
          </w:p>
        </w:tc>
        <w:tc>
          <w:tcPr>
            <w:tcW w:w="3204" w:type="dxa"/>
            <w:tcBorders>
              <w:top w:val="nil"/>
              <w:left w:val="nil"/>
              <w:bottom w:val="single" w:sz="4" w:space="0" w:color="auto"/>
              <w:right w:val="single" w:sz="4" w:space="0" w:color="auto"/>
            </w:tcBorders>
            <w:shd w:val="clear" w:color="auto" w:fill="auto"/>
            <w:noWrap/>
            <w:vAlign w:val="center"/>
            <w:hideMark/>
          </w:tcPr>
          <w:p w14:paraId="08A3DC4C" w14:textId="77777777" w:rsidR="000D5000" w:rsidRPr="006557B3" w:rsidRDefault="000D5000" w:rsidP="00C92ECA">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neatļauta apstrāde ar jonizējošo starojumu</w:t>
            </w:r>
          </w:p>
        </w:tc>
        <w:tc>
          <w:tcPr>
            <w:tcW w:w="1959" w:type="dxa"/>
            <w:tcBorders>
              <w:top w:val="nil"/>
              <w:left w:val="nil"/>
              <w:bottom w:val="single" w:sz="4" w:space="0" w:color="auto"/>
              <w:right w:val="single" w:sz="4" w:space="0" w:color="auto"/>
            </w:tcBorders>
            <w:shd w:val="clear" w:color="auto" w:fill="auto"/>
            <w:noWrap/>
            <w:vAlign w:val="center"/>
            <w:hideMark/>
          </w:tcPr>
          <w:p w14:paraId="1146F48D" w14:textId="1B2C63F6" w:rsidR="000D5000" w:rsidRPr="006557B3" w:rsidRDefault="000D5000" w:rsidP="00C92ECA">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Ziņotājvalsts </w:t>
            </w:r>
            <w:r w:rsidRPr="006557B3">
              <w:rPr>
                <w:rFonts w:ascii="Times New Roman" w:hAnsi="Times New Roman" w:cs="Times New Roman"/>
                <w:b/>
                <w:bCs/>
                <w:color w:val="000000"/>
                <w:sz w:val="24"/>
                <w:szCs w:val="24"/>
                <w:lang w:eastAsia="lv-LV"/>
              </w:rPr>
              <w:t>Latvija</w:t>
            </w:r>
            <w:r w:rsidRPr="006557B3">
              <w:rPr>
                <w:rFonts w:ascii="Times New Roman" w:hAnsi="Times New Roman" w:cs="Times New Roman"/>
                <w:color w:val="000000"/>
                <w:sz w:val="24"/>
                <w:szCs w:val="24"/>
                <w:lang w:eastAsia="lv-LV"/>
              </w:rPr>
              <w:t xml:space="preserve"> </w:t>
            </w:r>
            <w:r w:rsidR="007455D6" w:rsidRPr="006557B3">
              <w:rPr>
                <w:rFonts w:ascii="Times New Roman" w:hAnsi="Times New Roman" w:cs="Times New Roman"/>
                <w:color w:val="000000"/>
                <w:sz w:val="24"/>
                <w:szCs w:val="24"/>
                <w:lang w:eastAsia="lv-LV"/>
              </w:rPr>
              <w:t xml:space="preserve">– </w:t>
            </w:r>
            <w:r w:rsidRPr="006557B3">
              <w:rPr>
                <w:rFonts w:ascii="Times New Roman" w:hAnsi="Times New Roman" w:cs="Times New Roman"/>
                <w:color w:val="000000"/>
                <w:sz w:val="24"/>
                <w:szCs w:val="24"/>
                <w:lang w:eastAsia="lv-LV"/>
              </w:rPr>
              <w:t>kopā 5 ziņojumi</w:t>
            </w:r>
          </w:p>
        </w:tc>
      </w:tr>
      <w:tr w:rsidR="000D5000" w:rsidRPr="006557B3" w14:paraId="646ECD88" w14:textId="77777777" w:rsidTr="004F11FE">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7DEAF85B"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w:t>
            </w:r>
          </w:p>
        </w:tc>
        <w:tc>
          <w:tcPr>
            <w:tcW w:w="2021" w:type="dxa"/>
            <w:tcBorders>
              <w:top w:val="nil"/>
              <w:left w:val="nil"/>
              <w:bottom w:val="single" w:sz="4" w:space="0" w:color="auto"/>
              <w:right w:val="single" w:sz="4" w:space="0" w:color="auto"/>
            </w:tcBorders>
            <w:shd w:val="clear" w:color="auto" w:fill="auto"/>
            <w:noWrap/>
            <w:vAlign w:val="center"/>
            <w:hideMark/>
          </w:tcPr>
          <w:p w14:paraId="3A46B3B2"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UB sportistiem</w:t>
            </w:r>
          </w:p>
        </w:tc>
        <w:tc>
          <w:tcPr>
            <w:tcW w:w="1185" w:type="dxa"/>
            <w:tcBorders>
              <w:top w:val="nil"/>
              <w:left w:val="nil"/>
              <w:bottom w:val="single" w:sz="4" w:space="0" w:color="auto"/>
              <w:right w:val="single" w:sz="4" w:space="0" w:color="auto"/>
            </w:tcBorders>
            <w:shd w:val="clear" w:color="auto" w:fill="auto"/>
            <w:noWrap/>
            <w:vAlign w:val="center"/>
            <w:hideMark/>
          </w:tcPr>
          <w:p w14:paraId="45687839"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3204" w:type="dxa"/>
            <w:tcBorders>
              <w:top w:val="nil"/>
              <w:left w:val="nil"/>
              <w:bottom w:val="single" w:sz="4" w:space="0" w:color="auto"/>
              <w:right w:val="single" w:sz="4" w:space="0" w:color="auto"/>
            </w:tcBorders>
            <w:shd w:val="clear" w:color="auto" w:fill="auto"/>
            <w:noWrap/>
            <w:vAlign w:val="center"/>
            <w:hideMark/>
          </w:tcPr>
          <w:p w14:paraId="53D90443" w14:textId="77777777" w:rsidR="000D5000" w:rsidRPr="006557B3" w:rsidRDefault="000D5000" w:rsidP="00C92ECA">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Fulvoskābe, palielināts daudzums</w:t>
            </w:r>
          </w:p>
        </w:tc>
        <w:tc>
          <w:tcPr>
            <w:tcW w:w="1959" w:type="dxa"/>
            <w:tcBorders>
              <w:top w:val="nil"/>
              <w:left w:val="nil"/>
              <w:bottom w:val="single" w:sz="4" w:space="0" w:color="auto"/>
              <w:right w:val="single" w:sz="4" w:space="0" w:color="auto"/>
            </w:tcBorders>
            <w:shd w:val="clear" w:color="auto" w:fill="auto"/>
            <w:noWrap/>
            <w:vAlign w:val="center"/>
            <w:hideMark/>
          </w:tcPr>
          <w:p w14:paraId="47856B36"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0D5000" w:rsidRPr="006557B3" w14:paraId="517AE9DF" w14:textId="77777777" w:rsidTr="004F11FE">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09CFCF39"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3.</w:t>
            </w:r>
          </w:p>
        </w:tc>
        <w:tc>
          <w:tcPr>
            <w:tcW w:w="2021" w:type="dxa"/>
            <w:tcBorders>
              <w:top w:val="nil"/>
              <w:left w:val="nil"/>
              <w:bottom w:val="single" w:sz="4" w:space="0" w:color="auto"/>
              <w:right w:val="single" w:sz="4" w:space="0" w:color="auto"/>
            </w:tcBorders>
            <w:shd w:val="clear" w:color="auto" w:fill="auto"/>
            <w:noWrap/>
            <w:vAlign w:val="center"/>
            <w:hideMark/>
          </w:tcPr>
          <w:p w14:paraId="044D7801"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UB sportistiem</w:t>
            </w:r>
          </w:p>
        </w:tc>
        <w:tc>
          <w:tcPr>
            <w:tcW w:w="1185" w:type="dxa"/>
            <w:tcBorders>
              <w:top w:val="nil"/>
              <w:left w:val="nil"/>
              <w:bottom w:val="nil"/>
              <w:right w:val="nil"/>
            </w:tcBorders>
            <w:shd w:val="clear" w:color="auto" w:fill="auto"/>
            <w:noWrap/>
            <w:vAlign w:val="center"/>
            <w:hideMark/>
          </w:tcPr>
          <w:p w14:paraId="2B017DFB"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3204" w:type="dxa"/>
            <w:tcBorders>
              <w:top w:val="nil"/>
              <w:left w:val="single" w:sz="4" w:space="0" w:color="auto"/>
              <w:bottom w:val="single" w:sz="4" w:space="0" w:color="auto"/>
              <w:right w:val="single" w:sz="4" w:space="0" w:color="auto"/>
            </w:tcBorders>
            <w:shd w:val="clear" w:color="auto" w:fill="auto"/>
            <w:noWrap/>
            <w:vAlign w:val="center"/>
            <w:hideMark/>
          </w:tcPr>
          <w:p w14:paraId="734AC1D3" w14:textId="77777777" w:rsidR="000D5000" w:rsidRPr="006557B3" w:rsidRDefault="000D5000" w:rsidP="00C92ECA">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1,3dimetilamilamīns, neatļauta viela</w:t>
            </w:r>
          </w:p>
        </w:tc>
        <w:tc>
          <w:tcPr>
            <w:tcW w:w="1959" w:type="dxa"/>
            <w:tcBorders>
              <w:top w:val="nil"/>
              <w:left w:val="nil"/>
              <w:bottom w:val="single" w:sz="4" w:space="0" w:color="auto"/>
              <w:right w:val="single" w:sz="4" w:space="0" w:color="auto"/>
            </w:tcBorders>
            <w:shd w:val="clear" w:color="auto" w:fill="auto"/>
            <w:noWrap/>
            <w:vAlign w:val="center"/>
            <w:hideMark/>
          </w:tcPr>
          <w:p w14:paraId="15FAABF9" w14:textId="77777777" w:rsidR="000D5000" w:rsidRPr="006557B3" w:rsidRDefault="000D5000" w:rsidP="00C92ECA">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4 ziņojumi</w:t>
            </w:r>
          </w:p>
          <w:p w14:paraId="4CA42DB9" w14:textId="77777777" w:rsidR="000D5000" w:rsidRPr="006557B3" w:rsidRDefault="000D5000" w:rsidP="00C92ECA">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ES dalībvalsts</w:t>
            </w:r>
          </w:p>
        </w:tc>
      </w:tr>
      <w:tr w:rsidR="000D5000" w:rsidRPr="006557B3" w14:paraId="418010F1" w14:textId="77777777" w:rsidTr="004F11FE">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736AFDC7"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4.</w:t>
            </w:r>
          </w:p>
        </w:tc>
        <w:tc>
          <w:tcPr>
            <w:tcW w:w="2021" w:type="dxa"/>
            <w:tcBorders>
              <w:top w:val="nil"/>
              <w:left w:val="nil"/>
              <w:bottom w:val="single" w:sz="4" w:space="0" w:color="auto"/>
              <w:right w:val="single" w:sz="4" w:space="0" w:color="auto"/>
            </w:tcBorders>
            <w:shd w:val="clear" w:color="auto" w:fill="auto"/>
            <w:noWrap/>
            <w:vAlign w:val="center"/>
            <w:hideMark/>
          </w:tcPr>
          <w:p w14:paraId="6A96BF77"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UB sportistiem</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343C21F5"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Kanāda</w:t>
            </w:r>
          </w:p>
        </w:tc>
        <w:tc>
          <w:tcPr>
            <w:tcW w:w="3204" w:type="dxa"/>
            <w:tcBorders>
              <w:top w:val="nil"/>
              <w:left w:val="nil"/>
              <w:bottom w:val="single" w:sz="4" w:space="0" w:color="auto"/>
              <w:right w:val="single" w:sz="4" w:space="0" w:color="auto"/>
            </w:tcBorders>
            <w:shd w:val="clear" w:color="auto" w:fill="auto"/>
            <w:noWrap/>
            <w:vAlign w:val="center"/>
            <w:hideMark/>
          </w:tcPr>
          <w:p w14:paraId="01EF72CC" w14:textId="77777777" w:rsidR="000D5000" w:rsidRPr="006557B3" w:rsidRDefault="000D5000" w:rsidP="00C92ECA">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1,3dimetilamilamīns, neatļauta viela</w:t>
            </w:r>
          </w:p>
        </w:tc>
        <w:tc>
          <w:tcPr>
            <w:tcW w:w="1959" w:type="dxa"/>
            <w:tcBorders>
              <w:top w:val="nil"/>
              <w:left w:val="nil"/>
              <w:bottom w:val="single" w:sz="4" w:space="0" w:color="auto"/>
              <w:right w:val="single" w:sz="4" w:space="0" w:color="auto"/>
            </w:tcBorders>
            <w:shd w:val="clear" w:color="auto" w:fill="auto"/>
            <w:noWrap/>
            <w:vAlign w:val="center"/>
            <w:hideMark/>
          </w:tcPr>
          <w:p w14:paraId="5A13B7D3"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0D5000" w:rsidRPr="006557B3" w14:paraId="351E4867" w14:textId="77777777" w:rsidTr="004F11FE">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6916BE9F"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5.</w:t>
            </w:r>
          </w:p>
        </w:tc>
        <w:tc>
          <w:tcPr>
            <w:tcW w:w="2021" w:type="dxa"/>
            <w:tcBorders>
              <w:top w:val="nil"/>
              <w:left w:val="nil"/>
              <w:bottom w:val="single" w:sz="4" w:space="0" w:color="auto"/>
              <w:right w:val="single" w:sz="4" w:space="0" w:color="auto"/>
            </w:tcBorders>
            <w:shd w:val="clear" w:color="auto" w:fill="auto"/>
            <w:noWrap/>
            <w:vAlign w:val="center"/>
            <w:hideMark/>
          </w:tcPr>
          <w:p w14:paraId="289BC822" w14:textId="396EB05F" w:rsidR="000D5000" w:rsidRPr="006557B3" w:rsidRDefault="00365440" w:rsidP="00365440">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r w:rsidR="000D5000" w:rsidRPr="006557B3">
              <w:rPr>
                <w:rFonts w:ascii="Times New Roman" w:hAnsi="Times New Roman" w:cs="Times New Roman"/>
                <w:color w:val="000000"/>
                <w:sz w:val="24"/>
                <w:szCs w:val="24"/>
                <w:lang w:eastAsia="lv-LV"/>
              </w:rPr>
              <w:t>sēklas</w:t>
            </w:r>
          </w:p>
        </w:tc>
        <w:tc>
          <w:tcPr>
            <w:tcW w:w="1185" w:type="dxa"/>
            <w:tcBorders>
              <w:top w:val="nil"/>
              <w:left w:val="nil"/>
              <w:bottom w:val="single" w:sz="4" w:space="0" w:color="auto"/>
              <w:right w:val="single" w:sz="4" w:space="0" w:color="auto"/>
            </w:tcBorders>
            <w:shd w:val="clear" w:color="auto" w:fill="auto"/>
            <w:noWrap/>
            <w:vAlign w:val="center"/>
            <w:hideMark/>
          </w:tcPr>
          <w:p w14:paraId="7B59892E"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Latvija</w:t>
            </w:r>
          </w:p>
        </w:tc>
        <w:tc>
          <w:tcPr>
            <w:tcW w:w="3204" w:type="dxa"/>
            <w:tcBorders>
              <w:top w:val="nil"/>
              <w:left w:val="nil"/>
              <w:bottom w:val="single" w:sz="4" w:space="0" w:color="auto"/>
              <w:right w:val="single" w:sz="4" w:space="0" w:color="auto"/>
            </w:tcBorders>
            <w:shd w:val="clear" w:color="auto" w:fill="auto"/>
            <w:noWrap/>
            <w:vAlign w:val="center"/>
            <w:hideMark/>
          </w:tcPr>
          <w:p w14:paraId="34F098D5" w14:textId="77777777" w:rsidR="000D5000" w:rsidRPr="006557B3" w:rsidRDefault="000D5000" w:rsidP="00C92ECA">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Benzotonija hlorīds, neatļauta viela</w:t>
            </w:r>
          </w:p>
        </w:tc>
        <w:tc>
          <w:tcPr>
            <w:tcW w:w="1959" w:type="dxa"/>
            <w:tcBorders>
              <w:top w:val="nil"/>
              <w:left w:val="nil"/>
              <w:bottom w:val="single" w:sz="4" w:space="0" w:color="auto"/>
              <w:right w:val="single" w:sz="4" w:space="0" w:color="auto"/>
            </w:tcBorders>
            <w:shd w:val="clear" w:color="auto" w:fill="auto"/>
            <w:noWrap/>
            <w:vAlign w:val="center"/>
            <w:hideMark/>
          </w:tcPr>
          <w:p w14:paraId="0D23E53F" w14:textId="77777777" w:rsidR="000D5000" w:rsidRPr="006557B3" w:rsidRDefault="000D5000" w:rsidP="00C92ECA">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Sēklu ekstrakts no Polijas</w:t>
            </w:r>
          </w:p>
        </w:tc>
      </w:tr>
      <w:tr w:rsidR="000D5000" w:rsidRPr="006557B3" w14:paraId="37B67D7F" w14:textId="77777777" w:rsidTr="004F11FE">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65CC58D4"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6.</w:t>
            </w:r>
          </w:p>
        </w:tc>
        <w:tc>
          <w:tcPr>
            <w:tcW w:w="2021" w:type="dxa"/>
            <w:tcBorders>
              <w:top w:val="nil"/>
              <w:left w:val="nil"/>
              <w:bottom w:val="single" w:sz="4" w:space="0" w:color="auto"/>
              <w:right w:val="single" w:sz="4" w:space="0" w:color="auto"/>
            </w:tcBorders>
            <w:shd w:val="clear" w:color="auto" w:fill="auto"/>
            <w:noWrap/>
            <w:vAlign w:val="center"/>
            <w:hideMark/>
          </w:tcPr>
          <w:p w14:paraId="6B78ACCE" w14:textId="151F69A2" w:rsidR="000D5000" w:rsidRPr="006557B3" w:rsidRDefault="00365440" w:rsidP="00365440">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r w:rsidR="000D5000" w:rsidRPr="006557B3">
              <w:rPr>
                <w:rFonts w:ascii="Times New Roman" w:hAnsi="Times New Roman" w:cs="Times New Roman"/>
                <w:color w:val="000000"/>
                <w:sz w:val="24"/>
                <w:szCs w:val="24"/>
                <w:lang w:eastAsia="lv-LV"/>
              </w:rPr>
              <w:t>sēklas</w:t>
            </w:r>
          </w:p>
        </w:tc>
        <w:tc>
          <w:tcPr>
            <w:tcW w:w="1185" w:type="dxa"/>
            <w:tcBorders>
              <w:top w:val="nil"/>
              <w:left w:val="nil"/>
              <w:bottom w:val="single" w:sz="4" w:space="0" w:color="auto"/>
              <w:right w:val="single" w:sz="4" w:space="0" w:color="auto"/>
            </w:tcBorders>
            <w:shd w:val="clear" w:color="auto" w:fill="auto"/>
            <w:noWrap/>
            <w:vAlign w:val="center"/>
            <w:hideMark/>
          </w:tcPr>
          <w:p w14:paraId="0F8A5B57"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Latvija</w:t>
            </w:r>
          </w:p>
        </w:tc>
        <w:tc>
          <w:tcPr>
            <w:tcW w:w="3204" w:type="dxa"/>
            <w:tcBorders>
              <w:top w:val="nil"/>
              <w:left w:val="nil"/>
              <w:bottom w:val="single" w:sz="4" w:space="0" w:color="auto"/>
              <w:right w:val="single" w:sz="4" w:space="0" w:color="auto"/>
            </w:tcBorders>
            <w:shd w:val="clear" w:color="auto" w:fill="auto"/>
            <w:noWrap/>
            <w:vAlign w:val="center"/>
            <w:hideMark/>
          </w:tcPr>
          <w:p w14:paraId="49DEDFDD" w14:textId="77777777" w:rsidR="000D5000" w:rsidRPr="006557B3" w:rsidRDefault="000D5000" w:rsidP="00C92ECA">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Benzotonija hlorīds, neatļauta viela</w:t>
            </w:r>
          </w:p>
        </w:tc>
        <w:tc>
          <w:tcPr>
            <w:tcW w:w="1959" w:type="dxa"/>
            <w:tcBorders>
              <w:top w:val="nil"/>
              <w:left w:val="nil"/>
              <w:bottom w:val="single" w:sz="4" w:space="0" w:color="auto"/>
              <w:right w:val="single" w:sz="4" w:space="0" w:color="auto"/>
            </w:tcBorders>
            <w:shd w:val="clear" w:color="auto" w:fill="auto"/>
            <w:noWrap/>
            <w:vAlign w:val="center"/>
            <w:hideMark/>
          </w:tcPr>
          <w:p w14:paraId="063EF12A" w14:textId="77777777" w:rsidR="000D5000" w:rsidRPr="006557B3" w:rsidRDefault="000D5000" w:rsidP="00C92ECA">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Sēklu ekstrakts no ASV</w:t>
            </w:r>
          </w:p>
        </w:tc>
      </w:tr>
    </w:tbl>
    <w:p w14:paraId="13394FD3" w14:textId="44D6B5AA" w:rsidR="000D5000" w:rsidRPr="006557B3" w:rsidRDefault="000D5000" w:rsidP="006A24D2">
      <w:pPr>
        <w:keepNext/>
        <w:tabs>
          <w:tab w:val="left" w:pos="8647"/>
        </w:tabs>
        <w:spacing w:after="0" w:line="240" w:lineRule="auto"/>
        <w:jc w:val="both"/>
        <w:rPr>
          <w:rFonts w:ascii="Times New Roman" w:hAnsi="Times New Roman" w:cs="Times New Roman"/>
          <w:sz w:val="24"/>
          <w:szCs w:val="24"/>
        </w:rPr>
      </w:pPr>
      <w:r w:rsidRPr="006557B3">
        <w:rPr>
          <w:rFonts w:ascii="Times New Roman" w:hAnsi="Times New Roman" w:cs="Times New Roman"/>
          <w:b/>
          <w:sz w:val="24"/>
          <w:szCs w:val="24"/>
        </w:rPr>
        <w:lastRenderedPageBreak/>
        <w:t>2013.gadā</w:t>
      </w:r>
      <w:r w:rsidRPr="006557B3">
        <w:rPr>
          <w:rFonts w:ascii="Times New Roman" w:hAnsi="Times New Roman" w:cs="Times New Roman"/>
          <w:sz w:val="24"/>
          <w:szCs w:val="24"/>
        </w:rPr>
        <w:t xml:space="preserve"> saņemts </w:t>
      </w:r>
      <w:r w:rsidR="007455D6" w:rsidRPr="006557B3">
        <w:rPr>
          <w:rFonts w:ascii="Times New Roman" w:hAnsi="Times New Roman" w:cs="Times New Roman"/>
          <w:sz w:val="24"/>
          <w:szCs w:val="24"/>
        </w:rPr>
        <w:t>viens</w:t>
      </w:r>
      <w:r w:rsidRPr="006557B3">
        <w:rPr>
          <w:rFonts w:ascii="Times New Roman" w:hAnsi="Times New Roman" w:cs="Times New Roman"/>
          <w:sz w:val="24"/>
          <w:szCs w:val="24"/>
        </w:rPr>
        <w:t xml:space="preserve"> un nosūtīti </w:t>
      </w:r>
      <w:r w:rsidR="007455D6" w:rsidRPr="006557B3">
        <w:rPr>
          <w:rFonts w:ascii="Times New Roman" w:hAnsi="Times New Roman" w:cs="Times New Roman"/>
          <w:sz w:val="24"/>
          <w:szCs w:val="24"/>
        </w:rPr>
        <w:t>pieci</w:t>
      </w:r>
      <w:r w:rsidRPr="006557B3">
        <w:rPr>
          <w:rFonts w:ascii="Times New Roman" w:hAnsi="Times New Roman" w:cs="Times New Roman"/>
          <w:sz w:val="24"/>
          <w:szCs w:val="24"/>
        </w:rPr>
        <w:t xml:space="preserve"> </w:t>
      </w:r>
      <w:r w:rsidRPr="006557B3">
        <w:rPr>
          <w:rFonts w:ascii="Times New Roman" w:hAnsi="Times New Roman" w:cs="Times New Roman"/>
          <w:i/>
          <w:sz w:val="24"/>
          <w:szCs w:val="24"/>
        </w:rPr>
        <w:t>RASFF</w:t>
      </w:r>
      <w:r w:rsidR="00986094" w:rsidRPr="006557B3">
        <w:rPr>
          <w:rFonts w:ascii="Times New Roman" w:hAnsi="Times New Roman" w:cs="Times New Roman"/>
          <w:sz w:val="24"/>
          <w:szCs w:val="24"/>
        </w:rPr>
        <w:t xml:space="preserve"> pa</w:t>
      </w:r>
      <w:r w:rsidRPr="006557B3">
        <w:rPr>
          <w:rFonts w:ascii="Times New Roman" w:hAnsi="Times New Roman" w:cs="Times New Roman"/>
          <w:sz w:val="24"/>
          <w:szCs w:val="24"/>
        </w:rPr>
        <w:t xml:space="preserve">ziņojumi par </w:t>
      </w:r>
      <w:r w:rsidR="00986094" w:rsidRPr="006557B3">
        <w:rPr>
          <w:rFonts w:ascii="Times New Roman" w:hAnsi="Times New Roman" w:cs="Times New Roman"/>
          <w:sz w:val="24"/>
          <w:szCs w:val="24"/>
          <w:lang w:val="lv-LV"/>
        </w:rPr>
        <w:t xml:space="preserve">uztura bagātinātāju </w:t>
      </w:r>
      <w:r w:rsidR="007455D6" w:rsidRPr="006557B3">
        <w:rPr>
          <w:rFonts w:ascii="Times New Roman" w:hAnsi="Times New Roman" w:cs="Times New Roman"/>
          <w:sz w:val="24"/>
          <w:szCs w:val="24"/>
          <w:lang w:val="lv-LV"/>
        </w:rPr>
        <w:t xml:space="preserve">neatbilstību normatīvajos aktos noteiktajām prasībām </w:t>
      </w:r>
      <w:r w:rsidRPr="006557B3">
        <w:rPr>
          <w:rFonts w:ascii="Times New Roman" w:hAnsi="Times New Roman" w:cs="Times New Roman"/>
          <w:sz w:val="24"/>
          <w:szCs w:val="24"/>
        </w:rPr>
        <w:t>(aizliegtas vielas vai apstrāde ar jonizējošo starojumu)</w:t>
      </w:r>
      <w:r w:rsidR="00A2728D" w:rsidRPr="006557B3">
        <w:rPr>
          <w:rFonts w:ascii="Times New Roman" w:hAnsi="Times New Roman" w:cs="Times New Roman"/>
          <w:sz w:val="24"/>
          <w:szCs w:val="24"/>
        </w:rPr>
        <w:t>.</w:t>
      </w:r>
      <w:r w:rsidRPr="006557B3">
        <w:rPr>
          <w:rFonts w:ascii="Times New Roman" w:hAnsi="Times New Roman" w:cs="Times New Roman"/>
          <w:sz w:val="24"/>
          <w:szCs w:val="24"/>
        </w:rPr>
        <w:t xml:space="preserve"> </w:t>
      </w:r>
    </w:p>
    <w:tbl>
      <w:tblPr>
        <w:tblW w:w="9012" w:type="dxa"/>
        <w:tblInd w:w="93" w:type="dxa"/>
        <w:tblLook w:val="04A0" w:firstRow="1" w:lastRow="0" w:firstColumn="1" w:lastColumn="0" w:noHBand="0" w:noVBand="1"/>
      </w:tblPr>
      <w:tblGrid>
        <w:gridCol w:w="556"/>
        <w:gridCol w:w="2011"/>
        <w:gridCol w:w="1276"/>
        <w:gridCol w:w="3118"/>
        <w:gridCol w:w="2040"/>
        <w:gridCol w:w="11"/>
      </w:tblGrid>
      <w:tr w:rsidR="000D5000" w:rsidRPr="006557B3" w14:paraId="15A57035" w14:textId="77777777" w:rsidTr="002B5C36">
        <w:trPr>
          <w:trHeight w:val="54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80F05" w14:textId="77777777" w:rsidR="000D5000" w:rsidRPr="006557B3" w:rsidRDefault="000D5000" w:rsidP="006A24D2">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Nr.</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14:paraId="68250396" w14:textId="52862796" w:rsidR="000D5000" w:rsidRPr="006557B3" w:rsidRDefault="00417745" w:rsidP="006A24D2">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Produkts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078A59" w14:textId="77777777" w:rsidR="000D5000" w:rsidRPr="006557B3" w:rsidRDefault="000D5000" w:rsidP="006A24D2">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Izcelsmes valsts</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0F537803" w14:textId="77777777" w:rsidR="000D5000" w:rsidRPr="006557B3" w:rsidRDefault="000D5000" w:rsidP="006A24D2">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Konstatētais pārkāpums</w:t>
            </w:r>
          </w:p>
        </w:tc>
        <w:tc>
          <w:tcPr>
            <w:tcW w:w="20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2FD25A" w14:textId="77777777" w:rsidR="000D5000" w:rsidRPr="006557B3" w:rsidRDefault="000D5000" w:rsidP="006A24D2">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Piezīmes</w:t>
            </w:r>
          </w:p>
        </w:tc>
      </w:tr>
      <w:tr w:rsidR="000D5000" w:rsidRPr="006557B3" w14:paraId="1579537F" w14:textId="77777777" w:rsidTr="002B5C36">
        <w:trPr>
          <w:gridAfter w:val="1"/>
          <w:wAfter w:w="11"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CE6CDC" w14:textId="68A3D2B6"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2013.</w:t>
            </w:r>
            <w:r w:rsidR="008519AC" w:rsidRPr="006557B3">
              <w:rPr>
                <w:rFonts w:ascii="Times New Roman" w:hAnsi="Times New Roman" w:cs="Times New Roman"/>
                <w:b/>
                <w:bCs/>
                <w:color w:val="000000"/>
                <w:sz w:val="24"/>
                <w:szCs w:val="24"/>
                <w:lang w:eastAsia="lv-LV"/>
              </w:rPr>
              <w:t xml:space="preserve"> </w:t>
            </w:r>
            <w:r w:rsidRPr="006557B3">
              <w:rPr>
                <w:rFonts w:ascii="Times New Roman" w:hAnsi="Times New Roman" w:cs="Times New Roman"/>
                <w:b/>
                <w:bCs/>
                <w:color w:val="000000"/>
                <w:sz w:val="24"/>
                <w:szCs w:val="24"/>
                <w:lang w:eastAsia="lv-LV"/>
              </w:rPr>
              <w:t>gads</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3832F1F7"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p>
        </w:tc>
      </w:tr>
      <w:tr w:rsidR="000D5000" w:rsidRPr="006557B3" w14:paraId="0C27E0EF" w14:textId="77777777" w:rsidTr="002B5C36">
        <w:trPr>
          <w:gridAfter w:val="1"/>
          <w:wAfter w:w="11" w:type="dxa"/>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6A84DC8A"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w:t>
            </w:r>
          </w:p>
        </w:tc>
        <w:tc>
          <w:tcPr>
            <w:tcW w:w="2011" w:type="dxa"/>
            <w:tcBorders>
              <w:top w:val="nil"/>
              <w:left w:val="nil"/>
              <w:bottom w:val="single" w:sz="4" w:space="0" w:color="auto"/>
              <w:right w:val="single" w:sz="4" w:space="0" w:color="auto"/>
            </w:tcBorders>
            <w:shd w:val="clear" w:color="auto" w:fill="auto"/>
            <w:noWrap/>
            <w:vAlign w:val="center"/>
            <w:hideMark/>
          </w:tcPr>
          <w:p w14:paraId="060D9D30"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UB</w:t>
            </w:r>
          </w:p>
        </w:tc>
        <w:tc>
          <w:tcPr>
            <w:tcW w:w="1276" w:type="dxa"/>
            <w:tcBorders>
              <w:top w:val="nil"/>
              <w:left w:val="nil"/>
              <w:bottom w:val="single" w:sz="4" w:space="0" w:color="auto"/>
              <w:right w:val="single" w:sz="4" w:space="0" w:color="auto"/>
            </w:tcBorders>
            <w:shd w:val="clear" w:color="auto" w:fill="auto"/>
            <w:noWrap/>
            <w:vAlign w:val="center"/>
            <w:hideMark/>
          </w:tcPr>
          <w:p w14:paraId="5353E200"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Krievija</w:t>
            </w:r>
          </w:p>
        </w:tc>
        <w:tc>
          <w:tcPr>
            <w:tcW w:w="3118" w:type="dxa"/>
            <w:tcBorders>
              <w:top w:val="nil"/>
              <w:left w:val="nil"/>
              <w:bottom w:val="single" w:sz="4" w:space="0" w:color="auto"/>
              <w:right w:val="single" w:sz="4" w:space="0" w:color="auto"/>
            </w:tcBorders>
            <w:shd w:val="clear" w:color="auto" w:fill="auto"/>
            <w:noWrap/>
            <w:vAlign w:val="center"/>
            <w:hideMark/>
          </w:tcPr>
          <w:p w14:paraId="5411F03E" w14:textId="77777777" w:rsidR="000D5000" w:rsidRPr="006557B3" w:rsidRDefault="000D5000" w:rsidP="00C92ECA">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neatļauta apstrāde ar jonizējošo starojumu</w:t>
            </w:r>
          </w:p>
        </w:tc>
        <w:tc>
          <w:tcPr>
            <w:tcW w:w="2040" w:type="dxa"/>
            <w:tcBorders>
              <w:top w:val="nil"/>
              <w:left w:val="nil"/>
              <w:bottom w:val="single" w:sz="4" w:space="0" w:color="auto"/>
              <w:right w:val="single" w:sz="4" w:space="0" w:color="auto"/>
            </w:tcBorders>
            <w:shd w:val="clear" w:color="auto" w:fill="auto"/>
            <w:noWrap/>
            <w:vAlign w:val="center"/>
            <w:hideMark/>
          </w:tcPr>
          <w:p w14:paraId="4F3A56FC" w14:textId="14157EDA" w:rsidR="000D5000" w:rsidRPr="006557B3" w:rsidRDefault="000D5000" w:rsidP="00C92ECA">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Ziņotājvalsts </w:t>
            </w:r>
            <w:r w:rsidRPr="006557B3">
              <w:rPr>
                <w:rFonts w:ascii="Times New Roman" w:hAnsi="Times New Roman" w:cs="Times New Roman"/>
                <w:b/>
                <w:bCs/>
                <w:color w:val="000000"/>
                <w:sz w:val="24"/>
                <w:szCs w:val="24"/>
                <w:lang w:eastAsia="lv-LV"/>
              </w:rPr>
              <w:t>Latvija</w:t>
            </w:r>
            <w:r w:rsidRPr="006557B3">
              <w:rPr>
                <w:rFonts w:ascii="Times New Roman" w:hAnsi="Times New Roman" w:cs="Times New Roman"/>
                <w:color w:val="000000"/>
                <w:sz w:val="24"/>
                <w:szCs w:val="24"/>
                <w:lang w:eastAsia="lv-LV"/>
              </w:rPr>
              <w:t xml:space="preserve"> </w:t>
            </w:r>
            <w:r w:rsidR="007455D6" w:rsidRPr="006557B3">
              <w:rPr>
                <w:rFonts w:ascii="Times New Roman" w:hAnsi="Times New Roman" w:cs="Times New Roman"/>
                <w:color w:val="000000"/>
                <w:sz w:val="24"/>
                <w:szCs w:val="24"/>
                <w:lang w:eastAsia="lv-LV"/>
              </w:rPr>
              <w:t xml:space="preserve">– </w:t>
            </w:r>
            <w:r w:rsidRPr="006557B3">
              <w:rPr>
                <w:rFonts w:ascii="Times New Roman" w:hAnsi="Times New Roman" w:cs="Times New Roman"/>
                <w:color w:val="000000"/>
                <w:sz w:val="24"/>
                <w:szCs w:val="24"/>
                <w:lang w:eastAsia="lv-LV"/>
              </w:rPr>
              <w:t>kopā 5 ziņojumi</w:t>
            </w:r>
          </w:p>
        </w:tc>
      </w:tr>
      <w:tr w:rsidR="000D5000" w:rsidRPr="006557B3" w14:paraId="33B2C08C" w14:textId="77777777" w:rsidTr="002B5C36">
        <w:trPr>
          <w:gridAfter w:val="1"/>
          <w:wAfter w:w="11" w:type="dxa"/>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70ECED10"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w:t>
            </w:r>
          </w:p>
        </w:tc>
        <w:tc>
          <w:tcPr>
            <w:tcW w:w="2011" w:type="dxa"/>
            <w:tcBorders>
              <w:top w:val="nil"/>
              <w:left w:val="nil"/>
              <w:bottom w:val="single" w:sz="4" w:space="0" w:color="auto"/>
              <w:right w:val="single" w:sz="4" w:space="0" w:color="auto"/>
            </w:tcBorders>
            <w:shd w:val="clear" w:color="auto" w:fill="auto"/>
            <w:noWrap/>
            <w:vAlign w:val="center"/>
            <w:hideMark/>
          </w:tcPr>
          <w:p w14:paraId="4C4F8083"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UB ar kofeīnu</w:t>
            </w:r>
          </w:p>
        </w:tc>
        <w:tc>
          <w:tcPr>
            <w:tcW w:w="1276" w:type="dxa"/>
            <w:tcBorders>
              <w:top w:val="nil"/>
              <w:left w:val="nil"/>
              <w:bottom w:val="single" w:sz="4" w:space="0" w:color="auto"/>
              <w:right w:val="single" w:sz="4" w:space="0" w:color="auto"/>
            </w:tcBorders>
            <w:shd w:val="clear" w:color="auto" w:fill="auto"/>
            <w:noWrap/>
            <w:vAlign w:val="center"/>
            <w:hideMark/>
          </w:tcPr>
          <w:p w14:paraId="21020B9E"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Ungārija</w:t>
            </w:r>
          </w:p>
        </w:tc>
        <w:tc>
          <w:tcPr>
            <w:tcW w:w="3118" w:type="dxa"/>
            <w:tcBorders>
              <w:top w:val="nil"/>
              <w:left w:val="nil"/>
              <w:bottom w:val="single" w:sz="4" w:space="0" w:color="auto"/>
              <w:right w:val="single" w:sz="4" w:space="0" w:color="auto"/>
            </w:tcBorders>
            <w:shd w:val="clear" w:color="auto" w:fill="auto"/>
            <w:noWrap/>
            <w:vAlign w:val="center"/>
            <w:hideMark/>
          </w:tcPr>
          <w:p w14:paraId="668460B2" w14:textId="4D7AC122" w:rsidR="000D5000" w:rsidRPr="006557B3" w:rsidRDefault="00493E46"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S</w:t>
            </w:r>
            <w:r w:rsidR="000D5000" w:rsidRPr="006557B3">
              <w:rPr>
                <w:rFonts w:ascii="Times New Roman" w:hAnsi="Times New Roman" w:cs="Times New Roman"/>
                <w:color w:val="000000"/>
                <w:sz w:val="24"/>
                <w:szCs w:val="24"/>
                <w:lang w:eastAsia="lv-LV"/>
              </w:rPr>
              <w:t>ineprīns</w:t>
            </w:r>
            <w:r w:rsidRPr="006557B3">
              <w:rPr>
                <w:rFonts w:ascii="Times New Roman" w:hAnsi="Times New Roman" w:cs="Times New Roman"/>
                <w:color w:val="000000"/>
                <w:sz w:val="24"/>
                <w:szCs w:val="24"/>
                <w:lang w:eastAsia="lv-LV"/>
              </w:rPr>
              <w:t>, neatļauta viela</w:t>
            </w:r>
          </w:p>
        </w:tc>
        <w:tc>
          <w:tcPr>
            <w:tcW w:w="2040" w:type="dxa"/>
            <w:tcBorders>
              <w:top w:val="nil"/>
              <w:left w:val="nil"/>
              <w:bottom w:val="single" w:sz="4" w:space="0" w:color="auto"/>
              <w:right w:val="single" w:sz="4" w:space="0" w:color="auto"/>
            </w:tcBorders>
            <w:shd w:val="clear" w:color="auto" w:fill="auto"/>
            <w:noWrap/>
            <w:vAlign w:val="center"/>
            <w:hideMark/>
          </w:tcPr>
          <w:p w14:paraId="7F7E849F"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bl>
    <w:p w14:paraId="6B918D34" w14:textId="162903EC" w:rsidR="000D5000" w:rsidRDefault="000D5000" w:rsidP="00C05C12">
      <w:pPr>
        <w:tabs>
          <w:tab w:val="left" w:pos="8647"/>
        </w:tabs>
        <w:spacing w:after="0"/>
        <w:rPr>
          <w:rFonts w:ascii="Times New Roman" w:hAnsi="Times New Roman" w:cs="Times New Roman"/>
          <w:b/>
          <w:sz w:val="24"/>
          <w:szCs w:val="24"/>
        </w:rPr>
      </w:pPr>
    </w:p>
    <w:p w14:paraId="22F61781" w14:textId="4922ADCF" w:rsidR="000D5000" w:rsidRPr="006557B3" w:rsidRDefault="000D5000" w:rsidP="00E57017">
      <w:pPr>
        <w:keepNext/>
        <w:tabs>
          <w:tab w:val="left" w:pos="8647"/>
        </w:tabs>
        <w:spacing w:after="0" w:line="240" w:lineRule="auto"/>
        <w:jc w:val="both"/>
        <w:rPr>
          <w:rFonts w:ascii="Times New Roman" w:hAnsi="Times New Roman" w:cs="Times New Roman"/>
          <w:sz w:val="24"/>
          <w:szCs w:val="24"/>
        </w:rPr>
      </w:pPr>
      <w:r w:rsidRPr="006557B3">
        <w:rPr>
          <w:rFonts w:ascii="Times New Roman" w:hAnsi="Times New Roman" w:cs="Times New Roman"/>
          <w:b/>
          <w:sz w:val="24"/>
          <w:szCs w:val="24"/>
        </w:rPr>
        <w:t>2014.gadā</w:t>
      </w:r>
      <w:r w:rsidRPr="006557B3">
        <w:rPr>
          <w:rFonts w:ascii="Times New Roman" w:hAnsi="Times New Roman" w:cs="Times New Roman"/>
          <w:sz w:val="24"/>
          <w:szCs w:val="24"/>
        </w:rPr>
        <w:t xml:space="preserve"> saņemti 18 un nosūtīti </w:t>
      </w:r>
      <w:r w:rsidR="007455D6" w:rsidRPr="006557B3">
        <w:rPr>
          <w:rFonts w:ascii="Times New Roman" w:hAnsi="Times New Roman" w:cs="Times New Roman"/>
          <w:sz w:val="24"/>
          <w:szCs w:val="24"/>
        </w:rPr>
        <w:t>divi</w:t>
      </w:r>
      <w:r w:rsidRPr="006557B3">
        <w:rPr>
          <w:rFonts w:ascii="Times New Roman" w:hAnsi="Times New Roman" w:cs="Times New Roman"/>
          <w:sz w:val="24"/>
          <w:szCs w:val="24"/>
        </w:rPr>
        <w:t xml:space="preserve"> </w:t>
      </w:r>
      <w:r w:rsidRPr="006557B3">
        <w:rPr>
          <w:rFonts w:ascii="Times New Roman" w:hAnsi="Times New Roman" w:cs="Times New Roman"/>
          <w:i/>
          <w:sz w:val="24"/>
          <w:szCs w:val="24"/>
        </w:rPr>
        <w:t>RASFF</w:t>
      </w:r>
      <w:r w:rsidRPr="006557B3">
        <w:rPr>
          <w:rFonts w:ascii="Times New Roman" w:hAnsi="Times New Roman" w:cs="Times New Roman"/>
          <w:sz w:val="24"/>
          <w:szCs w:val="24"/>
        </w:rPr>
        <w:t xml:space="preserve"> </w:t>
      </w:r>
      <w:r w:rsidR="00EA67B4" w:rsidRPr="006557B3">
        <w:rPr>
          <w:rFonts w:ascii="Times New Roman" w:hAnsi="Times New Roman" w:cs="Times New Roman"/>
          <w:sz w:val="24"/>
          <w:szCs w:val="24"/>
        </w:rPr>
        <w:t>pa</w:t>
      </w:r>
      <w:r w:rsidRPr="006557B3">
        <w:rPr>
          <w:rFonts w:ascii="Times New Roman" w:hAnsi="Times New Roman" w:cs="Times New Roman"/>
          <w:sz w:val="24"/>
          <w:szCs w:val="24"/>
        </w:rPr>
        <w:t xml:space="preserve">ziņojumi par </w:t>
      </w:r>
      <w:r w:rsidR="00EB1EEC" w:rsidRPr="006557B3">
        <w:rPr>
          <w:rFonts w:ascii="Times New Roman" w:hAnsi="Times New Roman" w:cs="Times New Roman"/>
          <w:sz w:val="24"/>
          <w:szCs w:val="24"/>
          <w:lang w:val="lv-LV"/>
        </w:rPr>
        <w:t xml:space="preserve">uztura bagātinātāju </w:t>
      </w:r>
      <w:r w:rsidR="007455D6" w:rsidRPr="006557B3">
        <w:rPr>
          <w:rFonts w:ascii="Times New Roman" w:hAnsi="Times New Roman" w:cs="Times New Roman"/>
          <w:sz w:val="24"/>
          <w:szCs w:val="24"/>
          <w:lang w:val="lv-LV"/>
        </w:rPr>
        <w:t xml:space="preserve">neatbilstību normatīvajos aktos noteiktajām prasībām </w:t>
      </w:r>
      <w:r w:rsidRPr="006557B3">
        <w:rPr>
          <w:rFonts w:ascii="Times New Roman" w:hAnsi="Times New Roman" w:cs="Times New Roman"/>
          <w:sz w:val="24"/>
          <w:szCs w:val="24"/>
        </w:rPr>
        <w:t>(aizliegtas vielas vai apstrāde ar jonizējošo starojumu)</w:t>
      </w:r>
      <w:r w:rsidR="00A2728D" w:rsidRPr="006557B3">
        <w:rPr>
          <w:rFonts w:ascii="Times New Roman" w:hAnsi="Times New Roman" w:cs="Times New Roman"/>
          <w:sz w:val="24"/>
          <w:szCs w:val="24"/>
        </w:rPr>
        <w:t xml:space="preserve">. </w:t>
      </w:r>
    </w:p>
    <w:tbl>
      <w:tblPr>
        <w:tblW w:w="9149" w:type="dxa"/>
        <w:tblInd w:w="93" w:type="dxa"/>
        <w:tblLook w:val="04A0" w:firstRow="1" w:lastRow="0" w:firstColumn="1" w:lastColumn="0" w:noHBand="0" w:noVBand="1"/>
      </w:tblPr>
      <w:tblGrid>
        <w:gridCol w:w="556"/>
        <w:gridCol w:w="1979"/>
        <w:gridCol w:w="1403"/>
        <w:gridCol w:w="3028"/>
        <w:gridCol w:w="2188"/>
      </w:tblGrid>
      <w:tr w:rsidR="002B5C36" w:rsidRPr="006557B3" w14:paraId="3C23AED1" w14:textId="77777777" w:rsidTr="002B5C36">
        <w:trPr>
          <w:trHeight w:val="54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B6CB8" w14:textId="77777777" w:rsidR="000D5000" w:rsidRPr="006557B3" w:rsidRDefault="000D5000" w:rsidP="00E57017">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Nr.</w:t>
            </w:r>
          </w:p>
        </w:tc>
        <w:tc>
          <w:tcPr>
            <w:tcW w:w="1979" w:type="dxa"/>
            <w:tcBorders>
              <w:top w:val="single" w:sz="4" w:space="0" w:color="auto"/>
              <w:left w:val="nil"/>
              <w:bottom w:val="single" w:sz="4" w:space="0" w:color="auto"/>
              <w:right w:val="single" w:sz="4" w:space="0" w:color="auto"/>
            </w:tcBorders>
            <w:shd w:val="clear" w:color="auto" w:fill="auto"/>
            <w:noWrap/>
            <w:vAlign w:val="center"/>
            <w:hideMark/>
          </w:tcPr>
          <w:p w14:paraId="1FA6907C" w14:textId="2413B6BA" w:rsidR="000D5000" w:rsidRPr="006557B3" w:rsidRDefault="00417745" w:rsidP="00E57017">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Produkts</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14:paraId="54019D05" w14:textId="77777777" w:rsidR="000D5000" w:rsidRPr="006557B3" w:rsidRDefault="000D5000" w:rsidP="00E57017">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Izcelsmes valsts</w:t>
            </w:r>
          </w:p>
        </w:tc>
        <w:tc>
          <w:tcPr>
            <w:tcW w:w="3028" w:type="dxa"/>
            <w:tcBorders>
              <w:top w:val="single" w:sz="4" w:space="0" w:color="auto"/>
              <w:left w:val="nil"/>
              <w:bottom w:val="single" w:sz="4" w:space="0" w:color="auto"/>
              <w:right w:val="single" w:sz="4" w:space="0" w:color="auto"/>
            </w:tcBorders>
            <w:shd w:val="clear" w:color="auto" w:fill="auto"/>
            <w:noWrap/>
            <w:vAlign w:val="center"/>
            <w:hideMark/>
          </w:tcPr>
          <w:p w14:paraId="5CF1AD98" w14:textId="77777777" w:rsidR="000D5000" w:rsidRPr="006557B3" w:rsidRDefault="000D5000" w:rsidP="00E57017">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Konstatētais pārkāpums</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E9D85D2" w14:textId="77777777" w:rsidR="000D5000" w:rsidRPr="006557B3" w:rsidRDefault="000D5000" w:rsidP="00E57017">
            <w:pPr>
              <w:keepNext/>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Piezīmes</w:t>
            </w:r>
          </w:p>
        </w:tc>
      </w:tr>
      <w:tr w:rsidR="000D5000" w:rsidRPr="006557B3" w14:paraId="5D0512E0" w14:textId="77777777" w:rsidTr="002B5C36">
        <w:trPr>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F6667C" w14:textId="2A5A6365"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2014.</w:t>
            </w:r>
            <w:r w:rsidR="008519AC" w:rsidRPr="006557B3">
              <w:rPr>
                <w:rFonts w:ascii="Times New Roman" w:hAnsi="Times New Roman" w:cs="Times New Roman"/>
                <w:b/>
                <w:bCs/>
                <w:color w:val="000000"/>
                <w:sz w:val="24"/>
                <w:szCs w:val="24"/>
                <w:lang w:eastAsia="lv-LV"/>
              </w:rPr>
              <w:t xml:space="preserve"> </w:t>
            </w:r>
            <w:r w:rsidRPr="006557B3">
              <w:rPr>
                <w:rFonts w:ascii="Times New Roman" w:hAnsi="Times New Roman" w:cs="Times New Roman"/>
                <w:b/>
                <w:bCs/>
                <w:color w:val="000000"/>
                <w:sz w:val="24"/>
                <w:szCs w:val="24"/>
                <w:lang w:eastAsia="lv-LV"/>
              </w:rPr>
              <w:t>gads</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6AC685BA"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p>
        </w:tc>
      </w:tr>
      <w:tr w:rsidR="002B5C36" w:rsidRPr="006557B3" w14:paraId="427C2DF4" w14:textId="77777777" w:rsidTr="002B5C36">
        <w:trPr>
          <w:trHeight w:val="75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6B20134"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w:t>
            </w:r>
          </w:p>
        </w:tc>
        <w:tc>
          <w:tcPr>
            <w:tcW w:w="1979" w:type="dxa"/>
            <w:tcBorders>
              <w:top w:val="nil"/>
              <w:left w:val="nil"/>
              <w:bottom w:val="single" w:sz="4" w:space="0" w:color="auto"/>
              <w:right w:val="single" w:sz="4" w:space="0" w:color="auto"/>
            </w:tcBorders>
            <w:shd w:val="clear" w:color="auto" w:fill="auto"/>
            <w:noWrap/>
            <w:vAlign w:val="center"/>
            <w:hideMark/>
          </w:tcPr>
          <w:p w14:paraId="15E4FBF7" w14:textId="5794CE70" w:rsidR="00D23F11" w:rsidRPr="006557B3" w:rsidRDefault="00D23F11" w:rsidP="00417745">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UB</w:t>
            </w:r>
            <w:r w:rsidRPr="006557B3">
              <w:rPr>
                <w:rFonts w:ascii="Times New Roman" w:hAnsi="Times New Roman" w:cs="Times New Roman"/>
                <w:i/>
                <w:color w:val="000000"/>
                <w:sz w:val="24"/>
                <w:szCs w:val="24"/>
                <w:lang w:eastAsia="lv-LV"/>
              </w:rPr>
              <w:t xml:space="preserve"> </w:t>
            </w:r>
            <w:r w:rsidR="00417745" w:rsidRPr="006557B3">
              <w:rPr>
                <w:rFonts w:ascii="Times New Roman" w:hAnsi="Times New Roman" w:cs="Times New Roman"/>
                <w:color w:val="000000"/>
                <w:sz w:val="24"/>
                <w:szCs w:val="24"/>
                <w:lang w:eastAsia="lv-LV"/>
              </w:rPr>
              <w:t>sportistiem</w:t>
            </w:r>
          </w:p>
        </w:tc>
        <w:tc>
          <w:tcPr>
            <w:tcW w:w="1399" w:type="dxa"/>
            <w:tcBorders>
              <w:top w:val="nil"/>
              <w:left w:val="nil"/>
              <w:bottom w:val="single" w:sz="4" w:space="0" w:color="auto"/>
              <w:right w:val="single" w:sz="4" w:space="0" w:color="auto"/>
            </w:tcBorders>
            <w:shd w:val="clear" w:color="auto" w:fill="auto"/>
            <w:noWrap/>
            <w:vAlign w:val="center"/>
            <w:hideMark/>
          </w:tcPr>
          <w:p w14:paraId="0CA2DE91"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3028" w:type="dxa"/>
            <w:tcBorders>
              <w:top w:val="nil"/>
              <w:left w:val="nil"/>
              <w:bottom w:val="single" w:sz="4" w:space="0" w:color="auto"/>
              <w:right w:val="single" w:sz="4" w:space="0" w:color="auto"/>
            </w:tcBorders>
            <w:shd w:val="clear" w:color="auto" w:fill="auto"/>
            <w:vAlign w:val="center"/>
            <w:hideMark/>
          </w:tcPr>
          <w:p w14:paraId="5F411E1E" w14:textId="15411CFD"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magnija aspartāts, kalcija/kālija fosfātu citrāts, cinka, mangāna, vara glicināta helāti, hroma nikotināta glicināta helāts, molibdēna glicināta helāts, neatļauta viela </w:t>
            </w:r>
          </w:p>
        </w:tc>
        <w:tc>
          <w:tcPr>
            <w:tcW w:w="2188" w:type="dxa"/>
            <w:tcBorders>
              <w:top w:val="nil"/>
              <w:left w:val="nil"/>
              <w:bottom w:val="single" w:sz="4" w:space="0" w:color="auto"/>
              <w:right w:val="single" w:sz="4" w:space="0" w:color="auto"/>
            </w:tcBorders>
            <w:shd w:val="clear" w:color="auto" w:fill="auto"/>
            <w:noWrap/>
            <w:vAlign w:val="center"/>
            <w:hideMark/>
          </w:tcPr>
          <w:p w14:paraId="602D3CA3"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2B5C36" w:rsidRPr="006557B3" w14:paraId="21CBBC11" w14:textId="77777777" w:rsidTr="002B5C36">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30FBC355"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w:t>
            </w:r>
          </w:p>
        </w:tc>
        <w:tc>
          <w:tcPr>
            <w:tcW w:w="1979" w:type="dxa"/>
            <w:tcBorders>
              <w:top w:val="nil"/>
              <w:left w:val="nil"/>
              <w:bottom w:val="single" w:sz="4" w:space="0" w:color="auto"/>
              <w:right w:val="single" w:sz="4" w:space="0" w:color="auto"/>
            </w:tcBorders>
            <w:shd w:val="clear" w:color="auto" w:fill="auto"/>
            <w:noWrap/>
            <w:vAlign w:val="center"/>
            <w:hideMark/>
          </w:tcPr>
          <w:p w14:paraId="4581579D" w14:textId="277CE4E1" w:rsidR="00D23F11" w:rsidRPr="006557B3" w:rsidRDefault="00D23F11" w:rsidP="00D23F11">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r w:rsidR="003710B6" w:rsidRPr="006557B3">
              <w:rPr>
                <w:rFonts w:ascii="Times New Roman" w:hAnsi="Times New Roman" w:cs="Times New Roman"/>
                <w:color w:val="000000"/>
                <w:sz w:val="24"/>
                <w:szCs w:val="24"/>
                <w:lang w:eastAsia="lv-LV"/>
              </w:rPr>
              <w:t>sportistiem</w:t>
            </w:r>
          </w:p>
        </w:tc>
        <w:tc>
          <w:tcPr>
            <w:tcW w:w="1399" w:type="dxa"/>
            <w:tcBorders>
              <w:top w:val="nil"/>
              <w:left w:val="nil"/>
              <w:bottom w:val="single" w:sz="4" w:space="0" w:color="auto"/>
              <w:right w:val="single" w:sz="4" w:space="0" w:color="auto"/>
            </w:tcBorders>
            <w:shd w:val="clear" w:color="auto" w:fill="auto"/>
            <w:noWrap/>
            <w:vAlign w:val="center"/>
            <w:hideMark/>
          </w:tcPr>
          <w:p w14:paraId="0E0B03AC"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3028" w:type="dxa"/>
            <w:tcBorders>
              <w:top w:val="nil"/>
              <w:left w:val="nil"/>
              <w:bottom w:val="single" w:sz="4" w:space="0" w:color="auto"/>
              <w:right w:val="single" w:sz="4" w:space="0" w:color="auto"/>
            </w:tcBorders>
            <w:shd w:val="clear" w:color="auto" w:fill="auto"/>
            <w:noWrap/>
            <w:vAlign w:val="center"/>
            <w:hideMark/>
          </w:tcPr>
          <w:p w14:paraId="57988499" w14:textId="28242F48"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palielināts B</w:t>
            </w:r>
            <w:r w:rsidRPr="006557B3">
              <w:rPr>
                <w:rFonts w:ascii="Times New Roman" w:hAnsi="Times New Roman" w:cs="Times New Roman"/>
                <w:color w:val="000000"/>
                <w:sz w:val="24"/>
                <w:szCs w:val="24"/>
                <w:vertAlign w:val="subscript"/>
                <w:lang w:eastAsia="lv-LV"/>
              </w:rPr>
              <w:t xml:space="preserve">6 </w:t>
            </w:r>
            <w:r w:rsidRPr="006557B3">
              <w:rPr>
                <w:rFonts w:ascii="Times New Roman" w:hAnsi="Times New Roman" w:cs="Times New Roman"/>
                <w:color w:val="000000"/>
                <w:sz w:val="24"/>
                <w:szCs w:val="24"/>
                <w:lang w:eastAsia="lv-LV"/>
              </w:rPr>
              <w:t xml:space="preserve">vitamīna daudzums </w:t>
            </w:r>
          </w:p>
        </w:tc>
        <w:tc>
          <w:tcPr>
            <w:tcW w:w="2188" w:type="dxa"/>
            <w:tcBorders>
              <w:top w:val="nil"/>
              <w:left w:val="nil"/>
              <w:bottom w:val="single" w:sz="4" w:space="0" w:color="auto"/>
              <w:right w:val="single" w:sz="4" w:space="0" w:color="auto"/>
            </w:tcBorders>
            <w:shd w:val="clear" w:color="auto" w:fill="auto"/>
            <w:noWrap/>
            <w:vAlign w:val="center"/>
            <w:hideMark/>
          </w:tcPr>
          <w:p w14:paraId="1123B462"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2B5C36" w:rsidRPr="006557B3" w14:paraId="3AF3627E" w14:textId="77777777" w:rsidTr="002B5C36">
        <w:trPr>
          <w:trHeight w:val="765"/>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FFA8EF3"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3.</w:t>
            </w:r>
          </w:p>
        </w:tc>
        <w:tc>
          <w:tcPr>
            <w:tcW w:w="1979" w:type="dxa"/>
            <w:tcBorders>
              <w:top w:val="nil"/>
              <w:left w:val="nil"/>
              <w:bottom w:val="single" w:sz="4" w:space="0" w:color="auto"/>
              <w:right w:val="single" w:sz="4" w:space="0" w:color="auto"/>
            </w:tcBorders>
            <w:shd w:val="clear" w:color="auto" w:fill="auto"/>
            <w:noWrap/>
            <w:vAlign w:val="center"/>
            <w:hideMark/>
          </w:tcPr>
          <w:p w14:paraId="6A4AD1A6" w14:textId="7D6540A2" w:rsidR="00D23F11" w:rsidRPr="006557B3" w:rsidRDefault="00D23F11" w:rsidP="00D23F11">
            <w:pPr>
              <w:tabs>
                <w:tab w:val="left" w:pos="8647"/>
              </w:tabs>
              <w:spacing w:after="0"/>
              <w:rPr>
                <w:rFonts w:ascii="Times New Roman" w:hAnsi="Times New Roman" w:cs="Times New Roman"/>
                <w:color w:val="000000"/>
                <w:sz w:val="24"/>
                <w:szCs w:val="24"/>
                <w:lang w:val="en-US" w:eastAsia="lv-LV"/>
              </w:rPr>
            </w:pPr>
            <w:r w:rsidRPr="006557B3">
              <w:rPr>
                <w:rFonts w:ascii="Times New Roman" w:hAnsi="Times New Roman" w:cs="Times New Roman"/>
                <w:color w:val="000000"/>
                <w:sz w:val="24"/>
                <w:szCs w:val="24"/>
                <w:lang w:val="en-US" w:eastAsia="lv-LV"/>
              </w:rPr>
              <w:t xml:space="preserve">UB </w:t>
            </w:r>
            <w:r w:rsidR="003710B6" w:rsidRPr="006557B3">
              <w:rPr>
                <w:rFonts w:ascii="Times New Roman" w:hAnsi="Times New Roman" w:cs="Times New Roman"/>
                <w:color w:val="000000"/>
                <w:sz w:val="24"/>
                <w:szCs w:val="24"/>
                <w:lang w:eastAsia="lv-LV"/>
              </w:rPr>
              <w:t>sportistiem</w:t>
            </w:r>
          </w:p>
        </w:tc>
        <w:tc>
          <w:tcPr>
            <w:tcW w:w="1399" w:type="dxa"/>
            <w:tcBorders>
              <w:top w:val="nil"/>
              <w:left w:val="nil"/>
              <w:bottom w:val="single" w:sz="4" w:space="0" w:color="auto"/>
              <w:right w:val="single" w:sz="4" w:space="0" w:color="auto"/>
            </w:tcBorders>
            <w:shd w:val="clear" w:color="auto" w:fill="auto"/>
            <w:noWrap/>
            <w:vAlign w:val="center"/>
            <w:hideMark/>
          </w:tcPr>
          <w:p w14:paraId="5359B12F"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Polija</w:t>
            </w:r>
          </w:p>
        </w:tc>
        <w:tc>
          <w:tcPr>
            <w:tcW w:w="3028" w:type="dxa"/>
            <w:tcBorders>
              <w:top w:val="nil"/>
              <w:left w:val="nil"/>
              <w:bottom w:val="single" w:sz="4" w:space="0" w:color="auto"/>
              <w:right w:val="single" w:sz="4" w:space="0" w:color="auto"/>
            </w:tcBorders>
            <w:shd w:val="clear" w:color="auto" w:fill="auto"/>
            <w:vAlign w:val="center"/>
            <w:hideMark/>
          </w:tcPr>
          <w:p w14:paraId="32EF36C9" w14:textId="18C8C1F9"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makas (</w:t>
            </w:r>
            <w:r w:rsidRPr="009501A2">
              <w:rPr>
                <w:rFonts w:ascii="Times New Roman" w:hAnsi="Times New Roman" w:cs="Times New Roman"/>
                <w:i/>
                <w:color w:val="000000"/>
                <w:sz w:val="24"/>
                <w:szCs w:val="24"/>
                <w:lang w:eastAsia="lv-LV"/>
              </w:rPr>
              <w:t>Lepidium meyenii</w:t>
            </w:r>
            <w:r w:rsidRPr="006557B3">
              <w:rPr>
                <w:rFonts w:ascii="Times New Roman" w:hAnsi="Times New Roman" w:cs="Times New Roman"/>
                <w:color w:val="000000"/>
                <w:sz w:val="24"/>
                <w:szCs w:val="24"/>
                <w:lang w:eastAsia="lv-LV"/>
              </w:rPr>
              <w:t>) sakne, vitānija (</w:t>
            </w:r>
            <w:r w:rsidRPr="009501A2">
              <w:rPr>
                <w:rFonts w:ascii="Times New Roman" w:hAnsi="Times New Roman" w:cs="Times New Roman"/>
                <w:i/>
                <w:color w:val="000000"/>
                <w:sz w:val="24"/>
                <w:szCs w:val="24"/>
                <w:lang w:eastAsia="lv-LV"/>
              </w:rPr>
              <w:t>Withania somnifera</w:t>
            </w:r>
            <w:r w:rsidRPr="006557B3">
              <w:rPr>
                <w:rFonts w:ascii="Times New Roman" w:hAnsi="Times New Roman" w:cs="Times New Roman"/>
                <w:color w:val="000000"/>
                <w:sz w:val="24"/>
                <w:szCs w:val="24"/>
                <w:lang w:eastAsia="lv-LV"/>
              </w:rPr>
              <w:t>), tribuļi (</w:t>
            </w:r>
            <w:r w:rsidRPr="009501A2">
              <w:rPr>
                <w:rFonts w:ascii="Times New Roman" w:hAnsi="Times New Roman" w:cs="Times New Roman"/>
                <w:i/>
                <w:color w:val="000000"/>
                <w:sz w:val="24"/>
                <w:szCs w:val="24"/>
                <w:lang w:eastAsia="lv-LV"/>
              </w:rPr>
              <w:t>Tribulus terrestris</w:t>
            </w:r>
            <w:r w:rsidRPr="006557B3">
              <w:rPr>
                <w:rFonts w:ascii="Times New Roman" w:hAnsi="Times New Roman" w:cs="Times New Roman"/>
                <w:color w:val="000000"/>
                <w:sz w:val="24"/>
                <w:szCs w:val="24"/>
                <w:lang w:eastAsia="lv-LV"/>
              </w:rPr>
              <w:t xml:space="preserve">), tragantzirņi </w:t>
            </w:r>
            <w:r w:rsidR="000A5851">
              <w:rPr>
                <w:rFonts w:ascii="Times New Roman" w:hAnsi="Times New Roman" w:cs="Times New Roman"/>
                <w:color w:val="000000"/>
                <w:sz w:val="24"/>
                <w:szCs w:val="24"/>
                <w:lang w:eastAsia="lv-LV"/>
              </w:rPr>
              <w:t>(</w:t>
            </w:r>
            <w:r w:rsidRPr="009501A2">
              <w:rPr>
                <w:rFonts w:ascii="Times New Roman" w:hAnsi="Times New Roman" w:cs="Times New Roman"/>
                <w:i/>
                <w:color w:val="000000"/>
                <w:sz w:val="24"/>
                <w:szCs w:val="24"/>
                <w:lang w:eastAsia="lv-LV"/>
              </w:rPr>
              <w:t>Astragalus membranaceus</w:t>
            </w:r>
            <w:r w:rsidR="000A5851">
              <w:rPr>
                <w:rFonts w:ascii="Times New Roman" w:hAnsi="Times New Roman" w:cs="Times New Roman"/>
                <w:color w:val="000000"/>
                <w:sz w:val="24"/>
                <w:szCs w:val="24"/>
                <w:lang w:eastAsia="lv-LV"/>
              </w:rPr>
              <w:t>)</w:t>
            </w:r>
            <w:r w:rsidRPr="006557B3">
              <w:rPr>
                <w:rStyle w:val="Komentraatsauce"/>
                <w:rFonts w:ascii="Times New Roman" w:hAnsi="Times New Roman" w:cs="Times New Roman"/>
                <w:sz w:val="24"/>
                <w:szCs w:val="24"/>
              </w:rPr>
              <w:t>  </w:t>
            </w:r>
            <w:r w:rsidRPr="006557B3">
              <w:rPr>
                <w:rFonts w:ascii="Times New Roman" w:hAnsi="Times New Roman" w:cs="Times New Roman"/>
                <w:color w:val="000000"/>
                <w:sz w:val="24"/>
                <w:szCs w:val="24"/>
                <w:lang w:eastAsia="lv-LV"/>
              </w:rPr>
              <w:t xml:space="preserve"> </w:t>
            </w:r>
          </w:p>
        </w:tc>
        <w:tc>
          <w:tcPr>
            <w:tcW w:w="2188" w:type="dxa"/>
            <w:tcBorders>
              <w:top w:val="nil"/>
              <w:left w:val="nil"/>
              <w:bottom w:val="single" w:sz="4" w:space="0" w:color="auto"/>
              <w:right w:val="single" w:sz="4" w:space="0" w:color="auto"/>
            </w:tcBorders>
            <w:shd w:val="clear" w:color="auto" w:fill="auto"/>
            <w:noWrap/>
            <w:vAlign w:val="center"/>
            <w:hideMark/>
          </w:tcPr>
          <w:p w14:paraId="1E158747"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2B5C36" w:rsidRPr="006557B3" w14:paraId="2886F173" w14:textId="77777777" w:rsidTr="002B5C36">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616625A"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4.</w:t>
            </w:r>
          </w:p>
        </w:tc>
        <w:tc>
          <w:tcPr>
            <w:tcW w:w="1979" w:type="dxa"/>
            <w:tcBorders>
              <w:top w:val="nil"/>
              <w:left w:val="nil"/>
              <w:bottom w:val="single" w:sz="4" w:space="0" w:color="auto"/>
              <w:right w:val="single" w:sz="4" w:space="0" w:color="auto"/>
            </w:tcBorders>
            <w:shd w:val="clear" w:color="auto" w:fill="auto"/>
            <w:noWrap/>
            <w:vAlign w:val="center"/>
            <w:hideMark/>
          </w:tcPr>
          <w:p w14:paraId="43C7E3B9" w14:textId="306D9032" w:rsidR="00D23F11" w:rsidRPr="006557B3" w:rsidRDefault="00D23F11" w:rsidP="00D23F11">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r w:rsidR="003710B6" w:rsidRPr="006557B3">
              <w:rPr>
                <w:rFonts w:ascii="Times New Roman" w:hAnsi="Times New Roman" w:cs="Times New Roman"/>
                <w:color w:val="000000"/>
                <w:sz w:val="24"/>
                <w:szCs w:val="24"/>
                <w:lang w:eastAsia="lv-LV"/>
              </w:rPr>
              <w:t>sportistiem</w:t>
            </w:r>
          </w:p>
        </w:tc>
        <w:tc>
          <w:tcPr>
            <w:tcW w:w="1399" w:type="dxa"/>
            <w:tcBorders>
              <w:top w:val="nil"/>
              <w:left w:val="nil"/>
              <w:bottom w:val="single" w:sz="4" w:space="0" w:color="auto"/>
              <w:right w:val="single" w:sz="4" w:space="0" w:color="auto"/>
            </w:tcBorders>
            <w:shd w:val="clear" w:color="auto" w:fill="auto"/>
            <w:noWrap/>
            <w:vAlign w:val="center"/>
            <w:hideMark/>
          </w:tcPr>
          <w:p w14:paraId="6677FF8E"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3028" w:type="dxa"/>
            <w:tcBorders>
              <w:top w:val="nil"/>
              <w:left w:val="nil"/>
              <w:bottom w:val="single" w:sz="4" w:space="0" w:color="auto"/>
              <w:right w:val="single" w:sz="4" w:space="0" w:color="auto"/>
            </w:tcBorders>
            <w:shd w:val="clear" w:color="auto" w:fill="auto"/>
            <w:noWrap/>
            <w:vAlign w:val="center"/>
            <w:hideMark/>
          </w:tcPr>
          <w:p w14:paraId="2493D224" w14:textId="1C165D59"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magnija aspartāts</w:t>
            </w:r>
            <w:r w:rsidRPr="006557B3">
              <w:rPr>
                <w:rStyle w:val="Komentraatsauce"/>
                <w:rFonts w:ascii="Times New Roman" w:hAnsi="Times New Roman" w:cs="Times New Roman"/>
                <w:sz w:val="24"/>
                <w:szCs w:val="24"/>
              </w:rPr>
              <w:t>  </w:t>
            </w:r>
            <w:r w:rsidRPr="006557B3">
              <w:rPr>
                <w:rFonts w:ascii="Times New Roman" w:hAnsi="Times New Roman" w:cs="Times New Roman"/>
                <w:color w:val="000000"/>
                <w:sz w:val="24"/>
                <w:szCs w:val="24"/>
                <w:lang w:eastAsia="lv-LV"/>
              </w:rPr>
              <w:t xml:space="preserve"> </w:t>
            </w:r>
          </w:p>
        </w:tc>
        <w:tc>
          <w:tcPr>
            <w:tcW w:w="2188" w:type="dxa"/>
            <w:tcBorders>
              <w:top w:val="nil"/>
              <w:left w:val="nil"/>
              <w:bottom w:val="single" w:sz="4" w:space="0" w:color="auto"/>
              <w:right w:val="single" w:sz="4" w:space="0" w:color="auto"/>
            </w:tcBorders>
            <w:shd w:val="clear" w:color="auto" w:fill="auto"/>
            <w:noWrap/>
            <w:vAlign w:val="center"/>
            <w:hideMark/>
          </w:tcPr>
          <w:p w14:paraId="55F1639A"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2B5C36" w:rsidRPr="006557B3" w14:paraId="040289FB" w14:textId="77777777" w:rsidTr="002B5C36">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BE98ED5"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5.</w:t>
            </w:r>
          </w:p>
        </w:tc>
        <w:tc>
          <w:tcPr>
            <w:tcW w:w="1979" w:type="dxa"/>
            <w:tcBorders>
              <w:top w:val="nil"/>
              <w:left w:val="nil"/>
              <w:bottom w:val="single" w:sz="4" w:space="0" w:color="auto"/>
              <w:right w:val="single" w:sz="4" w:space="0" w:color="auto"/>
            </w:tcBorders>
            <w:shd w:val="clear" w:color="auto" w:fill="auto"/>
            <w:noWrap/>
            <w:vAlign w:val="center"/>
            <w:hideMark/>
          </w:tcPr>
          <w:p w14:paraId="2A197B37"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UB</w:t>
            </w:r>
          </w:p>
        </w:tc>
        <w:tc>
          <w:tcPr>
            <w:tcW w:w="1399" w:type="dxa"/>
            <w:tcBorders>
              <w:top w:val="nil"/>
              <w:left w:val="nil"/>
              <w:bottom w:val="single" w:sz="4" w:space="0" w:color="auto"/>
              <w:right w:val="single" w:sz="4" w:space="0" w:color="auto"/>
            </w:tcBorders>
            <w:shd w:val="clear" w:color="auto" w:fill="auto"/>
            <w:noWrap/>
            <w:vAlign w:val="center"/>
            <w:hideMark/>
          </w:tcPr>
          <w:p w14:paraId="2E98ADCB"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Lielbritānija</w:t>
            </w:r>
          </w:p>
        </w:tc>
        <w:tc>
          <w:tcPr>
            <w:tcW w:w="3028" w:type="dxa"/>
            <w:tcBorders>
              <w:top w:val="nil"/>
              <w:left w:val="nil"/>
              <w:bottom w:val="single" w:sz="4" w:space="0" w:color="auto"/>
              <w:right w:val="single" w:sz="4" w:space="0" w:color="auto"/>
            </w:tcBorders>
            <w:shd w:val="clear" w:color="auto" w:fill="auto"/>
            <w:noWrap/>
            <w:vAlign w:val="center"/>
            <w:hideMark/>
          </w:tcPr>
          <w:p w14:paraId="32502328" w14:textId="18076EDC"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vanādijs </w:t>
            </w:r>
          </w:p>
        </w:tc>
        <w:tc>
          <w:tcPr>
            <w:tcW w:w="2188" w:type="dxa"/>
            <w:tcBorders>
              <w:top w:val="nil"/>
              <w:left w:val="nil"/>
              <w:bottom w:val="single" w:sz="4" w:space="0" w:color="auto"/>
              <w:right w:val="single" w:sz="4" w:space="0" w:color="auto"/>
            </w:tcBorders>
            <w:shd w:val="clear" w:color="auto" w:fill="auto"/>
            <w:noWrap/>
            <w:vAlign w:val="center"/>
            <w:hideMark/>
          </w:tcPr>
          <w:p w14:paraId="47618A46"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2B5C36" w:rsidRPr="006557B3" w14:paraId="46855281" w14:textId="77777777" w:rsidTr="002B5C36">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07420E5"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6.</w:t>
            </w:r>
          </w:p>
        </w:tc>
        <w:tc>
          <w:tcPr>
            <w:tcW w:w="1979" w:type="dxa"/>
            <w:tcBorders>
              <w:top w:val="nil"/>
              <w:left w:val="nil"/>
              <w:bottom w:val="single" w:sz="4" w:space="0" w:color="auto"/>
              <w:right w:val="single" w:sz="4" w:space="0" w:color="auto"/>
            </w:tcBorders>
            <w:shd w:val="clear" w:color="auto" w:fill="auto"/>
            <w:noWrap/>
            <w:vAlign w:val="center"/>
            <w:hideMark/>
          </w:tcPr>
          <w:p w14:paraId="321EF2AB" w14:textId="55CFCA23" w:rsidR="00D23F11" w:rsidRPr="006557B3" w:rsidRDefault="00D23F11" w:rsidP="00D23F11">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p>
        </w:tc>
        <w:tc>
          <w:tcPr>
            <w:tcW w:w="1399" w:type="dxa"/>
            <w:tcBorders>
              <w:top w:val="nil"/>
              <w:left w:val="nil"/>
              <w:bottom w:val="single" w:sz="4" w:space="0" w:color="auto"/>
              <w:right w:val="single" w:sz="4" w:space="0" w:color="auto"/>
            </w:tcBorders>
            <w:shd w:val="clear" w:color="auto" w:fill="auto"/>
            <w:noWrap/>
            <w:vAlign w:val="center"/>
            <w:hideMark/>
          </w:tcPr>
          <w:p w14:paraId="68505F2A"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3028" w:type="dxa"/>
            <w:tcBorders>
              <w:top w:val="nil"/>
              <w:left w:val="nil"/>
              <w:bottom w:val="single" w:sz="4" w:space="0" w:color="auto"/>
              <w:right w:val="single" w:sz="4" w:space="0" w:color="auto"/>
            </w:tcBorders>
            <w:shd w:val="clear" w:color="auto" w:fill="auto"/>
            <w:noWrap/>
            <w:vAlign w:val="center"/>
            <w:hideMark/>
          </w:tcPr>
          <w:p w14:paraId="6E5FAE50" w14:textId="3042BF28"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magnija aspartāts </w:t>
            </w:r>
          </w:p>
        </w:tc>
        <w:tc>
          <w:tcPr>
            <w:tcW w:w="2188" w:type="dxa"/>
            <w:tcBorders>
              <w:top w:val="nil"/>
              <w:left w:val="nil"/>
              <w:bottom w:val="single" w:sz="4" w:space="0" w:color="auto"/>
              <w:right w:val="single" w:sz="4" w:space="0" w:color="auto"/>
            </w:tcBorders>
            <w:shd w:val="clear" w:color="auto" w:fill="auto"/>
            <w:noWrap/>
            <w:vAlign w:val="center"/>
            <w:hideMark/>
          </w:tcPr>
          <w:p w14:paraId="67AF2E05"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2B5C36" w:rsidRPr="006557B3" w14:paraId="66ECD585" w14:textId="77777777" w:rsidTr="002B5C36">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3BAECCB"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7.</w:t>
            </w:r>
          </w:p>
        </w:tc>
        <w:tc>
          <w:tcPr>
            <w:tcW w:w="1979" w:type="dxa"/>
            <w:tcBorders>
              <w:top w:val="nil"/>
              <w:left w:val="nil"/>
              <w:bottom w:val="single" w:sz="4" w:space="0" w:color="auto"/>
              <w:right w:val="single" w:sz="4" w:space="0" w:color="auto"/>
            </w:tcBorders>
            <w:shd w:val="clear" w:color="auto" w:fill="auto"/>
            <w:noWrap/>
            <w:vAlign w:val="center"/>
            <w:hideMark/>
          </w:tcPr>
          <w:p w14:paraId="351AD7A0" w14:textId="7641A60D" w:rsidR="00D23F11" w:rsidRPr="006557B3" w:rsidRDefault="00D23F11" w:rsidP="00D23F11">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r w:rsidR="003710B6" w:rsidRPr="006557B3">
              <w:rPr>
                <w:rFonts w:ascii="Times New Roman" w:hAnsi="Times New Roman" w:cs="Times New Roman"/>
                <w:color w:val="000000"/>
                <w:sz w:val="24"/>
                <w:szCs w:val="24"/>
                <w:lang w:eastAsia="lv-LV"/>
              </w:rPr>
              <w:t>sportistiem</w:t>
            </w:r>
          </w:p>
        </w:tc>
        <w:tc>
          <w:tcPr>
            <w:tcW w:w="1399" w:type="dxa"/>
            <w:tcBorders>
              <w:top w:val="nil"/>
              <w:left w:val="nil"/>
              <w:bottom w:val="single" w:sz="4" w:space="0" w:color="auto"/>
              <w:right w:val="single" w:sz="4" w:space="0" w:color="auto"/>
            </w:tcBorders>
            <w:shd w:val="clear" w:color="auto" w:fill="auto"/>
            <w:noWrap/>
            <w:vAlign w:val="center"/>
            <w:hideMark/>
          </w:tcPr>
          <w:p w14:paraId="61CEF196"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3028" w:type="dxa"/>
            <w:tcBorders>
              <w:top w:val="nil"/>
              <w:left w:val="nil"/>
              <w:bottom w:val="single" w:sz="4" w:space="0" w:color="auto"/>
              <w:right w:val="single" w:sz="4" w:space="0" w:color="auto"/>
            </w:tcBorders>
            <w:shd w:val="clear" w:color="auto" w:fill="auto"/>
            <w:noWrap/>
            <w:vAlign w:val="center"/>
            <w:hideMark/>
          </w:tcPr>
          <w:p w14:paraId="5B16E6E0" w14:textId="6701991E"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vinpocetīns </w:t>
            </w:r>
          </w:p>
        </w:tc>
        <w:tc>
          <w:tcPr>
            <w:tcW w:w="2188" w:type="dxa"/>
            <w:tcBorders>
              <w:top w:val="nil"/>
              <w:left w:val="nil"/>
              <w:bottom w:val="single" w:sz="4" w:space="0" w:color="auto"/>
              <w:right w:val="single" w:sz="4" w:space="0" w:color="auto"/>
            </w:tcBorders>
            <w:shd w:val="clear" w:color="auto" w:fill="auto"/>
            <w:noWrap/>
            <w:vAlign w:val="center"/>
            <w:hideMark/>
          </w:tcPr>
          <w:p w14:paraId="18A401FC"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2B5C36" w:rsidRPr="006557B3" w14:paraId="31F59FEC" w14:textId="77777777" w:rsidTr="002B5C36">
        <w:trPr>
          <w:trHeight w:val="62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6C83944"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8.</w:t>
            </w:r>
          </w:p>
        </w:tc>
        <w:tc>
          <w:tcPr>
            <w:tcW w:w="1979" w:type="dxa"/>
            <w:tcBorders>
              <w:top w:val="nil"/>
              <w:left w:val="nil"/>
              <w:bottom w:val="single" w:sz="4" w:space="0" w:color="auto"/>
              <w:right w:val="single" w:sz="4" w:space="0" w:color="auto"/>
            </w:tcBorders>
            <w:shd w:val="clear" w:color="auto" w:fill="auto"/>
            <w:noWrap/>
            <w:vAlign w:val="center"/>
            <w:hideMark/>
          </w:tcPr>
          <w:p w14:paraId="6A49B965" w14:textId="4F8C4366" w:rsidR="00D23F11" w:rsidRPr="006557B3" w:rsidRDefault="00D23F11" w:rsidP="00D23F11">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r w:rsidR="003710B6" w:rsidRPr="006557B3">
              <w:rPr>
                <w:rFonts w:ascii="Times New Roman" w:hAnsi="Times New Roman" w:cs="Times New Roman"/>
                <w:color w:val="000000"/>
                <w:sz w:val="24"/>
                <w:szCs w:val="24"/>
                <w:lang w:eastAsia="lv-LV"/>
              </w:rPr>
              <w:t>sportistiem</w:t>
            </w:r>
          </w:p>
        </w:tc>
        <w:tc>
          <w:tcPr>
            <w:tcW w:w="1399" w:type="dxa"/>
            <w:tcBorders>
              <w:top w:val="nil"/>
              <w:left w:val="nil"/>
              <w:bottom w:val="single" w:sz="4" w:space="0" w:color="auto"/>
              <w:right w:val="single" w:sz="4" w:space="0" w:color="auto"/>
            </w:tcBorders>
            <w:shd w:val="clear" w:color="auto" w:fill="auto"/>
            <w:noWrap/>
            <w:vAlign w:val="center"/>
            <w:hideMark/>
          </w:tcPr>
          <w:p w14:paraId="295A53C6"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3028" w:type="dxa"/>
            <w:tcBorders>
              <w:top w:val="nil"/>
              <w:left w:val="nil"/>
              <w:bottom w:val="single" w:sz="4" w:space="0" w:color="auto"/>
              <w:right w:val="single" w:sz="4" w:space="0" w:color="auto"/>
            </w:tcBorders>
            <w:shd w:val="clear" w:color="auto" w:fill="auto"/>
            <w:vAlign w:val="center"/>
            <w:hideMark/>
          </w:tcPr>
          <w:p w14:paraId="094CA4FB" w14:textId="1AAE079E"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beta ekdisterons, bioperīns un neatļauta jaunās pārtikas sastāvdaļa </w:t>
            </w:r>
            <w:r w:rsidR="000A5851">
              <w:rPr>
                <w:rFonts w:ascii="Times New Roman" w:hAnsi="Times New Roman" w:cs="Times New Roman"/>
                <w:color w:val="000000"/>
                <w:sz w:val="24"/>
                <w:szCs w:val="24"/>
                <w:lang w:eastAsia="lv-LV"/>
              </w:rPr>
              <w:t>–</w:t>
            </w:r>
            <w:r w:rsidRPr="006557B3">
              <w:rPr>
                <w:rFonts w:ascii="Times New Roman" w:hAnsi="Times New Roman" w:cs="Times New Roman"/>
                <w:color w:val="000000"/>
                <w:sz w:val="24"/>
                <w:szCs w:val="24"/>
                <w:lang w:eastAsia="lv-LV"/>
              </w:rPr>
              <w:t xml:space="preserve"> rodiola (</w:t>
            </w:r>
            <w:r w:rsidRPr="009501A2">
              <w:rPr>
                <w:rFonts w:ascii="Times New Roman" w:hAnsi="Times New Roman" w:cs="Times New Roman"/>
                <w:i/>
                <w:color w:val="000000"/>
                <w:sz w:val="24"/>
                <w:szCs w:val="24"/>
                <w:lang w:eastAsia="lv-LV"/>
              </w:rPr>
              <w:t>Rhodiola rosea</w:t>
            </w:r>
            <w:r w:rsidRPr="006557B3">
              <w:rPr>
                <w:rFonts w:ascii="Times New Roman" w:hAnsi="Times New Roman" w:cs="Times New Roman"/>
                <w:color w:val="000000"/>
                <w:sz w:val="24"/>
                <w:szCs w:val="24"/>
                <w:lang w:eastAsia="lv-LV"/>
              </w:rPr>
              <w:t xml:space="preserve">) (rozavīni) </w:t>
            </w:r>
          </w:p>
        </w:tc>
        <w:tc>
          <w:tcPr>
            <w:tcW w:w="2188" w:type="dxa"/>
            <w:tcBorders>
              <w:top w:val="nil"/>
              <w:left w:val="nil"/>
              <w:bottom w:val="single" w:sz="4" w:space="0" w:color="auto"/>
              <w:right w:val="single" w:sz="4" w:space="0" w:color="auto"/>
            </w:tcBorders>
            <w:shd w:val="clear" w:color="auto" w:fill="auto"/>
            <w:noWrap/>
            <w:vAlign w:val="center"/>
            <w:hideMark/>
          </w:tcPr>
          <w:p w14:paraId="5C61E0B0"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2B5C36" w:rsidRPr="006557B3" w14:paraId="7EC94957" w14:textId="77777777" w:rsidTr="002B5C36">
        <w:trPr>
          <w:trHeight w:val="552"/>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4EE5C"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9.</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92027" w14:textId="53027180" w:rsidR="00D23F11" w:rsidRPr="006557B3" w:rsidRDefault="00D23F11" w:rsidP="00D23F11">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r w:rsidR="003710B6" w:rsidRPr="006557B3">
              <w:rPr>
                <w:rFonts w:ascii="Times New Roman" w:hAnsi="Times New Roman" w:cs="Times New Roman"/>
                <w:color w:val="000000"/>
                <w:sz w:val="24"/>
                <w:szCs w:val="24"/>
                <w:lang w:eastAsia="lv-LV"/>
              </w:rPr>
              <w:t>sportistiem</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3651D"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AE76C" w14:textId="2166F0F9"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Ķīnas citronliāna (</w:t>
            </w:r>
            <w:r w:rsidRPr="009501A2">
              <w:rPr>
                <w:rFonts w:ascii="Times New Roman" w:hAnsi="Times New Roman" w:cs="Times New Roman"/>
                <w:i/>
                <w:color w:val="000000"/>
                <w:sz w:val="24"/>
                <w:szCs w:val="24"/>
                <w:lang w:eastAsia="lv-LV"/>
              </w:rPr>
              <w:t>Schisandra chinensis</w:t>
            </w:r>
            <w:r w:rsidRPr="006557B3">
              <w:rPr>
                <w:rFonts w:ascii="Times New Roman" w:hAnsi="Times New Roman" w:cs="Times New Roman"/>
                <w:color w:val="000000"/>
                <w:sz w:val="24"/>
                <w:szCs w:val="24"/>
                <w:lang w:eastAsia="lv-LV"/>
              </w:rPr>
              <w:t>), kordiceps (</w:t>
            </w:r>
            <w:r w:rsidRPr="009501A2">
              <w:rPr>
                <w:rFonts w:ascii="Times New Roman" w:hAnsi="Times New Roman" w:cs="Times New Roman"/>
                <w:i/>
                <w:color w:val="000000"/>
                <w:sz w:val="24"/>
                <w:szCs w:val="24"/>
                <w:lang w:eastAsia="lv-LV"/>
              </w:rPr>
              <w:t>Cordyceps sinensis</w:t>
            </w:r>
            <w:r w:rsidRPr="006557B3">
              <w:rPr>
                <w:rFonts w:ascii="Times New Roman" w:hAnsi="Times New Roman" w:cs="Times New Roman"/>
                <w:color w:val="000000"/>
                <w:sz w:val="24"/>
                <w:szCs w:val="24"/>
                <w:lang w:eastAsia="lv-LV"/>
              </w:rPr>
              <w:t xml:space="preserve">) un neatļauta jaunās </w:t>
            </w:r>
            <w:r w:rsidRPr="006557B3">
              <w:rPr>
                <w:rFonts w:ascii="Times New Roman" w:hAnsi="Times New Roman" w:cs="Times New Roman"/>
                <w:color w:val="000000"/>
                <w:sz w:val="24"/>
                <w:szCs w:val="24"/>
                <w:lang w:eastAsia="lv-LV"/>
              </w:rPr>
              <w:lastRenderedPageBreak/>
              <w:t xml:space="preserve">pārtikas sastāvdaļa </w:t>
            </w:r>
            <w:r w:rsidR="000A5851">
              <w:rPr>
                <w:rFonts w:ascii="Times New Roman" w:hAnsi="Times New Roman" w:cs="Times New Roman"/>
                <w:color w:val="000000"/>
                <w:sz w:val="24"/>
                <w:szCs w:val="24"/>
                <w:lang w:eastAsia="lv-LV"/>
              </w:rPr>
              <w:t>–</w:t>
            </w:r>
            <w:r w:rsidRPr="006557B3">
              <w:rPr>
                <w:rFonts w:ascii="Times New Roman" w:hAnsi="Times New Roman" w:cs="Times New Roman"/>
                <w:color w:val="000000"/>
                <w:sz w:val="24"/>
                <w:szCs w:val="24"/>
                <w:lang w:eastAsia="lv-LV"/>
              </w:rPr>
              <w:t xml:space="preserve"> rodiola (</w:t>
            </w:r>
            <w:r w:rsidRPr="009501A2">
              <w:rPr>
                <w:rFonts w:ascii="Times New Roman" w:hAnsi="Times New Roman" w:cs="Times New Roman"/>
                <w:i/>
                <w:color w:val="000000"/>
                <w:sz w:val="24"/>
                <w:szCs w:val="24"/>
                <w:lang w:eastAsia="lv-LV"/>
              </w:rPr>
              <w:t>Rhodiola rosea</w:t>
            </w:r>
            <w:r w:rsidRPr="006557B3">
              <w:rPr>
                <w:rFonts w:ascii="Times New Roman" w:hAnsi="Times New Roman" w:cs="Times New Roman"/>
                <w:color w:val="000000"/>
                <w:sz w:val="24"/>
                <w:szCs w:val="24"/>
                <w:lang w:eastAsia="lv-LV"/>
              </w:rPr>
              <w:t>)</w:t>
            </w:r>
            <w:r w:rsidRPr="006557B3">
              <w:rPr>
                <w:rFonts w:ascii="Times New Roman" w:hAnsi="Times New Roman" w:cs="Times New Roman"/>
                <w:sz w:val="24"/>
                <w:szCs w:val="24"/>
              </w:rPr>
              <w:t xml:space="preserve"> </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CE490"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lastRenderedPageBreak/>
              <w:t> ES dalībvalsts</w:t>
            </w:r>
          </w:p>
        </w:tc>
      </w:tr>
      <w:tr w:rsidR="002B5C36" w:rsidRPr="006557B3" w14:paraId="1713BF8E" w14:textId="77777777" w:rsidTr="002B5C36">
        <w:trPr>
          <w:trHeight w:val="81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F976E"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10.</w:t>
            </w:r>
          </w:p>
        </w:tc>
        <w:tc>
          <w:tcPr>
            <w:tcW w:w="1979" w:type="dxa"/>
            <w:tcBorders>
              <w:top w:val="single" w:sz="4" w:space="0" w:color="auto"/>
              <w:left w:val="nil"/>
              <w:bottom w:val="single" w:sz="4" w:space="0" w:color="auto"/>
              <w:right w:val="single" w:sz="4" w:space="0" w:color="auto"/>
            </w:tcBorders>
            <w:shd w:val="clear" w:color="auto" w:fill="auto"/>
            <w:noWrap/>
            <w:vAlign w:val="center"/>
            <w:hideMark/>
          </w:tcPr>
          <w:p w14:paraId="7030FE25" w14:textId="1FC9265A" w:rsidR="00D23F11" w:rsidRPr="006557B3" w:rsidRDefault="00D23F11" w:rsidP="00D23F11">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r w:rsidR="003710B6" w:rsidRPr="006557B3">
              <w:rPr>
                <w:rFonts w:ascii="Times New Roman" w:hAnsi="Times New Roman" w:cs="Times New Roman"/>
                <w:color w:val="000000"/>
                <w:sz w:val="24"/>
                <w:szCs w:val="24"/>
                <w:lang w:eastAsia="lv-LV"/>
              </w:rPr>
              <w:t>sportistiem</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14:paraId="2292D192"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3028" w:type="dxa"/>
            <w:tcBorders>
              <w:top w:val="single" w:sz="4" w:space="0" w:color="auto"/>
              <w:left w:val="nil"/>
              <w:bottom w:val="single" w:sz="4" w:space="0" w:color="auto"/>
              <w:right w:val="single" w:sz="4" w:space="0" w:color="auto"/>
            </w:tcBorders>
            <w:shd w:val="clear" w:color="auto" w:fill="auto"/>
            <w:vAlign w:val="center"/>
            <w:hideMark/>
          </w:tcPr>
          <w:p w14:paraId="757E98E4" w14:textId="05373942"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miltenes (</w:t>
            </w:r>
            <w:r w:rsidRPr="009501A2">
              <w:rPr>
                <w:rStyle w:val="xbe"/>
                <w:rFonts w:ascii="Times New Roman" w:hAnsi="Times New Roman" w:cs="Times New Roman"/>
                <w:i/>
                <w:color w:val="222222"/>
                <w:sz w:val="24"/>
                <w:szCs w:val="24"/>
              </w:rPr>
              <w:t>Arctostaphylos uva-ursi</w:t>
            </w:r>
            <w:r w:rsidRPr="006557B3">
              <w:rPr>
                <w:rStyle w:val="xbe"/>
                <w:rFonts w:ascii="Times New Roman" w:hAnsi="Times New Roman" w:cs="Times New Roman"/>
                <w:color w:val="222222"/>
                <w:sz w:val="24"/>
                <w:szCs w:val="24"/>
              </w:rPr>
              <w:t>) lapas</w:t>
            </w:r>
            <w:r w:rsidRPr="006557B3">
              <w:rPr>
                <w:rFonts w:ascii="Times New Roman" w:hAnsi="Times New Roman" w:cs="Times New Roman"/>
                <w:color w:val="000000"/>
                <w:sz w:val="24"/>
                <w:szCs w:val="24"/>
                <w:lang w:eastAsia="lv-LV"/>
              </w:rPr>
              <w:t>, koleja (</w:t>
            </w:r>
            <w:r w:rsidRPr="009501A2">
              <w:rPr>
                <w:rFonts w:ascii="Times New Roman" w:hAnsi="Times New Roman" w:cs="Times New Roman"/>
                <w:i/>
                <w:color w:val="000000"/>
                <w:sz w:val="24"/>
                <w:szCs w:val="24"/>
                <w:lang w:eastAsia="lv-LV"/>
              </w:rPr>
              <w:t>Coleus Forskohlii</w:t>
            </w:r>
            <w:r w:rsidRPr="006557B3">
              <w:rPr>
                <w:rFonts w:ascii="Times New Roman" w:hAnsi="Times New Roman" w:cs="Times New Roman"/>
                <w:color w:val="000000"/>
                <w:sz w:val="24"/>
                <w:szCs w:val="24"/>
                <w:lang w:eastAsia="lv-LV"/>
              </w:rPr>
              <w:t>), vitānijas jeb ašvagandas ekstrakts (</w:t>
            </w:r>
            <w:r w:rsidRPr="009501A2">
              <w:rPr>
                <w:rFonts w:ascii="Times New Roman" w:hAnsi="Times New Roman" w:cs="Times New Roman"/>
                <w:i/>
                <w:color w:val="000000"/>
                <w:sz w:val="24"/>
                <w:szCs w:val="24"/>
                <w:lang w:eastAsia="lv-LV"/>
              </w:rPr>
              <w:t>Ashwangandha Extract</w:t>
            </w:r>
            <w:r w:rsidRPr="006557B3">
              <w:rPr>
                <w:rFonts w:ascii="Times New Roman" w:hAnsi="Times New Roman" w:cs="Times New Roman"/>
                <w:color w:val="000000"/>
                <w:sz w:val="24"/>
                <w:szCs w:val="24"/>
                <w:lang w:eastAsia="lv-LV"/>
              </w:rPr>
              <w:t xml:space="preserve">), bioperīns </w:t>
            </w:r>
            <w:r w:rsidRPr="009501A2">
              <w:rPr>
                <w:rFonts w:ascii="Times New Roman" w:hAnsi="Times New Roman" w:cs="Times New Roman"/>
                <w:i/>
                <w:color w:val="000000"/>
                <w:sz w:val="24"/>
                <w:szCs w:val="24"/>
                <w:lang w:eastAsia="lv-LV"/>
              </w:rPr>
              <w:t>Bioperine®</w:t>
            </w:r>
            <w:r w:rsidRPr="006557B3">
              <w:rPr>
                <w:rFonts w:ascii="Times New Roman" w:hAnsi="Times New Roman" w:cs="Times New Roman"/>
                <w:color w:val="000000"/>
                <w:sz w:val="24"/>
                <w:szCs w:val="24"/>
                <w:lang w:eastAsia="lv-LV"/>
              </w:rPr>
              <w:t xml:space="preserve">, neatļauta jaunās pārtikas sastāvdaļa </w:t>
            </w:r>
            <w:r w:rsidR="000A5851">
              <w:rPr>
                <w:rFonts w:ascii="Times New Roman" w:hAnsi="Times New Roman" w:cs="Times New Roman"/>
                <w:color w:val="000000"/>
                <w:sz w:val="24"/>
                <w:szCs w:val="24"/>
                <w:lang w:eastAsia="lv-LV"/>
              </w:rPr>
              <w:t>–</w:t>
            </w:r>
            <w:r w:rsidRPr="006557B3">
              <w:rPr>
                <w:rFonts w:ascii="Times New Roman" w:hAnsi="Times New Roman" w:cs="Times New Roman"/>
                <w:color w:val="000000"/>
                <w:sz w:val="24"/>
                <w:szCs w:val="24"/>
                <w:lang w:eastAsia="lv-LV"/>
              </w:rPr>
              <w:t xml:space="preserve"> rodiola (</w:t>
            </w:r>
            <w:r w:rsidRPr="009501A2">
              <w:rPr>
                <w:rFonts w:ascii="Times New Roman" w:hAnsi="Times New Roman" w:cs="Times New Roman"/>
                <w:i/>
                <w:color w:val="000000"/>
                <w:sz w:val="24"/>
                <w:szCs w:val="24"/>
                <w:lang w:eastAsia="lv-LV"/>
              </w:rPr>
              <w:t>Rhodiola rosea</w:t>
            </w:r>
            <w:r w:rsidRPr="006557B3">
              <w:rPr>
                <w:rFonts w:ascii="Times New Roman" w:hAnsi="Times New Roman" w:cs="Times New Roman"/>
                <w:color w:val="000000"/>
                <w:sz w:val="24"/>
                <w:szCs w:val="24"/>
                <w:lang w:eastAsia="lv-LV"/>
              </w:rPr>
              <w:t>)</w:t>
            </w:r>
            <w:r w:rsidRPr="006557B3">
              <w:rPr>
                <w:rFonts w:ascii="Times New Roman" w:hAnsi="Times New Roman" w:cs="Times New Roman"/>
                <w:sz w:val="24"/>
                <w:szCs w:val="24"/>
              </w:rPr>
              <w:t xml:space="preserve"> </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14BC4E47"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2B5C36" w:rsidRPr="006557B3" w14:paraId="3D7379F3" w14:textId="77777777" w:rsidTr="002B5C36">
        <w:trPr>
          <w:trHeight w:val="288"/>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8622E"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11.</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B765F" w14:textId="02D0FEED" w:rsidR="00D23F11" w:rsidRPr="006557B3" w:rsidRDefault="00D23F11" w:rsidP="00D23F11">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r w:rsidR="003710B6" w:rsidRPr="006557B3">
              <w:rPr>
                <w:rFonts w:ascii="Times New Roman" w:hAnsi="Times New Roman" w:cs="Times New Roman"/>
                <w:color w:val="000000"/>
                <w:sz w:val="24"/>
                <w:szCs w:val="24"/>
                <w:lang w:eastAsia="lv-LV"/>
              </w:rPr>
              <w:t>sportistiem</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8F77F"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3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BACEF" w14:textId="1E583360"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oksitropa (</w:t>
            </w:r>
            <w:r w:rsidRPr="009501A2">
              <w:rPr>
                <w:rFonts w:ascii="Times New Roman" w:hAnsi="Times New Roman" w:cs="Times New Roman"/>
                <w:i/>
                <w:color w:val="000000"/>
                <w:sz w:val="24"/>
                <w:szCs w:val="24"/>
                <w:lang w:eastAsia="lv-LV"/>
              </w:rPr>
              <w:t>Oxytropis falcate</w:t>
            </w:r>
            <w:r w:rsidRPr="006557B3">
              <w:rPr>
                <w:rFonts w:ascii="Times New Roman" w:hAnsi="Times New Roman" w:cs="Times New Roman"/>
                <w:color w:val="000000"/>
                <w:sz w:val="24"/>
                <w:szCs w:val="24"/>
                <w:lang w:eastAsia="lv-LV"/>
              </w:rPr>
              <w:t xml:space="preserve">) ekstrakts un kalcija glicerofosfāts </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638F2"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2B5C36" w:rsidRPr="006557B3" w14:paraId="619560BE" w14:textId="77777777" w:rsidTr="002B5C36">
        <w:trPr>
          <w:trHeight w:val="288"/>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A378C"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12.</w:t>
            </w:r>
          </w:p>
        </w:tc>
        <w:tc>
          <w:tcPr>
            <w:tcW w:w="1979" w:type="dxa"/>
            <w:tcBorders>
              <w:top w:val="single" w:sz="4" w:space="0" w:color="auto"/>
              <w:left w:val="nil"/>
              <w:bottom w:val="single" w:sz="4" w:space="0" w:color="auto"/>
              <w:right w:val="single" w:sz="4" w:space="0" w:color="auto"/>
            </w:tcBorders>
            <w:shd w:val="clear" w:color="auto" w:fill="auto"/>
            <w:noWrap/>
            <w:vAlign w:val="center"/>
            <w:hideMark/>
          </w:tcPr>
          <w:p w14:paraId="12D1A84A" w14:textId="15E2FCA3" w:rsidR="00D23F11" w:rsidRPr="006557B3" w:rsidRDefault="00D23F11" w:rsidP="00D23F11">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14:paraId="1031DBBA"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Indija</w:t>
            </w:r>
          </w:p>
        </w:tc>
        <w:tc>
          <w:tcPr>
            <w:tcW w:w="3028" w:type="dxa"/>
            <w:tcBorders>
              <w:top w:val="single" w:sz="4" w:space="0" w:color="auto"/>
              <w:left w:val="nil"/>
              <w:bottom w:val="single" w:sz="4" w:space="0" w:color="auto"/>
              <w:right w:val="single" w:sz="4" w:space="0" w:color="auto"/>
            </w:tcBorders>
            <w:shd w:val="clear" w:color="auto" w:fill="auto"/>
            <w:noWrap/>
            <w:vAlign w:val="center"/>
            <w:hideMark/>
          </w:tcPr>
          <w:p w14:paraId="63C734ED" w14:textId="7B2CE88C"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stizolobija (</w:t>
            </w:r>
            <w:r w:rsidRPr="009501A2">
              <w:rPr>
                <w:rFonts w:ascii="Times New Roman" w:hAnsi="Times New Roman" w:cs="Times New Roman"/>
                <w:i/>
                <w:color w:val="000000"/>
                <w:sz w:val="24"/>
                <w:szCs w:val="24"/>
                <w:lang w:eastAsia="lv-LV"/>
              </w:rPr>
              <w:t>Mucuna pruriens</w:t>
            </w:r>
            <w:r w:rsidRPr="006557B3">
              <w:rPr>
                <w:rFonts w:ascii="Times New Roman" w:hAnsi="Times New Roman" w:cs="Times New Roman"/>
                <w:color w:val="000000"/>
                <w:sz w:val="24"/>
                <w:szCs w:val="24"/>
                <w:lang w:eastAsia="lv-LV"/>
              </w:rPr>
              <w:t xml:space="preserve">) </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6C465770"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2B5C36" w:rsidRPr="006557B3" w14:paraId="4105C5EE" w14:textId="77777777" w:rsidTr="002B5C36">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3AAD3902"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13.</w:t>
            </w:r>
          </w:p>
        </w:tc>
        <w:tc>
          <w:tcPr>
            <w:tcW w:w="1979" w:type="dxa"/>
            <w:tcBorders>
              <w:top w:val="nil"/>
              <w:left w:val="nil"/>
              <w:bottom w:val="single" w:sz="4" w:space="0" w:color="auto"/>
              <w:right w:val="single" w:sz="4" w:space="0" w:color="auto"/>
            </w:tcBorders>
            <w:shd w:val="clear" w:color="auto" w:fill="auto"/>
            <w:noWrap/>
            <w:vAlign w:val="center"/>
            <w:hideMark/>
          </w:tcPr>
          <w:p w14:paraId="2270CF5B" w14:textId="73D72D3C" w:rsidR="00D23F11" w:rsidRPr="006557B3" w:rsidRDefault="00D23F11" w:rsidP="00D23F11">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r w:rsidR="003710B6" w:rsidRPr="006557B3">
              <w:rPr>
                <w:rFonts w:ascii="Times New Roman" w:hAnsi="Times New Roman" w:cs="Times New Roman"/>
                <w:color w:val="000000"/>
                <w:sz w:val="24"/>
                <w:szCs w:val="24"/>
                <w:lang w:eastAsia="lv-LV"/>
              </w:rPr>
              <w:t>sportistiem</w:t>
            </w:r>
          </w:p>
        </w:tc>
        <w:tc>
          <w:tcPr>
            <w:tcW w:w="1399" w:type="dxa"/>
            <w:tcBorders>
              <w:top w:val="nil"/>
              <w:left w:val="nil"/>
              <w:bottom w:val="single" w:sz="4" w:space="0" w:color="auto"/>
              <w:right w:val="single" w:sz="4" w:space="0" w:color="auto"/>
            </w:tcBorders>
            <w:shd w:val="clear" w:color="auto" w:fill="auto"/>
            <w:noWrap/>
            <w:vAlign w:val="center"/>
            <w:hideMark/>
          </w:tcPr>
          <w:p w14:paraId="5CCF906D"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3028" w:type="dxa"/>
            <w:tcBorders>
              <w:top w:val="nil"/>
              <w:left w:val="nil"/>
              <w:bottom w:val="single" w:sz="4" w:space="0" w:color="auto"/>
              <w:right w:val="single" w:sz="4" w:space="0" w:color="auto"/>
            </w:tcBorders>
            <w:shd w:val="clear" w:color="auto" w:fill="auto"/>
            <w:noWrap/>
            <w:vAlign w:val="center"/>
            <w:hideMark/>
          </w:tcPr>
          <w:p w14:paraId="21E4928C" w14:textId="77C907D5"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vinpocetīns un bora citrāts </w:t>
            </w:r>
          </w:p>
        </w:tc>
        <w:tc>
          <w:tcPr>
            <w:tcW w:w="2188" w:type="dxa"/>
            <w:tcBorders>
              <w:top w:val="nil"/>
              <w:left w:val="nil"/>
              <w:bottom w:val="single" w:sz="4" w:space="0" w:color="auto"/>
              <w:right w:val="single" w:sz="4" w:space="0" w:color="auto"/>
            </w:tcBorders>
            <w:shd w:val="clear" w:color="auto" w:fill="auto"/>
            <w:noWrap/>
            <w:vAlign w:val="center"/>
            <w:hideMark/>
          </w:tcPr>
          <w:p w14:paraId="58D6BC61"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2B5C36" w:rsidRPr="006557B3" w14:paraId="1B04BA34" w14:textId="77777777" w:rsidTr="002B5C36">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5871C7F"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14.</w:t>
            </w:r>
          </w:p>
        </w:tc>
        <w:tc>
          <w:tcPr>
            <w:tcW w:w="1979" w:type="dxa"/>
            <w:tcBorders>
              <w:top w:val="nil"/>
              <w:left w:val="nil"/>
              <w:bottom w:val="single" w:sz="4" w:space="0" w:color="auto"/>
              <w:right w:val="single" w:sz="4" w:space="0" w:color="auto"/>
            </w:tcBorders>
            <w:shd w:val="clear" w:color="auto" w:fill="auto"/>
            <w:noWrap/>
            <w:vAlign w:val="center"/>
            <w:hideMark/>
          </w:tcPr>
          <w:p w14:paraId="7B5CF03A" w14:textId="20EF4A57" w:rsidR="00D23F11" w:rsidRPr="006557B3" w:rsidRDefault="00D23F11" w:rsidP="00D23F11">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r w:rsidR="003710B6" w:rsidRPr="006557B3">
              <w:rPr>
                <w:rFonts w:ascii="Times New Roman" w:hAnsi="Times New Roman" w:cs="Times New Roman"/>
                <w:color w:val="000000"/>
                <w:sz w:val="24"/>
                <w:szCs w:val="24"/>
                <w:lang w:eastAsia="lv-LV"/>
              </w:rPr>
              <w:t>sportistiem</w:t>
            </w:r>
          </w:p>
        </w:tc>
        <w:tc>
          <w:tcPr>
            <w:tcW w:w="1399" w:type="dxa"/>
            <w:tcBorders>
              <w:top w:val="nil"/>
              <w:left w:val="nil"/>
              <w:bottom w:val="single" w:sz="4" w:space="0" w:color="auto"/>
              <w:right w:val="single" w:sz="4" w:space="0" w:color="auto"/>
            </w:tcBorders>
            <w:shd w:val="clear" w:color="auto" w:fill="auto"/>
            <w:noWrap/>
            <w:vAlign w:val="center"/>
            <w:hideMark/>
          </w:tcPr>
          <w:p w14:paraId="3778D4D6"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3028" w:type="dxa"/>
            <w:tcBorders>
              <w:top w:val="nil"/>
              <w:left w:val="nil"/>
              <w:bottom w:val="single" w:sz="4" w:space="0" w:color="auto"/>
              <w:right w:val="single" w:sz="4" w:space="0" w:color="auto"/>
            </w:tcBorders>
            <w:shd w:val="clear" w:color="auto" w:fill="auto"/>
            <w:noWrap/>
            <w:vAlign w:val="center"/>
            <w:hideMark/>
          </w:tcPr>
          <w:p w14:paraId="3189E1A5" w14:textId="52F3BF59"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stizolobija (</w:t>
            </w:r>
            <w:r w:rsidRPr="009501A2">
              <w:rPr>
                <w:rFonts w:ascii="Times New Roman" w:hAnsi="Times New Roman" w:cs="Times New Roman"/>
                <w:i/>
                <w:color w:val="000000"/>
                <w:sz w:val="24"/>
                <w:szCs w:val="24"/>
                <w:lang w:eastAsia="lv-LV"/>
              </w:rPr>
              <w:t>Mucuna pruriens</w:t>
            </w:r>
            <w:r w:rsidRPr="006557B3">
              <w:rPr>
                <w:rFonts w:ascii="Times New Roman" w:hAnsi="Times New Roman" w:cs="Times New Roman"/>
                <w:color w:val="000000"/>
                <w:sz w:val="24"/>
                <w:szCs w:val="24"/>
                <w:lang w:eastAsia="lv-LV"/>
              </w:rPr>
              <w:t xml:space="preserve">) un vinpocetīns </w:t>
            </w:r>
          </w:p>
        </w:tc>
        <w:tc>
          <w:tcPr>
            <w:tcW w:w="2188" w:type="dxa"/>
            <w:tcBorders>
              <w:top w:val="nil"/>
              <w:left w:val="nil"/>
              <w:bottom w:val="single" w:sz="4" w:space="0" w:color="auto"/>
              <w:right w:val="single" w:sz="4" w:space="0" w:color="auto"/>
            </w:tcBorders>
            <w:shd w:val="clear" w:color="auto" w:fill="auto"/>
            <w:noWrap/>
            <w:vAlign w:val="center"/>
            <w:hideMark/>
          </w:tcPr>
          <w:p w14:paraId="11A250DC"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2B5C36" w:rsidRPr="006557B3" w14:paraId="1A3E32BD" w14:textId="77777777" w:rsidTr="002B5C36">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F680BCC"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15.</w:t>
            </w:r>
          </w:p>
        </w:tc>
        <w:tc>
          <w:tcPr>
            <w:tcW w:w="1979" w:type="dxa"/>
            <w:tcBorders>
              <w:top w:val="nil"/>
              <w:left w:val="nil"/>
              <w:bottom w:val="single" w:sz="4" w:space="0" w:color="auto"/>
              <w:right w:val="single" w:sz="4" w:space="0" w:color="auto"/>
            </w:tcBorders>
            <w:shd w:val="clear" w:color="auto" w:fill="auto"/>
            <w:noWrap/>
            <w:vAlign w:val="center"/>
            <w:hideMark/>
          </w:tcPr>
          <w:p w14:paraId="75995FB5" w14:textId="6C184029" w:rsidR="00D23F11" w:rsidRPr="006557B3" w:rsidRDefault="00D23F11" w:rsidP="00D23F11">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p>
        </w:tc>
        <w:tc>
          <w:tcPr>
            <w:tcW w:w="1399" w:type="dxa"/>
            <w:tcBorders>
              <w:top w:val="nil"/>
              <w:left w:val="nil"/>
              <w:bottom w:val="single" w:sz="4" w:space="0" w:color="auto"/>
              <w:right w:val="single" w:sz="4" w:space="0" w:color="auto"/>
            </w:tcBorders>
            <w:shd w:val="clear" w:color="auto" w:fill="auto"/>
            <w:noWrap/>
            <w:vAlign w:val="center"/>
            <w:hideMark/>
          </w:tcPr>
          <w:p w14:paraId="17F9915A"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3028" w:type="dxa"/>
            <w:tcBorders>
              <w:top w:val="nil"/>
              <w:left w:val="nil"/>
              <w:bottom w:val="single" w:sz="4" w:space="0" w:color="auto"/>
              <w:right w:val="single" w:sz="4" w:space="0" w:color="auto"/>
            </w:tcBorders>
            <w:shd w:val="clear" w:color="auto" w:fill="auto"/>
            <w:noWrap/>
            <w:vAlign w:val="center"/>
            <w:hideMark/>
          </w:tcPr>
          <w:p w14:paraId="5C49E111" w14:textId="6C5D1930"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gugulsterons </w:t>
            </w:r>
          </w:p>
        </w:tc>
        <w:tc>
          <w:tcPr>
            <w:tcW w:w="2188" w:type="dxa"/>
            <w:tcBorders>
              <w:top w:val="nil"/>
              <w:left w:val="nil"/>
              <w:bottom w:val="single" w:sz="4" w:space="0" w:color="auto"/>
              <w:right w:val="single" w:sz="4" w:space="0" w:color="auto"/>
            </w:tcBorders>
            <w:shd w:val="clear" w:color="auto" w:fill="auto"/>
            <w:noWrap/>
            <w:vAlign w:val="center"/>
            <w:hideMark/>
          </w:tcPr>
          <w:p w14:paraId="194C2BEF"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ES dalībvalsts</w:t>
            </w:r>
          </w:p>
        </w:tc>
      </w:tr>
      <w:tr w:rsidR="002B5C36" w:rsidRPr="006557B3" w14:paraId="7646AA95" w14:textId="77777777" w:rsidTr="002B5C36">
        <w:trPr>
          <w:trHeight w:val="925"/>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F2D3800"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16.</w:t>
            </w:r>
          </w:p>
        </w:tc>
        <w:tc>
          <w:tcPr>
            <w:tcW w:w="1979" w:type="dxa"/>
            <w:tcBorders>
              <w:top w:val="nil"/>
              <w:left w:val="nil"/>
              <w:bottom w:val="single" w:sz="4" w:space="0" w:color="auto"/>
              <w:right w:val="single" w:sz="4" w:space="0" w:color="auto"/>
            </w:tcBorders>
            <w:shd w:val="clear" w:color="auto" w:fill="auto"/>
            <w:noWrap/>
            <w:vAlign w:val="center"/>
            <w:hideMark/>
          </w:tcPr>
          <w:p w14:paraId="64CA52CE" w14:textId="1703A288" w:rsidR="00D23F11" w:rsidRPr="006557B3" w:rsidRDefault="00D23F11" w:rsidP="00D23F11">
            <w:pPr>
              <w:tabs>
                <w:tab w:val="left" w:pos="8647"/>
              </w:tabs>
              <w:spacing w:after="0"/>
              <w:rPr>
                <w:rFonts w:ascii="Times New Roman" w:hAnsi="Times New Roman" w:cs="Times New Roman"/>
                <w:color w:val="000000"/>
                <w:sz w:val="24"/>
                <w:szCs w:val="24"/>
                <w:lang w:val="en-US" w:eastAsia="lv-LV"/>
              </w:rPr>
            </w:pPr>
            <w:r w:rsidRPr="006557B3">
              <w:rPr>
                <w:rFonts w:ascii="Times New Roman" w:hAnsi="Times New Roman" w:cs="Times New Roman"/>
                <w:color w:val="000000"/>
                <w:sz w:val="24"/>
                <w:szCs w:val="24"/>
                <w:lang w:val="en-US" w:eastAsia="lv-LV"/>
              </w:rPr>
              <w:t xml:space="preserve">UB </w:t>
            </w:r>
            <w:r w:rsidR="003710B6" w:rsidRPr="006557B3">
              <w:rPr>
                <w:rFonts w:ascii="Times New Roman" w:hAnsi="Times New Roman" w:cs="Times New Roman"/>
                <w:color w:val="000000"/>
                <w:sz w:val="24"/>
                <w:szCs w:val="24"/>
                <w:lang w:eastAsia="lv-LV"/>
              </w:rPr>
              <w:t>sportistiem</w:t>
            </w:r>
          </w:p>
        </w:tc>
        <w:tc>
          <w:tcPr>
            <w:tcW w:w="1399" w:type="dxa"/>
            <w:tcBorders>
              <w:top w:val="nil"/>
              <w:left w:val="nil"/>
              <w:bottom w:val="single" w:sz="4" w:space="0" w:color="auto"/>
              <w:right w:val="single" w:sz="4" w:space="0" w:color="auto"/>
            </w:tcBorders>
            <w:shd w:val="clear" w:color="auto" w:fill="auto"/>
            <w:noWrap/>
            <w:vAlign w:val="center"/>
            <w:hideMark/>
          </w:tcPr>
          <w:p w14:paraId="40D79DE0"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3028" w:type="dxa"/>
            <w:tcBorders>
              <w:top w:val="nil"/>
              <w:left w:val="nil"/>
              <w:bottom w:val="single" w:sz="4" w:space="0" w:color="auto"/>
              <w:right w:val="single" w:sz="4" w:space="0" w:color="auto"/>
            </w:tcBorders>
            <w:shd w:val="clear" w:color="auto" w:fill="auto"/>
            <w:vAlign w:val="center"/>
            <w:hideMark/>
          </w:tcPr>
          <w:p w14:paraId="2AD06993" w14:textId="329C4051"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Sibīrijas žeņšeņ</w:t>
            </w:r>
            <w:r w:rsidR="000A5851">
              <w:rPr>
                <w:rFonts w:ascii="Times New Roman" w:hAnsi="Times New Roman" w:cs="Times New Roman"/>
                <w:color w:val="000000"/>
                <w:sz w:val="24"/>
                <w:szCs w:val="24"/>
                <w:lang w:eastAsia="lv-LV"/>
              </w:rPr>
              <w:t>s</w:t>
            </w:r>
            <w:r w:rsidRPr="006557B3">
              <w:rPr>
                <w:rFonts w:ascii="Times New Roman" w:hAnsi="Times New Roman" w:cs="Times New Roman"/>
                <w:color w:val="000000"/>
                <w:sz w:val="24"/>
                <w:szCs w:val="24"/>
                <w:lang w:eastAsia="lv-LV"/>
              </w:rPr>
              <w:t xml:space="preserve"> un jaunās pārtikas sastāvdaļa </w:t>
            </w:r>
            <w:r w:rsidR="000A5851">
              <w:rPr>
                <w:rFonts w:ascii="Times New Roman" w:hAnsi="Times New Roman" w:cs="Times New Roman"/>
                <w:color w:val="000000"/>
                <w:sz w:val="24"/>
                <w:szCs w:val="24"/>
                <w:lang w:eastAsia="lv-LV"/>
              </w:rPr>
              <w:t>–</w:t>
            </w:r>
            <w:r w:rsidRPr="006557B3">
              <w:rPr>
                <w:rFonts w:ascii="Times New Roman" w:hAnsi="Times New Roman" w:cs="Times New Roman"/>
                <w:color w:val="000000"/>
                <w:sz w:val="24"/>
                <w:szCs w:val="24"/>
                <w:lang w:eastAsia="lv-LV"/>
              </w:rPr>
              <w:t xml:space="preserve"> mārdadzis (</w:t>
            </w:r>
            <w:r w:rsidRPr="009501A2">
              <w:rPr>
                <w:rFonts w:ascii="Times New Roman" w:hAnsi="Times New Roman" w:cs="Times New Roman"/>
                <w:i/>
                <w:color w:val="000000"/>
                <w:sz w:val="24"/>
                <w:szCs w:val="24"/>
                <w:lang w:eastAsia="lv-LV"/>
              </w:rPr>
              <w:t>Silybum marianum</w:t>
            </w:r>
            <w:r w:rsidRPr="006557B3">
              <w:rPr>
                <w:rFonts w:ascii="Times New Roman" w:hAnsi="Times New Roman" w:cs="Times New Roman"/>
                <w:color w:val="000000"/>
                <w:sz w:val="24"/>
                <w:szCs w:val="24"/>
                <w:lang w:eastAsia="lv-LV"/>
              </w:rPr>
              <w:t xml:space="preserve">), neatļautas vielas arginīna alfa ketoglutarāts un L-karnitīna fumarāts </w:t>
            </w:r>
          </w:p>
        </w:tc>
        <w:tc>
          <w:tcPr>
            <w:tcW w:w="2188" w:type="dxa"/>
            <w:tcBorders>
              <w:top w:val="nil"/>
              <w:left w:val="nil"/>
              <w:bottom w:val="single" w:sz="4" w:space="0" w:color="auto"/>
              <w:right w:val="single" w:sz="4" w:space="0" w:color="auto"/>
            </w:tcBorders>
            <w:shd w:val="clear" w:color="auto" w:fill="auto"/>
            <w:noWrap/>
            <w:vAlign w:val="center"/>
            <w:hideMark/>
          </w:tcPr>
          <w:p w14:paraId="186F0605"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2B5C36" w:rsidRPr="006557B3" w14:paraId="570B7A76" w14:textId="77777777" w:rsidTr="002B5C36">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00AFBE3"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17.</w:t>
            </w:r>
          </w:p>
        </w:tc>
        <w:tc>
          <w:tcPr>
            <w:tcW w:w="1979" w:type="dxa"/>
            <w:tcBorders>
              <w:top w:val="nil"/>
              <w:left w:val="nil"/>
              <w:bottom w:val="single" w:sz="4" w:space="0" w:color="auto"/>
              <w:right w:val="single" w:sz="4" w:space="0" w:color="auto"/>
            </w:tcBorders>
            <w:shd w:val="clear" w:color="auto" w:fill="auto"/>
            <w:noWrap/>
            <w:vAlign w:val="center"/>
            <w:hideMark/>
          </w:tcPr>
          <w:p w14:paraId="106DDA5B" w14:textId="017EF45B" w:rsidR="00D23F11" w:rsidRPr="006557B3" w:rsidRDefault="00D23F11" w:rsidP="00D23F11">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r w:rsidR="003710B6" w:rsidRPr="006557B3">
              <w:rPr>
                <w:rFonts w:ascii="Times New Roman" w:hAnsi="Times New Roman" w:cs="Times New Roman"/>
                <w:color w:val="000000"/>
                <w:sz w:val="24"/>
                <w:szCs w:val="24"/>
                <w:lang w:eastAsia="lv-LV"/>
              </w:rPr>
              <w:t>sportistiem</w:t>
            </w:r>
          </w:p>
        </w:tc>
        <w:tc>
          <w:tcPr>
            <w:tcW w:w="1399" w:type="dxa"/>
            <w:tcBorders>
              <w:top w:val="nil"/>
              <w:left w:val="nil"/>
              <w:bottom w:val="single" w:sz="4" w:space="0" w:color="auto"/>
              <w:right w:val="single" w:sz="4" w:space="0" w:color="auto"/>
            </w:tcBorders>
            <w:shd w:val="clear" w:color="auto" w:fill="auto"/>
            <w:noWrap/>
            <w:vAlign w:val="center"/>
            <w:hideMark/>
          </w:tcPr>
          <w:p w14:paraId="615E92F3"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3028" w:type="dxa"/>
            <w:tcBorders>
              <w:top w:val="nil"/>
              <w:left w:val="nil"/>
              <w:bottom w:val="single" w:sz="4" w:space="0" w:color="auto"/>
              <w:right w:val="single" w:sz="4" w:space="0" w:color="auto"/>
            </w:tcBorders>
            <w:shd w:val="clear" w:color="auto" w:fill="auto"/>
            <w:noWrap/>
            <w:vAlign w:val="center"/>
            <w:hideMark/>
          </w:tcPr>
          <w:p w14:paraId="04384F78" w14:textId="3DC9AECE"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palielināts B6 vitamīna daudzums</w:t>
            </w:r>
            <w:r w:rsidRPr="006557B3">
              <w:rPr>
                <w:rFonts w:ascii="Times New Roman" w:hAnsi="Times New Roman" w:cs="Times New Roman"/>
                <w:sz w:val="24"/>
                <w:szCs w:val="24"/>
              </w:rPr>
              <w:t xml:space="preserve"> </w:t>
            </w:r>
          </w:p>
        </w:tc>
        <w:tc>
          <w:tcPr>
            <w:tcW w:w="2188" w:type="dxa"/>
            <w:tcBorders>
              <w:top w:val="nil"/>
              <w:left w:val="nil"/>
              <w:bottom w:val="single" w:sz="4" w:space="0" w:color="auto"/>
              <w:right w:val="single" w:sz="4" w:space="0" w:color="auto"/>
            </w:tcBorders>
            <w:shd w:val="clear" w:color="auto" w:fill="auto"/>
            <w:noWrap/>
            <w:vAlign w:val="center"/>
            <w:hideMark/>
          </w:tcPr>
          <w:p w14:paraId="7F4D643D"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2B5C36" w:rsidRPr="006557B3" w14:paraId="6752410A" w14:textId="77777777" w:rsidTr="002B5C36">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E65D5E9"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18.</w:t>
            </w:r>
          </w:p>
        </w:tc>
        <w:tc>
          <w:tcPr>
            <w:tcW w:w="1979" w:type="dxa"/>
            <w:tcBorders>
              <w:top w:val="nil"/>
              <w:left w:val="nil"/>
              <w:bottom w:val="single" w:sz="4" w:space="0" w:color="auto"/>
              <w:right w:val="single" w:sz="4" w:space="0" w:color="auto"/>
            </w:tcBorders>
            <w:shd w:val="clear" w:color="auto" w:fill="auto"/>
            <w:noWrap/>
            <w:vAlign w:val="center"/>
            <w:hideMark/>
          </w:tcPr>
          <w:p w14:paraId="53CC2BB4" w14:textId="09867BE4" w:rsidR="00D23F11" w:rsidRPr="006557B3" w:rsidRDefault="00D23F11" w:rsidP="00D23F11">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p>
        </w:tc>
        <w:tc>
          <w:tcPr>
            <w:tcW w:w="1399" w:type="dxa"/>
            <w:tcBorders>
              <w:top w:val="nil"/>
              <w:left w:val="nil"/>
              <w:bottom w:val="single" w:sz="4" w:space="0" w:color="auto"/>
              <w:right w:val="single" w:sz="4" w:space="0" w:color="auto"/>
            </w:tcBorders>
            <w:shd w:val="clear" w:color="auto" w:fill="auto"/>
            <w:noWrap/>
            <w:vAlign w:val="center"/>
            <w:hideMark/>
          </w:tcPr>
          <w:p w14:paraId="5AB56D22"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Ķīna, Polija</w:t>
            </w:r>
          </w:p>
        </w:tc>
        <w:tc>
          <w:tcPr>
            <w:tcW w:w="3028" w:type="dxa"/>
            <w:tcBorders>
              <w:top w:val="nil"/>
              <w:left w:val="nil"/>
              <w:bottom w:val="single" w:sz="4" w:space="0" w:color="auto"/>
              <w:right w:val="single" w:sz="4" w:space="0" w:color="auto"/>
            </w:tcBorders>
            <w:shd w:val="clear" w:color="auto" w:fill="auto"/>
            <w:noWrap/>
            <w:vAlign w:val="center"/>
            <w:hideMark/>
          </w:tcPr>
          <w:p w14:paraId="7D289BE5" w14:textId="31FFF655"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tetrahidrokanabiols </w:t>
            </w:r>
          </w:p>
        </w:tc>
        <w:tc>
          <w:tcPr>
            <w:tcW w:w="2188" w:type="dxa"/>
            <w:tcBorders>
              <w:top w:val="nil"/>
              <w:left w:val="nil"/>
              <w:bottom w:val="single" w:sz="4" w:space="0" w:color="auto"/>
              <w:right w:val="single" w:sz="4" w:space="0" w:color="auto"/>
            </w:tcBorders>
            <w:shd w:val="clear" w:color="auto" w:fill="auto"/>
            <w:noWrap/>
            <w:vAlign w:val="center"/>
            <w:hideMark/>
          </w:tcPr>
          <w:p w14:paraId="19F1ABA3"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2B5C36" w:rsidRPr="006557B3" w14:paraId="6105934F" w14:textId="77777777" w:rsidTr="002B5C36">
        <w:trPr>
          <w:trHeight w:val="666"/>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995F8A5"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19.</w:t>
            </w:r>
          </w:p>
        </w:tc>
        <w:tc>
          <w:tcPr>
            <w:tcW w:w="1979" w:type="dxa"/>
            <w:tcBorders>
              <w:top w:val="nil"/>
              <w:left w:val="nil"/>
              <w:bottom w:val="single" w:sz="4" w:space="0" w:color="auto"/>
              <w:right w:val="single" w:sz="4" w:space="0" w:color="auto"/>
            </w:tcBorders>
            <w:shd w:val="clear" w:color="auto" w:fill="auto"/>
            <w:noWrap/>
            <w:vAlign w:val="center"/>
            <w:hideMark/>
          </w:tcPr>
          <w:p w14:paraId="6970ADE0" w14:textId="3A207071" w:rsidR="00D23F11" w:rsidRPr="006557B3" w:rsidRDefault="00D23F11" w:rsidP="00D23F11">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p>
        </w:tc>
        <w:tc>
          <w:tcPr>
            <w:tcW w:w="1399" w:type="dxa"/>
            <w:tcBorders>
              <w:top w:val="nil"/>
              <w:left w:val="nil"/>
              <w:bottom w:val="single" w:sz="4" w:space="0" w:color="auto"/>
              <w:right w:val="single" w:sz="4" w:space="0" w:color="auto"/>
            </w:tcBorders>
            <w:shd w:val="clear" w:color="auto" w:fill="auto"/>
            <w:noWrap/>
            <w:vAlign w:val="center"/>
            <w:hideMark/>
          </w:tcPr>
          <w:p w14:paraId="22CB65B6"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nezināma</w:t>
            </w:r>
          </w:p>
        </w:tc>
        <w:tc>
          <w:tcPr>
            <w:tcW w:w="3028" w:type="dxa"/>
            <w:tcBorders>
              <w:top w:val="nil"/>
              <w:left w:val="nil"/>
              <w:bottom w:val="single" w:sz="4" w:space="0" w:color="auto"/>
              <w:right w:val="single" w:sz="4" w:space="0" w:color="auto"/>
            </w:tcBorders>
            <w:shd w:val="clear" w:color="auto" w:fill="auto"/>
            <w:vAlign w:val="center"/>
            <w:hideMark/>
          </w:tcPr>
          <w:p w14:paraId="7009A9D7" w14:textId="0162AA25"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sildenafila tionanalogi (dapoksetīns, ditiodesmetilkarbodenafils un desmetilkarbodenafils) </w:t>
            </w:r>
          </w:p>
        </w:tc>
        <w:tc>
          <w:tcPr>
            <w:tcW w:w="2188" w:type="dxa"/>
            <w:tcBorders>
              <w:top w:val="nil"/>
              <w:left w:val="nil"/>
              <w:bottom w:val="single" w:sz="4" w:space="0" w:color="auto"/>
              <w:right w:val="single" w:sz="4" w:space="0" w:color="auto"/>
            </w:tcBorders>
            <w:shd w:val="clear" w:color="auto" w:fill="auto"/>
            <w:noWrap/>
            <w:vAlign w:val="center"/>
            <w:hideMark/>
          </w:tcPr>
          <w:p w14:paraId="3DC59C2F"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2B5C36" w:rsidRPr="006557B3" w14:paraId="4F46540A" w14:textId="77777777" w:rsidTr="002B5C36">
        <w:trPr>
          <w:trHeight w:val="28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DF12E8B"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20.</w:t>
            </w:r>
          </w:p>
        </w:tc>
        <w:tc>
          <w:tcPr>
            <w:tcW w:w="1979" w:type="dxa"/>
            <w:tcBorders>
              <w:top w:val="nil"/>
              <w:left w:val="nil"/>
              <w:bottom w:val="single" w:sz="4" w:space="0" w:color="auto"/>
              <w:right w:val="nil"/>
            </w:tcBorders>
            <w:shd w:val="clear" w:color="auto" w:fill="auto"/>
            <w:noWrap/>
            <w:vAlign w:val="center"/>
            <w:hideMark/>
          </w:tcPr>
          <w:p w14:paraId="1893531B"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UB</w:t>
            </w:r>
          </w:p>
        </w:tc>
        <w:tc>
          <w:tcPr>
            <w:tcW w:w="1399" w:type="dxa"/>
            <w:tcBorders>
              <w:top w:val="nil"/>
              <w:left w:val="single" w:sz="4" w:space="0" w:color="auto"/>
              <w:bottom w:val="single" w:sz="4" w:space="0" w:color="auto"/>
              <w:right w:val="single" w:sz="4" w:space="0" w:color="auto"/>
            </w:tcBorders>
            <w:shd w:val="clear" w:color="auto" w:fill="auto"/>
            <w:noWrap/>
            <w:vAlign w:val="center"/>
            <w:hideMark/>
          </w:tcPr>
          <w:p w14:paraId="66E7E6A8" w14:textId="77777777"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Krievija</w:t>
            </w:r>
          </w:p>
        </w:tc>
        <w:tc>
          <w:tcPr>
            <w:tcW w:w="3028" w:type="dxa"/>
            <w:tcBorders>
              <w:top w:val="nil"/>
              <w:left w:val="nil"/>
              <w:bottom w:val="single" w:sz="4" w:space="0" w:color="auto"/>
              <w:right w:val="single" w:sz="4" w:space="0" w:color="auto"/>
            </w:tcBorders>
            <w:shd w:val="clear" w:color="auto" w:fill="auto"/>
            <w:noWrap/>
            <w:vAlign w:val="center"/>
            <w:hideMark/>
          </w:tcPr>
          <w:p w14:paraId="6988AF8B" w14:textId="69854E79" w:rsidR="00D23F11" w:rsidRPr="006557B3" w:rsidRDefault="00D23F11" w:rsidP="009B1025">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neatļauta apstrāde ar jonizējošo starojumu </w:t>
            </w:r>
          </w:p>
        </w:tc>
        <w:tc>
          <w:tcPr>
            <w:tcW w:w="2188" w:type="dxa"/>
            <w:tcBorders>
              <w:top w:val="nil"/>
              <w:left w:val="nil"/>
              <w:bottom w:val="single" w:sz="4" w:space="0" w:color="auto"/>
              <w:right w:val="single" w:sz="4" w:space="0" w:color="auto"/>
            </w:tcBorders>
            <w:shd w:val="clear" w:color="auto" w:fill="auto"/>
            <w:noWrap/>
            <w:vAlign w:val="center"/>
            <w:hideMark/>
          </w:tcPr>
          <w:p w14:paraId="3BC352A5" w14:textId="3DF9328E" w:rsidR="00D23F11" w:rsidRPr="006557B3" w:rsidRDefault="00D23F11"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Ziņotājvalsts </w:t>
            </w:r>
            <w:r w:rsidRPr="006557B3">
              <w:rPr>
                <w:rFonts w:ascii="Times New Roman" w:hAnsi="Times New Roman" w:cs="Times New Roman"/>
                <w:b/>
                <w:bCs/>
                <w:color w:val="000000"/>
                <w:sz w:val="24"/>
                <w:szCs w:val="24"/>
                <w:lang w:eastAsia="lv-LV"/>
              </w:rPr>
              <w:t>Latvija</w:t>
            </w:r>
            <w:r w:rsidRPr="006557B3">
              <w:rPr>
                <w:rFonts w:ascii="Times New Roman" w:hAnsi="Times New Roman" w:cs="Times New Roman"/>
                <w:color w:val="000000"/>
                <w:sz w:val="24"/>
                <w:szCs w:val="24"/>
                <w:lang w:eastAsia="lv-LV"/>
              </w:rPr>
              <w:t xml:space="preserve"> – kopā 2 ziņojumi</w:t>
            </w:r>
          </w:p>
        </w:tc>
      </w:tr>
    </w:tbl>
    <w:p w14:paraId="5812E424" w14:textId="1B95B4FE" w:rsidR="00611539" w:rsidRDefault="00611539" w:rsidP="002B5C36">
      <w:pPr>
        <w:tabs>
          <w:tab w:val="left" w:pos="8647"/>
        </w:tabs>
        <w:spacing w:after="0" w:line="240" w:lineRule="auto"/>
        <w:rPr>
          <w:rFonts w:ascii="Times New Roman" w:hAnsi="Times New Roman" w:cs="Times New Roman"/>
          <w:b/>
          <w:sz w:val="24"/>
          <w:szCs w:val="24"/>
        </w:rPr>
      </w:pPr>
    </w:p>
    <w:p w14:paraId="5AE89625" w14:textId="0C532357" w:rsidR="000D5000" w:rsidRPr="006557B3" w:rsidRDefault="000D5000" w:rsidP="002B5C36">
      <w:pPr>
        <w:tabs>
          <w:tab w:val="left" w:pos="8647"/>
        </w:tabs>
        <w:spacing w:after="0" w:line="240" w:lineRule="auto"/>
        <w:jc w:val="both"/>
        <w:rPr>
          <w:rFonts w:ascii="Times New Roman" w:hAnsi="Times New Roman" w:cs="Times New Roman"/>
          <w:sz w:val="24"/>
          <w:szCs w:val="24"/>
        </w:rPr>
      </w:pPr>
      <w:r w:rsidRPr="006557B3">
        <w:rPr>
          <w:rFonts w:ascii="Times New Roman" w:hAnsi="Times New Roman" w:cs="Times New Roman"/>
          <w:b/>
          <w:sz w:val="24"/>
          <w:szCs w:val="24"/>
        </w:rPr>
        <w:t>2015.</w:t>
      </w:r>
      <w:r w:rsidR="004F11FE">
        <w:rPr>
          <w:rFonts w:ascii="Times New Roman" w:hAnsi="Times New Roman" w:cs="Times New Roman"/>
          <w:b/>
          <w:sz w:val="24"/>
          <w:szCs w:val="24"/>
        </w:rPr>
        <w:t xml:space="preserve"> </w:t>
      </w:r>
      <w:r w:rsidRPr="006557B3">
        <w:rPr>
          <w:rFonts w:ascii="Times New Roman" w:hAnsi="Times New Roman" w:cs="Times New Roman"/>
          <w:b/>
          <w:sz w:val="24"/>
          <w:szCs w:val="24"/>
        </w:rPr>
        <w:t>gadā</w:t>
      </w:r>
      <w:r w:rsidRPr="006557B3">
        <w:rPr>
          <w:rFonts w:ascii="Times New Roman" w:hAnsi="Times New Roman" w:cs="Times New Roman"/>
          <w:sz w:val="24"/>
          <w:szCs w:val="24"/>
        </w:rPr>
        <w:t xml:space="preserve"> saņemti 11 un nosūtīts </w:t>
      </w:r>
      <w:r w:rsidR="007455D6" w:rsidRPr="006557B3">
        <w:rPr>
          <w:rFonts w:ascii="Times New Roman" w:hAnsi="Times New Roman" w:cs="Times New Roman"/>
          <w:sz w:val="24"/>
          <w:szCs w:val="24"/>
        </w:rPr>
        <w:t>viens</w:t>
      </w:r>
      <w:r w:rsidRPr="006557B3">
        <w:rPr>
          <w:rFonts w:ascii="Times New Roman" w:hAnsi="Times New Roman" w:cs="Times New Roman"/>
          <w:sz w:val="24"/>
          <w:szCs w:val="24"/>
        </w:rPr>
        <w:t xml:space="preserve"> </w:t>
      </w:r>
      <w:r w:rsidRPr="006557B3">
        <w:rPr>
          <w:rFonts w:ascii="Times New Roman" w:hAnsi="Times New Roman" w:cs="Times New Roman"/>
          <w:i/>
          <w:sz w:val="24"/>
          <w:szCs w:val="24"/>
        </w:rPr>
        <w:t>RASFF</w:t>
      </w:r>
      <w:r w:rsidRPr="006557B3">
        <w:rPr>
          <w:rFonts w:ascii="Times New Roman" w:hAnsi="Times New Roman" w:cs="Times New Roman"/>
          <w:sz w:val="24"/>
          <w:szCs w:val="24"/>
        </w:rPr>
        <w:t xml:space="preserve"> </w:t>
      </w:r>
      <w:r w:rsidR="00F176AA" w:rsidRPr="006557B3">
        <w:rPr>
          <w:rFonts w:ascii="Times New Roman" w:hAnsi="Times New Roman" w:cs="Times New Roman"/>
          <w:sz w:val="24"/>
          <w:szCs w:val="24"/>
        </w:rPr>
        <w:t>pa</w:t>
      </w:r>
      <w:r w:rsidRPr="006557B3">
        <w:rPr>
          <w:rFonts w:ascii="Times New Roman" w:hAnsi="Times New Roman" w:cs="Times New Roman"/>
          <w:sz w:val="24"/>
          <w:szCs w:val="24"/>
        </w:rPr>
        <w:t>ziņojum</w:t>
      </w:r>
      <w:r w:rsidR="00F176AA" w:rsidRPr="006557B3">
        <w:rPr>
          <w:rFonts w:ascii="Times New Roman" w:hAnsi="Times New Roman" w:cs="Times New Roman"/>
          <w:sz w:val="24"/>
          <w:szCs w:val="24"/>
        </w:rPr>
        <w:t>s</w:t>
      </w:r>
      <w:r w:rsidRPr="006557B3">
        <w:rPr>
          <w:rFonts w:ascii="Times New Roman" w:hAnsi="Times New Roman" w:cs="Times New Roman"/>
          <w:sz w:val="24"/>
          <w:szCs w:val="24"/>
        </w:rPr>
        <w:t xml:space="preserve"> </w:t>
      </w:r>
      <w:r w:rsidR="00AD6BD5" w:rsidRPr="006557B3">
        <w:rPr>
          <w:rFonts w:ascii="Times New Roman" w:hAnsi="Times New Roman" w:cs="Times New Roman"/>
          <w:sz w:val="24"/>
          <w:szCs w:val="24"/>
        </w:rPr>
        <w:t xml:space="preserve">par </w:t>
      </w:r>
      <w:r w:rsidR="00AD6BD5" w:rsidRPr="006557B3">
        <w:rPr>
          <w:rFonts w:ascii="Times New Roman" w:hAnsi="Times New Roman" w:cs="Times New Roman"/>
          <w:sz w:val="24"/>
          <w:szCs w:val="24"/>
          <w:lang w:val="lv-LV"/>
        </w:rPr>
        <w:t xml:space="preserve">uztura bagātinātāju </w:t>
      </w:r>
      <w:r w:rsidR="007455D6" w:rsidRPr="006557B3">
        <w:rPr>
          <w:rFonts w:ascii="Times New Roman" w:hAnsi="Times New Roman" w:cs="Times New Roman"/>
          <w:sz w:val="24"/>
          <w:szCs w:val="24"/>
          <w:lang w:val="lv-LV"/>
        </w:rPr>
        <w:t xml:space="preserve">neatbilstību normatīvajos aktos noteiktajām prasībām </w:t>
      </w:r>
      <w:r w:rsidRPr="006557B3">
        <w:rPr>
          <w:rFonts w:ascii="Times New Roman" w:hAnsi="Times New Roman" w:cs="Times New Roman"/>
          <w:sz w:val="24"/>
          <w:szCs w:val="24"/>
        </w:rPr>
        <w:t>(aizliegtas vielas vai apstrāde ar jonizējošo starojumu)</w:t>
      </w:r>
      <w:r w:rsidR="007455D6" w:rsidRPr="006557B3">
        <w:rPr>
          <w:rFonts w:ascii="Times New Roman" w:hAnsi="Times New Roman" w:cs="Times New Roman"/>
          <w:sz w:val="24"/>
          <w:szCs w:val="24"/>
        </w:rPr>
        <w:t>.</w:t>
      </w:r>
      <w:r w:rsidRPr="006557B3">
        <w:rPr>
          <w:rFonts w:ascii="Times New Roman" w:hAnsi="Times New Roman" w:cs="Times New Roman"/>
          <w:sz w:val="24"/>
          <w:szCs w:val="24"/>
        </w:rPr>
        <w:t xml:space="preserve"> </w:t>
      </w:r>
    </w:p>
    <w:tbl>
      <w:tblPr>
        <w:tblW w:w="9072" w:type="dxa"/>
        <w:tblInd w:w="108" w:type="dxa"/>
        <w:tblLook w:val="04A0" w:firstRow="1" w:lastRow="0" w:firstColumn="1" w:lastColumn="0" w:noHBand="0" w:noVBand="1"/>
      </w:tblPr>
      <w:tblGrid>
        <w:gridCol w:w="567"/>
        <w:gridCol w:w="1985"/>
        <w:gridCol w:w="1417"/>
        <w:gridCol w:w="2977"/>
        <w:gridCol w:w="2126"/>
      </w:tblGrid>
      <w:tr w:rsidR="000D5000" w:rsidRPr="006557B3" w14:paraId="5B230987" w14:textId="77777777" w:rsidTr="002B5C36">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4F903" w14:textId="77777777"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Nr.</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061AD53" w14:textId="2B199827" w:rsidR="000D5000" w:rsidRPr="006557B3" w:rsidRDefault="00417745"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Produkts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E431CB3" w14:textId="77777777"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Izcelsmes valsts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5FB0C6CF" w14:textId="77777777"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Konstatētais pārkāpums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BC7CD7E" w14:textId="77777777"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Piezīmes</w:t>
            </w:r>
          </w:p>
        </w:tc>
      </w:tr>
      <w:tr w:rsidR="000D5000" w:rsidRPr="006557B3" w14:paraId="6FF6C613" w14:textId="77777777" w:rsidTr="002B5C36">
        <w:trPr>
          <w:trHeight w:val="288"/>
        </w:trPr>
        <w:tc>
          <w:tcPr>
            <w:tcW w:w="694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316711" w14:textId="53DB97C6"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2015.</w:t>
            </w:r>
            <w:r w:rsidR="008519AC" w:rsidRPr="006557B3">
              <w:rPr>
                <w:rFonts w:ascii="Times New Roman" w:hAnsi="Times New Roman" w:cs="Times New Roman"/>
                <w:b/>
                <w:bCs/>
                <w:color w:val="000000"/>
                <w:sz w:val="24"/>
                <w:szCs w:val="24"/>
                <w:lang w:eastAsia="lv-LV"/>
              </w:rPr>
              <w:t xml:space="preserve"> </w:t>
            </w:r>
            <w:r w:rsidRPr="006557B3">
              <w:rPr>
                <w:rFonts w:ascii="Times New Roman" w:hAnsi="Times New Roman" w:cs="Times New Roman"/>
                <w:b/>
                <w:bCs/>
                <w:color w:val="000000"/>
                <w:sz w:val="24"/>
                <w:szCs w:val="24"/>
                <w:lang w:eastAsia="lv-LV"/>
              </w:rPr>
              <w:t>gads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44BEE04"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p>
        </w:tc>
      </w:tr>
      <w:tr w:rsidR="000D5000" w:rsidRPr="006557B3" w14:paraId="385AF7FA" w14:textId="77777777" w:rsidTr="002B5C36">
        <w:trPr>
          <w:trHeight w:val="8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19B0B3"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w:t>
            </w:r>
          </w:p>
        </w:tc>
        <w:tc>
          <w:tcPr>
            <w:tcW w:w="1985" w:type="dxa"/>
            <w:tcBorders>
              <w:top w:val="nil"/>
              <w:left w:val="nil"/>
              <w:bottom w:val="single" w:sz="4" w:space="0" w:color="auto"/>
              <w:right w:val="single" w:sz="4" w:space="0" w:color="auto"/>
            </w:tcBorders>
            <w:shd w:val="clear" w:color="auto" w:fill="auto"/>
            <w:noWrap/>
            <w:vAlign w:val="center"/>
            <w:hideMark/>
          </w:tcPr>
          <w:p w14:paraId="199CAF27"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UB sportistiem</w:t>
            </w:r>
          </w:p>
        </w:tc>
        <w:tc>
          <w:tcPr>
            <w:tcW w:w="1417" w:type="dxa"/>
            <w:tcBorders>
              <w:top w:val="nil"/>
              <w:left w:val="nil"/>
              <w:bottom w:val="single" w:sz="4" w:space="0" w:color="auto"/>
              <w:right w:val="single" w:sz="4" w:space="0" w:color="auto"/>
            </w:tcBorders>
            <w:shd w:val="clear" w:color="auto" w:fill="auto"/>
            <w:noWrap/>
            <w:vAlign w:val="center"/>
            <w:hideMark/>
          </w:tcPr>
          <w:p w14:paraId="2AF822C4"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Latvija</w:t>
            </w:r>
          </w:p>
        </w:tc>
        <w:tc>
          <w:tcPr>
            <w:tcW w:w="2977" w:type="dxa"/>
            <w:tcBorders>
              <w:top w:val="nil"/>
              <w:left w:val="nil"/>
              <w:bottom w:val="single" w:sz="4" w:space="0" w:color="auto"/>
              <w:right w:val="single" w:sz="4" w:space="0" w:color="auto"/>
            </w:tcBorders>
            <w:shd w:val="clear" w:color="auto" w:fill="auto"/>
            <w:noWrap/>
            <w:vAlign w:val="center"/>
            <w:hideMark/>
          </w:tcPr>
          <w:p w14:paraId="0C5A8A81"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Sildenafila analogi, neatļautas vielas</w:t>
            </w:r>
          </w:p>
        </w:tc>
        <w:tc>
          <w:tcPr>
            <w:tcW w:w="2126" w:type="dxa"/>
            <w:tcBorders>
              <w:top w:val="nil"/>
              <w:left w:val="nil"/>
              <w:bottom w:val="single" w:sz="4" w:space="0" w:color="auto"/>
              <w:right w:val="single" w:sz="4" w:space="0" w:color="auto"/>
            </w:tcBorders>
            <w:shd w:val="clear" w:color="auto" w:fill="auto"/>
            <w:vAlign w:val="center"/>
            <w:hideMark/>
          </w:tcPr>
          <w:p w14:paraId="08802D6A" w14:textId="7CFB35A9" w:rsidR="000D5000" w:rsidRPr="006557B3" w:rsidRDefault="000D5000" w:rsidP="008C39D1">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3 ziņojumi (nereģistrēts uzņēmums, nav </w:t>
            </w:r>
            <w:r w:rsidRPr="006557B3">
              <w:rPr>
                <w:rFonts w:ascii="Times New Roman" w:hAnsi="Times New Roman" w:cs="Times New Roman"/>
                <w:color w:val="000000"/>
                <w:sz w:val="24"/>
                <w:szCs w:val="24"/>
                <w:lang w:eastAsia="lv-LV"/>
              </w:rPr>
              <w:lastRenderedPageBreak/>
              <w:t>atrodams adresē, administratīvais sods)</w:t>
            </w:r>
            <w:r w:rsidR="000A5851">
              <w:rPr>
                <w:rFonts w:ascii="Times New Roman" w:hAnsi="Times New Roman" w:cs="Times New Roman"/>
                <w:color w:val="000000"/>
                <w:sz w:val="24"/>
                <w:szCs w:val="24"/>
                <w:lang w:eastAsia="lv-LV"/>
              </w:rPr>
              <w:t xml:space="preserve"> –</w:t>
            </w:r>
            <w:r w:rsidRPr="006557B3">
              <w:rPr>
                <w:rFonts w:ascii="Times New Roman" w:hAnsi="Times New Roman" w:cs="Times New Roman"/>
                <w:color w:val="000000"/>
                <w:sz w:val="24"/>
                <w:szCs w:val="24"/>
                <w:lang w:eastAsia="lv-LV"/>
              </w:rPr>
              <w:t xml:space="preserve"> ES dalībvalsts</w:t>
            </w:r>
          </w:p>
        </w:tc>
      </w:tr>
      <w:tr w:rsidR="000D5000" w:rsidRPr="006557B3" w14:paraId="39873164" w14:textId="77777777" w:rsidTr="002B5C36">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E7FBB4"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lastRenderedPageBreak/>
              <w:t>2.</w:t>
            </w:r>
          </w:p>
        </w:tc>
        <w:tc>
          <w:tcPr>
            <w:tcW w:w="1985" w:type="dxa"/>
            <w:tcBorders>
              <w:top w:val="nil"/>
              <w:left w:val="nil"/>
              <w:bottom w:val="single" w:sz="4" w:space="0" w:color="auto"/>
              <w:right w:val="single" w:sz="4" w:space="0" w:color="auto"/>
            </w:tcBorders>
            <w:shd w:val="clear" w:color="auto" w:fill="auto"/>
            <w:noWrap/>
            <w:vAlign w:val="center"/>
            <w:hideMark/>
          </w:tcPr>
          <w:p w14:paraId="22AFDF9D"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UB</w:t>
            </w:r>
          </w:p>
        </w:tc>
        <w:tc>
          <w:tcPr>
            <w:tcW w:w="1417" w:type="dxa"/>
            <w:tcBorders>
              <w:top w:val="nil"/>
              <w:left w:val="nil"/>
              <w:bottom w:val="single" w:sz="4" w:space="0" w:color="auto"/>
              <w:right w:val="single" w:sz="4" w:space="0" w:color="auto"/>
            </w:tcBorders>
            <w:shd w:val="clear" w:color="auto" w:fill="auto"/>
            <w:noWrap/>
            <w:vAlign w:val="center"/>
            <w:hideMark/>
          </w:tcPr>
          <w:p w14:paraId="50225EDA"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Indija</w:t>
            </w:r>
          </w:p>
        </w:tc>
        <w:tc>
          <w:tcPr>
            <w:tcW w:w="2977" w:type="dxa"/>
            <w:tcBorders>
              <w:top w:val="nil"/>
              <w:left w:val="nil"/>
              <w:bottom w:val="single" w:sz="4" w:space="0" w:color="auto"/>
              <w:right w:val="single" w:sz="4" w:space="0" w:color="auto"/>
            </w:tcBorders>
            <w:shd w:val="clear" w:color="auto" w:fill="auto"/>
            <w:noWrap/>
            <w:vAlign w:val="center"/>
            <w:hideMark/>
          </w:tcPr>
          <w:p w14:paraId="519DC2B6"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neatļauta apstrāde ar jonizējošo starojumu</w:t>
            </w:r>
          </w:p>
        </w:tc>
        <w:tc>
          <w:tcPr>
            <w:tcW w:w="2126" w:type="dxa"/>
            <w:tcBorders>
              <w:top w:val="nil"/>
              <w:left w:val="nil"/>
              <w:bottom w:val="single" w:sz="4" w:space="0" w:color="auto"/>
              <w:right w:val="single" w:sz="4" w:space="0" w:color="auto"/>
            </w:tcBorders>
            <w:shd w:val="clear" w:color="auto" w:fill="auto"/>
            <w:noWrap/>
            <w:vAlign w:val="center"/>
            <w:hideMark/>
          </w:tcPr>
          <w:p w14:paraId="2C43A113"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Ziņotājvalsts </w:t>
            </w:r>
            <w:r w:rsidRPr="006557B3">
              <w:rPr>
                <w:rFonts w:ascii="Times New Roman" w:hAnsi="Times New Roman" w:cs="Times New Roman"/>
                <w:b/>
                <w:bCs/>
                <w:color w:val="000000"/>
                <w:sz w:val="24"/>
                <w:szCs w:val="24"/>
                <w:lang w:eastAsia="lv-LV"/>
              </w:rPr>
              <w:t>Latvija</w:t>
            </w:r>
          </w:p>
        </w:tc>
      </w:tr>
      <w:tr w:rsidR="000D5000" w:rsidRPr="006557B3" w14:paraId="6A4F9532" w14:textId="77777777" w:rsidTr="002B5C36">
        <w:trPr>
          <w:trHeight w:val="10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7E9ADA"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3.</w:t>
            </w:r>
          </w:p>
        </w:tc>
        <w:tc>
          <w:tcPr>
            <w:tcW w:w="1985" w:type="dxa"/>
            <w:tcBorders>
              <w:top w:val="nil"/>
              <w:left w:val="nil"/>
              <w:bottom w:val="single" w:sz="4" w:space="0" w:color="auto"/>
              <w:right w:val="single" w:sz="4" w:space="0" w:color="auto"/>
            </w:tcBorders>
            <w:shd w:val="clear" w:color="auto" w:fill="auto"/>
            <w:noWrap/>
            <w:vAlign w:val="center"/>
            <w:hideMark/>
          </w:tcPr>
          <w:p w14:paraId="1E0768A7"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UB</w:t>
            </w:r>
          </w:p>
        </w:tc>
        <w:tc>
          <w:tcPr>
            <w:tcW w:w="1417" w:type="dxa"/>
            <w:tcBorders>
              <w:top w:val="nil"/>
              <w:left w:val="nil"/>
              <w:bottom w:val="nil"/>
              <w:right w:val="nil"/>
            </w:tcBorders>
            <w:shd w:val="clear" w:color="auto" w:fill="auto"/>
            <w:noWrap/>
            <w:vAlign w:val="center"/>
            <w:hideMark/>
          </w:tcPr>
          <w:p w14:paraId="1D467EC6"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347A3CEF" w14:textId="4EEB88E4" w:rsidR="000D5000" w:rsidRPr="006557B3" w:rsidRDefault="00966BA8" w:rsidP="008C39D1">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Neatļautas vielas: cinka aminoskābju helāts, selēna aminoskābju helāts, vara aminoskābju helāts, mangāna aminoskābju helāts, hroma dinikotināta glicināts, nikotīnamīds</w:t>
            </w:r>
          </w:p>
        </w:tc>
        <w:tc>
          <w:tcPr>
            <w:tcW w:w="2126" w:type="dxa"/>
            <w:tcBorders>
              <w:top w:val="nil"/>
              <w:left w:val="nil"/>
              <w:bottom w:val="single" w:sz="4" w:space="0" w:color="auto"/>
              <w:right w:val="single" w:sz="4" w:space="0" w:color="auto"/>
            </w:tcBorders>
            <w:shd w:val="clear" w:color="auto" w:fill="auto"/>
            <w:noWrap/>
            <w:vAlign w:val="center"/>
            <w:hideMark/>
          </w:tcPr>
          <w:p w14:paraId="50806FD8"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0D5000" w:rsidRPr="006557B3" w14:paraId="7985E758" w14:textId="77777777" w:rsidTr="002B5C36">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1B964E"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4.</w:t>
            </w:r>
          </w:p>
        </w:tc>
        <w:tc>
          <w:tcPr>
            <w:tcW w:w="1985" w:type="dxa"/>
            <w:tcBorders>
              <w:top w:val="nil"/>
              <w:left w:val="nil"/>
              <w:bottom w:val="single" w:sz="4" w:space="0" w:color="auto"/>
              <w:right w:val="single" w:sz="4" w:space="0" w:color="auto"/>
            </w:tcBorders>
            <w:shd w:val="clear" w:color="auto" w:fill="auto"/>
            <w:noWrap/>
            <w:vAlign w:val="center"/>
            <w:hideMark/>
          </w:tcPr>
          <w:p w14:paraId="5F61DA78" w14:textId="63054DE7" w:rsidR="000D5000" w:rsidRPr="006557B3" w:rsidRDefault="00DC0354"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UB </w:t>
            </w:r>
            <w:r w:rsidR="000D5000" w:rsidRPr="006557B3">
              <w:rPr>
                <w:rFonts w:ascii="Times New Roman" w:hAnsi="Times New Roman" w:cs="Times New Roman"/>
                <w:color w:val="000000"/>
                <w:sz w:val="24"/>
                <w:szCs w:val="24"/>
                <w:lang w:eastAsia="lv-LV"/>
              </w:rPr>
              <w:t>pulveris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80706E8"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Ķīna</w:t>
            </w:r>
          </w:p>
        </w:tc>
        <w:tc>
          <w:tcPr>
            <w:tcW w:w="2977" w:type="dxa"/>
            <w:tcBorders>
              <w:top w:val="nil"/>
              <w:left w:val="nil"/>
              <w:bottom w:val="single" w:sz="4" w:space="0" w:color="auto"/>
              <w:right w:val="single" w:sz="4" w:space="0" w:color="auto"/>
            </w:tcBorders>
            <w:shd w:val="clear" w:color="auto" w:fill="auto"/>
            <w:noWrap/>
            <w:vAlign w:val="center"/>
            <w:hideMark/>
          </w:tcPr>
          <w:p w14:paraId="50A0DFE7" w14:textId="756D71BF" w:rsidR="000D5000" w:rsidRPr="006557B3" w:rsidRDefault="000D5000" w:rsidP="008C39D1">
            <w:pPr>
              <w:tabs>
                <w:tab w:val="left" w:pos="8647"/>
              </w:tabs>
              <w:spacing w:after="0" w:line="240" w:lineRule="auto"/>
              <w:rPr>
                <w:rFonts w:ascii="Times New Roman" w:hAnsi="Times New Roman" w:cs="Times New Roman"/>
                <w:i/>
                <w:iCs/>
                <w:color w:val="000000"/>
                <w:sz w:val="24"/>
                <w:szCs w:val="24"/>
                <w:lang w:eastAsia="lv-LV"/>
              </w:rPr>
            </w:pPr>
            <w:r w:rsidRPr="006557B3">
              <w:rPr>
                <w:rFonts w:ascii="Times New Roman" w:hAnsi="Times New Roman" w:cs="Times New Roman"/>
                <w:i/>
                <w:iCs/>
                <w:color w:val="000000"/>
                <w:sz w:val="24"/>
                <w:szCs w:val="24"/>
                <w:lang w:eastAsia="lv-LV"/>
              </w:rPr>
              <w:t>Salmonella Rissen</w:t>
            </w:r>
            <w:r w:rsidR="0072533B" w:rsidRPr="006557B3">
              <w:rPr>
                <w:rFonts w:ascii="Times New Roman" w:hAnsi="Times New Roman" w:cs="Times New Roman"/>
                <w:i/>
                <w:iCs/>
                <w:color w:val="000000"/>
                <w:sz w:val="24"/>
                <w:szCs w:val="24"/>
                <w:lang w:eastAsia="lv-LV"/>
              </w:rPr>
              <w:t>,</w:t>
            </w:r>
            <w:r w:rsidR="0072533B" w:rsidRPr="006557B3">
              <w:rPr>
                <w:rFonts w:ascii="Times New Roman" w:hAnsi="Times New Roman" w:cs="Times New Roman"/>
                <w:color w:val="000000"/>
                <w:sz w:val="24"/>
                <w:szCs w:val="24"/>
                <w:lang w:eastAsia="lv-LV"/>
              </w:rPr>
              <w:t xml:space="preserve"> neatļauta viela</w:t>
            </w:r>
          </w:p>
        </w:tc>
        <w:tc>
          <w:tcPr>
            <w:tcW w:w="2126" w:type="dxa"/>
            <w:tcBorders>
              <w:top w:val="nil"/>
              <w:left w:val="nil"/>
              <w:bottom w:val="single" w:sz="4" w:space="0" w:color="auto"/>
              <w:right w:val="single" w:sz="4" w:space="0" w:color="auto"/>
            </w:tcBorders>
            <w:shd w:val="clear" w:color="auto" w:fill="auto"/>
            <w:noWrap/>
            <w:vAlign w:val="center"/>
            <w:hideMark/>
          </w:tcPr>
          <w:p w14:paraId="46BA70CB"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0D5000" w:rsidRPr="006557B3" w14:paraId="03861A55" w14:textId="77777777" w:rsidTr="002B5C36">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0925BD"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5.</w:t>
            </w:r>
          </w:p>
        </w:tc>
        <w:tc>
          <w:tcPr>
            <w:tcW w:w="1985" w:type="dxa"/>
            <w:tcBorders>
              <w:top w:val="nil"/>
              <w:left w:val="nil"/>
              <w:bottom w:val="single" w:sz="4" w:space="0" w:color="auto"/>
              <w:right w:val="single" w:sz="4" w:space="0" w:color="auto"/>
            </w:tcBorders>
            <w:shd w:val="clear" w:color="auto" w:fill="auto"/>
            <w:noWrap/>
            <w:vAlign w:val="center"/>
            <w:hideMark/>
          </w:tcPr>
          <w:p w14:paraId="76F9866B"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UB</w:t>
            </w:r>
          </w:p>
        </w:tc>
        <w:tc>
          <w:tcPr>
            <w:tcW w:w="1417" w:type="dxa"/>
            <w:tcBorders>
              <w:top w:val="nil"/>
              <w:left w:val="nil"/>
              <w:bottom w:val="single" w:sz="4" w:space="0" w:color="auto"/>
              <w:right w:val="single" w:sz="4" w:space="0" w:color="auto"/>
            </w:tcBorders>
            <w:shd w:val="clear" w:color="auto" w:fill="auto"/>
            <w:noWrap/>
            <w:vAlign w:val="center"/>
            <w:hideMark/>
          </w:tcPr>
          <w:p w14:paraId="5DA6B101"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2977" w:type="dxa"/>
            <w:tcBorders>
              <w:top w:val="nil"/>
              <w:left w:val="nil"/>
              <w:bottom w:val="single" w:sz="4" w:space="0" w:color="auto"/>
              <w:right w:val="single" w:sz="4" w:space="0" w:color="auto"/>
            </w:tcBorders>
            <w:shd w:val="clear" w:color="auto" w:fill="auto"/>
            <w:noWrap/>
            <w:vAlign w:val="center"/>
            <w:hideMark/>
          </w:tcPr>
          <w:p w14:paraId="5EE15033" w14:textId="77777777" w:rsidR="000D5000" w:rsidRPr="006557B3" w:rsidRDefault="000D5000" w:rsidP="008C39D1">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2,4-dinitrofenols, natļauta viela</w:t>
            </w:r>
          </w:p>
        </w:tc>
        <w:tc>
          <w:tcPr>
            <w:tcW w:w="2126" w:type="dxa"/>
            <w:tcBorders>
              <w:top w:val="nil"/>
              <w:left w:val="nil"/>
              <w:bottom w:val="single" w:sz="4" w:space="0" w:color="auto"/>
              <w:right w:val="single" w:sz="4" w:space="0" w:color="auto"/>
            </w:tcBorders>
            <w:shd w:val="clear" w:color="auto" w:fill="auto"/>
            <w:noWrap/>
            <w:vAlign w:val="center"/>
            <w:hideMark/>
          </w:tcPr>
          <w:p w14:paraId="04CE9065"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0D5000" w:rsidRPr="006557B3" w14:paraId="24781A0B" w14:textId="77777777" w:rsidTr="002B5C36">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ACE5BA"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6.</w:t>
            </w:r>
          </w:p>
        </w:tc>
        <w:tc>
          <w:tcPr>
            <w:tcW w:w="1985" w:type="dxa"/>
            <w:tcBorders>
              <w:top w:val="nil"/>
              <w:left w:val="nil"/>
              <w:bottom w:val="single" w:sz="4" w:space="0" w:color="auto"/>
              <w:right w:val="single" w:sz="4" w:space="0" w:color="auto"/>
            </w:tcBorders>
            <w:shd w:val="clear" w:color="auto" w:fill="auto"/>
            <w:noWrap/>
            <w:vAlign w:val="center"/>
            <w:hideMark/>
          </w:tcPr>
          <w:p w14:paraId="65F5E8E9"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UB</w:t>
            </w:r>
          </w:p>
        </w:tc>
        <w:tc>
          <w:tcPr>
            <w:tcW w:w="1417" w:type="dxa"/>
            <w:tcBorders>
              <w:top w:val="nil"/>
              <w:left w:val="nil"/>
              <w:bottom w:val="single" w:sz="4" w:space="0" w:color="auto"/>
              <w:right w:val="single" w:sz="4" w:space="0" w:color="auto"/>
            </w:tcBorders>
            <w:shd w:val="clear" w:color="auto" w:fill="auto"/>
            <w:noWrap/>
            <w:vAlign w:val="center"/>
            <w:hideMark/>
          </w:tcPr>
          <w:p w14:paraId="25F51268"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Indija</w:t>
            </w:r>
          </w:p>
        </w:tc>
        <w:tc>
          <w:tcPr>
            <w:tcW w:w="2977" w:type="dxa"/>
            <w:tcBorders>
              <w:top w:val="nil"/>
              <w:left w:val="nil"/>
              <w:bottom w:val="single" w:sz="4" w:space="0" w:color="auto"/>
              <w:right w:val="single" w:sz="4" w:space="0" w:color="auto"/>
            </w:tcBorders>
            <w:shd w:val="clear" w:color="auto" w:fill="auto"/>
            <w:vAlign w:val="center"/>
            <w:hideMark/>
          </w:tcPr>
          <w:p w14:paraId="45CFD880" w14:textId="77777777" w:rsidR="000D5000" w:rsidRPr="006557B3" w:rsidRDefault="000D5000" w:rsidP="008C39D1">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progesterons, androstendions, neatļautas vielas</w:t>
            </w:r>
          </w:p>
        </w:tc>
        <w:tc>
          <w:tcPr>
            <w:tcW w:w="2126" w:type="dxa"/>
            <w:tcBorders>
              <w:top w:val="nil"/>
              <w:left w:val="nil"/>
              <w:bottom w:val="single" w:sz="4" w:space="0" w:color="auto"/>
              <w:right w:val="single" w:sz="4" w:space="0" w:color="auto"/>
            </w:tcBorders>
            <w:shd w:val="clear" w:color="auto" w:fill="auto"/>
            <w:noWrap/>
            <w:vAlign w:val="center"/>
            <w:hideMark/>
          </w:tcPr>
          <w:p w14:paraId="51B19398"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0D5000" w:rsidRPr="006557B3" w14:paraId="495726C8" w14:textId="77777777" w:rsidTr="002B5C36">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E8BDA16"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7.</w:t>
            </w:r>
          </w:p>
        </w:tc>
        <w:tc>
          <w:tcPr>
            <w:tcW w:w="1985" w:type="dxa"/>
            <w:tcBorders>
              <w:top w:val="nil"/>
              <w:left w:val="nil"/>
              <w:bottom w:val="single" w:sz="4" w:space="0" w:color="auto"/>
              <w:right w:val="single" w:sz="4" w:space="0" w:color="auto"/>
            </w:tcBorders>
            <w:shd w:val="clear" w:color="auto" w:fill="auto"/>
            <w:noWrap/>
            <w:vAlign w:val="bottom"/>
            <w:hideMark/>
          </w:tcPr>
          <w:p w14:paraId="463A3969"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UB</w:t>
            </w:r>
          </w:p>
        </w:tc>
        <w:tc>
          <w:tcPr>
            <w:tcW w:w="1417" w:type="dxa"/>
            <w:tcBorders>
              <w:top w:val="nil"/>
              <w:left w:val="nil"/>
              <w:bottom w:val="single" w:sz="4" w:space="0" w:color="auto"/>
              <w:right w:val="single" w:sz="4" w:space="0" w:color="auto"/>
            </w:tcBorders>
            <w:shd w:val="clear" w:color="auto" w:fill="auto"/>
            <w:noWrap/>
            <w:vAlign w:val="bottom"/>
            <w:hideMark/>
          </w:tcPr>
          <w:p w14:paraId="42B94C8F"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ASV</w:t>
            </w:r>
          </w:p>
        </w:tc>
        <w:tc>
          <w:tcPr>
            <w:tcW w:w="2977" w:type="dxa"/>
            <w:tcBorders>
              <w:top w:val="nil"/>
              <w:left w:val="nil"/>
              <w:bottom w:val="single" w:sz="4" w:space="0" w:color="auto"/>
              <w:right w:val="single" w:sz="4" w:space="0" w:color="auto"/>
            </w:tcBorders>
            <w:shd w:val="clear" w:color="auto" w:fill="auto"/>
            <w:noWrap/>
            <w:vAlign w:val="bottom"/>
            <w:hideMark/>
          </w:tcPr>
          <w:p w14:paraId="59BAD480" w14:textId="2AA8BFB5" w:rsidR="000D5000" w:rsidRPr="006557B3" w:rsidRDefault="00A2728D"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j</w:t>
            </w:r>
            <w:r w:rsidR="000D5000" w:rsidRPr="006557B3">
              <w:rPr>
                <w:rFonts w:ascii="Times New Roman" w:hAnsi="Times New Roman" w:cs="Times New Roman"/>
                <w:color w:val="000000"/>
                <w:sz w:val="24"/>
                <w:szCs w:val="24"/>
                <w:lang w:eastAsia="lv-LV"/>
              </w:rPr>
              <w:t>ohimbīns</w:t>
            </w:r>
          </w:p>
        </w:tc>
        <w:tc>
          <w:tcPr>
            <w:tcW w:w="2126" w:type="dxa"/>
            <w:tcBorders>
              <w:top w:val="nil"/>
              <w:left w:val="nil"/>
              <w:bottom w:val="single" w:sz="4" w:space="0" w:color="auto"/>
              <w:right w:val="single" w:sz="4" w:space="0" w:color="auto"/>
            </w:tcBorders>
            <w:shd w:val="clear" w:color="auto" w:fill="auto"/>
            <w:noWrap/>
            <w:vAlign w:val="bottom"/>
            <w:hideMark/>
          </w:tcPr>
          <w:p w14:paraId="6F77286F"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0D5000" w:rsidRPr="006557B3" w14:paraId="125F9A9E" w14:textId="77777777" w:rsidTr="002B5C36">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F779542"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8.</w:t>
            </w:r>
          </w:p>
        </w:tc>
        <w:tc>
          <w:tcPr>
            <w:tcW w:w="1985" w:type="dxa"/>
            <w:tcBorders>
              <w:top w:val="nil"/>
              <w:left w:val="nil"/>
              <w:bottom w:val="single" w:sz="4" w:space="0" w:color="auto"/>
              <w:right w:val="single" w:sz="4" w:space="0" w:color="auto"/>
            </w:tcBorders>
            <w:shd w:val="clear" w:color="auto" w:fill="auto"/>
            <w:noWrap/>
            <w:vAlign w:val="bottom"/>
            <w:hideMark/>
          </w:tcPr>
          <w:p w14:paraId="19A5CD36"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UB</w:t>
            </w:r>
          </w:p>
        </w:tc>
        <w:tc>
          <w:tcPr>
            <w:tcW w:w="1417" w:type="dxa"/>
            <w:tcBorders>
              <w:top w:val="nil"/>
              <w:left w:val="nil"/>
              <w:bottom w:val="single" w:sz="4" w:space="0" w:color="auto"/>
              <w:right w:val="single" w:sz="4" w:space="0" w:color="auto"/>
            </w:tcBorders>
            <w:shd w:val="clear" w:color="auto" w:fill="auto"/>
            <w:noWrap/>
            <w:vAlign w:val="bottom"/>
            <w:hideMark/>
          </w:tcPr>
          <w:p w14:paraId="08BE47FE"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Vācija</w:t>
            </w:r>
          </w:p>
        </w:tc>
        <w:tc>
          <w:tcPr>
            <w:tcW w:w="2977" w:type="dxa"/>
            <w:tcBorders>
              <w:top w:val="nil"/>
              <w:left w:val="nil"/>
              <w:bottom w:val="single" w:sz="4" w:space="0" w:color="auto"/>
              <w:right w:val="single" w:sz="4" w:space="0" w:color="auto"/>
            </w:tcBorders>
            <w:shd w:val="clear" w:color="auto" w:fill="auto"/>
            <w:noWrap/>
            <w:vAlign w:val="bottom"/>
            <w:hideMark/>
          </w:tcPr>
          <w:p w14:paraId="06DC97AB" w14:textId="26CF4D62" w:rsidR="000D5000" w:rsidRPr="006557B3" w:rsidRDefault="00A2728D" w:rsidP="008C39D1">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m</w:t>
            </w:r>
            <w:r w:rsidR="000D5000" w:rsidRPr="006557B3">
              <w:rPr>
                <w:rFonts w:ascii="Times New Roman" w:hAnsi="Times New Roman" w:cs="Times New Roman"/>
                <w:color w:val="000000"/>
                <w:sz w:val="24"/>
                <w:szCs w:val="24"/>
                <w:lang w:eastAsia="lv-LV"/>
              </w:rPr>
              <w:t>ontānskābes ēsteri, neatļautas vielas</w:t>
            </w:r>
          </w:p>
        </w:tc>
        <w:tc>
          <w:tcPr>
            <w:tcW w:w="2126" w:type="dxa"/>
            <w:tcBorders>
              <w:top w:val="nil"/>
              <w:left w:val="nil"/>
              <w:bottom w:val="single" w:sz="4" w:space="0" w:color="auto"/>
              <w:right w:val="single" w:sz="4" w:space="0" w:color="auto"/>
            </w:tcBorders>
            <w:shd w:val="clear" w:color="auto" w:fill="auto"/>
            <w:noWrap/>
            <w:vAlign w:val="bottom"/>
            <w:hideMark/>
          </w:tcPr>
          <w:p w14:paraId="57B33E08"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r w:rsidR="000D5000" w:rsidRPr="006557B3" w14:paraId="11B9FD99" w14:textId="77777777" w:rsidTr="002B5C36">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BB4D7A"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9.</w:t>
            </w:r>
          </w:p>
        </w:tc>
        <w:tc>
          <w:tcPr>
            <w:tcW w:w="1985" w:type="dxa"/>
            <w:tcBorders>
              <w:top w:val="nil"/>
              <w:left w:val="nil"/>
              <w:bottom w:val="single" w:sz="4" w:space="0" w:color="auto"/>
              <w:right w:val="single" w:sz="4" w:space="0" w:color="auto"/>
            </w:tcBorders>
            <w:shd w:val="clear" w:color="auto" w:fill="auto"/>
            <w:noWrap/>
            <w:vAlign w:val="bottom"/>
            <w:hideMark/>
          </w:tcPr>
          <w:p w14:paraId="4498365C"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UB</w:t>
            </w:r>
          </w:p>
        </w:tc>
        <w:tc>
          <w:tcPr>
            <w:tcW w:w="1417" w:type="dxa"/>
            <w:tcBorders>
              <w:top w:val="nil"/>
              <w:left w:val="nil"/>
              <w:bottom w:val="single" w:sz="4" w:space="0" w:color="auto"/>
              <w:right w:val="single" w:sz="4" w:space="0" w:color="auto"/>
            </w:tcBorders>
            <w:shd w:val="clear" w:color="auto" w:fill="auto"/>
            <w:noWrap/>
            <w:vAlign w:val="bottom"/>
            <w:hideMark/>
          </w:tcPr>
          <w:p w14:paraId="1E6A36C6"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Kīna</w:t>
            </w:r>
          </w:p>
        </w:tc>
        <w:tc>
          <w:tcPr>
            <w:tcW w:w="2977" w:type="dxa"/>
            <w:tcBorders>
              <w:top w:val="nil"/>
              <w:left w:val="nil"/>
              <w:bottom w:val="single" w:sz="4" w:space="0" w:color="auto"/>
              <w:right w:val="single" w:sz="4" w:space="0" w:color="auto"/>
            </w:tcBorders>
            <w:shd w:val="clear" w:color="auto" w:fill="auto"/>
            <w:noWrap/>
            <w:vAlign w:val="bottom"/>
            <w:hideMark/>
          </w:tcPr>
          <w:p w14:paraId="6BC40B1D" w14:textId="79D87F24" w:rsidR="000D5000" w:rsidRPr="006557B3" w:rsidRDefault="00A2728D" w:rsidP="008C39D1">
            <w:pPr>
              <w:tabs>
                <w:tab w:val="left" w:pos="8647"/>
              </w:tabs>
              <w:spacing w:after="0" w:line="240" w:lineRule="auto"/>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a</w:t>
            </w:r>
            <w:r w:rsidR="000D5000" w:rsidRPr="006557B3">
              <w:rPr>
                <w:rFonts w:ascii="Times New Roman" w:hAnsi="Times New Roman" w:cs="Times New Roman"/>
                <w:color w:val="000000"/>
                <w:sz w:val="24"/>
                <w:szCs w:val="24"/>
                <w:lang w:eastAsia="lv-LV"/>
              </w:rPr>
              <w:t>gmatīna sulfāts, neatļauta viela</w:t>
            </w:r>
          </w:p>
        </w:tc>
        <w:tc>
          <w:tcPr>
            <w:tcW w:w="2126" w:type="dxa"/>
            <w:tcBorders>
              <w:top w:val="nil"/>
              <w:left w:val="nil"/>
              <w:bottom w:val="single" w:sz="4" w:space="0" w:color="auto"/>
              <w:right w:val="single" w:sz="4" w:space="0" w:color="auto"/>
            </w:tcBorders>
            <w:shd w:val="clear" w:color="auto" w:fill="auto"/>
            <w:noWrap/>
            <w:vAlign w:val="bottom"/>
            <w:hideMark/>
          </w:tcPr>
          <w:p w14:paraId="5AEB58C9"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ES dalībvalsts</w:t>
            </w:r>
          </w:p>
        </w:tc>
      </w:tr>
    </w:tbl>
    <w:p w14:paraId="3ED44E6B" w14:textId="77777777" w:rsidR="007E1DB2" w:rsidRDefault="007E1DB2" w:rsidP="00C05C12">
      <w:pPr>
        <w:tabs>
          <w:tab w:val="left" w:pos="8647"/>
        </w:tabs>
        <w:rPr>
          <w:rFonts w:ascii="Times New Roman" w:hAnsi="Times New Roman" w:cs="Times New Roman"/>
          <w:sz w:val="24"/>
          <w:szCs w:val="24"/>
        </w:rPr>
      </w:pPr>
    </w:p>
    <w:p w14:paraId="428B6705" w14:textId="13ABBF3D" w:rsidR="000D5000" w:rsidRPr="006557B3" w:rsidRDefault="00581EF6" w:rsidP="00C05C12">
      <w:pPr>
        <w:tabs>
          <w:tab w:val="left" w:pos="8647"/>
        </w:tabs>
        <w:rPr>
          <w:rFonts w:ascii="Times New Roman" w:hAnsi="Times New Roman" w:cs="Times New Roman"/>
          <w:sz w:val="24"/>
          <w:szCs w:val="24"/>
        </w:rPr>
      </w:pPr>
      <w:r w:rsidRPr="006557B3">
        <w:rPr>
          <w:rFonts w:ascii="Times New Roman" w:hAnsi="Times New Roman" w:cs="Times New Roman"/>
          <w:sz w:val="24"/>
          <w:szCs w:val="24"/>
        </w:rPr>
        <w:t xml:space="preserve">Latvijā saņemto un nosūtīto </w:t>
      </w:r>
      <w:r w:rsidR="000D5000" w:rsidRPr="006557B3">
        <w:rPr>
          <w:rFonts w:ascii="Times New Roman" w:hAnsi="Times New Roman" w:cs="Times New Roman"/>
          <w:i/>
          <w:sz w:val="24"/>
          <w:szCs w:val="24"/>
        </w:rPr>
        <w:t>RASFF</w:t>
      </w:r>
      <w:r w:rsidR="000D5000" w:rsidRPr="006557B3">
        <w:rPr>
          <w:rFonts w:ascii="Times New Roman" w:hAnsi="Times New Roman" w:cs="Times New Roman"/>
          <w:sz w:val="24"/>
          <w:szCs w:val="24"/>
        </w:rPr>
        <w:t xml:space="preserve"> </w:t>
      </w:r>
      <w:r w:rsidR="00132607" w:rsidRPr="006557B3">
        <w:rPr>
          <w:rFonts w:ascii="Times New Roman" w:hAnsi="Times New Roman" w:cs="Times New Roman"/>
          <w:sz w:val="24"/>
          <w:szCs w:val="24"/>
        </w:rPr>
        <w:t>pa</w:t>
      </w:r>
      <w:r w:rsidR="000D5000" w:rsidRPr="006557B3">
        <w:rPr>
          <w:rFonts w:ascii="Times New Roman" w:hAnsi="Times New Roman" w:cs="Times New Roman"/>
          <w:sz w:val="24"/>
          <w:szCs w:val="24"/>
        </w:rPr>
        <w:t xml:space="preserve">ziņojumu </w:t>
      </w:r>
      <w:r w:rsidR="00A2728D" w:rsidRPr="006557B3">
        <w:rPr>
          <w:rFonts w:ascii="Times New Roman" w:hAnsi="Times New Roman" w:cs="Times New Roman"/>
          <w:sz w:val="24"/>
          <w:szCs w:val="24"/>
        </w:rPr>
        <w:t xml:space="preserve">skaita </w:t>
      </w:r>
      <w:r w:rsidR="000D5000" w:rsidRPr="006557B3">
        <w:rPr>
          <w:rFonts w:ascii="Times New Roman" w:hAnsi="Times New Roman" w:cs="Times New Roman"/>
          <w:sz w:val="24"/>
          <w:szCs w:val="24"/>
        </w:rPr>
        <w:t>apkopojum</w:t>
      </w:r>
      <w:r w:rsidR="00C965A1" w:rsidRPr="006557B3">
        <w:rPr>
          <w:rFonts w:ascii="Times New Roman" w:hAnsi="Times New Roman" w:cs="Times New Roman"/>
          <w:sz w:val="24"/>
          <w:szCs w:val="24"/>
        </w:rPr>
        <w:t>s</w:t>
      </w:r>
      <w:r w:rsidR="000D5000" w:rsidRPr="006557B3">
        <w:rPr>
          <w:rFonts w:ascii="Times New Roman" w:hAnsi="Times New Roman" w:cs="Times New Roman"/>
          <w:sz w:val="24"/>
          <w:szCs w:val="24"/>
        </w:rPr>
        <w:t xml:space="preserve"> </w:t>
      </w:r>
      <w:r w:rsidR="00A2728D" w:rsidRPr="006557B3">
        <w:rPr>
          <w:rFonts w:ascii="Times New Roman" w:hAnsi="Times New Roman" w:cs="Times New Roman"/>
          <w:sz w:val="24"/>
          <w:szCs w:val="24"/>
        </w:rPr>
        <w:t>dots</w:t>
      </w:r>
      <w:r w:rsidR="000D5000" w:rsidRPr="006557B3">
        <w:rPr>
          <w:rFonts w:ascii="Times New Roman" w:hAnsi="Times New Roman" w:cs="Times New Roman"/>
          <w:sz w:val="24"/>
          <w:szCs w:val="24"/>
        </w:rPr>
        <w:t xml:space="preserve"> 4.</w:t>
      </w:r>
      <w:r w:rsidR="00A2728D" w:rsidRPr="006557B3">
        <w:rPr>
          <w:rFonts w:ascii="Times New Roman" w:hAnsi="Times New Roman" w:cs="Times New Roman"/>
          <w:sz w:val="24"/>
          <w:szCs w:val="24"/>
        </w:rPr>
        <w:t> </w:t>
      </w:r>
      <w:r w:rsidR="000D5000" w:rsidRPr="006557B3">
        <w:rPr>
          <w:rFonts w:ascii="Times New Roman" w:hAnsi="Times New Roman" w:cs="Times New Roman"/>
          <w:sz w:val="24"/>
          <w:szCs w:val="24"/>
        </w:rPr>
        <w:t>attēlā.</w:t>
      </w:r>
    </w:p>
    <w:p w14:paraId="78FC125D" w14:textId="110C60AB" w:rsidR="000D5000" w:rsidRPr="008C39D1" w:rsidRDefault="008C39D1" w:rsidP="00CA1C8C">
      <w:pPr>
        <w:tabs>
          <w:tab w:val="left" w:pos="8647"/>
        </w:tabs>
        <w:spacing w:before="60" w:after="120" w:line="240" w:lineRule="auto"/>
        <w:jc w:val="right"/>
        <w:rPr>
          <w:rFonts w:ascii="Times New Roman" w:hAnsi="Times New Roman"/>
          <w:sz w:val="24"/>
          <w:szCs w:val="24"/>
        </w:rPr>
      </w:pPr>
      <w:r>
        <w:rPr>
          <w:rFonts w:ascii="Times New Roman" w:hAnsi="Times New Roman"/>
          <w:sz w:val="24"/>
          <w:szCs w:val="24"/>
        </w:rPr>
        <w:t>4.</w:t>
      </w:r>
      <w:r w:rsidR="000D5000" w:rsidRPr="008C39D1">
        <w:rPr>
          <w:rFonts w:ascii="Times New Roman" w:hAnsi="Times New Roman"/>
          <w:sz w:val="24"/>
          <w:szCs w:val="24"/>
        </w:rPr>
        <w:t>attēls</w:t>
      </w:r>
    </w:p>
    <w:p w14:paraId="79597B09" w14:textId="77777777" w:rsidR="000D5000" w:rsidRPr="006557B3" w:rsidRDefault="000D5000" w:rsidP="00C05C12">
      <w:pPr>
        <w:tabs>
          <w:tab w:val="left" w:pos="8647"/>
        </w:tabs>
        <w:rPr>
          <w:rFonts w:ascii="Times New Roman" w:hAnsi="Times New Roman" w:cs="Times New Roman"/>
          <w:sz w:val="24"/>
          <w:szCs w:val="24"/>
        </w:rPr>
      </w:pPr>
      <w:r w:rsidRPr="006557B3">
        <w:rPr>
          <w:rFonts w:ascii="Times New Roman" w:hAnsi="Times New Roman" w:cs="Times New Roman"/>
          <w:noProof/>
          <w:sz w:val="24"/>
          <w:szCs w:val="24"/>
          <w:lang w:val="lv-LV" w:eastAsia="lv-LV"/>
        </w:rPr>
        <w:drawing>
          <wp:inline distT="0" distB="0" distL="0" distR="0" wp14:anchorId="5B1D9CA2" wp14:editId="5E0FE1E6">
            <wp:extent cx="5486400" cy="2703195"/>
            <wp:effectExtent l="0" t="0" r="19050" b="209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8C4C7EF" w14:textId="77777777" w:rsidR="00C965A1" w:rsidRPr="006557B3" w:rsidRDefault="001A0C61" w:rsidP="00C05C12">
      <w:pPr>
        <w:tabs>
          <w:tab w:val="left" w:pos="8647"/>
        </w:tabs>
        <w:spacing w:after="0"/>
        <w:rPr>
          <w:rFonts w:ascii="Times New Roman" w:hAnsi="Times New Roman" w:cs="Times New Roman"/>
          <w:b/>
          <w:sz w:val="24"/>
          <w:szCs w:val="24"/>
          <w:lang w:val="lv-LV"/>
        </w:rPr>
      </w:pPr>
      <w:r w:rsidRPr="006557B3">
        <w:rPr>
          <w:rFonts w:ascii="Times New Roman" w:hAnsi="Times New Roman" w:cs="Times New Roman"/>
          <w:b/>
          <w:sz w:val="24"/>
          <w:szCs w:val="24"/>
          <w:lang w:val="lv-LV"/>
        </w:rPr>
        <w:lastRenderedPageBreak/>
        <w:t>6.5.3.3.</w:t>
      </w:r>
      <w:r w:rsidR="00C965A1" w:rsidRPr="006557B3">
        <w:rPr>
          <w:rFonts w:ascii="Times New Roman" w:hAnsi="Times New Roman" w:cs="Times New Roman"/>
          <w:b/>
          <w:sz w:val="24"/>
          <w:szCs w:val="24"/>
          <w:lang w:val="lv-LV"/>
        </w:rPr>
        <w:t xml:space="preserve"> Iesniegumi un sūdzības saistībā ar uztura bagātinātājiem</w:t>
      </w:r>
    </w:p>
    <w:p w14:paraId="2036F238" w14:textId="41BBB7CC" w:rsidR="00C965A1" w:rsidRPr="006557B3" w:rsidRDefault="00C965A1"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Laikposmā no 2013.</w:t>
      </w:r>
      <w:r w:rsidR="004F11FE">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gada līdz 2015.</w:t>
      </w:r>
      <w:r w:rsidR="004F11FE">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 xml:space="preserve">gadam PVD sagatavoja un nosūtīja 294 vēstules uzņēmējiem, fiziskām un citām juridiskām personām par </w:t>
      </w:r>
      <w:r w:rsidR="00952F05" w:rsidRPr="006557B3">
        <w:rPr>
          <w:rFonts w:ascii="Times New Roman" w:hAnsi="Times New Roman" w:cs="Times New Roman"/>
          <w:sz w:val="24"/>
          <w:szCs w:val="24"/>
          <w:lang w:val="lv-LV"/>
        </w:rPr>
        <w:t>uztura</w:t>
      </w:r>
      <w:r w:rsidRPr="006557B3">
        <w:rPr>
          <w:rFonts w:ascii="Times New Roman" w:hAnsi="Times New Roman" w:cs="Times New Roman"/>
          <w:sz w:val="24"/>
          <w:szCs w:val="24"/>
          <w:lang w:val="lv-LV"/>
        </w:rPr>
        <w:t xml:space="preserve"> bagātinātāju neatbilstībām tiesību aktiem.</w:t>
      </w:r>
      <w:r w:rsidR="002E2F8B" w:rsidRPr="006557B3">
        <w:rPr>
          <w:rFonts w:ascii="Times New Roman" w:hAnsi="Times New Roman" w:cs="Times New Roman"/>
          <w:sz w:val="24"/>
          <w:szCs w:val="24"/>
          <w:lang w:val="lv-LV"/>
        </w:rPr>
        <w:t xml:space="preserve"> No tām:</w:t>
      </w:r>
    </w:p>
    <w:p w14:paraId="76F71260" w14:textId="1B5546E4" w:rsidR="002E2F8B" w:rsidRPr="006557B3" w:rsidRDefault="00C965A1" w:rsidP="00907300">
      <w:pPr>
        <w:pStyle w:val="Sarakstarindkopa"/>
        <w:numPr>
          <w:ilvl w:val="1"/>
          <w:numId w:val="36"/>
        </w:numPr>
        <w:tabs>
          <w:tab w:val="left" w:pos="8647"/>
        </w:tabs>
        <w:spacing w:after="0" w:line="240" w:lineRule="auto"/>
        <w:ind w:left="1434" w:hanging="357"/>
        <w:jc w:val="both"/>
        <w:rPr>
          <w:rFonts w:ascii="Times New Roman" w:hAnsi="Times New Roman"/>
          <w:sz w:val="24"/>
          <w:szCs w:val="24"/>
          <w:lang w:val="lv-LV"/>
        </w:rPr>
      </w:pPr>
      <w:r w:rsidRPr="006557B3">
        <w:rPr>
          <w:rFonts w:ascii="Times New Roman" w:hAnsi="Times New Roman"/>
          <w:sz w:val="24"/>
          <w:szCs w:val="24"/>
          <w:lang w:val="lv-LV"/>
        </w:rPr>
        <w:t xml:space="preserve">vidēji 28% </w:t>
      </w:r>
      <w:r w:rsidR="00A2728D" w:rsidRPr="006557B3">
        <w:rPr>
          <w:rFonts w:ascii="Times New Roman" w:hAnsi="Times New Roman"/>
          <w:sz w:val="24"/>
          <w:szCs w:val="24"/>
          <w:lang w:val="lv-LV"/>
        </w:rPr>
        <w:t xml:space="preserve">– </w:t>
      </w:r>
      <w:r w:rsidRPr="006557B3">
        <w:rPr>
          <w:rFonts w:ascii="Times New Roman" w:hAnsi="Times New Roman"/>
          <w:sz w:val="24"/>
          <w:szCs w:val="24"/>
          <w:lang w:val="lv-LV"/>
        </w:rPr>
        <w:t>par neatļauto veselīguma norāžu lietošanu;</w:t>
      </w:r>
    </w:p>
    <w:p w14:paraId="7F88EA60" w14:textId="148CDFD2" w:rsidR="00132D18" w:rsidRPr="006557B3" w:rsidRDefault="00C965A1" w:rsidP="00907300">
      <w:pPr>
        <w:pStyle w:val="Sarakstarindkopa"/>
        <w:numPr>
          <w:ilvl w:val="1"/>
          <w:numId w:val="36"/>
        </w:numPr>
        <w:tabs>
          <w:tab w:val="left" w:pos="8647"/>
        </w:tabs>
        <w:spacing w:after="0" w:line="240" w:lineRule="auto"/>
        <w:ind w:left="1434" w:hanging="357"/>
        <w:jc w:val="both"/>
        <w:rPr>
          <w:rFonts w:ascii="Times New Roman" w:hAnsi="Times New Roman"/>
          <w:sz w:val="24"/>
          <w:szCs w:val="24"/>
          <w:lang w:val="lv-LV"/>
        </w:rPr>
      </w:pPr>
      <w:r w:rsidRPr="006557B3">
        <w:rPr>
          <w:rFonts w:ascii="Times New Roman" w:hAnsi="Times New Roman"/>
          <w:sz w:val="24"/>
          <w:szCs w:val="24"/>
          <w:lang w:val="lv-LV"/>
        </w:rPr>
        <w:t xml:space="preserve">24% </w:t>
      </w:r>
      <w:r w:rsidR="00A2728D" w:rsidRPr="006557B3">
        <w:rPr>
          <w:rFonts w:ascii="Times New Roman" w:hAnsi="Times New Roman"/>
          <w:sz w:val="24"/>
          <w:szCs w:val="24"/>
          <w:lang w:val="lv-LV"/>
        </w:rPr>
        <w:t xml:space="preserve">– </w:t>
      </w:r>
      <w:r w:rsidRPr="006557B3">
        <w:rPr>
          <w:rFonts w:ascii="Times New Roman" w:hAnsi="Times New Roman"/>
          <w:sz w:val="24"/>
          <w:szCs w:val="24"/>
          <w:lang w:val="lv-LV"/>
        </w:rPr>
        <w:t xml:space="preserve">par nereģistrētajiem </w:t>
      </w:r>
      <w:r w:rsidR="00132D18" w:rsidRPr="006557B3">
        <w:rPr>
          <w:rFonts w:ascii="Times New Roman" w:hAnsi="Times New Roman"/>
          <w:sz w:val="24"/>
          <w:szCs w:val="24"/>
          <w:lang w:val="lv-LV"/>
        </w:rPr>
        <w:t>uztura bagātinātājiem</w:t>
      </w:r>
      <w:r w:rsidRPr="006557B3">
        <w:rPr>
          <w:rFonts w:ascii="Times New Roman" w:hAnsi="Times New Roman"/>
          <w:sz w:val="24"/>
          <w:szCs w:val="24"/>
          <w:lang w:val="lv-LV"/>
        </w:rPr>
        <w:t>;</w:t>
      </w:r>
    </w:p>
    <w:p w14:paraId="42946EAB" w14:textId="0FAA464A" w:rsidR="00C965A1" w:rsidRPr="006557B3" w:rsidRDefault="00C965A1" w:rsidP="00907300">
      <w:pPr>
        <w:pStyle w:val="Sarakstarindkopa"/>
        <w:numPr>
          <w:ilvl w:val="1"/>
          <w:numId w:val="36"/>
        </w:numPr>
        <w:tabs>
          <w:tab w:val="left" w:pos="8647"/>
        </w:tabs>
        <w:spacing w:after="0" w:line="240" w:lineRule="auto"/>
        <w:ind w:left="1434" w:hanging="357"/>
        <w:jc w:val="both"/>
        <w:rPr>
          <w:rFonts w:ascii="Times New Roman" w:hAnsi="Times New Roman"/>
          <w:sz w:val="24"/>
          <w:szCs w:val="24"/>
          <w:lang w:val="lv-LV"/>
        </w:rPr>
      </w:pPr>
      <w:r w:rsidRPr="006557B3">
        <w:rPr>
          <w:rFonts w:ascii="Times New Roman" w:hAnsi="Times New Roman"/>
          <w:sz w:val="24"/>
          <w:szCs w:val="24"/>
          <w:lang w:val="lv-LV"/>
        </w:rPr>
        <w:t xml:space="preserve">48% </w:t>
      </w:r>
      <w:r w:rsidR="00A2728D" w:rsidRPr="006557B3">
        <w:rPr>
          <w:rFonts w:ascii="Times New Roman" w:hAnsi="Times New Roman"/>
          <w:sz w:val="24"/>
          <w:szCs w:val="24"/>
          <w:lang w:val="lv-LV"/>
        </w:rPr>
        <w:t xml:space="preserve">– </w:t>
      </w:r>
      <w:r w:rsidRPr="006557B3">
        <w:rPr>
          <w:rFonts w:ascii="Times New Roman" w:hAnsi="Times New Roman"/>
          <w:sz w:val="24"/>
          <w:szCs w:val="24"/>
          <w:lang w:val="lv-LV"/>
        </w:rPr>
        <w:t>par atšķirībām uztura bagātinātāju reģistrā sniegtajā informācija un tirdzniecībā esošo uztura bagātinātāju marķējumā.</w:t>
      </w:r>
    </w:p>
    <w:p w14:paraId="53667175" w14:textId="77777777" w:rsidR="00C965A1" w:rsidRPr="006557B3" w:rsidRDefault="00C965A1"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PVD regulāri saņem patērētāju un uzņēmēju sūdzības par uztura bagātinātāju neatbilstošu marķējuma informāciju vai reģistrā neiekļaut</w:t>
      </w:r>
      <w:r w:rsidR="00E91738" w:rsidRPr="006557B3">
        <w:rPr>
          <w:rFonts w:ascii="Times New Roman" w:hAnsi="Times New Roman" w:cs="Times New Roman"/>
          <w:sz w:val="24"/>
          <w:szCs w:val="24"/>
          <w:lang w:val="lv-LV"/>
        </w:rPr>
        <w:t>ajiem</w:t>
      </w:r>
      <w:r w:rsidRPr="006557B3">
        <w:rPr>
          <w:rFonts w:ascii="Times New Roman" w:hAnsi="Times New Roman" w:cs="Times New Roman"/>
          <w:sz w:val="24"/>
          <w:szCs w:val="24"/>
          <w:lang w:val="lv-LV"/>
        </w:rPr>
        <w:t xml:space="preserve"> uztura bagātinātāj</w:t>
      </w:r>
      <w:r w:rsidR="00E91738" w:rsidRPr="006557B3">
        <w:rPr>
          <w:rFonts w:ascii="Times New Roman" w:hAnsi="Times New Roman" w:cs="Times New Roman"/>
          <w:sz w:val="24"/>
          <w:szCs w:val="24"/>
          <w:lang w:val="lv-LV"/>
        </w:rPr>
        <w:t>iem</w:t>
      </w:r>
      <w:r w:rsidR="00132D18" w:rsidRPr="006557B3">
        <w:rPr>
          <w:rFonts w:ascii="Times New Roman" w:hAnsi="Times New Roman" w:cs="Times New Roman"/>
          <w:sz w:val="24"/>
          <w:szCs w:val="24"/>
          <w:lang w:val="lv-LV"/>
        </w:rPr>
        <w:t>:</w:t>
      </w:r>
    </w:p>
    <w:p w14:paraId="1C1B7F74" w14:textId="5986F675" w:rsidR="00C965A1" w:rsidRPr="006557B3" w:rsidRDefault="00C965A1" w:rsidP="00907300">
      <w:pPr>
        <w:pStyle w:val="Sarakstarindkopa"/>
        <w:numPr>
          <w:ilvl w:val="1"/>
          <w:numId w:val="38"/>
        </w:numPr>
        <w:tabs>
          <w:tab w:val="left" w:pos="8647"/>
        </w:tabs>
        <w:spacing w:after="0" w:line="240" w:lineRule="auto"/>
        <w:ind w:left="1434" w:hanging="357"/>
        <w:jc w:val="both"/>
        <w:rPr>
          <w:rFonts w:ascii="Times New Roman" w:hAnsi="Times New Roman"/>
          <w:sz w:val="24"/>
          <w:szCs w:val="24"/>
          <w:lang w:val="fr-FR"/>
        </w:rPr>
      </w:pPr>
      <w:r w:rsidRPr="006557B3">
        <w:rPr>
          <w:rFonts w:ascii="Times New Roman" w:hAnsi="Times New Roman"/>
          <w:sz w:val="24"/>
          <w:szCs w:val="24"/>
          <w:lang w:val="fr-FR"/>
        </w:rPr>
        <w:t>2013.</w:t>
      </w:r>
      <w:r w:rsidR="004F11FE">
        <w:rPr>
          <w:rFonts w:ascii="Times New Roman" w:hAnsi="Times New Roman"/>
          <w:sz w:val="24"/>
          <w:szCs w:val="24"/>
          <w:lang w:val="fr-FR"/>
        </w:rPr>
        <w:t xml:space="preserve"> </w:t>
      </w:r>
      <w:r w:rsidRPr="006557B3">
        <w:rPr>
          <w:rFonts w:ascii="Times New Roman" w:hAnsi="Times New Roman"/>
          <w:sz w:val="24"/>
          <w:szCs w:val="24"/>
          <w:lang w:val="fr-FR"/>
        </w:rPr>
        <w:t>gadā saņemtas un izmeklētas 23 sūdzības;</w:t>
      </w:r>
    </w:p>
    <w:p w14:paraId="65F558D5" w14:textId="29A9CF2E" w:rsidR="00C965A1" w:rsidRPr="006557B3" w:rsidRDefault="00C965A1" w:rsidP="00907300">
      <w:pPr>
        <w:pStyle w:val="Sarakstarindkopa"/>
        <w:numPr>
          <w:ilvl w:val="1"/>
          <w:numId w:val="38"/>
        </w:numPr>
        <w:tabs>
          <w:tab w:val="left" w:pos="8647"/>
        </w:tabs>
        <w:spacing w:after="0" w:line="240" w:lineRule="auto"/>
        <w:ind w:left="1434" w:hanging="357"/>
        <w:jc w:val="both"/>
        <w:rPr>
          <w:rFonts w:ascii="Times New Roman" w:hAnsi="Times New Roman"/>
          <w:sz w:val="24"/>
          <w:szCs w:val="24"/>
          <w:lang w:val="fr-FR"/>
        </w:rPr>
      </w:pPr>
      <w:r w:rsidRPr="006557B3">
        <w:rPr>
          <w:rFonts w:ascii="Times New Roman" w:hAnsi="Times New Roman"/>
          <w:sz w:val="24"/>
          <w:szCs w:val="24"/>
          <w:lang w:val="fr-FR"/>
        </w:rPr>
        <w:t>2014.</w:t>
      </w:r>
      <w:r w:rsidR="004F11FE">
        <w:rPr>
          <w:rFonts w:ascii="Times New Roman" w:hAnsi="Times New Roman"/>
          <w:sz w:val="24"/>
          <w:szCs w:val="24"/>
          <w:lang w:val="fr-FR"/>
        </w:rPr>
        <w:t xml:space="preserve"> </w:t>
      </w:r>
      <w:r w:rsidRPr="006557B3">
        <w:rPr>
          <w:rFonts w:ascii="Times New Roman" w:hAnsi="Times New Roman"/>
          <w:sz w:val="24"/>
          <w:szCs w:val="24"/>
          <w:lang w:val="fr-FR"/>
        </w:rPr>
        <w:t>gadā saņemtas un izmeklētas 12 sūdzības;</w:t>
      </w:r>
    </w:p>
    <w:p w14:paraId="105DDF77" w14:textId="727DE808" w:rsidR="00C965A1" w:rsidRPr="006557B3" w:rsidRDefault="00C965A1" w:rsidP="00907300">
      <w:pPr>
        <w:pStyle w:val="Sarakstarindkopa"/>
        <w:numPr>
          <w:ilvl w:val="1"/>
          <w:numId w:val="38"/>
        </w:numPr>
        <w:tabs>
          <w:tab w:val="left" w:pos="8647"/>
        </w:tabs>
        <w:spacing w:after="0" w:line="240" w:lineRule="auto"/>
        <w:ind w:left="1434" w:hanging="357"/>
        <w:jc w:val="both"/>
        <w:rPr>
          <w:rFonts w:ascii="Times New Roman" w:hAnsi="Times New Roman"/>
          <w:sz w:val="24"/>
          <w:szCs w:val="24"/>
          <w:lang w:val="fr-FR"/>
        </w:rPr>
      </w:pPr>
      <w:r w:rsidRPr="006557B3">
        <w:rPr>
          <w:rFonts w:ascii="Times New Roman" w:hAnsi="Times New Roman"/>
          <w:sz w:val="24"/>
          <w:szCs w:val="24"/>
          <w:lang w:val="fr-FR"/>
        </w:rPr>
        <w:t>2015.</w:t>
      </w:r>
      <w:r w:rsidR="004F11FE">
        <w:rPr>
          <w:rFonts w:ascii="Times New Roman" w:hAnsi="Times New Roman"/>
          <w:sz w:val="24"/>
          <w:szCs w:val="24"/>
          <w:lang w:val="fr-FR"/>
        </w:rPr>
        <w:t xml:space="preserve"> </w:t>
      </w:r>
      <w:r w:rsidRPr="006557B3">
        <w:rPr>
          <w:rFonts w:ascii="Times New Roman" w:hAnsi="Times New Roman"/>
          <w:sz w:val="24"/>
          <w:szCs w:val="24"/>
          <w:lang w:val="fr-FR"/>
        </w:rPr>
        <w:t>gadā saņemtas un izmeklētas 19 sūdzības.</w:t>
      </w:r>
    </w:p>
    <w:p w14:paraId="5C1EBB51" w14:textId="77777777" w:rsidR="009E7708" w:rsidRPr="006557B3" w:rsidRDefault="009E7708" w:rsidP="00DD4376">
      <w:pPr>
        <w:tabs>
          <w:tab w:val="left" w:pos="8647"/>
        </w:tabs>
        <w:spacing w:after="0"/>
        <w:rPr>
          <w:rFonts w:ascii="Times New Roman" w:hAnsi="Times New Roman" w:cs="Times New Roman"/>
          <w:b/>
          <w:sz w:val="24"/>
          <w:szCs w:val="24"/>
        </w:rPr>
      </w:pPr>
    </w:p>
    <w:p w14:paraId="049B7DE1" w14:textId="0C939933" w:rsidR="002626E6" w:rsidRPr="006557B3" w:rsidRDefault="00B27D1C" w:rsidP="00DD4376">
      <w:pPr>
        <w:tabs>
          <w:tab w:val="left" w:pos="8647"/>
        </w:tabs>
        <w:spacing w:after="0"/>
        <w:rPr>
          <w:rFonts w:ascii="Times New Roman" w:hAnsi="Times New Roman" w:cs="Times New Roman"/>
          <w:b/>
          <w:sz w:val="24"/>
          <w:szCs w:val="24"/>
        </w:rPr>
      </w:pPr>
      <w:r w:rsidRPr="006557B3">
        <w:rPr>
          <w:rFonts w:ascii="Times New Roman" w:hAnsi="Times New Roman" w:cs="Times New Roman"/>
          <w:b/>
          <w:sz w:val="24"/>
          <w:szCs w:val="24"/>
        </w:rPr>
        <w:t>6.5.3.4</w:t>
      </w:r>
      <w:r w:rsidR="00983BB9" w:rsidRPr="006557B3">
        <w:rPr>
          <w:rFonts w:ascii="Times New Roman" w:hAnsi="Times New Roman" w:cs="Times New Roman"/>
          <w:b/>
          <w:sz w:val="24"/>
          <w:szCs w:val="24"/>
        </w:rPr>
        <w:t xml:space="preserve">. Uzņēmumi un </w:t>
      </w:r>
      <w:r w:rsidR="006A279F" w:rsidRPr="006557B3">
        <w:rPr>
          <w:rFonts w:ascii="Times New Roman" w:hAnsi="Times New Roman" w:cs="Times New Roman"/>
          <w:b/>
          <w:sz w:val="24"/>
          <w:szCs w:val="24"/>
        </w:rPr>
        <w:t>kontroles</w:t>
      </w:r>
    </w:p>
    <w:p w14:paraId="5C38DA82" w14:textId="71CE7E21" w:rsidR="00E70123" w:rsidRPr="006557B3" w:rsidRDefault="000D5000" w:rsidP="006B650A">
      <w:pPr>
        <w:tabs>
          <w:tab w:val="left" w:pos="8647"/>
        </w:tabs>
        <w:spacing w:after="0" w:line="240" w:lineRule="auto"/>
        <w:jc w:val="center"/>
        <w:rPr>
          <w:rFonts w:ascii="Times New Roman" w:hAnsi="Times New Roman" w:cs="Times New Roman"/>
          <w:b/>
          <w:bCs/>
          <w:sz w:val="24"/>
          <w:szCs w:val="24"/>
          <w:lang w:val="lv-LV"/>
        </w:rPr>
      </w:pPr>
      <w:r w:rsidRPr="006557B3">
        <w:rPr>
          <w:rFonts w:ascii="Times New Roman" w:hAnsi="Times New Roman" w:cs="Times New Roman"/>
          <w:b/>
          <w:bCs/>
          <w:sz w:val="24"/>
          <w:szCs w:val="24"/>
        </w:rPr>
        <w:t>Pārtikas tirdzniecības</w:t>
      </w:r>
      <w:r w:rsidR="001973A1" w:rsidRPr="006557B3">
        <w:rPr>
          <w:rFonts w:ascii="Times New Roman" w:hAnsi="Times New Roman" w:cs="Times New Roman"/>
          <w:b/>
          <w:bCs/>
          <w:sz w:val="24"/>
          <w:szCs w:val="24"/>
        </w:rPr>
        <w:t xml:space="preserve">, tajā skaitā </w:t>
      </w:r>
      <w:r w:rsidR="00E70123" w:rsidRPr="006557B3">
        <w:rPr>
          <w:rFonts w:ascii="Times New Roman" w:hAnsi="Times New Roman" w:cs="Times New Roman"/>
          <w:b/>
          <w:sz w:val="24"/>
          <w:szCs w:val="24"/>
          <w:lang w:val="lv-LV"/>
        </w:rPr>
        <w:t xml:space="preserve">uztura bagātinātāju </w:t>
      </w:r>
      <w:r w:rsidR="001973A1" w:rsidRPr="006557B3">
        <w:rPr>
          <w:rFonts w:ascii="Times New Roman" w:hAnsi="Times New Roman" w:cs="Times New Roman"/>
          <w:b/>
          <w:bCs/>
          <w:sz w:val="24"/>
          <w:szCs w:val="24"/>
        </w:rPr>
        <w:t>tirdzniecības uzņēmum</w:t>
      </w:r>
      <w:r w:rsidR="00A2728D" w:rsidRPr="006557B3">
        <w:rPr>
          <w:rFonts w:ascii="Times New Roman" w:hAnsi="Times New Roman" w:cs="Times New Roman"/>
          <w:b/>
          <w:bCs/>
          <w:sz w:val="24"/>
          <w:szCs w:val="24"/>
        </w:rPr>
        <w:t>u,</w:t>
      </w:r>
      <w:r w:rsidR="001973A1" w:rsidRPr="006557B3">
        <w:rPr>
          <w:rFonts w:ascii="Times New Roman" w:hAnsi="Times New Roman" w:cs="Times New Roman"/>
          <w:b/>
          <w:bCs/>
          <w:sz w:val="24"/>
          <w:szCs w:val="24"/>
        </w:rPr>
        <w:t xml:space="preserve"> un</w:t>
      </w:r>
      <w:r w:rsidR="00E70123" w:rsidRPr="006557B3">
        <w:rPr>
          <w:rFonts w:ascii="Times New Roman" w:hAnsi="Times New Roman" w:cs="Times New Roman"/>
          <w:b/>
          <w:sz w:val="24"/>
          <w:szCs w:val="24"/>
          <w:lang w:val="lv-LV"/>
        </w:rPr>
        <w:t xml:space="preserve"> </w:t>
      </w:r>
      <w:r w:rsidR="001973A1" w:rsidRPr="006557B3">
        <w:rPr>
          <w:rFonts w:ascii="Times New Roman" w:hAnsi="Times New Roman" w:cs="Times New Roman"/>
          <w:b/>
          <w:sz w:val="24"/>
          <w:szCs w:val="24"/>
          <w:lang w:val="lv-LV"/>
        </w:rPr>
        <w:t xml:space="preserve">uztura bagātinātāju </w:t>
      </w:r>
      <w:r w:rsidRPr="006557B3">
        <w:rPr>
          <w:rFonts w:ascii="Times New Roman" w:hAnsi="Times New Roman" w:cs="Times New Roman"/>
          <w:b/>
          <w:bCs/>
          <w:sz w:val="24"/>
          <w:szCs w:val="24"/>
        </w:rPr>
        <w:t>ražošanas uzņēmumu skait</w:t>
      </w:r>
      <w:r w:rsidR="00E70123" w:rsidRPr="006557B3">
        <w:rPr>
          <w:rFonts w:ascii="Times New Roman" w:hAnsi="Times New Roman" w:cs="Times New Roman"/>
          <w:b/>
          <w:bCs/>
          <w:sz w:val="24"/>
          <w:szCs w:val="24"/>
        </w:rPr>
        <w:t>s</w:t>
      </w:r>
      <w:r w:rsidR="001973A1" w:rsidRPr="006557B3">
        <w:rPr>
          <w:rFonts w:ascii="Times New Roman" w:hAnsi="Times New Roman" w:cs="Times New Roman"/>
          <w:b/>
          <w:bCs/>
          <w:sz w:val="24"/>
          <w:szCs w:val="24"/>
        </w:rPr>
        <w:t xml:space="preserve"> </w:t>
      </w:r>
      <w:r w:rsidR="00E70123" w:rsidRPr="006557B3">
        <w:rPr>
          <w:rFonts w:ascii="Times New Roman" w:hAnsi="Times New Roman" w:cs="Times New Roman"/>
          <w:b/>
          <w:bCs/>
          <w:sz w:val="24"/>
          <w:szCs w:val="24"/>
          <w:lang w:val="lv-LV"/>
        </w:rPr>
        <w:t>laikposmā no 2011.</w:t>
      </w:r>
      <w:r w:rsidR="001173BF">
        <w:rPr>
          <w:rFonts w:ascii="Times New Roman" w:hAnsi="Times New Roman" w:cs="Times New Roman"/>
          <w:b/>
          <w:bCs/>
          <w:sz w:val="24"/>
          <w:szCs w:val="24"/>
          <w:lang w:val="lv-LV"/>
        </w:rPr>
        <w:t xml:space="preserve"> </w:t>
      </w:r>
      <w:r w:rsidR="00E70123" w:rsidRPr="006557B3">
        <w:rPr>
          <w:rFonts w:ascii="Times New Roman" w:hAnsi="Times New Roman" w:cs="Times New Roman"/>
          <w:b/>
          <w:bCs/>
          <w:sz w:val="24"/>
          <w:szCs w:val="24"/>
          <w:lang w:val="lv-LV"/>
        </w:rPr>
        <w:t>gada līdz 2015.</w:t>
      </w:r>
      <w:r w:rsidR="001173BF">
        <w:rPr>
          <w:rFonts w:ascii="Times New Roman" w:hAnsi="Times New Roman" w:cs="Times New Roman"/>
          <w:b/>
          <w:bCs/>
          <w:sz w:val="24"/>
          <w:szCs w:val="24"/>
          <w:lang w:val="lv-LV"/>
        </w:rPr>
        <w:t xml:space="preserve"> </w:t>
      </w:r>
      <w:r w:rsidR="00E70123" w:rsidRPr="006557B3">
        <w:rPr>
          <w:rFonts w:ascii="Times New Roman" w:hAnsi="Times New Roman" w:cs="Times New Roman"/>
          <w:b/>
          <w:bCs/>
          <w:sz w:val="24"/>
          <w:szCs w:val="24"/>
          <w:lang w:val="lv-LV"/>
        </w:rPr>
        <w:t>gadam</w:t>
      </w:r>
      <w:r w:rsidR="008C61CA" w:rsidRPr="006557B3">
        <w:rPr>
          <w:rFonts w:ascii="Times New Roman" w:hAnsi="Times New Roman" w:cs="Times New Roman"/>
          <w:b/>
          <w:bCs/>
          <w:sz w:val="24"/>
          <w:szCs w:val="24"/>
          <w:lang w:val="lv-LV"/>
        </w:rPr>
        <w:t>.</w:t>
      </w:r>
    </w:p>
    <w:tbl>
      <w:tblPr>
        <w:tblW w:w="8810"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3"/>
        <w:gridCol w:w="3183"/>
        <w:gridCol w:w="936"/>
        <w:gridCol w:w="937"/>
        <w:gridCol w:w="937"/>
        <w:gridCol w:w="937"/>
        <w:gridCol w:w="937"/>
      </w:tblGrid>
      <w:tr w:rsidR="000D5000" w:rsidRPr="006557B3" w14:paraId="6FC0C410" w14:textId="77777777" w:rsidTr="000D5000">
        <w:trPr>
          <w:trHeight w:val="585"/>
        </w:trPr>
        <w:tc>
          <w:tcPr>
            <w:tcW w:w="943" w:type="dxa"/>
            <w:vMerge w:val="restart"/>
            <w:shd w:val="clear" w:color="auto" w:fill="auto"/>
            <w:vAlign w:val="center"/>
            <w:hideMark/>
          </w:tcPr>
          <w:p w14:paraId="4A4385DF" w14:textId="77777777"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Nr.p.k.</w:t>
            </w:r>
          </w:p>
        </w:tc>
        <w:tc>
          <w:tcPr>
            <w:tcW w:w="3183" w:type="dxa"/>
            <w:vMerge w:val="restart"/>
            <w:shd w:val="clear" w:color="auto" w:fill="auto"/>
            <w:vAlign w:val="center"/>
            <w:hideMark/>
          </w:tcPr>
          <w:p w14:paraId="1B73A9B6" w14:textId="77777777"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Pārtikas uzņēmumu veidi</w:t>
            </w:r>
          </w:p>
        </w:tc>
        <w:tc>
          <w:tcPr>
            <w:tcW w:w="4684" w:type="dxa"/>
            <w:gridSpan w:val="5"/>
            <w:shd w:val="clear" w:color="auto" w:fill="auto"/>
            <w:vAlign w:val="center"/>
            <w:hideMark/>
          </w:tcPr>
          <w:p w14:paraId="3F425B99" w14:textId="3A86C2BE" w:rsidR="000D5000" w:rsidRPr="000A5851" w:rsidRDefault="000D5000" w:rsidP="00C05C12">
            <w:pPr>
              <w:tabs>
                <w:tab w:val="left" w:pos="8647"/>
              </w:tabs>
              <w:spacing w:after="0"/>
              <w:jc w:val="center"/>
              <w:rPr>
                <w:rFonts w:ascii="Times New Roman" w:hAnsi="Times New Roman" w:cs="Times New Roman"/>
                <w:b/>
                <w:bCs/>
                <w:color w:val="000000"/>
                <w:sz w:val="24"/>
                <w:szCs w:val="24"/>
                <w:lang w:val="en-US" w:eastAsia="lv-LV"/>
              </w:rPr>
            </w:pPr>
            <w:r w:rsidRPr="000A5851">
              <w:rPr>
                <w:rFonts w:ascii="Times New Roman" w:hAnsi="Times New Roman" w:cs="Times New Roman"/>
                <w:b/>
                <w:bCs/>
                <w:color w:val="000000"/>
                <w:sz w:val="24"/>
                <w:szCs w:val="24"/>
                <w:lang w:val="en-US" w:eastAsia="lv-LV"/>
              </w:rPr>
              <w:t>Uzņēmumu skaits (pārskata perioda beigā</w:t>
            </w:r>
            <w:r w:rsidR="008519AC" w:rsidRPr="000A5851">
              <w:rPr>
                <w:rFonts w:ascii="Times New Roman" w:hAnsi="Times New Roman" w:cs="Times New Roman"/>
                <w:b/>
                <w:bCs/>
                <w:color w:val="000000"/>
                <w:sz w:val="24"/>
                <w:szCs w:val="24"/>
                <w:lang w:val="en-US" w:eastAsia="lv-LV"/>
              </w:rPr>
              <w:t>s</w:t>
            </w:r>
            <w:r w:rsidRPr="000A5851">
              <w:rPr>
                <w:rFonts w:ascii="Times New Roman" w:hAnsi="Times New Roman" w:cs="Times New Roman"/>
                <w:b/>
                <w:bCs/>
                <w:color w:val="000000"/>
                <w:sz w:val="24"/>
                <w:szCs w:val="24"/>
                <w:lang w:val="en-US" w:eastAsia="lv-LV"/>
              </w:rPr>
              <w:t>)</w:t>
            </w:r>
          </w:p>
        </w:tc>
      </w:tr>
      <w:tr w:rsidR="000D5000" w:rsidRPr="006557B3" w14:paraId="34F59209" w14:textId="77777777" w:rsidTr="000D5000">
        <w:trPr>
          <w:trHeight w:val="257"/>
        </w:trPr>
        <w:tc>
          <w:tcPr>
            <w:tcW w:w="943" w:type="dxa"/>
            <w:vMerge/>
            <w:vAlign w:val="center"/>
            <w:hideMark/>
          </w:tcPr>
          <w:p w14:paraId="512E7E97" w14:textId="77777777" w:rsidR="000D5000" w:rsidRPr="009501A2" w:rsidRDefault="000D5000" w:rsidP="00C05C12">
            <w:pPr>
              <w:tabs>
                <w:tab w:val="left" w:pos="8647"/>
              </w:tabs>
              <w:spacing w:after="0"/>
              <w:jc w:val="center"/>
              <w:rPr>
                <w:rFonts w:ascii="Times New Roman" w:hAnsi="Times New Roman" w:cs="Times New Roman"/>
                <w:b/>
                <w:bCs/>
                <w:color w:val="000000"/>
                <w:sz w:val="24"/>
                <w:szCs w:val="24"/>
                <w:lang w:val="fi-FI" w:eastAsia="lv-LV"/>
              </w:rPr>
            </w:pPr>
          </w:p>
        </w:tc>
        <w:tc>
          <w:tcPr>
            <w:tcW w:w="3183" w:type="dxa"/>
            <w:vMerge/>
            <w:shd w:val="clear" w:color="auto" w:fill="auto"/>
            <w:noWrap/>
            <w:vAlign w:val="center"/>
            <w:hideMark/>
          </w:tcPr>
          <w:p w14:paraId="7FBB4C88" w14:textId="77777777" w:rsidR="000D5000" w:rsidRPr="009501A2" w:rsidRDefault="000D5000" w:rsidP="00C05C12">
            <w:pPr>
              <w:tabs>
                <w:tab w:val="left" w:pos="8647"/>
              </w:tabs>
              <w:spacing w:after="0"/>
              <w:jc w:val="center"/>
              <w:rPr>
                <w:rFonts w:ascii="Times New Roman" w:hAnsi="Times New Roman" w:cs="Times New Roman"/>
                <w:b/>
                <w:bCs/>
                <w:color w:val="000000"/>
                <w:sz w:val="24"/>
                <w:szCs w:val="24"/>
                <w:lang w:val="fi-FI" w:eastAsia="lv-LV"/>
              </w:rPr>
            </w:pPr>
          </w:p>
        </w:tc>
        <w:tc>
          <w:tcPr>
            <w:tcW w:w="936" w:type="dxa"/>
            <w:shd w:val="clear" w:color="auto" w:fill="auto"/>
            <w:noWrap/>
            <w:vAlign w:val="center"/>
            <w:hideMark/>
          </w:tcPr>
          <w:p w14:paraId="4F73E9E7" w14:textId="1A22A369"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2011</w:t>
            </w:r>
            <w:r w:rsidR="008519AC" w:rsidRPr="006557B3">
              <w:rPr>
                <w:rFonts w:ascii="Times New Roman" w:hAnsi="Times New Roman" w:cs="Times New Roman"/>
                <w:b/>
                <w:bCs/>
                <w:color w:val="000000"/>
                <w:sz w:val="24"/>
                <w:szCs w:val="24"/>
                <w:lang w:eastAsia="lv-LV"/>
              </w:rPr>
              <w:t>.</w:t>
            </w:r>
          </w:p>
        </w:tc>
        <w:tc>
          <w:tcPr>
            <w:tcW w:w="937" w:type="dxa"/>
            <w:shd w:val="clear" w:color="auto" w:fill="auto"/>
            <w:noWrap/>
            <w:vAlign w:val="center"/>
            <w:hideMark/>
          </w:tcPr>
          <w:p w14:paraId="2CE11D5C" w14:textId="3DE3C4F7"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2012</w:t>
            </w:r>
            <w:r w:rsidR="008519AC" w:rsidRPr="006557B3">
              <w:rPr>
                <w:rFonts w:ascii="Times New Roman" w:hAnsi="Times New Roman" w:cs="Times New Roman"/>
                <w:b/>
                <w:bCs/>
                <w:color w:val="000000"/>
                <w:sz w:val="24"/>
                <w:szCs w:val="24"/>
                <w:lang w:eastAsia="lv-LV"/>
              </w:rPr>
              <w:t>.</w:t>
            </w:r>
          </w:p>
        </w:tc>
        <w:tc>
          <w:tcPr>
            <w:tcW w:w="937" w:type="dxa"/>
            <w:shd w:val="clear" w:color="auto" w:fill="auto"/>
            <w:noWrap/>
            <w:vAlign w:val="center"/>
            <w:hideMark/>
          </w:tcPr>
          <w:p w14:paraId="53300F1D" w14:textId="66081F0E"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2013</w:t>
            </w:r>
            <w:r w:rsidR="008519AC" w:rsidRPr="006557B3">
              <w:rPr>
                <w:rFonts w:ascii="Times New Roman" w:hAnsi="Times New Roman" w:cs="Times New Roman"/>
                <w:b/>
                <w:bCs/>
                <w:color w:val="000000"/>
                <w:sz w:val="24"/>
                <w:szCs w:val="24"/>
                <w:lang w:eastAsia="lv-LV"/>
              </w:rPr>
              <w:t>.</w:t>
            </w:r>
          </w:p>
        </w:tc>
        <w:tc>
          <w:tcPr>
            <w:tcW w:w="937" w:type="dxa"/>
            <w:shd w:val="clear" w:color="auto" w:fill="auto"/>
            <w:noWrap/>
            <w:vAlign w:val="center"/>
            <w:hideMark/>
          </w:tcPr>
          <w:p w14:paraId="75C0AA51" w14:textId="470E07F3"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2014</w:t>
            </w:r>
            <w:r w:rsidR="008519AC" w:rsidRPr="006557B3">
              <w:rPr>
                <w:rFonts w:ascii="Times New Roman" w:hAnsi="Times New Roman" w:cs="Times New Roman"/>
                <w:b/>
                <w:bCs/>
                <w:color w:val="000000"/>
                <w:sz w:val="24"/>
                <w:szCs w:val="24"/>
                <w:lang w:eastAsia="lv-LV"/>
              </w:rPr>
              <w:t>.</w:t>
            </w:r>
          </w:p>
        </w:tc>
        <w:tc>
          <w:tcPr>
            <w:tcW w:w="937" w:type="dxa"/>
            <w:shd w:val="clear" w:color="auto" w:fill="auto"/>
            <w:noWrap/>
            <w:vAlign w:val="center"/>
            <w:hideMark/>
          </w:tcPr>
          <w:p w14:paraId="7B52DD02" w14:textId="0053D351"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2015</w:t>
            </w:r>
            <w:r w:rsidR="008519AC" w:rsidRPr="006557B3">
              <w:rPr>
                <w:rFonts w:ascii="Times New Roman" w:hAnsi="Times New Roman" w:cs="Times New Roman"/>
                <w:b/>
                <w:bCs/>
                <w:color w:val="000000"/>
                <w:sz w:val="24"/>
                <w:szCs w:val="24"/>
                <w:lang w:eastAsia="lv-LV"/>
              </w:rPr>
              <w:t>.</w:t>
            </w:r>
          </w:p>
        </w:tc>
      </w:tr>
      <w:tr w:rsidR="000D5000" w:rsidRPr="006557B3" w14:paraId="3CEDDE8A" w14:textId="77777777" w:rsidTr="000D5000">
        <w:trPr>
          <w:trHeight w:val="323"/>
        </w:trPr>
        <w:tc>
          <w:tcPr>
            <w:tcW w:w="943" w:type="dxa"/>
            <w:shd w:val="clear" w:color="auto" w:fill="auto"/>
            <w:noWrap/>
            <w:vAlign w:val="center"/>
            <w:hideMark/>
          </w:tcPr>
          <w:p w14:paraId="4BF023EF"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w:t>
            </w:r>
          </w:p>
        </w:tc>
        <w:tc>
          <w:tcPr>
            <w:tcW w:w="3183" w:type="dxa"/>
            <w:shd w:val="clear" w:color="auto" w:fill="auto"/>
            <w:vAlign w:val="center"/>
            <w:hideMark/>
          </w:tcPr>
          <w:p w14:paraId="569F584C" w14:textId="370FEDA2"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Pārtikas </w:t>
            </w:r>
            <w:r w:rsidR="00A2728D" w:rsidRPr="006557B3">
              <w:rPr>
                <w:rFonts w:ascii="Times New Roman" w:hAnsi="Times New Roman" w:cs="Times New Roman"/>
                <w:color w:val="000000"/>
                <w:sz w:val="24"/>
                <w:szCs w:val="24"/>
                <w:lang w:eastAsia="lv-LV"/>
              </w:rPr>
              <w:t xml:space="preserve">mazumtirdzniecības un vairumtirdzniecības </w:t>
            </w:r>
            <w:r w:rsidRPr="006557B3">
              <w:rPr>
                <w:rFonts w:ascii="Times New Roman" w:hAnsi="Times New Roman" w:cs="Times New Roman"/>
                <w:color w:val="000000"/>
                <w:sz w:val="24"/>
                <w:szCs w:val="24"/>
                <w:lang w:eastAsia="lv-LV"/>
              </w:rPr>
              <w:t xml:space="preserve">uzņēmumi (t.sk. uztura bagātinātāju tirdzniecība) </w:t>
            </w:r>
          </w:p>
        </w:tc>
        <w:tc>
          <w:tcPr>
            <w:tcW w:w="936" w:type="dxa"/>
            <w:shd w:val="clear" w:color="auto" w:fill="auto"/>
            <w:noWrap/>
            <w:vAlign w:val="center"/>
          </w:tcPr>
          <w:p w14:paraId="3A0B3899"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14517</w:t>
            </w:r>
          </w:p>
        </w:tc>
        <w:tc>
          <w:tcPr>
            <w:tcW w:w="937" w:type="dxa"/>
            <w:shd w:val="clear" w:color="auto" w:fill="auto"/>
            <w:noWrap/>
            <w:vAlign w:val="center"/>
          </w:tcPr>
          <w:p w14:paraId="5B870904"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14571</w:t>
            </w:r>
          </w:p>
        </w:tc>
        <w:tc>
          <w:tcPr>
            <w:tcW w:w="937" w:type="dxa"/>
            <w:shd w:val="clear" w:color="auto" w:fill="auto"/>
            <w:noWrap/>
            <w:vAlign w:val="center"/>
          </w:tcPr>
          <w:p w14:paraId="6671CA93"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14697</w:t>
            </w:r>
          </w:p>
        </w:tc>
        <w:tc>
          <w:tcPr>
            <w:tcW w:w="937" w:type="dxa"/>
            <w:shd w:val="clear" w:color="auto" w:fill="auto"/>
            <w:noWrap/>
            <w:vAlign w:val="center"/>
          </w:tcPr>
          <w:p w14:paraId="3675475D"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15011</w:t>
            </w:r>
          </w:p>
        </w:tc>
        <w:tc>
          <w:tcPr>
            <w:tcW w:w="937" w:type="dxa"/>
            <w:shd w:val="clear" w:color="auto" w:fill="auto"/>
            <w:noWrap/>
            <w:vAlign w:val="center"/>
          </w:tcPr>
          <w:p w14:paraId="4C3F8C15"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15273</w:t>
            </w:r>
          </w:p>
        </w:tc>
      </w:tr>
      <w:tr w:rsidR="000D5000" w:rsidRPr="006557B3" w14:paraId="2C67D89B" w14:textId="77777777" w:rsidTr="000D5000">
        <w:trPr>
          <w:trHeight w:val="323"/>
        </w:trPr>
        <w:tc>
          <w:tcPr>
            <w:tcW w:w="943" w:type="dxa"/>
            <w:shd w:val="clear" w:color="auto" w:fill="auto"/>
            <w:noWrap/>
            <w:vAlign w:val="center"/>
          </w:tcPr>
          <w:p w14:paraId="0C7F36F7"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1.1.</w:t>
            </w:r>
          </w:p>
        </w:tc>
        <w:tc>
          <w:tcPr>
            <w:tcW w:w="3183" w:type="dxa"/>
            <w:shd w:val="clear" w:color="auto" w:fill="auto"/>
            <w:vAlign w:val="center"/>
          </w:tcPr>
          <w:p w14:paraId="076C6B9D"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pārtikas izplatīšana internetā un pa pastu</w:t>
            </w:r>
          </w:p>
        </w:tc>
        <w:tc>
          <w:tcPr>
            <w:tcW w:w="936" w:type="dxa"/>
            <w:shd w:val="clear" w:color="auto" w:fill="auto"/>
            <w:noWrap/>
            <w:vAlign w:val="center"/>
          </w:tcPr>
          <w:p w14:paraId="65691D41"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62</w:t>
            </w:r>
          </w:p>
        </w:tc>
        <w:tc>
          <w:tcPr>
            <w:tcW w:w="937" w:type="dxa"/>
            <w:shd w:val="clear" w:color="auto" w:fill="auto"/>
            <w:noWrap/>
            <w:vAlign w:val="center"/>
          </w:tcPr>
          <w:p w14:paraId="0C9441CD"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90</w:t>
            </w:r>
          </w:p>
        </w:tc>
        <w:tc>
          <w:tcPr>
            <w:tcW w:w="937" w:type="dxa"/>
            <w:shd w:val="clear" w:color="auto" w:fill="auto"/>
            <w:noWrap/>
            <w:vAlign w:val="center"/>
          </w:tcPr>
          <w:p w14:paraId="2EACFA44"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130</w:t>
            </w:r>
          </w:p>
        </w:tc>
        <w:tc>
          <w:tcPr>
            <w:tcW w:w="937" w:type="dxa"/>
            <w:shd w:val="clear" w:color="auto" w:fill="auto"/>
            <w:noWrap/>
            <w:vAlign w:val="center"/>
          </w:tcPr>
          <w:p w14:paraId="3D09BD4C"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160</w:t>
            </w:r>
          </w:p>
        </w:tc>
        <w:tc>
          <w:tcPr>
            <w:tcW w:w="937" w:type="dxa"/>
            <w:shd w:val="clear" w:color="auto" w:fill="auto"/>
            <w:noWrap/>
            <w:vAlign w:val="center"/>
          </w:tcPr>
          <w:p w14:paraId="39AFE819"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194</w:t>
            </w:r>
          </w:p>
        </w:tc>
      </w:tr>
      <w:tr w:rsidR="000D5000" w:rsidRPr="006557B3" w14:paraId="3FB373D3" w14:textId="77777777" w:rsidTr="000D5000">
        <w:trPr>
          <w:trHeight w:val="323"/>
        </w:trPr>
        <w:tc>
          <w:tcPr>
            <w:tcW w:w="943" w:type="dxa"/>
            <w:shd w:val="clear" w:color="auto" w:fill="auto"/>
            <w:noWrap/>
            <w:vAlign w:val="center"/>
          </w:tcPr>
          <w:p w14:paraId="26ED7DC3"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1.2.</w:t>
            </w:r>
          </w:p>
        </w:tc>
        <w:tc>
          <w:tcPr>
            <w:tcW w:w="3183" w:type="dxa"/>
            <w:shd w:val="clear" w:color="auto" w:fill="auto"/>
            <w:vAlign w:val="center"/>
          </w:tcPr>
          <w:p w14:paraId="7FFE784E"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pārtikas izplatīšana zāļu lieltirgotavās</w:t>
            </w:r>
          </w:p>
        </w:tc>
        <w:tc>
          <w:tcPr>
            <w:tcW w:w="936" w:type="dxa"/>
            <w:shd w:val="clear" w:color="auto" w:fill="auto"/>
            <w:noWrap/>
            <w:vAlign w:val="center"/>
          </w:tcPr>
          <w:p w14:paraId="605A39B3"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36</w:t>
            </w:r>
          </w:p>
        </w:tc>
        <w:tc>
          <w:tcPr>
            <w:tcW w:w="937" w:type="dxa"/>
            <w:shd w:val="clear" w:color="auto" w:fill="auto"/>
            <w:noWrap/>
            <w:vAlign w:val="center"/>
          </w:tcPr>
          <w:p w14:paraId="0064817E"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47</w:t>
            </w:r>
          </w:p>
        </w:tc>
        <w:tc>
          <w:tcPr>
            <w:tcW w:w="937" w:type="dxa"/>
            <w:shd w:val="clear" w:color="auto" w:fill="auto"/>
            <w:noWrap/>
            <w:vAlign w:val="center"/>
          </w:tcPr>
          <w:p w14:paraId="2AC85CBF"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50</w:t>
            </w:r>
          </w:p>
        </w:tc>
        <w:tc>
          <w:tcPr>
            <w:tcW w:w="937" w:type="dxa"/>
            <w:shd w:val="clear" w:color="auto" w:fill="auto"/>
            <w:noWrap/>
            <w:vAlign w:val="center"/>
          </w:tcPr>
          <w:p w14:paraId="639AD80A"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59</w:t>
            </w:r>
          </w:p>
        </w:tc>
        <w:tc>
          <w:tcPr>
            <w:tcW w:w="937" w:type="dxa"/>
            <w:shd w:val="clear" w:color="auto" w:fill="auto"/>
            <w:noWrap/>
            <w:vAlign w:val="center"/>
          </w:tcPr>
          <w:p w14:paraId="465ED8E4"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66</w:t>
            </w:r>
          </w:p>
        </w:tc>
      </w:tr>
      <w:tr w:rsidR="000D5000" w:rsidRPr="006557B3" w14:paraId="40C067B2" w14:textId="77777777" w:rsidTr="000D5000">
        <w:trPr>
          <w:trHeight w:val="323"/>
        </w:trPr>
        <w:tc>
          <w:tcPr>
            <w:tcW w:w="943" w:type="dxa"/>
            <w:shd w:val="clear" w:color="auto" w:fill="auto"/>
            <w:noWrap/>
            <w:vAlign w:val="center"/>
          </w:tcPr>
          <w:p w14:paraId="626F4D0D"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1.3.</w:t>
            </w:r>
          </w:p>
        </w:tc>
        <w:tc>
          <w:tcPr>
            <w:tcW w:w="3183" w:type="dxa"/>
            <w:shd w:val="clear" w:color="auto" w:fill="auto"/>
            <w:vAlign w:val="center"/>
          </w:tcPr>
          <w:p w14:paraId="62EBDF09"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pārtikas izplatīšana aptiekās</w:t>
            </w:r>
          </w:p>
        </w:tc>
        <w:tc>
          <w:tcPr>
            <w:tcW w:w="936" w:type="dxa"/>
            <w:shd w:val="clear" w:color="auto" w:fill="auto"/>
            <w:noWrap/>
            <w:vAlign w:val="center"/>
          </w:tcPr>
          <w:p w14:paraId="0DD84B04"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884</w:t>
            </w:r>
          </w:p>
        </w:tc>
        <w:tc>
          <w:tcPr>
            <w:tcW w:w="937" w:type="dxa"/>
            <w:shd w:val="clear" w:color="auto" w:fill="auto"/>
            <w:noWrap/>
            <w:vAlign w:val="center"/>
          </w:tcPr>
          <w:p w14:paraId="3DC29DC3"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886</w:t>
            </w:r>
          </w:p>
        </w:tc>
        <w:tc>
          <w:tcPr>
            <w:tcW w:w="937" w:type="dxa"/>
            <w:shd w:val="clear" w:color="auto" w:fill="auto"/>
            <w:noWrap/>
            <w:vAlign w:val="center"/>
          </w:tcPr>
          <w:p w14:paraId="6E2B1C5A"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883</w:t>
            </w:r>
          </w:p>
        </w:tc>
        <w:tc>
          <w:tcPr>
            <w:tcW w:w="937" w:type="dxa"/>
            <w:shd w:val="clear" w:color="auto" w:fill="auto"/>
            <w:noWrap/>
            <w:vAlign w:val="center"/>
          </w:tcPr>
          <w:p w14:paraId="06EB92B9"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884</w:t>
            </w:r>
          </w:p>
        </w:tc>
        <w:tc>
          <w:tcPr>
            <w:tcW w:w="937" w:type="dxa"/>
            <w:shd w:val="clear" w:color="auto" w:fill="auto"/>
            <w:noWrap/>
            <w:vAlign w:val="center"/>
          </w:tcPr>
          <w:p w14:paraId="16687796"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884</w:t>
            </w:r>
          </w:p>
        </w:tc>
      </w:tr>
      <w:tr w:rsidR="000D5000" w:rsidRPr="006557B3" w14:paraId="67AAC5D4" w14:textId="77777777" w:rsidTr="000D5000">
        <w:trPr>
          <w:trHeight w:val="323"/>
        </w:trPr>
        <w:tc>
          <w:tcPr>
            <w:tcW w:w="943" w:type="dxa"/>
            <w:shd w:val="clear" w:color="auto" w:fill="auto"/>
            <w:noWrap/>
            <w:vAlign w:val="center"/>
          </w:tcPr>
          <w:p w14:paraId="3056E5F7"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w:t>
            </w:r>
          </w:p>
        </w:tc>
        <w:tc>
          <w:tcPr>
            <w:tcW w:w="3183" w:type="dxa"/>
            <w:shd w:val="clear" w:color="auto" w:fill="auto"/>
            <w:vAlign w:val="center"/>
          </w:tcPr>
          <w:p w14:paraId="10C10774"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Uztura bagātinātāju ražošana</w:t>
            </w:r>
          </w:p>
        </w:tc>
        <w:tc>
          <w:tcPr>
            <w:tcW w:w="936" w:type="dxa"/>
            <w:shd w:val="clear" w:color="auto" w:fill="auto"/>
            <w:noWrap/>
            <w:vAlign w:val="center"/>
          </w:tcPr>
          <w:p w14:paraId="5847B4FF"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27</w:t>
            </w:r>
          </w:p>
        </w:tc>
        <w:tc>
          <w:tcPr>
            <w:tcW w:w="937" w:type="dxa"/>
            <w:shd w:val="clear" w:color="auto" w:fill="auto"/>
            <w:noWrap/>
            <w:vAlign w:val="center"/>
          </w:tcPr>
          <w:p w14:paraId="51F77BE5"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28</w:t>
            </w:r>
          </w:p>
        </w:tc>
        <w:tc>
          <w:tcPr>
            <w:tcW w:w="937" w:type="dxa"/>
            <w:shd w:val="clear" w:color="auto" w:fill="auto"/>
            <w:noWrap/>
            <w:vAlign w:val="center"/>
          </w:tcPr>
          <w:p w14:paraId="1E58D131"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33</w:t>
            </w:r>
          </w:p>
        </w:tc>
        <w:tc>
          <w:tcPr>
            <w:tcW w:w="937" w:type="dxa"/>
            <w:shd w:val="clear" w:color="auto" w:fill="auto"/>
            <w:noWrap/>
            <w:vAlign w:val="center"/>
          </w:tcPr>
          <w:p w14:paraId="505E05D6"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31</w:t>
            </w:r>
          </w:p>
        </w:tc>
        <w:tc>
          <w:tcPr>
            <w:tcW w:w="937" w:type="dxa"/>
            <w:shd w:val="clear" w:color="auto" w:fill="auto"/>
            <w:noWrap/>
            <w:vAlign w:val="center"/>
          </w:tcPr>
          <w:p w14:paraId="4212D60F" w14:textId="77777777" w:rsidR="000D5000" w:rsidRPr="006557B3" w:rsidRDefault="000D5000" w:rsidP="00C05C12">
            <w:pPr>
              <w:tabs>
                <w:tab w:val="left" w:pos="8647"/>
              </w:tabs>
              <w:spacing w:after="0"/>
              <w:jc w:val="center"/>
              <w:rPr>
                <w:rFonts w:ascii="Times New Roman" w:hAnsi="Times New Roman" w:cs="Times New Roman"/>
                <w:bCs/>
                <w:color w:val="000000"/>
                <w:sz w:val="24"/>
                <w:szCs w:val="24"/>
                <w:lang w:eastAsia="lv-LV"/>
              </w:rPr>
            </w:pPr>
            <w:r w:rsidRPr="006557B3">
              <w:rPr>
                <w:rFonts w:ascii="Times New Roman" w:hAnsi="Times New Roman" w:cs="Times New Roman"/>
                <w:bCs/>
                <w:color w:val="000000"/>
                <w:sz w:val="24"/>
                <w:szCs w:val="24"/>
                <w:lang w:eastAsia="lv-LV"/>
              </w:rPr>
              <w:t>37</w:t>
            </w:r>
          </w:p>
        </w:tc>
      </w:tr>
    </w:tbl>
    <w:p w14:paraId="04CC22AD" w14:textId="6D537C05" w:rsidR="00C57450" w:rsidRPr="006557B3" w:rsidRDefault="00C57450" w:rsidP="00C57450">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2015.gadā PVD uzskaitē un uzraudzībā bija iekļauti 15 273 pārtikas tirdzniecības uzņēmumi un 37 uztura bagātinātāju ražošanas uzņēmumi. </w:t>
      </w:r>
    </w:p>
    <w:p w14:paraId="09E63143" w14:textId="77777777" w:rsidR="00EA52A9" w:rsidRPr="006557B3" w:rsidRDefault="00EA52A9" w:rsidP="00C57450">
      <w:pPr>
        <w:tabs>
          <w:tab w:val="left" w:pos="8647"/>
        </w:tabs>
        <w:spacing w:after="0" w:line="240" w:lineRule="auto"/>
        <w:ind w:firstLine="709"/>
        <w:jc w:val="both"/>
        <w:rPr>
          <w:rFonts w:ascii="Times New Roman" w:hAnsi="Times New Roman" w:cs="Times New Roman"/>
          <w:sz w:val="24"/>
          <w:szCs w:val="24"/>
          <w:lang w:val="lv-LV"/>
        </w:rPr>
      </w:pPr>
    </w:p>
    <w:p w14:paraId="7548D322" w14:textId="6E165CAC" w:rsidR="000D5000" w:rsidRPr="006557B3" w:rsidRDefault="000D5000" w:rsidP="00C05C12">
      <w:pPr>
        <w:tabs>
          <w:tab w:val="left" w:pos="8647"/>
        </w:tabs>
        <w:spacing w:after="0" w:line="240" w:lineRule="auto"/>
        <w:jc w:val="center"/>
        <w:rPr>
          <w:rFonts w:ascii="Times New Roman" w:hAnsi="Times New Roman" w:cs="Times New Roman"/>
          <w:b/>
          <w:bCs/>
          <w:sz w:val="24"/>
          <w:szCs w:val="24"/>
          <w:lang w:val="lv-LV"/>
        </w:rPr>
      </w:pPr>
      <w:r w:rsidRPr="006557B3">
        <w:rPr>
          <w:rFonts w:ascii="Times New Roman" w:hAnsi="Times New Roman" w:cs="Times New Roman"/>
          <w:b/>
          <w:bCs/>
          <w:sz w:val="24"/>
          <w:szCs w:val="24"/>
          <w:lang w:val="lv-LV"/>
        </w:rPr>
        <w:t xml:space="preserve">Uztura bagātinātāju uzņēmumu </w:t>
      </w:r>
      <w:r w:rsidR="00ED69B2" w:rsidRPr="006557B3">
        <w:rPr>
          <w:rFonts w:ascii="Times New Roman" w:hAnsi="Times New Roman" w:cs="Times New Roman"/>
          <w:b/>
          <w:bCs/>
          <w:sz w:val="24"/>
          <w:szCs w:val="24"/>
          <w:lang w:val="lv-LV"/>
        </w:rPr>
        <w:t>kontroles</w:t>
      </w:r>
      <w:r w:rsidR="00CC58F3" w:rsidRPr="006557B3">
        <w:rPr>
          <w:rFonts w:ascii="Times New Roman" w:hAnsi="Times New Roman" w:cs="Times New Roman"/>
          <w:b/>
          <w:bCs/>
          <w:sz w:val="24"/>
          <w:szCs w:val="24"/>
          <w:lang w:val="lv-LV"/>
        </w:rPr>
        <w:t xml:space="preserve"> laikposmā no 2011.gada līdz 2015.gadam</w:t>
      </w:r>
      <w:r w:rsidRPr="006557B3">
        <w:rPr>
          <w:rFonts w:ascii="Times New Roman" w:hAnsi="Times New Roman" w:cs="Times New Roman"/>
          <w:b/>
          <w:bCs/>
          <w:sz w:val="24"/>
          <w:szCs w:val="24"/>
          <w:lang w:val="lv-LV"/>
        </w:rPr>
        <w:t>*</w:t>
      </w:r>
    </w:p>
    <w:p w14:paraId="5EFC8738" w14:textId="77777777" w:rsidR="00EA52A9" w:rsidRPr="006557B3" w:rsidRDefault="00EA52A9" w:rsidP="00C05C12">
      <w:pPr>
        <w:tabs>
          <w:tab w:val="left" w:pos="8647"/>
        </w:tabs>
        <w:spacing w:after="0" w:line="240" w:lineRule="auto"/>
        <w:jc w:val="center"/>
        <w:rPr>
          <w:rFonts w:ascii="Times New Roman" w:hAnsi="Times New Roman" w:cs="Times New Roman"/>
          <w:b/>
          <w:bCs/>
          <w:sz w:val="24"/>
          <w:szCs w:val="24"/>
          <w:lang w:val="lv-LV"/>
        </w:rPr>
      </w:pPr>
    </w:p>
    <w:tbl>
      <w:tblPr>
        <w:tblW w:w="8803"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0"/>
        <w:gridCol w:w="3166"/>
        <w:gridCol w:w="850"/>
        <w:gridCol w:w="992"/>
        <w:gridCol w:w="993"/>
        <w:gridCol w:w="992"/>
        <w:gridCol w:w="850"/>
      </w:tblGrid>
      <w:tr w:rsidR="000D5000" w:rsidRPr="006557B3" w14:paraId="6BE2CF07" w14:textId="77777777" w:rsidTr="000D5000">
        <w:trPr>
          <w:trHeight w:val="315"/>
        </w:trPr>
        <w:tc>
          <w:tcPr>
            <w:tcW w:w="960" w:type="dxa"/>
            <w:vMerge w:val="restart"/>
            <w:shd w:val="clear" w:color="auto" w:fill="auto"/>
            <w:noWrap/>
            <w:vAlign w:val="center"/>
            <w:hideMark/>
          </w:tcPr>
          <w:p w14:paraId="65FD4A8E" w14:textId="77777777" w:rsidR="000D5000" w:rsidRPr="006557B3" w:rsidRDefault="000D5000" w:rsidP="00C05C12">
            <w:pPr>
              <w:tabs>
                <w:tab w:val="left" w:pos="8647"/>
              </w:tabs>
              <w:spacing w:after="0"/>
              <w:jc w:val="center"/>
              <w:rPr>
                <w:rFonts w:ascii="Times New Roman" w:hAnsi="Times New Roman" w:cs="Times New Roman"/>
                <w:b/>
                <w:bCs/>
                <w:color w:val="000000"/>
                <w:sz w:val="24"/>
                <w:szCs w:val="24"/>
                <w:lang w:val="lv-LV" w:eastAsia="lv-LV"/>
              </w:rPr>
            </w:pPr>
          </w:p>
          <w:p w14:paraId="41222944" w14:textId="77777777"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Nr. p.k.</w:t>
            </w:r>
          </w:p>
        </w:tc>
        <w:tc>
          <w:tcPr>
            <w:tcW w:w="3166" w:type="dxa"/>
            <w:vMerge w:val="restart"/>
            <w:shd w:val="clear" w:color="auto" w:fill="auto"/>
            <w:noWrap/>
            <w:vAlign w:val="center"/>
            <w:hideMark/>
          </w:tcPr>
          <w:p w14:paraId="5695DCF5" w14:textId="77777777"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p>
          <w:p w14:paraId="4E4A993D" w14:textId="77777777"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Pārtikas uzņēmumu veidi</w:t>
            </w:r>
          </w:p>
        </w:tc>
        <w:tc>
          <w:tcPr>
            <w:tcW w:w="4677" w:type="dxa"/>
            <w:gridSpan w:val="5"/>
            <w:shd w:val="clear" w:color="auto" w:fill="auto"/>
            <w:vAlign w:val="center"/>
            <w:hideMark/>
          </w:tcPr>
          <w:p w14:paraId="1EE5AB21" w14:textId="1F051E44" w:rsidR="000D5000" w:rsidRPr="006557B3" w:rsidRDefault="000D5000" w:rsidP="00ED69B2">
            <w:pPr>
              <w:tabs>
                <w:tab w:val="left" w:pos="8647"/>
              </w:tabs>
              <w:spacing w:after="0"/>
              <w:jc w:val="center"/>
              <w:rPr>
                <w:rFonts w:ascii="Times New Roman" w:hAnsi="Times New Roman" w:cs="Times New Roman"/>
                <w:b/>
                <w:bCs/>
                <w:sz w:val="24"/>
                <w:szCs w:val="24"/>
                <w:lang w:eastAsia="lv-LV"/>
              </w:rPr>
            </w:pPr>
            <w:r w:rsidRPr="006557B3">
              <w:rPr>
                <w:rFonts w:ascii="Times New Roman" w:hAnsi="Times New Roman" w:cs="Times New Roman"/>
                <w:b/>
                <w:bCs/>
                <w:sz w:val="24"/>
                <w:szCs w:val="24"/>
                <w:lang w:eastAsia="lv-LV"/>
              </w:rPr>
              <w:t xml:space="preserve">Kopējais </w:t>
            </w:r>
            <w:r w:rsidR="00ED69B2" w:rsidRPr="006557B3">
              <w:rPr>
                <w:rFonts w:ascii="Times New Roman" w:hAnsi="Times New Roman" w:cs="Times New Roman"/>
                <w:b/>
                <w:bCs/>
                <w:sz w:val="24"/>
                <w:szCs w:val="24"/>
                <w:lang w:eastAsia="lv-LV"/>
              </w:rPr>
              <w:t>kontroļu</w:t>
            </w:r>
            <w:r w:rsidRPr="006557B3">
              <w:rPr>
                <w:rFonts w:ascii="Times New Roman" w:hAnsi="Times New Roman" w:cs="Times New Roman"/>
                <w:b/>
                <w:bCs/>
                <w:sz w:val="24"/>
                <w:szCs w:val="24"/>
                <w:lang w:eastAsia="lv-LV"/>
              </w:rPr>
              <w:t xml:space="preserve"> skaits</w:t>
            </w:r>
          </w:p>
        </w:tc>
      </w:tr>
      <w:tr w:rsidR="000D5000" w:rsidRPr="006557B3" w14:paraId="77505A1D" w14:textId="77777777" w:rsidTr="000D5000">
        <w:trPr>
          <w:trHeight w:val="247"/>
        </w:trPr>
        <w:tc>
          <w:tcPr>
            <w:tcW w:w="960" w:type="dxa"/>
            <w:vMerge/>
            <w:shd w:val="clear" w:color="auto" w:fill="auto"/>
            <w:vAlign w:val="center"/>
            <w:hideMark/>
          </w:tcPr>
          <w:p w14:paraId="772D28AA" w14:textId="77777777"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p>
        </w:tc>
        <w:tc>
          <w:tcPr>
            <w:tcW w:w="3166" w:type="dxa"/>
            <w:vMerge/>
            <w:shd w:val="clear" w:color="auto" w:fill="auto"/>
            <w:vAlign w:val="center"/>
            <w:hideMark/>
          </w:tcPr>
          <w:p w14:paraId="1A7DFBF8" w14:textId="77777777"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p>
        </w:tc>
        <w:tc>
          <w:tcPr>
            <w:tcW w:w="850" w:type="dxa"/>
            <w:shd w:val="clear" w:color="auto" w:fill="auto"/>
            <w:vAlign w:val="center"/>
            <w:hideMark/>
          </w:tcPr>
          <w:p w14:paraId="6E381675" w14:textId="537672F8"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2011</w:t>
            </w:r>
            <w:r w:rsidR="00A2728D" w:rsidRPr="006557B3">
              <w:rPr>
                <w:rFonts w:ascii="Times New Roman" w:hAnsi="Times New Roman" w:cs="Times New Roman"/>
                <w:b/>
                <w:bCs/>
                <w:color w:val="000000"/>
                <w:sz w:val="24"/>
                <w:szCs w:val="24"/>
                <w:lang w:eastAsia="lv-LV"/>
              </w:rPr>
              <w:t>.</w:t>
            </w:r>
          </w:p>
        </w:tc>
        <w:tc>
          <w:tcPr>
            <w:tcW w:w="992" w:type="dxa"/>
            <w:shd w:val="clear" w:color="auto" w:fill="auto"/>
            <w:vAlign w:val="center"/>
            <w:hideMark/>
          </w:tcPr>
          <w:p w14:paraId="78C27DA3" w14:textId="0225695E"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2012</w:t>
            </w:r>
            <w:r w:rsidR="00A2728D" w:rsidRPr="006557B3">
              <w:rPr>
                <w:rFonts w:ascii="Times New Roman" w:hAnsi="Times New Roman" w:cs="Times New Roman"/>
                <w:b/>
                <w:bCs/>
                <w:color w:val="000000"/>
                <w:sz w:val="24"/>
                <w:szCs w:val="24"/>
                <w:lang w:eastAsia="lv-LV"/>
              </w:rPr>
              <w:t>.</w:t>
            </w:r>
          </w:p>
        </w:tc>
        <w:tc>
          <w:tcPr>
            <w:tcW w:w="993" w:type="dxa"/>
            <w:shd w:val="clear" w:color="auto" w:fill="auto"/>
            <w:vAlign w:val="center"/>
            <w:hideMark/>
          </w:tcPr>
          <w:p w14:paraId="585ACF39" w14:textId="7047E362"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2013</w:t>
            </w:r>
            <w:r w:rsidR="00A2728D" w:rsidRPr="006557B3">
              <w:rPr>
                <w:rFonts w:ascii="Times New Roman" w:hAnsi="Times New Roman" w:cs="Times New Roman"/>
                <w:b/>
                <w:bCs/>
                <w:color w:val="000000"/>
                <w:sz w:val="24"/>
                <w:szCs w:val="24"/>
                <w:lang w:eastAsia="lv-LV"/>
              </w:rPr>
              <w:t>.</w:t>
            </w:r>
          </w:p>
        </w:tc>
        <w:tc>
          <w:tcPr>
            <w:tcW w:w="992" w:type="dxa"/>
            <w:shd w:val="clear" w:color="auto" w:fill="auto"/>
            <w:vAlign w:val="center"/>
            <w:hideMark/>
          </w:tcPr>
          <w:p w14:paraId="2ECCA509" w14:textId="10EB1534"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2014</w:t>
            </w:r>
            <w:r w:rsidR="00A2728D" w:rsidRPr="006557B3">
              <w:rPr>
                <w:rFonts w:ascii="Times New Roman" w:hAnsi="Times New Roman" w:cs="Times New Roman"/>
                <w:b/>
                <w:bCs/>
                <w:color w:val="000000"/>
                <w:sz w:val="24"/>
                <w:szCs w:val="24"/>
                <w:lang w:eastAsia="lv-LV"/>
              </w:rPr>
              <w:t>.</w:t>
            </w:r>
          </w:p>
        </w:tc>
        <w:tc>
          <w:tcPr>
            <w:tcW w:w="850" w:type="dxa"/>
            <w:shd w:val="clear" w:color="auto" w:fill="auto"/>
            <w:vAlign w:val="center"/>
            <w:hideMark/>
          </w:tcPr>
          <w:p w14:paraId="7BE41040" w14:textId="259913D4" w:rsidR="000D5000" w:rsidRPr="006557B3" w:rsidRDefault="000D5000" w:rsidP="00C05C12">
            <w:pPr>
              <w:tabs>
                <w:tab w:val="left" w:pos="8647"/>
              </w:tabs>
              <w:spacing w:after="0"/>
              <w:jc w:val="center"/>
              <w:rPr>
                <w:rFonts w:ascii="Times New Roman" w:hAnsi="Times New Roman" w:cs="Times New Roman"/>
                <w:b/>
                <w:bCs/>
                <w:sz w:val="24"/>
                <w:szCs w:val="24"/>
                <w:lang w:eastAsia="lv-LV"/>
              </w:rPr>
            </w:pPr>
            <w:r w:rsidRPr="006557B3">
              <w:rPr>
                <w:rFonts w:ascii="Times New Roman" w:hAnsi="Times New Roman" w:cs="Times New Roman"/>
                <w:b/>
                <w:bCs/>
                <w:sz w:val="24"/>
                <w:szCs w:val="24"/>
                <w:lang w:eastAsia="lv-LV"/>
              </w:rPr>
              <w:t>2015</w:t>
            </w:r>
            <w:r w:rsidR="00A2728D" w:rsidRPr="006557B3">
              <w:rPr>
                <w:rFonts w:ascii="Times New Roman" w:hAnsi="Times New Roman" w:cs="Times New Roman"/>
                <w:b/>
                <w:bCs/>
                <w:sz w:val="24"/>
                <w:szCs w:val="24"/>
                <w:lang w:eastAsia="lv-LV"/>
              </w:rPr>
              <w:t>.</w:t>
            </w:r>
          </w:p>
        </w:tc>
      </w:tr>
      <w:tr w:rsidR="000D5000" w:rsidRPr="006557B3" w14:paraId="27C65971" w14:textId="77777777" w:rsidTr="000D5000">
        <w:trPr>
          <w:trHeight w:val="369"/>
        </w:trPr>
        <w:tc>
          <w:tcPr>
            <w:tcW w:w="960" w:type="dxa"/>
            <w:shd w:val="clear" w:color="auto" w:fill="auto"/>
            <w:vAlign w:val="center"/>
            <w:hideMark/>
          </w:tcPr>
          <w:p w14:paraId="609DF5E8"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w:t>
            </w:r>
          </w:p>
        </w:tc>
        <w:tc>
          <w:tcPr>
            <w:tcW w:w="3166" w:type="dxa"/>
            <w:shd w:val="clear" w:color="auto" w:fill="auto"/>
            <w:vAlign w:val="center"/>
            <w:hideMark/>
          </w:tcPr>
          <w:p w14:paraId="26EFAA5D" w14:textId="4C469904"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 xml:space="preserve">Pārtikas tirdzniecība uzņēmumi (t.sk. uztura bagātinātāju tirdzniecība) </w:t>
            </w:r>
            <w:r w:rsidRPr="006557B3">
              <w:rPr>
                <w:rFonts w:ascii="Times New Roman" w:hAnsi="Times New Roman" w:cs="Times New Roman"/>
                <w:color w:val="000000"/>
                <w:sz w:val="24"/>
                <w:szCs w:val="24"/>
                <w:lang w:eastAsia="lv-LV"/>
              </w:rPr>
              <w:lastRenderedPageBreak/>
              <w:t>mazum</w:t>
            </w:r>
            <w:r w:rsidR="000A5851">
              <w:rPr>
                <w:rFonts w:ascii="Times New Roman" w:hAnsi="Times New Roman" w:cs="Times New Roman"/>
                <w:color w:val="000000"/>
                <w:sz w:val="24"/>
                <w:szCs w:val="24"/>
                <w:lang w:eastAsia="lv-LV"/>
              </w:rPr>
              <w:t xml:space="preserve">tirdzniecība </w:t>
            </w:r>
            <w:r w:rsidRPr="006557B3">
              <w:rPr>
                <w:rFonts w:ascii="Times New Roman" w:hAnsi="Times New Roman" w:cs="Times New Roman"/>
                <w:color w:val="000000"/>
                <w:sz w:val="24"/>
                <w:szCs w:val="24"/>
                <w:lang w:eastAsia="lv-LV"/>
              </w:rPr>
              <w:t>un vairumtirdzniecība</w:t>
            </w:r>
            <w:r w:rsidR="000A5851">
              <w:rPr>
                <w:rFonts w:ascii="Times New Roman" w:hAnsi="Times New Roman" w:cs="Times New Roman"/>
                <w:color w:val="000000"/>
                <w:sz w:val="24"/>
                <w:szCs w:val="24"/>
                <w:lang w:eastAsia="lv-LV"/>
              </w:rPr>
              <w:t>,</w:t>
            </w:r>
            <w:r w:rsidRPr="006557B3">
              <w:rPr>
                <w:rFonts w:ascii="Times New Roman" w:hAnsi="Times New Roman" w:cs="Times New Roman"/>
                <w:color w:val="000000"/>
                <w:sz w:val="24"/>
                <w:szCs w:val="24"/>
                <w:lang w:eastAsia="lv-LV"/>
              </w:rPr>
              <w:t xml:space="preserve"> t.sk.</w:t>
            </w:r>
          </w:p>
        </w:tc>
        <w:tc>
          <w:tcPr>
            <w:tcW w:w="850" w:type="dxa"/>
            <w:shd w:val="clear" w:color="auto" w:fill="auto"/>
            <w:vAlign w:val="center"/>
          </w:tcPr>
          <w:p w14:paraId="53676689"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lastRenderedPageBreak/>
              <w:t>19306</w:t>
            </w:r>
          </w:p>
        </w:tc>
        <w:tc>
          <w:tcPr>
            <w:tcW w:w="992" w:type="dxa"/>
            <w:shd w:val="clear" w:color="auto" w:fill="auto"/>
            <w:vAlign w:val="center"/>
          </w:tcPr>
          <w:p w14:paraId="40D56AD0"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18243</w:t>
            </w:r>
          </w:p>
        </w:tc>
        <w:tc>
          <w:tcPr>
            <w:tcW w:w="993" w:type="dxa"/>
            <w:shd w:val="clear" w:color="auto" w:fill="auto"/>
            <w:vAlign w:val="center"/>
          </w:tcPr>
          <w:p w14:paraId="566F8D9F"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16961</w:t>
            </w:r>
          </w:p>
        </w:tc>
        <w:tc>
          <w:tcPr>
            <w:tcW w:w="992" w:type="dxa"/>
            <w:shd w:val="clear" w:color="auto" w:fill="auto"/>
            <w:vAlign w:val="center"/>
          </w:tcPr>
          <w:p w14:paraId="1098E15C"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16990</w:t>
            </w:r>
          </w:p>
        </w:tc>
        <w:tc>
          <w:tcPr>
            <w:tcW w:w="850" w:type="dxa"/>
            <w:shd w:val="clear" w:color="auto" w:fill="auto"/>
            <w:vAlign w:val="center"/>
          </w:tcPr>
          <w:p w14:paraId="540A3CAB"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14911</w:t>
            </w:r>
          </w:p>
        </w:tc>
      </w:tr>
      <w:tr w:rsidR="000D5000" w:rsidRPr="006557B3" w14:paraId="66AAD1FE" w14:textId="77777777" w:rsidTr="000D5000">
        <w:trPr>
          <w:trHeight w:val="369"/>
        </w:trPr>
        <w:tc>
          <w:tcPr>
            <w:tcW w:w="960" w:type="dxa"/>
            <w:shd w:val="clear" w:color="auto" w:fill="auto"/>
            <w:vAlign w:val="center"/>
          </w:tcPr>
          <w:p w14:paraId="7F621E69"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1.1.</w:t>
            </w:r>
          </w:p>
        </w:tc>
        <w:tc>
          <w:tcPr>
            <w:tcW w:w="3166" w:type="dxa"/>
            <w:shd w:val="clear" w:color="auto" w:fill="auto"/>
            <w:vAlign w:val="center"/>
          </w:tcPr>
          <w:p w14:paraId="7235A498"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pārtikas izplatīšana internetā un pa pastu</w:t>
            </w:r>
          </w:p>
        </w:tc>
        <w:tc>
          <w:tcPr>
            <w:tcW w:w="850" w:type="dxa"/>
            <w:shd w:val="clear" w:color="auto" w:fill="auto"/>
            <w:vAlign w:val="center"/>
          </w:tcPr>
          <w:p w14:paraId="0EF83E34"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32</w:t>
            </w:r>
          </w:p>
        </w:tc>
        <w:tc>
          <w:tcPr>
            <w:tcW w:w="992" w:type="dxa"/>
            <w:shd w:val="clear" w:color="auto" w:fill="auto"/>
            <w:vAlign w:val="center"/>
          </w:tcPr>
          <w:p w14:paraId="6477026B"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62</w:t>
            </w:r>
          </w:p>
        </w:tc>
        <w:tc>
          <w:tcPr>
            <w:tcW w:w="993" w:type="dxa"/>
            <w:shd w:val="clear" w:color="auto" w:fill="auto"/>
            <w:vAlign w:val="center"/>
          </w:tcPr>
          <w:p w14:paraId="44A49F2F"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49</w:t>
            </w:r>
          </w:p>
        </w:tc>
        <w:tc>
          <w:tcPr>
            <w:tcW w:w="992" w:type="dxa"/>
            <w:shd w:val="clear" w:color="auto" w:fill="auto"/>
            <w:vAlign w:val="center"/>
          </w:tcPr>
          <w:p w14:paraId="7A7B9F85"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50</w:t>
            </w:r>
          </w:p>
        </w:tc>
        <w:tc>
          <w:tcPr>
            <w:tcW w:w="850" w:type="dxa"/>
            <w:shd w:val="clear" w:color="auto" w:fill="auto"/>
            <w:vAlign w:val="center"/>
          </w:tcPr>
          <w:p w14:paraId="73A39C29"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29</w:t>
            </w:r>
          </w:p>
        </w:tc>
      </w:tr>
      <w:tr w:rsidR="000D5000" w:rsidRPr="006557B3" w14:paraId="4800CFA5" w14:textId="77777777" w:rsidTr="000D5000">
        <w:trPr>
          <w:trHeight w:val="369"/>
        </w:trPr>
        <w:tc>
          <w:tcPr>
            <w:tcW w:w="960" w:type="dxa"/>
            <w:shd w:val="clear" w:color="auto" w:fill="auto"/>
            <w:vAlign w:val="center"/>
          </w:tcPr>
          <w:p w14:paraId="4246FC47"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1.2.</w:t>
            </w:r>
          </w:p>
        </w:tc>
        <w:tc>
          <w:tcPr>
            <w:tcW w:w="3166" w:type="dxa"/>
            <w:shd w:val="clear" w:color="auto" w:fill="auto"/>
            <w:vAlign w:val="center"/>
          </w:tcPr>
          <w:p w14:paraId="38490510"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pārtikas izplatīšana zāļu lieltirgotavās</w:t>
            </w:r>
          </w:p>
        </w:tc>
        <w:tc>
          <w:tcPr>
            <w:tcW w:w="850" w:type="dxa"/>
            <w:shd w:val="clear" w:color="auto" w:fill="auto"/>
            <w:vAlign w:val="center"/>
          </w:tcPr>
          <w:p w14:paraId="64540569"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34</w:t>
            </w:r>
          </w:p>
        </w:tc>
        <w:tc>
          <w:tcPr>
            <w:tcW w:w="992" w:type="dxa"/>
            <w:shd w:val="clear" w:color="auto" w:fill="auto"/>
            <w:vAlign w:val="center"/>
          </w:tcPr>
          <w:p w14:paraId="06607BBE"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24</w:t>
            </w:r>
          </w:p>
        </w:tc>
        <w:tc>
          <w:tcPr>
            <w:tcW w:w="993" w:type="dxa"/>
            <w:shd w:val="clear" w:color="auto" w:fill="auto"/>
            <w:vAlign w:val="center"/>
          </w:tcPr>
          <w:p w14:paraId="3E77DF65"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42</w:t>
            </w:r>
          </w:p>
        </w:tc>
        <w:tc>
          <w:tcPr>
            <w:tcW w:w="992" w:type="dxa"/>
            <w:shd w:val="clear" w:color="auto" w:fill="auto"/>
            <w:vAlign w:val="center"/>
          </w:tcPr>
          <w:p w14:paraId="17C20873"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33</w:t>
            </w:r>
          </w:p>
        </w:tc>
        <w:tc>
          <w:tcPr>
            <w:tcW w:w="850" w:type="dxa"/>
            <w:shd w:val="clear" w:color="auto" w:fill="auto"/>
            <w:vAlign w:val="center"/>
          </w:tcPr>
          <w:p w14:paraId="09CAE6B1"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35</w:t>
            </w:r>
          </w:p>
        </w:tc>
      </w:tr>
      <w:tr w:rsidR="000D5000" w:rsidRPr="006557B3" w14:paraId="58A7FB3D" w14:textId="77777777" w:rsidTr="000D5000">
        <w:trPr>
          <w:trHeight w:val="369"/>
        </w:trPr>
        <w:tc>
          <w:tcPr>
            <w:tcW w:w="960" w:type="dxa"/>
            <w:shd w:val="clear" w:color="auto" w:fill="auto"/>
            <w:vAlign w:val="center"/>
          </w:tcPr>
          <w:p w14:paraId="622AC162"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1.3.</w:t>
            </w:r>
          </w:p>
        </w:tc>
        <w:tc>
          <w:tcPr>
            <w:tcW w:w="3166" w:type="dxa"/>
            <w:shd w:val="clear" w:color="auto" w:fill="auto"/>
            <w:vAlign w:val="center"/>
          </w:tcPr>
          <w:p w14:paraId="1D49C1A4"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pārtikas izplatīšana aptiekās</w:t>
            </w:r>
          </w:p>
        </w:tc>
        <w:tc>
          <w:tcPr>
            <w:tcW w:w="850" w:type="dxa"/>
            <w:shd w:val="clear" w:color="auto" w:fill="auto"/>
            <w:vAlign w:val="center"/>
          </w:tcPr>
          <w:p w14:paraId="31967FC7"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352</w:t>
            </w:r>
          </w:p>
        </w:tc>
        <w:tc>
          <w:tcPr>
            <w:tcW w:w="992" w:type="dxa"/>
            <w:shd w:val="clear" w:color="auto" w:fill="auto"/>
            <w:vAlign w:val="center"/>
          </w:tcPr>
          <w:p w14:paraId="75B0CEE7"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372</w:t>
            </w:r>
          </w:p>
        </w:tc>
        <w:tc>
          <w:tcPr>
            <w:tcW w:w="993" w:type="dxa"/>
            <w:shd w:val="clear" w:color="auto" w:fill="auto"/>
            <w:vAlign w:val="center"/>
          </w:tcPr>
          <w:p w14:paraId="1AFE7D6A"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329</w:t>
            </w:r>
          </w:p>
        </w:tc>
        <w:tc>
          <w:tcPr>
            <w:tcW w:w="992" w:type="dxa"/>
            <w:shd w:val="clear" w:color="auto" w:fill="auto"/>
            <w:vAlign w:val="center"/>
          </w:tcPr>
          <w:p w14:paraId="301E0AF9"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326</w:t>
            </w:r>
          </w:p>
        </w:tc>
        <w:tc>
          <w:tcPr>
            <w:tcW w:w="850" w:type="dxa"/>
            <w:shd w:val="clear" w:color="auto" w:fill="auto"/>
            <w:vAlign w:val="center"/>
          </w:tcPr>
          <w:p w14:paraId="0B97C688"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316</w:t>
            </w:r>
          </w:p>
        </w:tc>
      </w:tr>
      <w:tr w:rsidR="000D5000" w:rsidRPr="006557B3" w14:paraId="0D446F47" w14:textId="77777777" w:rsidTr="000D5000">
        <w:trPr>
          <w:trHeight w:val="369"/>
        </w:trPr>
        <w:tc>
          <w:tcPr>
            <w:tcW w:w="960" w:type="dxa"/>
            <w:shd w:val="clear" w:color="auto" w:fill="auto"/>
            <w:vAlign w:val="center"/>
            <w:hideMark/>
          </w:tcPr>
          <w:p w14:paraId="3F5E36F7"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w:t>
            </w:r>
          </w:p>
        </w:tc>
        <w:tc>
          <w:tcPr>
            <w:tcW w:w="3166" w:type="dxa"/>
            <w:shd w:val="clear" w:color="auto" w:fill="auto"/>
            <w:vAlign w:val="center"/>
            <w:hideMark/>
          </w:tcPr>
          <w:p w14:paraId="1C6F7979" w14:textId="77777777" w:rsidR="000D5000" w:rsidRPr="006557B3" w:rsidRDefault="000D5000" w:rsidP="00C05C12">
            <w:pPr>
              <w:tabs>
                <w:tab w:val="left" w:pos="8647"/>
              </w:tabs>
              <w:spacing w:after="0"/>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Uztura bagātinātāju ražošana</w:t>
            </w:r>
          </w:p>
        </w:tc>
        <w:tc>
          <w:tcPr>
            <w:tcW w:w="850" w:type="dxa"/>
            <w:shd w:val="clear" w:color="auto" w:fill="auto"/>
            <w:vAlign w:val="center"/>
            <w:hideMark/>
          </w:tcPr>
          <w:p w14:paraId="7B93E554"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44</w:t>
            </w:r>
          </w:p>
        </w:tc>
        <w:tc>
          <w:tcPr>
            <w:tcW w:w="992" w:type="dxa"/>
            <w:shd w:val="clear" w:color="auto" w:fill="auto"/>
            <w:vAlign w:val="center"/>
            <w:hideMark/>
          </w:tcPr>
          <w:p w14:paraId="73D1C791"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53</w:t>
            </w:r>
          </w:p>
        </w:tc>
        <w:tc>
          <w:tcPr>
            <w:tcW w:w="993" w:type="dxa"/>
            <w:shd w:val="clear" w:color="auto" w:fill="auto"/>
            <w:vAlign w:val="center"/>
            <w:hideMark/>
          </w:tcPr>
          <w:p w14:paraId="51E1EFD9"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47</w:t>
            </w:r>
          </w:p>
        </w:tc>
        <w:tc>
          <w:tcPr>
            <w:tcW w:w="992" w:type="dxa"/>
            <w:shd w:val="clear" w:color="auto" w:fill="auto"/>
            <w:vAlign w:val="center"/>
            <w:hideMark/>
          </w:tcPr>
          <w:p w14:paraId="63BB4081"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40</w:t>
            </w:r>
          </w:p>
        </w:tc>
        <w:tc>
          <w:tcPr>
            <w:tcW w:w="850" w:type="dxa"/>
            <w:shd w:val="clear" w:color="auto" w:fill="auto"/>
            <w:vAlign w:val="center"/>
            <w:hideMark/>
          </w:tcPr>
          <w:p w14:paraId="21A68B8D" w14:textId="77777777" w:rsidR="000D5000" w:rsidRPr="006557B3" w:rsidRDefault="000D5000" w:rsidP="00C05C12">
            <w:pPr>
              <w:tabs>
                <w:tab w:val="left" w:pos="8647"/>
              </w:tabs>
              <w:spacing w:after="0"/>
              <w:jc w:val="center"/>
              <w:rPr>
                <w:rFonts w:ascii="Times New Roman" w:hAnsi="Times New Roman" w:cs="Times New Roman"/>
                <w:sz w:val="24"/>
                <w:szCs w:val="24"/>
                <w:lang w:eastAsia="lv-LV"/>
              </w:rPr>
            </w:pPr>
            <w:r w:rsidRPr="006557B3">
              <w:rPr>
                <w:rFonts w:ascii="Times New Roman" w:hAnsi="Times New Roman" w:cs="Times New Roman"/>
                <w:sz w:val="24"/>
                <w:szCs w:val="24"/>
                <w:lang w:eastAsia="lv-LV"/>
              </w:rPr>
              <w:t>51</w:t>
            </w:r>
          </w:p>
        </w:tc>
      </w:tr>
    </w:tbl>
    <w:p w14:paraId="156D9C1C" w14:textId="0B298987" w:rsidR="000D5000" w:rsidRPr="006557B3" w:rsidRDefault="000D5000" w:rsidP="00C05C12">
      <w:pPr>
        <w:tabs>
          <w:tab w:val="left" w:pos="8647"/>
        </w:tabs>
        <w:spacing w:after="0"/>
        <w:rPr>
          <w:rFonts w:ascii="Times New Roman" w:hAnsi="Times New Roman" w:cs="Times New Roman"/>
          <w:sz w:val="24"/>
          <w:szCs w:val="24"/>
        </w:rPr>
      </w:pPr>
      <w:r w:rsidRPr="006557B3">
        <w:rPr>
          <w:rFonts w:ascii="Times New Roman" w:hAnsi="Times New Roman" w:cs="Times New Roman"/>
          <w:sz w:val="24"/>
          <w:szCs w:val="24"/>
        </w:rPr>
        <w:t>Piezīmes</w:t>
      </w:r>
      <w:r w:rsidR="0035623C" w:rsidRPr="006557B3">
        <w:rPr>
          <w:rFonts w:ascii="Times New Roman" w:hAnsi="Times New Roman" w:cs="Times New Roman"/>
          <w:sz w:val="24"/>
          <w:szCs w:val="24"/>
        </w:rPr>
        <w:t>.</w:t>
      </w:r>
      <w:r w:rsidRPr="006557B3">
        <w:rPr>
          <w:rFonts w:ascii="Times New Roman" w:hAnsi="Times New Roman" w:cs="Times New Roman"/>
          <w:sz w:val="24"/>
          <w:szCs w:val="24"/>
        </w:rPr>
        <w:t>*</w:t>
      </w:r>
    </w:p>
    <w:p w14:paraId="290AA32F" w14:textId="57E70964" w:rsidR="000D5000" w:rsidRPr="006557B3" w:rsidRDefault="0035623C" w:rsidP="00C05C12">
      <w:pPr>
        <w:pStyle w:val="Sarakstarindkopa"/>
        <w:numPr>
          <w:ilvl w:val="0"/>
          <w:numId w:val="39"/>
        </w:numPr>
        <w:tabs>
          <w:tab w:val="left" w:pos="8647"/>
        </w:tabs>
        <w:spacing w:after="0" w:line="240" w:lineRule="auto"/>
        <w:jc w:val="both"/>
        <w:rPr>
          <w:rFonts w:ascii="Times New Roman" w:hAnsi="Times New Roman"/>
          <w:sz w:val="24"/>
          <w:szCs w:val="24"/>
          <w:lang w:val="fr-FR"/>
        </w:rPr>
      </w:pPr>
      <w:r w:rsidRPr="006557B3">
        <w:rPr>
          <w:rFonts w:ascii="Times New Roman" w:hAnsi="Times New Roman"/>
          <w:sz w:val="24"/>
          <w:szCs w:val="24"/>
          <w:lang w:val="fr-FR"/>
        </w:rPr>
        <w:t>V</w:t>
      </w:r>
      <w:r w:rsidR="000D5000" w:rsidRPr="006557B3">
        <w:rPr>
          <w:rFonts w:ascii="Times New Roman" w:hAnsi="Times New Roman"/>
          <w:sz w:val="24"/>
          <w:szCs w:val="24"/>
          <w:lang w:val="fr-FR"/>
        </w:rPr>
        <w:t xml:space="preserve">eikalus </w:t>
      </w:r>
      <w:r w:rsidR="002F0960" w:rsidRPr="006557B3">
        <w:rPr>
          <w:rFonts w:ascii="Times New Roman" w:hAnsi="Times New Roman"/>
          <w:sz w:val="24"/>
          <w:szCs w:val="24"/>
          <w:lang w:val="fr-FR"/>
        </w:rPr>
        <w:t>kontrolē</w:t>
      </w:r>
      <w:r w:rsidR="000D5000" w:rsidRPr="006557B3">
        <w:rPr>
          <w:rFonts w:ascii="Times New Roman" w:hAnsi="Times New Roman"/>
          <w:sz w:val="24"/>
          <w:szCs w:val="24"/>
          <w:lang w:val="fr-FR"/>
        </w:rPr>
        <w:t xml:space="preserve"> ne retāk </w:t>
      </w:r>
      <w:r w:rsidRPr="006557B3">
        <w:rPr>
          <w:rFonts w:ascii="Times New Roman" w:hAnsi="Times New Roman"/>
          <w:sz w:val="24"/>
          <w:szCs w:val="24"/>
          <w:lang w:val="fr-FR"/>
        </w:rPr>
        <w:t>kā vienu</w:t>
      </w:r>
      <w:r w:rsidR="000D5000" w:rsidRPr="006557B3">
        <w:rPr>
          <w:rFonts w:ascii="Times New Roman" w:hAnsi="Times New Roman"/>
          <w:sz w:val="24"/>
          <w:szCs w:val="24"/>
          <w:lang w:val="fr-FR"/>
        </w:rPr>
        <w:t xml:space="preserve"> reizi gadā</w:t>
      </w:r>
      <w:r w:rsidRPr="006557B3">
        <w:rPr>
          <w:rFonts w:ascii="Times New Roman" w:hAnsi="Times New Roman"/>
          <w:sz w:val="24"/>
          <w:szCs w:val="24"/>
          <w:lang w:val="fr-FR"/>
        </w:rPr>
        <w:t>.</w:t>
      </w:r>
    </w:p>
    <w:p w14:paraId="182300B8" w14:textId="197C5D1D" w:rsidR="000D5000" w:rsidRPr="006557B3" w:rsidRDefault="0035623C" w:rsidP="00C05C12">
      <w:pPr>
        <w:pStyle w:val="Sarakstarindkopa"/>
        <w:numPr>
          <w:ilvl w:val="0"/>
          <w:numId w:val="39"/>
        </w:numPr>
        <w:tabs>
          <w:tab w:val="left" w:pos="8647"/>
        </w:tabs>
        <w:spacing w:after="0" w:line="240" w:lineRule="auto"/>
        <w:jc w:val="both"/>
        <w:rPr>
          <w:rFonts w:ascii="Times New Roman" w:hAnsi="Times New Roman"/>
          <w:sz w:val="24"/>
          <w:szCs w:val="24"/>
          <w:lang w:val="fr-FR"/>
        </w:rPr>
      </w:pPr>
      <w:r w:rsidRPr="006557B3">
        <w:rPr>
          <w:rFonts w:ascii="Times New Roman" w:hAnsi="Times New Roman"/>
          <w:sz w:val="24"/>
          <w:szCs w:val="24"/>
          <w:lang w:val="fr-FR"/>
        </w:rPr>
        <w:t>A</w:t>
      </w:r>
      <w:r w:rsidR="000D5000" w:rsidRPr="006557B3">
        <w:rPr>
          <w:rFonts w:ascii="Times New Roman" w:hAnsi="Times New Roman"/>
          <w:sz w:val="24"/>
          <w:szCs w:val="24"/>
          <w:lang w:val="fr-FR"/>
        </w:rPr>
        <w:t xml:space="preserve">ptiekas un zāļu lieltirgotavas </w:t>
      </w:r>
      <w:r w:rsidR="002F0960" w:rsidRPr="006557B3">
        <w:rPr>
          <w:rFonts w:ascii="Times New Roman" w:hAnsi="Times New Roman"/>
          <w:sz w:val="24"/>
          <w:szCs w:val="24"/>
          <w:lang w:val="fr-FR"/>
        </w:rPr>
        <w:t>kontrolē</w:t>
      </w:r>
      <w:r w:rsidRPr="006557B3">
        <w:rPr>
          <w:rFonts w:ascii="Times New Roman" w:hAnsi="Times New Roman"/>
          <w:sz w:val="24"/>
          <w:szCs w:val="24"/>
          <w:lang w:val="fr-FR"/>
        </w:rPr>
        <w:t xml:space="preserve"> </w:t>
      </w:r>
      <w:r w:rsidR="000D5000" w:rsidRPr="006557B3">
        <w:rPr>
          <w:rFonts w:ascii="Times New Roman" w:hAnsi="Times New Roman"/>
          <w:sz w:val="24"/>
          <w:szCs w:val="24"/>
          <w:lang w:val="fr-FR"/>
        </w:rPr>
        <w:t xml:space="preserve">ne retāk </w:t>
      </w:r>
      <w:r w:rsidRPr="006557B3">
        <w:rPr>
          <w:rFonts w:ascii="Times New Roman" w:hAnsi="Times New Roman"/>
          <w:sz w:val="24"/>
          <w:szCs w:val="24"/>
          <w:lang w:val="fr-FR"/>
        </w:rPr>
        <w:t>kā vienu</w:t>
      </w:r>
      <w:r w:rsidR="000D5000" w:rsidRPr="006557B3">
        <w:rPr>
          <w:rFonts w:ascii="Times New Roman" w:hAnsi="Times New Roman"/>
          <w:sz w:val="24"/>
          <w:szCs w:val="24"/>
          <w:lang w:val="fr-FR"/>
        </w:rPr>
        <w:t xml:space="preserve"> reizi </w:t>
      </w:r>
      <w:r w:rsidRPr="006557B3">
        <w:rPr>
          <w:rFonts w:ascii="Times New Roman" w:hAnsi="Times New Roman"/>
          <w:sz w:val="24"/>
          <w:szCs w:val="24"/>
          <w:lang w:val="fr-FR"/>
        </w:rPr>
        <w:t>divos</w:t>
      </w:r>
      <w:r w:rsidR="000D5000" w:rsidRPr="006557B3">
        <w:rPr>
          <w:rFonts w:ascii="Times New Roman" w:hAnsi="Times New Roman"/>
          <w:sz w:val="24"/>
          <w:szCs w:val="24"/>
          <w:lang w:val="fr-FR"/>
        </w:rPr>
        <w:t xml:space="preserve"> gados</w:t>
      </w:r>
      <w:r w:rsidRPr="006557B3">
        <w:rPr>
          <w:rFonts w:ascii="Times New Roman" w:hAnsi="Times New Roman"/>
          <w:sz w:val="24"/>
          <w:szCs w:val="24"/>
          <w:lang w:val="fr-FR"/>
        </w:rPr>
        <w:t>.</w:t>
      </w:r>
    </w:p>
    <w:p w14:paraId="11DF40A1" w14:textId="4B691BC6" w:rsidR="000D5000" w:rsidRPr="006557B3" w:rsidRDefault="0035623C" w:rsidP="00C05C12">
      <w:pPr>
        <w:pStyle w:val="Sarakstarindkopa"/>
        <w:numPr>
          <w:ilvl w:val="0"/>
          <w:numId w:val="39"/>
        </w:numPr>
        <w:tabs>
          <w:tab w:val="left" w:pos="8647"/>
        </w:tabs>
        <w:spacing w:after="0" w:line="240" w:lineRule="auto"/>
        <w:jc w:val="both"/>
        <w:rPr>
          <w:rFonts w:ascii="Times New Roman" w:hAnsi="Times New Roman"/>
          <w:sz w:val="24"/>
          <w:szCs w:val="24"/>
          <w:lang w:val="fr-FR"/>
        </w:rPr>
      </w:pPr>
      <w:r w:rsidRPr="006557B3">
        <w:rPr>
          <w:rFonts w:ascii="Times New Roman" w:hAnsi="Times New Roman"/>
          <w:sz w:val="24"/>
          <w:szCs w:val="24"/>
          <w:lang w:val="fr-FR"/>
        </w:rPr>
        <w:t>U</w:t>
      </w:r>
      <w:r w:rsidR="000D5000" w:rsidRPr="006557B3">
        <w:rPr>
          <w:rFonts w:ascii="Times New Roman" w:hAnsi="Times New Roman"/>
          <w:sz w:val="24"/>
          <w:szCs w:val="24"/>
          <w:lang w:val="fr-FR"/>
        </w:rPr>
        <w:t>ztura bagātinātāju izplatīšan</w:t>
      </w:r>
      <w:r w:rsidRPr="006557B3">
        <w:rPr>
          <w:rFonts w:ascii="Times New Roman" w:hAnsi="Times New Roman"/>
          <w:sz w:val="24"/>
          <w:szCs w:val="24"/>
          <w:lang w:val="fr-FR"/>
        </w:rPr>
        <w:t>u</w:t>
      </w:r>
      <w:r w:rsidR="000D5000" w:rsidRPr="006557B3">
        <w:rPr>
          <w:rFonts w:ascii="Times New Roman" w:hAnsi="Times New Roman"/>
          <w:sz w:val="24"/>
          <w:szCs w:val="24"/>
          <w:lang w:val="fr-FR"/>
        </w:rPr>
        <w:t xml:space="preserve"> internetā un pa pastu </w:t>
      </w:r>
      <w:r w:rsidRPr="006557B3">
        <w:rPr>
          <w:rFonts w:ascii="Times New Roman" w:hAnsi="Times New Roman"/>
          <w:sz w:val="24"/>
          <w:szCs w:val="24"/>
          <w:lang w:val="fr-FR"/>
        </w:rPr>
        <w:t>būtībā ir</w:t>
      </w:r>
      <w:r w:rsidR="000D5000" w:rsidRPr="006557B3">
        <w:rPr>
          <w:rFonts w:ascii="Times New Roman" w:hAnsi="Times New Roman"/>
          <w:sz w:val="24"/>
          <w:szCs w:val="24"/>
          <w:lang w:val="fr-FR"/>
        </w:rPr>
        <w:t xml:space="preserve"> iespēja </w:t>
      </w:r>
      <w:r w:rsidR="002F0960" w:rsidRPr="006557B3">
        <w:rPr>
          <w:rFonts w:ascii="Times New Roman" w:hAnsi="Times New Roman"/>
          <w:sz w:val="24"/>
          <w:szCs w:val="24"/>
          <w:lang w:val="fr-FR"/>
        </w:rPr>
        <w:t>kontrolēt</w:t>
      </w:r>
      <w:r w:rsidR="000D5000" w:rsidRPr="006557B3">
        <w:rPr>
          <w:rFonts w:ascii="Times New Roman" w:hAnsi="Times New Roman"/>
          <w:sz w:val="24"/>
          <w:szCs w:val="24"/>
          <w:lang w:val="fr-FR"/>
        </w:rPr>
        <w:t xml:space="preserve"> tikai </w:t>
      </w:r>
      <w:r w:rsidR="000A5851">
        <w:rPr>
          <w:rFonts w:ascii="Times New Roman" w:hAnsi="Times New Roman"/>
          <w:sz w:val="24"/>
          <w:szCs w:val="24"/>
          <w:lang w:val="fr-FR"/>
        </w:rPr>
        <w:t xml:space="preserve">pēc </w:t>
      </w:r>
      <w:r w:rsidR="000D5000" w:rsidRPr="006557B3">
        <w:rPr>
          <w:rFonts w:ascii="Times New Roman" w:hAnsi="Times New Roman"/>
          <w:sz w:val="24"/>
          <w:szCs w:val="24"/>
          <w:lang w:val="fr-FR"/>
        </w:rPr>
        <w:t xml:space="preserve">sūdzību un iesniegumu </w:t>
      </w:r>
      <w:r w:rsidR="000A5851">
        <w:rPr>
          <w:rFonts w:ascii="Times New Roman" w:hAnsi="Times New Roman"/>
          <w:sz w:val="24"/>
          <w:szCs w:val="24"/>
          <w:lang w:val="fr-FR"/>
        </w:rPr>
        <w:t>saņemšanas</w:t>
      </w:r>
      <w:r w:rsidRPr="006557B3">
        <w:rPr>
          <w:rFonts w:ascii="Times New Roman" w:hAnsi="Times New Roman"/>
          <w:sz w:val="24"/>
          <w:szCs w:val="24"/>
          <w:lang w:val="fr-FR"/>
        </w:rPr>
        <w:t>.</w:t>
      </w:r>
    </w:p>
    <w:p w14:paraId="3DAA9E47" w14:textId="3DC6DF39" w:rsidR="00104B50" w:rsidRPr="006557B3" w:rsidRDefault="0035623C" w:rsidP="00104B50">
      <w:pPr>
        <w:pStyle w:val="Sarakstarindkopa"/>
        <w:numPr>
          <w:ilvl w:val="0"/>
          <w:numId w:val="39"/>
        </w:numPr>
        <w:tabs>
          <w:tab w:val="left" w:pos="8647"/>
        </w:tabs>
        <w:spacing w:after="0" w:line="240" w:lineRule="auto"/>
        <w:jc w:val="both"/>
        <w:rPr>
          <w:rFonts w:ascii="Times New Roman" w:hAnsi="Times New Roman"/>
          <w:sz w:val="24"/>
          <w:szCs w:val="24"/>
          <w:lang w:val="fr-FR"/>
        </w:rPr>
      </w:pPr>
      <w:r w:rsidRPr="006557B3">
        <w:rPr>
          <w:rFonts w:ascii="Times New Roman" w:hAnsi="Times New Roman"/>
          <w:sz w:val="24"/>
          <w:szCs w:val="24"/>
          <w:lang w:val="fr-FR"/>
        </w:rPr>
        <w:t>U</w:t>
      </w:r>
      <w:r w:rsidR="0012697D" w:rsidRPr="006557B3">
        <w:rPr>
          <w:rFonts w:ascii="Times New Roman" w:hAnsi="Times New Roman"/>
          <w:sz w:val="24"/>
          <w:szCs w:val="24"/>
          <w:lang w:val="fr-FR"/>
        </w:rPr>
        <w:t>ztura bagātinātāju</w:t>
      </w:r>
      <w:r w:rsidR="000D5000" w:rsidRPr="006557B3">
        <w:rPr>
          <w:rFonts w:ascii="Times New Roman" w:hAnsi="Times New Roman"/>
          <w:sz w:val="24"/>
          <w:szCs w:val="24"/>
          <w:lang w:val="fr-FR"/>
        </w:rPr>
        <w:t xml:space="preserve"> ražošanas uzņēmumus </w:t>
      </w:r>
      <w:r w:rsidR="002F0960" w:rsidRPr="006557B3">
        <w:rPr>
          <w:rFonts w:ascii="Times New Roman" w:hAnsi="Times New Roman"/>
          <w:sz w:val="24"/>
          <w:szCs w:val="24"/>
          <w:lang w:val="fr-FR"/>
        </w:rPr>
        <w:t>kontrolē</w:t>
      </w:r>
      <w:r w:rsidR="000D5000" w:rsidRPr="006557B3">
        <w:rPr>
          <w:rFonts w:ascii="Times New Roman" w:hAnsi="Times New Roman"/>
          <w:sz w:val="24"/>
          <w:szCs w:val="24"/>
          <w:lang w:val="fr-FR"/>
        </w:rPr>
        <w:t xml:space="preserve"> ne retāk kā </w:t>
      </w:r>
      <w:r w:rsidRPr="006557B3">
        <w:rPr>
          <w:rFonts w:ascii="Times New Roman" w:hAnsi="Times New Roman"/>
          <w:sz w:val="24"/>
          <w:szCs w:val="24"/>
          <w:lang w:val="fr-FR"/>
        </w:rPr>
        <w:t>divas</w:t>
      </w:r>
      <w:r w:rsidR="000D5000" w:rsidRPr="006557B3">
        <w:rPr>
          <w:rFonts w:ascii="Times New Roman" w:hAnsi="Times New Roman"/>
          <w:sz w:val="24"/>
          <w:szCs w:val="24"/>
          <w:lang w:val="fr-FR"/>
        </w:rPr>
        <w:t xml:space="preserve"> reizes gadā</w:t>
      </w:r>
      <w:r w:rsidR="0012697D" w:rsidRPr="006557B3">
        <w:rPr>
          <w:rFonts w:ascii="Times New Roman" w:hAnsi="Times New Roman"/>
          <w:sz w:val="24"/>
          <w:szCs w:val="24"/>
          <w:lang w:val="fr-FR"/>
        </w:rPr>
        <w:t>.</w:t>
      </w:r>
    </w:p>
    <w:p w14:paraId="5654FD38" w14:textId="77777777" w:rsidR="00EA52A9" w:rsidRPr="006557B3" w:rsidRDefault="00EA52A9" w:rsidP="00EA52A9">
      <w:pPr>
        <w:tabs>
          <w:tab w:val="left" w:pos="8647"/>
        </w:tabs>
        <w:spacing w:after="0" w:line="240" w:lineRule="auto"/>
        <w:jc w:val="both"/>
        <w:rPr>
          <w:rFonts w:ascii="Times New Roman" w:hAnsi="Times New Roman"/>
          <w:sz w:val="24"/>
          <w:szCs w:val="24"/>
        </w:rPr>
      </w:pPr>
    </w:p>
    <w:p w14:paraId="7167DBCA" w14:textId="77777777" w:rsidR="000D5000" w:rsidRPr="006557B3" w:rsidRDefault="000D5000" w:rsidP="00C05C12">
      <w:pPr>
        <w:tabs>
          <w:tab w:val="left" w:pos="8647"/>
        </w:tabs>
        <w:ind w:left="1260"/>
        <w:jc w:val="right"/>
        <w:rPr>
          <w:rFonts w:ascii="Times New Roman" w:hAnsi="Times New Roman" w:cs="Times New Roman"/>
          <w:b/>
          <w:color w:val="000000"/>
          <w:sz w:val="24"/>
          <w:szCs w:val="24"/>
        </w:rPr>
      </w:pPr>
      <w:r w:rsidRPr="006557B3">
        <w:rPr>
          <w:rFonts w:ascii="Times New Roman" w:hAnsi="Times New Roman" w:cs="Times New Roman"/>
          <w:color w:val="000000"/>
          <w:sz w:val="24"/>
          <w:szCs w:val="24"/>
        </w:rPr>
        <w:t>5.attēls</w:t>
      </w:r>
    </w:p>
    <w:p w14:paraId="3867C59A" w14:textId="47C3955E" w:rsidR="000D5000" w:rsidRPr="006557B3" w:rsidRDefault="000D5000" w:rsidP="00C05C12">
      <w:pPr>
        <w:tabs>
          <w:tab w:val="left" w:pos="8647"/>
        </w:tabs>
        <w:spacing w:after="0" w:line="240" w:lineRule="auto"/>
        <w:jc w:val="center"/>
        <w:rPr>
          <w:rFonts w:ascii="Times New Roman" w:hAnsi="Times New Roman" w:cs="Times New Roman"/>
          <w:b/>
          <w:color w:val="000000"/>
          <w:sz w:val="24"/>
          <w:szCs w:val="24"/>
        </w:rPr>
      </w:pPr>
      <w:r w:rsidRPr="006557B3">
        <w:rPr>
          <w:rFonts w:ascii="Times New Roman" w:hAnsi="Times New Roman" w:cs="Times New Roman"/>
          <w:b/>
          <w:color w:val="000000"/>
          <w:sz w:val="24"/>
          <w:szCs w:val="24"/>
        </w:rPr>
        <w:t>Pārtikas tirdzniecības uzņēmumos konstatēto</w:t>
      </w:r>
      <w:r w:rsidR="00215165" w:rsidRPr="006557B3">
        <w:rPr>
          <w:rFonts w:ascii="Times New Roman" w:hAnsi="Times New Roman" w:cs="Times New Roman"/>
          <w:b/>
          <w:color w:val="000000"/>
          <w:sz w:val="24"/>
          <w:szCs w:val="24"/>
        </w:rPr>
        <w:t xml:space="preserve"> </w:t>
      </w:r>
      <w:r w:rsidRPr="006557B3">
        <w:rPr>
          <w:rFonts w:ascii="Times New Roman" w:hAnsi="Times New Roman" w:cs="Times New Roman"/>
          <w:b/>
          <w:color w:val="000000"/>
          <w:sz w:val="24"/>
          <w:szCs w:val="24"/>
        </w:rPr>
        <w:t>neatbilstību īpatsvars 2015.</w:t>
      </w:r>
      <w:r w:rsidR="008519AC" w:rsidRPr="006557B3">
        <w:rPr>
          <w:rFonts w:ascii="Times New Roman" w:hAnsi="Times New Roman" w:cs="Times New Roman"/>
          <w:b/>
          <w:color w:val="000000"/>
          <w:sz w:val="24"/>
          <w:szCs w:val="24"/>
        </w:rPr>
        <w:t> </w:t>
      </w:r>
      <w:r w:rsidRPr="006557B3">
        <w:rPr>
          <w:rFonts w:ascii="Times New Roman" w:hAnsi="Times New Roman" w:cs="Times New Roman"/>
          <w:b/>
          <w:color w:val="000000"/>
          <w:sz w:val="24"/>
          <w:szCs w:val="24"/>
        </w:rPr>
        <w:t>gadā</w:t>
      </w:r>
    </w:p>
    <w:p w14:paraId="00146A1C" w14:textId="77777777" w:rsidR="000D5000" w:rsidRPr="006557B3" w:rsidRDefault="000D5000" w:rsidP="00C05C12">
      <w:pPr>
        <w:tabs>
          <w:tab w:val="left" w:pos="8647"/>
        </w:tabs>
        <w:rPr>
          <w:rFonts w:ascii="Times New Roman" w:hAnsi="Times New Roman" w:cs="Times New Roman"/>
          <w:noProof/>
          <w:sz w:val="24"/>
          <w:szCs w:val="24"/>
          <w:lang w:eastAsia="lv-LV"/>
        </w:rPr>
      </w:pPr>
      <w:r w:rsidRPr="006557B3">
        <w:rPr>
          <w:rFonts w:ascii="Times New Roman" w:hAnsi="Times New Roman" w:cs="Times New Roman"/>
          <w:noProof/>
          <w:sz w:val="24"/>
          <w:szCs w:val="24"/>
          <w:lang w:val="lv-LV" w:eastAsia="lv-LV"/>
        </w:rPr>
        <w:drawing>
          <wp:inline distT="0" distB="0" distL="0" distR="0" wp14:anchorId="48224DB1" wp14:editId="00ED73F9">
            <wp:extent cx="5743575" cy="3067050"/>
            <wp:effectExtent l="0" t="0" r="9525"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A375A63" w14:textId="0662F376" w:rsidR="001D3BB9" w:rsidRPr="006557B3" w:rsidRDefault="000D5000" w:rsidP="00C05C12">
      <w:pPr>
        <w:tabs>
          <w:tab w:val="left" w:pos="8647"/>
        </w:tabs>
        <w:spacing w:after="0" w:line="240" w:lineRule="auto"/>
        <w:jc w:val="center"/>
        <w:rPr>
          <w:rFonts w:ascii="Times New Roman" w:hAnsi="Times New Roman" w:cs="Times New Roman"/>
          <w:b/>
          <w:bCs/>
          <w:sz w:val="24"/>
          <w:szCs w:val="24"/>
          <w:lang w:val="lv-LV"/>
        </w:rPr>
      </w:pPr>
      <w:r w:rsidRPr="006557B3">
        <w:rPr>
          <w:rFonts w:ascii="Times New Roman" w:hAnsi="Times New Roman" w:cs="Times New Roman"/>
          <w:b/>
          <w:bCs/>
          <w:sz w:val="24"/>
          <w:szCs w:val="24"/>
        </w:rPr>
        <w:t xml:space="preserve">Uztura bagātinātāju ražošanas uzņēmumos </w:t>
      </w:r>
      <w:r w:rsidR="00B0641B" w:rsidRPr="006557B3">
        <w:rPr>
          <w:rFonts w:ascii="Times New Roman" w:hAnsi="Times New Roman" w:cs="Times New Roman"/>
          <w:b/>
          <w:bCs/>
          <w:sz w:val="24"/>
          <w:szCs w:val="24"/>
        </w:rPr>
        <w:t xml:space="preserve">konstatētie </w:t>
      </w:r>
      <w:r w:rsidRPr="006557B3">
        <w:rPr>
          <w:rFonts w:ascii="Times New Roman" w:hAnsi="Times New Roman" w:cs="Times New Roman"/>
          <w:b/>
          <w:sz w:val="24"/>
          <w:szCs w:val="24"/>
        </w:rPr>
        <w:t>neatbilstību gadījum</w:t>
      </w:r>
      <w:r w:rsidR="00B0641B" w:rsidRPr="006557B3">
        <w:rPr>
          <w:rFonts w:ascii="Times New Roman" w:hAnsi="Times New Roman" w:cs="Times New Roman"/>
          <w:b/>
          <w:sz w:val="24"/>
          <w:szCs w:val="24"/>
        </w:rPr>
        <w:t>i</w:t>
      </w:r>
      <w:r w:rsidR="001D3BB9" w:rsidRPr="006557B3">
        <w:rPr>
          <w:rFonts w:ascii="Times New Roman" w:hAnsi="Times New Roman" w:cs="Times New Roman"/>
          <w:b/>
          <w:sz w:val="24"/>
          <w:szCs w:val="24"/>
        </w:rPr>
        <w:t xml:space="preserve"> </w:t>
      </w:r>
      <w:r w:rsidR="001D3BB9" w:rsidRPr="006557B3">
        <w:rPr>
          <w:rFonts w:ascii="Times New Roman" w:hAnsi="Times New Roman" w:cs="Times New Roman"/>
          <w:b/>
          <w:bCs/>
          <w:sz w:val="24"/>
          <w:szCs w:val="24"/>
          <w:lang w:val="lv-LV"/>
        </w:rPr>
        <w:t>laikposmā no 2011.</w:t>
      </w:r>
      <w:r w:rsidR="008519AC" w:rsidRPr="006557B3">
        <w:rPr>
          <w:rFonts w:ascii="Times New Roman" w:hAnsi="Times New Roman" w:cs="Times New Roman"/>
          <w:b/>
          <w:bCs/>
          <w:sz w:val="24"/>
          <w:szCs w:val="24"/>
          <w:lang w:val="lv-LV"/>
        </w:rPr>
        <w:t> </w:t>
      </w:r>
      <w:r w:rsidR="001D3BB9" w:rsidRPr="006557B3">
        <w:rPr>
          <w:rFonts w:ascii="Times New Roman" w:hAnsi="Times New Roman" w:cs="Times New Roman"/>
          <w:b/>
          <w:bCs/>
          <w:sz w:val="24"/>
          <w:szCs w:val="24"/>
          <w:lang w:val="lv-LV"/>
        </w:rPr>
        <w:t>gada līdz 2015.</w:t>
      </w:r>
      <w:r w:rsidR="008519AC" w:rsidRPr="006557B3">
        <w:rPr>
          <w:rFonts w:ascii="Times New Roman" w:hAnsi="Times New Roman" w:cs="Times New Roman"/>
          <w:b/>
          <w:bCs/>
          <w:sz w:val="24"/>
          <w:szCs w:val="24"/>
          <w:lang w:val="lv-LV"/>
        </w:rPr>
        <w:t> </w:t>
      </w:r>
      <w:r w:rsidR="001D3BB9" w:rsidRPr="006557B3">
        <w:rPr>
          <w:rFonts w:ascii="Times New Roman" w:hAnsi="Times New Roman" w:cs="Times New Roman"/>
          <w:b/>
          <w:bCs/>
          <w:sz w:val="24"/>
          <w:szCs w:val="24"/>
          <w:lang w:val="lv-LV"/>
        </w:rPr>
        <w:t>gadam</w:t>
      </w:r>
    </w:p>
    <w:p w14:paraId="289353DF" w14:textId="3C4F0C1D" w:rsidR="000D5000" w:rsidRPr="006557B3" w:rsidRDefault="001D3BB9" w:rsidP="00C05C12">
      <w:pPr>
        <w:tabs>
          <w:tab w:val="left" w:pos="8647"/>
        </w:tabs>
        <w:spacing w:after="0"/>
        <w:jc w:val="right"/>
        <w:rPr>
          <w:rFonts w:ascii="Times New Roman" w:hAnsi="Times New Roman" w:cs="Times New Roman"/>
          <w:sz w:val="24"/>
          <w:szCs w:val="24"/>
        </w:rPr>
      </w:pPr>
      <w:r w:rsidRPr="006557B3">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1085"/>
        <w:gridCol w:w="1086"/>
        <w:gridCol w:w="1086"/>
        <w:gridCol w:w="1087"/>
        <w:gridCol w:w="1086"/>
      </w:tblGrid>
      <w:tr w:rsidR="000D5000" w:rsidRPr="006557B3" w14:paraId="0592BDB9" w14:textId="77777777" w:rsidTr="000D5000">
        <w:trPr>
          <w:trHeight w:val="227"/>
        </w:trPr>
        <w:tc>
          <w:tcPr>
            <w:tcW w:w="1989" w:type="pct"/>
            <w:shd w:val="clear" w:color="auto" w:fill="D9D9D9" w:themeFill="background1" w:themeFillShade="D9"/>
            <w:noWrap/>
            <w:vAlign w:val="center"/>
            <w:hideMark/>
          </w:tcPr>
          <w:p w14:paraId="37055333" w14:textId="74D8F5CB" w:rsidR="000D5000" w:rsidRPr="006557B3" w:rsidRDefault="000D5000" w:rsidP="00C05C12">
            <w:pPr>
              <w:tabs>
                <w:tab w:val="left" w:pos="8647"/>
              </w:tabs>
              <w:spacing w:after="0"/>
              <w:jc w:val="center"/>
              <w:rPr>
                <w:rFonts w:ascii="Times New Roman" w:hAnsi="Times New Roman" w:cs="Times New Roman"/>
                <w:b/>
                <w:bCs/>
                <w:sz w:val="24"/>
                <w:szCs w:val="24"/>
                <w:lang w:eastAsia="lv-LV"/>
              </w:rPr>
            </w:pPr>
            <w:r w:rsidRPr="006557B3">
              <w:rPr>
                <w:rFonts w:ascii="Times New Roman" w:hAnsi="Times New Roman" w:cs="Times New Roman"/>
                <w:b/>
                <w:bCs/>
                <w:sz w:val="24"/>
                <w:szCs w:val="24"/>
                <w:lang w:eastAsia="lv-LV"/>
              </w:rPr>
              <w:t>Neatbilstību grupa</w:t>
            </w:r>
          </w:p>
        </w:tc>
        <w:tc>
          <w:tcPr>
            <w:tcW w:w="602" w:type="pct"/>
            <w:shd w:val="clear" w:color="auto" w:fill="D9D9D9" w:themeFill="background1" w:themeFillShade="D9"/>
            <w:noWrap/>
            <w:vAlign w:val="center"/>
            <w:hideMark/>
          </w:tcPr>
          <w:p w14:paraId="6255A66A" w14:textId="1D22B170"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2011</w:t>
            </w:r>
            <w:r w:rsidR="008519AC" w:rsidRPr="006557B3">
              <w:rPr>
                <w:rFonts w:ascii="Times New Roman" w:hAnsi="Times New Roman" w:cs="Times New Roman"/>
                <w:b/>
                <w:bCs/>
                <w:color w:val="000000"/>
                <w:sz w:val="24"/>
                <w:szCs w:val="24"/>
                <w:lang w:eastAsia="lv-LV"/>
              </w:rPr>
              <w:t>.</w:t>
            </w:r>
          </w:p>
        </w:tc>
        <w:tc>
          <w:tcPr>
            <w:tcW w:w="602" w:type="pct"/>
            <w:shd w:val="clear" w:color="auto" w:fill="D9D9D9" w:themeFill="background1" w:themeFillShade="D9"/>
            <w:noWrap/>
            <w:vAlign w:val="center"/>
            <w:hideMark/>
          </w:tcPr>
          <w:p w14:paraId="0ADE1703" w14:textId="56FDD8AC"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2012</w:t>
            </w:r>
            <w:r w:rsidR="008519AC" w:rsidRPr="006557B3">
              <w:rPr>
                <w:rFonts w:ascii="Times New Roman" w:hAnsi="Times New Roman" w:cs="Times New Roman"/>
                <w:b/>
                <w:bCs/>
                <w:color w:val="000000"/>
                <w:sz w:val="24"/>
                <w:szCs w:val="24"/>
                <w:lang w:eastAsia="lv-LV"/>
              </w:rPr>
              <w:t>.</w:t>
            </w:r>
          </w:p>
        </w:tc>
        <w:tc>
          <w:tcPr>
            <w:tcW w:w="602" w:type="pct"/>
            <w:shd w:val="clear" w:color="auto" w:fill="D9D9D9" w:themeFill="background1" w:themeFillShade="D9"/>
            <w:noWrap/>
            <w:vAlign w:val="center"/>
            <w:hideMark/>
          </w:tcPr>
          <w:p w14:paraId="05259427" w14:textId="636E2728"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2013</w:t>
            </w:r>
            <w:r w:rsidR="008519AC" w:rsidRPr="006557B3">
              <w:rPr>
                <w:rFonts w:ascii="Times New Roman" w:hAnsi="Times New Roman" w:cs="Times New Roman"/>
                <w:b/>
                <w:bCs/>
                <w:color w:val="000000"/>
                <w:sz w:val="24"/>
                <w:szCs w:val="24"/>
                <w:lang w:eastAsia="lv-LV"/>
              </w:rPr>
              <w:t>.</w:t>
            </w:r>
          </w:p>
        </w:tc>
        <w:tc>
          <w:tcPr>
            <w:tcW w:w="603" w:type="pct"/>
            <w:shd w:val="clear" w:color="auto" w:fill="D9D9D9" w:themeFill="background1" w:themeFillShade="D9"/>
            <w:noWrap/>
            <w:vAlign w:val="center"/>
            <w:hideMark/>
          </w:tcPr>
          <w:p w14:paraId="0DB14947" w14:textId="13E12038"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2014</w:t>
            </w:r>
            <w:r w:rsidR="008519AC" w:rsidRPr="006557B3">
              <w:rPr>
                <w:rFonts w:ascii="Times New Roman" w:hAnsi="Times New Roman" w:cs="Times New Roman"/>
                <w:b/>
                <w:bCs/>
                <w:color w:val="000000"/>
                <w:sz w:val="24"/>
                <w:szCs w:val="24"/>
                <w:lang w:eastAsia="lv-LV"/>
              </w:rPr>
              <w:t>.</w:t>
            </w:r>
          </w:p>
        </w:tc>
        <w:tc>
          <w:tcPr>
            <w:tcW w:w="602" w:type="pct"/>
            <w:shd w:val="clear" w:color="auto" w:fill="D9D9D9" w:themeFill="background1" w:themeFillShade="D9"/>
            <w:noWrap/>
            <w:vAlign w:val="center"/>
            <w:hideMark/>
          </w:tcPr>
          <w:p w14:paraId="6554E99B" w14:textId="3E9DD365"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2015</w:t>
            </w:r>
            <w:r w:rsidR="008519AC" w:rsidRPr="006557B3">
              <w:rPr>
                <w:rFonts w:ascii="Times New Roman" w:hAnsi="Times New Roman" w:cs="Times New Roman"/>
                <w:b/>
                <w:bCs/>
                <w:color w:val="000000"/>
                <w:sz w:val="24"/>
                <w:szCs w:val="24"/>
                <w:lang w:eastAsia="lv-LV"/>
              </w:rPr>
              <w:t>.</w:t>
            </w:r>
          </w:p>
        </w:tc>
      </w:tr>
      <w:tr w:rsidR="000D5000" w:rsidRPr="006557B3" w14:paraId="21D84BD6" w14:textId="77777777" w:rsidTr="000D5000">
        <w:trPr>
          <w:trHeight w:val="227"/>
        </w:trPr>
        <w:tc>
          <w:tcPr>
            <w:tcW w:w="1989" w:type="pct"/>
            <w:shd w:val="clear" w:color="auto" w:fill="auto"/>
            <w:vAlign w:val="center"/>
            <w:hideMark/>
          </w:tcPr>
          <w:p w14:paraId="69851096" w14:textId="77777777" w:rsidR="000D5000" w:rsidRPr="006557B3" w:rsidRDefault="000D5000" w:rsidP="00C05C12">
            <w:pPr>
              <w:tabs>
                <w:tab w:val="left" w:pos="8647"/>
              </w:tabs>
              <w:spacing w:after="0"/>
              <w:rPr>
                <w:rFonts w:ascii="Times New Roman" w:hAnsi="Times New Roman" w:cs="Times New Roman"/>
                <w:sz w:val="24"/>
                <w:szCs w:val="24"/>
                <w:lang w:eastAsia="lv-LV"/>
              </w:rPr>
            </w:pPr>
            <w:r w:rsidRPr="006557B3">
              <w:rPr>
                <w:rFonts w:ascii="Times New Roman" w:hAnsi="Times New Roman" w:cs="Times New Roman"/>
                <w:sz w:val="24"/>
                <w:szCs w:val="24"/>
                <w:lang w:eastAsia="lv-LV"/>
              </w:rPr>
              <w:t>Pārtikas aprites telpu higiēna</w:t>
            </w:r>
          </w:p>
        </w:tc>
        <w:tc>
          <w:tcPr>
            <w:tcW w:w="602" w:type="pct"/>
            <w:shd w:val="clear" w:color="auto" w:fill="auto"/>
            <w:noWrap/>
            <w:vAlign w:val="center"/>
            <w:hideMark/>
          </w:tcPr>
          <w:p w14:paraId="30DA350B"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12</w:t>
            </w:r>
          </w:p>
        </w:tc>
        <w:tc>
          <w:tcPr>
            <w:tcW w:w="602" w:type="pct"/>
            <w:shd w:val="clear" w:color="auto" w:fill="auto"/>
            <w:noWrap/>
            <w:vAlign w:val="center"/>
            <w:hideMark/>
          </w:tcPr>
          <w:p w14:paraId="3E31A5B6"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10</w:t>
            </w:r>
          </w:p>
        </w:tc>
        <w:tc>
          <w:tcPr>
            <w:tcW w:w="602" w:type="pct"/>
            <w:shd w:val="clear" w:color="auto" w:fill="auto"/>
            <w:noWrap/>
            <w:vAlign w:val="center"/>
            <w:hideMark/>
          </w:tcPr>
          <w:p w14:paraId="11AF123C"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11</w:t>
            </w:r>
          </w:p>
        </w:tc>
        <w:tc>
          <w:tcPr>
            <w:tcW w:w="603" w:type="pct"/>
            <w:shd w:val="clear" w:color="auto" w:fill="auto"/>
            <w:noWrap/>
            <w:vAlign w:val="center"/>
            <w:hideMark/>
          </w:tcPr>
          <w:p w14:paraId="045B367B"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11</w:t>
            </w:r>
          </w:p>
        </w:tc>
        <w:tc>
          <w:tcPr>
            <w:tcW w:w="602" w:type="pct"/>
            <w:shd w:val="clear" w:color="auto" w:fill="auto"/>
            <w:noWrap/>
            <w:vAlign w:val="center"/>
            <w:hideMark/>
          </w:tcPr>
          <w:p w14:paraId="3A45C661"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10</w:t>
            </w:r>
          </w:p>
        </w:tc>
      </w:tr>
      <w:tr w:rsidR="000D5000" w:rsidRPr="006557B3" w14:paraId="0DEEE5D5" w14:textId="77777777" w:rsidTr="000D5000">
        <w:trPr>
          <w:trHeight w:val="227"/>
        </w:trPr>
        <w:tc>
          <w:tcPr>
            <w:tcW w:w="1989" w:type="pct"/>
            <w:shd w:val="clear" w:color="auto" w:fill="auto"/>
            <w:vAlign w:val="center"/>
            <w:hideMark/>
          </w:tcPr>
          <w:p w14:paraId="01E206FF" w14:textId="77777777" w:rsidR="000D5000" w:rsidRPr="006557B3" w:rsidRDefault="000D5000" w:rsidP="00C05C12">
            <w:pPr>
              <w:tabs>
                <w:tab w:val="left" w:pos="8647"/>
              </w:tabs>
              <w:spacing w:after="0"/>
              <w:rPr>
                <w:rFonts w:ascii="Times New Roman" w:hAnsi="Times New Roman" w:cs="Times New Roman"/>
                <w:sz w:val="24"/>
                <w:szCs w:val="24"/>
                <w:lang w:eastAsia="lv-LV"/>
              </w:rPr>
            </w:pPr>
            <w:r w:rsidRPr="006557B3">
              <w:rPr>
                <w:rFonts w:ascii="Times New Roman" w:hAnsi="Times New Roman" w:cs="Times New Roman"/>
                <w:sz w:val="24"/>
                <w:szCs w:val="24"/>
                <w:lang w:eastAsia="lv-LV"/>
              </w:rPr>
              <w:t>Iekārtas un aprīkojums</w:t>
            </w:r>
          </w:p>
        </w:tc>
        <w:tc>
          <w:tcPr>
            <w:tcW w:w="602" w:type="pct"/>
            <w:shd w:val="clear" w:color="auto" w:fill="auto"/>
            <w:noWrap/>
            <w:vAlign w:val="center"/>
            <w:hideMark/>
          </w:tcPr>
          <w:p w14:paraId="5733053B"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5</w:t>
            </w:r>
          </w:p>
        </w:tc>
        <w:tc>
          <w:tcPr>
            <w:tcW w:w="602" w:type="pct"/>
            <w:shd w:val="clear" w:color="auto" w:fill="auto"/>
            <w:noWrap/>
            <w:vAlign w:val="center"/>
            <w:hideMark/>
          </w:tcPr>
          <w:p w14:paraId="5B5C82CC"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6</w:t>
            </w:r>
          </w:p>
        </w:tc>
        <w:tc>
          <w:tcPr>
            <w:tcW w:w="602" w:type="pct"/>
            <w:shd w:val="clear" w:color="auto" w:fill="auto"/>
            <w:noWrap/>
            <w:vAlign w:val="center"/>
            <w:hideMark/>
          </w:tcPr>
          <w:p w14:paraId="0712BF34"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8</w:t>
            </w:r>
          </w:p>
        </w:tc>
        <w:tc>
          <w:tcPr>
            <w:tcW w:w="603" w:type="pct"/>
            <w:shd w:val="clear" w:color="auto" w:fill="auto"/>
            <w:noWrap/>
            <w:vAlign w:val="center"/>
            <w:hideMark/>
          </w:tcPr>
          <w:p w14:paraId="753DE15D"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12</w:t>
            </w:r>
          </w:p>
        </w:tc>
        <w:tc>
          <w:tcPr>
            <w:tcW w:w="602" w:type="pct"/>
            <w:shd w:val="clear" w:color="auto" w:fill="auto"/>
            <w:noWrap/>
            <w:vAlign w:val="center"/>
            <w:hideMark/>
          </w:tcPr>
          <w:p w14:paraId="61FBA4D2"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9</w:t>
            </w:r>
          </w:p>
        </w:tc>
      </w:tr>
      <w:tr w:rsidR="000D5000" w:rsidRPr="006557B3" w14:paraId="5317D32E" w14:textId="77777777" w:rsidTr="000D5000">
        <w:trPr>
          <w:trHeight w:val="227"/>
        </w:trPr>
        <w:tc>
          <w:tcPr>
            <w:tcW w:w="1989" w:type="pct"/>
            <w:shd w:val="clear" w:color="auto" w:fill="auto"/>
            <w:vAlign w:val="center"/>
            <w:hideMark/>
          </w:tcPr>
          <w:p w14:paraId="20F3D22E" w14:textId="77777777" w:rsidR="000D5000" w:rsidRPr="006557B3" w:rsidRDefault="000D5000" w:rsidP="00C05C12">
            <w:pPr>
              <w:tabs>
                <w:tab w:val="left" w:pos="8647"/>
              </w:tabs>
              <w:spacing w:after="0"/>
              <w:rPr>
                <w:rFonts w:ascii="Times New Roman" w:hAnsi="Times New Roman" w:cs="Times New Roman"/>
                <w:sz w:val="24"/>
                <w:szCs w:val="24"/>
                <w:lang w:eastAsia="lv-LV"/>
              </w:rPr>
            </w:pPr>
            <w:r w:rsidRPr="006557B3">
              <w:rPr>
                <w:rFonts w:ascii="Times New Roman" w:hAnsi="Times New Roman" w:cs="Times New Roman"/>
                <w:sz w:val="24"/>
                <w:szCs w:val="24"/>
                <w:lang w:eastAsia="lv-LV"/>
              </w:rPr>
              <w:t>Ūdensapgāde</w:t>
            </w:r>
          </w:p>
        </w:tc>
        <w:tc>
          <w:tcPr>
            <w:tcW w:w="602" w:type="pct"/>
            <w:shd w:val="clear" w:color="auto" w:fill="auto"/>
            <w:noWrap/>
            <w:vAlign w:val="center"/>
            <w:hideMark/>
          </w:tcPr>
          <w:p w14:paraId="44D2F239"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5</w:t>
            </w:r>
          </w:p>
        </w:tc>
        <w:tc>
          <w:tcPr>
            <w:tcW w:w="602" w:type="pct"/>
            <w:shd w:val="clear" w:color="auto" w:fill="auto"/>
            <w:noWrap/>
            <w:vAlign w:val="center"/>
            <w:hideMark/>
          </w:tcPr>
          <w:p w14:paraId="6BA3416E"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5</w:t>
            </w:r>
          </w:p>
        </w:tc>
        <w:tc>
          <w:tcPr>
            <w:tcW w:w="602" w:type="pct"/>
            <w:shd w:val="clear" w:color="auto" w:fill="auto"/>
            <w:noWrap/>
            <w:vAlign w:val="center"/>
            <w:hideMark/>
          </w:tcPr>
          <w:p w14:paraId="71121929"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w:t>
            </w:r>
          </w:p>
        </w:tc>
        <w:tc>
          <w:tcPr>
            <w:tcW w:w="603" w:type="pct"/>
            <w:shd w:val="clear" w:color="auto" w:fill="auto"/>
            <w:noWrap/>
            <w:vAlign w:val="center"/>
            <w:hideMark/>
          </w:tcPr>
          <w:p w14:paraId="5E5C3201"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5</w:t>
            </w:r>
          </w:p>
        </w:tc>
        <w:tc>
          <w:tcPr>
            <w:tcW w:w="602" w:type="pct"/>
            <w:shd w:val="clear" w:color="auto" w:fill="auto"/>
            <w:noWrap/>
            <w:vAlign w:val="center"/>
            <w:hideMark/>
          </w:tcPr>
          <w:p w14:paraId="11F730CD"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4</w:t>
            </w:r>
          </w:p>
        </w:tc>
      </w:tr>
      <w:tr w:rsidR="000D5000" w:rsidRPr="006557B3" w14:paraId="1E1B2D57" w14:textId="77777777" w:rsidTr="000D5000">
        <w:trPr>
          <w:trHeight w:val="227"/>
        </w:trPr>
        <w:tc>
          <w:tcPr>
            <w:tcW w:w="1989" w:type="pct"/>
            <w:shd w:val="clear" w:color="auto" w:fill="auto"/>
            <w:vAlign w:val="center"/>
            <w:hideMark/>
          </w:tcPr>
          <w:p w14:paraId="540D7A14" w14:textId="77777777" w:rsidR="000D5000" w:rsidRPr="006557B3" w:rsidRDefault="000D5000" w:rsidP="00C05C12">
            <w:pPr>
              <w:tabs>
                <w:tab w:val="left" w:pos="8647"/>
              </w:tabs>
              <w:spacing w:after="0"/>
              <w:rPr>
                <w:rFonts w:ascii="Times New Roman" w:hAnsi="Times New Roman" w:cs="Times New Roman"/>
                <w:sz w:val="24"/>
                <w:szCs w:val="24"/>
                <w:lang w:eastAsia="lv-LV"/>
              </w:rPr>
            </w:pPr>
            <w:r w:rsidRPr="006557B3">
              <w:rPr>
                <w:rFonts w:ascii="Times New Roman" w:hAnsi="Times New Roman" w:cs="Times New Roman"/>
                <w:sz w:val="24"/>
                <w:szCs w:val="24"/>
                <w:lang w:eastAsia="lv-LV"/>
              </w:rPr>
              <w:t>Tehnoloģiskā procesa ievērošana</w:t>
            </w:r>
          </w:p>
        </w:tc>
        <w:tc>
          <w:tcPr>
            <w:tcW w:w="602" w:type="pct"/>
            <w:shd w:val="clear" w:color="auto" w:fill="auto"/>
            <w:noWrap/>
            <w:vAlign w:val="center"/>
            <w:hideMark/>
          </w:tcPr>
          <w:p w14:paraId="24114076"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w:t>
            </w:r>
          </w:p>
        </w:tc>
        <w:tc>
          <w:tcPr>
            <w:tcW w:w="602" w:type="pct"/>
            <w:shd w:val="clear" w:color="auto" w:fill="auto"/>
            <w:noWrap/>
            <w:vAlign w:val="center"/>
            <w:hideMark/>
          </w:tcPr>
          <w:p w14:paraId="44E2B79F"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w:t>
            </w:r>
          </w:p>
        </w:tc>
        <w:tc>
          <w:tcPr>
            <w:tcW w:w="602" w:type="pct"/>
            <w:shd w:val="clear" w:color="auto" w:fill="auto"/>
            <w:noWrap/>
            <w:vAlign w:val="center"/>
            <w:hideMark/>
          </w:tcPr>
          <w:p w14:paraId="48AB36E9"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3</w:t>
            </w:r>
          </w:p>
        </w:tc>
        <w:tc>
          <w:tcPr>
            <w:tcW w:w="603" w:type="pct"/>
            <w:shd w:val="clear" w:color="auto" w:fill="auto"/>
            <w:noWrap/>
            <w:vAlign w:val="center"/>
            <w:hideMark/>
          </w:tcPr>
          <w:p w14:paraId="6B6674EA"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3</w:t>
            </w:r>
          </w:p>
        </w:tc>
        <w:tc>
          <w:tcPr>
            <w:tcW w:w="602" w:type="pct"/>
            <w:shd w:val="clear" w:color="auto" w:fill="auto"/>
            <w:noWrap/>
            <w:vAlign w:val="center"/>
            <w:hideMark/>
          </w:tcPr>
          <w:p w14:paraId="54A020E7"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4</w:t>
            </w:r>
          </w:p>
        </w:tc>
      </w:tr>
      <w:tr w:rsidR="000D5000" w:rsidRPr="006557B3" w14:paraId="0166F238" w14:textId="77777777" w:rsidTr="000D5000">
        <w:trPr>
          <w:trHeight w:val="227"/>
        </w:trPr>
        <w:tc>
          <w:tcPr>
            <w:tcW w:w="1989" w:type="pct"/>
            <w:shd w:val="clear" w:color="auto" w:fill="auto"/>
            <w:vAlign w:val="center"/>
            <w:hideMark/>
          </w:tcPr>
          <w:p w14:paraId="13A719E8" w14:textId="425A6E4C" w:rsidR="000D5000" w:rsidRPr="006557B3" w:rsidRDefault="000D5000" w:rsidP="00C05C12">
            <w:pPr>
              <w:tabs>
                <w:tab w:val="left" w:pos="8647"/>
              </w:tabs>
              <w:spacing w:after="0"/>
              <w:rPr>
                <w:rFonts w:ascii="Times New Roman" w:hAnsi="Times New Roman" w:cs="Times New Roman"/>
                <w:sz w:val="24"/>
                <w:szCs w:val="24"/>
                <w:lang w:eastAsia="lv-LV"/>
              </w:rPr>
            </w:pPr>
            <w:r w:rsidRPr="006557B3">
              <w:rPr>
                <w:rFonts w:ascii="Times New Roman" w:hAnsi="Times New Roman" w:cs="Times New Roman"/>
                <w:sz w:val="24"/>
                <w:szCs w:val="24"/>
                <w:lang w:eastAsia="lv-LV"/>
              </w:rPr>
              <w:lastRenderedPageBreak/>
              <w:t>Pārtikas temperatūras režīm</w:t>
            </w:r>
            <w:r w:rsidR="0035623C" w:rsidRPr="006557B3">
              <w:rPr>
                <w:rFonts w:ascii="Times New Roman" w:hAnsi="Times New Roman" w:cs="Times New Roman"/>
                <w:sz w:val="24"/>
                <w:szCs w:val="24"/>
                <w:lang w:eastAsia="lv-LV"/>
              </w:rPr>
              <w:t>s</w:t>
            </w:r>
          </w:p>
        </w:tc>
        <w:tc>
          <w:tcPr>
            <w:tcW w:w="602" w:type="pct"/>
            <w:shd w:val="clear" w:color="auto" w:fill="auto"/>
            <w:noWrap/>
            <w:vAlign w:val="center"/>
            <w:hideMark/>
          </w:tcPr>
          <w:p w14:paraId="0C998EB5"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0</w:t>
            </w:r>
          </w:p>
        </w:tc>
        <w:tc>
          <w:tcPr>
            <w:tcW w:w="602" w:type="pct"/>
            <w:shd w:val="clear" w:color="auto" w:fill="auto"/>
            <w:noWrap/>
            <w:vAlign w:val="center"/>
            <w:hideMark/>
          </w:tcPr>
          <w:p w14:paraId="7A047CC8"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0</w:t>
            </w:r>
          </w:p>
        </w:tc>
        <w:tc>
          <w:tcPr>
            <w:tcW w:w="602" w:type="pct"/>
            <w:shd w:val="clear" w:color="auto" w:fill="auto"/>
            <w:noWrap/>
            <w:vAlign w:val="center"/>
            <w:hideMark/>
          </w:tcPr>
          <w:p w14:paraId="19340C5B"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0</w:t>
            </w:r>
          </w:p>
        </w:tc>
        <w:tc>
          <w:tcPr>
            <w:tcW w:w="603" w:type="pct"/>
            <w:shd w:val="clear" w:color="auto" w:fill="auto"/>
            <w:noWrap/>
            <w:vAlign w:val="center"/>
            <w:hideMark/>
          </w:tcPr>
          <w:p w14:paraId="7CCAB0BC"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0</w:t>
            </w:r>
          </w:p>
        </w:tc>
        <w:tc>
          <w:tcPr>
            <w:tcW w:w="602" w:type="pct"/>
            <w:shd w:val="clear" w:color="auto" w:fill="auto"/>
            <w:noWrap/>
            <w:vAlign w:val="center"/>
            <w:hideMark/>
          </w:tcPr>
          <w:p w14:paraId="06EB068D"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w:t>
            </w:r>
          </w:p>
        </w:tc>
      </w:tr>
      <w:tr w:rsidR="000D5000" w:rsidRPr="006557B3" w14:paraId="3A639F56" w14:textId="77777777" w:rsidTr="000D5000">
        <w:trPr>
          <w:trHeight w:val="227"/>
        </w:trPr>
        <w:tc>
          <w:tcPr>
            <w:tcW w:w="1989" w:type="pct"/>
            <w:shd w:val="clear" w:color="auto" w:fill="auto"/>
            <w:vAlign w:val="center"/>
            <w:hideMark/>
          </w:tcPr>
          <w:p w14:paraId="6566FB26" w14:textId="77777777" w:rsidR="000D5000" w:rsidRPr="006557B3" w:rsidRDefault="000D5000" w:rsidP="00C05C12">
            <w:pPr>
              <w:tabs>
                <w:tab w:val="left" w:pos="8647"/>
              </w:tabs>
              <w:spacing w:after="0"/>
              <w:rPr>
                <w:rFonts w:ascii="Times New Roman" w:hAnsi="Times New Roman" w:cs="Times New Roman"/>
                <w:sz w:val="24"/>
                <w:szCs w:val="24"/>
                <w:lang w:eastAsia="lv-LV"/>
              </w:rPr>
            </w:pPr>
            <w:r w:rsidRPr="006557B3">
              <w:rPr>
                <w:rFonts w:ascii="Times New Roman" w:hAnsi="Times New Roman" w:cs="Times New Roman"/>
                <w:sz w:val="24"/>
                <w:szCs w:val="24"/>
                <w:lang w:eastAsia="lv-LV"/>
              </w:rPr>
              <w:t>Pārtikas marķējums</w:t>
            </w:r>
          </w:p>
        </w:tc>
        <w:tc>
          <w:tcPr>
            <w:tcW w:w="602" w:type="pct"/>
            <w:shd w:val="clear" w:color="auto" w:fill="auto"/>
            <w:noWrap/>
            <w:vAlign w:val="center"/>
            <w:hideMark/>
          </w:tcPr>
          <w:p w14:paraId="3ABDD279"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6</w:t>
            </w:r>
          </w:p>
        </w:tc>
        <w:tc>
          <w:tcPr>
            <w:tcW w:w="602" w:type="pct"/>
            <w:shd w:val="clear" w:color="auto" w:fill="auto"/>
            <w:noWrap/>
            <w:vAlign w:val="center"/>
            <w:hideMark/>
          </w:tcPr>
          <w:p w14:paraId="1F403FF4"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7</w:t>
            </w:r>
          </w:p>
        </w:tc>
        <w:tc>
          <w:tcPr>
            <w:tcW w:w="602" w:type="pct"/>
            <w:shd w:val="clear" w:color="auto" w:fill="auto"/>
            <w:noWrap/>
            <w:vAlign w:val="center"/>
            <w:hideMark/>
          </w:tcPr>
          <w:p w14:paraId="7EE23EDD"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8</w:t>
            </w:r>
          </w:p>
        </w:tc>
        <w:tc>
          <w:tcPr>
            <w:tcW w:w="603" w:type="pct"/>
            <w:shd w:val="clear" w:color="auto" w:fill="auto"/>
            <w:noWrap/>
            <w:vAlign w:val="center"/>
            <w:hideMark/>
          </w:tcPr>
          <w:p w14:paraId="4892B293"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3</w:t>
            </w:r>
          </w:p>
        </w:tc>
        <w:tc>
          <w:tcPr>
            <w:tcW w:w="602" w:type="pct"/>
            <w:shd w:val="clear" w:color="auto" w:fill="auto"/>
            <w:noWrap/>
            <w:vAlign w:val="center"/>
            <w:hideMark/>
          </w:tcPr>
          <w:p w14:paraId="3ED988D8"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5</w:t>
            </w:r>
          </w:p>
        </w:tc>
      </w:tr>
      <w:tr w:rsidR="000D5000" w:rsidRPr="006557B3" w14:paraId="3DD5C0D1" w14:textId="77777777" w:rsidTr="000D5000">
        <w:trPr>
          <w:trHeight w:val="227"/>
        </w:trPr>
        <w:tc>
          <w:tcPr>
            <w:tcW w:w="1989" w:type="pct"/>
            <w:shd w:val="clear" w:color="auto" w:fill="auto"/>
            <w:vAlign w:val="center"/>
            <w:hideMark/>
          </w:tcPr>
          <w:p w14:paraId="1AE46A0E" w14:textId="77777777" w:rsidR="000D5000" w:rsidRPr="006557B3" w:rsidRDefault="000D5000" w:rsidP="00C05C12">
            <w:pPr>
              <w:tabs>
                <w:tab w:val="left" w:pos="8647"/>
              </w:tabs>
              <w:spacing w:after="0"/>
              <w:rPr>
                <w:rFonts w:ascii="Times New Roman" w:hAnsi="Times New Roman" w:cs="Times New Roman"/>
                <w:sz w:val="24"/>
                <w:szCs w:val="24"/>
                <w:lang w:eastAsia="lv-LV"/>
              </w:rPr>
            </w:pPr>
            <w:r w:rsidRPr="006557B3">
              <w:rPr>
                <w:rFonts w:ascii="Times New Roman" w:hAnsi="Times New Roman" w:cs="Times New Roman"/>
                <w:sz w:val="24"/>
                <w:szCs w:val="24"/>
                <w:lang w:eastAsia="lv-LV"/>
              </w:rPr>
              <w:t>Pārtikas izsekojamība</w:t>
            </w:r>
          </w:p>
        </w:tc>
        <w:tc>
          <w:tcPr>
            <w:tcW w:w="602" w:type="pct"/>
            <w:shd w:val="clear" w:color="auto" w:fill="auto"/>
            <w:noWrap/>
            <w:vAlign w:val="center"/>
            <w:hideMark/>
          </w:tcPr>
          <w:p w14:paraId="47C55D53"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3</w:t>
            </w:r>
          </w:p>
        </w:tc>
        <w:tc>
          <w:tcPr>
            <w:tcW w:w="602" w:type="pct"/>
            <w:shd w:val="clear" w:color="auto" w:fill="auto"/>
            <w:noWrap/>
            <w:vAlign w:val="center"/>
            <w:hideMark/>
          </w:tcPr>
          <w:p w14:paraId="799A0281"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4</w:t>
            </w:r>
          </w:p>
        </w:tc>
        <w:tc>
          <w:tcPr>
            <w:tcW w:w="602" w:type="pct"/>
            <w:shd w:val="clear" w:color="auto" w:fill="auto"/>
            <w:noWrap/>
            <w:vAlign w:val="center"/>
            <w:hideMark/>
          </w:tcPr>
          <w:p w14:paraId="245F0866"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9</w:t>
            </w:r>
          </w:p>
        </w:tc>
        <w:tc>
          <w:tcPr>
            <w:tcW w:w="603" w:type="pct"/>
            <w:shd w:val="clear" w:color="auto" w:fill="auto"/>
            <w:noWrap/>
            <w:vAlign w:val="center"/>
            <w:hideMark/>
          </w:tcPr>
          <w:p w14:paraId="6CD1FC81"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4</w:t>
            </w:r>
          </w:p>
        </w:tc>
        <w:tc>
          <w:tcPr>
            <w:tcW w:w="602" w:type="pct"/>
            <w:shd w:val="clear" w:color="auto" w:fill="auto"/>
            <w:noWrap/>
            <w:vAlign w:val="center"/>
            <w:hideMark/>
          </w:tcPr>
          <w:p w14:paraId="4ED0DDB1"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7</w:t>
            </w:r>
          </w:p>
        </w:tc>
      </w:tr>
      <w:tr w:rsidR="000D5000" w:rsidRPr="006557B3" w14:paraId="59029D22" w14:textId="77777777" w:rsidTr="000D5000">
        <w:trPr>
          <w:trHeight w:val="227"/>
        </w:trPr>
        <w:tc>
          <w:tcPr>
            <w:tcW w:w="1989" w:type="pct"/>
            <w:shd w:val="clear" w:color="auto" w:fill="auto"/>
            <w:vAlign w:val="center"/>
            <w:hideMark/>
          </w:tcPr>
          <w:p w14:paraId="4C52F2E2" w14:textId="224635B3" w:rsidR="000D5000" w:rsidRPr="006557B3" w:rsidRDefault="000D5000" w:rsidP="00C05C12">
            <w:pPr>
              <w:tabs>
                <w:tab w:val="left" w:pos="8647"/>
              </w:tabs>
              <w:spacing w:after="0"/>
              <w:rPr>
                <w:rFonts w:ascii="Times New Roman" w:hAnsi="Times New Roman" w:cs="Times New Roman"/>
                <w:sz w:val="24"/>
                <w:szCs w:val="24"/>
                <w:lang w:val="fi-FI" w:eastAsia="lv-LV"/>
              </w:rPr>
            </w:pPr>
            <w:r w:rsidRPr="006557B3">
              <w:rPr>
                <w:rFonts w:ascii="Times New Roman" w:hAnsi="Times New Roman" w:cs="Times New Roman"/>
                <w:sz w:val="24"/>
                <w:szCs w:val="24"/>
                <w:lang w:val="fi-FI" w:eastAsia="lv-LV"/>
              </w:rPr>
              <w:t>Pārtikas iepakošana, t.sk. materiāli</w:t>
            </w:r>
          </w:p>
        </w:tc>
        <w:tc>
          <w:tcPr>
            <w:tcW w:w="602" w:type="pct"/>
            <w:shd w:val="clear" w:color="auto" w:fill="auto"/>
            <w:noWrap/>
            <w:vAlign w:val="center"/>
            <w:hideMark/>
          </w:tcPr>
          <w:p w14:paraId="253CA397"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9</w:t>
            </w:r>
          </w:p>
        </w:tc>
        <w:tc>
          <w:tcPr>
            <w:tcW w:w="602" w:type="pct"/>
            <w:shd w:val="clear" w:color="auto" w:fill="auto"/>
            <w:noWrap/>
            <w:vAlign w:val="center"/>
            <w:hideMark/>
          </w:tcPr>
          <w:p w14:paraId="225CA961"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8</w:t>
            </w:r>
          </w:p>
        </w:tc>
        <w:tc>
          <w:tcPr>
            <w:tcW w:w="602" w:type="pct"/>
            <w:shd w:val="clear" w:color="auto" w:fill="auto"/>
            <w:noWrap/>
            <w:vAlign w:val="center"/>
            <w:hideMark/>
          </w:tcPr>
          <w:p w14:paraId="57DAB9B1"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7</w:t>
            </w:r>
          </w:p>
        </w:tc>
        <w:tc>
          <w:tcPr>
            <w:tcW w:w="603" w:type="pct"/>
            <w:shd w:val="clear" w:color="auto" w:fill="auto"/>
            <w:noWrap/>
            <w:vAlign w:val="center"/>
            <w:hideMark/>
          </w:tcPr>
          <w:p w14:paraId="7D1291C4"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8</w:t>
            </w:r>
          </w:p>
        </w:tc>
        <w:tc>
          <w:tcPr>
            <w:tcW w:w="602" w:type="pct"/>
            <w:shd w:val="clear" w:color="auto" w:fill="auto"/>
            <w:noWrap/>
            <w:vAlign w:val="center"/>
            <w:hideMark/>
          </w:tcPr>
          <w:p w14:paraId="4C6EFD92"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7</w:t>
            </w:r>
          </w:p>
        </w:tc>
      </w:tr>
      <w:tr w:rsidR="000D5000" w:rsidRPr="006557B3" w14:paraId="0DB742C9" w14:textId="77777777" w:rsidTr="000D5000">
        <w:trPr>
          <w:trHeight w:val="227"/>
        </w:trPr>
        <w:tc>
          <w:tcPr>
            <w:tcW w:w="1989" w:type="pct"/>
            <w:shd w:val="clear" w:color="auto" w:fill="auto"/>
            <w:vAlign w:val="center"/>
            <w:hideMark/>
          </w:tcPr>
          <w:p w14:paraId="54530C0C" w14:textId="1A5B554C" w:rsidR="000D5000" w:rsidRPr="006557B3" w:rsidRDefault="000D5000" w:rsidP="00C05C12">
            <w:pPr>
              <w:tabs>
                <w:tab w:val="left" w:pos="8647"/>
              </w:tabs>
              <w:spacing w:after="0"/>
              <w:rPr>
                <w:rFonts w:ascii="Times New Roman" w:hAnsi="Times New Roman" w:cs="Times New Roman"/>
                <w:sz w:val="24"/>
                <w:szCs w:val="24"/>
                <w:lang w:val="en-US" w:eastAsia="lv-LV"/>
              </w:rPr>
            </w:pPr>
            <w:r w:rsidRPr="006557B3">
              <w:rPr>
                <w:rFonts w:ascii="Times New Roman" w:hAnsi="Times New Roman" w:cs="Times New Roman"/>
                <w:sz w:val="24"/>
                <w:szCs w:val="24"/>
                <w:lang w:val="en-US" w:eastAsia="lv-LV"/>
              </w:rPr>
              <w:t>Pārtikas derīguma termiņ</w:t>
            </w:r>
            <w:r w:rsidR="000A5851">
              <w:rPr>
                <w:rFonts w:ascii="Times New Roman" w:hAnsi="Times New Roman" w:cs="Times New Roman"/>
                <w:sz w:val="24"/>
                <w:szCs w:val="24"/>
                <w:lang w:val="en-US" w:eastAsia="lv-LV"/>
              </w:rPr>
              <w:t>š</w:t>
            </w:r>
            <w:r w:rsidRPr="006557B3">
              <w:rPr>
                <w:rFonts w:ascii="Times New Roman" w:hAnsi="Times New Roman" w:cs="Times New Roman"/>
                <w:sz w:val="24"/>
                <w:szCs w:val="24"/>
                <w:lang w:val="en-US" w:eastAsia="lv-LV"/>
              </w:rPr>
              <w:t>, to pamatojums</w:t>
            </w:r>
          </w:p>
        </w:tc>
        <w:tc>
          <w:tcPr>
            <w:tcW w:w="602" w:type="pct"/>
            <w:shd w:val="clear" w:color="auto" w:fill="auto"/>
            <w:noWrap/>
            <w:vAlign w:val="center"/>
            <w:hideMark/>
          </w:tcPr>
          <w:p w14:paraId="11021B61"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5</w:t>
            </w:r>
          </w:p>
        </w:tc>
        <w:tc>
          <w:tcPr>
            <w:tcW w:w="602" w:type="pct"/>
            <w:shd w:val="clear" w:color="auto" w:fill="auto"/>
            <w:noWrap/>
            <w:vAlign w:val="center"/>
            <w:hideMark/>
          </w:tcPr>
          <w:p w14:paraId="18E104C0"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w:t>
            </w:r>
          </w:p>
        </w:tc>
        <w:tc>
          <w:tcPr>
            <w:tcW w:w="602" w:type="pct"/>
            <w:shd w:val="clear" w:color="auto" w:fill="auto"/>
            <w:noWrap/>
            <w:vAlign w:val="center"/>
            <w:hideMark/>
          </w:tcPr>
          <w:p w14:paraId="0B7FE92F"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0</w:t>
            </w:r>
          </w:p>
        </w:tc>
        <w:tc>
          <w:tcPr>
            <w:tcW w:w="603" w:type="pct"/>
            <w:shd w:val="clear" w:color="auto" w:fill="auto"/>
            <w:noWrap/>
            <w:vAlign w:val="center"/>
            <w:hideMark/>
          </w:tcPr>
          <w:p w14:paraId="452162BA"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4</w:t>
            </w:r>
          </w:p>
        </w:tc>
        <w:tc>
          <w:tcPr>
            <w:tcW w:w="602" w:type="pct"/>
            <w:shd w:val="clear" w:color="auto" w:fill="auto"/>
            <w:noWrap/>
            <w:vAlign w:val="center"/>
            <w:hideMark/>
          </w:tcPr>
          <w:p w14:paraId="2CD54B52"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5</w:t>
            </w:r>
          </w:p>
        </w:tc>
      </w:tr>
      <w:tr w:rsidR="000D5000" w:rsidRPr="006557B3" w14:paraId="0DE4DF4C" w14:textId="77777777" w:rsidTr="000D5000">
        <w:trPr>
          <w:trHeight w:val="227"/>
        </w:trPr>
        <w:tc>
          <w:tcPr>
            <w:tcW w:w="1989" w:type="pct"/>
            <w:shd w:val="clear" w:color="auto" w:fill="auto"/>
            <w:vAlign w:val="center"/>
            <w:hideMark/>
          </w:tcPr>
          <w:p w14:paraId="4A89E320" w14:textId="77777777" w:rsidR="000D5000" w:rsidRPr="006557B3" w:rsidRDefault="000D5000" w:rsidP="00C05C12">
            <w:pPr>
              <w:tabs>
                <w:tab w:val="left" w:pos="8647"/>
              </w:tabs>
              <w:spacing w:after="0"/>
              <w:rPr>
                <w:rFonts w:ascii="Times New Roman" w:hAnsi="Times New Roman" w:cs="Times New Roman"/>
                <w:sz w:val="24"/>
                <w:szCs w:val="24"/>
                <w:lang w:eastAsia="lv-LV"/>
              </w:rPr>
            </w:pPr>
            <w:r w:rsidRPr="006557B3">
              <w:rPr>
                <w:rFonts w:ascii="Times New Roman" w:hAnsi="Times New Roman" w:cs="Times New Roman"/>
                <w:sz w:val="24"/>
                <w:szCs w:val="24"/>
                <w:lang w:eastAsia="lv-LV"/>
              </w:rPr>
              <w:t>Pārtikas piedevu lietošana</w:t>
            </w:r>
          </w:p>
        </w:tc>
        <w:tc>
          <w:tcPr>
            <w:tcW w:w="602" w:type="pct"/>
            <w:shd w:val="clear" w:color="auto" w:fill="auto"/>
            <w:noWrap/>
            <w:vAlign w:val="center"/>
            <w:hideMark/>
          </w:tcPr>
          <w:p w14:paraId="26DB0EC1"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w:t>
            </w:r>
          </w:p>
        </w:tc>
        <w:tc>
          <w:tcPr>
            <w:tcW w:w="602" w:type="pct"/>
            <w:shd w:val="clear" w:color="auto" w:fill="auto"/>
            <w:noWrap/>
            <w:vAlign w:val="center"/>
            <w:hideMark/>
          </w:tcPr>
          <w:p w14:paraId="3CD1CA92"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w:t>
            </w:r>
          </w:p>
        </w:tc>
        <w:tc>
          <w:tcPr>
            <w:tcW w:w="602" w:type="pct"/>
            <w:shd w:val="clear" w:color="auto" w:fill="auto"/>
            <w:noWrap/>
            <w:vAlign w:val="center"/>
            <w:hideMark/>
          </w:tcPr>
          <w:p w14:paraId="57550F51"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w:t>
            </w:r>
          </w:p>
        </w:tc>
        <w:tc>
          <w:tcPr>
            <w:tcW w:w="603" w:type="pct"/>
            <w:shd w:val="clear" w:color="auto" w:fill="auto"/>
            <w:noWrap/>
            <w:vAlign w:val="center"/>
            <w:hideMark/>
          </w:tcPr>
          <w:p w14:paraId="75396CD1"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0</w:t>
            </w:r>
          </w:p>
        </w:tc>
        <w:tc>
          <w:tcPr>
            <w:tcW w:w="602" w:type="pct"/>
            <w:shd w:val="clear" w:color="auto" w:fill="auto"/>
            <w:noWrap/>
            <w:vAlign w:val="center"/>
            <w:hideMark/>
          </w:tcPr>
          <w:p w14:paraId="37107853"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6</w:t>
            </w:r>
          </w:p>
        </w:tc>
      </w:tr>
      <w:tr w:rsidR="000D5000" w:rsidRPr="006557B3" w14:paraId="3E3FC803" w14:textId="77777777" w:rsidTr="000D5000">
        <w:trPr>
          <w:trHeight w:val="227"/>
        </w:trPr>
        <w:tc>
          <w:tcPr>
            <w:tcW w:w="1989" w:type="pct"/>
            <w:shd w:val="clear" w:color="auto" w:fill="auto"/>
            <w:vAlign w:val="center"/>
            <w:hideMark/>
          </w:tcPr>
          <w:p w14:paraId="2057239A" w14:textId="77777777" w:rsidR="000D5000" w:rsidRPr="006557B3" w:rsidRDefault="000D5000" w:rsidP="00C05C12">
            <w:pPr>
              <w:tabs>
                <w:tab w:val="left" w:pos="8647"/>
              </w:tabs>
              <w:spacing w:after="0"/>
              <w:rPr>
                <w:rFonts w:ascii="Times New Roman" w:hAnsi="Times New Roman" w:cs="Times New Roman"/>
                <w:sz w:val="24"/>
                <w:szCs w:val="24"/>
                <w:lang w:eastAsia="lv-LV"/>
              </w:rPr>
            </w:pPr>
            <w:r w:rsidRPr="006557B3">
              <w:rPr>
                <w:rFonts w:ascii="Times New Roman" w:hAnsi="Times New Roman" w:cs="Times New Roman"/>
                <w:sz w:val="24"/>
                <w:szCs w:val="24"/>
                <w:lang w:eastAsia="lv-LV"/>
              </w:rPr>
              <w:t>Personāla higiēna</w:t>
            </w:r>
          </w:p>
        </w:tc>
        <w:tc>
          <w:tcPr>
            <w:tcW w:w="602" w:type="pct"/>
            <w:shd w:val="clear" w:color="auto" w:fill="auto"/>
            <w:noWrap/>
            <w:vAlign w:val="center"/>
            <w:hideMark/>
          </w:tcPr>
          <w:p w14:paraId="49FD9F3D"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6</w:t>
            </w:r>
          </w:p>
        </w:tc>
        <w:tc>
          <w:tcPr>
            <w:tcW w:w="602" w:type="pct"/>
            <w:shd w:val="clear" w:color="auto" w:fill="auto"/>
            <w:noWrap/>
            <w:vAlign w:val="center"/>
            <w:hideMark/>
          </w:tcPr>
          <w:p w14:paraId="21D2CE43"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6</w:t>
            </w:r>
          </w:p>
        </w:tc>
        <w:tc>
          <w:tcPr>
            <w:tcW w:w="602" w:type="pct"/>
            <w:shd w:val="clear" w:color="auto" w:fill="auto"/>
            <w:noWrap/>
            <w:vAlign w:val="center"/>
            <w:hideMark/>
          </w:tcPr>
          <w:p w14:paraId="2F3FB7C8"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3</w:t>
            </w:r>
          </w:p>
        </w:tc>
        <w:tc>
          <w:tcPr>
            <w:tcW w:w="603" w:type="pct"/>
            <w:shd w:val="clear" w:color="auto" w:fill="auto"/>
            <w:noWrap/>
            <w:vAlign w:val="center"/>
            <w:hideMark/>
          </w:tcPr>
          <w:p w14:paraId="3A7A4C86"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7</w:t>
            </w:r>
          </w:p>
        </w:tc>
        <w:tc>
          <w:tcPr>
            <w:tcW w:w="602" w:type="pct"/>
            <w:shd w:val="clear" w:color="auto" w:fill="auto"/>
            <w:noWrap/>
            <w:vAlign w:val="center"/>
            <w:hideMark/>
          </w:tcPr>
          <w:p w14:paraId="00D6747E"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4</w:t>
            </w:r>
          </w:p>
        </w:tc>
      </w:tr>
      <w:tr w:rsidR="000D5000" w:rsidRPr="006557B3" w14:paraId="07832E32" w14:textId="77777777" w:rsidTr="000D5000">
        <w:trPr>
          <w:trHeight w:val="227"/>
        </w:trPr>
        <w:tc>
          <w:tcPr>
            <w:tcW w:w="1989" w:type="pct"/>
            <w:shd w:val="clear" w:color="auto" w:fill="auto"/>
            <w:vAlign w:val="center"/>
            <w:hideMark/>
          </w:tcPr>
          <w:p w14:paraId="2FE8E472" w14:textId="77777777" w:rsidR="000D5000" w:rsidRPr="006557B3" w:rsidRDefault="000D5000" w:rsidP="00C05C12">
            <w:pPr>
              <w:tabs>
                <w:tab w:val="left" w:pos="8647"/>
              </w:tabs>
              <w:spacing w:after="0"/>
              <w:rPr>
                <w:rFonts w:ascii="Times New Roman" w:hAnsi="Times New Roman" w:cs="Times New Roman"/>
                <w:sz w:val="24"/>
                <w:szCs w:val="24"/>
                <w:lang w:eastAsia="lv-LV"/>
              </w:rPr>
            </w:pPr>
            <w:r w:rsidRPr="006557B3">
              <w:rPr>
                <w:rFonts w:ascii="Times New Roman" w:hAnsi="Times New Roman" w:cs="Times New Roman"/>
                <w:sz w:val="24"/>
                <w:szCs w:val="24"/>
                <w:lang w:eastAsia="lv-LV"/>
              </w:rPr>
              <w:t>Personāla apmācība</w:t>
            </w:r>
          </w:p>
        </w:tc>
        <w:tc>
          <w:tcPr>
            <w:tcW w:w="602" w:type="pct"/>
            <w:shd w:val="clear" w:color="auto" w:fill="auto"/>
            <w:noWrap/>
            <w:vAlign w:val="center"/>
            <w:hideMark/>
          </w:tcPr>
          <w:p w14:paraId="1490C80D"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6</w:t>
            </w:r>
          </w:p>
        </w:tc>
        <w:tc>
          <w:tcPr>
            <w:tcW w:w="602" w:type="pct"/>
            <w:shd w:val="clear" w:color="auto" w:fill="auto"/>
            <w:noWrap/>
            <w:vAlign w:val="center"/>
            <w:hideMark/>
          </w:tcPr>
          <w:p w14:paraId="11575E03"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3</w:t>
            </w:r>
          </w:p>
        </w:tc>
        <w:tc>
          <w:tcPr>
            <w:tcW w:w="602" w:type="pct"/>
            <w:shd w:val="clear" w:color="auto" w:fill="auto"/>
            <w:noWrap/>
            <w:vAlign w:val="center"/>
            <w:hideMark/>
          </w:tcPr>
          <w:p w14:paraId="5FBE50E9"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6</w:t>
            </w:r>
          </w:p>
        </w:tc>
        <w:tc>
          <w:tcPr>
            <w:tcW w:w="603" w:type="pct"/>
            <w:shd w:val="clear" w:color="auto" w:fill="auto"/>
            <w:noWrap/>
            <w:vAlign w:val="center"/>
            <w:hideMark/>
          </w:tcPr>
          <w:p w14:paraId="2332E0D9"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8</w:t>
            </w:r>
          </w:p>
        </w:tc>
        <w:tc>
          <w:tcPr>
            <w:tcW w:w="602" w:type="pct"/>
            <w:shd w:val="clear" w:color="auto" w:fill="auto"/>
            <w:noWrap/>
            <w:vAlign w:val="center"/>
            <w:hideMark/>
          </w:tcPr>
          <w:p w14:paraId="71E8B561"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5</w:t>
            </w:r>
          </w:p>
        </w:tc>
      </w:tr>
      <w:tr w:rsidR="000D5000" w:rsidRPr="006557B3" w14:paraId="3944DFEC" w14:textId="77777777" w:rsidTr="000D5000">
        <w:trPr>
          <w:trHeight w:val="227"/>
        </w:trPr>
        <w:tc>
          <w:tcPr>
            <w:tcW w:w="1989" w:type="pct"/>
            <w:shd w:val="clear" w:color="auto" w:fill="auto"/>
            <w:vAlign w:val="center"/>
            <w:hideMark/>
          </w:tcPr>
          <w:p w14:paraId="4E8FF3A1" w14:textId="77777777" w:rsidR="000D5000" w:rsidRPr="006557B3" w:rsidRDefault="000D5000" w:rsidP="00C05C12">
            <w:pPr>
              <w:tabs>
                <w:tab w:val="left" w:pos="8647"/>
              </w:tabs>
              <w:spacing w:after="0"/>
              <w:rPr>
                <w:rFonts w:ascii="Times New Roman" w:hAnsi="Times New Roman" w:cs="Times New Roman"/>
                <w:sz w:val="24"/>
                <w:szCs w:val="24"/>
                <w:lang w:eastAsia="lv-LV"/>
              </w:rPr>
            </w:pPr>
            <w:r w:rsidRPr="006557B3">
              <w:rPr>
                <w:rFonts w:ascii="Times New Roman" w:hAnsi="Times New Roman" w:cs="Times New Roman"/>
                <w:sz w:val="24"/>
                <w:szCs w:val="24"/>
                <w:lang w:eastAsia="lv-LV"/>
              </w:rPr>
              <w:t>Pārtikā neizmantojamie dzīvnieku izcelsmes blakusprodukti</w:t>
            </w:r>
          </w:p>
        </w:tc>
        <w:tc>
          <w:tcPr>
            <w:tcW w:w="602" w:type="pct"/>
            <w:shd w:val="clear" w:color="auto" w:fill="auto"/>
            <w:noWrap/>
            <w:vAlign w:val="center"/>
            <w:hideMark/>
          </w:tcPr>
          <w:p w14:paraId="03823B90"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0</w:t>
            </w:r>
          </w:p>
        </w:tc>
        <w:tc>
          <w:tcPr>
            <w:tcW w:w="602" w:type="pct"/>
            <w:shd w:val="clear" w:color="auto" w:fill="auto"/>
            <w:noWrap/>
            <w:vAlign w:val="center"/>
            <w:hideMark/>
          </w:tcPr>
          <w:p w14:paraId="3633AF25"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0</w:t>
            </w:r>
          </w:p>
        </w:tc>
        <w:tc>
          <w:tcPr>
            <w:tcW w:w="602" w:type="pct"/>
            <w:shd w:val="clear" w:color="auto" w:fill="auto"/>
            <w:noWrap/>
            <w:vAlign w:val="center"/>
            <w:hideMark/>
          </w:tcPr>
          <w:p w14:paraId="77D3023E"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0</w:t>
            </w:r>
          </w:p>
        </w:tc>
        <w:tc>
          <w:tcPr>
            <w:tcW w:w="603" w:type="pct"/>
            <w:shd w:val="clear" w:color="auto" w:fill="auto"/>
            <w:noWrap/>
            <w:vAlign w:val="center"/>
            <w:hideMark/>
          </w:tcPr>
          <w:p w14:paraId="750A02A0"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0</w:t>
            </w:r>
          </w:p>
        </w:tc>
        <w:tc>
          <w:tcPr>
            <w:tcW w:w="602" w:type="pct"/>
            <w:shd w:val="clear" w:color="auto" w:fill="auto"/>
            <w:noWrap/>
            <w:vAlign w:val="center"/>
            <w:hideMark/>
          </w:tcPr>
          <w:p w14:paraId="1C13A8F1"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0</w:t>
            </w:r>
          </w:p>
        </w:tc>
      </w:tr>
      <w:tr w:rsidR="000D5000" w:rsidRPr="006557B3" w14:paraId="67B148E7" w14:textId="77777777" w:rsidTr="000D5000">
        <w:trPr>
          <w:trHeight w:val="227"/>
        </w:trPr>
        <w:tc>
          <w:tcPr>
            <w:tcW w:w="1989" w:type="pct"/>
            <w:shd w:val="clear" w:color="auto" w:fill="auto"/>
            <w:vAlign w:val="center"/>
            <w:hideMark/>
          </w:tcPr>
          <w:p w14:paraId="224F2752" w14:textId="77777777" w:rsidR="000D5000" w:rsidRPr="006557B3" w:rsidRDefault="000D5000" w:rsidP="00C05C12">
            <w:pPr>
              <w:tabs>
                <w:tab w:val="left" w:pos="8647"/>
              </w:tabs>
              <w:spacing w:after="0"/>
              <w:rPr>
                <w:rFonts w:ascii="Times New Roman" w:hAnsi="Times New Roman" w:cs="Times New Roman"/>
                <w:sz w:val="24"/>
                <w:szCs w:val="24"/>
                <w:lang w:eastAsia="lv-LV"/>
              </w:rPr>
            </w:pPr>
            <w:r w:rsidRPr="006557B3">
              <w:rPr>
                <w:rFonts w:ascii="Times New Roman" w:hAnsi="Times New Roman" w:cs="Times New Roman"/>
                <w:i/>
                <w:sz w:val="24"/>
                <w:szCs w:val="24"/>
                <w:lang w:eastAsia="lv-LV"/>
              </w:rPr>
              <w:t>HACCP</w:t>
            </w:r>
            <w:r w:rsidRPr="006557B3">
              <w:rPr>
                <w:rFonts w:ascii="Times New Roman" w:hAnsi="Times New Roman" w:cs="Times New Roman"/>
                <w:sz w:val="24"/>
                <w:szCs w:val="24"/>
                <w:lang w:eastAsia="lv-LV"/>
              </w:rPr>
              <w:t xml:space="preserve"> (paškontroles) procedūras</w:t>
            </w:r>
          </w:p>
        </w:tc>
        <w:tc>
          <w:tcPr>
            <w:tcW w:w="602" w:type="pct"/>
            <w:shd w:val="clear" w:color="auto" w:fill="auto"/>
            <w:noWrap/>
            <w:vAlign w:val="center"/>
            <w:hideMark/>
          </w:tcPr>
          <w:p w14:paraId="51A42C4F"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14</w:t>
            </w:r>
          </w:p>
        </w:tc>
        <w:tc>
          <w:tcPr>
            <w:tcW w:w="602" w:type="pct"/>
            <w:shd w:val="clear" w:color="auto" w:fill="auto"/>
            <w:noWrap/>
            <w:vAlign w:val="center"/>
            <w:hideMark/>
          </w:tcPr>
          <w:p w14:paraId="2244C365"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14</w:t>
            </w:r>
          </w:p>
        </w:tc>
        <w:tc>
          <w:tcPr>
            <w:tcW w:w="602" w:type="pct"/>
            <w:shd w:val="clear" w:color="auto" w:fill="auto"/>
            <w:noWrap/>
            <w:vAlign w:val="center"/>
            <w:hideMark/>
          </w:tcPr>
          <w:p w14:paraId="4308B45C"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15</w:t>
            </w:r>
          </w:p>
        </w:tc>
        <w:tc>
          <w:tcPr>
            <w:tcW w:w="603" w:type="pct"/>
            <w:shd w:val="clear" w:color="auto" w:fill="auto"/>
            <w:noWrap/>
            <w:vAlign w:val="center"/>
            <w:hideMark/>
          </w:tcPr>
          <w:p w14:paraId="3FFC0FE1"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17</w:t>
            </w:r>
          </w:p>
        </w:tc>
        <w:tc>
          <w:tcPr>
            <w:tcW w:w="602" w:type="pct"/>
            <w:shd w:val="clear" w:color="auto" w:fill="auto"/>
            <w:noWrap/>
            <w:vAlign w:val="center"/>
            <w:hideMark/>
          </w:tcPr>
          <w:p w14:paraId="43F9F824"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22</w:t>
            </w:r>
          </w:p>
        </w:tc>
      </w:tr>
      <w:tr w:rsidR="000D5000" w:rsidRPr="006557B3" w14:paraId="595B8336" w14:textId="77777777" w:rsidTr="000D5000">
        <w:trPr>
          <w:trHeight w:val="227"/>
        </w:trPr>
        <w:tc>
          <w:tcPr>
            <w:tcW w:w="1989" w:type="pct"/>
            <w:shd w:val="clear" w:color="auto" w:fill="auto"/>
            <w:vAlign w:val="center"/>
            <w:hideMark/>
          </w:tcPr>
          <w:p w14:paraId="1746BF3B" w14:textId="77777777" w:rsidR="000D5000" w:rsidRPr="006557B3" w:rsidRDefault="000D5000" w:rsidP="00C05C12">
            <w:pPr>
              <w:tabs>
                <w:tab w:val="left" w:pos="8647"/>
              </w:tabs>
              <w:spacing w:after="0"/>
              <w:rPr>
                <w:rFonts w:ascii="Times New Roman" w:hAnsi="Times New Roman" w:cs="Times New Roman"/>
                <w:sz w:val="24"/>
                <w:szCs w:val="24"/>
                <w:lang w:eastAsia="lv-LV"/>
              </w:rPr>
            </w:pPr>
            <w:r w:rsidRPr="006557B3">
              <w:rPr>
                <w:rFonts w:ascii="Times New Roman" w:hAnsi="Times New Roman" w:cs="Times New Roman"/>
                <w:sz w:val="24"/>
                <w:szCs w:val="24"/>
                <w:lang w:eastAsia="lv-LV"/>
              </w:rPr>
              <w:t>Tīrīšanas un dezinfekcijas procedūras</w:t>
            </w:r>
          </w:p>
        </w:tc>
        <w:tc>
          <w:tcPr>
            <w:tcW w:w="602" w:type="pct"/>
            <w:shd w:val="clear" w:color="auto" w:fill="auto"/>
            <w:noWrap/>
            <w:vAlign w:val="center"/>
            <w:hideMark/>
          </w:tcPr>
          <w:p w14:paraId="1022F0D6"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6</w:t>
            </w:r>
          </w:p>
        </w:tc>
        <w:tc>
          <w:tcPr>
            <w:tcW w:w="602" w:type="pct"/>
            <w:shd w:val="clear" w:color="auto" w:fill="auto"/>
            <w:noWrap/>
            <w:vAlign w:val="center"/>
            <w:hideMark/>
          </w:tcPr>
          <w:p w14:paraId="277DF046"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w:t>
            </w:r>
          </w:p>
        </w:tc>
        <w:tc>
          <w:tcPr>
            <w:tcW w:w="602" w:type="pct"/>
            <w:shd w:val="clear" w:color="auto" w:fill="auto"/>
            <w:noWrap/>
            <w:vAlign w:val="center"/>
            <w:hideMark/>
          </w:tcPr>
          <w:p w14:paraId="25777F8E"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w:t>
            </w:r>
          </w:p>
        </w:tc>
        <w:tc>
          <w:tcPr>
            <w:tcW w:w="603" w:type="pct"/>
            <w:shd w:val="clear" w:color="auto" w:fill="auto"/>
            <w:noWrap/>
            <w:vAlign w:val="center"/>
            <w:hideMark/>
          </w:tcPr>
          <w:p w14:paraId="7465210E"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w:t>
            </w:r>
          </w:p>
        </w:tc>
        <w:tc>
          <w:tcPr>
            <w:tcW w:w="602" w:type="pct"/>
            <w:shd w:val="clear" w:color="auto" w:fill="auto"/>
            <w:noWrap/>
            <w:vAlign w:val="center"/>
            <w:hideMark/>
          </w:tcPr>
          <w:p w14:paraId="66B2184F"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w:t>
            </w:r>
          </w:p>
        </w:tc>
      </w:tr>
      <w:tr w:rsidR="000D5000" w:rsidRPr="006557B3" w14:paraId="247ECF6E" w14:textId="77777777" w:rsidTr="000D5000">
        <w:trPr>
          <w:trHeight w:val="227"/>
        </w:trPr>
        <w:tc>
          <w:tcPr>
            <w:tcW w:w="1989" w:type="pct"/>
            <w:shd w:val="clear" w:color="auto" w:fill="auto"/>
            <w:vAlign w:val="center"/>
            <w:hideMark/>
          </w:tcPr>
          <w:p w14:paraId="26C599C4" w14:textId="77777777" w:rsidR="000D5000" w:rsidRPr="006557B3" w:rsidRDefault="000D5000" w:rsidP="00C05C12">
            <w:pPr>
              <w:tabs>
                <w:tab w:val="left" w:pos="8647"/>
              </w:tabs>
              <w:spacing w:after="0"/>
              <w:rPr>
                <w:rFonts w:ascii="Times New Roman" w:hAnsi="Times New Roman" w:cs="Times New Roman"/>
                <w:sz w:val="24"/>
                <w:szCs w:val="24"/>
                <w:lang w:eastAsia="lv-LV"/>
              </w:rPr>
            </w:pPr>
            <w:r w:rsidRPr="006557B3">
              <w:rPr>
                <w:rFonts w:ascii="Times New Roman" w:hAnsi="Times New Roman" w:cs="Times New Roman"/>
                <w:sz w:val="24"/>
                <w:szCs w:val="24"/>
                <w:lang w:eastAsia="lv-LV"/>
              </w:rPr>
              <w:t>Deratizācijas un dezinsekcijas procedūras</w:t>
            </w:r>
          </w:p>
        </w:tc>
        <w:tc>
          <w:tcPr>
            <w:tcW w:w="602" w:type="pct"/>
            <w:shd w:val="clear" w:color="auto" w:fill="auto"/>
            <w:noWrap/>
            <w:vAlign w:val="center"/>
            <w:hideMark/>
          </w:tcPr>
          <w:p w14:paraId="05A8C44E"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3</w:t>
            </w:r>
          </w:p>
        </w:tc>
        <w:tc>
          <w:tcPr>
            <w:tcW w:w="602" w:type="pct"/>
            <w:shd w:val="clear" w:color="auto" w:fill="auto"/>
            <w:noWrap/>
            <w:vAlign w:val="center"/>
            <w:hideMark/>
          </w:tcPr>
          <w:p w14:paraId="367F9E7B"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w:t>
            </w:r>
          </w:p>
        </w:tc>
        <w:tc>
          <w:tcPr>
            <w:tcW w:w="602" w:type="pct"/>
            <w:shd w:val="clear" w:color="auto" w:fill="auto"/>
            <w:noWrap/>
            <w:vAlign w:val="center"/>
            <w:hideMark/>
          </w:tcPr>
          <w:p w14:paraId="58EFACB9"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w:t>
            </w:r>
          </w:p>
        </w:tc>
        <w:tc>
          <w:tcPr>
            <w:tcW w:w="603" w:type="pct"/>
            <w:shd w:val="clear" w:color="auto" w:fill="auto"/>
            <w:noWrap/>
            <w:vAlign w:val="center"/>
            <w:hideMark/>
          </w:tcPr>
          <w:p w14:paraId="7DC21F74"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1</w:t>
            </w:r>
          </w:p>
        </w:tc>
        <w:tc>
          <w:tcPr>
            <w:tcW w:w="602" w:type="pct"/>
            <w:shd w:val="clear" w:color="auto" w:fill="auto"/>
            <w:noWrap/>
            <w:vAlign w:val="center"/>
            <w:hideMark/>
          </w:tcPr>
          <w:p w14:paraId="1B3D94B6" w14:textId="77777777" w:rsidR="000D5000" w:rsidRPr="006557B3" w:rsidRDefault="000D500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2</w:t>
            </w:r>
          </w:p>
        </w:tc>
      </w:tr>
      <w:tr w:rsidR="000D5000" w:rsidRPr="006557B3" w14:paraId="79BF6434" w14:textId="77777777" w:rsidTr="000D5000">
        <w:trPr>
          <w:trHeight w:val="330"/>
        </w:trPr>
        <w:tc>
          <w:tcPr>
            <w:tcW w:w="1989" w:type="pct"/>
            <w:shd w:val="clear" w:color="auto" w:fill="auto"/>
            <w:vAlign w:val="center"/>
            <w:hideMark/>
          </w:tcPr>
          <w:p w14:paraId="2FE8631D" w14:textId="77777777" w:rsidR="000D5000" w:rsidRPr="006557B3" w:rsidRDefault="000D5000" w:rsidP="00C05C12">
            <w:pPr>
              <w:tabs>
                <w:tab w:val="left" w:pos="8647"/>
              </w:tabs>
              <w:spacing w:after="0"/>
              <w:jc w:val="right"/>
              <w:rPr>
                <w:rFonts w:ascii="Times New Roman" w:hAnsi="Times New Roman" w:cs="Times New Roman"/>
                <w:b/>
                <w:bCs/>
                <w:sz w:val="24"/>
                <w:szCs w:val="24"/>
                <w:lang w:eastAsia="lv-LV"/>
              </w:rPr>
            </w:pPr>
            <w:r w:rsidRPr="006557B3">
              <w:rPr>
                <w:rFonts w:ascii="Times New Roman" w:hAnsi="Times New Roman" w:cs="Times New Roman"/>
                <w:b/>
                <w:bCs/>
                <w:sz w:val="24"/>
                <w:szCs w:val="24"/>
                <w:lang w:eastAsia="lv-LV"/>
              </w:rPr>
              <w:t>Kopā</w:t>
            </w:r>
          </w:p>
        </w:tc>
        <w:tc>
          <w:tcPr>
            <w:tcW w:w="602" w:type="pct"/>
            <w:shd w:val="clear" w:color="auto" w:fill="auto"/>
            <w:noWrap/>
            <w:vAlign w:val="center"/>
            <w:hideMark/>
          </w:tcPr>
          <w:p w14:paraId="012F1333" w14:textId="77777777"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84</w:t>
            </w:r>
          </w:p>
        </w:tc>
        <w:tc>
          <w:tcPr>
            <w:tcW w:w="602" w:type="pct"/>
            <w:shd w:val="clear" w:color="auto" w:fill="auto"/>
            <w:noWrap/>
            <w:vAlign w:val="center"/>
            <w:hideMark/>
          </w:tcPr>
          <w:p w14:paraId="06003FD5" w14:textId="77777777"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71</w:t>
            </w:r>
          </w:p>
        </w:tc>
        <w:tc>
          <w:tcPr>
            <w:tcW w:w="602" w:type="pct"/>
            <w:shd w:val="clear" w:color="auto" w:fill="auto"/>
            <w:noWrap/>
            <w:vAlign w:val="center"/>
            <w:hideMark/>
          </w:tcPr>
          <w:p w14:paraId="529D799D" w14:textId="77777777"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77</w:t>
            </w:r>
          </w:p>
        </w:tc>
        <w:tc>
          <w:tcPr>
            <w:tcW w:w="603" w:type="pct"/>
            <w:shd w:val="clear" w:color="auto" w:fill="auto"/>
            <w:noWrap/>
            <w:vAlign w:val="center"/>
            <w:hideMark/>
          </w:tcPr>
          <w:p w14:paraId="7E4F59F3" w14:textId="77777777"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85</w:t>
            </w:r>
          </w:p>
        </w:tc>
        <w:tc>
          <w:tcPr>
            <w:tcW w:w="602" w:type="pct"/>
            <w:shd w:val="clear" w:color="auto" w:fill="auto"/>
            <w:noWrap/>
            <w:vAlign w:val="center"/>
            <w:hideMark/>
          </w:tcPr>
          <w:p w14:paraId="453ABF08" w14:textId="77777777" w:rsidR="000D5000" w:rsidRPr="006557B3" w:rsidRDefault="000D500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93</w:t>
            </w:r>
          </w:p>
        </w:tc>
      </w:tr>
    </w:tbl>
    <w:p w14:paraId="3E7417FA" w14:textId="77777777" w:rsidR="000D5000" w:rsidRPr="006557B3" w:rsidRDefault="000D5000" w:rsidP="00C05C12">
      <w:pPr>
        <w:tabs>
          <w:tab w:val="left" w:pos="8647"/>
        </w:tabs>
        <w:spacing w:after="0"/>
        <w:rPr>
          <w:rFonts w:ascii="Times New Roman" w:hAnsi="Times New Roman" w:cs="Times New Roman"/>
          <w:sz w:val="24"/>
          <w:szCs w:val="24"/>
          <w:u w:val="single"/>
        </w:rPr>
      </w:pPr>
    </w:p>
    <w:p w14:paraId="27253276" w14:textId="110771CA" w:rsidR="00EA52A9" w:rsidRPr="006557B3" w:rsidRDefault="005647AE" w:rsidP="00EA52A9">
      <w:pPr>
        <w:tabs>
          <w:tab w:val="left" w:pos="8647"/>
        </w:tabs>
        <w:spacing w:after="0" w:line="240" w:lineRule="auto"/>
        <w:ind w:firstLine="709"/>
        <w:jc w:val="both"/>
        <w:rPr>
          <w:rFonts w:ascii="Times New Roman" w:hAnsi="Times New Roman" w:cs="Times New Roman"/>
          <w:sz w:val="24"/>
          <w:szCs w:val="24"/>
          <w:u w:val="single"/>
        </w:rPr>
      </w:pPr>
      <w:r w:rsidRPr="006557B3">
        <w:rPr>
          <w:rFonts w:ascii="Times New Roman" w:hAnsi="Times New Roman" w:cs="Times New Roman"/>
          <w:sz w:val="24"/>
          <w:szCs w:val="24"/>
        </w:rPr>
        <w:t xml:space="preserve">PVD </w:t>
      </w:r>
      <w:r w:rsidR="0035623C" w:rsidRPr="006557B3">
        <w:rPr>
          <w:rFonts w:ascii="Times New Roman" w:hAnsi="Times New Roman" w:cs="Times New Roman"/>
          <w:sz w:val="24"/>
          <w:szCs w:val="24"/>
        </w:rPr>
        <w:t xml:space="preserve">ir </w:t>
      </w:r>
      <w:r w:rsidRPr="006557B3">
        <w:rPr>
          <w:rFonts w:ascii="Times New Roman" w:hAnsi="Times New Roman" w:cs="Times New Roman"/>
          <w:sz w:val="24"/>
          <w:szCs w:val="24"/>
        </w:rPr>
        <w:t xml:space="preserve">veicis </w:t>
      </w:r>
      <w:r w:rsidRPr="006557B3">
        <w:rPr>
          <w:rFonts w:ascii="Times New Roman" w:hAnsi="Times New Roman" w:cs="Times New Roman"/>
          <w:bCs/>
          <w:sz w:val="24"/>
          <w:szCs w:val="24"/>
        </w:rPr>
        <w:t>51</w:t>
      </w:r>
      <w:r w:rsidRPr="006557B3">
        <w:rPr>
          <w:rFonts w:ascii="Times New Roman" w:hAnsi="Times New Roman" w:cs="Times New Roman"/>
          <w:sz w:val="24"/>
          <w:szCs w:val="24"/>
        </w:rPr>
        <w:t xml:space="preserve"> </w:t>
      </w:r>
      <w:r w:rsidR="00E039D3" w:rsidRPr="006557B3">
        <w:rPr>
          <w:rFonts w:ascii="Times New Roman" w:hAnsi="Times New Roman" w:cs="Times New Roman"/>
          <w:sz w:val="24"/>
          <w:szCs w:val="24"/>
        </w:rPr>
        <w:t>kontroli</w:t>
      </w:r>
      <w:r w:rsidRPr="006557B3">
        <w:rPr>
          <w:rFonts w:ascii="Times New Roman" w:hAnsi="Times New Roman" w:cs="Times New Roman"/>
          <w:sz w:val="24"/>
          <w:szCs w:val="24"/>
        </w:rPr>
        <w:t xml:space="preserve"> u</w:t>
      </w:r>
      <w:r w:rsidRPr="006557B3">
        <w:rPr>
          <w:rFonts w:ascii="Times New Roman" w:hAnsi="Times New Roman" w:cs="Times New Roman"/>
          <w:bCs/>
          <w:sz w:val="24"/>
          <w:szCs w:val="24"/>
        </w:rPr>
        <w:t>ztura bagātinātāju</w:t>
      </w:r>
      <w:r w:rsidRPr="006557B3">
        <w:rPr>
          <w:rFonts w:ascii="Times New Roman" w:hAnsi="Times New Roman" w:cs="Times New Roman"/>
          <w:sz w:val="24"/>
          <w:szCs w:val="24"/>
        </w:rPr>
        <w:t xml:space="preserve"> ražošanas uzņēmumos.</w:t>
      </w:r>
      <w:r w:rsidR="0035623C" w:rsidRPr="006557B3">
        <w:rPr>
          <w:rFonts w:ascii="Times New Roman" w:hAnsi="Times New Roman" w:cs="Times New Roman"/>
          <w:sz w:val="24"/>
          <w:szCs w:val="24"/>
        </w:rPr>
        <w:t xml:space="preserve"> </w:t>
      </w:r>
      <w:r w:rsidR="00E039D3" w:rsidRPr="006557B3">
        <w:rPr>
          <w:rFonts w:ascii="Times New Roman" w:hAnsi="Times New Roman" w:cs="Times New Roman"/>
          <w:sz w:val="24"/>
          <w:szCs w:val="24"/>
        </w:rPr>
        <w:t>Kontroļu</w:t>
      </w:r>
      <w:r w:rsidRPr="006557B3">
        <w:rPr>
          <w:rFonts w:ascii="Times New Roman" w:hAnsi="Times New Roman" w:cs="Times New Roman"/>
          <w:sz w:val="24"/>
          <w:szCs w:val="24"/>
        </w:rPr>
        <w:t xml:space="preserve"> laikā konstatētas </w:t>
      </w:r>
      <w:r w:rsidRPr="006557B3">
        <w:rPr>
          <w:rFonts w:ascii="Times New Roman" w:hAnsi="Times New Roman" w:cs="Times New Roman"/>
          <w:bCs/>
          <w:sz w:val="24"/>
          <w:szCs w:val="24"/>
        </w:rPr>
        <w:t>93</w:t>
      </w:r>
      <w:r w:rsidRPr="006557B3">
        <w:rPr>
          <w:rFonts w:ascii="Times New Roman" w:hAnsi="Times New Roman" w:cs="Times New Roman"/>
          <w:sz w:val="24"/>
          <w:szCs w:val="24"/>
        </w:rPr>
        <w:t xml:space="preserve"> neatbilstības, no tām visvairāk neatbilstīb</w:t>
      </w:r>
      <w:r w:rsidR="0035623C" w:rsidRPr="006557B3">
        <w:rPr>
          <w:rFonts w:ascii="Times New Roman" w:hAnsi="Times New Roman" w:cs="Times New Roman"/>
          <w:sz w:val="24"/>
          <w:szCs w:val="24"/>
        </w:rPr>
        <w:t>u bijis</w:t>
      </w:r>
      <w:r w:rsidRPr="006557B3">
        <w:rPr>
          <w:rFonts w:ascii="Times New Roman" w:hAnsi="Times New Roman" w:cs="Times New Roman"/>
          <w:sz w:val="24"/>
          <w:szCs w:val="24"/>
        </w:rPr>
        <w:t xml:space="preserve"> paškontroles procedūrās </w:t>
      </w:r>
      <w:r w:rsidR="0035623C" w:rsidRPr="006557B3">
        <w:rPr>
          <w:rFonts w:ascii="Times New Roman" w:hAnsi="Times New Roman" w:cs="Times New Roman"/>
          <w:sz w:val="24"/>
          <w:szCs w:val="24"/>
        </w:rPr>
        <w:t>(</w:t>
      </w:r>
      <w:r w:rsidRPr="006557B3">
        <w:rPr>
          <w:rFonts w:ascii="Times New Roman" w:hAnsi="Times New Roman" w:cs="Times New Roman"/>
          <w:sz w:val="24"/>
          <w:szCs w:val="24"/>
        </w:rPr>
        <w:t>22</w:t>
      </w:r>
      <w:r w:rsidR="000A5851">
        <w:rPr>
          <w:rFonts w:ascii="Times New Roman" w:hAnsi="Times New Roman" w:cs="Times New Roman"/>
          <w:sz w:val="24"/>
          <w:szCs w:val="24"/>
        </w:rPr>
        <w:t> </w:t>
      </w:r>
      <w:r w:rsidRPr="006557B3">
        <w:rPr>
          <w:rFonts w:ascii="Times New Roman" w:hAnsi="Times New Roman" w:cs="Times New Roman"/>
          <w:sz w:val="24"/>
          <w:szCs w:val="24"/>
        </w:rPr>
        <w:t>gadījumi</w:t>
      </w:r>
      <w:r w:rsidR="0035623C" w:rsidRPr="006557B3">
        <w:rPr>
          <w:rFonts w:ascii="Times New Roman" w:hAnsi="Times New Roman" w:cs="Times New Roman"/>
          <w:sz w:val="24"/>
          <w:szCs w:val="24"/>
        </w:rPr>
        <w:t>),</w:t>
      </w:r>
      <w:r w:rsidRPr="006557B3">
        <w:rPr>
          <w:rFonts w:ascii="Times New Roman" w:hAnsi="Times New Roman" w:cs="Times New Roman"/>
          <w:sz w:val="24"/>
          <w:szCs w:val="24"/>
        </w:rPr>
        <w:t xml:space="preserve"> neatbilstības pārtikas aprites telpu higiēn</w:t>
      </w:r>
      <w:r w:rsidR="0035623C" w:rsidRPr="006557B3">
        <w:rPr>
          <w:rFonts w:ascii="Times New Roman" w:hAnsi="Times New Roman" w:cs="Times New Roman"/>
          <w:sz w:val="24"/>
          <w:szCs w:val="24"/>
        </w:rPr>
        <w:t>ā</w:t>
      </w:r>
      <w:r w:rsidRPr="006557B3">
        <w:rPr>
          <w:rFonts w:ascii="Times New Roman" w:hAnsi="Times New Roman" w:cs="Times New Roman"/>
          <w:sz w:val="24"/>
          <w:szCs w:val="24"/>
        </w:rPr>
        <w:t xml:space="preserve"> </w:t>
      </w:r>
      <w:r w:rsidR="0035623C" w:rsidRPr="006557B3">
        <w:rPr>
          <w:rFonts w:ascii="Times New Roman" w:hAnsi="Times New Roman" w:cs="Times New Roman"/>
          <w:sz w:val="24"/>
          <w:szCs w:val="24"/>
        </w:rPr>
        <w:t>(</w:t>
      </w:r>
      <w:r w:rsidRPr="006557B3">
        <w:rPr>
          <w:rFonts w:ascii="Times New Roman" w:hAnsi="Times New Roman" w:cs="Times New Roman"/>
          <w:sz w:val="24"/>
          <w:szCs w:val="24"/>
        </w:rPr>
        <w:t>10 gadījum</w:t>
      </w:r>
      <w:r w:rsidR="0035623C" w:rsidRPr="006557B3">
        <w:rPr>
          <w:rFonts w:ascii="Times New Roman" w:hAnsi="Times New Roman" w:cs="Times New Roman"/>
          <w:sz w:val="24"/>
          <w:szCs w:val="24"/>
        </w:rPr>
        <w:t>u)</w:t>
      </w:r>
      <w:r w:rsidRPr="006557B3">
        <w:rPr>
          <w:rFonts w:ascii="Times New Roman" w:hAnsi="Times New Roman" w:cs="Times New Roman"/>
          <w:sz w:val="24"/>
          <w:szCs w:val="24"/>
        </w:rPr>
        <w:t xml:space="preserve"> un neatbilstības iekārtu un aprīkojuma higiēnā </w:t>
      </w:r>
      <w:r w:rsidR="0035623C" w:rsidRPr="006557B3">
        <w:rPr>
          <w:rFonts w:ascii="Times New Roman" w:hAnsi="Times New Roman" w:cs="Times New Roman"/>
          <w:sz w:val="24"/>
          <w:szCs w:val="24"/>
        </w:rPr>
        <w:t>(</w:t>
      </w:r>
      <w:r w:rsidRPr="006557B3">
        <w:rPr>
          <w:rFonts w:ascii="Times New Roman" w:hAnsi="Times New Roman" w:cs="Times New Roman"/>
          <w:sz w:val="24"/>
          <w:szCs w:val="24"/>
        </w:rPr>
        <w:t>9</w:t>
      </w:r>
      <w:r w:rsidR="0035623C" w:rsidRPr="006557B3">
        <w:rPr>
          <w:rFonts w:ascii="Times New Roman" w:hAnsi="Times New Roman" w:cs="Times New Roman"/>
          <w:sz w:val="24"/>
          <w:szCs w:val="24"/>
        </w:rPr>
        <w:t> </w:t>
      </w:r>
      <w:r w:rsidRPr="006557B3">
        <w:rPr>
          <w:rFonts w:ascii="Times New Roman" w:hAnsi="Times New Roman" w:cs="Times New Roman"/>
          <w:sz w:val="24"/>
          <w:szCs w:val="24"/>
        </w:rPr>
        <w:t>gadījumi</w:t>
      </w:r>
      <w:r w:rsidR="0035623C" w:rsidRPr="006557B3">
        <w:rPr>
          <w:rFonts w:ascii="Times New Roman" w:hAnsi="Times New Roman" w:cs="Times New Roman"/>
          <w:sz w:val="24"/>
          <w:szCs w:val="24"/>
        </w:rPr>
        <w:t>).</w:t>
      </w:r>
      <w:r w:rsidRPr="006557B3">
        <w:rPr>
          <w:rFonts w:ascii="Times New Roman" w:hAnsi="Times New Roman" w:cs="Times New Roman"/>
          <w:sz w:val="24"/>
          <w:szCs w:val="24"/>
        </w:rPr>
        <w:t xml:space="preserve"> </w:t>
      </w:r>
    </w:p>
    <w:p w14:paraId="0EF46D3E" w14:textId="0A495119" w:rsidR="00FB4741" w:rsidRPr="006557B3" w:rsidRDefault="00FB4741" w:rsidP="00C05C12">
      <w:pPr>
        <w:tabs>
          <w:tab w:val="left" w:pos="8647"/>
        </w:tabs>
        <w:ind w:left="1260"/>
        <w:jc w:val="right"/>
        <w:rPr>
          <w:rFonts w:ascii="Times New Roman" w:hAnsi="Times New Roman" w:cs="Times New Roman"/>
          <w:b/>
          <w:color w:val="000000"/>
          <w:sz w:val="24"/>
          <w:szCs w:val="24"/>
        </w:rPr>
      </w:pPr>
      <w:r w:rsidRPr="006557B3">
        <w:rPr>
          <w:rFonts w:ascii="Times New Roman" w:hAnsi="Times New Roman" w:cs="Times New Roman"/>
          <w:color w:val="000000"/>
          <w:sz w:val="24"/>
          <w:szCs w:val="24"/>
        </w:rPr>
        <w:t>6.</w:t>
      </w:r>
      <w:r w:rsidR="008519AC" w:rsidRPr="006557B3">
        <w:rPr>
          <w:rFonts w:ascii="Times New Roman" w:hAnsi="Times New Roman" w:cs="Times New Roman"/>
          <w:color w:val="000000"/>
          <w:sz w:val="24"/>
          <w:szCs w:val="24"/>
        </w:rPr>
        <w:t> </w:t>
      </w:r>
      <w:r w:rsidRPr="006557B3">
        <w:rPr>
          <w:rFonts w:ascii="Times New Roman" w:hAnsi="Times New Roman" w:cs="Times New Roman"/>
          <w:color w:val="000000"/>
          <w:sz w:val="24"/>
          <w:szCs w:val="24"/>
        </w:rPr>
        <w:t>attēls</w:t>
      </w:r>
    </w:p>
    <w:p w14:paraId="520F8A1C" w14:textId="77777777" w:rsidR="005647AE" w:rsidRPr="006557B3" w:rsidRDefault="005647AE" w:rsidP="00C05C12">
      <w:pPr>
        <w:tabs>
          <w:tab w:val="left" w:pos="8647"/>
        </w:tabs>
        <w:spacing w:after="0" w:line="240" w:lineRule="auto"/>
        <w:jc w:val="both"/>
        <w:rPr>
          <w:rFonts w:ascii="Times New Roman" w:hAnsi="Times New Roman" w:cs="Times New Roman"/>
          <w:sz w:val="24"/>
          <w:szCs w:val="24"/>
        </w:rPr>
      </w:pPr>
      <w:r w:rsidRPr="006557B3">
        <w:rPr>
          <w:rFonts w:ascii="Times New Roman" w:hAnsi="Times New Roman" w:cs="Times New Roman"/>
          <w:noProof/>
          <w:sz w:val="24"/>
          <w:szCs w:val="24"/>
          <w:lang w:val="lv-LV" w:eastAsia="lv-LV"/>
        </w:rPr>
        <w:drawing>
          <wp:inline distT="0" distB="0" distL="0" distR="0" wp14:anchorId="3A813F14" wp14:editId="0B5DA76E">
            <wp:extent cx="5524500" cy="3194957"/>
            <wp:effectExtent l="0" t="0" r="19050" b="247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83DF6AE" w14:textId="5C117974" w:rsidR="005647AE" w:rsidRDefault="005647AE" w:rsidP="00C05C12">
      <w:pPr>
        <w:tabs>
          <w:tab w:val="left" w:pos="8647"/>
        </w:tabs>
        <w:spacing w:after="0"/>
        <w:rPr>
          <w:rFonts w:ascii="Times New Roman" w:hAnsi="Times New Roman" w:cs="Times New Roman"/>
          <w:sz w:val="24"/>
          <w:szCs w:val="24"/>
          <w:u w:val="single"/>
        </w:rPr>
      </w:pPr>
    </w:p>
    <w:p w14:paraId="256D4776" w14:textId="2784D2B4" w:rsidR="005534F6" w:rsidRDefault="005534F6" w:rsidP="00C05C12">
      <w:pPr>
        <w:tabs>
          <w:tab w:val="left" w:pos="8647"/>
        </w:tabs>
        <w:spacing w:after="0"/>
        <w:rPr>
          <w:rFonts w:ascii="Times New Roman" w:hAnsi="Times New Roman" w:cs="Times New Roman"/>
          <w:sz w:val="24"/>
          <w:szCs w:val="24"/>
          <w:u w:val="single"/>
        </w:rPr>
      </w:pPr>
    </w:p>
    <w:p w14:paraId="2D941B23" w14:textId="77777777" w:rsidR="005534F6" w:rsidRPr="006557B3" w:rsidRDefault="005534F6" w:rsidP="00C05C12">
      <w:pPr>
        <w:tabs>
          <w:tab w:val="left" w:pos="8647"/>
        </w:tabs>
        <w:spacing w:after="0"/>
        <w:rPr>
          <w:rFonts w:ascii="Times New Roman" w:hAnsi="Times New Roman" w:cs="Times New Roman"/>
          <w:sz w:val="24"/>
          <w:szCs w:val="24"/>
          <w:u w:val="single"/>
        </w:rPr>
      </w:pPr>
    </w:p>
    <w:p w14:paraId="5C2D4BB9" w14:textId="232DF3F5" w:rsidR="00101E80" w:rsidRPr="006557B3" w:rsidRDefault="002C3D80" w:rsidP="005534F6">
      <w:pPr>
        <w:keepNext/>
        <w:tabs>
          <w:tab w:val="left" w:pos="8647"/>
        </w:tabs>
        <w:spacing w:after="0" w:line="240" w:lineRule="auto"/>
        <w:jc w:val="both"/>
        <w:rPr>
          <w:rFonts w:ascii="Times New Roman" w:hAnsi="Times New Roman" w:cs="Times New Roman"/>
          <w:b/>
          <w:sz w:val="24"/>
          <w:szCs w:val="24"/>
        </w:rPr>
      </w:pPr>
      <w:r w:rsidRPr="006557B3">
        <w:rPr>
          <w:rFonts w:ascii="Times New Roman" w:hAnsi="Times New Roman" w:cs="Times New Roman"/>
          <w:b/>
          <w:sz w:val="24"/>
          <w:szCs w:val="24"/>
        </w:rPr>
        <w:t>6.5.</w:t>
      </w:r>
      <w:r w:rsidR="009F4074" w:rsidRPr="006557B3">
        <w:rPr>
          <w:rFonts w:ascii="Times New Roman" w:hAnsi="Times New Roman" w:cs="Times New Roman"/>
          <w:b/>
          <w:sz w:val="24"/>
          <w:szCs w:val="24"/>
        </w:rPr>
        <w:t>4</w:t>
      </w:r>
      <w:r w:rsidR="00101E80" w:rsidRPr="006557B3">
        <w:rPr>
          <w:rFonts w:ascii="Times New Roman" w:hAnsi="Times New Roman" w:cs="Times New Roman"/>
          <w:b/>
          <w:sz w:val="24"/>
          <w:szCs w:val="24"/>
        </w:rPr>
        <w:t xml:space="preserve">. </w:t>
      </w:r>
      <w:r w:rsidR="00101E80" w:rsidRPr="006557B3">
        <w:rPr>
          <w:rFonts w:ascii="Times New Roman" w:hAnsi="Times New Roman" w:cs="Times New Roman"/>
          <w:b/>
          <w:bCs/>
          <w:sz w:val="24"/>
          <w:szCs w:val="24"/>
        </w:rPr>
        <w:t>Uztura bagātinātāju</w:t>
      </w:r>
      <w:r w:rsidR="00101E80" w:rsidRPr="006557B3">
        <w:rPr>
          <w:rFonts w:ascii="Times New Roman" w:hAnsi="Times New Roman" w:cs="Times New Roman"/>
          <w:b/>
          <w:sz w:val="24"/>
          <w:szCs w:val="24"/>
        </w:rPr>
        <w:t xml:space="preserve"> </w:t>
      </w:r>
      <w:r w:rsidR="00F24385" w:rsidRPr="006557B3">
        <w:rPr>
          <w:rFonts w:ascii="Times New Roman" w:hAnsi="Times New Roman" w:cs="Times New Roman"/>
          <w:b/>
          <w:sz w:val="24"/>
          <w:szCs w:val="24"/>
        </w:rPr>
        <w:t>kontrole</w:t>
      </w:r>
      <w:r w:rsidR="00101E80" w:rsidRPr="006557B3">
        <w:rPr>
          <w:rFonts w:ascii="Times New Roman" w:hAnsi="Times New Roman" w:cs="Times New Roman"/>
          <w:b/>
          <w:sz w:val="24"/>
          <w:szCs w:val="24"/>
        </w:rPr>
        <w:t xml:space="preserve"> uz Eiropas Savienības ārējās robežas</w:t>
      </w:r>
    </w:p>
    <w:p w14:paraId="50BEE23B" w14:textId="77777777" w:rsidR="00101E80" w:rsidRPr="006557B3" w:rsidRDefault="00101E80" w:rsidP="005534F6">
      <w:pPr>
        <w:keepNext/>
        <w:tabs>
          <w:tab w:val="left" w:pos="8647"/>
        </w:tabs>
        <w:spacing w:after="0" w:line="240" w:lineRule="auto"/>
        <w:ind w:firstLine="709"/>
        <w:jc w:val="both"/>
        <w:rPr>
          <w:rFonts w:ascii="Times New Roman" w:hAnsi="Times New Roman" w:cs="Times New Roman"/>
          <w:sz w:val="24"/>
          <w:szCs w:val="24"/>
        </w:rPr>
      </w:pPr>
      <w:r w:rsidRPr="006557B3">
        <w:rPr>
          <w:rFonts w:ascii="Times New Roman" w:hAnsi="Times New Roman" w:cs="Times New Roman"/>
          <w:sz w:val="24"/>
          <w:szCs w:val="24"/>
        </w:rPr>
        <w:t xml:space="preserve">Par kravu atbildīgajām personām ir pienākums 24 stundas pirms paredzētas kravas ievešanas Latvijā par to paziņot PVD robežkontroles punktam, caur kuru krava tiks ievesta, aizpildot veidlapu “Iepriekšējais paziņojums – KID I daļa”. </w:t>
      </w:r>
    </w:p>
    <w:p w14:paraId="45F9CC19" w14:textId="7FADFF1B" w:rsidR="00101E80" w:rsidRPr="006557B3" w:rsidRDefault="00101E80" w:rsidP="00C05C12">
      <w:pPr>
        <w:tabs>
          <w:tab w:val="left" w:pos="8647"/>
        </w:tabs>
        <w:spacing w:after="0" w:line="240" w:lineRule="auto"/>
        <w:ind w:firstLine="709"/>
        <w:jc w:val="both"/>
        <w:rPr>
          <w:rFonts w:ascii="Times New Roman" w:hAnsi="Times New Roman" w:cs="Times New Roman"/>
          <w:sz w:val="24"/>
          <w:szCs w:val="24"/>
        </w:rPr>
      </w:pPr>
      <w:r w:rsidRPr="006557B3">
        <w:rPr>
          <w:rFonts w:ascii="Times New Roman" w:hAnsi="Times New Roman" w:cs="Times New Roman"/>
          <w:sz w:val="24"/>
          <w:szCs w:val="24"/>
        </w:rPr>
        <w:t xml:space="preserve">PVD robežkontroles inspektori, saņemot paziņojumu “Iepriekšējais paziņojums – KID I daļa”, </w:t>
      </w:r>
      <w:r w:rsidR="003F4406" w:rsidRPr="006557B3">
        <w:rPr>
          <w:rFonts w:ascii="Times New Roman" w:hAnsi="Times New Roman" w:cs="Times New Roman"/>
          <w:sz w:val="24"/>
          <w:szCs w:val="24"/>
        </w:rPr>
        <w:t>kontrolē</w:t>
      </w:r>
      <w:r w:rsidRPr="006557B3">
        <w:rPr>
          <w:rFonts w:ascii="Times New Roman" w:hAnsi="Times New Roman" w:cs="Times New Roman"/>
          <w:sz w:val="24"/>
          <w:szCs w:val="24"/>
        </w:rPr>
        <w:t>:</w:t>
      </w:r>
    </w:p>
    <w:p w14:paraId="1B17ACAE" w14:textId="77777777" w:rsidR="00101E80" w:rsidRPr="006557B3" w:rsidRDefault="00101E80" w:rsidP="00C05C12">
      <w:pPr>
        <w:pStyle w:val="Sarakstarindkopa"/>
        <w:numPr>
          <w:ilvl w:val="0"/>
          <w:numId w:val="40"/>
        </w:numPr>
        <w:tabs>
          <w:tab w:val="left" w:pos="8647"/>
        </w:tabs>
        <w:spacing w:after="0" w:line="240" w:lineRule="auto"/>
        <w:contextualSpacing w:val="0"/>
        <w:jc w:val="both"/>
        <w:rPr>
          <w:rFonts w:ascii="Times New Roman" w:hAnsi="Times New Roman"/>
          <w:sz w:val="24"/>
          <w:szCs w:val="24"/>
          <w:lang w:val="fr-FR"/>
        </w:rPr>
      </w:pPr>
      <w:r w:rsidRPr="006557B3">
        <w:rPr>
          <w:rFonts w:ascii="Times New Roman" w:hAnsi="Times New Roman"/>
          <w:sz w:val="24"/>
          <w:szCs w:val="24"/>
          <w:lang w:val="fr-FR"/>
        </w:rPr>
        <w:t>importētāja reģistrācij</w:t>
      </w:r>
      <w:r w:rsidRPr="006557B3">
        <w:rPr>
          <w:rFonts w:ascii="Times New Roman" w:hAnsi="Times New Roman"/>
          <w:sz w:val="24"/>
          <w:szCs w:val="24"/>
          <w:lang w:val="lv-LV"/>
        </w:rPr>
        <w:t xml:space="preserve">u </w:t>
      </w:r>
      <w:r w:rsidRPr="006557B3">
        <w:rPr>
          <w:rFonts w:ascii="Times New Roman" w:hAnsi="Times New Roman"/>
          <w:sz w:val="24"/>
          <w:szCs w:val="24"/>
          <w:lang w:val="fr-FR"/>
        </w:rPr>
        <w:t>PVD</w:t>
      </w:r>
      <w:r w:rsidRPr="006557B3">
        <w:rPr>
          <w:rFonts w:ascii="Times New Roman" w:hAnsi="Times New Roman"/>
          <w:sz w:val="24"/>
          <w:szCs w:val="24"/>
          <w:lang w:val="lv-LV"/>
        </w:rPr>
        <w:t xml:space="preserve"> pārtikas uzņēmumu reģistrā</w:t>
      </w:r>
      <w:r w:rsidRPr="006557B3">
        <w:rPr>
          <w:rFonts w:ascii="Times New Roman" w:hAnsi="Times New Roman"/>
          <w:sz w:val="24"/>
          <w:szCs w:val="24"/>
          <w:lang w:val="fr-FR"/>
        </w:rPr>
        <w:t xml:space="preserve">; </w:t>
      </w:r>
    </w:p>
    <w:p w14:paraId="764861A1" w14:textId="77777777" w:rsidR="00101E80" w:rsidRPr="006557B3" w:rsidRDefault="00101E80" w:rsidP="00C05C12">
      <w:pPr>
        <w:pStyle w:val="Sarakstarindkopa"/>
        <w:numPr>
          <w:ilvl w:val="0"/>
          <w:numId w:val="40"/>
        </w:numPr>
        <w:tabs>
          <w:tab w:val="left" w:pos="8647"/>
        </w:tabs>
        <w:spacing w:after="0" w:line="240" w:lineRule="auto"/>
        <w:jc w:val="both"/>
        <w:rPr>
          <w:rFonts w:ascii="Times New Roman" w:hAnsi="Times New Roman"/>
          <w:sz w:val="24"/>
          <w:szCs w:val="24"/>
          <w:lang w:val="fr-FR"/>
        </w:rPr>
      </w:pPr>
      <w:r w:rsidRPr="006557B3">
        <w:rPr>
          <w:rFonts w:ascii="Times New Roman" w:hAnsi="Times New Roman"/>
          <w:bCs/>
          <w:sz w:val="24"/>
          <w:szCs w:val="24"/>
          <w:lang w:val="lv-LV"/>
        </w:rPr>
        <w:t>u</w:t>
      </w:r>
      <w:r w:rsidRPr="006557B3">
        <w:rPr>
          <w:rFonts w:ascii="Times New Roman" w:hAnsi="Times New Roman"/>
          <w:bCs/>
          <w:sz w:val="24"/>
          <w:szCs w:val="24"/>
          <w:lang w:val="fr-FR"/>
        </w:rPr>
        <w:t>ztura bagātinātāja</w:t>
      </w:r>
      <w:r w:rsidRPr="006557B3">
        <w:rPr>
          <w:rFonts w:ascii="Times New Roman" w:hAnsi="Times New Roman"/>
          <w:sz w:val="24"/>
          <w:szCs w:val="24"/>
          <w:lang w:val="fr-FR"/>
        </w:rPr>
        <w:t xml:space="preserve"> reģistrāciju (paziņošanu) PVD</w:t>
      </w:r>
      <w:r w:rsidRPr="006557B3">
        <w:rPr>
          <w:rFonts w:ascii="Times New Roman" w:hAnsi="Times New Roman"/>
          <w:sz w:val="24"/>
          <w:szCs w:val="24"/>
          <w:lang w:val="lv-LV"/>
        </w:rPr>
        <w:t xml:space="preserve"> u</w:t>
      </w:r>
      <w:r w:rsidRPr="006557B3">
        <w:rPr>
          <w:rFonts w:ascii="Times New Roman" w:hAnsi="Times New Roman"/>
          <w:bCs/>
          <w:sz w:val="24"/>
          <w:szCs w:val="24"/>
          <w:lang w:val="fr-FR"/>
        </w:rPr>
        <w:t>ztura bagātinātāju</w:t>
      </w:r>
      <w:r w:rsidRPr="006557B3">
        <w:rPr>
          <w:rFonts w:ascii="Times New Roman" w:hAnsi="Times New Roman"/>
          <w:sz w:val="24"/>
          <w:szCs w:val="24"/>
          <w:lang w:val="lv-LV"/>
        </w:rPr>
        <w:t xml:space="preserve"> </w:t>
      </w:r>
      <w:r w:rsidRPr="006557B3">
        <w:rPr>
          <w:rFonts w:ascii="Times New Roman" w:hAnsi="Times New Roman"/>
          <w:sz w:val="24"/>
          <w:szCs w:val="24"/>
          <w:lang w:val="fr-FR"/>
        </w:rPr>
        <w:t>reģistrā;</w:t>
      </w:r>
    </w:p>
    <w:p w14:paraId="51D65632" w14:textId="35B3E05C" w:rsidR="00101E80" w:rsidRPr="006557B3" w:rsidRDefault="00101E80" w:rsidP="00C05C12">
      <w:pPr>
        <w:pStyle w:val="Sarakstarindkopa"/>
        <w:numPr>
          <w:ilvl w:val="0"/>
          <w:numId w:val="40"/>
        </w:numPr>
        <w:tabs>
          <w:tab w:val="left" w:pos="8647"/>
        </w:tabs>
        <w:spacing w:after="0" w:line="240" w:lineRule="auto"/>
        <w:jc w:val="both"/>
        <w:rPr>
          <w:rFonts w:ascii="Times New Roman" w:hAnsi="Times New Roman"/>
          <w:sz w:val="24"/>
          <w:szCs w:val="24"/>
          <w:lang w:val="fr-FR"/>
        </w:rPr>
      </w:pPr>
      <w:r w:rsidRPr="006557B3">
        <w:rPr>
          <w:rFonts w:ascii="Times New Roman" w:hAnsi="Times New Roman"/>
          <w:i/>
          <w:sz w:val="24"/>
          <w:szCs w:val="24"/>
          <w:lang w:val="fr-FR"/>
        </w:rPr>
        <w:t>RASFF</w:t>
      </w:r>
      <w:r w:rsidRPr="006557B3">
        <w:rPr>
          <w:rFonts w:ascii="Times New Roman" w:hAnsi="Times New Roman"/>
          <w:sz w:val="24"/>
          <w:szCs w:val="24"/>
          <w:lang w:val="fr-FR"/>
        </w:rPr>
        <w:t xml:space="preserve"> sistēmā esošās informācijas izvērtējumu, analizējot risk</w:t>
      </w:r>
      <w:r w:rsidR="0035623C" w:rsidRPr="006557B3">
        <w:rPr>
          <w:rFonts w:ascii="Times New Roman" w:hAnsi="Times New Roman"/>
          <w:sz w:val="24"/>
          <w:szCs w:val="24"/>
          <w:lang w:val="fr-FR"/>
        </w:rPr>
        <w:t>a faktorus</w:t>
      </w:r>
      <w:r w:rsidRPr="006557B3">
        <w:rPr>
          <w:rFonts w:ascii="Times New Roman" w:hAnsi="Times New Roman"/>
          <w:sz w:val="24"/>
          <w:szCs w:val="24"/>
          <w:lang w:val="fr-FR"/>
        </w:rPr>
        <w:t>;</w:t>
      </w:r>
    </w:p>
    <w:p w14:paraId="26B5ADFB" w14:textId="50B303DC" w:rsidR="00101E80" w:rsidRPr="006557B3" w:rsidRDefault="00101E80" w:rsidP="00C05C12">
      <w:pPr>
        <w:pStyle w:val="Sarakstarindkopa"/>
        <w:numPr>
          <w:ilvl w:val="0"/>
          <w:numId w:val="40"/>
        </w:numPr>
        <w:tabs>
          <w:tab w:val="left" w:pos="8647"/>
        </w:tabs>
        <w:spacing w:after="0" w:line="240" w:lineRule="auto"/>
        <w:jc w:val="both"/>
        <w:rPr>
          <w:rFonts w:ascii="Times New Roman" w:hAnsi="Times New Roman"/>
          <w:sz w:val="24"/>
          <w:szCs w:val="24"/>
          <w:lang w:val="fr-FR"/>
        </w:rPr>
      </w:pPr>
      <w:r w:rsidRPr="006557B3">
        <w:rPr>
          <w:rFonts w:ascii="Times New Roman" w:hAnsi="Times New Roman"/>
          <w:sz w:val="24"/>
          <w:szCs w:val="24"/>
          <w:lang w:val="fr-FR"/>
        </w:rPr>
        <w:t>paraugu ņemšanu, ja tas noteikts</w:t>
      </w:r>
      <w:r w:rsidRPr="006557B3">
        <w:rPr>
          <w:rFonts w:ascii="Times New Roman" w:hAnsi="Times New Roman"/>
          <w:sz w:val="24"/>
          <w:szCs w:val="24"/>
          <w:lang w:val="lv-LV"/>
        </w:rPr>
        <w:t xml:space="preserve"> </w:t>
      </w:r>
      <w:r w:rsidRPr="006557B3">
        <w:rPr>
          <w:rFonts w:ascii="Times New Roman" w:hAnsi="Times New Roman"/>
          <w:sz w:val="24"/>
          <w:szCs w:val="24"/>
          <w:lang w:val="fr-FR"/>
        </w:rPr>
        <w:t>monitoringa programmā.</w:t>
      </w:r>
    </w:p>
    <w:p w14:paraId="0AC4E973" w14:textId="77777777" w:rsidR="00FF4624" w:rsidRPr="006557B3" w:rsidRDefault="00FF4624" w:rsidP="00C05C12">
      <w:pPr>
        <w:tabs>
          <w:tab w:val="left" w:pos="8647"/>
        </w:tabs>
        <w:spacing w:after="0" w:line="240" w:lineRule="auto"/>
        <w:ind w:firstLine="709"/>
        <w:jc w:val="both"/>
        <w:rPr>
          <w:rFonts w:ascii="Times New Roman" w:hAnsi="Times New Roman" w:cs="Times New Roman"/>
          <w:sz w:val="24"/>
          <w:szCs w:val="24"/>
        </w:rPr>
      </w:pPr>
    </w:p>
    <w:tbl>
      <w:tblPr>
        <w:tblW w:w="9242" w:type="dxa"/>
        <w:tblLook w:val="04A0" w:firstRow="1" w:lastRow="0" w:firstColumn="1" w:lastColumn="0" w:noHBand="0" w:noVBand="1"/>
      </w:tblPr>
      <w:tblGrid>
        <w:gridCol w:w="959"/>
        <w:gridCol w:w="1597"/>
        <w:gridCol w:w="1410"/>
        <w:gridCol w:w="1876"/>
        <w:gridCol w:w="1822"/>
        <w:gridCol w:w="1578"/>
      </w:tblGrid>
      <w:tr w:rsidR="00101E80" w:rsidRPr="006557B3" w14:paraId="0D3DB1A0" w14:textId="77777777" w:rsidTr="00C05C12">
        <w:trPr>
          <w:trHeight w:val="380"/>
        </w:trPr>
        <w:tc>
          <w:tcPr>
            <w:tcW w:w="959" w:type="dxa"/>
            <w:tcBorders>
              <w:top w:val="nil"/>
              <w:left w:val="nil"/>
              <w:bottom w:val="nil"/>
              <w:right w:val="nil"/>
            </w:tcBorders>
            <w:shd w:val="clear" w:color="auto" w:fill="auto"/>
            <w:noWrap/>
            <w:vAlign w:val="bottom"/>
            <w:hideMark/>
          </w:tcPr>
          <w:p w14:paraId="6B9B6297" w14:textId="77777777" w:rsidR="00101E80" w:rsidRPr="006557B3" w:rsidRDefault="00101E80" w:rsidP="00C05C12">
            <w:pPr>
              <w:tabs>
                <w:tab w:val="left" w:pos="8647"/>
              </w:tabs>
              <w:spacing w:after="0"/>
              <w:rPr>
                <w:rFonts w:ascii="Times New Roman" w:hAnsi="Times New Roman" w:cs="Times New Roman"/>
                <w:sz w:val="24"/>
                <w:szCs w:val="24"/>
                <w:lang w:eastAsia="lv-LV"/>
              </w:rPr>
            </w:pPr>
          </w:p>
        </w:tc>
        <w:tc>
          <w:tcPr>
            <w:tcW w:w="6705"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432231FE" w14:textId="77777777" w:rsidR="00101E80" w:rsidRPr="006557B3" w:rsidRDefault="00101E8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UB laboratoriskā kontrole PVD KP</w:t>
            </w:r>
          </w:p>
        </w:tc>
        <w:tc>
          <w:tcPr>
            <w:tcW w:w="1578" w:type="dxa"/>
            <w:tcBorders>
              <w:top w:val="single" w:sz="8" w:space="0" w:color="auto"/>
              <w:left w:val="nil"/>
              <w:bottom w:val="single" w:sz="8" w:space="0" w:color="auto"/>
              <w:right w:val="single" w:sz="8" w:space="0" w:color="auto"/>
            </w:tcBorders>
            <w:shd w:val="clear" w:color="auto" w:fill="auto"/>
            <w:vAlign w:val="bottom"/>
            <w:hideMark/>
          </w:tcPr>
          <w:p w14:paraId="11E4AFEC" w14:textId="71B61B39" w:rsidR="00101E80" w:rsidRPr="006557B3" w:rsidRDefault="00101E80" w:rsidP="00647D13">
            <w:pPr>
              <w:tabs>
                <w:tab w:val="left" w:pos="8647"/>
              </w:tabs>
              <w:spacing w:after="0" w:line="240" w:lineRule="auto"/>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 xml:space="preserve">PVD </w:t>
            </w:r>
            <w:r w:rsidR="0035623C" w:rsidRPr="006557B3">
              <w:rPr>
                <w:rFonts w:ascii="Times New Roman" w:hAnsi="Times New Roman" w:cs="Times New Roman"/>
                <w:b/>
                <w:bCs/>
                <w:color w:val="000000"/>
                <w:sz w:val="24"/>
                <w:szCs w:val="24"/>
                <w:lang w:eastAsia="lv-LV"/>
              </w:rPr>
              <w:t>k</w:t>
            </w:r>
            <w:r w:rsidRPr="006557B3">
              <w:rPr>
                <w:rFonts w:ascii="Times New Roman" w:hAnsi="Times New Roman" w:cs="Times New Roman"/>
                <w:b/>
                <w:bCs/>
                <w:color w:val="000000"/>
                <w:sz w:val="24"/>
                <w:szCs w:val="24"/>
                <w:lang w:eastAsia="lv-LV"/>
              </w:rPr>
              <w:t>ontroles punktos veiktās UB kontroles</w:t>
            </w:r>
          </w:p>
        </w:tc>
      </w:tr>
      <w:tr w:rsidR="00101E80" w:rsidRPr="006557B3" w14:paraId="2433F32B" w14:textId="77777777" w:rsidTr="00C05C12">
        <w:trPr>
          <w:trHeight w:val="300"/>
        </w:trPr>
        <w:tc>
          <w:tcPr>
            <w:tcW w:w="959" w:type="dxa"/>
            <w:tcBorders>
              <w:top w:val="nil"/>
              <w:left w:val="nil"/>
              <w:bottom w:val="nil"/>
              <w:right w:val="nil"/>
            </w:tcBorders>
            <w:shd w:val="clear" w:color="auto" w:fill="auto"/>
            <w:noWrap/>
            <w:vAlign w:val="bottom"/>
            <w:hideMark/>
          </w:tcPr>
          <w:p w14:paraId="12D40625" w14:textId="77777777" w:rsidR="00101E80" w:rsidRPr="006557B3" w:rsidRDefault="00101E80" w:rsidP="00C05C12">
            <w:pPr>
              <w:tabs>
                <w:tab w:val="left" w:pos="8647"/>
              </w:tabs>
              <w:spacing w:after="0"/>
              <w:jc w:val="center"/>
              <w:rPr>
                <w:rFonts w:ascii="Times New Roman" w:hAnsi="Times New Roman" w:cs="Times New Roman"/>
                <w:b/>
                <w:bCs/>
                <w:color w:val="000000"/>
                <w:sz w:val="24"/>
                <w:szCs w:val="24"/>
                <w:lang w:eastAsia="lv-LV"/>
              </w:rPr>
            </w:pPr>
          </w:p>
        </w:tc>
        <w:tc>
          <w:tcPr>
            <w:tcW w:w="15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FC63B3" w14:textId="77777777" w:rsidR="00101E80" w:rsidRPr="006557B3" w:rsidRDefault="00101E8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Izmeklējumi</w:t>
            </w:r>
          </w:p>
        </w:tc>
        <w:tc>
          <w:tcPr>
            <w:tcW w:w="1410" w:type="dxa"/>
            <w:tcBorders>
              <w:top w:val="single" w:sz="8" w:space="0" w:color="auto"/>
              <w:left w:val="nil"/>
              <w:bottom w:val="single" w:sz="8" w:space="0" w:color="auto"/>
              <w:right w:val="nil"/>
            </w:tcBorders>
            <w:shd w:val="clear" w:color="auto" w:fill="auto"/>
            <w:noWrap/>
            <w:vAlign w:val="bottom"/>
            <w:hideMark/>
          </w:tcPr>
          <w:p w14:paraId="6F89B4F3" w14:textId="723F5DA7" w:rsidR="00101E80" w:rsidRPr="006557B3" w:rsidRDefault="00101E8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Paraug</w:t>
            </w:r>
            <w:r w:rsidR="0035623C" w:rsidRPr="006557B3">
              <w:rPr>
                <w:rFonts w:ascii="Times New Roman" w:hAnsi="Times New Roman" w:cs="Times New Roman"/>
                <w:b/>
                <w:bCs/>
                <w:color w:val="000000"/>
                <w:sz w:val="24"/>
                <w:szCs w:val="24"/>
                <w:lang w:eastAsia="lv-LV"/>
              </w:rPr>
              <w:t>u skaits</w:t>
            </w:r>
          </w:p>
        </w:tc>
        <w:tc>
          <w:tcPr>
            <w:tcW w:w="18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EFAFEA" w14:textId="03F8CAEE" w:rsidR="00101E80" w:rsidRPr="006557B3" w:rsidRDefault="00101E8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Neatbilstoš</w:t>
            </w:r>
            <w:r w:rsidR="0035623C" w:rsidRPr="006557B3">
              <w:rPr>
                <w:rFonts w:ascii="Times New Roman" w:hAnsi="Times New Roman" w:cs="Times New Roman"/>
                <w:b/>
                <w:bCs/>
                <w:color w:val="000000"/>
                <w:sz w:val="24"/>
                <w:szCs w:val="24"/>
                <w:lang w:eastAsia="lv-LV"/>
              </w:rPr>
              <w:t>o paraugu skaits</w:t>
            </w:r>
          </w:p>
        </w:tc>
        <w:tc>
          <w:tcPr>
            <w:tcW w:w="1822" w:type="dxa"/>
            <w:tcBorders>
              <w:top w:val="single" w:sz="8" w:space="0" w:color="auto"/>
              <w:left w:val="nil"/>
              <w:bottom w:val="single" w:sz="8" w:space="0" w:color="auto"/>
              <w:right w:val="single" w:sz="8" w:space="0" w:color="auto"/>
            </w:tcBorders>
            <w:shd w:val="clear" w:color="auto" w:fill="auto"/>
            <w:noWrap/>
            <w:vAlign w:val="bottom"/>
            <w:hideMark/>
          </w:tcPr>
          <w:p w14:paraId="563C4B32" w14:textId="77777777" w:rsidR="00101E80" w:rsidRPr="006557B3" w:rsidRDefault="00101E8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Kopējās izmaksas</w:t>
            </w:r>
          </w:p>
        </w:tc>
        <w:tc>
          <w:tcPr>
            <w:tcW w:w="1578" w:type="dxa"/>
            <w:tcBorders>
              <w:top w:val="nil"/>
              <w:left w:val="nil"/>
              <w:bottom w:val="single" w:sz="8" w:space="0" w:color="auto"/>
              <w:right w:val="single" w:sz="8" w:space="0" w:color="auto"/>
            </w:tcBorders>
            <w:shd w:val="clear" w:color="auto" w:fill="auto"/>
            <w:noWrap/>
            <w:vAlign w:val="bottom"/>
            <w:hideMark/>
          </w:tcPr>
          <w:p w14:paraId="621D96ED" w14:textId="77777777" w:rsidR="00101E80" w:rsidRPr="006557B3" w:rsidRDefault="00101E80" w:rsidP="00C05C12">
            <w:pPr>
              <w:tabs>
                <w:tab w:val="left" w:pos="8647"/>
              </w:tabs>
              <w:spacing w:after="0"/>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Kontroļu skaits</w:t>
            </w:r>
          </w:p>
        </w:tc>
      </w:tr>
      <w:tr w:rsidR="00101E80" w:rsidRPr="006557B3" w14:paraId="26AC85A0" w14:textId="77777777" w:rsidTr="00C05C12">
        <w:trPr>
          <w:trHeight w:val="288"/>
        </w:trPr>
        <w:tc>
          <w:tcPr>
            <w:tcW w:w="959" w:type="dxa"/>
            <w:vMerge w:val="restart"/>
            <w:tcBorders>
              <w:top w:val="single" w:sz="8" w:space="0" w:color="auto"/>
              <w:left w:val="single" w:sz="8" w:space="0" w:color="auto"/>
              <w:bottom w:val="single" w:sz="8" w:space="0" w:color="000000"/>
              <w:right w:val="nil"/>
            </w:tcBorders>
            <w:shd w:val="clear" w:color="auto" w:fill="auto"/>
            <w:noWrap/>
            <w:hideMark/>
          </w:tcPr>
          <w:p w14:paraId="78046FC4" w14:textId="484627C2" w:rsidR="00101E80" w:rsidRPr="006557B3" w:rsidRDefault="00101E8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2011</w:t>
            </w:r>
            <w:r w:rsidR="0035623C" w:rsidRPr="006557B3">
              <w:rPr>
                <w:rFonts w:ascii="Times New Roman" w:hAnsi="Times New Roman" w:cs="Times New Roman"/>
                <w:b/>
                <w:bCs/>
                <w:color w:val="000000"/>
                <w:sz w:val="24"/>
                <w:szCs w:val="24"/>
                <w:lang w:eastAsia="lv-LV"/>
              </w:rPr>
              <w:t>.</w:t>
            </w:r>
          </w:p>
        </w:tc>
        <w:tc>
          <w:tcPr>
            <w:tcW w:w="1597" w:type="dxa"/>
            <w:tcBorders>
              <w:top w:val="nil"/>
              <w:left w:val="single" w:sz="8" w:space="0" w:color="auto"/>
              <w:bottom w:val="single" w:sz="4" w:space="0" w:color="auto"/>
              <w:right w:val="single" w:sz="8" w:space="0" w:color="auto"/>
            </w:tcBorders>
            <w:shd w:val="clear" w:color="auto" w:fill="auto"/>
            <w:hideMark/>
          </w:tcPr>
          <w:p w14:paraId="5D40A66A" w14:textId="77777777" w:rsidR="00101E80" w:rsidRPr="006557B3" w:rsidRDefault="00101E80" w:rsidP="00344567">
            <w:pPr>
              <w:tabs>
                <w:tab w:val="left" w:pos="8647"/>
              </w:tabs>
              <w:spacing w:after="0" w:line="240" w:lineRule="auto"/>
              <w:rPr>
                <w:rFonts w:ascii="Times New Roman" w:hAnsi="Times New Roman" w:cs="Times New Roman"/>
                <w:sz w:val="24"/>
                <w:szCs w:val="24"/>
                <w:lang w:eastAsia="lv-LV"/>
              </w:rPr>
            </w:pPr>
            <w:r w:rsidRPr="006557B3">
              <w:rPr>
                <w:rFonts w:ascii="Times New Roman" w:hAnsi="Times New Roman" w:cs="Times New Roman"/>
                <w:sz w:val="24"/>
                <w:szCs w:val="24"/>
                <w:lang w:eastAsia="lv-LV"/>
              </w:rPr>
              <w:t>Svins, kadmijs</w:t>
            </w:r>
          </w:p>
        </w:tc>
        <w:tc>
          <w:tcPr>
            <w:tcW w:w="1410" w:type="dxa"/>
            <w:tcBorders>
              <w:top w:val="nil"/>
              <w:left w:val="nil"/>
              <w:bottom w:val="single" w:sz="4" w:space="0" w:color="auto"/>
              <w:right w:val="nil"/>
            </w:tcBorders>
            <w:shd w:val="clear" w:color="auto" w:fill="auto"/>
            <w:hideMark/>
          </w:tcPr>
          <w:p w14:paraId="178BFD85" w14:textId="77777777" w:rsidR="00DD3D47" w:rsidRPr="00900A9F" w:rsidRDefault="00DD3D47" w:rsidP="00DD3D47">
            <w:pPr>
              <w:tabs>
                <w:tab w:val="left" w:pos="8647"/>
              </w:tabs>
              <w:spacing w:after="0" w:line="240" w:lineRule="auto"/>
              <w:jc w:val="center"/>
              <w:rPr>
                <w:rFonts w:ascii="Times New Roman" w:hAnsi="Times New Roman" w:cs="Times New Roman"/>
                <w:sz w:val="24"/>
                <w:szCs w:val="24"/>
                <w:lang w:eastAsia="lv-LV"/>
              </w:rPr>
            </w:pPr>
          </w:p>
          <w:p w14:paraId="143D2639" w14:textId="3B8279EB" w:rsidR="00101E80" w:rsidRPr="00900A9F" w:rsidRDefault="00101E80" w:rsidP="00DD3D47">
            <w:pPr>
              <w:tabs>
                <w:tab w:val="left" w:pos="8647"/>
              </w:tabs>
              <w:spacing w:after="0" w:line="240" w:lineRule="auto"/>
              <w:jc w:val="center"/>
              <w:rPr>
                <w:rFonts w:ascii="Times New Roman" w:hAnsi="Times New Roman" w:cs="Times New Roman"/>
                <w:sz w:val="24"/>
                <w:szCs w:val="24"/>
                <w:lang w:eastAsia="lv-LV"/>
              </w:rPr>
            </w:pPr>
            <w:r w:rsidRPr="00900A9F">
              <w:rPr>
                <w:rFonts w:ascii="Times New Roman" w:hAnsi="Times New Roman" w:cs="Times New Roman"/>
                <w:sz w:val="24"/>
                <w:szCs w:val="24"/>
                <w:lang w:eastAsia="lv-LV"/>
              </w:rPr>
              <w:t>1</w:t>
            </w:r>
          </w:p>
        </w:tc>
        <w:tc>
          <w:tcPr>
            <w:tcW w:w="1876" w:type="dxa"/>
            <w:tcBorders>
              <w:top w:val="nil"/>
              <w:left w:val="single" w:sz="8" w:space="0" w:color="auto"/>
              <w:bottom w:val="single" w:sz="4" w:space="0" w:color="auto"/>
              <w:right w:val="single" w:sz="8" w:space="0" w:color="auto"/>
            </w:tcBorders>
            <w:shd w:val="clear" w:color="auto" w:fill="auto"/>
            <w:noWrap/>
            <w:vAlign w:val="bottom"/>
            <w:hideMark/>
          </w:tcPr>
          <w:p w14:paraId="08F019E6" w14:textId="04850D7D" w:rsidR="00101E80" w:rsidRPr="00900A9F" w:rsidRDefault="00101E80" w:rsidP="00C05C12">
            <w:pPr>
              <w:tabs>
                <w:tab w:val="left" w:pos="8647"/>
              </w:tabs>
              <w:spacing w:after="0"/>
              <w:jc w:val="center"/>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 </w:t>
            </w:r>
            <w:r w:rsidR="00900A9F" w:rsidRPr="00900A9F">
              <w:rPr>
                <w:rFonts w:ascii="Times New Roman" w:hAnsi="Times New Roman" w:cs="Times New Roman"/>
                <w:color w:val="000000"/>
                <w:sz w:val="24"/>
                <w:szCs w:val="24"/>
                <w:lang w:eastAsia="lv-LV"/>
              </w:rPr>
              <w:t>0</w:t>
            </w:r>
          </w:p>
        </w:tc>
        <w:tc>
          <w:tcPr>
            <w:tcW w:w="1822" w:type="dxa"/>
            <w:tcBorders>
              <w:top w:val="nil"/>
              <w:left w:val="nil"/>
              <w:bottom w:val="single" w:sz="4" w:space="0" w:color="auto"/>
              <w:right w:val="single" w:sz="8" w:space="0" w:color="auto"/>
            </w:tcBorders>
            <w:shd w:val="clear" w:color="auto" w:fill="auto"/>
            <w:noWrap/>
            <w:vAlign w:val="bottom"/>
            <w:hideMark/>
          </w:tcPr>
          <w:p w14:paraId="7E1E4113" w14:textId="29E3F90D" w:rsidR="00101E80" w:rsidRPr="00900A9F" w:rsidRDefault="00101E80" w:rsidP="00C05C12">
            <w:pPr>
              <w:tabs>
                <w:tab w:val="left" w:pos="8647"/>
              </w:tabs>
              <w:spacing w:after="0"/>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 xml:space="preserve">Ls 33,44 </w:t>
            </w:r>
          </w:p>
        </w:tc>
        <w:tc>
          <w:tcPr>
            <w:tcW w:w="1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B382C4" w14:textId="77777777" w:rsidR="00101E80" w:rsidRPr="006557B3" w:rsidRDefault="00101E8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402</w:t>
            </w:r>
          </w:p>
        </w:tc>
      </w:tr>
      <w:tr w:rsidR="00101E80" w:rsidRPr="006557B3" w14:paraId="3D4B470E" w14:textId="77777777" w:rsidTr="00C05C12">
        <w:trPr>
          <w:trHeight w:val="300"/>
        </w:trPr>
        <w:tc>
          <w:tcPr>
            <w:tcW w:w="959" w:type="dxa"/>
            <w:vMerge/>
            <w:tcBorders>
              <w:top w:val="single" w:sz="8" w:space="0" w:color="auto"/>
              <w:left w:val="single" w:sz="8" w:space="0" w:color="auto"/>
              <w:bottom w:val="single" w:sz="8" w:space="0" w:color="000000"/>
              <w:right w:val="nil"/>
            </w:tcBorders>
            <w:vAlign w:val="center"/>
            <w:hideMark/>
          </w:tcPr>
          <w:p w14:paraId="438F1E98" w14:textId="77777777" w:rsidR="00101E80" w:rsidRPr="006557B3" w:rsidRDefault="00101E80" w:rsidP="00C05C12">
            <w:pPr>
              <w:tabs>
                <w:tab w:val="left" w:pos="8647"/>
              </w:tabs>
              <w:spacing w:after="0"/>
              <w:rPr>
                <w:rFonts w:ascii="Times New Roman" w:hAnsi="Times New Roman" w:cs="Times New Roman"/>
                <w:b/>
                <w:bCs/>
                <w:color w:val="000000"/>
                <w:sz w:val="24"/>
                <w:szCs w:val="24"/>
                <w:lang w:eastAsia="lv-LV"/>
              </w:rPr>
            </w:pPr>
          </w:p>
        </w:tc>
        <w:tc>
          <w:tcPr>
            <w:tcW w:w="1597" w:type="dxa"/>
            <w:tcBorders>
              <w:top w:val="nil"/>
              <w:left w:val="single" w:sz="8" w:space="0" w:color="auto"/>
              <w:bottom w:val="single" w:sz="8" w:space="0" w:color="auto"/>
              <w:right w:val="single" w:sz="8" w:space="0" w:color="auto"/>
            </w:tcBorders>
            <w:shd w:val="clear" w:color="auto" w:fill="auto"/>
            <w:hideMark/>
          </w:tcPr>
          <w:p w14:paraId="64959465" w14:textId="77777777" w:rsidR="00101E80" w:rsidRPr="006557B3" w:rsidRDefault="00101E80" w:rsidP="00344567">
            <w:pPr>
              <w:tabs>
                <w:tab w:val="left" w:pos="8647"/>
              </w:tabs>
              <w:spacing w:after="0" w:line="240" w:lineRule="auto"/>
              <w:rPr>
                <w:rFonts w:ascii="Times New Roman" w:hAnsi="Times New Roman" w:cs="Times New Roman"/>
                <w:sz w:val="24"/>
                <w:szCs w:val="24"/>
                <w:lang w:eastAsia="lv-LV"/>
              </w:rPr>
            </w:pPr>
            <w:r w:rsidRPr="006557B3">
              <w:rPr>
                <w:rFonts w:ascii="Times New Roman" w:hAnsi="Times New Roman" w:cs="Times New Roman"/>
                <w:sz w:val="24"/>
                <w:szCs w:val="24"/>
                <w:lang w:eastAsia="lv-LV"/>
              </w:rPr>
              <w:t>Apstrāde ar jonizējošo starojumu***</w:t>
            </w:r>
          </w:p>
        </w:tc>
        <w:tc>
          <w:tcPr>
            <w:tcW w:w="1410" w:type="dxa"/>
            <w:tcBorders>
              <w:top w:val="nil"/>
              <w:left w:val="nil"/>
              <w:bottom w:val="single" w:sz="8" w:space="0" w:color="auto"/>
              <w:right w:val="nil"/>
            </w:tcBorders>
            <w:shd w:val="clear" w:color="auto" w:fill="auto"/>
            <w:hideMark/>
          </w:tcPr>
          <w:p w14:paraId="655A3AD5" w14:textId="77777777" w:rsidR="00DD3D47" w:rsidRPr="00900A9F" w:rsidRDefault="00DD3D47" w:rsidP="00DD3D47">
            <w:pPr>
              <w:tabs>
                <w:tab w:val="left" w:pos="8647"/>
              </w:tabs>
              <w:spacing w:after="0" w:line="240" w:lineRule="auto"/>
              <w:jc w:val="center"/>
              <w:rPr>
                <w:rFonts w:ascii="Times New Roman" w:hAnsi="Times New Roman" w:cs="Times New Roman"/>
                <w:sz w:val="24"/>
                <w:szCs w:val="24"/>
                <w:lang w:eastAsia="lv-LV"/>
              </w:rPr>
            </w:pPr>
          </w:p>
          <w:p w14:paraId="187963D2" w14:textId="77777777" w:rsidR="00DD3D47" w:rsidRPr="00900A9F" w:rsidRDefault="00DD3D47" w:rsidP="00DD3D47">
            <w:pPr>
              <w:tabs>
                <w:tab w:val="left" w:pos="8647"/>
              </w:tabs>
              <w:spacing w:after="0" w:line="240" w:lineRule="auto"/>
              <w:jc w:val="center"/>
              <w:rPr>
                <w:rFonts w:ascii="Times New Roman" w:hAnsi="Times New Roman" w:cs="Times New Roman"/>
                <w:sz w:val="24"/>
                <w:szCs w:val="24"/>
                <w:lang w:eastAsia="lv-LV"/>
              </w:rPr>
            </w:pPr>
          </w:p>
          <w:p w14:paraId="596AC51A" w14:textId="767C453E" w:rsidR="00101E80" w:rsidRPr="00900A9F" w:rsidRDefault="00101E80" w:rsidP="00DD3D47">
            <w:pPr>
              <w:tabs>
                <w:tab w:val="left" w:pos="8647"/>
              </w:tabs>
              <w:spacing w:after="0" w:line="240" w:lineRule="auto"/>
              <w:jc w:val="center"/>
              <w:rPr>
                <w:rFonts w:ascii="Times New Roman" w:hAnsi="Times New Roman" w:cs="Times New Roman"/>
                <w:sz w:val="24"/>
                <w:szCs w:val="24"/>
                <w:lang w:eastAsia="lv-LV"/>
              </w:rPr>
            </w:pPr>
            <w:r w:rsidRPr="00900A9F">
              <w:rPr>
                <w:rFonts w:ascii="Times New Roman" w:hAnsi="Times New Roman" w:cs="Times New Roman"/>
                <w:sz w:val="24"/>
                <w:szCs w:val="24"/>
                <w:lang w:eastAsia="lv-LV"/>
              </w:rPr>
              <w:t>7</w:t>
            </w:r>
          </w:p>
        </w:tc>
        <w:tc>
          <w:tcPr>
            <w:tcW w:w="1876" w:type="dxa"/>
            <w:tcBorders>
              <w:top w:val="nil"/>
              <w:left w:val="single" w:sz="8" w:space="0" w:color="auto"/>
              <w:bottom w:val="single" w:sz="8" w:space="0" w:color="auto"/>
              <w:right w:val="single" w:sz="8" w:space="0" w:color="auto"/>
            </w:tcBorders>
            <w:shd w:val="clear" w:color="auto" w:fill="auto"/>
            <w:noWrap/>
            <w:vAlign w:val="bottom"/>
            <w:hideMark/>
          </w:tcPr>
          <w:p w14:paraId="70184B30" w14:textId="77777777" w:rsidR="00101E80" w:rsidRPr="00900A9F" w:rsidRDefault="00101E80" w:rsidP="00C05C12">
            <w:pPr>
              <w:tabs>
                <w:tab w:val="left" w:pos="8647"/>
              </w:tabs>
              <w:spacing w:after="0"/>
              <w:jc w:val="center"/>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5</w:t>
            </w:r>
          </w:p>
        </w:tc>
        <w:tc>
          <w:tcPr>
            <w:tcW w:w="1822" w:type="dxa"/>
            <w:tcBorders>
              <w:top w:val="nil"/>
              <w:left w:val="nil"/>
              <w:bottom w:val="single" w:sz="8" w:space="0" w:color="auto"/>
              <w:right w:val="single" w:sz="8" w:space="0" w:color="auto"/>
            </w:tcBorders>
            <w:shd w:val="clear" w:color="auto" w:fill="auto"/>
            <w:noWrap/>
            <w:vAlign w:val="bottom"/>
            <w:hideMark/>
          </w:tcPr>
          <w:p w14:paraId="6F095AFC" w14:textId="0831C200" w:rsidR="00101E80" w:rsidRPr="00900A9F" w:rsidRDefault="00101E80" w:rsidP="00C05C12">
            <w:pPr>
              <w:tabs>
                <w:tab w:val="left" w:pos="8647"/>
              </w:tabs>
              <w:spacing w:after="0"/>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 xml:space="preserve">Ls 1819,49 </w:t>
            </w:r>
          </w:p>
        </w:tc>
        <w:tc>
          <w:tcPr>
            <w:tcW w:w="1578" w:type="dxa"/>
            <w:vMerge/>
            <w:tcBorders>
              <w:top w:val="nil"/>
              <w:left w:val="single" w:sz="8" w:space="0" w:color="auto"/>
              <w:bottom w:val="single" w:sz="8" w:space="0" w:color="000000"/>
              <w:right w:val="single" w:sz="8" w:space="0" w:color="auto"/>
            </w:tcBorders>
            <w:vAlign w:val="center"/>
            <w:hideMark/>
          </w:tcPr>
          <w:p w14:paraId="54F45AC6" w14:textId="77777777" w:rsidR="00101E80" w:rsidRPr="006557B3" w:rsidRDefault="00101E80" w:rsidP="00C05C12">
            <w:pPr>
              <w:tabs>
                <w:tab w:val="left" w:pos="8647"/>
              </w:tabs>
              <w:spacing w:after="0"/>
              <w:rPr>
                <w:rFonts w:ascii="Times New Roman" w:hAnsi="Times New Roman" w:cs="Times New Roman"/>
                <w:color w:val="000000"/>
                <w:sz w:val="24"/>
                <w:szCs w:val="24"/>
                <w:lang w:eastAsia="lv-LV"/>
              </w:rPr>
            </w:pPr>
          </w:p>
        </w:tc>
      </w:tr>
      <w:tr w:rsidR="00101E80" w:rsidRPr="006557B3" w14:paraId="574F57F4" w14:textId="77777777" w:rsidTr="00C05C12">
        <w:trPr>
          <w:trHeight w:val="288"/>
        </w:trPr>
        <w:tc>
          <w:tcPr>
            <w:tcW w:w="959" w:type="dxa"/>
            <w:vMerge w:val="restart"/>
            <w:tcBorders>
              <w:top w:val="nil"/>
              <w:left w:val="single" w:sz="8" w:space="0" w:color="auto"/>
              <w:bottom w:val="single" w:sz="8" w:space="0" w:color="000000"/>
              <w:right w:val="nil"/>
            </w:tcBorders>
            <w:shd w:val="clear" w:color="auto" w:fill="auto"/>
            <w:noWrap/>
            <w:hideMark/>
          </w:tcPr>
          <w:p w14:paraId="0BF1B7DC" w14:textId="4670099B" w:rsidR="00101E80" w:rsidRPr="006557B3" w:rsidRDefault="00101E8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2012</w:t>
            </w:r>
            <w:r w:rsidR="0035623C" w:rsidRPr="006557B3">
              <w:rPr>
                <w:rFonts w:ascii="Times New Roman" w:hAnsi="Times New Roman" w:cs="Times New Roman"/>
                <w:b/>
                <w:bCs/>
                <w:color w:val="000000"/>
                <w:sz w:val="24"/>
                <w:szCs w:val="24"/>
                <w:lang w:eastAsia="lv-LV"/>
              </w:rPr>
              <w:t>.</w:t>
            </w:r>
          </w:p>
        </w:tc>
        <w:tc>
          <w:tcPr>
            <w:tcW w:w="1597" w:type="dxa"/>
            <w:tcBorders>
              <w:top w:val="nil"/>
              <w:left w:val="single" w:sz="8" w:space="0" w:color="auto"/>
              <w:bottom w:val="single" w:sz="4" w:space="0" w:color="auto"/>
              <w:right w:val="single" w:sz="8" w:space="0" w:color="auto"/>
            </w:tcBorders>
            <w:shd w:val="clear" w:color="000000" w:fill="FFFFFF"/>
            <w:hideMark/>
          </w:tcPr>
          <w:p w14:paraId="5327293E" w14:textId="77777777" w:rsidR="00101E80" w:rsidRPr="006557B3" w:rsidRDefault="00101E80" w:rsidP="00344567">
            <w:pPr>
              <w:tabs>
                <w:tab w:val="left" w:pos="8647"/>
              </w:tabs>
              <w:spacing w:after="0" w:line="240" w:lineRule="auto"/>
              <w:rPr>
                <w:rFonts w:ascii="Times New Roman" w:hAnsi="Times New Roman" w:cs="Times New Roman"/>
                <w:sz w:val="24"/>
                <w:szCs w:val="24"/>
                <w:lang w:eastAsia="lv-LV"/>
              </w:rPr>
            </w:pPr>
            <w:r w:rsidRPr="006557B3">
              <w:rPr>
                <w:rFonts w:ascii="Times New Roman" w:hAnsi="Times New Roman" w:cs="Times New Roman"/>
                <w:sz w:val="24"/>
                <w:szCs w:val="24"/>
                <w:lang w:eastAsia="lv-LV"/>
              </w:rPr>
              <w:t>Svins, kadmijs</w:t>
            </w:r>
          </w:p>
        </w:tc>
        <w:tc>
          <w:tcPr>
            <w:tcW w:w="1410" w:type="dxa"/>
            <w:tcBorders>
              <w:top w:val="nil"/>
              <w:left w:val="nil"/>
              <w:bottom w:val="single" w:sz="4" w:space="0" w:color="auto"/>
              <w:right w:val="nil"/>
            </w:tcBorders>
            <w:shd w:val="clear" w:color="000000" w:fill="FFFFFF"/>
            <w:hideMark/>
          </w:tcPr>
          <w:p w14:paraId="10379F68" w14:textId="77777777" w:rsidR="00DD3D47" w:rsidRPr="00900A9F" w:rsidRDefault="00DD3D47" w:rsidP="00DD3D47">
            <w:pPr>
              <w:tabs>
                <w:tab w:val="left" w:pos="8647"/>
              </w:tabs>
              <w:spacing w:after="0" w:line="240" w:lineRule="auto"/>
              <w:jc w:val="center"/>
              <w:rPr>
                <w:rFonts w:ascii="Times New Roman" w:hAnsi="Times New Roman" w:cs="Times New Roman"/>
                <w:sz w:val="24"/>
                <w:szCs w:val="24"/>
                <w:lang w:eastAsia="lv-LV"/>
              </w:rPr>
            </w:pPr>
          </w:p>
          <w:p w14:paraId="206623D0" w14:textId="4A2F3601" w:rsidR="00101E80" w:rsidRPr="00900A9F" w:rsidRDefault="00101E80" w:rsidP="00DD3D47">
            <w:pPr>
              <w:tabs>
                <w:tab w:val="left" w:pos="8647"/>
              </w:tabs>
              <w:spacing w:after="0" w:line="240" w:lineRule="auto"/>
              <w:jc w:val="center"/>
              <w:rPr>
                <w:rFonts w:ascii="Times New Roman" w:hAnsi="Times New Roman" w:cs="Times New Roman"/>
                <w:sz w:val="24"/>
                <w:szCs w:val="24"/>
                <w:lang w:eastAsia="lv-LV"/>
              </w:rPr>
            </w:pPr>
            <w:r w:rsidRPr="00900A9F">
              <w:rPr>
                <w:rFonts w:ascii="Times New Roman" w:hAnsi="Times New Roman" w:cs="Times New Roman"/>
                <w:sz w:val="24"/>
                <w:szCs w:val="24"/>
                <w:lang w:eastAsia="lv-LV"/>
              </w:rPr>
              <w:t>2</w:t>
            </w:r>
          </w:p>
        </w:tc>
        <w:tc>
          <w:tcPr>
            <w:tcW w:w="1876" w:type="dxa"/>
            <w:tcBorders>
              <w:top w:val="nil"/>
              <w:left w:val="single" w:sz="8" w:space="0" w:color="auto"/>
              <w:bottom w:val="single" w:sz="4" w:space="0" w:color="auto"/>
              <w:right w:val="single" w:sz="8" w:space="0" w:color="auto"/>
            </w:tcBorders>
            <w:shd w:val="clear" w:color="auto" w:fill="auto"/>
            <w:noWrap/>
            <w:vAlign w:val="bottom"/>
            <w:hideMark/>
          </w:tcPr>
          <w:p w14:paraId="0978B8CF" w14:textId="7EB82B08" w:rsidR="00101E80" w:rsidRPr="00900A9F" w:rsidRDefault="00900A9F" w:rsidP="00C05C12">
            <w:pPr>
              <w:tabs>
                <w:tab w:val="left" w:pos="8647"/>
              </w:tabs>
              <w:spacing w:after="0"/>
              <w:jc w:val="center"/>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0</w:t>
            </w:r>
            <w:r w:rsidR="00101E80" w:rsidRPr="00900A9F">
              <w:rPr>
                <w:rFonts w:ascii="Times New Roman" w:hAnsi="Times New Roman" w:cs="Times New Roman"/>
                <w:color w:val="000000"/>
                <w:sz w:val="24"/>
                <w:szCs w:val="24"/>
                <w:lang w:eastAsia="lv-LV"/>
              </w:rPr>
              <w:t> </w:t>
            </w:r>
          </w:p>
        </w:tc>
        <w:tc>
          <w:tcPr>
            <w:tcW w:w="1822" w:type="dxa"/>
            <w:tcBorders>
              <w:top w:val="nil"/>
              <w:left w:val="nil"/>
              <w:bottom w:val="single" w:sz="4" w:space="0" w:color="auto"/>
              <w:right w:val="single" w:sz="8" w:space="0" w:color="auto"/>
            </w:tcBorders>
            <w:shd w:val="clear" w:color="auto" w:fill="auto"/>
            <w:noWrap/>
            <w:vAlign w:val="bottom"/>
            <w:hideMark/>
          </w:tcPr>
          <w:p w14:paraId="7756934B" w14:textId="3D0936EE" w:rsidR="00101E80" w:rsidRPr="00900A9F" w:rsidRDefault="00101E80" w:rsidP="00C05C12">
            <w:pPr>
              <w:tabs>
                <w:tab w:val="left" w:pos="8647"/>
              </w:tabs>
              <w:spacing w:after="0"/>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 xml:space="preserve">Ls 66,88 </w:t>
            </w:r>
          </w:p>
        </w:tc>
        <w:tc>
          <w:tcPr>
            <w:tcW w:w="1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5DA9FE" w14:textId="77777777" w:rsidR="00101E80" w:rsidRPr="006557B3" w:rsidRDefault="00101E8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474</w:t>
            </w:r>
          </w:p>
        </w:tc>
      </w:tr>
      <w:tr w:rsidR="00101E80" w:rsidRPr="006557B3" w14:paraId="499552C9" w14:textId="77777777" w:rsidTr="00C05C12">
        <w:trPr>
          <w:trHeight w:val="300"/>
        </w:trPr>
        <w:tc>
          <w:tcPr>
            <w:tcW w:w="959" w:type="dxa"/>
            <w:vMerge/>
            <w:tcBorders>
              <w:top w:val="nil"/>
              <w:left w:val="single" w:sz="8" w:space="0" w:color="auto"/>
              <w:bottom w:val="single" w:sz="8" w:space="0" w:color="000000"/>
              <w:right w:val="nil"/>
            </w:tcBorders>
            <w:vAlign w:val="center"/>
            <w:hideMark/>
          </w:tcPr>
          <w:p w14:paraId="19EE0DF3" w14:textId="77777777" w:rsidR="00101E80" w:rsidRPr="006557B3" w:rsidRDefault="00101E80" w:rsidP="00C05C12">
            <w:pPr>
              <w:tabs>
                <w:tab w:val="left" w:pos="8647"/>
              </w:tabs>
              <w:spacing w:after="0"/>
              <w:rPr>
                <w:rFonts w:ascii="Times New Roman" w:hAnsi="Times New Roman" w:cs="Times New Roman"/>
                <w:b/>
                <w:bCs/>
                <w:color w:val="000000"/>
                <w:sz w:val="24"/>
                <w:szCs w:val="24"/>
                <w:lang w:eastAsia="lv-LV"/>
              </w:rPr>
            </w:pPr>
          </w:p>
        </w:tc>
        <w:tc>
          <w:tcPr>
            <w:tcW w:w="1597" w:type="dxa"/>
            <w:tcBorders>
              <w:top w:val="nil"/>
              <w:left w:val="single" w:sz="8" w:space="0" w:color="auto"/>
              <w:bottom w:val="single" w:sz="8" w:space="0" w:color="auto"/>
              <w:right w:val="single" w:sz="8" w:space="0" w:color="auto"/>
            </w:tcBorders>
            <w:shd w:val="clear" w:color="auto" w:fill="auto"/>
            <w:hideMark/>
          </w:tcPr>
          <w:p w14:paraId="5C99E2BD" w14:textId="77777777" w:rsidR="00101E80" w:rsidRPr="006557B3" w:rsidRDefault="00101E80" w:rsidP="00344567">
            <w:pPr>
              <w:tabs>
                <w:tab w:val="left" w:pos="8647"/>
              </w:tabs>
              <w:spacing w:after="0" w:line="240" w:lineRule="auto"/>
              <w:rPr>
                <w:rFonts w:ascii="Times New Roman" w:hAnsi="Times New Roman" w:cs="Times New Roman"/>
                <w:sz w:val="24"/>
                <w:szCs w:val="24"/>
                <w:lang w:eastAsia="lv-LV"/>
              </w:rPr>
            </w:pPr>
            <w:r w:rsidRPr="006557B3">
              <w:rPr>
                <w:rFonts w:ascii="Times New Roman" w:hAnsi="Times New Roman" w:cs="Times New Roman"/>
                <w:sz w:val="24"/>
                <w:szCs w:val="24"/>
                <w:lang w:eastAsia="lv-LV"/>
              </w:rPr>
              <w:t>Apstrāde ar jonizējošo starojumu***</w:t>
            </w:r>
          </w:p>
        </w:tc>
        <w:tc>
          <w:tcPr>
            <w:tcW w:w="1410" w:type="dxa"/>
            <w:tcBorders>
              <w:top w:val="nil"/>
              <w:left w:val="nil"/>
              <w:bottom w:val="single" w:sz="8" w:space="0" w:color="auto"/>
              <w:right w:val="nil"/>
            </w:tcBorders>
            <w:shd w:val="clear" w:color="auto" w:fill="auto"/>
            <w:hideMark/>
          </w:tcPr>
          <w:p w14:paraId="4CEE5F54" w14:textId="77777777" w:rsidR="00DD3D47" w:rsidRPr="00900A9F" w:rsidRDefault="00DD3D47" w:rsidP="00DD3D47">
            <w:pPr>
              <w:tabs>
                <w:tab w:val="left" w:pos="8647"/>
              </w:tabs>
              <w:spacing w:after="0" w:line="240" w:lineRule="auto"/>
              <w:jc w:val="center"/>
              <w:rPr>
                <w:rFonts w:ascii="Times New Roman" w:hAnsi="Times New Roman" w:cs="Times New Roman"/>
                <w:sz w:val="24"/>
                <w:szCs w:val="24"/>
                <w:lang w:eastAsia="lv-LV"/>
              </w:rPr>
            </w:pPr>
          </w:p>
          <w:p w14:paraId="04A18551" w14:textId="77777777" w:rsidR="00DD3D47" w:rsidRPr="00900A9F" w:rsidRDefault="00DD3D47" w:rsidP="00DD3D47">
            <w:pPr>
              <w:tabs>
                <w:tab w:val="left" w:pos="8647"/>
              </w:tabs>
              <w:spacing w:after="0" w:line="240" w:lineRule="auto"/>
              <w:jc w:val="center"/>
              <w:rPr>
                <w:rFonts w:ascii="Times New Roman" w:hAnsi="Times New Roman" w:cs="Times New Roman"/>
                <w:sz w:val="24"/>
                <w:szCs w:val="24"/>
                <w:lang w:eastAsia="lv-LV"/>
              </w:rPr>
            </w:pPr>
          </w:p>
          <w:p w14:paraId="169C6719" w14:textId="3FADABB8" w:rsidR="00101E80" w:rsidRPr="00900A9F" w:rsidRDefault="00101E80" w:rsidP="00DD3D47">
            <w:pPr>
              <w:tabs>
                <w:tab w:val="left" w:pos="8647"/>
              </w:tabs>
              <w:spacing w:after="0" w:line="240" w:lineRule="auto"/>
              <w:jc w:val="center"/>
              <w:rPr>
                <w:rFonts w:ascii="Times New Roman" w:hAnsi="Times New Roman" w:cs="Times New Roman"/>
                <w:sz w:val="24"/>
                <w:szCs w:val="24"/>
                <w:lang w:eastAsia="lv-LV"/>
              </w:rPr>
            </w:pPr>
            <w:r w:rsidRPr="00900A9F">
              <w:rPr>
                <w:rFonts w:ascii="Times New Roman" w:hAnsi="Times New Roman" w:cs="Times New Roman"/>
                <w:sz w:val="24"/>
                <w:szCs w:val="24"/>
                <w:lang w:eastAsia="lv-LV"/>
              </w:rPr>
              <w:t>8</w:t>
            </w:r>
          </w:p>
        </w:tc>
        <w:tc>
          <w:tcPr>
            <w:tcW w:w="1876" w:type="dxa"/>
            <w:tcBorders>
              <w:top w:val="nil"/>
              <w:left w:val="single" w:sz="8" w:space="0" w:color="auto"/>
              <w:bottom w:val="single" w:sz="8" w:space="0" w:color="auto"/>
              <w:right w:val="single" w:sz="8" w:space="0" w:color="auto"/>
            </w:tcBorders>
            <w:shd w:val="clear" w:color="auto" w:fill="auto"/>
            <w:noWrap/>
            <w:vAlign w:val="bottom"/>
            <w:hideMark/>
          </w:tcPr>
          <w:p w14:paraId="092BD5EB" w14:textId="77777777" w:rsidR="00101E80" w:rsidRPr="00900A9F" w:rsidRDefault="00101E80" w:rsidP="00C05C12">
            <w:pPr>
              <w:tabs>
                <w:tab w:val="left" w:pos="8647"/>
              </w:tabs>
              <w:spacing w:after="0"/>
              <w:jc w:val="center"/>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5</w:t>
            </w:r>
          </w:p>
        </w:tc>
        <w:tc>
          <w:tcPr>
            <w:tcW w:w="1822" w:type="dxa"/>
            <w:tcBorders>
              <w:top w:val="nil"/>
              <w:left w:val="nil"/>
              <w:bottom w:val="single" w:sz="8" w:space="0" w:color="auto"/>
              <w:right w:val="single" w:sz="8" w:space="0" w:color="auto"/>
            </w:tcBorders>
            <w:shd w:val="clear" w:color="auto" w:fill="auto"/>
            <w:noWrap/>
            <w:vAlign w:val="bottom"/>
            <w:hideMark/>
          </w:tcPr>
          <w:p w14:paraId="71BA55CF" w14:textId="774E7E42" w:rsidR="00101E80" w:rsidRPr="00900A9F" w:rsidRDefault="00101E80" w:rsidP="00C05C12">
            <w:pPr>
              <w:tabs>
                <w:tab w:val="left" w:pos="8647"/>
              </w:tabs>
              <w:spacing w:after="0"/>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 xml:space="preserve">Ls 1492,64 </w:t>
            </w:r>
          </w:p>
        </w:tc>
        <w:tc>
          <w:tcPr>
            <w:tcW w:w="1578" w:type="dxa"/>
            <w:vMerge/>
            <w:tcBorders>
              <w:top w:val="nil"/>
              <w:left w:val="single" w:sz="8" w:space="0" w:color="auto"/>
              <w:bottom w:val="single" w:sz="8" w:space="0" w:color="000000"/>
              <w:right w:val="single" w:sz="8" w:space="0" w:color="auto"/>
            </w:tcBorders>
            <w:vAlign w:val="center"/>
            <w:hideMark/>
          </w:tcPr>
          <w:p w14:paraId="147AE44E" w14:textId="77777777" w:rsidR="00101E80" w:rsidRPr="006557B3" w:rsidRDefault="00101E80" w:rsidP="00C05C12">
            <w:pPr>
              <w:tabs>
                <w:tab w:val="left" w:pos="8647"/>
              </w:tabs>
              <w:spacing w:after="0"/>
              <w:rPr>
                <w:rFonts w:ascii="Times New Roman" w:hAnsi="Times New Roman" w:cs="Times New Roman"/>
                <w:color w:val="000000"/>
                <w:sz w:val="24"/>
                <w:szCs w:val="24"/>
                <w:lang w:eastAsia="lv-LV"/>
              </w:rPr>
            </w:pPr>
          </w:p>
        </w:tc>
      </w:tr>
      <w:tr w:rsidR="00101E80" w:rsidRPr="006557B3" w14:paraId="26DD2999" w14:textId="77777777" w:rsidTr="00C05C12">
        <w:trPr>
          <w:trHeight w:val="288"/>
        </w:trPr>
        <w:tc>
          <w:tcPr>
            <w:tcW w:w="959" w:type="dxa"/>
            <w:vMerge w:val="restart"/>
            <w:tcBorders>
              <w:top w:val="nil"/>
              <w:left w:val="single" w:sz="8" w:space="0" w:color="auto"/>
              <w:bottom w:val="single" w:sz="8" w:space="0" w:color="000000"/>
              <w:right w:val="nil"/>
            </w:tcBorders>
            <w:shd w:val="clear" w:color="auto" w:fill="auto"/>
            <w:noWrap/>
            <w:hideMark/>
          </w:tcPr>
          <w:p w14:paraId="0095C9AE" w14:textId="796EF533" w:rsidR="00101E80" w:rsidRPr="006557B3" w:rsidRDefault="00101E8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2013</w:t>
            </w:r>
            <w:r w:rsidR="0035623C" w:rsidRPr="006557B3">
              <w:rPr>
                <w:rFonts w:ascii="Times New Roman" w:hAnsi="Times New Roman" w:cs="Times New Roman"/>
                <w:b/>
                <w:bCs/>
                <w:color w:val="000000"/>
                <w:sz w:val="24"/>
                <w:szCs w:val="24"/>
                <w:lang w:eastAsia="lv-LV"/>
              </w:rPr>
              <w:t>.</w:t>
            </w:r>
          </w:p>
        </w:tc>
        <w:tc>
          <w:tcPr>
            <w:tcW w:w="1597" w:type="dxa"/>
            <w:tcBorders>
              <w:top w:val="nil"/>
              <w:left w:val="single" w:sz="8" w:space="0" w:color="auto"/>
              <w:bottom w:val="single" w:sz="4" w:space="0" w:color="auto"/>
              <w:right w:val="single" w:sz="8" w:space="0" w:color="auto"/>
            </w:tcBorders>
            <w:shd w:val="clear" w:color="000000" w:fill="FFFFFF"/>
            <w:hideMark/>
          </w:tcPr>
          <w:p w14:paraId="0D66D7D4" w14:textId="77777777" w:rsidR="00101E80" w:rsidRPr="006557B3" w:rsidRDefault="00101E80" w:rsidP="00344567">
            <w:pPr>
              <w:tabs>
                <w:tab w:val="left" w:pos="8647"/>
              </w:tabs>
              <w:spacing w:after="0" w:line="240" w:lineRule="auto"/>
              <w:rPr>
                <w:rFonts w:ascii="Times New Roman" w:hAnsi="Times New Roman" w:cs="Times New Roman"/>
                <w:sz w:val="24"/>
                <w:szCs w:val="24"/>
                <w:lang w:eastAsia="lv-LV"/>
              </w:rPr>
            </w:pPr>
            <w:r w:rsidRPr="006557B3">
              <w:rPr>
                <w:rFonts w:ascii="Times New Roman" w:hAnsi="Times New Roman" w:cs="Times New Roman"/>
                <w:sz w:val="24"/>
                <w:szCs w:val="24"/>
                <w:lang w:eastAsia="lv-LV"/>
              </w:rPr>
              <w:t>Svins, kadmijs</w:t>
            </w:r>
          </w:p>
        </w:tc>
        <w:tc>
          <w:tcPr>
            <w:tcW w:w="1410" w:type="dxa"/>
            <w:tcBorders>
              <w:top w:val="nil"/>
              <w:left w:val="nil"/>
              <w:bottom w:val="single" w:sz="4" w:space="0" w:color="auto"/>
              <w:right w:val="nil"/>
            </w:tcBorders>
            <w:shd w:val="clear" w:color="000000" w:fill="FFFFFF"/>
            <w:hideMark/>
          </w:tcPr>
          <w:p w14:paraId="2FDD998C" w14:textId="77777777" w:rsidR="00DD3D47" w:rsidRPr="00900A9F" w:rsidRDefault="00DD3D47" w:rsidP="00DD3D47">
            <w:pPr>
              <w:tabs>
                <w:tab w:val="left" w:pos="8647"/>
              </w:tabs>
              <w:spacing w:after="0" w:line="240" w:lineRule="auto"/>
              <w:jc w:val="center"/>
              <w:rPr>
                <w:rFonts w:ascii="Times New Roman" w:hAnsi="Times New Roman" w:cs="Times New Roman"/>
                <w:sz w:val="24"/>
                <w:szCs w:val="24"/>
                <w:lang w:eastAsia="lv-LV"/>
              </w:rPr>
            </w:pPr>
          </w:p>
          <w:p w14:paraId="3D729BA9" w14:textId="2F42C71E" w:rsidR="00101E80" w:rsidRPr="00900A9F" w:rsidRDefault="00101E80" w:rsidP="00DD3D47">
            <w:pPr>
              <w:tabs>
                <w:tab w:val="left" w:pos="8647"/>
              </w:tabs>
              <w:spacing w:after="0" w:line="240" w:lineRule="auto"/>
              <w:jc w:val="center"/>
              <w:rPr>
                <w:rFonts w:ascii="Times New Roman" w:hAnsi="Times New Roman" w:cs="Times New Roman"/>
                <w:sz w:val="24"/>
                <w:szCs w:val="24"/>
                <w:lang w:eastAsia="lv-LV"/>
              </w:rPr>
            </w:pPr>
            <w:r w:rsidRPr="00900A9F">
              <w:rPr>
                <w:rFonts w:ascii="Times New Roman" w:hAnsi="Times New Roman" w:cs="Times New Roman"/>
                <w:sz w:val="24"/>
                <w:szCs w:val="24"/>
                <w:lang w:eastAsia="lv-LV"/>
              </w:rPr>
              <w:t>2</w:t>
            </w:r>
          </w:p>
        </w:tc>
        <w:tc>
          <w:tcPr>
            <w:tcW w:w="1876" w:type="dxa"/>
            <w:tcBorders>
              <w:top w:val="nil"/>
              <w:left w:val="single" w:sz="8" w:space="0" w:color="auto"/>
              <w:bottom w:val="single" w:sz="4" w:space="0" w:color="auto"/>
              <w:right w:val="single" w:sz="8" w:space="0" w:color="auto"/>
            </w:tcBorders>
            <w:shd w:val="clear" w:color="auto" w:fill="auto"/>
            <w:noWrap/>
            <w:vAlign w:val="bottom"/>
            <w:hideMark/>
          </w:tcPr>
          <w:p w14:paraId="70CA77D9" w14:textId="60239C4D" w:rsidR="00101E80" w:rsidRPr="00900A9F" w:rsidRDefault="00101E80" w:rsidP="00C05C12">
            <w:pPr>
              <w:tabs>
                <w:tab w:val="left" w:pos="8647"/>
              </w:tabs>
              <w:spacing w:after="0"/>
              <w:jc w:val="center"/>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 </w:t>
            </w:r>
            <w:r w:rsidR="00900A9F" w:rsidRPr="00900A9F">
              <w:rPr>
                <w:rFonts w:ascii="Times New Roman" w:hAnsi="Times New Roman" w:cs="Times New Roman"/>
                <w:color w:val="000000"/>
                <w:sz w:val="24"/>
                <w:szCs w:val="24"/>
                <w:lang w:eastAsia="lv-LV"/>
              </w:rPr>
              <w:t>0</w:t>
            </w:r>
          </w:p>
        </w:tc>
        <w:tc>
          <w:tcPr>
            <w:tcW w:w="1822" w:type="dxa"/>
            <w:tcBorders>
              <w:top w:val="nil"/>
              <w:left w:val="nil"/>
              <w:bottom w:val="single" w:sz="4" w:space="0" w:color="auto"/>
              <w:right w:val="single" w:sz="8" w:space="0" w:color="auto"/>
            </w:tcBorders>
            <w:shd w:val="clear" w:color="auto" w:fill="auto"/>
            <w:noWrap/>
            <w:vAlign w:val="bottom"/>
            <w:hideMark/>
          </w:tcPr>
          <w:p w14:paraId="2264B313" w14:textId="7A70520B" w:rsidR="00101E80" w:rsidRPr="00900A9F" w:rsidRDefault="00101E80" w:rsidP="00C05C12">
            <w:pPr>
              <w:tabs>
                <w:tab w:val="left" w:pos="8647"/>
              </w:tabs>
              <w:spacing w:after="0"/>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 xml:space="preserve">Ls 80,40 </w:t>
            </w:r>
          </w:p>
        </w:tc>
        <w:tc>
          <w:tcPr>
            <w:tcW w:w="1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36A178" w14:textId="77777777" w:rsidR="00101E80" w:rsidRPr="006557B3" w:rsidRDefault="00101E8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510</w:t>
            </w:r>
          </w:p>
        </w:tc>
      </w:tr>
      <w:tr w:rsidR="00101E80" w:rsidRPr="006557B3" w14:paraId="08A90E6C" w14:textId="77777777" w:rsidTr="00C05C12">
        <w:trPr>
          <w:trHeight w:val="288"/>
        </w:trPr>
        <w:tc>
          <w:tcPr>
            <w:tcW w:w="959" w:type="dxa"/>
            <w:vMerge/>
            <w:tcBorders>
              <w:top w:val="nil"/>
              <w:left w:val="single" w:sz="8" w:space="0" w:color="auto"/>
              <w:bottom w:val="single" w:sz="8" w:space="0" w:color="000000"/>
              <w:right w:val="nil"/>
            </w:tcBorders>
            <w:vAlign w:val="center"/>
            <w:hideMark/>
          </w:tcPr>
          <w:p w14:paraId="0D91A47B" w14:textId="77777777" w:rsidR="00101E80" w:rsidRPr="006557B3" w:rsidRDefault="00101E80" w:rsidP="00C05C12">
            <w:pPr>
              <w:tabs>
                <w:tab w:val="left" w:pos="8647"/>
              </w:tabs>
              <w:spacing w:after="0"/>
              <w:rPr>
                <w:rFonts w:ascii="Times New Roman" w:hAnsi="Times New Roman" w:cs="Times New Roman"/>
                <w:b/>
                <w:bCs/>
                <w:color w:val="000000"/>
                <w:sz w:val="24"/>
                <w:szCs w:val="24"/>
                <w:lang w:eastAsia="lv-LV"/>
              </w:rPr>
            </w:pPr>
          </w:p>
        </w:tc>
        <w:tc>
          <w:tcPr>
            <w:tcW w:w="1597" w:type="dxa"/>
            <w:tcBorders>
              <w:top w:val="nil"/>
              <w:left w:val="single" w:sz="8" w:space="0" w:color="auto"/>
              <w:bottom w:val="single" w:sz="4" w:space="0" w:color="auto"/>
              <w:right w:val="single" w:sz="8" w:space="0" w:color="auto"/>
            </w:tcBorders>
            <w:shd w:val="clear" w:color="000000" w:fill="FFFFFF"/>
            <w:hideMark/>
          </w:tcPr>
          <w:p w14:paraId="275FCA9E" w14:textId="77777777" w:rsidR="00101E80" w:rsidRPr="006557B3" w:rsidRDefault="00101E80" w:rsidP="00344567">
            <w:pPr>
              <w:tabs>
                <w:tab w:val="left" w:pos="8647"/>
              </w:tabs>
              <w:spacing w:after="0" w:line="240" w:lineRule="auto"/>
              <w:rPr>
                <w:rFonts w:ascii="Times New Roman" w:hAnsi="Times New Roman" w:cs="Times New Roman"/>
                <w:sz w:val="24"/>
                <w:szCs w:val="24"/>
                <w:lang w:eastAsia="lv-LV"/>
              </w:rPr>
            </w:pPr>
            <w:r w:rsidRPr="006557B3">
              <w:rPr>
                <w:rFonts w:ascii="Times New Roman" w:hAnsi="Times New Roman" w:cs="Times New Roman"/>
                <w:sz w:val="24"/>
                <w:szCs w:val="24"/>
                <w:lang w:eastAsia="lv-LV"/>
              </w:rPr>
              <w:t>Svins</w:t>
            </w:r>
          </w:p>
        </w:tc>
        <w:tc>
          <w:tcPr>
            <w:tcW w:w="1410" w:type="dxa"/>
            <w:tcBorders>
              <w:top w:val="nil"/>
              <w:left w:val="nil"/>
              <w:bottom w:val="single" w:sz="4" w:space="0" w:color="auto"/>
              <w:right w:val="nil"/>
            </w:tcBorders>
            <w:shd w:val="clear" w:color="auto" w:fill="auto"/>
            <w:noWrap/>
            <w:vAlign w:val="bottom"/>
            <w:hideMark/>
          </w:tcPr>
          <w:p w14:paraId="20ECD143" w14:textId="77777777" w:rsidR="00101E80" w:rsidRPr="00900A9F" w:rsidRDefault="00101E80" w:rsidP="00DD3D47">
            <w:pPr>
              <w:tabs>
                <w:tab w:val="left" w:pos="8647"/>
              </w:tabs>
              <w:spacing w:after="0" w:line="240" w:lineRule="auto"/>
              <w:jc w:val="center"/>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2</w:t>
            </w:r>
          </w:p>
        </w:tc>
        <w:tc>
          <w:tcPr>
            <w:tcW w:w="1876" w:type="dxa"/>
            <w:tcBorders>
              <w:top w:val="nil"/>
              <w:left w:val="single" w:sz="8" w:space="0" w:color="auto"/>
              <w:bottom w:val="single" w:sz="4" w:space="0" w:color="auto"/>
              <w:right w:val="single" w:sz="8" w:space="0" w:color="auto"/>
            </w:tcBorders>
            <w:shd w:val="clear" w:color="auto" w:fill="auto"/>
            <w:noWrap/>
            <w:vAlign w:val="bottom"/>
            <w:hideMark/>
          </w:tcPr>
          <w:p w14:paraId="3824C438" w14:textId="77777777" w:rsidR="00101E80" w:rsidRPr="00900A9F" w:rsidRDefault="00101E80" w:rsidP="00C05C12">
            <w:pPr>
              <w:tabs>
                <w:tab w:val="left" w:pos="8647"/>
              </w:tabs>
              <w:spacing w:after="0"/>
              <w:jc w:val="center"/>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 </w:t>
            </w:r>
          </w:p>
        </w:tc>
        <w:tc>
          <w:tcPr>
            <w:tcW w:w="1822" w:type="dxa"/>
            <w:tcBorders>
              <w:top w:val="nil"/>
              <w:left w:val="nil"/>
              <w:bottom w:val="single" w:sz="4" w:space="0" w:color="auto"/>
              <w:right w:val="single" w:sz="8" w:space="0" w:color="auto"/>
            </w:tcBorders>
            <w:shd w:val="clear" w:color="auto" w:fill="auto"/>
            <w:noWrap/>
            <w:vAlign w:val="bottom"/>
            <w:hideMark/>
          </w:tcPr>
          <w:p w14:paraId="758859C1" w14:textId="572FD86F" w:rsidR="00101E80" w:rsidRPr="00900A9F" w:rsidRDefault="00101E80" w:rsidP="00C05C12">
            <w:pPr>
              <w:tabs>
                <w:tab w:val="left" w:pos="8647"/>
              </w:tabs>
              <w:spacing w:after="0"/>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 xml:space="preserve">Ls 40,20 </w:t>
            </w:r>
          </w:p>
        </w:tc>
        <w:tc>
          <w:tcPr>
            <w:tcW w:w="1578" w:type="dxa"/>
            <w:vMerge/>
            <w:tcBorders>
              <w:top w:val="nil"/>
              <w:left w:val="single" w:sz="8" w:space="0" w:color="auto"/>
              <w:bottom w:val="single" w:sz="8" w:space="0" w:color="000000"/>
              <w:right w:val="single" w:sz="8" w:space="0" w:color="auto"/>
            </w:tcBorders>
            <w:vAlign w:val="center"/>
            <w:hideMark/>
          </w:tcPr>
          <w:p w14:paraId="0AE830E9" w14:textId="77777777" w:rsidR="00101E80" w:rsidRPr="006557B3" w:rsidRDefault="00101E80" w:rsidP="00C05C12">
            <w:pPr>
              <w:tabs>
                <w:tab w:val="left" w:pos="8647"/>
              </w:tabs>
              <w:spacing w:after="0"/>
              <w:rPr>
                <w:rFonts w:ascii="Times New Roman" w:hAnsi="Times New Roman" w:cs="Times New Roman"/>
                <w:color w:val="000000"/>
                <w:sz w:val="24"/>
                <w:szCs w:val="24"/>
                <w:lang w:eastAsia="lv-LV"/>
              </w:rPr>
            </w:pPr>
          </w:p>
        </w:tc>
      </w:tr>
      <w:tr w:rsidR="00101E80" w:rsidRPr="006557B3" w14:paraId="6DE89AA4" w14:textId="77777777" w:rsidTr="00C05C12">
        <w:trPr>
          <w:trHeight w:val="300"/>
        </w:trPr>
        <w:tc>
          <w:tcPr>
            <w:tcW w:w="959" w:type="dxa"/>
            <w:vMerge/>
            <w:tcBorders>
              <w:top w:val="nil"/>
              <w:left w:val="single" w:sz="8" w:space="0" w:color="auto"/>
              <w:bottom w:val="single" w:sz="8" w:space="0" w:color="000000"/>
              <w:right w:val="nil"/>
            </w:tcBorders>
            <w:vAlign w:val="center"/>
            <w:hideMark/>
          </w:tcPr>
          <w:p w14:paraId="589B0C6A" w14:textId="77777777" w:rsidR="00101E80" w:rsidRPr="006557B3" w:rsidRDefault="00101E80" w:rsidP="00C05C12">
            <w:pPr>
              <w:tabs>
                <w:tab w:val="left" w:pos="8647"/>
              </w:tabs>
              <w:spacing w:after="0"/>
              <w:rPr>
                <w:rFonts w:ascii="Times New Roman" w:hAnsi="Times New Roman" w:cs="Times New Roman"/>
                <w:b/>
                <w:bCs/>
                <w:color w:val="000000"/>
                <w:sz w:val="24"/>
                <w:szCs w:val="24"/>
                <w:lang w:eastAsia="lv-LV"/>
              </w:rPr>
            </w:pPr>
          </w:p>
        </w:tc>
        <w:tc>
          <w:tcPr>
            <w:tcW w:w="1597" w:type="dxa"/>
            <w:tcBorders>
              <w:top w:val="nil"/>
              <w:left w:val="single" w:sz="8" w:space="0" w:color="auto"/>
              <w:bottom w:val="single" w:sz="8" w:space="0" w:color="auto"/>
              <w:right w:val="single" w:sz="8" w:space="0" w:color="auto"/>
            </w:tcBorders>
            <w:shd w:val="clear" w:color="auto" w:fill="auto"/>
            <w:hideMark/>
          </w:tcPr>
          <w:p w14:paraId="4F382DC7" w14:textId="77777777" w:rsidR="00101E80" w:rsidRPr="006557B3" w:rsidRDefault="00101E80" w:rsidP="00344567">
            <w:pPr>
              <w:tabs>
                <w:tab w:val="left" w:pos="8647"/>
              </w:tabs>
              <w:spacing w:after="0" w:line="240" w:lineRule="auto"/>
              <w:rPr>
                <w:rFonts w:ascii="Times New Roman" w:hAnsi="Times New Roman" w:cs="Times New Roman"/>
                <w:sz w:val="24"/>
                <w:szCs w:val="24"/>
                <w:lang w:eastAsia="lv-LV"/>
              </w:rPr>
            </w:pPr>
            <w:r w:rsidRPr="006557B3">
              <w:rPr>
                <w:rFonts w:ascii="Times New Roman" w:hAnsi="Times New Roman" w:cs="Times New Roman"/>
                <w:sz w:val="24"/>
                <w:szCs w:val="24"/>
                <w:lang w:eastAsia="lv-LV"/>
              </w:rPr>
              <w:t>Apstrāde ar jonizējošo starojumu***</w:t>
            </w:r>
          </w:p>
        </w:tc>
        <w:tc>
          <w:tcPr>
            <w:tcW w:w="1410" w:type="dxa"/>
            <w:tcBorders>
              <w:top w:val="nil"/>
              <w:left w:val="nil"/>
              <w:bottom w:val="single" w:sz="8" w:space="0" w:color="auto"/>
              <w:right w:val="nil"/>
            </w:tcBorders>
            <w:shd w:val="clear" w:color="auto" w:fill="auto"/>
            <w:hideMark/>
          </w:tcPr>
          <w:p w14:paraId="44E77F73" w14:textId="77777777" w:rsidR="00DD3D47" w:rsidRPr="00900A9F" w:rsidRDefault="00DD3D47" w:rsidP="00DD3D47">
            <w:pPr>
              <w:tabs>
                <w:tab w:val="left" w:pos="8647"/>
              </w:tabs>
              <w:spacing w:after="0" w:line="240" w:lineRule="auto"/>
              <w:jc w:val="center"/>
              <w:rPr>
                <w:rFonts w:ascii="Times New Roman" w:hAnsi="Times New Roman" w:cs="Times New Roman"/>
                <w:sz w:val="24"/>
                <w:szCs w:val="24"/>
                <w:lang w:eastAsia="lv-LV"/>
              </w:rPr>
            </w:pPr>
          </w:p>
          <w:p w14:paraId="663A7171" w14:textId="77777777" w:rsidR="00DD3D47" w:rsidRPr="00900A9F" w:rsidRDefault="00DD3D47" w:rsidP="00DD3D47">
            <w:pPr>
              <w:tabs>
                <w:tab w:val="left" w:pos="8647"/>
              </w:tabs>
              <w:spacing w:after="0" w:line="240" w:lineRule="auto"/>
              <w:jc w:val="center"/>
              <w:rPr>
                <w:rFonts w:ascii="Times New Roman" w:hAnsi="Times New Roman" w:cs="Times New Roman"/>
                <w:sz w:val="24"/>
                <w:szCs w:val="24"/>
                <w:lang w:eastAsia="lv-LV"/>
              </w:rPr>
            </w:pPr>
          </w:p>
          <w:p w14:paraId="3940FB04" w14:textId="492331CD" w:rsidR="00101E80" w:rsidRPr="00900A9F" w:rsidRDefault="00101E80" w:rsidP="00DD3D47">
            <w:pPr>
              <w:tabs>
                <w:tab w:val="left" w:pos="8647"/>
              </w:tabs>
              <w:spacing w:after="0" w:line="240" w:lineRule="auto"/>
              <w:jc w:val="center"/>
              <w:rPr>
                <w:rFonts w:ascii="Times New Roman" w:hAnsi="Times New Roman" w:cs="Times New Roman"/>
                <w:sz w:val="24"/>
                <w:szCs w:val="24"/>
                <w:lang w:eastAsia="lv-LV"/>
              </w:rPr>
            </w:pPr>
            <w:r w:rsidRPr="00900A9F">
              <w:rPr>
                <w:rFonts w:ascii="Times New Roman" w:hAnsi="Times New Roman" w:cs="Times New Roman"/>
                <w:sz w:val="24"/>
                <w:szCs w:val="24"/>
                <w:lang w:eastAsia="lv-LV"/>
              </w:rPr>
              <w:t>10</w:t>
            </w:r>
          </w:p>
        </w:tc>
        <w:tc>
          <w:tcPr>
            <w:tcW w:w="1876" w:type="dxa"/>
            <w:tcBorders>
              <w:top w:val="nil"/>
              <w:left w:val="single" w:sz="8" w:space="0" w:color="auto"/>
              <w:bottom w:val="single" w:sz="8" w:space="0" w:color="auto"/>
              <w:right w:val="single" w:sz="8" w:space="0" w:color="auto"/>
            </w:tcBorders>
            <w:shd w:val="clear" w:color="auto" w:fill="auto"/>
            <w:noWrap/>
            <w:vAlign w:val="bottom"/>
            <w:hideMark/>
          </w:tcPr>
          <w:p w14:paraId="0CEAAC7C" w14:textId="77777777" w:rsidR="00101E80" w:rsidRPr="00900A9F" w:rsidRDefault="00101E80" w:rsidP="00C05C12">
            <w:pPr>
              <w:tabs>
                <w:tab w:val="left" w:pos="8647"/>
              </w:tabs>
              <w:spacing w:after="0"/>
              <w:jc w:val="center"/>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5</w:t>
            </w:r>
          </w:p>
        </w:tc>
        <w:tc>
          <w:tcPr>
            <w:tcW w:w="1822" w:type="dxa"/>
            <w:tcBorders>
              <w:top w:val="nil"/>
              <w:left w:val="nil"/>
              <w:bottom w:val="single" w:sz="8" w:space="0" w:color="auto"/>
              <w:right w:val="single" w:sz="8" w:space="0" w:color="auto"/>
            </w:tcBorders>
            <w:shd w:val="clear" w:color="auto" w:fill="auto"/>
            <w:noWrap/>
            <w:vAlign w:val="bottom"/>
            <w:hideMark/>
          </w:tcPr>
          <w:p w14:paraId="21E7D755" w14:textId="2FA5CE4F" w:rsidR="00101E80" w:rsidRPr="00900A9F" w:rsidRDefault="00101E80" w:rsidP="00C05C12">
            <w:pPr>
              <w:tabs>
                <w:tab w:val="left" w:pos="8647"/>
              </w:tabs>
              <w:spacing w:after="0"/>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 xml:space="preserve">Ls 2336,00 </w:t>
            </w:r>
          </w:p>
        </w:tc>
        <w:tc>
          <w:tcPr>
            <w:tcW w:w="1578" w:type="dxa"/>
            <w:vMerge/>
            <w:tcBorders>
              <w:top w:val="nil"/>
              <w:left w:val="single" w:sz="8" w:space="0" w:color="auto"/>
              <w:bottom w:val="single" w:sz="8" w:space="0" w:color="000000"/>
              <w:right w:val="single" w:sz="8" w:space="0" w:color="auto"/>
            </w:tcBorders>
            <w:vAlign w:val="center"/>
            <w:hideMark/>
          </w:tcPr>
          <w:p w14:paraId="563C99E4" w14:textId="77777777" w:rsidR="00101E80" w:rsidRPr="006557B3" w:rsidRDefault="00101E80" w:rsidP="00C05C12">
            <w:pPr>
              <w:tabs>
                <w:tab w:val="left" w:pos="8647"/>
              </w:tabs>
              <w:spacing w:after="0"/>
              <w:rPr>
                <w:rFonts w:ascii="Times New Roman" w:hAnsi="Times New Roman" w:cs="Times New Roman"/>
                <w:color w:val="000000"/>
                <w:sz w:val="24"/>
                <w:szCs w:val="24"/>
                <w:lang w:eastAsia="lv-LV"/>
              </w:rPr>
            </w:pPr>
          </w:p>
        </w:tc>
      </w:tr>
      <w:tr w:rsidR="00101E80" w:rsidRPr="006557B3" w14:paraId="7CBB38D1" w14:textId="77777777" w:rsidTr="00C05C12">
        <w:trPr>
          <w:trHeight w:val="288"/>
        </w:trPr>
        <w:tc>
          <w:tcPr>
            <w:tcW w:w="959" w:type="dxa"/>
            <w:vMerge w:val="restart"/>
            <w:tcBorders>
              <w:top w:val="nil"/>
              <w:left w:val="single" w:sz="8" w:space="0" w:color="auto"/>
              <w:bottom w:val="single" w:sz="8" w:space="0" w:color="000000"/>
              <w:right w:val="nil"/>
            </w:tcBorders>
            <w:shd w:val="clear" w:color="auto" w:fill="auto"/>
            <w:noWrap/>
            <w:hideMark/>
          </w:tcPr>
          <w:p w14:paraId="0F81651D" w14:textId="30C19D57" w:rsidR="00101E80" w:rsidRPr="006557B3" w:rsidRDefault="00101E8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2014</w:t>
            </w:r>
            <w:r w:rsidR="0035623C" w:rsidRPr="006557B3">
              <w:rPr>
                <w:rFonts w:ascii="Times New Roman" w:hAnsi="Times New Roman" w:cs="Times New Roman"/>
                <w:b/>
                <w:bCs/>
                <w:color w:val="000000"/>
                <w:sz w:val="24"/>
                <w:szCs w:val="24"/>
                <w:lang w:eastAsia="lv-LV"/>
              </w:rPr>
              <w:t>.</w:t>
            </w:r>
          </w:p>
        </w:tc>
        <w:tc>
          <w:tcPr>
            <w:tcW w:w="1597" w:type="dxa"/>
            <w:tcBorders>
              <w:top w:val="nil"/>
              <w:left w:val="single" w:sz="8" w:space="0" w:color="auto"/>
              <w:bottom w:val="single" w:sz="4" w:space="0" w:color="auto"/>
              <w:right w:val="single" w:sz="8" w:space="0" w:color="auto"/>
            </w:tcBorders>
            <w:shd w:val="clear" w:color="auto" w:fill="auto"/>
            <w:hideMark/>
          </w:tcPr>
          <w:p w14:paraId="7210D3C9" w14:textId="77777777" w:rsidR="00101E80" w:rsidRPr="006557B3" w:rsidRDefault="00101E80" w:rsidP="00344567">
            <w:pPr>
              <w:tabs>
                <w:tab w:val="left" w:pos="8647"/>
              </w:tabs>
              <w:spacing w:after="0" w:line="240" w:lineRule="auto"/>
              <w:rPr>
                <w:rFonts w:ascii="Times New Roman" w:hAnsi="Times New Roman" w:cs="Times New Roman"/>
                <w:sz w:val="24"/>
                <w:szCs w:val="24"/>
                <w:lang w:eastAsia="lv-LV"/>
              </w:rPr>
            </w:pPr>
            <w:r w:rsidRPr="006557B3">
              <w:rPr>
                <w:rFonts w:ascii="Times New Roman" w:hAnsi="Times New Roman" w:cs="Times New Roman"/>
                <w:sz w:val="24"/>
                <w:szCs w:val="24"/>
                <w:lang w:eastAsia="lv-LV"/>
              </w:rPr>
              <w:t>Svins, kadmijs</w:t>
            </w:r>
          </w:p>
        </w:tc>
        <w:tc>
          <w:tcPr>
            <w:tcW w:w="1410" w:type="dxa"/>
            <w:tcBorders>
              <w:top w:val="nil"/>
              <w:left w:val="nil"/>
              <w:bottom w:val="single" w:sz="4" w:space="0" w:color="auto"/>
              <w:right w:val="nil"/>
            </w:tcBorders>
            <w:shd w:val="clear" w:color="auto" w:fill="auto"/>
            <w:hideMark/>
          </w:tcPr>
          <w:p w14:paraId="20AA60E4" w14:textId="77777777" w:rsidR="00DD3D47" w:rsidRPr="00900A9F" w:rsidRDefault="00DD3D47" w:rsidP="00DD3D47">
            <w:pPr>
              <w:tabs>
                <w:tab w:val="left" w:pos="8647"/>
              </w:tabs>
              <w:spacing w:after="0" w:line="240" w:lineRule="auto"/>
              <w:jc w:val="center"/>
              <w:rPr>
                <w:rFonts w:ascii="Times New Roman" w:hAnsi="Times New Roman" w:cs="Times New Roman"/>
                <w:sz w:val="24"/>
                <w:szCs w:val="24"/>
                <w:lang w:eastAsia="lv-LV"/>
              </w:rPr>
            </w:pPr>
          </w:p>
          <w:p w14:paraId="0A99C673" w14:textId="67396A28" w:rsidR="00101E80" w:rsidRPr="00900A9F" w:rsidRDefault="00101E80" w:rsidP="00DD3D47">
            <w:pPr>
              <w:tabs>
                <w:tab w:val="left" w:pos="8647"/>
              </w:tabs>
              <w:spacing w:after="0" w:line="240" w:lineRule="auto"/>
              <w:jc w:val="center"/>
              <w:rPr>
                <w:rFonts w:ascii="Times New Roman" w:hAnsi="Times New Roman" w:cs="Times New Roman"/>
                <w:sz w:val="24"/>
                <w:szCs w:val="24"/>
                <w:lang w:eastAsia="lv-LV"/>
              </w:rPr>
            </w:pPr>
            <w:r w:rsidRPr="00900A9F">
              <w:rPr>
                <w:rFonts w:ascii="Times New Roman" w:hAnsi="Times New Roman" w:cs="Times New Roman"/>
                <w:sz w:val="24"/>
                <w:szCs w:val="24"/>
                <w:lang w:eastAsia="lv-LV"/>
              </w:rPr>
              <w:t>2</w:t>
            </w:r>
          </w:p>
        </w:tc>
        <w:tc>
          <w:tcPr>
            <w:tcW w:w="1876" w:type="dxa"/>
            <w:tcBorders>
              <w:top w:val="nil"/>
              <w:left w:val="single" w:sz="8" w:space="0" w:color="auto"/>
              <w:bottom w:val="single" w:sz="4" w:space="0" w:color="auto"/>
              <w:right w:val="single" w:sz="8" w:space="0" w:color="auto"/>
            </w:tcBorders>
            <w:shd w:val="clear" w:color="auto" w:fill="auto"/>
            <w:noWrap/>
            <w:vAlign w:val="bottom"/>
            <w:hideMark/>
          </w:tcPr>
          <w:p w14:paraId="485EEA24" w14:textId="6697EE6A" w:rsidR="00101E80" w:rsidRPr="00900A9F" w:rsidRDefault="00900A9F" w:rsidP="00C05C12">
            <w:pPr>
              <w:tabs>
                <w:tab w:val="left" w:pos="8647"/>
              </w:tabs>
              <w:spacing w:after="0"/>
              <w:jc w:val="center"/>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0</w:t>
            </w:r>
            <w:r w:rsidR="00101E80" w:rsidRPr="00900A9F">
              <w:rPr>
                <w:rFonts w:ascii="Times New Roman" w:hAnsi="Times New Roman" w:cs="Times New Roman"/>
                <w:color w:val="000000"/>
                <w:sz w:val="24"/>
                <w:szCs w:val="24"/>
                <w:lang w:eastAsia="lv-LV"/>
              </w:rPr>
              <w:t> </w:t>
            </w:r>
          </w:p>
        </w:tc>
        <w:tc>
          <w:tcPr>
            <w:tcW w:w="1822" w:type="dxa"/>
            <w:tcBorders>
              <w:top w:val="nil"/>
              <w:left w:val="nil"/>
              <w:bottom w:val="single" w:sz="4" w:space="0" w:color="auto"/>
              <w:right w:val="single" w:sz="8" w:space="0" w:color="auto"/>
            </w:tcBorders>
            <w:shd w:val="clear" w:color="auto" w:fill="auto"/>
            <w:noWrap/>
            <w:vAlign w:val="bottom"/>
            <w:hideMark/>
          </w:tcPr>
          <w:p w14:paraId="7C49420A" w14:textId="4C1EE06E" w:rsidR="00101E80" w:rsidRPr="00900A9F" w:rsidRDefault="00101E80" w:rsidP="00C05C12">
            <w:pPr>
              <w:tabs>
                <w:tab w:val="left" w:pos="8647"/>
              </w:tabs>
              <w:spacing w:after="0"/>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 xml:space="preserve">114,40 </w:t>
            </w:r>
            <w:r w:rsidR="0035623C" w:rsidRPr="00900A9F">
              <w:rPr>
                <w:rFonts w:ascii="Times New Roman" w:hAnsi="Times New Roman" w:cs="Times New Roman"/>
                <w:i/>
                <w:color w:val="000000"/>
                <w:sz w:val="24"/>
                <w:szCs w:val="24"/>
                <w:lang w:eastAsia="lv-LV"/>
              </w:rPr>
              <w:t>euro</w:t>
            </w:r>
            <w:r w:rsidR="0035623C" w:rsidRPr="00900A9F">
              <w:rPr>
                <w:rFonts w:ascii="Times New Roman" w:hAnsi="Times New Roman" w:cs="Times New Roman"/>
                <w:color w:val="000000"/>
                <w:sz w:val="24"/>
                <w:szCs w:val="24"/>
                <w:lang w:eastAsia="lv-LV"/>
              </w:rPr>
              <w:t xml:space="preserve"> </w:t>
            </w:r>
          </w:p>
        </w:tc>
        <w:tc>
          <w:tcPr>
            <w:tcW w:w="1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77671B" w14:textId="77777777" w:rsidR="00101E80" w:rsidRPr="006557B3" w:rsidRDefault="00101E8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837</w:t>
            </w:r>
          </w:p>
        </w:tc>
      </w:tr>
      <w:tr w:rsidR="00101E80" w:rsidRPr="006557B3" w14:paraId="1550D7F6" w14:textId="77777777" w:rsidTr="00C05C12">
        <w:trPr>
          <w:trHeight w:val="300"/>
        </w:trPr>
        <w:tc>
          <w:tcPr>
            <w:tcW w:w="959" w:type="dxa"/>
            <w:vMerge/>
            <w:tcBorders>
              <w:top w:val="nil"/>
              <w:left w:val="single" w:sz="8" w:space="0" w:color="auto"/>
              <w:bottom w:val="single" w:sz="8" w:space="0" w:color="000000"/>
              <w:right w:val="nil"/>
            </w:tcBorders>
            <w:vAlign w:val="center"/>
            <w:hideMark/>
          </w:tcPr>
          <w:p w14:paraId="357FAB1A" w14:textId="77777777" w:rsidR="00101E80" w:rsidRPr="006557B3" w:rsidRDefault="00101E80" w:rsidP="00C05C12">
            <w:pPr>
              <w:tabs>
                <w:tab w:val="left" w:pos="8647"/>
              </w:tabs>
              <w:spacing w:after="0"/>
              <w:rPr>
                <w:rFonts w:ascii="Times New Roman" w:hAnsi="Times New Roman" w:cs="Times New Roman"/>
                <w:b/>
                <w:bCs/>
                <w:color w:val="000000"/>
                <w:sz w:val="24"/>
                <w:szCs w:val="24"/>
                <w:lang w:eastAsia="lv-LV"/>
              </w:rPr>
            </w:pPr>
          </w:p>
        </w:tc>
        <w:tc>
          <w:tcPr>
            <w:tcW w:w="1597" w:type="dxa"/>
            <w:tcBorders>
              <w:top w:val="nil"/>
              <w:left w:val="single" w:sz="8" w:space="0" w:color="auto"/>
              <w:bottom w:val="single" w:sz="8" w:space="0" w:color="auto"/>
              <w:right w:val="single" w:sz="8" w:space="0" w:color="auto"/>
            </w:tcBorders>
            <w:shd w:val="clear" w:color="auto" w:fill="auto"/>
            <w:hideMark/>
          </w:tcPr>
          <w:p w14:paraId="7DD3E3FA" w14:textId="77777777" w:rsidR="00101E80" w:rsidRPr="006557B3" w:rsidRDefault="00101E80" w:rsidP="00344567">
            <w:pPr>
              <w:tabs>
                <w:tab w:val="left" w:pos="8647"/>
              </w:tabs>
              <w:spacing w:after="0" w:line="240" w:lineRule="auto"/>
              <w:rPr>
                <w:rFonts w:ascii="Times New Roman" w:hAnsi="Times New Roman" w:cs="Times New Roman"/>
                <w:sz w:val="24"/>
                <w:szCs w:val="24"/>
                <w:lang w:eastAsia="lv-LV"/>
              </w:rPr>
            </w:pPr>
            <w:r w:rsidRPr="006557B3">
              <w:rPr>
                <w:rFonts w:ascii="Times New Roman" w:hAnsi="Times New Roman" w:cs="Times New Roman"/>
                <w:sz w:val="24"/>
                <w:szCs w:val="24"/>
                <w:lang w:eastAsia="lv-LV"/>
              </w:rPr>
              <w:t>Apstrāde ar jonizējošo starojumu***</w:t>
            </w:r>
          </w:p>
        </w:tc>
        <w:tc>
          <w:tcPr>
            <w:tcW w:w="1410" w:type="dxa"/>
            <w:tcBorders>
              <w:top w:val="nil"/>
              <w:left w:val="nil"/>
              <w:bottom w:val="single" w:sz="8" w:space="0" w:color="auto"/>
              <w:right w:val="nil"/>
            </w:tcBorders>
            <w:shd w:val="clear" w:color="auto" w:fill="auto"/>
            <w:hideMark/>
          </w:tcPr>
          <w:p w14:paraId="12074329" w14:textId="77777777" w:rsidR="00DD3D47" w:rsidRPr="00900A9F" w:rsidRDefault="00DD3D47" w:rsidP="00DD3D47">
            <w:pPr>
              <w:tabs>
                <w:tab w:val="left" w:pos="8647"/>
              </w:tabs>
              <w:spacing w:after="0" w:line="240" w:lineRule="auto"/>
              <w:jc w:val="center"/>
              <w:rPr>
                <w:rFonts w:ascii="Times New Roman" w:hAnsi="Times New Roman" w:cs="Times New Roman"/>
                <w:sz w:val="24"/>
                <w:szCs w:val="24"/>
                <w:lang w:eastAsia="lv-LV"/>
              </w:rPr>
            </w:pPr>
          </w:p>
          <w:p w14:paraId="6FFD1225" w14:textId="77777777" w:rsidR="00DD3D47" w:rsidRPr="00900A9F" w:rsidRDefault="00DD3D47" w:rsidP="00DD3D47">
            <w:pPr>
              <w:tabs>
                <w:tab w:val="left" w:pos="8647"/>
              </w:tabs>
              <w:spacing w:after="0" w:line="240" w:lineRule="auto"/>
              <w:jc w:val="center"/>
              <w:rPr>
                <w:rFonts w:ascii="Times New Roman" w:hAnsi="Times New Roman" w:cs="Times New Roman"/>
                <w:sz w:val="24"/>
                <w:szCs w:val="24"/>
                <w:lang w:eastAsia="lv-LV"/>
              </w:rPr>
            </w:pPr>
          </w:p>
          <w:p w14:paraId="44DDDE5D" w14:textId="13DBBD62" w:rsidR="00101E80" w:rsidRPr="00900A9F" w:rsidRDefault="00101E80" w:rsidP="00DD3D47">
            <w:pPr>
              <w:tabs>
                <w:tab w:val="left" w:pos="8647"/>
              </w:tabs>
              <w:spacing w:after="0" w:line="240" w:lineRule="auto"/>
              <w:jc w:val="center"/>
              <w:rPr>
                <w:rFonts w:ascii="Times New Roman" w:hAnsi="Times New Roman" w:cs="Times New Roman"/>
                <w:sz w:val="24"/>
                <w:szCs w:val="24"/>
                <w:lang w:eastAsia="lv-LV"/>
              </w:rPr>
            </w:pPr>
            <w:r w:rsidRPr="00900A9F">
              <w:rPr>
                <w:rFonts w:ascii="Times New Roman" w:hAnsi="Times New Roman" w:cs="Times New Roman"/>
                <w:sz w:val="24"/>
                <w:szCs w:val="24"/>
                <w:lang w:eastAsia="lv-LV"/>
              </w:rPr>
              <w:t>13</w:t>
            </w:r>
          </w:p>
        </w:tc>
        <w:tc>
          <w:tcPr>
            <w:tcW w:w="1876" w:type="dxa"/>
            <w:tcBorders>
              <w:top w:val="nil"/>
              <w:left w:val="single" w:sz="8" w:space="0" w:color="auto"/>
              <w:bottom w:val="single" w:sz="8" w:space="0" w:color="auto"/>
              <w:right w:val="single" w:sz="8" w:space="0" w:color="auto"/>
            </w:tcBorders>
            <w:shd w:val="clear" w:color="auto" w:fill="auto"/>
            <w:noWrap/>
            <w:vAlign w:val="bottom"/>
            <w:hideMark/>
          </w:tcPr>
          <w:p w14:paraId="0EA86909" w14:textId="77777777" w:rsidR="00101E80" w:rsidRPr="00900A9F" w:rsidRDefault="00101E80" w:rsidP="00C05C12">
            <w:pPr>
              <w:tabs>
                <w:tab w:val="left" w:pos="8647"/>
              </w:tabs>
              <w:spacing w:after="0"/>
              <w:jc w:val="center"/>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2</w:t>
            </w:r>
          </w:p>
        </w:tc>
        <w:tc>
          <w:tcPr>
            <w:tcW w:w="1822" w:type="dxa"/>
            <w:tcBorders>
              <w:top w:val="nil"/>
              <w:left w:val="nil"/>
              <w:bottom w:val="single" w:sz="8" w:space="0" w:color="auto"/>
              <w:right w:val="single" w:sz="8" w:space="0" w:color="auto"/>
            </w:tcBorders>
            <w:shd w:val="clear" w:color="auto" w:fill="auto"/>
            <w:noWrap/>
            <w:vAlign w:val="bottom"/>
            <w:hideMark/>
          </w:tcPr>
          <w:p w14:paraId="6DD22A2D" w14:textId="537099FD" w:rsidR="00101E80" w:rsidRPr="00900A9F" w:rsidRDefault="00101E80" w:rsidP="00C05C12">
            <w:pPr>
              <w:tabs>
                <w:tab w:val="left" w:pos="8647"/>
              </w:tabs>
              <w:spacing w:after="0"/>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2</w:t>
            </w:r>
            <w:r w:rsidR="00D27105" w:rsidRPr="00900A9F">
              <w:rPr>
                <w:rFonts w:ascii="Times New Roman" w:hAnsi="Times New Roman" w:cs="Times New Roman"/>
                <w:color w:val="000000"/>
                <w:sz w:val="24"/>
                <w:szCs w:val="24"/>
                <w:lang w:eastAsia="lv-LV"/>
              </w:rPr>
              <w:t>8</w:t>
            </w:r>
            <w:r w:rsidRPr="00900A9F">
              <w:rPr>
                <w:rFonts w:ascii="Times New Roman" w:hAnsi="Times New Roman" w:cs="Times New Roman"/>
                <w:color w:val="000000"/>
                <w:sz w:val="24"/>
                <w:szCs w:val="24"/>
                <w:lang w:eastAsia="lv-LV"/>
              </w:rPr>
              <w:t xml:space="preserve">33,36 </w:t>
            </w:r>
            <w:r w:rsidR="0035623C" w:rsidRPr="00900A9F">
              <w:rPr>
                <w:rFonts w:ascii="Times New Roman" w:hAnsi="Times New Roman" w:cs="Times New Roman"/>
                <w:i/>
                <w:color w:val="000000"/>
                <w:sz w:val="24"/>
                <w:szCs w:val="24"/>
                <w:lang w:eastAsia="lv-LV"/>
              </w:rPr>
              <w:t>euro</w:t>
            </w:r>
          </w:p>
        </w:tc>
        <w:tc>
          <w:tcPr>
            <w:tcW w:w="1578" w:type="dxa"/>
            <w:vMerge/>
            <w:tcBorders>
              <w:top w:val="nil"/>
              <w:left w:val="single" w:sz="8" w:space="0" w:color="auto"/>
              <w:bottom w:val="single" w:sz="8" w:space="0" w:color="000000"/>
              <w:right w:val="single" w:sz="8" w:space="0" w:color="auto"/>
            </w:tcBorders>
            <w:vAlign w:val="center"/>
            <w:hideMark/>
          </w:tcPr>
          <w:p w14:paraId="32A8EB1F" w14:textId="77777777" w:rsidR="00101E80" w:rsidRPr="006557B3" w:rsidRDefault="00101E80" w:rsidP="00C05C12">
            <w:pPr>
              <w:tabs>
                <w:tab w:val="left" w:pos="8647"/>
              </w:tabs>
              <w:spacing w:after="0"/>
              <w:rPr>
                <w:rFonts w:ascii="Times New Roman" w:hAnsi="Times New Roman" w:cs="Times New Roman"/>
                <w:color w:val="000000"/>
                <w:sz w:val="24"/>
                <w:szCs w:val="24"/>
                <w:lang w:eastAsia="lv-LV"/>
              </w:rPr>
            </w:pPr>
          </w:p>
        </w:tc>
      </w:tr>
      <w:tr w:rsidR="00101E80" w:rsidRPr="006557B3" w14:paraId="3A1707D8" w14:textId="77777777" w:rsidTr="00C05C12">
        <w:trPr>
          <w:trHeight w:val="288"/>
        </w:trPr>
        <w:tc>
          <w:tcPr>
            <w:tcW w:w="959" w:type="dxa"/>
            <w:vMerge w:val="restart"/>
            <w:tcBorders>
              <w:top w:val="nil"/>
              <w:left w:val="single" w:sz="8" w:space="0" w:color="auto"/>
              <w:bottom w:val="single" w:sz="8" w:space="0" w:color="000000"/>
              <w:right w:val="nil"/>
            </w:tcBorders>
            <w:shd w:val="clear" w:color="auto" w:fill="auto"/>
            <w:noWrap/>
            <w:hideMark/>
          </w:tcPr>
          <w:p w14:paraId="5979A7B8" w14:textId="0EBDD72B" w:rsidR="00101E80" w:rsidRPr="006557B3" w:rsidRDefault="00101E80" w:rsidP="00C05C12">
            <w:pPr>
              <w:tabs>
                <w:tab w:val="left" w:pos="8647"/>
              </w:tabs>
              <w:spacing w:after="0"/>
              <w:jc w:val="center"/>
              <w:rPr>
                <w:rFonts w:ascii="Times New Roman" w:hAnsi="Times New Roman" w:cs="Times New Roman"/>
                <w:b/>
                <w:bCs/>
                <w:color w:val="000000"/>
                <w:sz w:val="24"/>
                <w:szCs w:val="24"/>
                <w:lang w:eastAsia="lv-LV"/>
              </w:rPr>
            </w:pPr>
            <w:r w:rsidRPr="006557B3">
              <w:rPr>
                <w:rFonts w:ascii="Times New Roman" w:hAnsi="Times New Roman" w:cs="Times New Roman"/>
                <w:b/>
                <w:bCs/>
                <w:color w:val="000000"/>
                <w:sz w:val="24"/>
                <w:szCs w:val="24"/>
                <w:lang w:eastAsia="lv-LV"/>
              </w:rPr>
              <w:t>2015</w:t>
            </w:r>
            <w:r w:rsidR="0035623C" w:rsidRPr="006557B3">
              <w:rPr>
                <w:rFonts w:ascii="Times New Roman" w:hAnsi="Times New Roman" w:cs="Times New Roman"/>
                <w:b/>
                <w:bCs/>
                <w:color w:val="000000"/>
                <w:sz w:val="24"/>
                <w:szCs w:val="24"/>
                <w:lang w:eastAsia="lv-LV"/>
              </w:rPr>
              <w:t>.</w:t>
            </w:r>
          </w:p>
        </w:tc>
        <w:tc>
          <w:tcPr>
            <w:tcW w:w="1597" w:type="dxa"/>
            <w:tcBorders>
              <w:top w:val="nil"/>
              <w:left w:val="single" w:sz="8" w:space="0" w:color="auto"/>
              <w:bottom w:val="single" w:sz="4" w:space="0" w:color="auto"/>
              <w:right w:val="single" w:sz="8" w:space="0" w:color="auto"/>
            </w:tcBorders>
            <w:shd w:val="clear" w:color="auto" w:fill="auto"/>
            <w:hideMark/>
          </w:tcPr>
          <w:p w14:paraId="2B243641" w14:textId="77777777" w:rsidR="00101E80" w:rsidRPr="006557B3" w:rsidRDefault="00101E80" w:rsidP="00344567">
            <w:pPr>
              <w:tabs>
                <w:tab w:val="left" w:pos="8647"/>
              </w:tabs>
              <w:spacing w:after="0" w:line="240" w:lineRule="auto"/>
              <w:rPr>
                <w:rFonts w:ascii="Times New Roman" w:hAnsi="Times New Roman" w:cs="Times New Roman"/>
                <w:sz w:val="24"/>
                <w:szCs w:val="24"/>
                <w:lang w:eastAsia="lv-LV"/>
              </w:rPr>
            </w:pPr>
            <w:r w:rsidRPr="006557B3">
              <w:rPr>
                <w:rFonts w:ascii="Times New Roman" w:hAnsi="Times New Roman" w:cs="Times New Roman"/>
                <w:sz w:val="24"/>
                <w:szCs w:val="24"/>
                <w:lang w:eastAsia="lv-LV"/>
              </w:rPr>
              <w:t>Svins, kadmijs</w:t>
            </w:r>
          </w:p>
        </w:tc>
        <w:tc>
          <w:tcPr>
            <w:tcW w:w="1410" w:type="dxa"/>
            <w:tcBorders>
              <w:top w:val="nil"/>
              <w:left w:val="nil"/>
              <w:bottom w:val="single" w:sz="4" w:space="0" w:color="auto"/>
              <w:right w:val="nil"/>
            </w:tcBorders>
            <w:shd w:val="clear" w:color="auto" w:fill="auto"/>
            <w:hideMark/>
          </w:tcPr>
          <w:p w14:paraId="7BA5207A" w14:textId="77777777" w:rsidR="00DD3D47" w:rsidRPr="00900A9F" w:rsidRDefault="00DD3D47" w:rsidP="00DD3D47">
            <w:pPr>
              <w:tabs>
                <w:tab w:val="left" w:pos="8647"/>
              </w:tabs>
              <w:spacing w:after="0" w:line="240" w:lineRule="auto"/>
              <w:jc w:val="center"/>
              <w:rPr>
                <w:rFonts w:ascii="Times New Roman" w:hAnsi="Times New Roman" w:cs="Times New Roman"/>
                <w:sz w:val="24"/>
                <w:szCs w:val="24"/>
                <w:lang w:eastAsia="lv-LV"/>
              </w:rPr>
            </w:pPr>
          </w:p>
          <w:p w14:paraId="2742317C" w14:textId="422AB66C" w:rsidR="00101E80" w:rsidRPr="00900A9F" w:rsidRDefault="00101E80" w:rsidP="00DD3D47">
            <w:pPr>
              <w:tabs>
                <w:tab w:val="left" w:pos="8647"/>
              </w:tabs>
              <w:spacing w:after="0" w:line="240" w:lineRule="auto"/>
              <w:jc w:val="center"/>
              <w:rPr>
                <w:rFonts w:ascii="Times New Roman" w:hAnsi="Times New Roman" w:cs="Times New Roman"/>
                <w:sz w:val="24"/>
                <w:szCs w:val="24"/>
                <w:lang w:eastAsia="lv-LV"/>
              </w:rPr>
            </w:pPr>
            <w:r w:rsidRPr="00900A9F">
              <w:rPr>
                <w:rFonts w:ascii="Times New Roman" w:hAnsi="Times New Roman" w:cs="Times New Roman"/>
                <w:sz w:val="24"/>
                <w:szCs w:val="24"/>
                <w:lang w:eastAsia="lv-LV"/>
              </w:rPr>
              <w:t>1</w:t>
            </w:r>
          </w:p>
        </w:tc>
        <w:tc>
          <w:tcPr>
            <w:tcW w:w="1876" w:type="dxa"/>
            <w:tcBorders>
              <w:top w:val="nil"/>
              <w:left w:val="single" w:sz="8" w:space="0" w:color="auto"/>
              <w:bottom w:val="single" w:sz="4" w:space="0" w:color="auto"/>
              <w:right w:val="single" w:sz="8" w:space="0" w:color="auto"/>
            </w:tcBorders>
            <w:shd w:val="clear" w:color="auto" w:fill="auto"/>
            <w:noWrap/>
            <w:vAlign w:val="bottom"/>
            <w:hideMark/>
          </w:tcPr>
          <w:p w14:paraId="31711BAB" w14:textId="4E937971" w:rsidR="00101E80" w:rsidRPr="00900A9F" w:rsidRDefault="00101E80" w:rsidP="00C05C12">
            <w:pPr>
              <w:tabs>
                <w:tab w:val="left" w:pos="8647"/>
              </w:tabs>
              <w:spacing w:after="0"/>
              <w:jc w:val="center"/>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 </w:t>
            </w:r>
            <w:r w:rsidR="00900A9F" w:rsidRPr="00900A9F">
              <w:rPr>
                <w:rFonts w:ascii="Times New Roman" w:hAnsi="Times New Roman" w:cs="Times New Roman"/>
                <w:color w:val="000000"/>
                <w:sz w:val="24"/>
                <w:szCs w:val="24"/>
                <w:lang w:eastAsia="lv-LV"/>
              </w:rPr>
              <w:t>0</w:t>
            </w:r>
          </w:p>
        </w:tc>
        <w:tc>
          <w:tcPr>
            <w:tcW w:w="1822" w:type="dxa"/>
            <w:tcBorders>
              <w:top w:val="nil"/>
              <w:left w:val="nil"/>
              <w:bottom w:val="single" w:sz="4" w:space="0" w:color="auto"/>
              <w:right w:val="single" w:sz="8" w:space="0" w:color="auto"/>
            </w:tcBorders>
            <w:shd w:val="clear" w:color="auto" w:fill="auto"/>
            <w:noWrap/>
            <w:vAlign w:val="bottom"/>
            <w:hideMark/>
          </w:tcPr>
          <w:p w14:paraId="5B3F3CBF" w14:textId="2AF1C169" w:rsidR="00101E80" w:rsidRPr="00900A9F" w:rsidRDefault="00101E80" w:rsidP="00C05C12">
            <w:pPr>
              <w:tabs>
                <w:tab w:val="left" w:pos="8647"/>
              </w:tabs>
              <w:spacing w:after="0"/>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 xml:space="preserve">57,20 </w:t>
            </w:r>
            <w:r w:rsidR="0035623C" w:rsidRPr="00900A9F">
              <w:rPr>
                <w:rFonts w:ascii="Times New Roman" w:hAnsi="Times New Roman" w:cs="Times New Roman"/>
                <w:i/>
                <w:color w:val="000000"/>
                <w:sz w:val="24"/>
                <w:szCs w:val="24"/>
                <w:lang w:eastAsia="lv-LV"/>
              </w:rPr>
              <w:t>euro</w:t>
            </w:r>
          </w:p>
        </w:tc>
        <w:tc>
          <w:tcPr>
            <w:tcW w:w="1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0A4C1F" w14:textId="4FC2A634" w:rsidR="00101E80" w:rsidRPr="006557B3" w:rsidRDefault="00101E80" w:rsidP="00C05C12">
            <w:pPr>
              <w:tabs>
                <w:tab w:val="left" w:pos="8647"/>
              </w:tabs>
              <w:spacing w:after="0"/>
              <w:jc w:val="center"/>
              <w:rPr>
                <w:rFonts w:ascii="Times New Roman" w:hAnsi="Times New Roman" w:cs="Times New Roman"/>
                <w:color w:val="000000"/>
                <w:sz w:val="24"/>
                <w:szCs w:val="24"/>
                <w:lang w:eastAsia="lv-LV"/>
              </w:rPr>
            </w:pPr>
            <w:r w:rsidRPr="006557B3">
              <w:rPr>
                <w:rFonts w:ascii="Times New Roman" w:hAnsi="Times New Roman" w:cs="Times New Roman"/>
                <w:color w:val="000000"/>
                <w:sz w:val="24"/>
                <w:szCs w:val="24"/>
                <w:lang w:eastAsia="lv-LV"/>
              </w:rPr>
              <w:t>&gt;</w:t>
            </w:r>
            <w:r w:rsidR="0035623C" w:rsidRPr="006557B3">
              <w:rPr>
                <w:rFonts w:ascii="Times New Roman" w:hAnsi="Times New Roman" w:cs="Times New Roman"/>
                <w:color w:val="000000"/>
                <w:sz w:val="24"/>
                <w:szCs w:val="24"/>
                <w:lang w:eastAsia="lv-LV"/>
              </w:rPr>
              <w:t> </w:t>
            </w:r>
            <w:r w:rsidRPr="006557B3">
              <w:rPr>
                <w:rFonts w:ascii="Times New Roman" w:hAnsi="Times New Roman" w:cs="Times New Roman"/>
                <w:color w:val="000000"/>
                <w:sz w:val="24"/>
                <w:szCs w:val="24"/>
                <w:lang w:eastAsia="lv-LV"/>
              </w:rPr>
              <w:t>62</w:t>
            </w:r>
          </w:p>
        </w:tc>
      </w:tr>
      <w:tr w:rsidR="00101E80" w:rsidRPr="006557B3" w14:paraId="1B75D34E" w14:textId="77777777" w:rsidTr="00C05C12">
        <w:trPr>
          <w:trHeight w:val="300"/>
        </w:trPr>
        <w:tc>
          <w:tcPr>
            <w:tcW w:w="959" w:type="dxa"/>
            <w:vMerge/>
            <w:tcBorders>
              <w:top w:val="nil"/>
              <w:left w:val="single" w:sz="8" w:space="0" w:color="auto"/>
              <w:bottom w:val="single" w:sz="8" w:space="0" w:color="000000"/>
              <w:right w:val="nil"/>
            </w:tcBorders>
            <w:vAlign w:val="center"/>
            <w:hideMark/>
          </w:tcPr>
          <w:p w14:paraId="2094C75B" w14:textId="77777777" w:rsidR="00101E80" w:rsidRPr="006557B3" w:rsidRDefault="00101E80" w:rsidP="00C05C12">
            <w:pPr>
              <w:tabs>
                <w:tab w:val="left" w:pos="8647"/>
              </w:tabs>
              <w:spacing w:after="0"/>
              <w:rPr>
                <w:rFonts w:ascii="Times New Roman" w:hAnsi="Times New Roman" w:cs="Times New Roman"/>
                <w:b/>
                <w:bCs/>
                <w:color w:val="000000"/>
                <w:sz w:val="24"/>
                <w:szCs w:val="24"/>
                <w:lang w:eastAsia="lv-LV"/>
              </w:rPr>
            </w:pPr>
          </w:p>
        </w:tc>
        <w:tc>
          <w:tcPr>
            <w:tcW w:w="1597" w:type="dxa"/>
            <w:tcBorders>
              <w:top w:val="nil"/>
              <w:left w:val="single" w:sz="8" w:space="0" w:color="auto"/>
              <w:bottom w:val="single" w:sz="8" w:space="0" w:color="auto"/>
              <w:right w:val="single" w:sz="8" w:space="0" w:color="auto"/>
            </w:tcBorders>
            <w:shd w:val="clear" w:color="auto" w:fill="auto"/>
            <w:hideMark/>
          </w:tcPr>
          <w:p w14:paraId="06B0B864" w14:textId="77777777" w:rsidR="00101E80" w:rsidRPr="006557B3" w:rsidRDefault="00101E80" w:rsidP="00344567">
            <w:pPr>
              <w:tabs>
                <w:tab w:val="left" w:pos="8647"/>
              </w:tabs>
              <w:spacing w:after="0" w:line="240" w:lineRule="auto"/>
              <w:rPr>
                <w:rFonts w:ascii="Times New Roman" w:hAnsi="Times New Roman" w:cs="Times New Roman"/>
                <w:sz w:val="24"/>
                <w:szCs w:val="24"/>
                <w:lang w:eastAsia="lv-LV"/>
              </w:rPr>
            </w:pPr>
            <w:r w:rsidRPr="006557B3">
              <w:rPr>
                <w:rFonts w:ascii="Times New Roman" w:hAnsi="Times New Roman" w:cs="Times New Roman"/>
                <w:sz w:val="24"/>
                <w:szCs w:val="24"/>
                <w:lang w:eastAsia="lv-LV"/>
              </w:rPr>
              <w:t>Apstrāde ar jonizējošo starojumu***</w:t>
            </w:r>
          </w:p>
        </w:tc>
        <w:tc>
          <w:tcPr>
            <w:tcW w:w="1410" w:type="dxa"/>
            <w:tcBorders>
              <w:top w:val="nil"/>
              <w:left w:val="nil"/>
              <w:bottom w:val="single" w:sz="8" w:space="0" w:color="auto"/>
              <w:right w:val="nil"/>
            </w:tcBorders>
            <w:shd w:val="clear" w:color="auto" w:fill="auto"/>
            <w:hideMark/>
          </w:tcPr>
          <w:p w14:paraId="33BDC14A" w14:textId="77777777" w:rsidR="00DD3D47" w:rsidRPr="00900A9F" w:rsidRDefault="00DD3D47" w:rsidP="00DD3D47">
            <w:pPr>
              <w:tabs>
                <w:tab w:val="left" w:pos="8647"/>
              </w:tabs>
              <w:spacing w:after="0" w:line="240" w:lineRule="auto"/>
              <w:jc w:val="center"/>
              <w:rPr>
                <w:rFonts w:ascii="Times New Roman" w:hAnsi="Times New Roman" w:cs="Times New Roman"/>
                <w:sz w:val="24"/>
                <w:szCs w:val="24"/>
                <w:lang w:eastAsia="lv-LV"/>
              </w:rPr>
            </w:pPr>
          </w:p>
          <w:p w14:paraId="60C8606E" w14:textId="77777777" w:rsidR="00DD3D47" w:rsidRPr="00900A9F" w:rsidRDefault="00DD3D47" w:rsidP="00DD3D47">
            <w:pPr>
              <w:tabs>
                <w:tab w:val="left" w:pos="8647"/>
              </w:tabs>
              <w:spacing w:after="0" w:line="240" w:lineRule="auto"/>
              <w:jc w:val="center"/>
              <w:rPr>
                <w:rFonts w:ascii="Times New Roman" w:hAnsi="Times New Roman" w:cs="Times New Roman"/>
                <w:sz w:val="24"/>
                <w:szCs w:val="24"/>
                <w:lang w:eastAsia="lv-LV"/>
              </w:rPr>
            </w:pPr>
          </w:p>
          <w:p w14:paraId="449E8EFF" w14:textId="5ED30735" w:rsidR="00101E80" w:rsidRPr="00900A9F" w:rsidRDefault="00101E80" w:rsidP="00DD3D47">
            <w:pPr>
              <w:tabs>
                <w:tab w:val="left" w:pos="8647"/>
              </w:tabs>
              <w:spacing w:after="0" w:line="240" w:lineRule="auto"/>
              <w:jc w:val="center"/>
              <w:rPr>
                <w:rFonts w:ascii="Times New Roman" w:hAnsi="Times New Roman" w:cs="Times New Roman"/>
                <w:sz w:val="24"/>
                <w:szCs w:val="24"/>
                <w:lang w:eastAsia="lv-LV"/>
              </w:rPr>
            </w:pPr>
            <w:r w:rsidRPr="00900A9F">
              <w:rPr>
                <w:rFonts w:ascii="Times New Roman" w:hAnsi="Times New Roman" w:cs="Times New Roman"/>
                <w:sz w:val="24"/>
                <w:szCs w:val="24"/>
                <w:lang w:eastAsia="lv-LV"/>
              </w:rPr>
              <w:t>10</w:t>
            </w:r>
          </w:p>
        </w:tc>
        <w:tc>
          <w:tcPr>
            <w:tcW w:w="1876" w:type="dxa"/>
            <w:tcBorders>
              <w:top w:val="nil"/>
              <w:left w:val="single" w:sz="8" w:space="0" w:color="auto"/>
              <w:bottom w:val="single" w:sz="8" w:space="0" w:color="auto"/>
              <w:right w:val="single" w:sz="8" w:space="0" w:color="auto"/>
            </w:tcBorders>
            <w:shd w:val="clear" w:color="auto" w:fill="auto"/>
            <w:noWrap/>
            <w:vAlign w:val="bottom"/>
            <w:hideMark/>
          </w:tcPr>
          <w:p w14:paraId="11E0AF18" w14:textId="77777777" w:rsidR="00101E80" w:rsidRPr="00900A9F" w:rsidRDefault="00101E80" w:rsidP="00C05C12">
            <w:pPr>
              <w:tabs>
                <w:tab w:val="left" w:pos="8647"/>
              </w:tabs>
              <w:spacing w:after="0"/>
              <w:jc w:val="center"/>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1</w:t>
            </w:r>
          </w:p>
        </w:tc>
        <w:tc>
          <w:tcPr>
            <w:tcW w:w="1822" w:type="dxa"/>
            <w:tcBorders>
              <w:top w:val="nil"/>
              <w:left w:val="nil"/>
              <w:bottom w:val="single" w:sz="8" w:space="0" w:color="auto"/>
              <w:right w:val="single" w:sz="8" w:space="0" w:color="auto"/>
            </w:tcBorders>
            <w:shd w:val="clear" w:color="auto" w:fill="auto"/>
            <w:noWrap/>
            <w:vAlign w:val="bottom"/>
            <w:hideMark/>
          </w:tcPr>
          <w:p w14:paraId="73A9F91E" w14:textId="5D914713" w:rsidR="00101E80" w:rsidRPr="00900A9F" w:rsidRDefault="00101E80" w:rsidP="00C05C12">
            <w:pPr>
              <w:tabs>
                <w:tab w:val="left" w:pos="8647"/>
              </w:tabs>
              <w:spacing w:after="0"/>
              <w:rPr>
                <w:rFonts w:ascii="Times New Roman" w:hAnsi="Times New Roman" w:cs="Times New Roman"/>
                <w:color w:val="000000"/>
                <w:sz w:val="24"/>
                <w:szCs w:val="24"/>
                <w:lang w:eastAsia="lv-LV"/>
              </w:rPr>
            </w:pPr>
            <w:r w:rsidRPr="00900A9F">
              <w:rPr>
                <w:rFonts w:ascii="Times New Roman" w:hAnsi="Times New Roman" w:cs="Times New Roman"/>
                <w:color w:val="000000"/>
                <w:sz w:val="24"/>
                <w:szCs w:val="24"/>
                <w:lang w:eastAsia="lv-LV"/>
              </w:rPr>
              <w:t xml:space="preserve">1673,84 </w:t>
            </w:r>
            <w:r w:rsidR="0035623C" w:rsidRPr="00900A9F">
              <w:rPr>
                <w:rFonts w:ascii="Times New Roman" w:hAnsi="Times New Roman" w:cs="Times New Roman"/>
                <w:i/>
                <w:color w:val="000000"/>
                <w:sz w:val="24"/>
                <w:szCs w:val="24"/>
                <w:lang w:eastAsia="lv-LV"/>
              </w:rPr>
              <w:t>euro</w:t>
            </w:r>
          </w:p>
        </w:tc>
        <w:tc>
          <w:tcPr>
            <w:tcW w:w="1578" w:type="dxa"/>
            <w:vMerge/>
            <w:tcBorders>
              <w:top w:val="nil"/>
              <w:left w:val="single" w:sz="8" w:space="0" w:color="auto"/>
              <w:bottom w:val="single" w:sz="8" w:space="0" w:color="000000"/>
              <w:right w:val="single" w:sz="8" w:space="0" w:color="auto"/>
            </w:tcBorders>
            <w:vAlign w:val="center"/>
            <w:hideMark/>
          </w:tcPr>
          <w:p w14:paraId="5AC6E616" w14:textId="77777777" w:rsidR="00101E80" w:rsidRPr="006557B3" w:rsidRDefault="00101E80" w:rsidP="00C05C12">
            <w:pPr>
              <w:tabs>
                <w:tab w:val="left" w:pos="8647"/>
              </w:tabs>
              <w:spacing w:after="0"/>
              <w:rPr>
                <w:rFonts w:ascii="Times New Roman" w:hAnsi="Times New Roman" w:cs="Times New Roman"/>
                <w:color w:val="000000"/>
                <w:sz w:val="24"/>
                <w:szCs w:val="24"/>
                <w:lang w:eastAsia="lv-LV"/>
              </w:rPr>
            </w:pPr>
          </w:p>
        </w:tc>
      </w:tr>
    </w:tbl>
    <w:p w14:paraId="3B776EC2" w14:textId="3D76E0FA" w:rsidR="00057581" w:rsidRDefault="00057581" w:rsidP="00057581">
      <w:pPr>
        <w:tabs>
          <w:tab w:val="left" w:pos="8647"/>
        </w:tabs>
        <w:spacing w:after="0" w:line="240" w:lineRule="auto"/>
        <w:rPr>
          <w:rFonts w:ascii="Times New Roman" w:hAnsi="Times New Roman" w:cs="Times New Roman"/>
          <w:sz w:val="24"/>
          <w:szCs w:val="24"/>
        </w:rPr>
      </w:pPr>
      <w:r w:rsidRPr="006557B3">
        <w:rPr>
          <w:rFonts w:ascii="Times New Roman" w:hAnsi="Times New Roman" w:cs="Times New Roman"/>
          <w:sz w:val="24"/>
          <w:szCs w:val="24"/>
        </w:rPr>
        <w:lastRenderedPageBreak/>
        <w:t xml:space="preserve">Laikposmā no 2011.gada līdz 2015.gadam veikto </w:t>
      </w:r>
      <w:r w:rsidRPr="006557B3">
        <w:rPr>
          <w:rFonts w:ascii="Times New Roman" w:hAnsi="Times New Roman" w:cs="Times New Roman"/>
          <w:bCs/>
          <w:sz w:val="24"/>
          <w:szCs w:val="24"/>
          <w:lang w:val="lv-LV"/>
        </w:rPr>
        <w:t>u</w:t>
      </w:r>
      <w:r w:rsidRPr="006557B3">
        <w:rPr>
          <w:rFonts w:ascii="Times New Roman" w:hAnsi="Times New Roman" w:cs="Times New Roman"/>
          <w:bCs/>
          <w:sz w:val="24"/>
          <w:szCs w:val="24"/>
        </w:rPr>
        <w:t>ztura bagātinātāju</w:t>
      </w:r>
      <w:r w:rsidRPr="006557B3">
        <w:rPr>
          <w:rFonts w:ascii="Times New Roman" w:hAnsi="Times New Roman" w:cs="Times New Roman"/>
          <w:sz w:val="24"/>
          <w:szCs w:val="24"/>
        </w:rPr>
        <w:t xml:space="preserve"> laboratorisko </w:t>
      </w:r>
      <w:r w:rsidR="001B5F46" w:rsidRPr="006557B3">
        <w:rPr>
          <w:rFonts w:ascii="Times New Roman" w:hAnsi="Times New Roman" w:cs="Times New Roman"/>
          <w:sz w:val="24"/>
          <w:szCs w:val="24"/>
        </w:rPr>
        <w:t>kontroļu</w:t>
      </w:r>
      <w:r w:rsidRPr="006557B3">
        <w:rPr>
          <w:rFonts w:ascii="Times New Roman" w:hAnsi="Times New Roman" w:cs="Times New Roman"/>
          <w:sz w:val="24"/>
          <w:szCs w:val="24"/>
        </w:rPr>
        <w:t xml:space="preserve"> (izmeklējuma veidu), tajās konstatēto neatbilstību un izmaksu kopskaita apkopojums</w:t>
      </w:r>
      <w:r w:rsidR="001B5F46" w:rsidRPr="006557B3">
        <w:rPr>
          <w:rFonts w:ascii="Times New Roman" w:hAnsi="Times New Roman" w:cs="Times New Roman"/>
          <w:sz w:val="24"/>
          <w:szCs w:val="24"/>
        </w:rPr>
        <w:t>.</w:t>
      </w:r>
      <w:r w:rsidRPr="006557B3">
        <w:rPr>
          <w:rFonts w:ascii="Times New Roman" w:hAnsi="Times New Roman" w:cs="Times New Roman"/>
          <w:sz w:val="24"/>
          <w:szCs w:val="24"/>
        </w:rPr>
        <w:t xml:space="preserve"> </w:t>
      </w:r>
    </w:p>
    <w:p w14:paraId="220BE0E0" w14:textId="77777777" w:rsidR="000A5851" w:rsidRPr="006557B3" w:rsidRDefault="000A5851" w:rsidP="00057581">
      <w:pPr>
        <w:tabs>
          <w:tab w:val="left" w:pos="8647"/>
        </w:tabs>
        <w:spacing w:after="0" w:line="240" w:lineRule="auto"/>
        <w:rPr>
          <w:rFonts w:ascii="Times New Roman" w:hAnsi="Times New Roman" w:cs="Times New Roman"/>
          <w:sz w:val="24"/>
          <w:szCs w:val="24"/>
        </w:rPr>
      </w:pPr>
    </w:p>
    <w:p w14:paraId="0B73BA32" w14:textId="65A4FCDD" w:rsidR="000D5000" w:rsidRPr="006557B3" w:rsidRDefault="00284480" w:rsidP="00C05C12">
      <w:pPr>
        <w:tabs>
          <w:tab w:val="left" w:pos="8647"/>
        </w:tabs>
        <w:spacing w:after="0" w:line="240" w:lineRule="auto"/>
        <w:jc w:val="both"/>
        <w:rPr>
          <w:rFonts w:ascii="Times New Roman" w:hAnsi="Times New Roman" w:cs="Times New Roman"/>
          <w:b/>
          <w:sz w:val="24"/>
          <w:szCs w:val="24"/>
        </w:rPr>
      </w:pPr>
      <w:r w:rsidRPr="006557B3">
        <w:rPr>
          <w:rFonts w:ascii="Times New Roman" w:hAnsi="Times New Roman" w:cs="Times New Roman"/>
          <w:b/>
          <w:sz w:val="24"/>
          <w:szCs w:val="24"/>
        </w:rPr>
        <w:t>7.</w:t>
      </w:r>
      <w:r w:rsidR="00F81ACF" w:rsidRPr="006557B3">
        <w:rPr>
          <w:rFonts w:ascii="Times New Roman" w:hAnsi="Times New Roman" w:cs="Times New Roman"/>
          <w:b/>
          <w:sz w:val="24"/>
          <w:szCs w:val="24"/>
        </w:rPr>
        <w:t xml:space="preserve"> Nepieciešamais finansējums u</w:t>
      </w:r>
      <w:r w:rsidR="00F81ACF" w:rsidRPr="006557B3">
        <w:rPr>
          <w:rFonts w:ascii="Times New Roman" w:hAnsi="Times New Roman" w:cs="Times New Roman"/>
          <w:b/>
          <w:bCs/>
          <w:sz w:val="24"/>
          <w:szCs w:val="24"/>
        </w:rPr>
        <w:t>ztura bagātinātāju</w:t>
      </w:r>
      <w:r w:rsidR="000D5000" w:rsidRPr="006557B3">
        <w:rPr>
          <w:rFonts w:ascii="Times New Roman" w:hAnsi="Times New Roman" w:cs="Times New Roman"/>
          <w:b/>
          <w:sz w:val="24"/>
          <w:szCs w:val="24"/>
        </w:rPr>
        <w:t xml:space="preserve"> uzraudzībai, kontrolei un sabiedrības izglītošanai</w:t>
      </w:r>
    </w:p>
    <w:p w14:paraId="71BABBEB" w14:textId="77777777" w:rsidR="001A1A42" w:rsidRPr="006557B3" w:rsidRDefault="001A1A42" w:rsidP="00C05C12">
      <w:pPr>
        <w:tabs>
          <w:tab w:val="left" w:pos="8647"/>
        </w:tabs>
        <w:spacing w:after="0" w:line="240" w:lineRule="auto"/>
        <w:jc w:val="both"/>
        <w:rPr>
          <w:rFonts w:ascii="Times New Roman" w:hAnsi="Times New Roman" w:cs="Times New Roman"/>
          <w:b/>
          <w:sz w:val="24"/>
          <w:szCs w:val="24"/>
        </w:rPr>
      </w:pPr>
    </w:p>
    <w:p w14:paraId="23C82993" w14:textId="76E15DE4" w:rsidR="00F81ACF" w:rsidRPr="006557B3" w:rsidRDefault="00284480" w:rsidP="00C05C12">
      <w:pPr>
        <w:tabs>
          <w:tab w:val="left" w:pos="8647"/>
        </w:tabs>
        <w:spacing w:after="0" w:line="240" w:lineRule="auto"/>
        <w:rPr>
          <w:rFonts w:ascii="Times New Roman" w:hAnsi="Times New Roman" w:cs="Times New Roman"/>
          <w:b/>
          <w:sz w:val="24"/>
          <w:szCs w:val="24"/>
        </w:rPr>
      </w:pPr>
      <w:r w:rsidRPr="006557B3">
        <w:rPr>
          <w:rFonts w:ascii="Times New Roman" w:hAnsi="Times New Roman" w:cs="Times New Roman"/>
          <w:b/>
          <w:bCs/>
          <w:sz w:val="24"/>
          <w:szCs w:val="24"/>
          <w:lang w:val="lv-LV"/>
        </w:rPr>
        <w:t xml:space="preserve">7.1. </w:t>
      </w:r>
      <w:r w:rsidR="00F81ACF" w:rsidRPr="006557B3">
        <w:rPr>
          <w:rFonts w:ascii="Times New Roman" w:hAnsi="Times New Roman" w:cs="Times New Roman"/>
          <w:b/>
          <w:bCs/>
          <w:sz w:val="24"/>
          <w:szCs w:val="24"/>
          <w:lang w:val="lv-LV"/>
        </w:rPr>
        <w:t>U</w:t>
      </w:r>
      <w:r w:rsidR="00F81ACF" w:rsidRPr="006557B3">
        <w:rPr>
          <w:rFonts w:ascii="Times New Roman" w:hAnsi="Times New Roman" w:cs="Times New Roman"/>
          <w:b/>
          <w:bCs/>
          <w:sz w:val="24"/>
          <w:szCs w:val="24"/>
        </w:rPr>
        <w:t>ztura bagātinātāju</w:t>
      </w:r>
      <w:r w:rsidR="00F81ACF" w:rsidRPr="006557B3">
        <w:rPr>
          <w:rFonts w:ascii="Times New Roman" w:hAnsi="Times New Roman" w:cs="Times New Roman"/>
          <w:b/>
          <w:sz w:val="24"/>
          <w:szCs w:val="24"/>
        </w:rPr>
        <w:t xml:space="preserve"> uzraudzība un kontrole</w:t>
      </w:r>
    </w:p>
    <w:p w14:paraId="50EFA1FA" w14:textId="3EDBF887" w:rsidR="0057789B" w:rsidRPr="006557B3" w:rsidRDefault="000D5000" w:rsidP="00C05C12">
      <w:pPr>
        <w:tabs>
          <w:tab w:val="left" w:pos="8647"/>
        </w:tabs>
        <w:spacing w:after="0" w:line="240" w:lineRule="auto"/>
        <w:ind w:firstLine="709"/>
        <w:jc w:val="both"/>
        <w:rPr>
          <w:rFonts w:ascii="Times New Roman" w:hAnsi="Times New Roman" w:cs="Times New Roman"/>
          <w:sz w:val="24"/>
          <w:szCs w:val="24"/>
        </w:rPr>
      </w:pPr>
      <w:r w:rsidRPr="006557B3">
        <w:rPr>
          <w:rFonts w:ascii="Times New Roman" w:hAnsi="Times New Roman" w:cs="Times New Roman"/>
          <w:sz w:val="24"/>
          <w:szCs w:val="24"/>
        </w:rPr>
        <w:t xml:space="preserve">Efektīva </w:t>
      </w:r>
      <w:r w:rsidR="003F2EC8" w:rsidRPr="006557B3">
        <w:rPr>
          <w:rFonts w:ascii="Times New Roman" w:hAnsi="Times New Roman" w:cs="Times New Roman"/>
          <w:sz w:val="24"/>
          <w:szCs w:val="24"/>
        </w:rPr>
        <w:t>u</w:t>
      </w:r>
      <w:r w:rsidR="003F2EC8" w:rsidRPr="006557B3">
        <w:rPr>
          <w:rFonts w:ascii="Times New Roman" w:hAnsi="Times New Roman" w:cs="Times New Roman"/>
          <w:bCs/>
          <w:sz w:val="24"/>
          <w:szCs w:val="24"/>
        </w:rPr>
        <w:t>ztura bagātinātāju</w:t>
      </w:r>
      <w:r w:rsidRPr="006557B3">
        <w:rPr>
          <w:rFonts w:ascii="Times New Roman" w:hAnsi="Times New Roman" w:cs="Times New Roman"/>
          <w:sz w:val="24"/>
          <w:szCs w:val="24"/>
        </w:rPr>
        <w:t xml:space="preserve"> uzraudzība un kontrole ir resursietilpīga. Tās nodrošināšanai ir nepieciešams apmācīts, kvalificēts personāls, kā arī mērķtiecīga </w:t>
      </w:r>
      <w:r w:rsidR="003F2EC8" w:rsidRPr="006557B3">
        <w:rPr>
          <w:rFonts w:ascii="Times New Roman" w:hAnsi="Times New Roman" w:cs="Times New Roman"/>
          <w:sz w:val="24"/>
          <w:szCs w:val="24"/>
        </w:rPr>
        <w:t>u</w:t>
      </w:r>
      <w:r w:rsidR="003F2EC8" w:rsidRPr="006557B3">
        <w:rPr>
          <w:rFonts w:ascii="Times New Roman" w:hAnsi="Times New Roman" w:cs="Times New Roman"/>
          <w:bCs/>
          <w:sz w:val="24"/>
          <w:szCs w:val="24"/>
        </w:rPr>
        <w:t>ztura bagātinātāju</w:t>
      </w:r>
      <w:r w:rsidRPr="006557B3">
        <w:rPr>
          <w:rFonts w:ascii="Times New Roman" w:hAnsi="Times New Roman" w:cs="Times New Roman"/>
          <w:sz w:val="24"/>
          <w:szCs w:val="24"/>
        </w:rPr>
        <w:t xml:space="preserve"> uzraudzības programma, kas ietver trīspakāpju </w:t>
      </w:r>
      <w:r w:rsidR="003F2EC8" w:rsidRPr="006557B3">
        <w:rPr>
          <w:rFonts w:ascii="Times New Roman" w:hAnsi="Times New Roman" w:cs="Times New Roman"/>
          <w:sz w:val="24"/>
          <w:szCs w:val="24"/>
        </w:rPr>
        <w:t>u</w:t>
      </w:r>
      <w:r w:rsidR="003F2EC8" w:rsidRPr="006557B3">
        <w:rPr>
          <w:rFonts w:ascii="Times New Roman" w:hAnsi="Times New Roman" w:cs="Times New Roman"/>
          <w:bCs/>
          <w:sz w:val="24"/>
          <w:szCs w:val="24"/>
        </w:rPr>
        <w:t>ztura bagātinātāju</w:t>
      </w:r>
      <w:r w:rsidRPr="006557B3">
        <w:rPr>
          <w:rFonts w:ascii="Times New Roman" w:hAnsi="Times New Roman" w:cs="Times New Roman"/>
          <w:sz w:val="24"/>
          <w:szCs w:val="24"/>
        </w:rPr>
        <w:t xml:space="preserve"> laboratoriskos izmeklējumus</w:t>
      </w:r>
      <w:r w:rsidR="0057789B" w:rsidRPr="006557B3">
        <w:rPr>
          <w:rFonts w:ascii="Times New Roman" w:hAnsi="Times New Roman" w:cs="Times New Roman"/>
          <w:sz w:val="24"/>
          <w:szCs w:val="24"/>
        </w:rPr>
        <w:t>:</w:t>
      </w:r>
    </w:p>
    <w:p w14:paraId="1425C8CB" w14:textId="1DE075D1" w:rsidR="0057789B" w:rsidRPr="006557B3" w:rsidRDefault="0035623C"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1)</w:t>
      </w:r>
      <w:r w:rsidR="003200F1" w:rsidRPr="006557B3">
        <w:rPr>
          <w:rFonts w:ascii="Times New Roman" w:hAnsi="Times New Roman" w:cs="Times New Roman"/>
          <w:sz w:val="24"/>
          <w:szCs w:val="24"/>
          <w:lang w:val="lv-LV"/>
        </w:rPr>
        <w:t xml:space="preserve"> </w:t>
      </w:r>
      <w:r w:rsidR="000D5000" w:rsidRPr="006557B3">
        <w:rPr>
          <w:rFonts w:ascii="Times New Roman" w:hAnsi="Times New Roman" w:cs="Times New Roman"/>
          <w:sz w:val="24"/>
          <w:szCs w:val="24"/>
          <w:lang w:val="lv-LV"/>
        </w:rPr>
        <w:t xml:space="preserve">pirmstirgus </w:t>
      </w:r>
      <w:r w:rsidR="00527499" w:rsidRPr="006557B3">
        <w:rPr>
          <w:rFonts w:ascii="Times New Roman" w:hAnsi="Times New Roman" w:cs="Times New Roman"/>
          <w:sz w:val="24"/>
          <w:szCs w:val="24"/>
          <w:lang w:val="lv-LV"/>
        </w:rPr>
        <w:t>kontrol</w:t>
      </w:r>
      <w:r w:rsidRPr="006557B3">
        <w:rPr>
          <w:rFonts w:ascii="Times New Roman" w:hAnsi="Times New Roman" w:cs="Times New Roman"/>
          <w:sz w:val="24"/>
          <w:szCs w:val="24"/>
          <w:lang w:val="lv-LV"/>
        </w:rPr>
        <w:t>i</w:t>
      </w:r>
      <w:r w:rsidR="00527499" w:rsidRPr="006557B3">
        <w:rPr>
          <w:rFonts w:ascii="Times New Roman" w:hAnsi="Times New Roman" w:cs="Times New Roman"/>
          <w:sz w:val="24"/>
          <w:szCs w:val="24"/>
          <w:lang w:val="lv-LV"/>
        </w:rPr>
        <w:t xml:space="preserve"> (</w:t>
      </w:r>
      <w:r w:rsidR="001A5E4F" w:rsidRPr="006557B3">
        <w:rPr>
          <w:rFonts w:ascii="Times New Roman" w:hAnsi="Times New Roman" w:cs="Times New Roman"/>
          <w:sz w:val="24"/>
          <w:szCs w:val="24"/>
          <w:lang w:val="lv-LV"/>
        </w:rPr>
        <w:t>pārbaud</w:t>
      </w:r>
      <w:r w:rsidRPr="006557B3">
        <w:rPr>
          <w:rFonts w:ascii="Times New Roman" w:hAnsi="Times New Roman" w:cs="Times New Roman"/>
          <w:sz w:val="24"/>
          <w:szCs w:val="24"/>
          <w:lang w:val="lv-LV"/>
        </w:rPr>
        <w:t>i</w:t>
      </w:r>
      <w:r w:rsidR="00527499" w:rsidRPr="006557B3">
        <w:rPr>
          <w:rFonts w:ascii="Times New Roman" w:hAnsi="Times New Roman" w:cs="Times New Roman"/>
          <w:sz w:val="24"/>
          <w:szCs w:val="24"/>
          <w:lang w:val="lv-LV"/>
        </w:rPr>
        <w:t>)</w:t>
      </w:r>
      <w:r w:rsidR="000D5000" w:rsidRPr="006557B3">
        <w:rPr>
          <w:rFonts w:ascii="Times New Roman" w:hAnsi="Times New Roman" w:cs="Times New Roman"/>
          <w:sz w:val="24"/>
          <w:szCs w:val="24"/>
          <w:lang w:val="lv-LV"/>
        </w:rPr>
        <w:t>;</w:t>
      </w:r>
    </w:p>
    <w:p w14:paraId="0894C67A" w14:textId="4EFFA933" w:rsidR="000803B4" w:rsidRPr="006557B3" w:rsidRDefault="0035623C"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2)</w:t>
      </w:r>
      <w:r w:rsidR="003200F1" w:rsidRPr="006557B3">
        <w:rPr>
          <w:rFonts w:ascii="Times New Roman" w:hAnsi="Times New Roman" w:cs="Times New Roman"/>
          <w:sz w:val="24"/>
          <w:szCs w:val="24"/>
          <w:lang w:val="lv-LV"/>
        </w:rPr>
        <w:t xml:space="preserve"> </w:t>
      </w:r>
      <w:r w:rsidR="003F2EC8" w:rsidRPr="006557B3">
        <w:rPr>
          <w:rFonts w:ascii="Times New Roman" w:hAnsi="Times New Roman" w:cs="Times New Roman"/>
          <w:sz w:val="24"/>
          <w:szCs w:val="24"/>
          <w:lang w:val="lv-LV"/>
        </w:rPr>
        <w:t>u</w:t>
      </w:r>
      <w:r w:rsidR="003F2EC8" w:rsidRPr="006557B3">
        <w:rPr>
          <w:rFonts w:ascii="Times New Roman" w:hAnsi="Times New Roman" w:cs="Times New Roman"/>
          <w:bCs/>
          <w:sz w:val="24"/>
          <w:szCs w:val="24"/>
          <w:lang w:val="lv-LV"/>
        </w:rPr>
        <w:t>ztura bagātinātāju</w:t>
      </w:r>
      <w:r w:rsidR="000D5000" w:rsidRPr="006557B3">
        <w:rPr>
          <w:rFonts w:ascii="Times New Roman" w:hAnsi="Times New Roman" w:cs="Times New Roman"/>
          <w:sz w:val="24"/>
          <w:szCs w:val="24"/>
          <w:lang w:val="lv-LV"/>
        </w:rPr>
        <w:t xml:space="preserve"> aprites </w:t>
      </w:r>
      <w:r w:rsidR="00527499" w:rsidRPr="006557B3">
        <w:rPr>
          <w:rFonts w:ascii="Times New Roman" w:hAnsi="Times New Roman" w:cs="Times New Roman"/>
          <w:sz w:val="24"/>
          <w:szCs w:val="24"/>
          <w:lang w:val="lv-LV"/>
        </w:rPr>
        <w:t>kontrol</w:t>
      </w:r>
      <w:r w:rsidRPr="006557B3">
        <w:rPr>
          <w:rFonts w:ascii="Times New Roman" w:hAnsi="Times New Roman" w:cs="Times New Roman"/>
          <w:sz w:val="24"/>
          <w:szCs w:val="24"/>
          <w:lang w:val="lv-LV"/>
        </w:rPr>
        <w:t>i</w:t>
      </w:r>
      <w:r w:rsidR="00527499" w:rsidRPr="006557B3">
        <w:rPr>
          <w:rFonts w:ascii="Times New Roman" w:hAnsi="Times New Roman" w:cs="Times New Roman"/>
          <w:sz w:val="24"/>
          <w:szCs w:val="24"/>
          <w:lang w:val="lv-LV"/>
        </w:rPr>
        <w:t xml:space="preserve"> (</w:t>
      </w:r>
      <w:r w:rsidR="001A5E4F" w:rsidRPr="006557B3">
        <w:rPr>
          <w:rFonts w:ascii="Times New Roman" w:hAnsi="Times New Roman" w:cs="Times New Roman"/>
          <w:sz w:val="24"/>
          <w:szCs w:val="24"/>
          <w:lang w:val="lv-LV"/>
        </w:rPr>
        <w:t>pārbaud</w:t>
      </w:r>
      <w:r w:rsidRPr="006557B3">
        <w:rPr>
          <w:rFonts w:ascii="Times New Roman" w:hAnsi="Times New Roman" w:cs="Times New Roman"/>
          <w:sz w:val="24"/>
          <w:szCs w:val="24"/>
          <w:lang w:val="lv-LV"/>
        </w:rPr>
        <w:t>i</w:t>
      </w:r>
      <w:r w:rsidR="00527499" w:rsidRPr="006557B3">
        <w:rPr>
          <w:rFonts w:ascii="Times New Roman" w:hAnsi="Times New Roman" w:cs="Times New Roman"/>
          <w:sz w:val="24"/>
          <w:szCs w:val="24"/>
          <w:lang w:val="lv-LV"/>
        </w:rPr>
        <w:t>)</w:t>
      </w:r>
      <w:r w:rsidR="000D5000" w:rsidRPr="006557B3">
        <w:rPr>
          <w:rFonts w:ascii="Times New Roman" w:hAnsi="Times New Roman" w:cs="Times New Roman"/>
          <w:sz w:val="24"/>
          <w:szCs w:val="24"/>
          <w:lang w:val="lv-LV"/>
        </w:rPr>
        <w:t xml:space="preserve"> iekšējā tirgū;</w:t>
      </w:r>
    </w:p>
    <w:p w14:paraId="4E8EE8AC" w14:textId="00C1385A" w:rsidR="000D5000" w:rsidRPr="006557B3" w:rsidRDefault="0035623C"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3)</w:t>
      </w:r>
      <w:r w:rsidR="000803B4" w:rsidRPr="006557B3">
        <w:rPr>
          <w:rFonts w:ascii="Times New Roman" w:hAnsi="Times New Roman" w:cs="Times New Roman"/>
          <w:sz w:val="24"/>
          <w:szCs w:val="24"/>
          <w:lang w:val="lv-LV"/>
        </w:rPr>
        <w:t xml:space="preserve"> </w:t>
      </w:r>
      <w:r w:rsidR="003F2EC8" w:rsidRPr="006557B3">
        <w:rPr>
          <w:rFonts w:ascii="Times New Roman" w:hAnsi="Times New Roman" w:cs="Times New Roman"/>
          <w:sz w:val="24"/>
          <w:szCs w:val="24"/>
          <w:lang w:val="lv-LV"/>
        </w:rPr>
        <w:t>u</w:t>
      </w:r>
      <w:r w:rsidR="003F2EC8" w:rsidRPr="006557B3">
        <w:rPr>
          <w:rFonts w:ascii="Times New Roman" w:hAnsi="Times New Roman" w:cs="Times New Roman"/>
          <w:bCs/>
          <w:sz w:val="24"/>
          <w:szCs w:val="24"/>
          <w:lang w:val="lv-LV"/>
        </w:rPr>
        <w:t>ztura bagātinātāju</w:t>
      </w:r>
      <w:r w:rsidR="000D5000" w:rsidRPr="006557B3">
        <w:rPr>
          <w:rFonts w:ascii="Times New Roman" w:hAnsi="Times New Roman" w:cs="Times New Roman"/>
          <w:sz w:val="24"/>
          <w:szCs w:val="24"/>
          <w:lang w:val="lv-LV"/>
        </w:rPr>
        <w:t xml:space="preserve"> </w:t>
      </w:r>
      <w:r w:rsidR="009162DA" w:rsidRPr="006557B3">
        <w:rPr>
          <w:rFonts w:ascii="Times New Roman" w:hAnsi="Times New Roman" w:cs="Times New Roman"/>
          <w:sz w:val="24"/>
          <w:szCs w:val="24"/>
          <w:lang w:val="lv-LV"/>
        </w:rPr>
        <w:t>kontrol</w:t>
      </w:r>
      <w:r w:rsidRPr="006557B3">
        <w:rPr>
          <w:rFonts w:ascii="Times New Roman" w:hAnsi="Times New Roman" w:cs="Times New Roman"/>
          <w:sz w:val="24"/>
          <w:szCs w:val="24"/>
          <w:lang w:val="lv-LV"/>
        </w:rPr>
        <w:t>i</w:t>
      </w:r>
      <w:r w:rsidR="000D5000" w:rsidRPr="006557B3">
        <w:rPr>
          <w:rFonts w:ascii="Times New Roman" w:hAnsi="Times New Roman" w:cs="Times New Roman"/>
          <w:sz w:val="24"/>
          <w:szCs w:val="24"/>
          <w:lang w:val="lv-LV"/>
        </w:rPr>
        <w:t xml:space="preserve"> uz Latvijas Republikas ārējās robežas.</w:t>
      </w:r>
    </w:p>
    <w:p w14:paraId="5B80EAB8" w14:textId="44BE775F" w:rsidR="000D5000" w:rsidRPr="006557B3" w:rsidRDefault="0035623C"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Īsteno</w:t>
      </w:r>
      <w:r w:rsidR="000D5000" w:rsidRPr="006557B3">
        <w:rPr>
          <w:rFonts w:ascii="Times New Roman" w:hAnsi="Times New Roman" w:cs="Times New Roman"/>
          <w:sz w:val="24"/>
          <w:szCs w:val="24"/>
          <w:lang w:val="lv-LV"/>
        </w:rPr>
        <w:t xml:space="preserve">jot </w:t>
      </w:r>
      <w:r w:rsidR="003F2EC8" w:rsidRPr="006557B3">
        <w:rPr>
          <w:rFonts w:ascii="Times New Roman" w:hAnsi="Times New Roman" w:cs="Times New Roman"/>
          <w:sz w:val="24"/>
          <w:szCs w:val="24"/>
          <w:lang w:val="lv-LV"/>
        </w:rPr>
        <w:t>u</w:t>
      </w:r>
      <w:r w:rsidR="003F2EC8" w:rsidRPr="006557B3">
        <w:rPr>
          <w:rFonts w:ascii="Times New Roman" w:hAnsi="Times New Roman" w:cs="Times New Roman"/>
          <w:bCs/>
          <w:sz w:val="24"/>
          <w:szCs w:val="24"/>
          <w:lang w:val="lv-LV"/>
        </w:rPr>
        <w:t>ztura bagātinātāju</w:t>
      </w:r>
      <w:r w:rsidR="000D5000" w:rsidRPr="006557B3">
        <w:rPr>
          <w:rFonts w:ascii="Times New Roman" w:hAnsi="Times New Roman" w:cs="Times New Roman"/>
          <w:sz w:val="24"/>
          <w:szCs w:val="24"/>
          <w:lang w:val="lv-LV"/>
        </w:rPr>
        <w:t xml:space="preserve"> uzraudzības programmu, kas balstīta uz </w:t>
      </w:r>
      <w:r w:rsidR="000D5000" w:rsidRPr="006557B3">
        <w:rPr>
          <w:rFonts w:ascii="Times New Roman" w:hAnsi="Times New Roman" w:cs="Times New Roman"/>
          <w:i/>
          <w:sz w:val="24"/>
          <w:szCs w:val="24"/>
          <w:lang w:val="lv-LV"/>
        </w:rPr>
        <w:t>RASFF</w:t>
      </w:r>
      <w:r w:rsidR="000D5000" w:rsidRPr="006557B3">
        <w:rPr>
          <w:rFonts w:ascii="Times New Roman" w:hAnsi="Times New Roman" w:cs="Times New Roman"/>
          <w:sz w:val="24"/>
          <w:szCs w:val="24"/>
          <w:lang w:val="lv-LV"/>
        </w:rPr>
        <w:t xml:space="preserve"> ziņojumos fiksēto gadījumu analīzi attiecībā uz </w:t>
      </w:r>
      <w:r w:rsidR="003F2EC8" w:rsidRPr="006557B3">
        <w:rPr>
          <w:rFonts w:ascii="Times New Roman" w:hAnsi="Times New Roman" w:cs="Times New Roman"/>
          <w:sz w:val="24"/>
          <w:szCs w:val="24"/>
          <w:lang w:val="lv-LV"/>
        </w:rPr>
        <w:t>u</w:t>
      </w:r>
      <w:r w:rsidR="003F2EC8" w:rsidRPr="006557B3">
        <w:rPr>
          <w:rFonts w:ascii="Times New Roman" w:hAnsi="Times New Roman" w:cs="Times New Roman"/>
          <w:bCs/>
          <w:sz w:val="24"/>
          <w:szCs w:val="24"/>
          <w:lang w:val="lv-LV"/>
        </w:rPr>
        <w:t>ztura bagātinātāju</w:t>
      </w:r>
      <w:r w:rsidR="000D5000" w:rsidRPr="006557B3">
        <w:rPr>
          <w:rFonts w:ascii="Times New Roman" w:hAnsi="Times New Roman" w:cs="Times New Roman"/>
          <w:sz w:val="24"/>
          <w:szCs w:val="24"/>
          <w:lang w:val="lv-LV"/>
        </w:rPr>
        <w:t xml:space="preserve">, katru gadu ir paredzēts laboratoriski </w:t>
      </w:r>
      <w:r w:rsidR="00B620ED" w:rsidRPr="006557B3">
        <w:rPr>
          <w:rFonts w:ascii="Times New Roman" w:hAnsi="Times New Roman" w:cs="Times New Roman"/>
          <w:sz w:val="24"/>
          <w:szCs w:val="24"/>
          <w:lang w:val="lv-LV"/>
        </w:rPr>
        <w:t>kontrolēt</w:t>
      </w:r>
      <w:r w:rsidR="009A7888" w:rsidRPr="006557B3">
        <w:rPr>
          <w:rFonts w:ascii="Times New Roman" w:hAnsi="Times New Roman" w:cs="Times New Roman"/>
          <w:sz w:val="24"/>
          <w:szCs w:val="24"/>
          <w:lang w:val="lv-LV"/>
        </w:rPr>
        <w:t xml:space="preserve"> </w:t>
      </w:r>
      <w:r w:rsidR="000D5000" w:rsidRPr="006557B3">
        <w:rPr>
          <w:rFonts w:ascii="Times New Roman" w:hAnsi="Times New Roman" w:cs="Times New Roman"/>
          <w:sz w:val="24"/>
          <w:szCs w:val="24"/>
          <w:lang w:val="lv-LV"/>
        </w:rPr>
        <w:t>gan E</w:t>
      </w:r>
      <w:r w:rsidR="006320DE" w:rsidRPr="006557B3">
        <w:rPr>
          <w:rFonts w:ascii="Times New Roman" w:hAnsi="Times New Roman" w:cs="Times New Roman"/>
          <w:sz w:val="24"/>
          <w:szCs w:val="24"/>
          <w:lang w:val="lv-LV"/>
        </w:rPr>
        <w:t xml:space="preserve">iropas </w:t>
      </w:r>
      <w:r w:rsidR="000D5000" w:rsidRPr="006557B3">
        <w:rPr>
          <w:rFonts w:ascii="Times New Roman" w:hAnsi="Times New Roman" w:cs="Times New Roman"/>
          <w:sz w:val="24"/>
          <w:szCs w:val="24"/>
          <w:lang w:val="lv-LV"/>
        </w:rPr>
        <w:t>E</w:t>
      </w:r>
      <w:r w:rsidR="006320DE" w:rsidRPr="006557B3">
        <w:rPr>
          <w:rFonts w:ascii="Times New Roman" w:hAnsi="Times New Roman" w:cs="Times New Roman"/>
          <w:sz w:val="24"/>
          <w:szCs w:val="24"/>
          <w:lang w:val="lv-LV"/>
        </w:rPr>
        <w:t>konomikas zon</w:t>
      </w:r>
      <w:r w:rsidRPr="006557B3">
        <w:rPr>
          <w:rFonts w:ascii="Times New Roman" w:hAnsi="Times New Roman" w:cs="Times New Roman"/>
          <w:sz w:val="24"/>
          <w:szCs w:val="24"/>
          <w:lang w:val="lv-LV"/>
        </w:rPr>
        <w:t>ā</w:t>
      </w:r>
      <w:r w:rsidR="000D5000" w:rsidRPr="006557B3">
        <w:rPr>
          <w:rFonts w:ascii="Times New Roman" w:hAnsi="Times New Roman" w:cs="Times New Roman"/>
          <w:sz w:val="24"/>
          <w:szCs w:val="24"/>
          <w:lang w:val="lv-LV"/>
        </w:rPr>
        <w:t xml:space="preserve">, gan trešajās valstīs ražotos </w:t>
      </w:r>
      <w:r w:rsidR="006320DE" w:rsidRPr="006557B3">
        <w:rPr>
          <w:rFonts w:ascii="Times New Roman" w:hAnsi="Times New Roman" w:cs="Times New Roman"/>
          <w:sz w:val="24"/>
          <w:szCs w:val="24"/>
          <w:lang w:val="lv-LV"/>
        </w:rPr>
        <w:t>u</w:t>
      </w:r>
      <w:r w:rsidR="006320DE" w:rsidRPr="006557B3">
        <w:rPr>
          <w:rFonts w:ascii="Times New Roman" w:hAnsi="Times New Roman" w:cs="Times New Roman"/>
          <w:bCs/>
          <w:sz w:val="24"/>
          <w:szCs w:val="24"/>
          <w:lang w:val="lv-LV"/>
        </w:rPr>
        <w:t>ztura bagātinātāju</w:t>
      </w:r>
      <w:r w:rsidRPr="006557B3">
        <w:rPr>
          <w:rFonts w:ascii="Times New Roman" w:hAnsi="Times New Roman" w:cs="Times New Roman"/>
          <w:sz w:val="24"/>
          <w:szCs w:val="24"/>
          <w:lang w:val="lv-LV"/>
        </w:rPr>
        <w:t>s, lai:</w:t>
      </w:r>
    </w:p>
    <w:p w14:paraId="7BB985AF" w14:textId="6B461725" w:rsidR="000D5000" w:rsidRPr="006557B3" w:rsidRDefault="0035623C" w:rsidP="00C05C12">
      <w:pPr>
        <w:pStyle w:val="Sarakstarindkopa"/>
        <w:numPr>
          <w:ilvl w:val="0"/>
          <w:numId w:val="43"/>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uztura bagātinātājos</w:t>
      </w:r>
      <w:r w:rsidRPr="006557B3" w:rsidDel="0035623C">
        <w:rPr>
          <w:rFonts w:ascii="Times New Roman" w:hAnsi="Times New Roman"/>
          <w:sz w:val="24"/>
          <w:szCs w:val="24"/>
          <w:lang w:val="lv-LV"/>
        </w:rPr>
        <w:t xml:space="preserve"> </w:t>
      </w:r>
      <w:r w:rsidR="004D3E06" w:rsidRPr="006557B3">
        <w:rPr>
          <w:rFonts w:ascii="Times New Roman" w:hAnsi="Times New Roman"/>
          <w:sz w:val="24"/>
          <w:szCs w:val="24"/>
          <w:lang w:val="lv-LV"/>
        </w:rPr>
        <w:t>n</w:t>
      </w:r>
      <w:r w:rsidR="000D5000" w:rsidRPr="006557B3">
        <w:rPr>
          <w:rFonts w:ascii="Times New Roman" w:hAnsi="Times New Roman"/>
          <w:sz w:val="24"/>
          <w:szCs w:val="24"/>
          <w:lang w:val="lv-LV"/>
        </w:rPr>
        <w:t>oteikt</w:t>
      </w:r>
      <w:r w:rsidRPr="006557B3">
        <w:rPr>
          <w:rFonts w:ascii="Times New Roman" w:hAnsi="Times New Roman"/>
          <w:sz w:val="24"/>
          <w:szCs w:val="24"/>
          <w:lang w:val="lv-LV"/>
        </w:rPr>
        <w:t>u</w:t>
      </w:r>
      <w:r w:rsidR="000D5000" w:rsidRPr="006557B3">
        <w:rPr>
          <w:rFonts w:ascii="Times New Roman" w:hAnsi="Times New Roman"/>
          <w:sz w:val="24"/>
          <w:szCs w:val="24"/>
          <w:lang w:val="lv-LV"/>
        </w:rPr>
        <w:t xml:space="preserve"> uzturvielu (vitamīnu un minerālvielu) vai citu </w:t>
      </w:r>
      <w:r w:rsidRPr="006557B3">
        <w:rPr>
          <w:rFonts w:ascii="Times New Roman" w:hAnsi="Times New Roman"/>
          <w:sz w:val="24"/>
          <w:szCs w:val="24"/>
          <w:lang w:val="lv-LV"/>
        </w:rPr>
        <w:t xml:space="preserve">tādu </w:t>
      </w:r>
      <w:r w:rsidR="000D5000" w:rsidRPr="006557B3">
        <w:rPr>
          <w:rFonts w:ascii="Times New Roman" w:hAnsi="Times New Roman"/>
          <w:sz w:val="24"/>
          <w:szCs w:val="24"/>
          <w:lang w:val="lv-LV"/>
        </w:rPr>
        <w:t>vielu</w:t>
      </w:r>
      <w:r w:rsidRPr="006557B3">
        <w:rPr>
          <w:rFonts w:ascii="Times New Roman" w:hAnsi="Times New Roman"/>
          <w:sz w:val="24"/>
          <w:szCs w:val="24"/>
          <w:lang w:val="lv-LV"/>
        </w:rPr>
        <w:t xml:space="preserve"> daudzumu</w:t>
      </w:r>
      <w:r w:rsidR="000D5000" w:rsidRPr="006557B3">
        <w:rPr>
          <w:rFonts w:ascii="Times New Roman" w:hAnsi="Times New Roman"/>
          <w:sz w:val="24"/>
          <w:szCs w:val="24"/>
          <w:lang w:val="lv-LV"/>
        </w:rPr>
        <w:t>, kurām ir uzturvērtība vai fizioloģiska ietekme, salīdzin</w:t>
      </w:r>
      <w:r w:rsidRPr="006557B3">
        <w:rPr>
          <w:rFonts w:ascii="Times New Roman" w:hAnsi="Times New Roman"/>
          <w:sz w:val="24"/>
          <w:szCs w:val="24"/>
          <w:lang w:val="lv-LV"/>
        </w:rPr>
        <w:t>ājumā</w:t>
      </w:r>
      <w:r w:rsidR="000D5000" w:rsidRPr="006557B3">
        <w:rPr>
          <w:rFonts w:ascii="Times New Roman" w:hAnsi="Times New Roman"/>
          <w:sz w:val="24"/>
          <w:szCs w:val="24"/>
          <w:lang w:val="lv-LV"/>
        </w:rPr>
        <w:t xml:space="preserve"> ar marķējumā deklarēto vērtību</w:t>
      </w:r>
      <w:r w:rsidRPr="006557B3">
        <w:rPr>
          <w:rFonts w:ascii="Times New Roman" w:hAnsi="Times New Roman"/>
          <w:sz w:val="24"/>
          <w:szCs w:val="24"/>
          <w:lang w:val="lv-LV"/>
        </w:rPr>
        <w:t>,</w:t>
      </w:r>
      <w:r w:rsidR="000D5000" w:rsidRPr="006557B3">
        <w:rPr>
          <w:rFonts w:ascii="Times New Roman" w:hAnsi="Times New Roman"/>
          <w:sz w:val="24"/>
          <w:szCs w:val="24"/>
          <w:lang w:val="lv-LV"/>
        </w:rPr>
        <w:t xml:space="preserve"> </w:t>
      </w:r>
      <w:r w:rsidRPr="006557B3">
        <w:rPr>
          <w:rFonts w:ascii="Times New Roman" w:hAnsi="Times New Roman"/>
          <w:sz w:val="24"/>
          <w:szCs w:val="24"/>
          <w:lang w:val="lv-LV"/>
        </w:rPr>
        <w:t>ī</w:t>
      </w:r>
      <w:r w:rsidR="000D5000" w:rsidRPr="006557B3">
        <w:rPr>
          <w:rFonts w:ascii="Times New Roman" w:hAnsi="Times New Roman"/>
          <w:sz w:val="24"/>
          <w:szCs w:val="24"/>
          <w:lang w:val="lv-LV"/>
        </w:rPr>
        <w:t xml:space="preserve">pašu uzmanību </w:t>
      </w:r>
      <w:r w:rsidRPr="006557B3">
        <w:rPr>
          <w:rFonts w:ascii="Times New Roman" w:hAnsi="Times New Roman"/>
          <w:sz w:val="24"/>
          <w:szCs w:val="24"/>
          <w:lang w:val="lv-LV"/>
        </w:rPr>
        <w:t>pie</w:t>
      </w:r>
      <w:r w:rsidR="000D5000" w:rsidRPr="006557B3">
        <w:rPr>
          <w:rFonts w:ascii="Times New Roman" w:hAnsi="Times New Roman"/>
          <w:sz w:val="24"/>
          <w:szCs w:val="24"/>
          <w:lang w:val="lv-LV"/>
        </w:rPr>
        <w:t>vēršot uztura bagātinātājiem, kuru marķējumos ir ietvertas uzturvērtības un veselīguma norādes, kā arī produktiem, k</w:t>
      </w:r>
      <w:r w:rsidRPr="006557B3">
        <w:rPr>
          <w:rFonts w:ascii="Times New Roman" w:hAnsi="Times New Roman"/>
          <w:sz w:val="24"/>
          <w:szCs w:val="24"/>
          <w:lang w:val="lv-LV"/>
        </w:rPr>
        <w:t>as</w:t>
      </w:r>
      <w:r w:rsidR="000D5000" w:rsidRPr="006557B3">
        <w:rPr>
          <w:rFonts w:ascii="Times New Roman" w:hAnsi="Times New Roman"/>
          <w:sz w:val="24"/>
          <w:szCs w:val="24"/>
          <w:lang w:val="lv-LV"/>
        </w:rPr>
        <w:t xml:space="preserve"> ir paredzēti jutīgajām patērētāju grupām (bērniem, grūtniecēm, sievietēm laktācijas periodā)</w:t>
      </w:r>
      <w:r w:rsidR="004D3E06" w:rsidRPr="006557B3">
        <w:rPr>
          <w:rFonts w:ascii="Times New Roman" w:hAnsi="Times New Roman"/>
          <w:sz w:val="24"/>
          <w:szCs w:val="24"/>
          <w:lang w:val="lv-LV"/>
        </w:rPr>
        <w:t>;</w:t>
      </w:r>
    </w:p>
    <w:p w14:paraId="174A798C" w14:textId="7AF2D183" w:rsidR="000D5000" w:rsidRPr="006557B3" w:rsidRDefault="004D3E06" w:rsidP="00C05C12">
      <w:pPr>
        <w:pStyle w:val="Sarakstarindkopa"/>
        <w:numPr>
          <w:ilvl w:val="0"/>
          <w:numId w:val="43"/>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n</w:t>
      </w:r>
      <w:r w:rsidR="000D5000" w:rsidRPr="006557B3">
        <w:rPr>
          <w:rFonts w:ascii="Times New Roman" w:hAnsi="Times New Roman"/>
          <w:sz w:val="24"/>
          <w:szCs w:val="24"/>
          <w:lang w:val="lv-LV"/>
        </w:rPr>
        <w:t>oteikt</w:t>
      </w:r>
      <w:r w:rsidR="0035623C" w:rsidRPr="006557B3">
        <w:rPr>
          <w:rFonts w:ascii="Times New Roman" w:hAnsi="Times New Roman"/>
          <w:sz w:val="24"/>
          <w:szCs w:val="24"/>
          <w:lang w:val="lv-LV"/>
        </w:rPr>
        <w:t>u</w:t>
      </w:r>
      <w:r w:rsidR="000D5000" w:rsidRPr="006557B3">
        <w:rPr>
          <w:rFonts w:ascii="Times New Roman" w:hAnsi="Times New Roman"/>
          <w:sz w:val="24"/>
          <w:szCs w:val="24"/>
          <w:lang w:val="lv-LV"/>
        </w:rPr>
        <w:t xml:space="preserve"> piesārņotāju daudzumu (svinu, kadmiju, dzīvsudrabu)</w:t>
      </w:r>
      <w:r w:rsidRPr="006557B3">
        <w:rPr>
          <w:rFonts w:ascii="Times New Roman" w:hAnsi="Times New Roman"/>
          <w:sz w:val="24"/>
          <w:szCs w:val="24"/>
          <w:lang w:val="lv-LV"/>
        </w:rPr>
        <w:t>;</w:t>
      </w:r>
    </w:p>
    <w:p w14:paraId="1F25A3C9" w14:textId="7CC00C21" w:rsidR="000D5000" w:rsidRPr="006557B3" w:rsidRDefault="0035623C" w:rsidP="00C05C12">
      <w:pPr>
        <w:pStyle w:val="Sarakstarindkopa"/>
        <w:numPr>
          <w:ilvl w:val="0"/>
          <w:numId w:val="43"/>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konstatētu</w:t>
      </w:r>
      <w:r w:rsidR="000D5000" w:rsidRPr="006557B3">
        <w:rPr>
          <w:rFonts w:ascii="Times New Roman" w:hAnsi="Times New Roman"/>
          <w:sz w:val="24"/>
          <w:szCs w:val="24"/>
          <w:lang w:val="lv-LV"/>
        </w:rPr>
        <w:t xml:space="preserve"> neatļautu farmaceitisku vielu klātbūtn</w:t>
      </w:r>
      <w:r w:rsidRPr="006557B3">
        <w:rPr>
          <w:rFonts w:ascii="Times New Roman" w:hAnsi="Times New Roman"/>
          <w:sz w:val="24"/>
          <w:szCs w:val="24"/>
          <w:lang w:val="lv-LV"/>
        </w:rPr>
        <w:t>i</w:t>
      </w:r>
      <w:r w:rsidR="000D5000" w:rsidRPr="006557B3">
        <w:rPr>
          <w:rFonts w:ascii="Times New Roman" w:hAnsi="Times New Roman"/>
          <w:sz w:val="24"/>
          <w:szCs w:val="24"/>
          <w:lang w:val="lv-LV"/>
        </w:rPr>
        <w:t xml:space="preserve"> (piemēram, sibutramīn</w:t>
      </w:r>
      <w:r w:rsidR="00945918" w:rsidRPr="006557B3">
        <w:rPr>
          <w:rFonts w:ascii="Times New Roman" w:hAnsi="Times New Roman"/>
          <w:sz w:val="24"/>
          <w:szCs w:val="24"/>
          <w:lang w:val="lv-LV"/>
        </w:rPr>
        <w:t>u</w:t>
      </w:r>
      <w:r w:rsidR="000D5000" w:rsidRPr="006557B3">
        <w:rPr>
          <w:rFonts w:ascii="Times New Roman" w:hAnsi="Times New Roman"/>
          <w:sz w:val="24"/>
          <w:szCs w:val="24"/>
          <w:lang w:val="lv-LV"/>
        </w:rPr>
        <w:t xml:space="preserve"> – notievēšanai paredzētos uztura bagātinātājos</w:t>
      </w:r>
      <w:r w:rsidR="00945918" w:rsidRPr="006557B3">
        <w:rPr>
          <w:rFonts w:ascii="Times New Roman" w:hAnsi="Times New Roman"/>
          <w:sz w:val="24"/>
          <w:szCs w:val="24"/>
          <w:lang w:val="lv-LV"/>
        </w:rPr>
        <w:t>,</w:t>
      </w:r>
      <w:r w:rsidR="000D5000" w:rsidRPr="006557B3">
        <w:rPr>
          <w:rFonts w:ascii="Times New Roman" w:hAnsi="Times New Roman"/>
          <w:sz w:val="24"/>
          <w:szCs w:val="24"/>
          <w:lang w:val="lv-LV"/>
        </w:rPr>
        <w:t xml:space="preserve"> sildenafil</w:t>
      </w:r>
      <w:r w:rsidR="00945918" w:rsidRPr="006557B3">
        <w:rPr>
          <w:rFonts w:ascii="Times New Roman" w:hAnsi="Times New Roman"/>
          <w:sz w:val="24"/>
          <w:szCs w:val="24"/>
          <w:lang w:val="lv-LV"/>
        </w:rPr>
        <w:t>u</w:t>
      </w:r>
      <w:r w:rsidR="000D5000" w:rsidRPr="006557B3">
        <w:rPr>
          <w:rFonts w:ascii="Times New Roman" w:hAnsi="Times New Roman"/>
          <w:sz w:val="24"/>
          <w:szCs w:val="24"/>
          <w:lang w:val="lv-LV"/>
        </w:rPr>
        <w:t xml:space="preserve"> un/vai tā analog</w:t>
      </w:r>
      <w:r w:rsidR="00945918" w:rsidRPr="006557B3">
        <w:rPr>
          <w:rFonts w:ascii="Times New Roman" w:hAnsi="Times New Roman"/>
          <w:sz w:val="24"/>
          <w:szCs w:val="24"/>
          <w:lang w:val="lv-LV"/>
        </w:rPr>
        <w:t>us</w:t>
      </w:r>
      <w:r w:rsidR="000D5000" w:rsidRPr="006557B3">
        <w:rPr>
          <w:rFonts w:ascii="Times New Roman" w:hAnsi="Times New Roman"/>
          <w:sz w:val="24"/>
          <w:szCs w:val="24"/>
          <w:lang w:val="lv-LV"/>
        </w:rPr>
        <w:t xml:space="preserve"> – uztura bagātinātājos, k</w:t>
      </w:r>
      <w:r w:rsidR="00945918" w:rsidRPr="006557B3">
        <w:rPr>
          <w:rFonts w:ascii="Times New Roman" w:hAnsi="Times New Roman"/>
          <w:sz w:val="24"/>
          <w:szCs w:val="24"/>
          <w:lang w:val="lv-LV"/>
        </w:rPr>
        <w:t>as</w:t>
      </w:r>
      <w:r w:rsidR="000D5000" w:rsidRPr="006557B3">
        <w:rPr>
          <w:rFonts w:ascii="Times New Roman" w:hAnsi="Times New Roman"/>
          <w:sz w:val="24"/>
          <w:szCs w:val="24"/>
          <w:lang w:val="lv-LV"/>
        </w:rPr>
        <w:t xml:space="preserve"> paredzēti vīriešiem un tiek reklamēti</w:t>
      </w:r>
      <w:r w:rsidR="00945918" w:rsidRPr="006557B3">
        <w:rPr>
          <w:rFonts w:ascii="Times New Roman" w:hAnsi="Times New Roman"/>
          <w:sz w:val="24"/>
          <w:szCs w:val="24"/>
          <w:lang w:val="lv-LV"/>
        </w:rPr>
        <w:t xml:space="preserve"> vai </w:t>
      </w:r>
      <w:r w:rsidR="000D5000" w:rsidRPr="006557B3">
        <w:rPr>
          <w:rFonts w:ascii="Times New Roman" w:hAnsi="Times New Roman"/>
          <w:sz w:val="24"/>
          <w:szCs w:val="24"/>
          <w:lang w:val="lv-LV"/>
        </w:rPr>
        <w:t>piedāvāti kā potenci uzlabojoši)</w:t>
      </w:r>
      <w:r w:rsidR="004D3E06" w:rsidRPr="006557B3">
        <w:rPr>
          <w:rFonts w:ascii="Times New Roman" w:hAnsi="Times New Roman"/>
          <w:sz w:val="24"/>
          <w:szCs w:val="24"/>
          <w:lang w:val="lv-LV"/>
        </w:rPr>
        <w:t>;</w:t>
      </w:r>
    </w:p>
    <w:p w14:paraId="02092B24" w14:textId="6E9E577B" w:rsidR="000D5000" w:rsidRPr="006557B3" w:rsidRDefault="004D3E06" w:rsidP="00C05C12">
      <w:pPr>
        <w:pStyle w:val="Sarakstarindkopa"/>
        <w:numPr>
          <w:ilvl w:val="0"/>
          <w:numId w:val="43"/>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k</w:t>
      </w:r>
      <w:r w:rsidR="000D5000" w:rsidRPr="006557B3">
        <w:rPr>
          <w:rFonts w:ascii="Times New Roman" w:hAnsi="Times New Roman"/>
          <w:sz w:val="24"/>
          <w:szCs w:val="24"/>
          <w:lang w:val="lv-LV"/>
        </w:rPr>
        <w:t>onstatēt</w:t>
      </w:r>
      <w:r w:rsidR="00945918" w:rsidRPr="006557B3">
        <w:rPr>
          <w:rFonts w:ascii="Times New Roman" w:hAnsi="Times New Roman"/>
          <w:sz w:val="24"/>
          <w:szCs w:val="24"/>
          <w:lang w:val="lv-LV"/>
        </w:rPr>
        <w:t>u</w:t>
      </w:r>
      <w:r w:rsidR="000D5000" w:rsidRPr="006557B3">
        <w:rPr>
          <w:rFonts w:ascii="Times New Roman" w:hAnsi="Times New Roman"/>
          <w:sz w:val="24"/>
          <w:szCs w:val="24"/>
          <w:lang w:val="lv-LV"/>
        </w:rPr>
        <w:t xml:space="preserve"> neatļautu apstrādi ar jonizējošo starojumu</w:t>
      </w:r>
      <w:r w:rsidRPr="006557B3">
        <w:rPr>
          <w:rFonts w:ascii="Times New Roman" w:hAnsi="Times New Roman"/>
          <w:sz w:val="24"/>
          <w:szCs w:val="24"/>
          <w:lang w:val="lv-LV"/>
        </w:rPr>
        <w:t>;</w:t>
      </w:r>
    </w:p>
    <w:p w14:paraId="34C8C4BE" w14:textId="686BCBFE" w:rsidR="000D5000" w:rsidRPr="006557B3" w:rsidRDefault="004D3E06" w:rsidP="00C05C12">
      <w:pPr>
        <w:pStyle w:val="Sarakstarindkopa"/>
        <w:numPr>
          <w:ilvl w:val="0"/>
          <w:numId w:val="43"/>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v</w:t>
      </w:r>
      <w:r w:rsidR="000D5000" w:rsidRPr="006557B3">
        <w:rPr>
          <w:rFonts w:ascii="Times New Roman" w:hAnsi="Times New Roman"/>
          <w:sz w:val="24"/>
          <w:szCs w:val="24"/>
          <w:lang w:val="lv-LV"/>
        </w:rPr>
        <w:t>eikt</w:t>
      </w:r>
      <w:r w:rsidR="00945918" w:rsidRPr="006557B3">
        <w:rPr>
          <w:rFonts w:ascii="Times New Roman" w:hAnsi="Times New Roman"/>
          <w:sz w:val="24"/>
          <w:szCs w:val="24"/>
          <w:lang w:val="lv-LV"/>
        </w:rPr>
        <w:t>u</w:t>
      </w:r>
      <w:r w:rsidR="000D5000" w:rsidRPr="006557B3">
        <w:rPr>
          <w:rFonts w:ascii="Times New Roman" w:hAnsi="Times New Roman"/>
          <w:sz w:val="24"/>
          <w:szCs w:val="24"/>
          <w:lang w:val="lv-LV"/>
        </w:rPr>
        <w:t xml:space="preserve"> testēšanu</w:t>
      </w:r>
      <w:r w:rsidR="00945918" w:rsidRPr="006557B3">
        <w:rPr>
          <w:rFonts w:ascii="Times New Roman" w:hAnsi="Times New Roman"/>
          <w:sz w:val="24"/>
          <w:szCs w:val="24"/>
          <w:lang w:val="lv-LV"/>
        </w:rPr>
        <w:t>,</w:t>
      </w:r>
      <w:r w:rsidR="000D5000" w:rsidRPr="006557B3">
        <w:rPr>
          <w:rFonts w:ascii="Times New Roman" w:hAnsi="Times New Roman"/>
          <w:sz w:val="24"/>
          <w:szCs w:val="24"/>
          <w:lang w:val="lv-LV"/>
        </w:rPr>
        <w:t xml:space="preserve"> ņemot vērā </w:t>
      </w:r>
      <w:r w:rsidR="000D5000" w:rsidRPr="006557B3">
        <w:rPr>
          <w:rFonts w:ascii="Times New Roman" w:hAnsi="Times New Roman"/>
          <w:i/>
          <w:sz w:val="24"/>
          <w:szCs w:val="24"/>
          <w:lang w:val="lv-LV"/>
        </w:rPr>
        <w:t>RASFF</w:t>
      </w:r>
      <w:r w:rsidR="000D5000" w:rsidRPr="006557B3">
        <w:rPr>
          <w:rFonts w:ascii="Times New Roman" w:hAnsi="Times New Roman"/>
          <w:sz w:val="24"/>
          <w:szCs w:val="24"/>
          <w:lang w:val="lv-LV"/>
        </w:rPr>
        <w:t xml:space="preserve"> sistēmā pieejamo aktuālo informāciju.</w:t>
      </w:r>
    </w:p>
    <w:p w14:paraId="004B6521" w14:textId="3919E46A" w:rsidR="00F83664" w:rsidRPr="006557B3" w:rsidRDefault="00F83664" w:rsidP="00C05C12">
      <w:pPr>
        <w:tabs>
          <w:tab w:val="left" w:pos="8647"/>
        </w:tabs>
        <w:spacing w:after="0" w:line="240" w:lineRule="auto"/>
        <w:jc w:val="both"/>
        <w:rPr>
          <w:rFonts w:ascii="Times New Roman" w:hAnsi="Times New Roman" w:cs="Times New Roman"/>
          <w:b/>
          <w:sz w:val="24"/>
          <w:szCs w:val="24"/>
          <w:lang w:val="lv-LV"/>
        </w:rPr>
      </w:pPr>
    </w:p>
    <w:p w14:paraId="6E1B8527" w14:textId="128FF124" w:rsidR="000D5000" w:rsidRPr="006557B3" w:rsidRDefault="00AB128E" w:rsidP="00C05C12">
      <w:pPr>
        <w:tabs>
          <w:tab w:val="left" w:pos="8647"/>
        </w:tabs>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t>7.</w:t>
      </w:r>
      <w:r w:rsidR="00D94266" w:rsidRPr="006557B3">
        <w:rPr>
          <w:rFonts w:ascii="Times New Roman" w:hAnsi="Times New Roman" w:cs="Times New Roman"/>
          <w:b/>
          <w:sz w:val="24"/>
          <w:szCs w:val="24"/>
          <w:lang w:val="lv-LV"/>
        </w:rPr>
        <w:t>2</w:t>
      </w:r>
      <w:r w:rsidRPr="006557B3">
        <w:rPr>
          <w:rFonts w:ascii="Times New Roman" w:hAnsi="Times New Roman" w:cs="Times New Roman"/>
          <w:b/>
          <w:sz w:val="24"/>
          <w:szCs w:val="24"/>
          <w:lang w:val="lv-LV"/>
        </w:rPr>
        <w:t xml:space="preserve">. </w:t>
      </w:r>
      <w:r w:rsidR="00AE6DCF" w:rsidRPr="006557B3">
        <w:rPr>
          <w:rFonts w:ascii="Times New Roman" w:hAnsi="Times New Roman" w:cs="Times New Roman"/>
          <w:b/>
          <w:sz w:val="24"/>
          <w:szCs w:val="24"/>
          <w:lang w:val="lv-LV"/>
        </w:rPr>
        <w:t>S</w:t>
      </w:r>
      <w:r w:rsidR="007D2548" w:rsidRPr="006557B3">
        <w:rPr>
          <w:rFonts w:ascii="Times New Roman" w:hAnsi="Times New Roman" w:cs="Times New Roman"/>
          <w:b/>
          <w:sz w:val="24"/>
          <w:szCs w:val="24"/>
          <w:lang w:val="lv-LV"/>
        </w:rPr>
        <w:t>abiedrības (patērētāja) izglītošana</w:t>
      </w:r>
    </w:p>
    <w:p w14:paraId="30D02626" w14:textId="77777777" w:rsidR="000D5000" w:rsidRPr="006557B3" w:rsidRDefault="007D2548"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U</w:t>
      </w:r>
      <w:r w:rsidRPr="006557B3">
        <w:rPr>
          <w:rFonts w:ascii="Times New Roman" w:hAnsi="Times New Roman" w:cs="Times New Roman"/>
          <w:bCs/>
          <w:sz w:val="24"/>
          <w:szCs w:val="24"/>
          <w:lang w:val="lv-LV"/>
        </w:rPr>
        <w:t>ztura bagātinātāju</w:t>
      </w:r>
      <w:r w:rsidR="000D5000" w:rsidRPr="006557B3">
        <w:rPr>
          <w:rFonts w:ascii="Times New Roman" w:hAnsi="Times New Roman" w:cs="Times New Roman"/>
          <w:sz w:val="24"/>
          <w:szCs w:val="24"/>
          <w:lang w:val="lv-LV"/>
        </w:rPr>
        <w:t xml:space="preserve"> tirgus un sortimenta pieaugošā dinamika, ko nosaka patērētāju pieprasījums pēc veselību veicinošiem produktiem, aktualizē nepieciešamību izglītot patērētājus un </w:t>
      </w:r>
      <w:r w:rsidRPr="006557B3">
        <w:rPr>
          <w:rFonts w:ascii="Times New Roman" w:hAnsi="Times New Roman" w:cs="Times New Roman"/>
          <w:sz w:val="24"/>
          <w:szCs w:val="24"/>
          <w:lang w:val="lv-LV"/>
        </w:rPr>
        <w:t>u</w:t>
      </w:r>
      <w:r w:rsidRPr="006557B3">
        <w:rPr>
          <w:rFonts w:ascii="Times New Roman" w:hAnsi="Times New Roman" w:cs="Times New Roman"/>
          <w:bCs/>
          <w:sz w:val="24"/>
          <w:szCs w:val="24"/>
          <w:lang w:val="lv-LV"/>
        </w:rPr>
        <w:t>ztura bagātinātāju</w:t>
      </w:r>
      <w:r w:rsidR="000D5000" w:rsidRPr="006557B3">
        <w:rPr>
          <w:rFonts w:ascii="Times New Roman" w:hAnsi="Times New Roman" w:cs="Times New Roman"/>
          <w:sz w:val="24"/>
          <w:szCs w:val="24"/>
          <w:lang w:val="lv-LV"/>
        </w:rPr>
        <w:t xml:space="preserve"> tirgus operatorus. </w:t>
      </w:r>
    </w:p>
    <w:p w14:paraId="3C5458BF" w14:textId="3EF2E6C4" w:rsidR="000D5000" w:rsidRPr="006557B3" w:rsidRDefault="000D5000"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Jauno sociālo m</w:t>
      </w:r>
      <w:r w:rsidR="00945918" w:rsidRPr="006557B3">
        <w:rPr>
          <w:rFonts w:ascii="Times New Roman" w:hAnsi="Times New Roman" w:cs="Times New Roman"/>
          <w:sz w:val="24"/>
          <w:szCs w:val="24"/>
          <w:lang w:val="lv-LV"/>
        </w:rPr>
        <w:t>e</w:t>
      </w:r>
      <w:r w:rsidRPr="006557B3">
        <w:rPr>
          <w:rFonts w:ascii="Times New Roman" w:hAnsi="Times New Roman" w:cs="Times New Roman"/>
          <w:sz w:val="24"/>
          <w:szCs w:val="24"/>
          <w:lang w:val="lv-LV"/>
        </w:rPr>
        <w:t xml:space="preserve">diju ietekme un </w:t>
      </w:r>
      <w:r w:rsidR="00945918" w:rsidRPr="006557B3">
        <w:rPr>
          <w:rFonts w:ascii="Times New Roman" w:hAnsi="Times New Roman" w:cs="Times New Roman"/>
          <w:sz w:val="24"/>
          <w:szCs w:val="24"/>
          <w:lang w:val="lv-LV"/>
        </w:rPr>
        <w:t xml:space="preserve">arvien populārākā </w:t>
      </w:r>
      <w:r w:rsidR="007D2548" w:rsidRPr="006557B3">
        <w:rPr>
          <w:rFonts w:ascii="Times New Roman" w:hAnsi="Times New Roman" w:cs="Times New Roman"/>
          <w:sz w:val="24"/>
          <w:szCs w:val="24"/>
          <w:lang w:val="lv-LV"/>
        </w:rPr>
        <w:t>u</w:t>
      </w:r>
      <w:r w:rsidR="007D2548" w:rsidRPr="006557B3">
        <w:rPr>
          <w:rFonts w:ascii="Times New Roman" w:hAnsi="Times New Roman" w:cs="Times New Roman"/>
          <w:bCs/>
          <w:sz w:val="24"/>
          <w:szCs w:val="24"/>
          <w:lang w:val="lv-LV"/>
        </w:rPr>
        <w:t>ztura bagātinātāju</w:t>
      </w:r>
      <w:r w:rsidRPr="006557B3">
        <w:rPr>
          <w:rFonts w:ascii="Times New Roman" w:hAnsi="Times New Roman" w:cs="Times New Roman"/>
          <w:sz w:val="24"/>
          <w:szCs w:val="24"/>
          <w:lang w:val="lv-LV"/>
        </w:rPr>
        <w:t xml:space="preserve"> tirdzniecība interneta vidē strauji veicina jaunu </w:t>
      </w:r>
      <w:r w:rsidR="007D2548" w:rsidRPr="006557B3">
        <w:rPr>
          <w:rFonts w:ascii="Times New Roman" w:hAnsi="Times New Roman" w:cs="Times New Roman"/>
          <w:sz w:val="24"/>
          <w:szCs w:val="24"/>
          <w:lang w:val="lv-LV"/>
        </w:rPr>
        <w:t>u</w:t>
      </w:r>
      <w:r w:rsidR="007D2548" w:rsidRPr="006557B3">
        <w:rPr>
          <w:rFonts w:ascii="Times New Roman" w:hAnsi="Times New Roman" w:cs="Times New Roman"/>
          <w:bCs/>
          <w:sz w:val="24"/>
          <w:szCs w:val="24"/>
          <w:lang w:val="lv-LV"/>
        </w:rPr>
        <w:t>ztura bagātinātāju</w:t>
      </w:r>
      <w:r w:rsidRPr="006557B3">
        <w:rPr>
          <w:rFonts w:ascii="Times New Roman" w:hAnsi="Times New Roman" w:cs="Times New Roman"/>
          <w:sz w:val="24"/>
          <w:szCs w:val="24"/>
          <w:lang w:val="lv-LV"/>
        </w:rPr>
        <w:t xml:space="preserve"> izplatīšanas kanālu attīstību, </w:t>
      </w:r>
      <w:r w:rsidR="00945918" w:rsidRPr="006557B3">
        <w:rPr>
          <w:rFonts w:ascii="Times New Roman" w:hAnsi="Times New Roman" w:cs="Times New Roman"/>
          <w:sz w:val="24"/>
          <w:szCs w:val="24"/>
          <w:lang w:val="lv-LV"/>
        </w:rPr>
        <w:t>un tas no</w:t>
      </w:r>
      <w:r w:rsidRPr="006557B3">
        <w:rPr>
          <w:rFonts w:ascii="Times New Roman" w:hAnsi="Times New Roman" w:cs="Times New Roman"/>
          <w:sz w:val="24"/>
          <w:szCs w:val="24"/>
          <w:lang w:val="lv-LV"/>
        </w:rPr>
        <w:t xml:space="preserve"> PVD prasa papildu resursus, kapacitāti, kā arī nosaka nepieciešamību pilnveidot sabiedrībai</w:t>
      </w:r>
      <w:r w:rsidR="00B67B42"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patērētajiem</w:t>
      </w:r>
      <w:r w:rsidR="00B67B42" w:rsidRPr="006557B3">
        <w:rPr>
          <w:rFonts w:ascii="Times New Roman" w:hAnsi="Times New Roman" w:cs="Times New Roman"/>
          <w:sz w:val="24"/>
          <w:szCs w:val="24"/>
          <w:lang w:val="lv-LV"/>
        </w:rPr>
        <w:t>)</w:t>
      </w:r>
      <w:r w:rsidRPr="006557B3">
        <w:rPr>
          <w:rFonts w:ascii="Times New Roman" w:hAnsi="Times New Roman" w:cs="Times New Roman"/>
          <w:sz w:val="24"/>
          <w:szCs w:val="24"/>
          <w:lang w:val="lv-LV"/>
        </w:rPr>
        <w:t xml:space="preserve"> paredzēto izglītojošo izziņas, informatīvo materiālu saturu, to pasniegšanas formu un kanālus.</w:t>
      </w:r>
    </w:p>
    <w:p w14:paraId="0ADD622B" w14:textId="18B31EEC" w:rsidR="000D5000" w:rsidRPr="006557B3" w:rsidRDefault="000D5000" w:rsidP="00C05C12">
      <w:pPr>
        <w:tabs>
          <w:tab w:val="left" w:pos="8647"/>
        </w:tabs>
        <w:spacing w:after="0" w:line="240" w:lineRule="auto"/>
        <w:ind w:firstLine="709"/>
        <w:jc w:val="both"/>
        <w:rPr>
          <w:rFonts w:ascii="Times New Roman" w:hAnsi="Times New Roman" w:cs="Times New Roman"/>
          <w:color w:val="1F497D"/>
          <w:sz w:val="24"/>
          <w:szCs w:val="24"/>
          <w:lang w:val="lv-LV"/>
        </w:rPr>
      </w:pPr>
      <w:r w:rsidRPr="006557B3">
        <w:rPr>
          <w:rFonts w:ascii="Times New Roman" w:hAnsi="Times New Roman" w:cs="Times New Roman"/>
          <w:sz w:val="24"/>
          <w:szCs w:val="24"/>
          <w:lang w:val="lv-LV"/>
        </w:rPr>
        <w:t xml:space="preserve">Sabiedrības informēšanai un izglītošanai par </w:t>
      </w:r>
      <w:r w:rsidR="007D2548" w:rsidRPr="006557B3">
        <w:rPr>
          <w:rFonts w:ascii="Times New Roman" w:hAnsi="Times New Roman" w:cs="Times New Roman"/>
          <w:sz w:val="24"/>
          <w:szCs w:val="24"/>
          <w:lang w:val="lv-LV"/>
        </w:rPr>
        <w:t>u</w:t>
      </w:r>
      <w:r w:rsidR="007D2548" w:rsidRPr="006557B3">
        <w:rPr>
          <w:rFonts w:ascii="Times New Roman" w:hAnsi="Times New Roman" w:cs="Times New Roman"/>
          <w:bCs/>
          <w:sz w:val="24"/>
          <w:szCs w:val="24"/>
          <w:lang w:val="lv-LV"/>
        </w:rPr>
        <w:t>ztura bagātinātāju</w:t>
      </w:r>
      <w:r w:rsidRPr="006557B3">
        <w:rPr>
          <w:rFonts w:ascii="Times New Roman" w:hAnsi="Times New Roman" w:cs="Times New Roman"/>
          <w:sz w:val="24"/>
          <w:szCs w:val="24"/>
          <w:lang w:val="lv-LV"/>
        </w:rPr>
        <w:t xml:space="preserve">, ņemot vērā PVD pieredzi un aktuālo situāciju ir iecerēts akcentēt </w:t>
      </w:r>
      <w:r w:rsidR="00945918" w:rsidRPr="006557B3">
        <w:rPr>
          <w:rFonts w:ascii="Times New Roman" w:hAnsi="Times New Roman" w:cs="Times New Roman"/>
          <w:sz w:val="24"/>
          <w:szCs w:val="24"/>
          <w:lang w:val="lv-LV"/>
        </w:rPr>
        <w:t>vairākas</w:t>
      </w:r>
      <w:r w:rsidRPr="006557B3">
        <w:rPr>
          <w:rFonts w:ascii="Times New Roman" w:hAnsi="Times New Roman" w:cs="Times New Roman"/>
          <w:sz w:val="24"/>
          <w:szCs w:val="24"/>
          <w:lang w:val="lv-LV"/>
        </w:rPr>
        <w:t xml:space="preserve"> tēmas</w:t>
      </w:r>
      <w:r w:rsidR="00945918" w:rsidRPr="006557B3">
        <w:rPr>
          <w:rFonts w:ascii="Times New Roman" w:hAnsi="Times New Roman" w:cs="Times New Roman"/>
          <w:sz w:val="24"/>
          <w:szCs w:val="24"/>
          <w:lang w:val="lv-LV"/>
        </w:rPr>
        <w:t>.</w:t>
      </w:r>
    </w:p>
    <w:p w14:paraId="6A0BC9BC" w14:textId="78D03D1E" w:rsidR="000D5000" w:rsidRPr="006557B3" w:rsidRDefault="00945918" w:rsidP="00C05C12">
      <w:pPr>
        <w:pStyle w:val="Sarakstarindkopa"/>
        <w:numPr>
          <w:ilvl w:val="0"/>
          <w:numId w:val="11"/>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w:t>
      </w:r>
      <w:r w:rsidR="000D5000" w:rsidRPr="006557B3">
        <w:rPr>
          <w:rFonts w:ascii="Times New Roman" w:hAnsi="Times New Roman"/>
          <w:sz w:val="24"/>
          <w:szCs w:val="24"/>
          <w:lang w:val="lv-LV"/>
        </w:rPr>
        <w:t>Kas jāņem vērā</w:t>
      </w:r>
      <w:r w:rsidRPr="006557B3">
        <w:rPr>
          <w:rFonts w:ascii="Times New Roman" w:hAnsi="Times New Roman"/>
          <w:sz w:val="24"/>
          <w:szCs w:val="24"/>
          <w:lang w:val="lv-LV"/>
        </w:rPr>
        <w:t>,</w:t>
      </w:r>
      <w:r w:rsidR="000D5000" w:rsidRPr="006557B3">
        <w:rPr>
          <w:rFonts w:ascii="Times New Roman" w:hAnsi="Times New Roman"/>
          <w:sz w:val="24"/>
          <w:szCs w:val="24"/>
          <w:lang w:val="lv-LV"/>
        </w:rPr>
        <w:t xml:space="preserve"> iegādājoties uztura bagātinātājus internetveikalā?”</w:t>
      </w:r>
    </w:p>
    <w:p w14:paraId="61472163" w14:textId="1F407487" w:rsidR="000D5000" w:rsidRPr="006557B3" w:rsidRDefault="000D5000" w:rsidP="00C05C12">
      <w:pPr>
        <w:pStyle w:val="Sarakstarindkopa"/>
        <w:tabs>
          <w:tab w:val="left" w:pos="8647"/>
        </w:tabs>
        <w:spacing w:after="0" w:line="240" w:lineRule="auto"/>
        <w:ind w:left="0"/>
        <w:jc w:val="both"/>
        <w:rPr>
          <w:rFonts w:ascii="Times New Roman" w:hAnsi="Times New Roman"/>
          <w:i/>
          <w:sz w:val="24"/>
          <w:szCs w:val="24"/>
          <w:lang w:val="lv-LV"/>
        </w:rPr>
      </w:pPr>
      <w:r w:rsidRPr="006557B3">
        <w:rPr>
          <w:rFonts w:ascii="Times New Roman" w:hAnsi="Times New Roman"/>
          <w:sz w:val="24"/>
          <w:szCs w:val="24"/>
          <w:lang w:val="lv-LV"/>
        </w:rPr>
        <w:t>Interaktīva ilustratīva videofilma</w:t>
      </w:r>
      <w:r w:rsidR="00945918" w:rsidRPr="006557B3">
        <w:rPr>
          <w:rFonts w:ascii="Times New Roman" w:hAnsi="Times New Roman"/>
          <w:sz w:val="24"/>
          <w:szCs w:val="24"/>
          <w:lang w:val="lv-LV"/>
        </w:rPr>
        <w:t>, kurā</w:t>
      </w:r>
      <w:r w:rsidRPr="006557B3">
        <w:rPr>
          <w:rFonts w:ascii="Times New Roman" w:hAnsi="Times New Roman"/>
          <w:sz w:val="24"/>
          <w:szCs w:val="24"/>
          <w:lang w:val="lv-LV"/>
        </w:rPr>
        <w:t xml:space="preserve"> atspoguļo</w:t>
      </w:r>
      <w:r w:rsidR="00945918" w:rsidRPr="006557B3">
        <w:rPr>
          <w:rFonts w:ascii="Times New Roman" w:hAnsi="Times New Roman"/>
          <w:sz w:val="24"/>
          <w:szCs w:val="24"/>
          <w:lang w:val="lv-LV"/>
        </w:rPr>
        <w:t>ts</w:t>
      </w:r>
      <w:r w:rsidRPr="006557B3">
        <w:rPr>
          <w:rFonts w:ascii="Times New Roman" w:hAnsi="Times New Roman"/>
          <w:sz w:val="24"/>
          <w:szCs w:val="24"/>
          <w:lang w:val="lv-LV"/>
        </w:rPr>
        <w:t xml:space="preserve"> būtiskāk</w:t>
      </w:r>
      <w:r w:rsidR="00945918" w:rsidRPr="006557B3">
        <w:rPr>
          <w:rFonts w:ascii="Times New Roman" w:hAnsi="Times New Roman"/>
          <w:sz w:val="24"/>
          <w:szCs w:val="24"/>
          <w:lang w:val="lv-LV"/>
        </w:rPr>
        <w:t>ais</w:t>
      </w:r>
      <w:r w:rsidRPr="006557B3">
        <w:rPr>
          <w:rFonts w:ascii="Times New Roman" w:hAnsi="Times New Roman"/>
          <w:sz w:val="24"/>
          <w:szCs w:val="24"/>
          <w:lang w:val="lv-LV"/>
        </w:rPr>
        <w:t>, kas jāņem vērā</w:t>
      </w:r>
      <w:r w:rsidR="00945918" w:rsidRPr="006557B3">
        <w:rPr>
          <w:rFonts w:ascii="Times New Roman" w:hAnsi="Times New Roman"/>
          <w:sz w:val="24"/>
          <w:szCs w:val="24"/>
          <w:lang w:val="lv-LV"/>
        </w:rPr>
        <w:t>,</w:t>
      </w:r>
      <w:r w:rsidRPr="006557B3">
        <w:rPr>
          <w:rFonts w:ascii="Times New Roman" w:hAnsi="Times New Roman"/>
          <w:sz w:val="24"/>
          <w:szCs w:val="24"/>
          <w:lang w:val="lv-LV"/>
        </w:rPr>
        <w:t xml:space="preserve"> iegādājoties preces internetveikalā, kā arī informācija</w:t>
      </w:r>
      <w:r w:rsidR="00945918" w:rsidRPr="006557B3">
        <w:rPr>
          <w:rFonts w:ascii="Times New Roman" w:hAnsi="Times New Roman"/>
          <w:sz w:val="24"/>
          <w:szCs w:val="24"/>
          <w:lang w:val="lv-LV"/>
        </w:rPr>
        <w:t>, kādai</w:t>
      </w:r>
      <w:r w:rsidRPr="006557B3">
        <w:rPr>
          <w:rFonts w:ascii="Times New Roman" w:hAnsi="Times New Roman"/>
          <w:sz w:val="24"/>
          <w:szCs w:val="24"/>
          <w:lang w:val="lv-LV"/>
        </w:rPr>
        <w:t xml:space="preserve"> būtu jābūt pieejamai</w:t>
      </w:r>
      <w:r w:rsidR="00945918" w:rsidRPr="006557B3">
        <w:rPr>
          <w:rFonts w:ascii="Times New Roman" w:hAnsi="Times New Roman"/>
          <w:sz w:val="24"/>
          <w:szCs w:val="24"/>
          <w:lang w:val="lv-LV"/>
        </w:rPr>
        <w:t xml:space="preserve"> par produktu</w:t>
      </w:r>
      <w:r w:rsidRPr="006557B3">
        <w:rPr>
          <w:rFonts w:ascii="Times New Roman" w:hAnsi="Times New Roman"/>
          <w:sz w:val="24"/>
          <w:szCs w:val="24"/>
          <w:lang w:val="lv-LV"/>
        </w:rPr>
        <w:t xml:space="preserve">, skarot jautājumus par </w:t>
      </w:r>
      <w:r w:rsidR="00240872" w:rsidRPr="006557B3">
        <w:rPr>
          <w:rFonts w:ascii="Times New Roman" w:hAnsi="Times New Roman"/>
          <w:sz w:val="24"/>
          <w:szCs w:val="24"/>
          <w:lang w:val="lv-LV"/>
        </w:rPr>
        <w:t>u</w:t>
      </w:r>
      <w:r w:rsidR="00240872" w:rsidRPr="006557B3">
        <w:rPr>
          <w:rFonts w:ascii="Times New Roman" w:hAnsi="Times New Roman"/>
          <w:bCs/>
          <w:sz w:val="24"/>
          <w:szCs w:val="24"/>
          <w:lang w:val="lv-LV"/>
        </w:rPr>
        <w:t>ztura bagātinātāju</w:t>
      </w:r>
      <w:r w:rsidRPr="006557B3">
        <w:rPr>
          <w:rFonts w:ascii="Times New Roman" w:hAnsi="Times New Roman"/>
          <w:sz w:val="24"/>
          <w:szCs w:val="24"/>
          <w:lang w:val="lv-LV"/>
        </w:rPr>
        <w:t xml:space="preserve"> reklāmu.</w:t>
      </w:r>
      <w:r w:rsidR="00335DAD" w:rsidRPr="006557B3">
        <w:rPr>
          <w:rFonts w:ascii="Times New Roman" w:hAnsi="Times New Roman"/>
          <w:sz w:val="24"/>
          <w:szCs w:val="24"/>
          <w:lang w:val="lv-LV"/>
        </w:rPr>
        <w:t xml:space="preserve"> </w:t>
      </w:r>
      <w:r w:rsidRPr="006557B3">
        <w:rPr>
          <w:rFonts w:ascii="Times New Roman" w:hAnsi="Times New Roman"/>
          <w:sz w:val="24"/>
          <w:szCs w:val="24"/>
          <w:lang w:val="lv-LV"/>
        </w:rPr>
        <w:t>Prognozējamās izmaksas</w:t>
      </w:r>
      <w:r w:rsidR="00945918" w:rsidRPr="006557B3">
        <w:rPr>
          <w:rFonts w:ascii="Times New Roman" w:hAnsi="Times New Roman"/>
          <w:sz w:val="24"/>
          <w:szCs w:val="24"/>
          <w:lang w:val="lv-LV"/>
        </w:rPr>
        <w:t xml:space="preserve"> –</w:t>
      </w:r>
      <w:r w:rsidRPr="006557B3">
        <w:rPr>
          <w:rFonts w:ascii="Times New Roman" w:hAnsi="Times New Roman"/>
          <w:sz w:val="24"/>
          <w:szCs w:val="24"/>
          <w:lang w:val="lv-LV"/>
        </w:rPr>
        <w:t xml:space="preserve"> 7000</w:t>
      </w:r>
      <w:r w:rsidR="00240872" w:rsidRPr="006557B3">
        <w:rPr>
          <w:rFonts w:ascii="Times New Roman" w:hAnsi="Times New Roman"/>
          <w:sz w:val="24"/>
          <w:szCs w:val="24"/>
          <w:lang w:val="lv-LV"/>
        </w:rPr>
        <w:t>,00</w:t>
      </w:r>
      <w:r w:rsidRPr="006557B3">
        <w:rPr>
          <w:rFonts w:ascii="Times New Roman" w:hAnsi="Times New Roman"/>
          <w:sz w:val="24"/>
          <w:szCs w:val="24"/>
          <w:lang w:val="lv-LV"/>
        </w:rPr>
        <w:t xml:space="preserve"> </w:t>
      </w:r>
      <w:r w:rsidR="00F95BD3" w:rsidRPr="006557B3">
        <w:rPr>
          <w:rFonts w:ascii="Times New Roman" w:hAnsi="Times New Roman"/>
          <w:i/>
          <w:sz w:val="24"/>
          <w:szCs w:val="24"/>
          <w:lang w:val="lv-LV"/>
        </w:rPr>
        <w:t>euro.</w:t>
      </w:r>
    </w:p>
    <w:p w14:paraId="4063AD25" w14:textId="77777777" w:rsidR="008142F7" w:rsidRDefault="008142F7" w:rsidP="00C05C12">
      <w:pPr>
        <w:tabs>
          <w:tab w:val="left" w:pos="8647"/>
        </w:tabs>
        <w:spacing w:after="0" w:line="240" w:lineRule="auto"/>
        <w:ind w:firstLine="709"/>
        <w:jc w:val="both"/>
        <w:rPr>
          <w:rFonts w:ascii="Times New Roman" w:hAnsi="Times New Roman" w:cs="Times New Roman"/>
          <w:sz w:val="24"/>
          <w:szCs w:val="24"/>
          <w:lang w:val="lv-LV"/>
        </w:rPr>
      </w:pPr>
    </w:p>
    <w:p w14:paraId="4AF6343D" w14:textId="77777777" w:rsidR="008142F7" w:rsidRDefault="008142F7" w:rsidP="00C05C12">
      <w:pPr>
        <w:tabs>
          <w:tab w:val="left" w:pos="8647"/>
        </w:tabs>
        <w:spacing w:after="0" w:line="240" w:lineRule="auto"/>
        <w:ind w:firstLine="709"/>
        <w:jc w:val="both"/>
        <w:rPr>
          <w:rFonts w:ascii="Times New Roman" w:hAnsi="Times New Roman" w:cs="Times New Roman"/>
          <w:sz w:val="24"/>
          <w:szCs w:val="24"/>
          <w:lang w:val="lv-LV"/>
        </w:rPr>
      </w:pPr>
    </w:p>
    <w:p w14:paraId="00D8C8FB" w14:textId="77777777" w:rsidR="000D5000" w:rsidRPr="006557B3" w:rsidRDefault="00335DAD"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lastRenderedPageBreak/>
        <w:t xml:space="preserve">2. </w:t>
      </w:r>
      <w:r w:rsidR="000D5000" w:rsidRPr="006557B3">
        <w:rPr>
          <w:rFonts w:ascii="Times New Roman" w:hAnsi="Times New Roman" w:cs="Times New Roman"/>
          <w:sz w:val="24"/>
          <w:szCs w:val="24"/>
          <w:lang w:val="lv-LV"/>
        </w:rPr>
        <w:t xml:space="preserve">“Uztura bagātinātāji – mīti un realitāte” </w:t>
      </w:r>
    </w:p>
    <w:p w14:paraId="62A5D781" w14:textId="25689513" w:rsidR="00F95BD3" w:rsidRPr="006557B3" w:rsidRDefault="000D5000" w:rsidP="00C05C12">
      <w:pPr>
        <w:pStyle w:val="Sarakstarindkopa"/>
        <w:tabs>
          <w:tab w:val="left" w:pos="8647"/>
        </w:tabs>
        <w:spacing w:after="0" w:line="240" w:lineRule="auto"/>
        <w:ind w:left="0"/>
        <w:jc w:val="both"/>
        <w:rPr>
          <w:rFonts w:ascii="Times New Roman" w:hAnsi="Times New Roman"/>
          <w:sz w:val="24"/>
          <w:szCs w:val="24"/>
          <w:lang w:val="lv-LV"/>
        </w:rPr>
      </w:pPr>
      <w:r w:rsidRPr="006557B3">
        <w:rPr>
          <w:rFonts w:ascii="Times New Roman" w:hAnsi="Times New Roman"/>
          <w:sz w:val="24"/>
          <w:szCs w:val="24"/>
          <w:lang w:val="lv-LV"/>
        </w:rPr>
        <w:t>Informatīvs (interaktīvs) uzziņas materiāl</w:t>
      </w:r>
      <w:r w:rsidR="00FC3930">
        <w:rPr>
          <w:rFonts w:ascii="Times New Roman" w:hAnsi="Times New Roman"/>
          <w:sz w:val="24"/>
          <w:szCs w:val="24"/>
          <w:lang w:val="lv-LV"/>
        </w:rPr>
        <w:t>s</w:t>
      </w:r>
      <w:r w:rsidR="00945918" w:rsidRPr="006557B3">
        <w:rPr>
          <w:rFonts w:ascii="Times New Roman" w:hAnsi="Times New Roman"/>
          <w:sz w:val="24"/>
          <w:szCs w:val="24"/>
          <w:lang w:val="lv-LV"/>
        </w:rPr>
        <w:t>, kurā</w:t>
      </w:r>
      <w:r w:rsidRPr="006557B3">
        <w:rPr>
          <w:rFonts w:ascii="Times New Roman" w:hAnsi="Times New Roman"/>
          <w:sz w:val="24"/>
          <w:szCs w:val="24"/>
          <w:lang w:val="lv-LV"/>
        </w:rPr>
        <w:t xml:space="preserve"> analizē</w:t>
      </w:r>
      <w:r w:rsidR="00945918" w:rsidRPr="006557B3">
        <w:rPr>
          <w:rFonts w:ascii="Times New Roman" w:hAnsi="Times New Roman"/>
          <w:sz w:val="24"/>
          <w:szCs w:val="24"/>
          <w:lang w:val="lv-LV"/>
        </w:rPr>
        <w:t>ti</w:t>
      </w:r>
      <w:r w:rsidRPr="006557B3">
        <w:rPr>
          <w:rFonts w:ascii="Times New Roman" w:hAnsi="Times New Roman"/>
          <w:sz w:val="24"/>
          <w:szCs w:val="24"/>
          <w:lang w:val="lv-LV"/>
        </w:rPr>
        <w:t xml:space="preserve"> biežāk</w:t>
      </w:r>
      <w:r w:rsidR="00945918" w:rsidRPr="006557B3">
        <w:rPr>
          <w:rFonts w:ascii="Times New Roman" w:hAnsi="Times New Roman"/>
          <w:sz w:val="24"/>
          <w:szCs w:val="24"/>
          <w:lang w:val="lv-LV"/>
        </w:rPr>
        <w:t>ie</w:t>
      </w:r>
      <w:r w:rsidRPr="006557B3">
        <w:rPr>
          <w:rFonts w:ascii="Times New Roman" w:hAnsi="Times New Roman"/>
          <w:sz w:val="24"/>
          <w:szCs w:val="24"/>
          <w:lang w:val="lv-LV"/>
        </w:rPr>
        <w:t xml:space="preserve"> reklāmās minēt</w:t>
      </w:r>
      <w:r w:rsidR="00945918" w:rsidRPr="006557B3">
        <w:rPr>
          <w:rFonts w:ascii="Times New Roman" w:hAnsi="Times New Roman"/>
          <w:sz w:val="24"/>
          <w:szCs w:val="24"/>
          <w:lang w:val="lv-LV"/>
        </w:rPr>
        <w:t>ie</w:t>
      </w:r>
      <w:r w:rsidRPr="006557B3">
        <w:rPr>
          <w:rFonts w:ascii="Times New Roman" w:hAnsi="Times New Roman"/>
          <w:sz w:val="24"/>
          <w:szCs w:val="24"/>
          <w:lang w:val="lv-LV"/>
        </w:rPr>
        <w:t xml:space="preserve"> apgalvojum</w:t>
      </w:r>
      <w:r w:rsidR="00945918" w:rsidRPr="006557B3">
        <w:rPr>
          <w:rFonts w:ascii="Times New Roman" w:hAnsi="Times New Roman"/>
          <w:sz w:val="24"/>
          <w:szCs w:val="24"/>
          <w:lang w:val="lv-LV"/>
        </w:rPr>
        <w:t>i</w:t>
      </w:r>
      <w:r w:rsidRPr="006557B3">
        <w:rPr>
          <w:rFonts w:ascii="Times New Roman" w:hAnsi="Times New Roman"/>
          <w:sz w:val="24"/>
          <w:szCs w:val="24"/>
          <w:lang w:val="lv-LV"/>
        </w:rPr>
        <w:t xml:space="preserve"> par uztura bagātinātājiem, īpaši akcentējot to, ka uztura bagātinātāji nenovērš slimības, tās neārstē, neaizvieto veselīgu uzturu u</w:t>
      </w:r>
      <w:r w:rsidR="00945918" w:rsidRPr="006557B3">
        <w:rPr>
          <w:rFonts w:ascii="Times New Roman" w:hAnsi="Times New Roman"/>
          <w:sz w:val="24"/>
          <w:szCs w:val="24"/>
          <w:lang w:val="lv-LV"/>
        </w:rPr>
        <w:t>.</w:t>
      </w:r>
      <w:r w:rsidRPr="006557B3">
        <w:rPr>
          <w:rFonts w:ascii="Times New Roman" w:hAnsi="Times New Roman"/>
          <w:sz w:val="24"/>
          <w:szCs w:val="24"/>
          <w:lang w:val="lv-LV"/>
        </w:rPr>
        <w:t xml:space="preserve"> tml. Prognozējamās izmaksas</w:t>
      </w:r>
      <w:r w:rsidR="008519AC" w:rsidRPr="006557B3">
        <w:rPr>
          <w:rFonts w:ascii="Times New Roman" w:hAnsi="Times New Roman"/>
          <w:sz w:val="24"/>
          <w:szCs w:val="24"/>
          <w:lang w:val="lv-LV"/>
        </w:rPr>
        <w:t> –</w:t>
      </w:r>
      <w:r w:rsidRPr="006557B3">
        <w:rPr>
          <w:rFonts w:ascii="Times New Roman" w:hAnsi="Times New Roman"/>
          <w:sz w:val="24"/>
          <w:szCs w:val="24"/>
          <w:lang w:val="lv-LV"/>
        </w:rPr>
        <w:t xml:space="preserve"> 550</w:t>
      </w:r>
      <w:r w:rsidR="00F316AA" w:rsidRPr="006557B3">
        <w:rPr>
          <w:rFonts w:ascii="Times New Roman" w:hAnsi="Times New Roman"/>
          <w:sz w:val="24"/>
          <w:szCs w:val="24"/>
          <w:lang w:val="lv-LV"/>
        </w:rPr>
        <w:t>0</w:t>
      </w:r>
      <w:r w:rsidR="00240872" w:rsidRPr="006557B3">
        <w:rPr>
          <w:rFonts w:ascii="Times New Roman" w:hAnsi="Times New Roman"/>
          <w:sz w:val="24"/>
          <w:szCs w:val="24"/>
          <w:lang w:val="lv-LV"/>
        </w:rPr>
        <w:t>,00</w:t>
      </w:r>
      <w:r w:rsidRPr="006557B3">
        <w:rPr>
          <w:rFonts w:ascii="Times New Roman" w:hAnsi="Times New Roman"/>
          <w:sz w:val="24"/>
          <w:szCs w:val="24"/>
          <w:lang w:val="lv-LV"/>
        </w:rPr>
        <w:t xml:space="preserve"> </w:t>
      </w:r>
      <w:r w:rsidR="00F95BD3" w:rsidRPr="006557B3">
        <w:rPr>
          <w:rFonts w:ascii="Times New Roman" w:hAnsi="Times New Roman"/>
          <w:i/>
          <w:sz w:val="24"/>
          <w:szCs w:val="24"/>
          <w:lang w:val="lv-LV"/>
        </w:rPr>
        <w:t>euro</w:t>
      </w:r>
      <w:r w:rsidR="00F95BD3" w:rsidRPr="006557B3">
        <w:rPr>
          <w:rFonts w:ascii="Times New Roman" w:hAnsi="Times New Roman"/>
          <w:sz w:val="24"/>
          <w:szCs w:val="24"/>
          <w:lang w:val="lv-LV"/>
        </w:rPr>
        <w:t>.</w:t>
      </w:r>
    </w:p>
    <w:p w14:paraId="0D75D3BC" w14:textId="4905923C" w:rsidR="000D5000" w:rsidRPr="006557B3" w:rsidRDefault="001F59E2" w:rsidP="00562A52">
      <w:pPr>
        <w:pStyle w:val="Sarakstarindkopa"/>
        <w:tabs>
          <w:tab w:val="left" w:pos="8647"/>
        </w:tabs>
        <w:spacing w:after="0" w:line="240" w:lineRule="auto"/>
        <w:ind w:left="0" w:firstLine="709"/>
        <w:jc w:val="both"/>
        <w:rPr>
          <w:rFonts w:ascii="Times New Roman" w:hAnsi="Times New Roman"/>
          <w:i/>
          <w:sz w:val="24"/>
          <w:szCs w:val="24"/>
          <w:lang w:val="lv-LV"/>
        </w:rPr>
      </w:pPr>
      <w:r w:rsidRPr="006557B3">
        <w:rPr>
          <w:rFonts w:ascii="Times New Roman" w:hAnsi="Times New Roman"/>
          <w:sz w:val="24"/>
          <w:szCs w:val="24"/>
          <w:lang w:val="lv-LV"/>
        </w:rPr>
        <w:t>3.</w:t>
      </w:r>
      <w:r w:rsidR="009B0752" w:rsidRPr="006557B3">
        <w:rPr>
          <w:rFonts w:ascii="Times New Roman" w:hAnsi="Times New Roman"/>
          <w:sz w:val="24"/>
          <w:szCs w:val="24"/>
          <w:lang w:val="lv-LV"/>
        </w:rPr>
        <w:t xml:space="preserve"> </w:t>
      </w:r>
      <w:r w:rsidR="000D5000" w:rsidRPr="006557B3">
        <w:rPr>
          <w:rFonts w:ascii="Times New Roman" w:hAnsi="Times New Roman"/>
          <w:sz w:val="24"/>
          <w:szCs w:val="24"/>
          <w:lang w:val="lv-LV"/>
        </w:rPr>
        <w:t xml:space="preserve">Ikgadējs PVD organizēts informatīvs pasākums, seminārs </w:t>
      </w:r>
      <w:r w:rsidR="00240872" w:rsidRPr="006557B3">
        <w:rPr>
          <w:rFonts w:ascii="Times New Roman" w:hAnsi="Times New Roman"/>
          <w:sz w:val="24"/>
          <w:szCs w:val="24"/>
          <w:lang w:val="lv-LV"/>
        </w:rPr>
        <w:t>u</w:t>
      </w:r>
      <w:r w:rsidR="00240872" w:rsidRPr="006557B3">
        <w:rPr>
          <w:rFonts w:ascii="Times New Roman" w:hAnsi="Times New Roman"/>
          <w:bCs/>
          <w:sz w:val="24"/>
          <w:szCs w:val="24"/>
          <w:lang w:val="lv-LV"/>
        </w:rPr>
        <w:t>ztura bagātinātāju</w:t>
      </w:r>
      <w:r w:rsidR="000D5000" w:rsidRPr="006557B3">
        <w:rPr>
          <w:rFonts w:ascii="Times New Roman" w:hAnsi="Times New Roman"/>
          <w:sz w:val="24"/>
          <w:szCs w:val="24"/>
          <w:lang w:val="lv-LV"/>
        </w:rPr>
        <w:t xml:space="preserve"> apritē iesaistītajiem </w:t>
      </w:r>
      <w:r w:rsidR="00335DAD" w:rsidRPr="006557B3">
        <w:rPr>
          <w:rFonts w:ascii="Times New Roman" w:hAnsi="Times New Roman"/>
          <w:sz w:val="24"/>
          <w:szCs w:val="24"/>
          <w:lang w:val="lv-LV"/>
        </w:rPr>
        <w:t>pārtikas uzņēmējiem</w:t>
      </w:r>
      <w:r w:rsidR="00945918" w:rsidRPr="006557B3">
        <w:rPr>
          <w:rFonts w:ascii="Times New Roman" w:hAnsi="Times New Roman"/>
          <w:sz w:val="24"/>
          <w:szCs w:val="24"/>
          <w:lang w:val="lv-LV"/>
        </w:rPr>
        <w:t>.</w:t>
      </w:r>
      <w:r w:rsidR="000D5000" w:rsidRPr="006557B3">
        <w:rPr>
          <w:rFonts w:ascii="Times New Roman" w:hAnsi="Times New Roman"/>
          <w:sz w:val="24"/>
          <w:szCs w:val="24"/>
          <w:lang w:val="lv-LV"/>
        </w:rPr>
        <w:t xml:space="preserve"> Prognozējamās izmaksas</w:t>
      </w:r>
      <w:r w:rsidR="008519AC" w:rsidRPr="006557B3">
        <w:rPr>
          <w:rFonts w:ascii="Times New Roman" w:hAnsi="Times New Roman"/>
          <w:sz w:val="24"/>
          <w:szCs w:val="24"/>
          <w:lang w:val="lv-LV"/>
        </w:rPr>
        <w:t> –</w:t>
      </w:r>
      <w:r w:rsidR="000D5000" w:rsidRPr="006557B3">
        <w:rPr>
          <w:rFonts w:ascii="Times New Roman" w:hAnsi="Times New Roman"/>
          <w:sz w:val="24"/>
          <w:szCs w:val="24"/>
          <w:lang w:val="lv-LV"/>
        </w:rPr>
        <w:t xml:space="preserve"> 500</w:t>
      </w:r>
      <w:r w:rsidR="00240872" w:rsidRPr="006557B3">
        <w:rPr>
          <w:rFonts w:ascii="Times New Roman" w:hAnsi="Times New Roman"/>
          <w:sz w:val="24"/>
          <w:szCs w:val="24"/>
          <w:lang w:val="lv-LV"/>
        </w:rPr>
        <w:t>,</w:t>
      </w:r>
      <w:r w:rsidR="00F95BD3" w:rsidRPr="006557B3">
        <w:rPr>
          <w:rFonts w:ascii="Times New Roman" w:hAnsi="Times New Roman"/>
          <w:sz w:val="24"/>
          <w:szCs w:val="24"/>
          <w:lang w:val="lv-LV"/>
        </w:rPr>
        <w:t xml:space="preserve"> </w:t>
      </w:r>
      <w:r w:rsidR="00945BFD" w:rsidRPr="006557B3">
        <w:rPr>
          <w:rFonts w:ascii="Times New Roman" w:hAnsi="Times New Roman"/>
          <w:sz w:val="24"/>
          <w:szCs w:val="24"/>
          <w:lang w:val="lv-LV"/>
        </w:rPr>
        <w:t>00</w:t>
      </w:r>
      <w:r w:rsidR="008519AC" w:rsidRPr="006557B3">
        <w:rPr>
          <w:rFonts w:ascii="Times New Roman" w:hAnsi="Times New Roman"/>
          <w:sz w:val="24"/>
          <w:szCs w:val="24"/>
          <w:lang w:val="lv-LV"/>
        </w:rPr>
        <w:t xml:space="preserve"> </w:t>
      </w:r>
      <w:r w:rsidR="00F95BD3" w:rsidRPr="006557B3">
        <w:rPr>
          <w:rFonts w:ascii="Times New Roman" w:hAnsi="Times New Roman"/>
          <w:i/>
          <w:sz w:val="24"/>
          <w:szCs w:val="24"/>
          <w:lang w:val="lv-LV"/>
        </w:rPr>
        <w:t>euro.</w:t>
      </w:r>
    </w:p>
    <w:p w14:paraId="7C488AD1" w14:textId="65723B05" w:rsidR="000D5000" w:rsidRPr="006557B3" w:rsidRDefault="00945918" w:rsidP="00C05C12">
      <w:pPr>
        <w:tabs>
          <w:tab w:val="left" w:pos="8647"/>
        </w:tabs>
        <w:spacing w:after="0" w:line="240" w:lineRule="auto"/>
        <w:jc w:val="both"/>
        <w:rPr>
          <w:rFonts w:ascii="Times New Roman" w:hAnsi="Times New Roman" w:cs="Times New Roman"/>
          <w:i/>
          <w:sz w:val="24"/>
          <w:szCs w:val="24"/>
          <w:lang w:val="lv-LV"/>
        </w:rPr>
      </w:pPr>
      <w:r w:rsidRPr="006557B3">
        <w:rPr>
          <w:rFonts w:ascii="Times New Roman" w:hAnsi="Times New Roman" w:cs="Times New Roman"/>
          <w:sz w:val="24"/>
          <w:szCs w:val="24"/>
          <w:lang w:val="lv-LV"/>
        </w:rPr>
        <w:t>Nepieciešamais f</w:t>
      </w:r>
      <w:r w:rsidR="000D5000" w:rsidRPr="006557B3">
        <w:rPr>
          <w:rFonts w:ascii="Times New Roman" w:hAnsi="Times New Roman" w:cs="Times New Roman"/>
          <w:sz w:val="24"/>
          <w:szCs w:val="24"/>
          <w:lang w:val="lv-LV"/>
        </w:rPr>
        <w:t xml:space="preserve">inansējums sabiedrības informēšanas, izglītošanas nodrošināšanai PVD </w:t>
      </w:r>
      <w:r w:rsidRPr="006557B3">
        <w:rPr>
          <w:rFonts w:ascii="Times New Roman" w:hAnsi="Times New Roman" w:cs="Times New Roman"/>
          <w:sz w:val="24"/>
          <w:szCs w:val="24"/>
          <w:lang w:val="lv-LV"/>
        </w:rPr>
        <w:t xml:space="preserve">katru gadu </w:t>
      </w:r>
      <w:r w:rsidR="000D5000" w:rsidRPr="006557B3">
        <w:rPr>
          <w:rFonts w:ascii="Times New Roman" w:hAnsi="Times New Roman" w:cs="Times New Roman"/>
          <w:sz w:val="24"/>
          <w:szCs w:val="24"/>
          <w:lang w:val="lv-LV"/>
        </w:rPr>
        <w:t>kop</w:t>
      </w:r>
      <w:r w:rsidRPr="006557B3">
        <w:rPr>
          <w:rFonts w:ascii="Times New Roman" w:hAnsi="Times New Roman" w:cs="Times New Roman"/>
          <w:sz w:val="24"/>
          <w:szCs w:val="24"/>
          <w:lang w:val="lv-LV"/>
        </w:rPr>
        <w:t>um</w:t>
      </w:r>
      <w:r w:rsidR="000D5000" w:rsidRPr="006557B3">
        <w:rPr>
          <w:rFonts w:ascii="Times New Roman" w:hAnsi="Times New Roman" w:cs="Times New Roman"/>
          <w:sz w:val="24"/>
          <w:szCs w:val="24"/>
          <w:lang w:val="lv-LV"/>
        </w:rPr>
        <w:t>ā</w:t>
      </w:r>
      <w:r w:rsidRPr="006557B3">
        <w:rPr>
          <w:rFonts w:ascii="Times New Roman" w:hAnsi="Times New Roman" w:cs="Times New Roman"/>
          <w:sz w:val="24"/>
          <w:szCs w:val="24"/>
          <w:lang w:val="lv-LV"/>
        </w:rPr>
        <w:t> –</w:t>
      </w:r>
      <w:r w:rsidR="000D5000" w:rsidRPr="006557B3">
        <w:rPr>
          <w:rFonts w:ascii="Times New Roman" w:hAnsi="Times New Roman" w:cs="Times New Roman"/>
          <w:sz w:val="24"/>
          <w:szCs w:val="24"/>
          <w:lang w:val="lv-LV"/>
        </w:rPr>
        <w:t xml:space="preserve"> 13</w:t>
      </w:r>
      <w:r w:rsidR="0041380E" w:rsidRPr="006557B3">
        <w:rPr>
          <w:rFonts w:ascii="Times New Roman" w:hAnsi="Times New Roman" w:cs="Times New Roman"/>
          <w:sz w:val="24"/>
          <w:szCs w:val="24"/>
          <w:lang w:val="lv-LV"/>
        </w:rPr>
        <w:t> </w:t>
      </w:r>
      <w:r w:rsidR="000D5000" w:rsidRPr="006557B3">
        <w:rPr>
          <w:rFonts w:ascii="Times New Roman" w:hAnsi="Times New Roman" w:cs="Times New Roman"/>
          <w:sz w:val="24"/>
          <w:szCs w:val="24"/>
          <w:lang w:val="lv-LV"/>
        </w:rPr>
        <w:t>000</w:t>
      </w:r>
      <w:r w:rsidR="0041380E" w:rsidRPr="006557B3">
        <w:rPr>
          <w:rFonts w:ascii="Times New Roman" w:hAnsi="Times New Roman" w:cs="Times New Roman"/>
          <w:sz w:val="24"/>
          <w:szCs w:val="24"/>
          <w:lang w:val="lv-LV"/>
        </w:rPr>
        <w:t>,00</w:t>
      </w:r>
      <w:r w:rsidR="000D5000" w:rsidRPr="006557B3">
        <w:rPr>
          <w:rFonts w:ascii="Times New Roman" w:hAnsi="Times New Roman" w:cs="Times New Roman"/>
          <w:sz w:val="24"/>
          <w:szCs w:val="24"/>
          <w:lang w:val="lv-LV"/>
        </w:rPr>
        <w:t xml:space="preserve"> </w:t>
      </w:r>
      <w:r w:rsidR="00F95BD3" w:rsidRPr="006557B3">
        <w:rPr>
          <w:rFonts w:ascii="Times New Roman" w:hAnsi="Times New Roman" w:cs="Times New Roman"/>
          <w:i/>
          <w:sz w:val="24"/>
          <w:szCs w:val="24"/>
          <w:lang w:val="lv-LV"/>
        </w:rPr>
        <w:t>euro.</w:t>
      </w:r>
    </w:p>
    <w:p w14:paraId="165DC9B6" w14:textId="77777777" w:rsidR="00F6580C" w:rsidRPr="006557B3" w:rsidRDefault="00F6580C" w:rsidP="00C05C12">
      <w:pPr>
        <w:tabs>
          <w:tab w:val="left" w:pos="8647"/>
        </w:tabs>
        <w:spacing w:after="0" w:line="240" w:lineRule="auto"/>
        <w:jc w:val="both"/>
        <w:rPr>
          <w:rFonts w:ascii="Times New Roman" w:hAnsi="Times New Roman" w:cs="Times New Roman"/>
          <w:sz w:val="24"/>
          <w:szCs w:val="24"/>
          <w:lang w:val="lv-LV"/>
        </w:rPr>
      </w:pPr>
    </w:p>
    <w:p w14:paraId="24DAE26F" w14:textId="46BA6FD2" w:rsidR="0098443F" w:rsidRPr="006557B3" w:rsidRDefault="00082BBC" w:rsidP="00C05C12">
      <w:pPr>
        <w:keepNext/>
        <w:tabs>
          <w:tab w:val="left" w:pos="8647"/>
        </w:tabs>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t>7.</w:t>
      </w:r>
      <w:r w:rsidR="00D94266" w:rsidRPr="006557B3">
        <w:rPr>
          <w:rFonts w:ascii="Times New Roman" w:hAnsi="Times New Roman" w:cs="Times New Roman"/>
          <w:b/>
          <w:sz w:val="24"/>
          <w:szCs w:val="24"/>
          <w:lang w:val="lv-LV"/>
        </w:rPr>
        <w:t>3</w:t>
      </w:r>
      <w:r w:rsidRPr="006557B3">
        <w:rPr>
          <w:rFonts w:ascii="Times New Roman" w:hAnsi="Times New Roman" w:cs="Times New Roman"/>
          <w:b/>
          <w:sz w:val="24"/>
          <w:szCs w:val="24"/>
          <w:lang w:val="lv-LV"/>
        </w:rPr>
        <w:t xml:space="preserve">. </w:t>
      </w:r>
      <w:r w:rsidR="002F171F" w:rsidRPr="006557B3">
        <w:rPr>
          <w:rFonts w:ascii="Times New Roman" w:hAnsi="Times New Roman" w:cs="Times New Roman"/>
          <w:b/>
          <w:sz w:val="24"/>
          <w:szCs w:val="24"/>
          <w:lang w:val="lv-LV"/>
        </w:rPr>
        <w:t>M</w:t>
      </w:r>
      <w:r w:rsidR="00B442AB" w:rsidRPr="006557B3">
        <w:rPr>
          <w:rFonts w:ascii="Times New Roman" w:hAnsi="Times New Roman" w:cs="Times New Roman"/>
          <w:b/>
          <w:sz w:val="24"/>
          <w:szCs w:val="24"/>
          <w:lang w:val="lv-LV"/>
        </w:rPr>
        <w:t>ūsdienu prasībām atbilstoš</w:t>
      </w:r>
      <w:r w:rsidR="00BD5D80" w:rsidRPr="006557B3">
        <w:rPr>
          <w:rFonts w:ascii="Times New Roman" w:hAnsi="Times New Roman" w:cs="Times New Roman"/>
          <w:b/>
          <w:sz w:val="24"/>
          <w:szCs w:val="24"/>
          <w:lang w:val="lv-LV"/>
        </w:rPr>
        <w:t xml:space="preserve">a </w:t>
      </w:r>
      <w:r w:rsidR="00B225A5" w:rsidRPr="006557B3">
        <w:rPr>
          <w:rFonts w:ascii="Times New Roman" w:hAnsi="Times New Roman" w:cs="Times New Roman"/>
          <w:b/>
          <w:sz w:val="24"/>
          <w:szCs w:val="24"/>
          <w:lang w:val="lv-LV"/>
        </w:rPr>
        <w:t xml:space="preserve">specifisko pārtikas produktu informācijas sistēma </w:t>
      </w:r>
      <w:r w:rsidR="008519AC" w:rsidRPr="006557B3">
        <w:rPr>
          <w:rFonts w:ascii="Times New Roman" w:hAnsi="Times New Roman" w:cs="Times New Roman"/>
          <w:b/>
          <w:sz w:val="24"/>
          <w:szCs w:val="24"/>
          <w:lang w:val="lv-LV"/>
        </w:rPr>
        <w:t>–</w:t>
      </w:r>
      <w:r w:rsidR="00F279F0" w:rsidRPr="006557B3">
        <w:rPr>
          <w:rFonts w:ascii="Times New Roman" w:hAnsi="Times New Roman" w:cs="Times New Roman"/>
          <w:b/>
          <w:sz w:val="24"/>
          <w:szCs w:val="24"/>
          <w:lang w:val="lv-LV"/>
        </w:rPr>
        <w:t xml:space="preserve"> </w:t>
      </w:r>
      <w:r w:rsidR="008519AC" w:rsidRPr="006557B3">
        <w:rPr>
          <w:rFonts w:ascii="Times New Roman" w:hAnsi="Times New Roman" w:cs="Times New Roman"/>
          <w:b/>
          <w:sz w:val="24"/>
          <w:szCs w:val="24"/>
          <w:lang w:val="lv-LV"/>
        </w:rPr>
        <w:t>r</w:t>
      </w:r>
      <w:r w:rsidR="00B225A5" w:rsidRPr="006557B3">
        <w:rPr>
          <w:rFonts w:ascii="Times New Roman" w:hAnsi="Times New Roman" w:cs="Times New Roman"/>
          <w:b/>
          <w:sz w:val="24"/>
          <w:szCs w:val="24"/>
          <w:lang w:val="lv-LV"/>
        </w:rPr>
        <w:t xml:space="preserve">eģistrs </w:t>
      </w:r>
    </w:p>
    <w:p w14:paraId="7C2D786A" w14:textId="4FB0186E" w:rsidR="002E3A1F" w:rsidRPr="006557B3" w:rsidRDefault="00945918" w:rsidP="00C05C12">
      <w:pPr>
        <w:keepNext/>
        <w:tabs>
          <w:tab w:val="left" w:pos="8647"/>
        </w:tabs>
        <w:spacing w:after="0" w:line="240" w:lineRule="auto"/>
        <w:ind w:firstLine="709"/>
        <w:jc w:val="both"/>
        <w:rPr>
          <w:rFonts w:ascii="Times New Roman" w:hAnsi="Times New Roman" w:cs="Times New Roman"/>
          <w:b/>
          <w:sz w:val="24"/>
          <w:szCs w:val="24"/>
          <w:lang w:val="lv-LV"/>
        </w:rPr>
      </w:pPr>
      <w:r w:rsidRPr="006557B3">
        <w:rPr>
          <w:rFonts w:ascii="Times New Roman" w:hAnsi="Times New Roman" w:cs="Times New Roman"/>
          <w:sz w:val="24"/>
          <w:szCs w:val="24"/>
          <w:lang w:val="lv-LV"/>
        </w:rPr>
        <w:t>Patlaban</w:t>
      </w:r>
      <w:r w:rsidR="00101221" w:rsidRPr="006557B3">
        <w:rPr>
          <w:rFonts w:ascii="Times New Roman" w:hAnsi="Times New Roman" w:cs="Times New Roman"/>
          <w:sz w:val="24"/>
          <w:szCs w:val="24"/>
          <w:lang w:val="lv-LV"/>
        </w:rPr>
        <w:t xml:space="preserve"> </w:t>
      </w:r>
      <w:r w:rsidR="00946326" w:rsidRPr="006557B3">
        <w:rPr>
          <w:rFonts w:ascii="Times New Roman" w:hAnsi="Times New Roman" w:cs="Times New Roman"/>
          <w:sz w:val="24"/>
          <w:szCs w:val="24"/>
          <w:lang w:val="lv-LV"/>
        </w:rPr>
        <w:t>PVD Uztura bagātinātāju reģistrs (</w:t>
      </w:r>
      <w:r w:rsidRPr="006557B3">
        <w:rPr>
          <w:rFonts w:ascii="Times New Roman" w:hAnsi="Times New Roman" w:cs="Times New Roman"/>
          <w:sz w:val="24"/>
          <w:szCs w:val="24"/>
          <w:lang w:val="lv-LV"/>
        </w:rPr>
        <w:t xml:space="preserve">turpmāk – </w:t>
      </w:r>
      <w:r w:rsidR="00946326" w:rsidRPr="006557B3">
        <w:rPr>
          <w:rFonts w:ascii="Times New Roman" w:hAnsi="Times New Roman" w:cs="Times New Roman"/>
          <w:sz w:val="24"/>
          <w:szCs w:val="24"/>
          <w:lang w:val="lv-LV"/>
        </w:rPr>
        <w:t>UB reģistrs) satur informāciju par uztura bagātinātājiem, kas tiek laisti Latvijas tirgū.</w:t>
      </w:r>
      <w:r w:rsidR="002E3A1F" w:rsidRPr="006557B3">
        <w:rPr>
          <w:rFonts w:ascii="Times New Roman" w:hAnsi="Times New Roman" w:cs="Times New Roman"/>
          <w:sz w:val="24"/>
          <w:szCs w:val="24"/>
          <w:lang w:val="lv-LV"/>
        </w:rPr>
        <w:t xml:space="preserve"> Reģistrs ir būtisks instruments un palīgs, kā nodrošināt riska analīzi attiecībā uz uztura bagātinātājiem, plānojot mērķtiecīgu uztura bagātinātāju kontroli un uzraudzību</w:t>
      </w:r>
      <w:r w:rsidRPr="006557B3">
        <w:rPr>
          <w:rFonts w:ascii="Times New Roman" w:hAnsi="Times New Roman" w:cs="Times New Roman"/>
          <w:sz w:val="24"/>
          <w:szCs w:val="24"/>
          <w:lang w:val="lv-LV"/>
        </w:rPr>
        <w:t xml:space="preserve"> un</w:t>
      </w:r>
      <w:r w:rsidR="002E3A1F" w:rsidRPr="006557B3">
        <w:rPr>
          <w:rFonts w:ascii="Times New Roman" w:hAnsi="Times New Roman" w:cs="Times New Roman"/>
          <w:sz w:val="24"/>
          <w:szCs w:val="24"/>
          <w:lang w:val="lv-LV"/>
        </w:rPr>
        <w:t xml:space="preserve"> nodrošinot efektīvu komunikāciju starp visām ieinteresētājām pusēm.</w:t>
      </w:r>
    </w:p>
    <w:p w14:paraId="55A03F55" w14:textId="0E4EF2D3" w:rsidR="004D7C25" w:rsidRPr="006557B3" w:rsidRDefault="00946326"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UB</w:t>
      </w:r>
      <w:r w:rsidR="0098443F" w:rsidRPr="006557B3">
        <w:rPr>
          <w:rFonts w:ascii="Times New Roman" w:hAnsi="Times New Roman" w:cs="Times New Roman"/>
          <w:sz w:val="24"/>
          <w:szCs w:val="24"/>
          <w:lang w:val="lv-LV"/>
        </w:rPr>
        <w:t xml:space="preserve"> reģistrs </w:t>
      </w:r>
      <w:r w:rsidRPr="006557B3">
        <w:rPr>
          <w:rFonts w:ascii="Times New Roman" w:hAnsi="Times New Roman" w:cs="Times New Roman"/>
          <w:sz w:val="24"/>
          <w:szCs w:val="24"/>
          <w:lang w:val="lv-LV"/>
        </w:rPr>
        <w:t xml:space="preserve">tika izstrādāts </w:t>
      </w:r>
      <w:r w:rsidR="00AE14D3" w:rsidRPr="006557B3">
        <w:rPr>
          <w:rFonts w:ascii="Times New Roman" w:hAnsi="Times New Roman" w:cs="Times New Roman"/>
          <w:sz w:val="24"/>
          <w:szCs w:val="24"/>
          <w:lang w:val="lv-LV"/>
        </w:rPr>
        <w:t>1999</w:t>
      </w:r>
      <w:r w:rsidR="00945918" w:rsidRPr="006557B3">
        <w:rPr>
          <w:rFonts w:ascii="Times New Roman" w:hAnsi="Times New Roman" w:cs="Times New Roman"/>
          <w:sz w:val="24"/>
          <w:szCs w:val="24"/>
          <w:lang w:val="lv-LV"/>
        </w:rPr>
        <w:t>.</w:t>
      </w:r>
      <w:r w:rsidR="007D5048" w:rsidRPr="006557B3">
        <w:rPr>
          <w:rFonts w:ascii="Times New Roman" w:hAnsi="Times New Roman" w:cs="Times New Roman"/>
          <w:sz w:val="24"/>
          <w:szCs w:val="24"/>
          <w:lang w:val="lv-LV"/>
        </w:rPr>
        <w:t xml:space="preserve"> gad</w:t>
      </w:r>
      <w:r w:rsidR="00AE14D3" w:rsidRPr="006557B3">
        <w:rPr>
          <w:rFonts w:ascii="Times New Roman" w:hAnsi="Times New Roman" w:cs="Times New Roman"/>
          <w:sz w:val="24"/>
          <w:szCs w:val="24"/>
          <w:lang w:val="lv-LV"/>
        </w:rPr>
        <w:t>ā</w:t>
      </w:r>
      <w:r w:rsidR="00945918" w:rsidRPr="006557B3">
        <w:rPr>
          <w:rFonts w:ascii="Times New Roman" w:hAnsi="Times New Roman" w:cs="Times New Roman"/>
          <w:sz w:val="24"/>
          <w:szCs w:val="24"/>
          <w:lang w:val="lv-LV"/>
        </w:rPr>
        <w:t>,</w:t>
      </w:r>
      <w:r w:rsidR="00CE55EF" w:rsidRPr="006557B3">
        <w:rPr>
          <w:rFonts w:ascii="Times New Roman" w:hAnsi="Times New Roman" w:cs="Times New Roman"/>
          <w:sz w:val="24"/>
          <w:szCs w:val="24"/>
          <w:lang w:val="lv-LV"/>
        </w:rPr>
        <w:t xml:space="preserve"> un </w:t>
      </w:r>
      <w:r w:rsidR="00AE14D3" w:rsidRPr="006557B3">
        <w:rPr>
          <w:rFonts w:ascii="Times New Roman" w:hAnsi="Times New Roman" w:cs="Times New Roman"/>
          <w:sz w:val="24"/>
          <w:szCs w:val="24"/>
          <w:lang w:val="lv-LV"/>
        </w:rPr>
        <w:t>2016.</w:t>
      </w:r>
      <w:r w:rsidR="007076DB">
        <w:rPr>
          <w:rFonts w:ascii="Times New Roman" w:hAnsi="Times New Roman" w:cs="Times New Roman"/>
          <w:sz w:val="24"/>
          <w:szCs w:val="24"/>
          <w:lang w:val="lv-LV"/>
        </w:rPr>
        <w:t xml:space="preserve"> </w:t>
      </w:r>
      <w:r w:rsidR="00CE55EF" w:rsidRPr="006557B3">
        <w:rPr>
          <w:rFonts w:ascii="Times New Roman" w:hAnsi="Times New Roman" w:cs="Times New Roman"/>
          <w:sz w:val="24"/>
          <w:szCs w:val="24"/>
          <w:lang w:val="lv-LV"/>
        </w:rPr>
        <w:t xml:space="preserve">gadā tika </w:t>
      </w:r>
      <w:r w:rsidR="00945918" w:rsidRPr="006557B3">
        <w:rPr>
          <w:rFonts w:ascii="Times New Roman" w:hAnsi="Times New Roman" w:cs="Times New Roman"/>
          <w:sz w:val="24"/>
          <w:szCs w:val="24"/>
          <w:lang w:val="lv-LV"/>
        </w:rPr>
        <w:t>izdarītas</w:t>
      </w:r>
      <w:r w:rsidR="00CE55EF" w:rsidRPr="006557B3">
        <w:rPr>
          <w:rFonts w:ascii="Times New Roman" w:hAnsi="Times New Roman" w:cs="Times New Roman"/>
          <w:sz w:val="24"/>
          <w:szCs w:val="24"/>
          <w:lang w:val="lv-LV"/>
        </w:rPr>
        <w:t xml:space="preserve"> pēdējās izmaiņas programmatūrā.</w:t>
      </w:r>
      <w:r w:rsidR="00D329B2" w:rsidRPr="006557B3">
        <w:rPr>
          <w:rFonts w:ascii="Times New Roman" w:hAnsi="Times New Roman" w:cs="Times New Roman"/>
          <w:sz w:val="24"/>
          <w:szCs w:val="24"/>
          <w:lang w:val="lv-LV"/>
        </w:rPr>
        <w:t xml:space="preserve"> </w:t>
      </w:r>
      <w:r w:rsidR="0098443F" w:rsidRPr="006557B3">
        <w:rPr>
          <w:rFonts w:ascii="Times New Roman" w:hAnsi="Times New Roman" w:cs="Times New Roman"/>
          <w:sz w:val="24"/>
          <w:szCs w:val="24"/>
          <w:lang w:val="lv-LV"/>
        </w:rPr>
        <w:t>Daļa servera programmatūras ir nedroša un neatbilst mūsdienu prasībām, jo esošā risinājuma prasību dēļ nav atjaunināma uz jaunākajām izstrādātāja atbalstītām versijām.</w:t>
      </w:r>
      <w:r w:rsidR="004D7C25" w:rsidRPr="006557B3">
        <w:rPr>
          <w:rFonts w:ascii="Times New Roman" w:hAnsi="Times New Roman" w:cs="Times New Roman"/>
          <w:sz w:val="24"/>
          <w:szCs w:val="24"/>
          <w:lang w:val="lv-LV"/>
        </w:rPr>
        <w:t xml:space="preserve"> Tehniskais risinājums nepieļauj papildu informācijas lauku pievienošanu, informācijas grupēšanu</w:t>
      </w:r>
      <w:r w:rsidR="00945918" w:rsidRPr="006557B3">
        <w:rPr>
          <w:rFonts w:ascii="Times New Roman" w:hAnsi="Times New Roman" w:cs="Times New Roman"/>
          <w:sz w:val="24"/>
          <w:szCs w:val="24"/>
          <w:lang w:val="lv-LV"/>
        </w:rPr>
        <w:t xml:space="preserve"> un</w:t>
      </w:r>
      <w:r w:rsidR="004D7C25" w:rsidRPr="006557B3">
        <w:rPr>
          <w:rFonts w:ascii="Times New Roman" w:hAnsi="Times New Roman" w:cs="Times New Roman"/>
          <w:sz w:val="24"/>
          <w:szCs w:val="24"/>
          <w:lang w:val="lv-LV"/>
        </w:rPr>
        <w:t xml:space="preserve"> esošo lauku modificēšanu.</w:t>
      </w:r>
    </w:p>
    <w:p w14:paraId="7FAA79DD" w14:textId="068C155E" w:rsidR="00B86943" w:rsidRPr="006557B3" w:rsidRDefault="0098443F"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Sākotnēji programmatūra izstrādāta kā viena lietotāja </w:t>
      </w:r>
      <w:r w:rsidR="008519AC" w:rsidRPr="006557B3">
        <w:rPr>
          <w:rFonts w:ascii="Times New Roman" w:hAnsi="Times New Roman" w:cs="Times New Roman"/>
          <w:sz w:val="24"/>
          <w:szCs w:val="24"/>
          <w:lang w:val="lv-LV"/>
        </w:rPr>
        <w:t>lietotne</w:t>
      </w:r>
      <w:r w:rsidRPr="006557B3">
        <w:rPr>
          <w:rFonts w:ascii="Times New Roman" w:hAnsi="Times New Roman" w:cs="Times New Roman"/>
          <w:sz w:val="24"/>
          <w:szCs w:val="24"/>
          <w:lang w:val="lv-LV"/>
        </w:rPr>
        <w:t>, k</w:t>
      </w:r>
      <w:r w:rsidR="00945918" w:rsidRPr="006557B3">
        <w:rPr>
          <w:rFonts w:ascii="Times New Roman" w:hAnsi="Times New Roman" w:cs="Times New Roman"/>
          <w:sz w:val="24"/>
          <w:szCs w:val="24"/>
          <w:lang w:val="lv-LV"/>
        </w:rPr>
        <w:t>o</w:t>
      </w:r>
      <w:r w:rsidRPr="006557B3">
        <w:rPr>
          <w:rFonts w:ascii="Times New Roman" w:hAnsi="Times New Roman" w:cs="Times New Roman"/>
          <w:sz w:val="24"/>
          <w:szCs w:val="24"/>
          <w:lang w:val="lv-LV"/>
        </w:rPr>
        <w:t xml:space="preserve"> pēcāk mēģināts pielāgot vairākiem lietotājiem. Esošais risinājums nenodrošina drošības prasībām atbilstošu vairāku lietotāju autentifikāciju, </w:t>
      </w:r>
      <w:r w:rsidR="00945918" w:rsidRPr="006557B3">
        <w:rPr>
          <w:rFonts w:ascii="Times New Roman" w:hAnsi="Times New Roman" w:cs="Times New Roman"/>
          <w:sz w:val="24"/>
          <w:szCs w:val="24"/>
          <w:lang w:val="lv-LV"/>
        </w:rPr>
        <w:t>un</w:t>
      </w:r>
      <w:r w:rsidRPr="006557B3">
        <w:rPr>
          <w:rFonts w:ascii="Times New Roman" w:hAnsi="Times New Roman" w:cs="Times New Roman"/>
          <w:sz w:val="24"/>
          <w:szCs w:val="24"/>
          <w:lang w:val="lv-LV"/>
        </w:rPr>
        <w:t xml:space="preserve"> nav iespējama </w:t>
      </w:r>
      <w:r w:rsidR="00945918" w:rsidRPr="006557B3">
        <w:rPr>
          <w:rFonts w:ascii="Times New Roman" w:hAnsi="Times New Roman" w:cs="Times New Roman"/>
          <w:sz w:val="24"/>
          <w:szCs w:val="24"/>
          <w:lang w:val="lv-LV"/>
        </w:rPr>
        <w:t xml:space="preserve">arī </w:t>
      </w:r>
      <w:r w:rsidRPr="006557B3">
        <w:rPr>
          <w:rFonts w:ascii="Times New Roman" w:hAnsi="Times New Roman" w:cs="Times New Roman"/>
          <w:sz w:val="24"/>
          <w:szCs w:val="24"/>
          <w:lang w:val="lv-LV"/>
        </w:rPr>
        <w:t>dažādu līmeņu lietotāju tiesību piešķiršana</w:t>
      </w:r>
      <w:r w:rsidR="00945918" w:rsidRPr="006557B3">
        <w:rPr>
          <w:rFonts w:ascii="Times New Roman" w:hAnsi="Times New Roman" w:cs="Times New Roman"/>
          <w:sz w:val="24"/>
          <w:szCs w:val="24"/>
          <w:lang w:val="lv-LV"/>
        </w:rPr>
        <w:t xml:space="preserve"> un</w:t>
      </w:r>
      <w:r w:rsidRPr="006557B3">
        <w:rPr>
          <w:rFonts w:ascii="Times New Roman" w:hAnsi="Times New Roman" w:cs="Times New Roman"/>
          <w:sz w:val="24"/>
          <w:szCs w:val="24"/>
          <w:lang w:val="lv-LV"/>
        </w:rPr>
        <w:t xml:space="preserve"> administratora tiesību nodalīšana no lietotāja. </w:t>
      </w:r>
    </w:p>
    <w:p w14:paraId="4A121942" w14:textId="707D2ACB" w:rsidR="00B225A5" w:rsidRPr="006557B3" w:rsidRDefault="00B225A5"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Esošais UB reģistrs ir tehniski novecojis, nav izmantojams informācijas apstrādei par specifiskajiem pārtikas produktiem (diētisk</w:t>
      </w:r>
      <w:r w:rsidR="00945918" w:rsidRPr="006557B3">
        <w:rPr>
          <w:rFonts w:ascii="Times New Roman" w:hAnsi="Times New Roman" w:cs="Times New Roman"/>
          <w:sz w:val="24"/>
          <w:szCs w:val="24"/>
          <w:lang w:val="lv-LV"/>
        </w:rPr>
        <w:t>o</w:t>
      </w:r>
      <w:r w:rsidRPr="006557B3">
        <w:rPr>
          <w:rFonts w:ascii="Times New Roman" w:hAnsi="Times New Roman" w:cs="Times New Roman"/>
          <w:sz w:val="24"/>
          <w:szCs w:val="24"/>
          <w:lang w:val="lv-LV"/>
        </w:rPr>
        <w:t xml:space="preserve"> pārtik</w:t>
      </w:r>
      <w:r w:rsidR="00945918" w:rsidRPr="006557B3">
        <w:rPr>
          <w:rFonts w:ascii="Times New Roman" w:hAnsi="Times New Roman" w:cs="Times New Roman"/>
          <w:sz w:val="24"/>
          <w:szCs w:val="24"/>
          <w:lang w:val="lv-LV"/>
        </w:rPr>
        <w:t>u</w:t>
      </w:r>
      <w:r w:rsidRPr="006557B3">
        <w:rPr>
          <w:rFonts w:ascii="Times New Roman" w:hAnsi="Times New Roman" w:cs="Times New Roman"/>
          <w:sz w:val="24"/>
          <w:szCs w:val="24"/>
          <w:lang w:val="lv-LV"/>
        </w:rPr>
        <w:t>, medicīnisk</w:t>
      </w:r>
      <w:r w:rsidR="00C841AC" w:rsidRPr="006557B3">
        <w:rPr>
          <w:rFonts w:ascii="Times New Roman" w:hAnsi="Times New Roman" w:cs="Times New Roman"/>
          <w:sz w:val="24"/>
          <w:szCs w:val="24"/>
          <w:lang w:val="lv-LV"/>
        </w:rPr>
        <w:t>iem nolūkiem paredzēt</w:t>
      </w:r>
      <w:r w:rsidR="00945918" w:rsidRPr="006557B3">
        <w:rPr>
          <w:rFonts w:ascii="Times New Roman" w:hAnsi="Times New Roman" w:cs="Times New Roman"/>
          <w:sz w:val="24"/>
          <w:szCs w:val="24"/>
          <w:lang w:val="lv-LV"/>
        </w:rPr>
        <w:t>u</w:t>
      </w:r>
      <w:r w:rsidRPr="006557B3">
        <w:rPr>
          <w:rFonts w:ascii="Times New Roman" w:hAnsi="Times New Roman" w:cs="Times New Roman"/>
          <w:sz w:val="24"/>
          <w:szCs w:val="24"/>
          <w:lang w:val="lv-LV"/>
        </w:rPr>
        <w:t xml:space="preserve"> pārtik</w:t>
      </w:r>
      <w:r w:rsidR="00945918" w:rsidRPr="006557B3">
        <w:rPr>
          <w:rFonts w:ascii="Times New Roman" w:hAnsi="Times New Roman" w:cs="Times New Roman"/>
          <w:sz w:val="24"/>
          <w:szCs w:val="24"/>
          <w:lang w:val="lv-LV"/>
        </w:rPr>
        <w:t>u</w:t>
      </w:r>
      <w:r w:rsidRPr="006557B3">
        <w:rPr>
          <w:rFonts w:ascii="Times New Roman" w:hAnsi="Times New Roman" w:cs="Times New Roman"/>
          <w:sz w:val="24"/>
          <w:szCs w:val="24"/>
          <w:lang w:val="lv-LV"/>
        </w:rPr>
        <w:t>, maisījumi</w:t>
      </w:r>
      <w:r w:rsidR="00945918" w:rsidRPr="006557B3">
        <w:rPr>
          <w:rFonts w:ascii="Times New Roman" w:hAnsi="Times New Roman" w:cs="Times New Roman"/>
          <w:sz w:val="24"/>
          <w:szCs w:val="24"/>
          <w:lang w:val="lv-LV"/>
        </w:rPr>
        <w:t>em</w:t>
      </w:r>
      <w:r w:rsidRPr="006557B3">
        <w:rPr>
          <w:rFonts w:ascii="Times New Roman" w:hAnsi="Times New Roman" w:cs="Times New Roman"/>
          <w:sz w:val="24"/>
          <w:szCs w:val="24"/>
          <w:lang w:val="lv-LV"/>
        </w:rPr>
        <w:t xml:space="preserve"> zīdaiņiem, pilnīgi</w:t>
      </w:r>
      <w:r w:rsidR="00945918" w:rsidRPr="006557B3">
        <w:rPr>
          <w:rFonts w:ascii="Times New Roman" w:hAnsi="Times New Roman" w:cs="Times New Roman"/>
          <w:sz w:val="24"/>
          <w:szCs w:val="24"/>
          <w:lang w:val="lv-LV"/>
        </w:rPr>
        <w:t>em</w:t>
      </w:r>
      <w:r w:rsidRPr="006557B3">
        <w:rPr>
          <w:rFonts w:ascii="Times New Roman" w:hAnsi="Times New Roman" w:cs="Times New Roman"/>
          <w:sz w:val="24"/>
          <w:szCs w:val="24"/>
          <w:lang w:val="lv-LV"/>
        </w:rPr>
        <w:t xml:space="preserve"> uztura aizstājēji</w:t>
      </w:r>
      <w:r w:rsidR="00945918" w:rsidRPr="006557B3">
        <w:rPr>
          <w:rFonts w:ascii="Times New Roman" w:hAnsi="Times New Roman" w:cs="Times New Roman"/>
          <w:sz w:val="24"/>
          <w:szCs w:val="24"/>
          <w:lang w:val="lv-LV"/>
        </w:rPr>
        <w:t>em</w:t>
      </w:r>
      <w:r w:rsidRPr="006557B3">
        <w:rPr>
          <w:rFonts w:ascii="Times New Roman" w:hAnsi="Times New Roman" w:cs="Times New Roman"/>
          <w:sz w:val="24"/>
          <w:szCs w:val="24"/>
          <w:lang w:val="lv-LV"/>
        </w:rPr>
        <w:t xml:space="preserve"> svara kontrolei, dabīg</w:t>
      </w:r>
      <w:r w:rsidR="00945918" w:rsidRPr="006557B3">
        <w:rPr>
          <w:rFonts w:ascii="Times New Roman" w:hAnsi="Times New Roman" w:cs="Times New Roman"/>
          <w:sz w:val="24"/>
          <w:szCs w:val="24"/>
          <w:lang w:val="lv-LV"/>
        </w:rPr>
        <w:t>o</w:t>
      </w:r>
      <w:r w:rsidRPr="006557B3">
        <w:rPr>
          <w:rFonts w:ascii="Times New Roman" w:hAnsi="Times New Roman" w:cs="Times New Roman"/>
          <w:sz w:val="24"/>
          <w:szCs w:val="24"/>
          <w:lang w:val="lv-LV"/>
        </w:rPr>
        <w:t xml:space="preserve"> minerālūden</w:t>
      </w:r>
      <w:r w:rsidR="00945918" w:rsidRPr="006557B3">
        <w:rPr>
          <w:rFonts w:ascii="Times New Roman" w:hAnsi="Times New Roman" w:cs="Times New Roman"/>
          <w:sz w:val="24"/>
          <w:szCs w:val="24"/>
          <w:lang w:val="lv-LV"/>
        </w:rPr>
        <w:t>i</w:t>
      </w:r>
      <w:r w:rsidRPr="006557B3">
        <w:rPr>
          <w:rFonts w:ascii="Times New Roman" w:hAnsi="Times New Roman" w:cs="Times New Roman"/>
          <w:sz w:val="24"/>
          <w:szCs w:val="24"/>
          <w:lang w:val="lv-LV"/>
        </w:rPr>
        <w:t>), kā arī efektīvas informācijas apmaiņas nodrošināšanai ar sabiedrību – patērētājiem un specifisko pārtikas produktu apritē iesaistītajām personām. UB reģistra uzlabojumi nav iespējami, jo izstrādātājs vairs nepastāv.</w:t>
      </w:r>
    </w:p>
    <w:p w14:paraId="5FB8ABCC" w14:textId="51207695" w:rsidR="00BB3617" w:rsidRPr="006557B3" w:rsidRDefault="00BB3617" w:rsidP="00C05C12">
      <w:pPr>
        <w:tabs>
          <w:tab w:val="left" w:pos="8647"/>
        </w:tabs>
        <w:spacing w:after="0" w:line="240" w:lineRule="auto"/>
        <w:ind w:firstLine="709"/>
        <w:jc w:val="both"/>
        <w:rPr>
          <w:rFonts w:ascii="Times New Roman" w:hAnsi="Times New Roman" w:cs="Times New Roman"/>
          <w:b/>
          <w:sz w:val="24"/>
          <w:szCs w:val="24"/>
          <w:lang w:val="lv-LV"/>
        </w:rPr>
      </w:pPr>
      <w:r w:rsidRPr="006557B3">
        <w:rPr>
          <w:rFonts w:ascii="Times New Roman" w:hAnsi="Times New Roman" w:cs="Times New Roman"/>
          <w:sz w:val="24"/>
          <w:szCs w:val="24"/>
          <w:lang w:val="lv-LV"/>
        </w:rPr>
        <w:t xml:space="preserve">UB reģistrs tiek uzturēts paļaujoties uz dienesta </w:t>
      </w:r>
      <w:r w:rsidR="002B01EB" w:rsidRPr="006557B3">
        <w:rPr>
          <w:rFonts w:ascii="Times New Roman" w:hAnsi="Times New Roman" w:cs="Times New Roman"/>
          <w:sz w:val="24"/>
          <w:szCs w:val="24"/>
          <w:lang w:val="lv-LV"/>
        </w:rPr>
        <w:t xml:space="preserve">Informācijas </w:t>
      </w:r>
      <w:r w:rsidRPr="006557B3">
        <w:rPr>
          <w:rFonts w:ascii="Times New Roman" w:hAnsi="Times New Roman" w:cs="Times New Roman"/>
          <w:sz w:val="24"/>
          <w:szCs w:val="24"/>
          <w:lang w:val="lv-LV"/>
        </w:rPr>
        <w:t>tehnoloģiju (IT) speciālist</w:t>
      </w:r>
      <w:r w:rsidR="004F41C1" w:rsidRPr="006557B3">
        <w:rPr>
          <w:rFonts w:ascii="Times New Roman" w:hAnsi="Times New Roman" w:cs="Times New Roman"/>
          <w:sz w:val="24"/>
          <w:szCs w:val="24"/>
          <w:lang w:val="lv-LV"/>
        </w:rPr>
        <w:t>iem</w:t>
      </w:r>
      <w:r w:rsidRPr="006557B3">
        <w:rPr>
          <w:rFonts w:ascii="Times New Roman" w:hAnsi="Times New Roman" w:cs="Times New Roman"/>
          <w:sz w:val="24"/>
          <w:szCs w:val="24"/>
          <w:lang w:val="lv-LV"/>
        </w:rPr>
        <w:t xml:space="preserve"> </w:t>
      </w:r>
      <w:r w:rsidR="004F41C1" w:rsidRPr="006557B3">
        <w:rPr>
          <w:rFonts w:ascii="Times New Roman" w:hAnsi="Times New Roman"/>
          <w:color w:val="000000" w:themeColor="text1"/>
          <w:sz w:val="24"/>
          <w:szCs w:val="24"/>
          <w:lang w:val="lv-LV" w:eastAsia="lv-LV"/>
        </w:rPr>
        <w:t>darba slodzes ietvaros</w:t>
      </w:r>
      <w:r w:rsidRPr="006557B3">
        <w:rPr>
          <w:rFonts w:ascii="Times New Roman" w:hAnsi="Times New Roman" w:cs="Times New Roman"/>
          <w:color w:val="000000" w:themeColor="text1"/>
          <w:sz w:val="24"/>
          <w:szCs w:val="24"/>
          <w:lang w:val="lv-LV"/>
        </w:rPr>
        <w:t xml:space="preserve">. </w:t>
      </w:r>
      <w:r w:rsidRPr="006557B3">
        <w:rPr>
          <w:rFonts w:ascii="Times New Roman" w:hAnsi="Times New Roman" w:cs="Times New Roman"/>
          <w:sz w:val="24"/>
          <w:szCs w:val="24"/>
          <w:lang w:val="lv-LV"/>
        </w:rPr>
        <w:t xml:space="preserve">UB reģistra uzturēšanai finansējums nav bijis piešķirts un nav arī šobrīd. </w:t>
      </w:r>
    </w:p>
    <w:p w14:paraId="7CD9FC99" w14:textId="20B2D306" w:rsidR="0098443F" w:rsidRPr="006557B3" w:rsidRDefault="0098443F" w:rsidP="007076DB">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Esošais risinājums neatbilst Ministru kabineta </w:t>
      </w:r>
      <w:r w:rsidR="00945918" w:rsidRPr="006557B3">
        <w:rPr>
          <w:rFonts w:ascii="Times New Roman" w:hAnsi="Times New Roman" w:cs="Times New Roman"/>
          <w:sz w:val="24"/>
          <w:szCs w:val="24"/>
          <w:lang w:val="lv-LV"/>
        </w:rPr>
        <w:t xml:space="preserve">2015. gada 28. jūlija </w:t>
      </w:r>
      <w:r w:rsidRPr="006557B3">
        <w:rPr>
          <w:rFonts w:ascii="Times New Roman" w:hAnsi="Times New Roman" w:cs="Times New Roman"/>
          <w:sz w:val="24"/>
          <w:szCs w:val="24"/>
          <w:lang w:val="lv-LV"/>
        </w:rPr>
        <w:t>noteikumiem Nr.442 “Kārtība, kādā tiek nodrošināta informācijas un komunikācijas tehnoloģiju sistēmu atbilstība minimālajām drošības prasībām”.</w:t>
      </w:r>
      <w:r w:rsidR="007076DB">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 xml:space="preserve">Ievērojot </w:t>
      </w:r>
      <w:r w:rsidR="00945918" w:rsidRPr="006557B3">
        <w:rPr>
          <w:rFonts w:ascii="Times New Roman" w:hAnsi="Times New Roman" w:cs="Times New Roman"/>
          <w:sz w:val="24"/>
          <w:szCs w:val="24"/>
          <w:lang w:val="lv-LV"/>
        </w:rPr>
        <w:t xml:space="preserve">šo </w:t>
      </w:r>
      <w:r w:rsidRPr="006557B3">
        <w:rPr>
          <w:rFonts w:ascii="Times New Roman" w:hAnsi="Times New Roman" w:cs="Times New Roman"/>
          <w:sz w:val="24"/>
          <w:szCs w:val="24"/>
          <w:lang w:val="lv-LV"/>
        </w:rPr>
        <w:t>noteikumu prasības, esošā sistēma jāatslēdz 2019. gada 1. janvārī.</w:t>
      </w:r>
    </w:p>
    <w:p w14:paraId="51BC64A7" w14:textId="77777777" w:rsidR="00C841AC" w:rsidRPr="006557B3" w:rsidRDefault="00C841AC" w:rsidP="00C05C12">
      <w:pPr>
        <w:tabs>
          <w:tab w:val="left" w:pos="8647"/>
        </w:tabs>
        <w:spacing w:after="0" w:line="240" w:lineRule="auto"/>
        <w:jc w:val="both"/>
        <w:rPr>
          <w:rFonts w:ascii="Times New Roman" w:hAnsi="Times New Roman" w:cs="Times New Roman"/>
          <w:sz w:val="24"/>
          <w:szCs w:val="24"/>
          <w:lang w:val="lv-LV"/>
        </w:rPr>
      </w:pPr>
    </w:p>
    <w:p w14:paraId="436E4A3C" w14:textId="0969EEA9" w:rsidR="0098443F" w:rsidRPr="006557B3" w:rsidRDefault="004E5CDA" w:rsidP="00C05C12">
      <w:pPr>
        <w:keepNext/>
        <w:tabs>
          <w:tab w:val="left" w:pos="8647"/>
        </w:tabs>
        <w:spacing w:after="0"/>
        <w:jc w:val="both"/>
        <w:rPr>
          <w:rFonts w:ascii="Times New Roman" w:hAnsi="Times New Roman" w:cs="Times New Roman"/>
          <w:b/>
          <w:sz w:val="24"/>
          <w:szCs w:val="24"/>
          <w:lang w:val="lv-LV"/>
        </w:rPr>
      </w:pPr>
      <w:bookmarkStart w:id="3" w:name="_Toc193374909"/>
      <w:bookmarkStart w:id="4" w:name="_Toc193634907"/>
      <w:bookmarkStart w:id="5" w:name="_Toc245991344"/>
      <w:bookmarkStart w:id="6" w:name="_Toc246217018"/>
      <w:r w:rsidRPr="006557B3">
        <w:rPr>
          <w:rFonts w:ascii="Times New Roman" w:hAnsi="Times New Roman" w:cs="Times New Roman"/>
          <w:b/>
          <w:sz w:val="24"/>
          <w:szCs w:val="24"/>
          <w:lang w:val="lv-LV"/>
        </w:rPr>
        <w:t>7.</w:t>
      </w:r>
      <w:r w:rsidR="00D94266" w:rsidRPr="006557B3">
        <w:rPr>
          <w:rFonts w:ascii="Times New Roman" w:hAnsi="Times New Roman" w:cs="Times New Roman"/>
          <w:b/>
          <w:sz w:val="24"/>
          <w:szCs w:val="24"/>
          <w:lang w:val="lv-LV"/>
        </w:rPr>
        <w:t>4</w:t>
      </w:r>
      <w:r w:rsidRPr="006557B3">
        <w:rPr>
          <w:rFonts w:ascii="Times New Roman" w:hAnsi="Times New Roman" w:cs="Times New Roman"/>
          <w:b/>
          <w:sz w:val="24"/>
          <w:szCs w:val="24"/>
          <w:lang w:val="lv-LV"/>
        </w:rPr>
        <w:t>.</w:t>
      </w:r>
      <w:r w:rsidR="008519AC" w:rsidRPr="006557B3">
        <w:rPr>
          <w:rFonts w:ascii="Times New Roman" w:hAnsi="Times New Roman" w:cs="Times New Roman"/>
          <w:b/>
          <w:sz w:val="24"/>
          <w:szCs w:val="24"/>
          <w:lang w:val="lv-LV"/>
        </w:rPr>
        <w:t xml:space="preserve"> </w:t>
      </w:r>
      <w:r w:rsidR="0046074A" w:rsidRPr="006557B3">
        <w:rPr>
          <w:rFonts w:ascii="Times New Roman" w:hAnsi="Times New Roman" w:cs="Times New Roman"/>
          <w:b/>
          <w:sz w:val="24"/>
          <w:szCs w:val="24"/>
          <w:lang w:val="lv-LV"/>
        </w:rPr>
        <w:t>Jaunā r</w:t>
      </w:r>
      <w:r w:rsidR="0098443F" w:rsidRPr="006557B3">
        <w:rPr>
          <w:rFonts w:ascii="Times New Roman" w:hAnsi="Times New Roman" w:cs="Times New Roman"/>
          <w:b/>
          <w:sz w:val="24"/>
          <w:szCs w:val="24"/>
          <w:lang w:val="lv-LV"/>
        </w:rPr>
        <w:t>eģistr</w:t>
      </w:r>
      <w:r w:rsidR="00CB5F02" w:rsidRPr="006557B3">
        <w:rPr>
          <w:rFonts w:ascii="Times New Roman" w:hAnsi="Times New Roman" w:cs="Times New Roman"/>
          <w:b/>
          <w:sz w:val="24"/>
          <w:szCs w:val="24"/>
          <w:lang w:val="lv-LV"/>
        </w:rPr>
        <w:t xml:space="preserve">a </w:t>
      </w:r>
      <w:r w:rsidR="0098443F" w:rsidRPr="006557B3">
        <w:rPr>
          <w:rFonts w:ascii="Times New Roman" w:hAnsi="Times New Roman" w:cs="Times New Roman"/>
          <w:b/>
          <w:sz w:val="24"/>
          <w:szCs w:val="24"/>
          <w:lang w:val="lv-LV"/>
        </w:rPr>
        <w:t>konceptuālā uzbūve</w:t>
      </w:r>
      <w:bookmarkEnd w:id="3"/>
      <w:bookmarkEnd w:id="4"/>
      <w:bookmarkEnd w:id="5"/>
      <w:bookmarkEnd w:id="6"/>
    </w:p>
    <w:p w14:paraId="7922CB64" w14:textId="77E0DBAB" w:rsidR="0098443F" w:rsidRPr="006557B3" w:rsidRDefault="0098443F" w:rsidP="00C05C12">
      <w:pPr>
        <w:keepNext/>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Lai </w:t>
      </w:r>
      <w:r w:rsidR="00945918" w:rsidRPr="006557B3">
        <w:rPr>
          <w:rFonts w:ascii="Times New Roman" w:hAnsi="Times New Roman" w:cs="Times New Roman"/>
          <w:sz w:val="24"/>
          <w:szCs w:val="24"/>
          <w:lang w:val="lv-LV"/>
        </w:rPr>
        <w:t>izvērtētu</w:t>
      </w:r>
      <w:r w:rsidRPr="006557B3">
        <w:rPr>
          <w:rFonts w:ascii="Times New Roman" w:hAnsi="Times New Roman" w:cs="Times New Roman"/>
          <w:sz w:val="24"/>
          <w:szCs w:val="24"/>
          <w:lang w:val="lv-LV"/>
        </w:rPr>
        <w:t xml:space="preserve"> specifisko pārtikas produktu pieteikumu</w:t>
      </w:r>
      <w:r w:rsidR="00945918" w:rsidRPr="006557B3">
        <w:rPr>
          <w:rFonts w:ascii="Times New Roman" w:hAnsi="Times New Roman" w:cs="Times New Roman"/>
          <w:sz w:val="24"/>
          <w:szCs w:val="24"/>
          <w:lang w:val="lv-LV"/>
        </w:rPr>
        <w:t>s</w:t>
      </w:r>
      <w:r w:rsidRPr="006557B3">
        <w:rPr>
          <w:rFonts w:ascii="Times New Roman" w:hAnsi="Times New Roman" w:cs="Times New Roman"/>
          <w:sz w:val="24"/>
          <w:szCs w:val="24"/>
          <w:lang w:val="lv-LV"/>
        </w:rPr>
        <w:t xml:space="preserve"> un </w:t>
      </w:r>
      <w:r w:rsidR="00945918" w:rsidRPr="006557B3">
        <w:rPr>
          <w:rFonts w:ascii="Times New Roman" w:hAnsi="Times New Roman" w:cs="Times New Roman"/>
          <w:sz w:val="24"/>
          <w:szCs w:val="24"/>
          <w:lang w:val="lv-LV"/>
        </w:rPr>
        <w:t xml:space="preserve">ievadītu </w:t>
      </w:r>
      <w:r w:rsidRPr="006557B3">
        <w:rPr>
          <w:rFonts w:ascii="Times New Roman" w:hAnsi="Times New Roman" w:cs="Times New Roman"/>
          <w:sz w:val="24"/>
          <w:szCs w:val="24"/>
          <w:lang w:val="lv-LV"/>
        </w:rPr>
        <w:t>attiecīg</w:t>
      </w:r>
      <w:r w:rsidR="00945918" w:rsidRPr="006557B3">
        <w:rPr>
          <w:rFonts w:ascii="Times New Roman" w:hAnsi="Times New Roman" w:cs="Times New Roman"/>
          <w:sz w:val="24"/>
          <w:szCs w:val="24"/>
          <w:lang w:val="lv-LV"/>
        </w:rPr>
        <w:t>o</w:t>
      </w:r>
      <w:r w:rsidRPr="006557B3">
        <w:rPr>
          <w:rFonts w:ascii="Times New Roman" w:hAnsi="Times New Roman" w:cs="Times New Roman"/>
          <w:sz w:val="24"/>
          <w:szCs w:val="24"/>
          <w:lang w:val="lv-LV"/>
        </w:rPr>
        <w:t xml:space="preserve"> informācij</w:t>
      </w:r>
      <w:r w:rsidR="00945918" w:rsidRPr="006557B3">
        <w:rPr>
          <w:rFonts w:ascii="Times New Roman" w:hAnsi="Times New Roman" w:cs="Times New Roman"/>
          <w:sz w:val="24"/>
          <w:szCs w:val="24"/>
          <w:lang w:val="lv-LV"/>
        </w:rPr>
        <w:t>u</w:t>
      </w:r>
      <w:r w:rsidRPr="006557B3">
        <w:rPr>
          <w:rFonts w:ascii="Times New Roman" w:hAnsi="Times New Roman" w:cs="Times New Roman"/>
          <w:sz w:val="24"/>
          <w:szCs w:val="24"/>
          <w:lang w:val="lv-LV"/>
        </w:rPr>
        <w:t>, to apkopo</w:t>
      </w:r>
      <w:r w:rsidR="00945918" w:rsidRPr="006557B3">
        <w:rPr>
          <w:rFonts w:ascii="Times New Roman" w:hAnsi="Times New Roman" w:cs="Times New Roman"/>
          <w:sz w:val="24"/>
          <w:szCs w:val="24"/>
          <w:lang w:val="lv-LV"/>
        </w:rPr>
        <w:t>t</w:t>
      </w:r>
      <w:r w:rsidRPr="006557B3">
        <w:rPr>
          <w:rFonts w:ascii="Times New Roman" w:hAnsi="Times New Roman" w:cs="Times New Roman"/>
          <w:sz w:val="24"/>
          <w:szCs w:val="24"/>
          <w:lang w:val="lv-LV"/>
        </w:rPr>
        <w:t>u un saglabā</w:t>
      </w:r>
      <w:r w:rsidR="00945918" w:rsidRPr="006557B3">
        <w:rPr>
          <w:rFonts w:ascii="Times New Roman" w:hAnsi="Times New Roman" w:cs="Times New Roman"/>
          <w:sz w:val="24"/>
          <w:szCs w:val="24"/>
          <w:lang w:val="lv-LV"/>
        </w:rPr>
        <w:t>t</w:t>
      </w:r>
      <w:r w:rsidRPr="006557B3">
        <w:rPr>
          <w:rFonts w:ascii="Times New Roman" w:hAnsi="Times New Roman" w:cs="Times New Roman"/>
          <w:sz w:val="24"/>
          <w:szCs w:val="24"/>
          <w:lang w:val="lv-LV"/>
        </w:rPr>
        <w:t>u</w:t>
      </w:r>
      <w:r w:rsidR="00945918" w:rsidRPr="006557B3">
        <w:rPr>
          <w:rFonts w:ascii="Times New Roman" w:hAnsi="Times New Roman" w:cs="Times New Roman"/>
          <w:sz w:val="24"/>
          <w:szCs w:val="24"/>
          <w:lang w:val="lv-LV"/>
        </w:rPr>
        <w:t>,</w:t>
      </w:r>
      <w:r w:rsidRPr="006557B3">
        <w:rPr>
          <w:rFonts w:ascii="Times New Roman" w:hAnsi="Times New Roman" w:cs="Times New Roman"/>
          <w:sz w:val="24"/>
          <w:szCs w:val="24"/>
          <w:lang w:val="lv-LV"/>
        </w:rPr>
        <w:t xml:space="preserve"> </w:t>
      </w:r>
      <w:r w:rsidR="00AE5BCE" w:rsidRPr="006557B3">
        <w:rPr>
          <w:rFonts w:ascii="Times New Roman" w:hAnsi="Times New Roman" w:cs="Times New Roman"/>
          <w:sz w:val="24"/>
          <w:szCs w:val="24"/>
          <w:lang w:val="lv-LV"/>
        </w:rPr>
        <w:t>reģistrs</w:t>
      </w:r>
      <w:r w:rsidRPr="006557B3">
        <w:rPr>
          <w:rFonts w:ascii="Times New Roman" w:hAnsi="Times New Roman" w:cs="Times New Roman"/>
          <w:sz w:val="24"/>
          <w:szCs w:val="24"/>
          <w:lang w:val="lv-LV"/>
        </w:rPr>
        <w:t xml:space="preserve"> ir jāveido </w:t>
      </w:r>
      <w:r w:rsidR="00AE5BCE" w:rsidRPr="006557B3">
        <w:rPr>
          <w:rFonts w:ascii="Times New Roman" w:hAnsi="Times New Roman" w:cs="Times New Roman"/>
          <w:sz w:val="24"/>
          <w:szCs w:val="24"/>
          <w:lang w:val="lv-LV"/>
        </w:rPr>
        <w:t xml:space="preserve">kā </w:t>
      </w:r>
      <w:r w:rsidRPr="006557B3">
        <w:rPr>
          <w:rFonts w:ascii="Times New Roman" w:hAnsi="Times New Roman" w:cs="Times New Roman"/>
          <w:sz w:val="24"/>
          <w:szCs w:val="24"/>
          <w:lang w:val="lv-LV"/>
        </w:rPr>
        <w:t xml:space="preserve">vienots strukturēts </w:t>
      </w:r>
      <w:r w:rsidRPr="006557B3">
        <w:rPr>
          <w:rFonts w:ascii="Times New Roman" w:hAnsi="Times New Roman" w:cs="Times New Roman"/>
          <w:b/>
          <w:sz w:val="24"/>
          <w:szCs w:val="24"/>
          <w:lang w:val="lv-LV"/>
        </w:rPr>
        <w:t>specifisko pārtikas produktu katalogs</w:t>
      </w:r>
      <w:r w:rsidRPr="006557B3">
        <w:rPr>
          <w:rFonts w:ascii="Times New Roman" w:hAnsi="Times New Roman" w:cs="Times New Roman"/>
          <w:sz w:val="24"/>
          <w:szCs w:val="24"/>
          <w:lang w:val="lv-LV"/>
        </w:rPr>
        <w:t>, kas aptver visas novērtēšanai un reģistrācijai pakļauto specifisko pārtikas produktu grupas:</w:t>
      </w:r>
    </w:p>
    <w:p w14:paraId="46E1B53D" w14:textId="3B4D0731" w:rsidR="0098443F" w:rsidRPr="006557B3" w:rsidRDefault="00945918" w:rsidP="00C05C12">
      <w:pPr>
        <w:tabs>
          <w:tab w:val="left" w:pos="8647"/>
        </w:tabs>
        <w:spacing w:after="0" w:line="240" w:lineRule="auto"/>
        <w:ind w:firstLine="708"/>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a) </w:t>
      </w:r>
      <w:r w:rsidR="0028566B" w:rsidRPr="006557B3">
        <w:rPr>
          <w:rFonts w:ascii="Times New Roman" w:hAnsi="Times New Roman" w:cs="Times New Roman"/>
          <w:sz w:val="24"/>
          <w:szCs w:val="24"/>
          <w:lang w:val="lv-LV"/>
        </w:rPr>
        <w:t>u</w:t>
      </w:r>
      <w:r w:rsidR="0098443F" w:rsidRPr="006557B3">
        <w:rPr>
          <w:rFonts w:ascii="Times New Roman" w:hAnsi="Times New Roman" w:cs="Times New Roman"/>
          <w:sz w:val="24"/>
          <w:szCs w:val="24"/>
          <w:lang w:val="lv-LV"/>
        </w:rPr>
        <w:t>ztura bagātinātāj</w:t>
      </w:r>
      <w:r w:rsidRPr="006557B3">
        <w:rPr>
          <w:rFonts w:ascii="Times New Roman" w:hAnsi="Times New Roman" w:cs="Times New Roman"/>
          <w:sz w:val="24"/>
          <w:szCs w:val="24"/>
          <w:lang w:val="lv-LV"/>
        </w:rPr>
        <w:t>us</w:t>
      </w:r>
      <w:r w:rsidR="0098443F" w:rsidRPr="006557B3">
        <w:rPr>
          <w:rFonts w:ascii="Times New Roman" w:hAnsi="Times New Roman" w:cs="Times New Roman"/>
          <w:sz w:val="24"/>
          <w:szCs w:val="24"/>
          <w:lang w:val="lv-LV"/>
        </w:rPr>
        <w:t>;</w:t>
      </w:r>
    </w:p>
    <w:p w14:paraId="5BF2AD04" w14:textId="313B93F2" w:rsidR="0098443F" w:rsidRPr="006557B3" w:rsidRDefault="002330CF" w:rsidP="00C05C12">
      <w:pPr>
        <w:pStyle w:val="Sarakstarindkopa"/>
        <w:tabs>
          <w:tab w:val="left" w:pos="8647"/>
        </w:tabs>
        <w:spacing w:after="0" w:line="240" w:lineRule="auto"/>
        <w:ind w:left="0" w:firstLine="709"/>
        <w:jc w:val="both"/>
        <w:rPr>
          <w:rFonts w:ascii="Times New Roman" w:hAnsi="Times New Roman"/>
          <w:sz w:val="24"/>
          <w:szCs w:val="24"/>
          <w:lang w:val="lv-LV"/>
        </w:rPr>
      </w:pPr>
      <w:r w:rsidRPr="006557B3">
        <w:rPr>
          <w:rFonts w:ascii="Times New Roman" w:hAnsi="Times New Roman"/>
          <w:sz w:val="24"/>
          <w:szCs w:val="24"/>
          <w:lang w:val="lv-LV"/>
        </w:rPr>
        <w:t>b) </w:t>
      </w:r>
      <w:r w:rsidR="0028566B" w:rsidRPr="006557B3">
        <w:rPr>
          <w:rFonts w:ascii="Times New Roman" w:hAnsi="Times New Roman"/>
          <w:sz w:val="24"/>
          <w:szCs w:val="24"/>
          <w:lang w:val="lv-LV"/>
        </w:rPr>
        <w:t>d</w:t>
      </w:r>
      <w:r w:rsidR="0098443F" w:rsidRPr="006557B3">
        <w:rPr>
          <w:rFonts w:ascii="Times New Roman" w:hAnsi="Times New Roman"/>
          <w:sz w:val="24"/>
          <w:szCs w:val="24"/>
          <w:lang w:val="lv-LV"/>
        </w:rPr>
        <w:t>iētisk</w:t>
      </w:r>
      <w:r w:rsidR="00945918" w:rsidRPr="006557B3">
        <w:rPr>
          <w:rFonts w:ascii="Times New Roman" w:hAnsi="Times New Roman"/>
          <w:sz w:val="24"/>
          <w:szCs w:val="24"/>
          <w:lang w:val="lv-LV"/>
        </w:rPr>
        <w:t>o</w:t>
      </w:r>
      <w:r w:rsidR="0098443F" w:rsidRPr="006557B3">
        <w:rPr>
          <w:rFonts w:ascii="Times New Roman" w:hAnsi="Times New Roman"/>
          <w:sz w:val="24"/>
          <w:szCs w:val="24"/>
          <w:lang w:val="lv-LV"/>
        </w:rPr>
        <w:t xml:space="preserve"> pārtik</w:t>
      </w:r>
      <w:r w:rsidR="00945918" w:rsidRPr="006557B3">
        <w:rPr>
          <w:rFonts w:ascii="Times New Roman" w:hAnsi="Times New Roman"/>
          <w:sz w:val="24"/>
          <w:szCs w:val="24"/>
          <w:lang w:val="lv-LV"/>
        </w:rPr>
        <w:t>u.</w:t>
      </w:r>
      <w:r w:rsidR="0098443F" w:rsidRPr="006557B3">
        <w:rPr>
          <w:rFonts w:ascii="Times New Roman" w:hAnsi="Times New Roman"/>
          <w:sz w:val="24"/>
          <w:szCs w:val="24"/>
          <w:lang w:val="lv-LV"/>
        </w:rPr>
        <w:t xml:space="preserve"> </w:t>
      </w:r>
      <w:r w:rsidR="00945918" w:rsidRPr="006557B3">
        <w:rPr>
          <w:rFonts w:ascii="Times New Roman" w:hAnsi="Times New Roman"/>
          <w:sz w:val="24"/>
          <w:szCs w:val="24"/>
          <w:lang w:val="lv-LV"/>
        </w:rPr>
        <w:t>N</w:t>
      </w:r>
      <w:r w:rsidR="0098443F" w:rsidRPr="006557B3">
        <w:rPr>
          <w:rFonts w:ascii="Times New Roman" w:hAnsi="Times New Roman"/>
          <w:sz w:val="24"/>
          <w:szCs w:val="24"/>
          <w:lang w:val="lv-LV"/>
        </w:rPr>
        <w:t>o 2016.</w:t>
      </w:r>
      <w:r w:rsidR="009D12D2">
        <w:rPr>
          <w:rFonts w:ascii="Times New Roman" w:hAnsi="Times New Roman"/>
          <w:sz w:val="24"/>
          <w:szCs w:val="24"/>
          <w:lang w:val="lv-LV"/>
        </w:rPr>
        <w:t xml:space="preserve"> </w:t>
      </w:r>
      <w:r w:rsidR="0098443F" w:rsidRPr="006557B3">
        <w:rPr>
          <w:rFonts w:ascii="Times New Roman" w:hAnsi="Times New Roman"/>
          <w:sz w:val="24"/>
          <w:szCs w:val="24"/>
          <w:lang w:val="lv-LV"/>
        </w:rPr>
        <w:t>gada 20.</w:t>
      </w:r>
      <w:r w:rsidR="009D12D2">
        <w:rPr>
          <w:rFonts w:ascii="Times New Roman" w:hAnsi="Times New Roman"/>
          <w:sz w:val="24"/>
          <w:szCs w:val="24"/>
          <w:lang w:val="lv-LV"/>
        </w:rPr>
        <w:t xml:space="preserve"> </w:t>
      </w:r>
      <w:r w:rsidR="0098443F" w:rsidRPr="006557B3">
        <w:rPr>
          <w:rFonts w:ascii="Times New Roman" w:hAnsi="Times New Roman"/>
          <w:sz w:val="24"/>
          <w:szCs w:val="24"/>
          <w:lang w:val="lv-LV"/>
        </w:rPr>
        <w:t>jūlija termin</w:t>
      </w:r>
      <w:r w:rsidR="00A84550">
        <w:rPr>
          <w:rFonts w:ascii="Times New Roman" w:hAnsi="Times New Roman"/>
          <w:sz w:val="24"/>
          <w:szCs w:val="24"/>
          <w:lang w:val="lv-LV"/>
        </w:rPr>
        <w:t>u</w:t>
      </w:r>
      <w:r w:rsidR="0098443F" w:rsidRPr="006557B3">
        <w:rPr>
          <w:rFonts w:ascii="Times New Roman" w:hAnsi="Times New Roman"/>
          <w:sz w:val="24"/>
          <w:szCs w:val="24"/>
          <w:lang w:val="lv-LV"/>
        </w:rPr>
        <w:t xml:space="preserve"> “diētiskā pārtika” aizstās </w:t>
      </w:r>
      <w:r w:rsidRPr="006557B3">
        <w:rPr>
          <w:rFonts w:ascii="Times New Roman" w:hAnsi="Times New Roman"/>
          <w:sz w:val="24"/>
          <w:szCs w:val="24"/>
          <w:lang w:val="lv-LV"/>
        </w:rPr>
        <w:t xml:space="preserve">šādas </w:t>
      </w:r>
      <w:r w:rsidR="0098443F" w:rsidRPr="006557B3">
        <w:rPr>
          <w:rFonts w:ascii="Times New Roman" w:hAnsi="Times New Roman"/>
          <w:sz w:val="24"/>
          <w:szCs w:val="24"/>
          <w:lang w:val="lv-LV"/>
        </w:rPr>
        <w:t xml:space="preserve">produktu grupas: </w:t>
      </w:r>
    </w:p>
    <w:p w14:paraId="07E453B7" w14:textId="77D0631D" w:rsidR="0098443F" w:rsidRPr="006557B3" w:rsidRDefault="0098443F" w:rsidP="00C05C12">
      <w:pPr>
        <w:pStyle w:val="Sarakstarindkopa"/>
        <w:numPr>
          <w:ilvl w:val="0"/>
          <w:numId w:val="46"/>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lastRenderedPageBreak/>
        <w:t xml:space="preserve">īpašiem medicīniskiem nolūkiem paredzēta pārtika; </w:t>
      </w:r>
    </w:p>
    <w:p w14:paraId="5D6C3E1D" w14:textId="10774866" w:rsidR="0098443F" w:rsidRPr="006557B3" w:rsidRDefault="0098443F" w:rsidP="00C05C12">
      <w:pPr>
        <w:pStyle w:val="Sarakstarindkopa"/>
        <w:numPr>
          <w:ilvl w:val="0"/>
          <w:numId w:val="46"/>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 xml:space="preserve">pilnīgi uztura aizstājēji svara kontrolei; </w:t>
      </w:r>
    </w:p>
    <w:p w14:paraId="1C97C5F0" w14:textId="4B212415" w:rsidR="0098443F" w:rsidRPr="006557B3" w:rsidRDefault="0098443F" w:rsidP="00C05C12">
      <w:pPr>
        <w:pStyle w:val="Sarakstarindkopa"/>
        <w:numPr>
          <w:ilvl w:val="0"/>
          <w:numId w:val="46"/>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 xml:space="preserve">maisījumi zīdaiņiem; </w:t>
      </w:r>
    </w:p>
    <w:p w14:paraId="05915525" w14:textId="7EDC4A4D" w:rsidR="0098443F" w:rsidRPr="006557B3" w:rsidRDefault="0098443F" w:rsidP="00C05C12">
      <w:pPr>
        <w:pStyle w:val="Sarakstarindkopa"/>
        <w:numPr>
          <w:ilvl w:val="0"/>
          <w:numId w:val="46"/>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papildu ēdināšanas maisījums zīdaiņiem, k</w:t>
      </w:r>
      <w:r w:rsidR="002330CF" w:rsidRPr="006557B3">
        <w:rPr>
          <w:rFonts w:ascii="Times New Roman" w:hAnsi="Times New Roman"/>
          <w:sz w:val="24"/>
          <w:szCs w:val="24"/>
          <w:lang w:val="lv-LV"/>
        </w:rPr>
        <w:t>urš</w:t>
      </w:r>
      <w:r w:rsidRPr="006557B3">
        <w:rPr>
          <w:rFonts w:ascii="Times New Roman" w:hAnsi="Times New Roman"/>
          <w:sz w:val="24"/>
          <w:szCs w:val="24"/>
          <w:lang w:val="lv-LV"/>
        </w:rPr>
        <w:t xml:space="preserve"> ražoti no olbaltumvielu hidrolizātiem</w:t>
      </w:r>
      <w:r w:rsidR="00A72F9C" w:rsidRPr="006557B3">
        <w:rPr>
          <w:rFonts w:ascii="Times New Roman" w:hAnsi="Times New Roman"/>
          <w:sz w:val="24"/>
          <w:szCs w:val="24"/>
          <w:lang w:val="lv-LV"/>
        </w:rPr>
        <w:t>;</w:t>
      </w:r>
      <w:r w:rsidRPr="006557B3">
        <w:rPr>
          <w:rFonts w:ascii="Times New Roman" w:hAnsi="Times New Roman"/>
          <w:sz w:val="24"/>
          <w:szCs w:val="24"/>
          <w:lang w:val="lv-LV"/>
        </w:rPr>
        <w:t xml:space="preserve"> </w:t>
      </w:r>
    </w:p>
    <w:p w14:paraId="337C0E76" w14:textId="67E99899" w:rsidR="0098443F" w:rsidRPr="006557B3" w:rsidRDefault="0028566B" w:rsidP="00C05C12">
      <w:pPr>
        <w:pStyle w:val="Sarakstarindkopa"/>
        <w:numPr>
          <w:ilvl w:val="0"/>
          <w:numId w:val="46"/>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d</w:t>
      </w:r>
      <w:r w:rsidR="0098443F" w:rsidRPr="006557B3">
        <w:rPr>
          <w:rFonts w:ascii="Times New Roman" w:hAnsi="Times New Roman"/>
          <w:sz w:val="24"/>
          <w:szCs w:val="24"/>
          <w:lang w:val="lv-LV"/>
        </w:rPr>
        <w:t>abīgais minerālūdens;</w:t>
      </w:r>
    </w:p>
    <w:p w14:paraId="39438A2D" w14:textId="668B8354" w:rsidR="0098443F" w:rsidRPr="006557B3" w:rsidRDefault="0028566B" w:rsidP="00C05C12">
      <w:pPr>
        <w:pStyle w:val="Sarakstarindkopa"/>
        <w:numPr>
          <w:ilvl w:val="0"/>
          <w:numId w:val="46"/>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c</w:t>
      </w:r>
      <w:r w:rsidR="0098443F" w:rsidRPr="006557B3">
        <w:rPr>
          <w:rFonts w:ascii="Times New Roman" w:hAnsi="Times New Roman"/>
          <w:sz w:val="24"/>
          <w:szCs w:val="24"/>
          <w:lang w:val="lv-LV"/>
        </w:rPr>
        <w:t xml:space="preserve">itas pārtikas produktu </w:t>
      </w:r>
      <w:r w:rsidRPr="006557B3">
        <w:rPr>
          <w:rFonts w:ascii="Times New Roman" w:hAnsi="Times New Roman"/>
          <w:sz w:val="24"/>
          <w:szCs w:val="24"/>
          <w:lang w:val="lv-LV"/>
        </w:rPr>
        <w:t>kategorijas</w:t>
      </w:r>
      <w:r w:rsidR="0098443F" w:rsidRPr="006557B3">
        <w:rPr>
          <w:rFonts w:ascii="Times New Roman" w:hAnsi="Times New Roman"/>
          <w:sz w:val="24"/>
          <w:szCs w:val="24"/>
          <w:lang w:val="lv-LV"/>
        </w:rPr>
        <w:t xml:space="preserve"> saskaņā ar iespējamaj</w:t>
      </w:r>
      <w:r w:rsidR="002330CF" w:rsidRPr="006557B3">
        <w:rPr>
          <w:rFonts w:ascii="Times New Roman" w:hAnsi="Times New Roman"/>
          <w:sz w:val="24"/>
          <w:szCs w:val="24"/>
          <w:lang w:val="lv-LV"/>
        </w:rPr>
        <w:t>ie</w:t>
      </w:r>
      <w:r w:rsidR="0098443F" w:rsidRPr="006557B3">
        <w:rPr>
          <w:rFonts w:ascii="Times New Roman" w:hAnsi="Times New Roman"/>
          <w:sz w:val="24"/>
          <w:szCs w:val="24"/>
          <w:lang w:val="lv-LV"/>
        </w:rPr>
        <w:t xml:space="preserve">m </w:t>
      </w:r>
      <w:r w:rsidR="002330CF" w:rsidRPr="006557B3">
        <w:rPr>
          <w:rFonts w:ascii="Times New Roman" w:hAnsi="Times New Roman"/>
          <w:sz w:val="24"/>
          <w:szCs w:val="24"/>
          <w:lang w:val="lv-LV"/>
        </w:rPr>
        <w:t xml:space="preserve">grozījumiem </w:t>
      </w:r>
      <w:r w:rsidR="0098443F" w:rsidRPr="006557B3">
        <w:rPr>
          <w:rFonts w:ascii="Times New Roman" w:hAnsi="Times New Roman"/>
          <w:sz w:val="24"/>
          <w:szCs w:val="24"/>
          <w:lang w:val="lv-LV"/>
        </w:rPr>
        <w:t>normatīv</w:t>
      </w:r>
      <w:r w:rsidR="002330CF" w:rsidRPr="006557B3">
        <w:rPr>
          <w:rFonts w:ascii="Times New Roman" w:hAnsi="Times New Roman"/>
          <w:sz w:val="24"/>
          <w:szCs w:val="24"/>
          <w:lang w:val="lv-LV"/>
        </w:rPr>
        <w:t>ajos</w:t>
      </w:r>
      <w:r w:rsidR="0098443F" w:rsidRPr="006557B3">
        <w:rPr>
          <w:rFonts w:ascii="Times New Roman" w:hAnsi="Times New Roman"/>
          <w:sz w:val="24"/>
          <w:szCs w:val="24"/>
          <w:lang w:val="lv-LV"/>
        </w:rPr>
        <w:t xml:space="preserve"> akt</w:t>
      </w:r>
      <w:r w:rsidR="002330CF" w:rsidRPr="006557B3">
        <w:rPr>
          <w:rFonts w:ascii="Times New Roman" w:hAnsi="Times New Roman"/>
          <w:sz w:val="24"/>
          <w:szCs w:val="24"/>
          <w:lang w:val="lv-LV"/>
        </w:rPr>
        <w:t>os</w:t>
      </w:r>
      <w:r w:rsidR="0098443F" w:rsidRPr="006557B3">
        <w:rPr>
          <w:rFonts w:ascii="Times New Roman" w:hAnsi="Times New Roman"/>
          <w:sz w:val="24"/>
          <w:szCs w:val="24"/>
          <w:lang w:val="lv-LV"/>
        </w:rPr>
        <w:t xml:space="preserve"> nākotnē (piemēram, pārtika, kurai pievienoti vitamīni un minerālvielas vai arī citas vielas</w:t>
      </w:r>
      <w:r w:rsidR="002330CF" w:rsidRPr="006557B3">
        <w:rPr>
          <w:rFonts w:ascii="Times New Roman" w:hAnsi="Times New Roman"/>
          <w:sz w:val="24"/>
          <w:szCs w:val="24"/>
          <w:lang w:val="lv-LV"/>
        </w:rPr>
        <w:t>,</w:t>
      </w:r>
      <w:r w:rsidR="0098443F" w:rsidRPr="006557B3">
        <w:rPr>
          <w:rFonts w:ascii="Times New Roman" w:hAnsi="Times New Roman"/>
          <w:sz w:val="24"/>
          <w:szCs w:val="24"/>
          <w:lang w:val="lv-LV"/>
        </w:rPr>
        <w:t xml:space="preserve"> </w:t>
      </w:r>
      <w:r w:rsidR="002330CF" w:rsidRPr="006557B3">
        <w:rPr>
          <w:rFonts w:ascii="Times New Roman" w:hAnsi="Times New Roman"/>
          <w:sz w:val="24"/>
          <w:szCs w:val="24"/>
          <w:lang w:val="lv-LV"/>
        </w:rPr>
        <w:t xml:space="preserve">– </w:t>
      </w:r>
      <w:r w:rsidR="00AE5BCE" w:rsidRPr="006557B3">
        <w:rPr>
          <w:rFonts w:ascii="Times New Roman" w:hAnsi="Times New Roman"/>
          <w:sz w:val="24"/>
          <w:szCs w:val="24"/>
          <w:lang w:val="lv-LV"/>
        </w:rPr>
        <w:t>bagātināta</w:t>
      </w:r>
      <w:r w:rsidR="0098443F" w:rsidRPr="006557B3">
        <w:rPr>
          <w:rFonts w:ascii="Times New Roman" w:hAnsi="Times New Roman"/>
          <w:sz w:val="24"/>
          <w:szCs w:val="24"/>
          <w:lang w:val="lv-LV"/>
        </w:rPr>
        <w:t xml:space="preserve"> pārtika).</w:t>
      </w:r>
    </w:p>
    <w:p w14:paraId="6F18BADC" w14:textId="77777777" w:rsidR="00284593" w:rsidRPr="006557B3" w:rsidRDefault="00284593" w:rsidP="00C05C12">
      <w:pPr>
        <w:pStyle w:val="Sarakstarindkopa"/>
        <w:tabs>
          <w:tab w:val="left" w:pos="8647"/>
        </w:tabs>
        <w:spacing w:after="0" w:line="240" w:lineRule="auto"/>
        <w:ind w:left="0"/>
        <w:jc w:val="both"/>
        <w:rPr>
          <w:rFonts w:ascii="Times New Roman" w:hAnsi="Times New Roman"/>
          <w:sz w:val="24"/>
          <w:szCs w:val="24"/>
          <w:lang w:val="lv-LV"/>
        </w:rPr>
      </w:pPr>
    </w:p>
    <w:p w14:paraId="22C573F3" w14:textId="455D245C" w:rsidR="00284593" w:rsidRPr="006557B3" w:rsidRDefault="00EB3A82" w:rsidP="00C05C12">
      <w:pPr>
        <w:tabs>
          <w:tab w:val="left" w:pos="8647"/>
        </w:tabs>
        <w:spacing w:after="0"/>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t>7.</w:t>
      </w:r>
      <w:r w:rsidR="00D94266" w:rsidRPr="006557B3">
        <w:rPr>
          <w:rFonts w:ascii="Times New Roman" w:hAnsi="Times New Roman" w:cs="Times New Roman"/>
          <w:b/>
          <w:sz w:val="24"/>
          <w:szCs w:val="24"/>
          <w:lang w:val="lv-LV"/>
        </w:rPr>
        <w:t>5</w:t>
      </w:r>
      <w:r w:rsidRPr="006557B3">
        <w:rPr>
          <w:rFonts w:ascii="Times New Roman" w:hAnsi="Times New Roman" w:cs="Times New Roman"/>
          <w:b/>
          <w:sz w:val="24"/>
          <w:szCs w:val="24"/>
          <w:lang w:val="lv-LV"/>
        </w:rPr>
        <w:t xml:space="preserve">. </w:t>
      </w:r>
      <w:r w:rsidR="00284593" w:rsidRPr="006557B3">
        <w:rPr>
          <w:rFonts w:ascii="Times New Roman" w:hAnsi="Times New Roman" w:cs="Times New Roman"/>
          <w:b/>
          <w:sz w:val="24"/>
          <w:szCs w:val="24"/>
          <w:lang w:val="lv-LV"/>
        </w:rPr>
        <w:t>Jaun</w:t>
      </w:r>
      <w:r w:rsidR="008519AC" w:rsidRPr="006557B3">
        <w:rPr>
          <w:rFonts w:ascii="Times New Roman" w:hAnsi="Times New Roman" w:cs="Times New Roman"/>
          <w:b/>
          <w:sz w:val="24"/>
          <w:szCs w:val="24"/>
          <w:lang w:val="lv-LV"/>
        </w:rPr>
        <w:t>ā</w:t>
      </w:r>
      <w:r w:rsidR="00284593" w:rsidRPr="006557B3">
        <w:rPr>
          <w:rFonts w:ascii="Times New Roman" w:hAnsi="Times New Roman" w:cs="Times New Roman"/>
          <w:b/>
          <w:sz w:val="24"/>
          <w:szCs w:val="24"/>
          <w:lang w:val="lv-LV"/>
        </w:rPr>
        <w:t xml:space="preserve"> reģistr</w:t>
      </w:r>
      <w:r w:rsidR="008519AC" w:rsidRPr="006557B3">
        <w:rPr>
          <w:rFonts w:ascii="Times New Roman" w:hAnsi="Times New Roman" w:cs="Times New Roman"/>
          <w:b/>
          <w:sz w:val="24"/>
          <w:szCs w:val="24"/>
          <w:lang w:val="lv-LV"/>
        </w:rPr>
        <w:t>a</w:t>
      </w:r>
      <w:r w:rsidR="00284593" w:rsidRPr="006557B3">
        <w:rPr>
          <w:rFonts w:ascii="Times New Roman" w:hAnsi="Times New Roman" w:cs="Times New Roman"/>
          <w:b/>
          <w:sz w:val="24"/>
          <w:szCs w:val="24"/>
          <w:lang w:val="lv-LV"/>
        </w:rPr>
        <w:t xml:space="preserve"> (specifisko pārtika</w:t>
      </w:r>
      <w:r w:rsidR="008519AC" w:rsidRPr="006557B3">
        <w:rPr>
          <w:rFonts w:ascii="Times New Roman" w:hAnsi="Times New Roman" w:cs="Times New Roman"/>
          <w:b/>
          <w:sz w:val="24"/>
          <w:szCs w:val="24"/>
          <w:lang w:val="lv-LV"/>
        </w:rPr>
        <w:t>s</w:t>
      </w:r>
      <w:r w:rsidR="00284593" w:rsidRPr="006557B3">
        <w:rPr>
          <w:rFonts w:ascii="Times New Roman" w:hAnsi="Times New Roman" w:cs="Times New Roman"/>
          <w:b/>
          <w:sz w:val="24"/>
          <w:szCs w:val="24"/>
          <w:lang w:val="lv-LV"/>
        </w:rPr>
        <w:t xml:space="preserve"> produktu informācijas sistēma</w:t>
      </w:r>
      <w:r w:rsidR="008519AC" w:rsidRPr="006557B3">
        <w:rPr>
          <w:rFonts w:ascii="Times New Roman" w:hAnsi="Times New Roman" w:cs="Times New Roman"/>
          <w:b/>
          <w:sz w:val="24"/>
          <w:szCs w:val="24"/>
          <w:lang w:val="lv-LV"/>
        </w:rPr>
        <w:t>s</w:t>
      </w:r>
      <w:r w:rsidR="00284593" w:rsidRPr="006557B3">
        <w:rPr>
          <w:rFonts w:ascii="Times New Roman" w:hAnsi="Times New Roman" w:cs="Times New Roman"/>
          <w:b/>
          <w:sz w:val="24"/>
          <w:szCs w:val="24"/>
          <w:lang w:val="lv-LV"/>
        </w:rPr>
        <w:t xml:space="preserve">) </w:t>
      </w:r>
      <w:r w:rsidR="008519AC" w:rsidRPr="006557B3">
        <w:rPr>
          <w:rFonts w:ascii="Times New Roman" w:hAnsi="Times New Roman" w:cs="Times New Roman"/>
          <w:b/>
          <w:sz w:val="24"/>
          <w:szCs w:val="24"/>
          <w:lang w:val="lv-LV"/>
        </w:rPr>
        <w:t>sniegtās</w:t>
      </w:r>
      <w:r w:rsidR="00284593" w:rsidRPr="006557B3">
        <w:rPr>
          <w:rFonts w:ascii="Times New Roman" w:hAnsi="Times New Roman" w:cs="Times New Roman"/>
          <w:b/>
          <w:sz w:val="24"/>
          <w:szCs w:val="24"/>
          <w:lang w:val="lv-LV"/>
        </w:rPr>
        <w:t xml:space="preserve"> iespējas</w:t>
      </w:r>
      <w:r w:rsidR="007560E3" w:rsidRPr="006557B3">
        <w:rPr>
          <w:rFonts w:ascii="Times New Roman" w:hAnsi="Times New Roman" w:cs="Times New Roman"/>
          <w:b/>
          <w:sz w:val="24"/>
          <w:szCs w:val="24"/>
          <w:lang w:val="lv-LV"/>
        </w:rPr>
        <w:t>:</w:t>
      </w:r>
      <w:r w:rsidR="00284593" w:rsidRPr="006557B3">
        <w:rPr>
          <w:rFonts w:ascii="Times New Roman" w:hAnsi="Times New Roman" w:cs="Times New Roman"/>
          <w:b/>
          <w:sz w:val="24"/>
          <w:szCs w:val="24"/>
          <w:lang w:val="lv-LV"/>
        </w:rPr>
        <w:t xml:space="preserve"> </w:t>
      </w:r>
    </w:p>
    <w:p w14:paraId="0BFDE5A8" w14:textId="50A3F041" w:rsidR="00394384" w:rsidRPr="006557B3" w:rsidRDefault="002330CF" w:rsidP="00C05C12">
      <w:pPr>
        <w:pStyle w:val="Sarakstarindkopa"/>
        <w:tabs>
          <w:tab w:val="left" w:pos="8647"/>
        </w:tabs>
        <w:spacing w:after="0" w:line="240" w:lineRule="auto"/>
        <w:ind w:left="0" w:firstLine="709"/>
        <w:jc w:val="both"/>
        <w:rPr>
          <w:rStyle w:val="accent"/>
          <w:rFonts w:ascii="Times New Roman" w:hAnsi="Times New Roman"/>
          <w:sz w:val="24"/>
          <w:szCs w:val="24"/>
          <w:lang w:val="lv-LV"/>
        </w:rPr>
      </w:pPr>
      <w:r w:rsidRPr="006557B3">
        <w:rPr>
          <w:rFonts w:ascii="Times New Roman" w:hAnsi="Times New Roman"/>
          <w:sz w:val="24"/>
          <w:szCs w:val="24"/>
          <w:lang w:val="lv-LV"/>
        </w:rPr>
        <w:t>a)</w:t>
      </w:r>
      <w:r w:rsidR="00394384" w:rsidRPr="006557B3">
        <w:rPr>
          <w:rFonts w:ascii="Times New Roman" w:hAnsi="Times New Roman"/>
          <w:sz w:val="24"/>
          <w:szCs w:val="24"/>
          <w:lang w:val="lv-LV"/>
        </w:rPr>
        <w:t xml:space="preserve"> uzņēmēju autorizācija. Uzņēmējiem autorizācija </w:t>
      </w:r>
      <w:r w:rsidRPr="006557B3">
        <w:rPr>
          <w:rFonts w:ascii="Times New Roman" w:hAnsi="Times New Roman"/>
          <w:sz w:val="24"/>
          <w:szCs w:val="24"/>
          <w:lang w:val="lv-LV"/>
        </w:rPr>
        <w:t>do</w:t>
      </w:r>
      <w:r w:rsidR="00394384" w:rsidRPr="006557B3">
        <w:rPr>
          <w:rFonts w:ascii="Times New Roman" w:hAnsi="Times New Roman"/>
          <w:sz w:val="24"/>
          <w:szCs w:val="24"/>
          <w:lang w:val="lv-LV"/>
        </w:rPr>
        <w:t>tu iespēju nodrošināt saraksti elektroniski, portālā, uzlabojot savstarpējās komunikācijas efektivitāti ar PVD</w:t>
      </w:r>
      <w:r w:rsidRPr="006557B3">
        <w:rPr>
          <w:rFonts w:ascii="Times New Roman" w:hAnsi="Times New Roman"/>
          <w:sz w:val="24"/>
          <w:szCs w:val="24"/>
          <w:lang w:val="lv-LV"/>
        </w:rPr>
        <w:t>,</w:t>
      </w:r>
      <w:r w:rsidR="00394384" w:rsidRPr="006557B3">
        <w:rPr>
          <w:rFonts w:ascii="Times New Roman" w:hAnsi="Times New Roman"/>
          <w:sz w:val="24"/>
          <w:szCs w:val="24"/>
          <w:lang w:val="lv-LV"/>
        </w:rPr>
        <w:t xml:space="preserve"> un atvieglotu administratīvo un birokrātisko slogu</w:t>
      </w:r>
      <w:r w:rsidR="009A79A4" w:rsidRPr="006557B3">
        <w:rPr>
          <w:rFonts w:ascii="Times New Roman" w:hAnsi="Times New Roman"/>
          <w:sz w:val="24"/>
          <w:szCs w:val="24"/>
          <w:lang w:val="lv-LV"/>
        </w:rPr>
        <w:t>.</w:t>
      </w:r>
      <w:r w:rsidR="00394384" w:rsidRPr="006557B3">
        <w:rPr>
          <w:rFonts w:ascii="Times New Roman" w:hAnsi="Times New Roman"/>
          <w:sz w:val="24"/>
          <w:szCs w:val="24"/>
          <w:lang w:val="lv-LV"/>
        </w:rPr>
        <w:t xml:space="preserve"> </w:t>
      </w:r>
      <w:r w:rsidR="009A79A4" w:rsidRPr="006557B3">
        <w:rPr>
          <w:rFonts w:ascii="Times New Roman" w:hAnsi="Times New Roman"/>
          <w:sz w:val="24"/>
          <w:szCs w:val="24"/>
          <w:lang w:val="lv-LV"/>
        </w:rPr>
        <w:t>E</w:t>
      </w:r>
      <w:r w:rsidR="00394384" w:rsidRPr="006557B3">
        <w:rPr>
          <w:rFonts w:ascii="Times New Roman" w:hAnsi="Times New Roman"/>
          <w:sz w:val="24"/>
          <w:szCs w:val="24"/>
          <w:lang w:val="lv-LV"/>
        </w:rPr>
        <w:t xml:space="preserve">lektroniska </w:t>
      </w:r>
      <w:r w:rsidRPr="006557B3">
        <w:rPr>
          <w:rFonts w:ascii="Times New Roman" w:hAnsi="Times New Roman"/>
          <w:sz w:val="24"/>
          <w:szCs w:val="24"/>
          <w:lang w:val="lv-LV"/>
        </w:rPr>
        <w:t>p</w:t>
      </w:r>
      <w:r w:rsidR="00394384" w:rsidRPr="006557B3">
        <w:rPr>
          <w:rFonts w:ascii="Times New Roman" w:hAnsi="Times New Roman"/>
          <w:sz w:val="24"/>
          <w:szCs w:val="24"/>
          <w:lang w:val="lv-LV"/>
        </w:rPr>
        <w:t xml:space="preserve">ieteikumu iesniegšana PVD, izmantojot </w:t>
      </w:r>
      <w:r w:rsidR="00394384" w:rsidRPr="006557B3">
        <w:rPr>
          <w:rFonts w:ascii="Times New Roman" w:hAnsi="Times New Roman"/>
          <w:i/>
          <w:sz w:val="24"/>
          <w:szCs w:val="24"/>
          <w:lang w:val="lv-LV"/>
        </w:rPr>
        <w:t>CESP</w:t>
      </w:r>
      <w:r w:rsidR="00394384" w:rsidRPr="006557B3">
        <w:rPr>
          <w:rFonts w:ascii="Times New Roman" w:hAnsi="Times New Roman"/>
          <w:sz w:val="24"/>
          <w:szCs w:val="24"/>
          <w:lang w:val="lv-LV"/>
        </w:rPr>
        <w:t xml:space="preserve"> (</w:t>
      </w:r>
      <w:r w:rsidR="00394384" w:rsidRPr="006557B3">
        <w:rPr>
          <w:rStyle w:val="accent"/>
          <w:rFonts w:ascii="Times New Roman" w:hAnsi="Times New Roman"/>
          <w:i/>
          <w:sz w:val="24"/>
          <w:szCs w:val="24"/>
          <w:lang w:val="lv-LV"/>
        </w:rPr>
        <w:t>Common European Submission Portal</w:t>
      </w:r>
      <w:r w:rsidR="00394384" w:rsidRPr="006557B3">
        <w:rPr>
          <w:rStyle w:val="accent"/>
          <w:rFonts w:ascii="Times New Roman" w:hAnsi="Times New Roman"/>
          <w:sz w:val="24"/>
          <w:szCs w:val="24"/>
          <w:lang w:val="lv-LV"/>
        </w:rPr>
        <w:t>)</w:t>
      </w:r>
      <w:r w:rsidR="009A79A4" w:rsidRPr="006557B3">
        <w:rPr>
          <w:rStyle w:val="accent"/>
          <w:rFonts w:ascii="Times New Roman" w:hAnsi="Times New Roman"/>
          <w:sz w:val="24"/>
          <w:szCs w:val="24"/>
          <w:lang w:val="lv-LV"/>
        </w:rPr>
        <w:t xml:space="preserve">, </w:t>
      </w:r>
      <w:r w:rsidR="00394384" w:rsidRPr="006557B3">
        <w:rPr>
          <w:rStyle w:val="accent"/>
          <w:rFonts w:ascii="Times New Roman" w:hAnsi="Times New Roman"/>
          <w:sz w:val="24"/>
          <w:szCs w:val="24"/>
          <w:lang w:val="lv-LV"/>
        </w:rPr>
        <w:t xml:space="preserve">jau </w:t>
      </w:r>
      <w:r w:rsidR="009A79A4" w:rsidRPr="006557B3">
        <w:rPr>
          <w:rStyle w:val="accent"/>
          <w:rFonts w:ascii="Times New Roman" w:hAnsi="Times New Roman"/>
          <w:sz w:val="24"/>
          <w:szCs w:val="24"/>
          <w:lang w:val="lv-LV"/>
        </w:rPr>
        <w:t xml:space="preserve">tiek </w:t>
      </w:r>
      <w:r w:rsidR="00394384" w:rsidRPr="006557B3">
        <w:rPr>
          <w:rStyle w:val="accent"/>
          <w:rFonts w:ascii="Times New Roman" w:hAnsi="Times New Roman"/>
          <w:sz w:val="24"/>
          <w:szCs w:val="24"/>
          <w:lang w:val="lv-LV"/>
        </w:rPr>
        <w:t>izmanto</w:t>
      </w:r>
      <w:r w:rsidR="009A79A4" w:rsidRPr="006557B3">
        <w:rPr>
          <w:rStyle w:val="accent"/>
          <w:rFonts w:ascii="Times New Roman" w:hAnsi="Times New Roman"/>
          <w:sz w:val="24"/>
          <w:szCs w:val="24"/>
          <w:lang w:val="lv-LV"/>
        </w:rPr>
        <w:t>ta</w:t>
      </w:r>
      <w:r w:rsidR="00394384" w:rsidRPr="006557B3">
        <w:rPr>
          <w:rStyle w:val="accent"/>
          <w:rFonts w:ascii="Times New Roman" w:hAnsi="Times New Roman"/>
          <w:sz w:val="24"/>
          <w:szCs w:val="24"/>
          <w:lang w:val="lv-LV"/>
        </w:rPr>
        <w:t xml:space="preserve"> veterināro zāļu reģistrācijas dokumentācijas saņemšanai, kā arī cit</w:t>
      </w:r>
      <w:r w:rsidR="009A79A4" w:rsidRPr="006557B3">
        <w:rPr>
          <w:rStyle w:val="accent"/>
          <w:rFonts w:ascii="Times New Roman" w:hAnsi="Times New Roman"/>
          <w:sz w:val="24"/>
          <w:szCs w:val="24"/>
          <w:lang w:val="lv-LV"/>
        </w:rPr>
        <w:t>ās</w:t>
      </w:r>
      <w:r w:rsidR="00394384" w:rsidRPr="006557B3">
        <w:rPr>
          <w:rStyle w:val="accent"/>
          <w:rFonts w:ascii="Times New Roman" w:hAnsi="Times New Roman"/>
          <w:sz w:val="24"/>
          <w:szCs w:val="24"/>
          <w:lang w:val="lv-LV"/>
        </w:rPr>
        <w:t xml:space="preserve"> ES dalībvalstis, kas veic uztura bagātinātāju reģistrāciju </w:t>
      </w:r>
      <w:r w:rsidRPr="006557B3">
        <w:rPr>
          <w:rStyle w:val="accent"/>
          <w:rFonts w:ascii="Times New Roman" w:hAnsi="Times New Roman"/>
          <w:sz w:val="24"/>
          <w:szCs w:val="24"/>
          <w:lang w:val="lv-LV"/>
        </w:rPr>
        <w:t xml:space="preserve">savā </w:t>
      </w:r>
      <w:r w:rsidR="00394384" w:rsidRPr="006557B3">
        <w:rPr>
          <w:rStyle w:val="accent"/>
          <w:rFonts w:ascii="Times New Roman" w:hAnsi="Times New Roman"/>
          <w:sz w:val="24"/>
          <w:szCs w:val="24"/>
          <w:lang w:val="lv-LV"/>
        </w:rPr>
        <w:t>valstī</w:t>
      </w:r>
      <w:r w:rsidR="009A79A4" w:rsidRPr="006557B3">
        <w:rPr>
          <w:rStyle w:val="accent"/>
          <w:rFonts w:ascii="Times New Roman" w:hAnsi="Times New Roman"/>
          <w:sz w:val="24"/>
          <w:szCs w:val="24"/>
          <w:lang w:val="lv-LV"/>
        </w:rPr>
        <w:t>;</w:t>
      </w:r>
    </w:p>
    <w:p w14:paraId="2660103C" w14:textId="1172E13D" w:rsidR="00284593" w:rsidRPr="006557B3" w:rsidRDefault="002330CF"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b)</w:t>
      </w:r>
      <w:r w:rsidR="00EF7835" w:rsidRPr="006557B3">
        <w:rPr>
          <w:rFonts w:ascii="Times New Roman" w:hAnsi="Times New Roman" w:cs="Times New Roman"/>
          <w:sz w:val="24"/>
          <w:szCs w:val="24"/>
          <w:lang w:val="lv-LV"/>
        </w:rPr>
        <w:t xml:space="preserve"> </w:t>
      </w:r>
      <w:r w:rsidR="00EF57CF" w:rsidRPr="006557B3">
        <w:rPr>
          <w:rFonts w:ascii="Times New Roman" w:hAnsi="Times New Roman" w:cs="Times New Roman"/>
          <w:sz w:val="24"/>
          <w:szCs w:val="24"/>
          <w:lang w:val="lv-LV"/>
        </w:rPr>
        <w:t>r</w:t>
      </w:r>
      <w:r w:rsidR="00284593" w:rsidRPr="006557B3">
        <w:rPr>
          <w:rFonts w:ascii="Times New Roman" w:hAnsi="Times New Roman" w:cs="Times New Roman"/>
          <w:sz w:val="24"/>
          <w:szCs w:val="24"/>
          <w:lang w:val="lv-LV"/>
        </w:rPr>
        <w:t xml:space="preserve">eģistra lietotājiem (patērētājiem, uzņēmējiem, kontroles institūcijām u.c.) būtu iespēja </w:t>
      </w:r>
      <w:r w:rsidRPr="006557B3">
        <w:rPr>
          <w:rFonts w:ascii="Times New Roman" w:hAnsi="Times New Roman" w:cs="Times New Roman"/>
          <w:sz w:val="24"/>
          <w:szCs w:val="24"/>
          <w:lang w:val="lv-LV"/>
        </w:rPr>
        <w:t>atlasīt un meklēt</w:t>
      </w:r>
      <w:r w:rsidR="00284593" w:rsidRPr="006557B3">
        <w:rPr>
          <w:rFonts w:ascii="Times New Roman" w:hAnsi="Times New Roman" w:cs="Times New Roman"/>
          <w:sz w:val="24"/>
          <w:szCs w:val="24"/>
          <w:lang w:val="lv-LV"/>
        </w:rPr>
        <w:t xml:space="preserve"> produktu</w:t>
      </w:r>
      <w:r w:rsidRPr="006557B3">
        <w:rPr>
          <w:rFonts w:ascii="Times New Roman" w:hAnsi="Times New Roman" w:cs="Times New Roman"/>
          <w:sz w:val="24"/>
          <w:szCs w:val="24"/>
          <w:lang w:val="lv-LV"/>
        </w:rPr>
        <w:t>s</w:t>
      </w:r>
      <w:r w:rsidR="00284593"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 xml:space="preserve">tos </w:t>
      </w:r>
      <w:r w:rsidR="00284593" w:rsidRPr="006557B3">
        <w:rPr>
          <w:rFonts w:ascii="Times New Roman" w:hAnsi="Times New Roman" w:cs="Times New Roman"/>
          <w:sz w:val="24"/>
          <w:szCs w:val="24"/>
          <w:lang w:val="lv-LV"/>
        </w:rPr>
        <w:t>grupē</w:t>
      </w:r>
      <w:r w:rsidRPr="006557B3">
        <w:rPr>
          <w:rFonts w:ascii="Times New Roman" w:hAnsi="Times New Roman" w:cs="Times New Roman"/>
          <w:sz w:val="24"/>
          <w:szCs w:val="24"/>
          <w:lang w:val="lv-LV"/>
        </w:rPr>
        <w:t>t</w:t>
      </w:r>
      <w:r w:rsidR="00284593" w:rsidRPr="006557B3">
        <w:rPr>
          <w:rFonts w:ascii="Times New Roman" w:hAnsi="Times New Roman" w:cs="Times New Roman"/>
          <w:sz w:val="24"/>
          <w:szCs w:val="24"/>
          <w:lang w:val="lv-LV"/>
        </w:rPr>
        <w:t xml:space="preserve"> pēc sastāvdaļām. Pašreizējais UB reģistrs šādu iespēju sniedz tikai daļēji</w:t>
      </w:r>
      <w:r w:rsidR="00EF57CF" w:rsidRPr="006557B3">
        <w:rPr>
          <w:rFonts w:ascii="Times New Roman" w:hAnsi="Times New Roman" w:cs="Times New Roman"/>
          <w:sz w:val="24"/>
          <w:szCs w:val="24"/>
          <w:lang w:val="lv-LV"/>
        </w:rPr>
        <w:t>;</w:t>
      </w:r>
    </w:p>
    <w:p w14:paraId="4E5B9C19" w14:textId="4AF3EB1D" w:rsidR="00284593" w:rsidRPr="006557B3" w:rsidRDefault="002330CF" w:rsidP="00C05C12">
      <w:pPr>
        <w:tabs>
          <w:tab w:val="left" w:pos="8647"/>
        </w:tabs>
        <w:spacing w:after="0" w:line="240" w:lineRule="auto"/>
        <w:ind w:firstLine="708"/>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c)</w:t>
      </w:r>
      <w:r w:rsidR="004A48DA" w:rsidRPr="006557B3">
        <w:rPr>
          <w:rFonts w:ascii="Times New Roman" w:hAnsi="Times New Roman" w:cs="Times New Roman"/>
          <w:sz w:val="24"/>
          <w:szCs w:val="24"/>
          <w:lang w:val="lv-LV"/>
        </w:rPr>
        <w:t xml:space="preserve"> </w:t>
      </w:r>
      <w:r w:rsidRPr="006557B3">
        <w:rPr>
          <w:rFonts w:ascii="Times New Roman" w:hAnsi="Times New Roman" w:cs="Times New Roman"/>
          <w:sz w:val="24"/>
          <w:szCs w:val="24"/>
          <w:lang w:val="lv-LV"/>
        </w:rPr>
        <w:t>parādīts</w:t>
      </w:r>
      <w:r w:rsidR="00284593" w:rsidRPr="006557B3">
        <w:rPr>
          <w:rFonts w:ascii="Times New Roman" w:hAnsi="Times New Roman" w:cs="Times New Roman"/>
          <w:sz w:val="24"/>
          <w:szCs w:val="24"/>
          <w:lang w:val="lv-LV"/>
        </w:rPr>
        <w:t xml:space="preserve"> produkta iepakojuma</w:t>
      </w:r>
      <w:r w:rsidR="00363EE4" w:rsidRPr="006557B3">
        <w:rPr>
          <w:rFonts w:ascii="Times New Roman" w:hAnsi="Times New Roman" w:cs="Times New Roman"/>
          <w:sz w:val="24"/>
          <w:szCs w:val="24"/>
          <w:lang w:val="lv-LV"/>
        </w:rPr>
        <w:t xml:space="preserve"> un</w:t>
      </w:r>
      <w:r w:rsidR="00284593" w:rsidRPr="006557B3">
        <w:rPr>
          <w:rFonts w:ascii="Times New Roman" w:hAnsi="Times New Roman" w:cs="Times New Roman"/>
          <w:sz w:val="24"/>
          <w:szCs w:val="24"/>
          <w:lang w:val="lv-LV"/>
        </w:rPr>
        <w:t xml:space="preserve"> marķējuma attēls</w:t>
      </w:r>
      <w:r w:rsidR="00EF7835" w:rsidRPr="006557B3">
        <w:rPr>
          <w:rFonts w:ascii="Times New Roman" w:hAnsi="Times New Roman" w:cs="Times New Roman"/>
          <w:sz w:val="24"/>
          <w:szCs w:val="24"/>
          <w:lang w:val="lv-LV"/>
        </w:rPr>
        <w:t>;</w:t>
      </w:r>
    </w:p>
    <w:p w14:paraId="2B803DCE" w14:textId="684E0BEA" w:rsidR="00284593" w:rsidRPr="006557B3" w:rsidRDefault="002330CF"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d)</w:t>
      </w:r>
      <w:r w:rsidR="00EF7835" w:rsidRPr="006557B3">
        <w:rPr>
          <w:rFonts w:ascii="Times New Roman" w:hAnsi="Times New Roman" w:cs="Times New Roman"/>
          <w:sz w:val="24"/>
          <w:szCs w:val="24"/>
          <w:lang w:val="lv-LV"/>
        </w:rPr>
        <w:t xml:space="preserve"> i</w:t>
      </w:r>
      <w:r w:rsidR="00284593" w:rsidRPr="006557B3">
        <w:rPr>
          <w:rFonts w:ascii="Times New Roman" w:hAnsi="Times New Roman" w:cs="Times New Roman"/>
          <w:sz w:val="24"/>
          <w:szCs w:val="24"/>
          <w:lang w:val="lv-LV"/>
        </w:rPr>
        <w:t xml:space="preserve">ekļauta informācija par reģistrētajiem specifiskajiem pārtikas produktiem </w:t>
      </w:r>
      <w:r w:rsidRPr="006557B3">
        <w:rPr>
          <w:rFonts w:ascii="Times New Roman" w:hAnsi="Times New Roman" w:cs="Times New Roman"/>
          <w:sz w:val="24"/>
          <w:szCs w:val="24"/>
          <w:lang w:val="lv-LV"/>
        </w:rPr>
        <w:t>–</w:t>
      </w:r>
      <w:r w:rsidR="00284593" w:rsidRPr="006557B3">
        <w:rPr>
          <w:rFonts w:ascii="Times New Roman" w:hAnsi="Times New Roman" w:cs="Times New Roman"/>
          <w:sz w:val="24"/>
          <w:szCs w:val="24"/>
          <w:lang w:val="lv-LV"/>
        </w:rPr>
        <w:t xml:space="preserve"> uztura bagātinātājiem, diētisko pārtiku, dabīgiem minerālūdeņiem un citām produktu kategorijām, ja to nākotnē noteiks normatīvie akti</w:t>
      </w:r>
      <w:r w:rsidR="00EF7835" w:rsidRPr="006557B3">
        <w:rPr>
          <w:rFonts w:ascii="Times New Roman" w:hAnsi="Times New Roman" w:cs="Times New Roman"/>
          <w:sz w:val="24"/>
          <w:szCs w:val="24"/>
          <w:lang w:val="lv-LV"/>
        </w:rPr>
        <w:t>;</w:t>
      </w:r>
      <w:r w:rsidR="00284593" w:rsidRPr="006557B3">
        <w:rPr>
          <w:rFonts w:ascii="Times New Roman" w:hAnsi="Times New Roman" w:cs="Times New Roman"/>
          <w:sz w:val="24"/>
          <w:szCs w:val="24"/>
          <w:lang w:val="lv-LV"/>
        </w:rPr>
        <w:t xml:space="preserve"> </w:t>
      </w:r>
    </w:p>
    <w:p w14:paraId="71CFCFB1" w14:textId="207D2FEF" w:rsidR="00284593" w:rsidRPr="006557B3" w:rsidRDefault="002330CF"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e)</w:t>
      </w:r>
      <w:r w:rsidR="00EF7835" w:rsidRPr="006557B3">
        <w:rPr>
          <w:rFonts w:ascii="Times New Roman" w:hAnsi="Times New Roman" w:cs="Times New Roman"/>
          <w:sz w:val="24"/>
          <w:szCs w:val="24"/>
          <w:lang w:val="lv-LV"/>
        </w:rPr>
        <w:t xml:space="preserve"> </w:t>
      </w:r>
      <w:r w:rsidR="00284593" w:rsidRPr="006557B3">
        <w:rPr>
          <w:rFonts w:ascii="Times New Roman" w:hAnsi="Times New Roman" w:cs="Times New Roman"/>
          <w:sz w:val="24"/>
          <w:szCs w:val="24"/>
          <w:lang w:val="lv-LV"/>
        </w:rPr>
        <w:t>uztura bagātinātāj</w:t>
      </w:r>
      <w:r w:rsidRPr="006557B3">
        <w:rPr>
          <w:rFonts w:ascii="Times New Roman" w:hAnsi="Times New Roman" w:cs="Times New Roman"/>
          <w:sz w:val="24"/>
          <w:szCs w:val="24"/>
          <w:lang w:val="lv-LV"/>
        </w:rPr>
        <w:t>u</w:t>
      </w:r>
      <w:r w:rsidR="00284593" w:rsidRPr="006557B3">
        <w:rPr>
          <w:rFonts w:ascii="Times New Roman" w:hAnsi="Times New Roman" w:cs="Times New Roman"/>
          <w:sz w:val="24"/>
          <w:szCs w:val="24"/>
          <w:lang w:val="lv-LV"/>
        </w:rPr>
        <w:t xml:space="preserve"> operatoriem </w:t>
      </w:r>
      <w:r w:rsidRPr="006557B3">
        <w:rPr>
          <w:rFonts w:ascii="Times New Roman" w:hAnsi="Times New Roman" w:cs="Times New Roman"/>
          <w:sz w:val="24"/>
          <w:szCs w:val="24"/>
          <w:lang w:val="lv-LV"/>
        </w:rPr>
        <w:t xml:space="preserve">būtu iespēja </w:t>
      </w:r>
      <w:r w:rsidR="00284593" w:rsidRPr="006557B3">
        <w:rPr>
          <w:rFonts w:ascii="Times New Roman" w:hAnsi="Times New Roman" w:cs="Times New Roman"/>
          <w:sz w:val="24"/>
          <w:szCs w:val="24"/>
          <w:lang w:val="lv-LV"/>
        </w:rPr>
        <w:t xml:space="preserve">elektroniski iesniegt </w:t>
      </w:r>
      <w:r w:rsidRPr="006557B3">
        <w:rPr>
          <w:rFonts w:ascii="Times New Roman" w:hAnsi="Times New Roman" w:cs="Times New Roman"/>
          <w:sz w:val="24"/>
          <w:szCs w:val="24"/>
          <w:lang w:val="lv-LV"/>
        </w:rPr>
        <w:t>p</w:t>
      </w:r>
      <w:r w:rsidR="00284593" w:rsidRPr="006557B3">
        <w:rPr>
          <w:rFonts w:ascii="Times New Roman" w:hAnsi="Times New Roman" w:cs="Times New Roman"/>
          <w:sz w:val="24"/>
          <w:szCs w:val="24"/>
          <w:lang w:val="lv-LV"/>
        </w:rPr>
        <w:t>aziņojumu par specifisko pārtikas produktu reģistrāciju, veikt autorizētu saraksti ar PVD, tā mazinot administratīvo slogu un padarot efektīvāku savstarpējo komunikāciju</w:t>
      </w:r>
      <w:r w:rsidR="00EF7835" w:rsidRPr="006557B3">
        <w:rPr>
          <w:rFonts w:ascii="Times New Roman" w:hAnsi="Times New Roman" w:cs="Times New Roman"/>
          <w:sz w:val="24"/>
          <w:szCs w:val="24"/>
          <w:lang w:val="lv-LV"/>
        </w:rPr>
        <w:t>;</w:t>
      </w:r>
    </w:p>
    <w:p w14:paraId="4C5F9A8F" w14:textId="31D26882" w:rsidR="00284593" w:rsidRPr="006557B3" w:rsidRDefault="002330CF" w:rsidP="00C05C12">
      <w:pPr>
        <w:tabs>
          <w:tab w:val="left" w:pos="8647"/>
        </w:tabs>
        <w:spacing w:after="0" w:line="240" w:lineRule="auto"/>
        <w:ind w:firstLine="709"/>
        <w:jc w:val="both"/>
        <w:rPr>
          <w:rFonts w:ascii="Times New Roman" w:hAnsi="Times New Roman" w:cs="Times New Roman"/>
          <w:sz w:val="24"/>
          <w:szCs w:val="24"/>
          <w:lang w:val="lv-LV"/>
        </w:rPr>
      </w:pPr>
      <w:r w:rsidRPr="006557B3">
        <w:rPr>
          <w:rFonts w:ascii="Times New Roman" w:hAnsi="Times New Roman" w:cs="Times New Roman"/>
          <w:sz w:val="24"/>
          <w:szCs w:val="24"/>
          <w:lang w:val="lv-LV"/>
        </w:rPr>
        <w:t xml:space="preserve">f) </w:t>
      </w:r>
      <w:r w:rsidR="00EF7835" w:rsidRPr="006557B3">
        <w:rPr>
          <w:rFonts w:ascii="Times New Roman" w:hAnsi="Times New Roman" w:cs="Times New Roman"/>
          <w:sz w:val="24"/>
          <w:szCs w:val="24"/>
          <w:lang w:val="lv-LV"/>
        </w:rPr>
        <w:t>in</w:t>
      </w:r>
      <w:r w:rsidR="00284593" w:rsidRPr="006557B3">
        <w:rPr>
          <w:rFonts w:ascii="Times New Roman" w:hAnsi="Times New Roman" w:cs="Times New Roman"/>
          <w:sz w:val="24"/>
          <w:szCs w:val="24"/>
          <w:lang w:val="lv-LV"/>
        </w:rPr>
        <w:t>formācijas ievad</w:t>
      </w:r>
      <w:r w:rsidRPr="006557B3">
        <w:rPr>
          <w:rFonts w:ascii="Times New Roman" w:hAnsi="Times New Roman" w:cs="Times New Roman"/>
          <w:sz w:val="24"/>
          <w:szCs w:val="24"/>
          <w:lang w:val="lv-LV"/>
        </w:rPr>
        <w:t>īšana</w:t>
      </w:r>
      <w:r w:rsidR="00284593" w:rsidRPr="006557B3">
        <w:rPr>
          <w:rFonts w:ascii="Times New Roman" w:hAnsi="Times New Roman" w:cs="Times New Roman"/>
          <w:sz w:val="24"/>
          <w:szCs w:val="24"/>
          <w:lang w:val="lv-LV"/>
        </w:rPr>
        <w:t xml:space="preserve"> un apstrāde, balstīta uz noteiktu, vienotu klasifikatoru piesaisti un</w:t>
      </w:r>
      <w:r w:rsidR="00363EE4" w:rsidRPr="006557B3">
        <w:rPr>
          <w:rFonts w:ascii="Times New Roman" w:hAnsi="Times New Roman" w:cs="Times New Roman"/>
          <w:sz w:val="24"/>
          <w:szCs w:val="24"/>
          <w:lang w:val="lv-LV"/>
        </w:rPr>
        <w:t xml:space="preserve"> (</w:t>
      </w:r>
      <w:r w:rsidR="00284593" w:rsidRPr="006557B3">
        <w:rPr>
          <w:rFonts w:ascii="Times New Roman" w:hAnsi="Times New Roman" w:cs="Times New Roman"/>
          <w:sz w:val="24"/>
          <w:szCs w:val="24"/>
          <w:lang w:val="lv-LV"/>
        </w:rPr>
        <w:t>vai</w:t>
      </w:r>
      <w:r w:rsidR="00363EE4" w:rsidRPr="006557B3">
        <w:rPr>
          <w:rFonts w:ascii="Times New Roman" w:hAnsi="Times New Roman" w:cs="Times New Roman"/>
          <w:sz w:val="24"/>
          <w:szCs w:val="24"/>
          <w:lang w:val="lv-LV"/>
        </w:rPr>
        <w:t>)</w:t>
      </w:r>
      <w:r w:rsidR="00284593" w:rsidRPr="006557B3">
        <w:rPr>
          <w:rFonts w:ascii="Times New Roman" w:hAnsi="Times New Roman" w:cs="Times New Roman"/>
          <w:sz w:val="24"/>
          <w:szCs w:val="24"/>
          <w:lang w:val="lv-LV"/>
        </w:rPr>
        <w:t xml:space="preserve"> izveidi, piemēram:</w:t>
      </w:r>
    </w:p>
    <w:p w14:paraId="0AB9311A" w14:textId="510B4572" w:rsidR="00284593" w:rsidRPr="006557B3" w:rsidRDefault="00284593" w:rsidP="00C05C12">
      <w:pPr>
        <w:pStyle w:val="Sarakstarindkopa"/>
        <w:numPr>
          <w:ilvl w:val="1"/>
          <w:numId w:val="48"/>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 xml:space="preserve">juridisko personu adrešu klasifikatora piesaiste </w:t>
      </w:r>
      <w:r w:rsidR="00363EE4" w:rsidRPr="006557B3">
        <w:rPr>
          <w:rFonts w:ascii="Times New Roman" w:hAnsi="Times New Roman"/>
          <w:sz w:val="24"/>
          <w:szCs w:val="24"/>
          <w:lang w:val="lv-LV"/>
        </w:rPr>
        <w:t>vienota adrešu pieraksta</w:t>
      </w:r>
      <w:r w:rsidRPr="006557B3">
        <w:rPr>
          <w:rFonts w:ascii="Times New Roman" w:hAnsi="Times New Roman"/>
          <w:sz w:val="24"/>
          <w:szCs w:val="24"/>
          <w:lang w:val="lv-LV"/>
        </w:rPr>
        <w:t xml:space="preserve"> nodrošinā</w:t>
      </w:r>
      <w:r w:rsidR="00363EE4" w:rsidRPr="006557B3">
        <w:rPr>
          <w:rFonts w:ascii="Times New Roman" w:hAnsi="Times New Roman"/>
          <w:sz w:val="24"/>
          <w:szCs w:val="24"/>
          <w:lang w:val="lv-LV"/>
        </w:rPr>
        <w:t>šanai</w:t>
      </w:r>
      <w:r w:rsidRPr="006557B3">
        <w:rPr>
          <w:rFonts w:ascii="Times New Roman" w:hAnsi="Times New Roman"/>
          <w:sz w:val="24"/>
          <w:szCs w:val="24"/>
          <w:lang w:val="lv-LV"/>
        </w:rPr>
        <w:t xml:space="preserve">; </w:t>
      </w:r>
    </w:p>
    <w:p w14:paraId="7D9D5B0E" w14:textId="58C6E66B" w:rsidR="00284593" w:rsidRPr="006557B3" w:rsidRDefault="00284593" w:rsidP="00C05C12">
      <w:pPr>
        <w:pStyle w:val="Sarakstarindkopa"/>
        <w:numPr>
          <w:ilvl w:val="1"/>
          <w:numId w:val="48"/>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sasaiste ar PVD uzraudzībai pakļauto uzņēmumu reģistru;</w:t>
      </w:r>
    </w:p>
    <w:p w14:paraId="18BB1329" w14:textId="7861B56F" w:rsidR="00C95FA2" w:rsidRPr="006557B3" w:rsidRDefault="00284593" w:rsidP="00C05C12">
      <w:pPr>
        <w:pStyle w:val="Sarakstarindkopa"/>
        <w:numPr>
          <w:ilvl w:val="1"/>
          <w:numId w:val="48"/>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klasifikatoru izstrāde atsevišķām pārtikas produktu sastāvdaļu grupām (vitamīniem, minerālvielām un to ķīmisko savienojumu veidiem, augu valsts sastāvdaļām, pārtikas piedevām u.c.). Tād</w:t>
      </w:r>
      <w:r w:rsidR="002330CF" w:rsidRPr="006557B3">
        <w:rPr>
          <w:rFonts w:ascii="Times New Roman" w:hAnsi="Times New Roman"/>
          <w:sz w:val="24"/>
          <w:szCs w:val="24"/>
          <w:lang w:val="lv-LV"/>
        </w:rPr>
        <w:t>ē</w:t>
      </w:r>
      <w:r w:rsidRPr="006557B3">
        <w:rPr>
          <w:rFonts w:ascii="Times New Roman" w:hAnsi="Times New Roman"/>
          <w:sz w:val="24"/>
          <w:szCs w:val="24"/>
          <w:lang w:val="lv-LV"/>
        </w:rPr>
        <w:t>jādi tiktu nodrošināt</w:t>
      </w:r>
      <w:r w:rsidR="00363EE4" w:rsidRPr="006557B3">
        <w:rPr>
          <w:rFonts w:ascii="Times New Roman" w:hAnsi="Times New Roman"/>
          <w:sz w:val="24"/>
          <w:szCs w:val="24"/>
          <w:lang w:val="lv-LV"/>
        </w:rPr>
        <w:t>s</w:t>
      </w:r>
      <w:r w:rsidRPr="006557B3">
        <w:rPr>
          <w:rFonts w:ascii="Times New Roman" w:hAnsi="Times New Roman"/>
          <w:sz w:val="24"/>
          <w:szCs w:val="24"/>
          <w:lang w:val="lv-LV"/>
        </w:rPr>
        <w:t xml:space="preserve"> vienots sastāvdaļu pieraksts reģistrā, kā arī paātrināta informācijas ievad</w:t>
      </w:r>
      <w:r w:rsidR="00363EE4" w:rsidRPr="006557B3">
        <w:rPr>
          <w:rFonts w:ascii="Times New Roman" w:hAnsi="Times New Roman"/>
          <w:sz w:val="24"/>
          <w:szCs w:val="24"/>
          <w:lang w:val="lv-LV"/>
        </w:rPr>
        <w:t>īšana</w:t>
      </w:r>
      <w:r w:rsidRPr="006557B3">
        <w:rPr>
          <w:rFonts w:ascii="Times New Roman" w:hAnsi="Times New Roman"/>
          <w:sz w:val="24"/>
          <w:szCs w:val="24"/>
          <w:lang w:val="lv-LV"/>
        </w:rPr>
        <w:t xml:space="preserve"> sistēmā.</w:t>
      </w:r>
    </w:p>
    <w:p w14:paraId="5BDAD519" w14:textId="77777777" w:rsidR="00284593" w:rsidRPr="006557B3" w:rsidRDefault="00284593" w:rsidP="00C05C12">
      <w:pPr>
        <w:pStyle w:val="Sarakstarindkopa"/>
        <w:tabs>
          <w:tab w:val="left" w:pos="8647"/>
        </w:tabs>
        <w:spacing w:after="0" w:line="240" w:lineRule="auto"/>
        <w:ind w:left="1069"/>
        <w:jc w:val="both"/>
        <w:rPr>
          <w:rFonts w:ascii="Times New Roman" w:hAnsi="Times New Roman"/>
          <w:sz w:val="24"/>
          <w:szCs w:val="24"/>
          <w:lang w:val="lv-LV"/>
        </w:rPr>
      </w:pPr>
    </w:p>
    <w:p w14:paraId="752E0BAD" w14:textId="7D88D88F" w:rsidR="0098443F" w:rsidRPr="006557B3" w:rsidRDefault="00AB5F9A" w:rsidP="007240BC">
      <w:pPr>
        <w:keepNext/>
        <w:tabs>
          <w:tab w:val="left" w:pos="8647"/>
        </w:tabs>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t>7.</w:t>
      </w:r>
      <w:r w:rsidR="00D94266" w:rsidRPr="006557B3">
        <w:rPr>
          <w:rFonts w:ascii="Times New Roman" w:hAnsi="Times New Roman" w:cs="Times New Roman"/>
          <w:b/>
          <w:sz w:val="24"/>
          <w:szCs w:val="24"/>
          <w:lang w:val="lv-LV"/>
        </w:rPr>
        <w:t>6</w:t>
      </w:r>
      <w:r w:rsidRPr="006557B3">
        <w:rPr>
          <w:rFonts w:ascii="Times New Roman" w:hAnsi="Times New Roman" w:cs="Times New Roman"/>
          <w:b/>
          <w:sz w:val="24"/>
          <w:szCs w:val="24"/>
          <w:lang w:val="lv-LV"/>
        </w:rPr>
        <w:t xml:space="preserve">. </w:t>
      </w:r>
      <w:r w:rsidR="00363EE4" w:rsidRPr="006557B3">
        <w:rPr>
          <w:rFonts w:ascii="Times New Roman" w:hAnsi="Times New Roman" w:cs="Times New Roman"/>
          <w:b/>
          <w:sz w:val="24"/>
          <w:szCs w:val="24"/>
          <w:lang w:val="lv-LV"/>
        </w:rPr>
        <w:t>Informācija j</w:t>
      </w:r>
      <w:r w:rsidR="0046074A" w:rsidRPr="006557B3">
        <w:rPr>
          <w:rFonts w:ascii="Times New Roman" w:hAnsi="Times New Roman" w:cs="Times New Roman"/>
          <w:b/>
          <w:sz w:val="24"/>
          <w:szCs w:val="24"/>
          <w:lang w:val="lv-LV"/>
        </w:rPr>
        <w:t>auna</w:t>
      </w:r>
      <w:r w:rsidR="00363EE4" w:rsidRPr="006557B3">
        <w:rPr>
          <w:rFonts w:ascii="Times New Roman" w:hAnsi="Times New Roman" w:cs="Times New Roman"/>
          <w:b/>
          <w:sz w:val="24"/>
          <w:szCs w:val="24"/>
          <w:lang w:val="lv-LV"/>
        </w:rPr>
        <w:t>jā</w:t>
      </w:r>
      <w:r w:rsidR="0046074A" w:rsidRPr="006557B3">
        <w:rPr>
          <w:rFonts w:ascii="Times New Roman" w:hAnsi="Times New Roman" w:cs="Times New Roman"/>
          <w:b/>
          <w:sz w:val="24"/>
          <w:szCs w:val="24"/>
          <w:lang w:val="lv-LV"/>
        </w:rPr>
        <w:t xml:space="preserve"> r</w:t>
      </w:r>
      <w:r w:rsidR="00912645" w:rsidRPr="006557B3">
        <w:rPr>
          <w:rFonts w:ascii="Times New Roman" w:hAnsi="Times New Roman" w:cs="Times New Roman"/>
          <w:b/>
          <w:sz w:val="24"/>
          <w:szCs w:val="24"/>
          <w:lang w:val="lv-LV"/>
        </w:rPr>
        <w:t>eģistr</w:t>
      </w:r>
      <w:r w:rsidR="00363EE4" w:rsidRPr="006557B3">
        <w:rPr>
          <w:rFonts w:ascii="Times New Roman" w:hAnsi="Times New Roman" w:cs="Times New Roman"/>
          <w:b/>
          <w:sz w:val="24"/>
          <w:szCs w:val="24"/>
          <w:lang w:val="lv-LV"/>
        </w:rPr>
        <w:t>ā:</w:t>
      </w:r>
      <w:r w:rsidR="0098443F" w:rsidRPr="006557B3">
        <w:rPr>
          <w:rFonts w:ascii="Times New Roman" w:hAnsi="Times New Roman" w:cs="Times New Roman"/>
          <w:b/>
          <w:sz w:val="24"/>
          <w:szCs w:val="24"/>
          <w:lang w:val="lv-LV"/>
        </w:rPr>
        <w:t xml:space="preserve"> </w:t>
      </w:r>
    </w:p>
    <w:p w14:paraId="0282E5C3" w14:textId="1C3DEFEE" w:rsidR="0098443F" w:rsidRPr="006557B3" w:rsidRDefault="0046074A" w:rsidP="007240BC">
      <w:pPr>
        <w:pStyle w:val="Sarakstarindkopa"/>
        <w:keepNext/>
        <w:numPr>
          <w:ilvl w:val="1"/>
          <w:numId w:val="50"/>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 xml:space="preserve">pārtikas </w:t>
      </w:r>
      <w:r w:rsidR="00D43B3F" w:rsidRPr="006557B3">
        <w:rPr>
          <w:rFonts w:ascii="Times New Roman" w:hAnsi="Times New Roman"/>
          <w:sz w:val="24"/>
          <w:szCs w:val="24"/>
          <w:lang w:val="lv-LV"/>
        </w:rPr>
        <w:t>p</w:t>
      </w:r>
      <w:r w:rsidR="0098443F" w:rsidRPr="006557B3">
        <w:rPr>
          <w:rFonts w:ascii="Times New Roman" w:hAnsi="Times New Roman"/>
          <w:sz w:val="24"/>
          <w:szCs w:val="24"/>
          <w:lang w:val="lv-LV"/>
        </w:rPr>
        <w:t>rodukt</w:t>
      </w:r>
      <w:r w:rsidRPr="006557B3">
        <w:rPr>
          <w:rFonts w:ascii="Times New Roman" w:hAnsi="Times New Roman"/>
          <w:sz w:val="24"/>
          <w:szCs w:val="24"/>
          <w:lang w:val="lv-LV"/>
        </w:rPr>
        <w:t xml:space="preserve">a </w:t>
      </w:r>
      <w:r w:rsidR="0098443F" w:rsidRPr="006557B3">
        <w:rPr>
          <w:rFonts w:ascii="Times New Roman" w:hAnsi="Times New Roman"/>
          <w:sz w:val="24"/>
          <w:szCs w:val="24"/>
          <w:lang w:val="lv-LV"/>
        </w:rPr>
        <w:t>nosaukum</w:t>
      </w:r>
      <w:r w:rsidR="00363EE4" w:rsidRPr="006557B3">
        <w:rPr>
          <w:rFonts w:ascii="Times New Roman" w:hAnsi="Times New Roman"/>
          <w:sz w:val="24"/>
          <w:szCs w:val="24"/>
          <w:lang w:val="lv-LV"/>
        </w:rPr>
        <w:t>s</w:t>
      </w:r>
      <w:r w:rsidR="0098443F" w:rsidRPr="006557B3">
        <w:rPr>
          <w:rFonts w:ascii="Times New Roman" w:hAnsi="Times New Roman"/>
          <w:sz w:val="24"/>
          <w:szCs w:val="24"/>
          <w:lang w:val="lv-LV"/>
        </w:rPr>
        <w:t>, pagatavojuma veid</w:t>
      </w:r>
      <w:r w:rsidR="00363EE4" w:rsidRPr="006557B3">
        <w:rPr>
          <w:rFonts w:ascii="Times New Roman" w:hAnsi="Times New Roman"/>
          <w:sz w:val="24"/>
          <w:szCs w:val="24"/>
          <w:lang w:val="lv-LV"/>
        </w:rPr>
        <w:t>s</w:t>
      </w:r>
      <w:r w:rsidR="0098443F" w:rsidRPr="006557B3">
        <w:rPr>
          <w:rFonts w:ascii="Times New Roman" w:hAnsi="Times New Roman"/>
          <w:sz w:val="24"/>
          <w:szCs w:val="24"/>
          <w:lang w:val="lv-LV"/>
        </w:rPr>
        <w:t>, fasējuma un iepakojuma vienības lielum</w:t>
      </w:r>
      <w:r w:rsidR="00363EE4" w:rsidRPr="006557B3">
        <w:rPr>
          <w:rFonts w:ascii="Times New Roman" w:hAnsi="Times New Roman"/>
          <w:sz w:val="24"/>
          <w:szCs w:val="24"/>
          <w:lang w:val="lv-LV"/>
        </w:rPr>
        <w:t>s</w:t>
      </w:r>
      <w:r w:rsidR="0098443F" w:rsidRPr="006557B3">
        <w:rPr>
          <w:rFonts w:ascii="Times New Roman" w:hAnsi="Times New Roman"/>
          <w:sz w:val="24"/>
          <w:szCs w:val="24"/>
          <w:lang w:val="lv-LV"/>
        </w:rPr>
        <w:t>, ieteicam</w:t>
      </w:r>
      <w:r w:rsidR="00363EE4" w:rsidRPr="006557B3">
        <w:rPr>
          <w:rFonts w:ascii="Times New Roman" w:hAnsi="Times New Roman"/>
          <w:sz w:val="24"/>
          <w:szCs w:val="24"/>
          <w:lang w:val="lv-LV"/>
        </w:rPr>
        <w:t>ā</w:t>
      </w:r>
      <w:r w:rsidR="0098443F" w:rsidRPr="006557B3">
        <w:rPr>
          <w:rFonts w:ascii="Times New Roman" w:hAnsi="Times New Roman"/>
          <w:sz w:val="24"/>
          <w:szCs w:val="24"/>
          <w:lang w:val="lv-LV"/>
        </w:rPr>
        <w:t xml:space="preserve"> dienas dev</w:t>
      </w:r>
      <w:r w:rsidR="00363EE4" w:rsidRPr="006557B3">
        <w:rPr>
          <w:rFonts w:ascii="Times New Roman" w:hAnsi="Times New Roman"/>
          <w:sz w:val="24"/>
          <w:szCs w:val="24"/>
          <w:lang w:val="lv-LV"/>
        </w:rPr>
        <w:t>a</w:t>
      </w:r>
      <w:r w:rsidR="0098443F" w:rsidRPr="006557B3">
        <w:rPr>
          <w:rFonts w:ascii="Times New Roman" w:hAnsi="Times New Roman"/>
          <w:sz w:val="24"/>
          <w:szCs w:val="24"/>
          <w:lang w:val="lv-LV"/>
        </w:rPr>
        <w:t>;</w:t>
      </w:r>
    </w:p>
    <w:p w14:paraId="72B50B54" w14:textId="73DBEFBA" w:rsidR="003F13B4" w:rsidRPr="006557B3" w:rsidRDefault="00F54BC7" w:rsidP="00C05C12">
      <w:pPr>
        <w:pStyle w:val="Sarakstarindkopa"/>
        <w:numPr>
          <w:ilvl w:val="1"/>
          <w:numId w:val="50"/>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produkta sastāvdaļ</w:t>
      </w:r>
      <w:r w:rsidR="00363EE4" w:rsidRPr="006557B3">
        <w:rPr>
          <w:rFonts w:ascii="Times New Roman" w:hAnsi="Times New Roman"/>
          <w:sz w:val="24"/>
          <w:szCs w:val="24"/>
          <w:lang w:val="lv-LV"/>
        </w:rPr>
        <w:t>as</w:t>
      </w:r>
      <w:r w:rsidR="003F13B4" w:rsidRPr="006557B3">
        <w:rPr>
          <w:rFonts w:ascii="Times New Roman" w:hAnsi="Times New Roman"/>
          <w:sz w:val="24"/>
          <w:szCs w:val="24"/>
          <w:lang w:val="lv-LV"/>
        </w:rPr>
        <w:t>.</w:t>
      </w:r>
      <w:r w:rsidR="00835D89" w:rsidRPr="006557B3">
        <w:rPr>
          <w:rFonts w:ascii="Times New Roman" w:hAnsi="Times New Roman"/>
          <w:sz w:val="24"/>
          <w:szCs w:val="24"/>
          <w:lang w:val="lv-LV"/>
        </w:rPr>
        <w:t xml:space="preserve"> </w:t>
      </w:r>
      <w:r w:rsidR="003F13B4" w:rsidRPr="006557B3">
        <w:rPr>
          <w:rFonts w:ascii="Times New Roman" w:hAnsi="Times New Roman"/>
          <w:sz w:val="24"/>
          <w:szCs w:val="24"/>
          <w:lang w:val="lv-LV"/>
        </w:rPr>
        <w:t xml:space="preserve">Sastāvdaļu saraksts </w:t>
      </w:r>
      <w:r w:rsidR="00835D89" w:rsidRPr="006557B3">
        <w:rPr>
          <w:rFonts w:ascii="Times New Roman" w:hAnsi="Times New Roman"/>
          <w:sz w:val="24"/>
          <w:szCs w:val="24"/>
          <w:lang w:val="lv-LV"/>
        </w:rPr>
        <w:t xml:space="preserve">ir </w:t>
      </w:r>
      <w:r w:rsidR="003F13B4" w:rsidRPr="006557B3">
        <w:rPr>
          <w:rFonts w:ascii="Times New Roman" w:hAnsi="Times New Roman"/>
          <w:sz w:val="24"/>
          <w:szCs w:val="24"/>
          <w:lang w:val="lv-LV"/>
        </w:rPr>
        <w:t>plašs</w:t>
      </w:r>
      <w:r w:rsidR="00363EE4" w:rsidRPr="006557B3">
        <w:rPr>
          <w:rFonts w:ascii="Times New Roman" w:hAnsi="Times New Roman"/>
          <w:sz w:val="24"/>
          <w:szCs w:val="24"/>
          <w:lang w:val="lv-LV"/>
        </w:rPr>
        <w:t xml:space="preserve"> un</w:t>
      </w:r>
      <w:r w:rsidR="003F13B4" w:rsidRPr="006557B3">
        <w:rPr>
          <w:rFonts w:ascii="Times New Roman" w:hAnsi="Times New Roman"/>
          <w:sz w:val="24"/>
          <w:szCs w:val="24"/>
          <w:lang w:val="lv-LV"/>
        </w:rPr>
        <w:t xml:space="preserve"> daudzveidīgs</w:t>
      </w:r>
      <w:r w:rsidR="00363EE4" w:rsidRPr="006557B3">
        <w:rPr>
          <w:rFonts w:ascii="Times New Roman" w:hAnsi="Times New Roman"/>
          <w:sz w:val="24"/>
          <w:szCs w:val="24"/>
          <w:lang w:val="lv-LV"/>
        </w:rPr>
        <w:t xml:space="preserve"> –</w:t>
      </w:r>
      <w:r w:rsidR="003F13B4" w:rsidRPr="006557B3">
        <w:rPr>
          <w:rFonts w:ascii="Times New Roman" w:hAnsi="Times New Roman"/>
          <w:sz w:val="24"/>
          <w:szCs w:val="24"/>
          <w:lang w:val="lv-LV"/>
        </w:rPr>
        <w:t xml:space="preserve"> no uzturvielām un vielām ar uzturvērtību vai fizioloģisko ietekmi, piemēram, vitamīniem, minerālvielām, aminoskābēm, augu valsts sastāvdaļām līdz jaunās pārtikas sastāvdaļām un dažādām palīgvielām,</w:t>
      </w:r>
      <w:r w:rsidR="00BE35E2">
        <w:rPr>
          <w:rFonts w:ascii="Times New Roman" w:hAnsi="Times New Roman"/>
          <w:sz w:val="24"/>
          <w:szCs w:val="24"/>
          <w:lang w:val="lv-LV"/>
        </w:rPr>
        <w:t xml:space="preserve"> </w:t>
      </w:r>
      <w:r w:rsidR="003F13B4" w:rsidRPr="006557B3">
        <w:rPr>
          <w:rFonts w:ascii="Times New Roman" w:hAnsi="Times New Roman"/>
          <w:sz w:val="24"/>
          <w:szCs w:val="24"/>
          <w:lang w:val="lv-LV"/>
        </w:rPr>
        <w:t>tostarp pārtikas piedevām</w:t>
      </w:r>
      <w:r w:rsidR="00835D89" w:rsidRPr="006557B3">
        <w:rPr>
          <w:rFonts w:ascii="Times New Roman" w:hAnsi="Times New Roman"/>
          <w:sz w:val="24"/>
          <w:szCs w:val="24"/>
          <w:lang w:val="lv-LV"/>
        </w:rPr>
        <w:t>;</w:t>
      </w:r>
      <w:r w:rsidR="003F13B4" w:rsidRPr="006557B3">
        <w:rPr>
          <w:rFonts w:ascii="Times New Roman" w:hAnsi="Times New Roman"/>
          <w:sz w:val="24"/>
          <w:szCs w:val="24"/>
          <w:lang w:val="lv-LV"/>
        </w:rPr>
        <w:t xml:space="preserve"> </w:t>
      </w:r>
    </w:p>
    <w:p w14:paraId="26809D24" w14:textId="453E78BA" w:rsidR="0046074A" w:rsidRPr="006557B3" w:rsidRDefault="0046074A" w:rsidP="00C05C12">
      <w:pPr>
        <w:pStyle w:val="Sarakstarindkopa"/>
        <w:numPr>
          <w:ilvl w:val="1"/>
          <w:numId w:val="50"/>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lastRenderedPageBreak/>
        <w:t xml:space="preserve">pārtikas </w:t>
      </w:r>
      <w:r w:rsidR="00D43B3F" w:rsidRPr="006557B3">
        <w:rPr>
          <w:rFonts w:ascii="Times New Roman" w:hAnsi="Times New Roman"/>
          <w:sz w:val="24"/>
          <w:szCs w:val="24"/>
          <w:lang w:val="lv-LV"/>
        </w:rPr>
        <w:t>p</w:t>
      </w:r>
      <w:r w:rsidR="0098443F" w:rsidRPr="006557B3">
        <w:rPr>
          <w:rFonts w:ascii="Times New Roman" w:hAnsi="Times New Roman"/>
          <w:sz w:val="24"/>
          <w:szCs w:val="24"/>
          <w:lang w:val="lv-LV"/>
        </w:rPr>
        <w:t>rodukta marķējum</w:t>
      </w:r>
      <w:r w:rsidR="00363EE4" w:rsidRPr="006557B3">
        <w:rPr>
          <w:rFonts w:ascii="Times New Roman" w:hAnsi="Times New Roman"/>
          <w:sz w:val="24"/>
          <w:szCs w:val="24"/>
          <w:lang w:val="lv-LV"/>
        </w:rPr>
        <w:t>s</w:t>
      </w:r>
      <w:r w:rsidR="0098443F" w:rsidRPr="006557B3">
        <w:rPr>
          <w:rFonts w:ascii="Times New Roman" w:hAnsi="Times New Roman"/>
          <w:sz w:val="24"/>
          <w:szCs w:val="24"/>
          <w:lang w:val="lv-LV"/>
        </w:rPr>
        <w:t xml:space="preserve"> un cit</w:t>
      </w:r>
      <w:r w:rsidR="00363EE4" w:rsidRPr="006557B3">
        <w:rPr>
          <w:rFonts w:ascii="Times New Roman" w:hAnsi="Times New Roman"/>
          <w:sz w:val="24"/>
          <w:szCs w:val="24"/>
          <w:lang w:val="lv-LV"/>
        </w:rPr>
        <w:t>a</w:t>
      </w:r>
      <w:r w:rsidR="0098443F" w:rsidRPr="006557B3">
        <w:rPr>
          <w:rFonts w:ascii="Times New Roman" w:hAnsi="Times New Roman"/>
          <w:sz w:val="24"/>
          <w:szCs w:val="24"/>
          <w:lang w:val="lv-LV"/>
        </w:rPr>
        <w:t xml:space="preserve"> tam pievienot</w:t>
      </w:r>
      <w:r w:rsidR="00363EE4" w:rsidRPr="006557B3">
        <w:rPr>
          <w:rFonts w:ascii="Times New Roman" w:hAnsi="Times New Roman"/>
          <w:sz w:val="24"/>
          <w:szCs w:val="24"/>
          <w:lang w:val="lv-LV"/>
        </w:rPr>
        <w:t>ā</w:t>
      </w:r>
      <w:r w:rsidR="0098443F" w:rsidRPr="006557B3">
        <w:rPr>
          <w:rFonts w:ascii="Times New Roman" w:hAnsi="Times New Roman"/>
          <w:sz w:val="24"/>
          <w:szCs w:val="24"/>
          <w:lang w:val="lv-LV"/>
        </w:rPr>
        <w:t xml:space="preserve"> informācij</w:t>
      </w:r>
      <w:r w:rsidR="00363EE4" w:rsidRPr="006557B3">
        <w:rPr>
          <w:rFonts w:ascii="Times New Roman" w:hAnsi="Times New Roman"/>
          <w:sz w:val="24"/>
          <w:szCs w:val="24"/>
          <w:lang w:val="lv-LV"/>
        </w:rPr>
        <w:t>a</w:t>
      </w:r>
      <w:r w:rsidRPr="006557B3">
        <w:rPr>
          <w:rFonts w:ascii="Times New Roman" w:hAnsi="Times New Roman"/>
          <w:sz w:val="24"/>
          <w:szCs w:val="24"/>
          <w:lang w:val="lv-LV"/>
        </w:rPr>
        <w:t>;</w:t>
      </w:r>
    </w:p>
    <w:p w14:paraId="2F192FCB" w14:textId="4F3B6961" w:rsidR="0046074A" w:rsidRPr="006557B3" w:rsidRDefault="0046074A" w:rsidP="00C05C12">
      <w:pPr>
        <w:pStyle w:val="Sarakstarindkopa"/>
        <w:numPr>
          <w:ilvl w:val="1"/>
          <w:numId w:val="50"/>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pārtikas produkta</w:t>
      </w:r>
      <w:r w:rsidR="0098443F" w:rsidRPr="006557B3">
        <w:rPr>
          <w:rFonts w:ascii="Times New Roman" w:hAnsi="Times New Roman"/>
          <w:sz w:val="24"/>
          <w:szCs w:val="24"/>
          <w:lang w:val="lv-LV"/>
        </w:rPr>
        <w:t xml:space="preserve"> iepakojuma fotoattēl</w:t>
      </w:r>
      <w:r w:rsidR="00363EE4" w:rsidRPr="006557B3">
        <w:rPr>
          <w:rFonts w:ascii="Times New Roman" w:hAnsi="Times New Roman"/>
          <w:sz w:val="24"/>
          <w:szCs w:val="24"/>
          <w:lang w:val="lv-LV"/>
        </w:rPr>
        <w:t>s</w:t>
      </w:r>
      <w:r w:rsidRPr="006557B3">
        <w:rPr>
          <w:rFonts w:ascii="Times New Roman" w:hAnsi="Times New Roman"/>
          <w:sz w:val="24"/>
          <w:szCs w:val="24"/>
          <w:lang w:val="lv-LV"/>
        </w:rPr>
        <w:t>.</w:t>
      </w:r>
      <w:r w:rsidRPr="006557B3">
        <w:rPr>
          <w:rFonts w:ascii="Times New Roman" w:hAnsi="Times New Roman"/>
          <w:b/>
          <w:sz w:val="24"/>
          <w:szCs w:val="24"/>
          <w:lang w:val="lv-LV"/>
        </w:rPr>
        <w:t xml:space="preserve"> </w:t>
      </w:r>
      <w:r w:rsidRPr="006557B3">
        <w:rPr>
          <w:rFonts w:ascii="Times New Roman" w:hAnsi="Times New Roman"/>
          <w:sz w:val="24"/>
          <w:szCs w:val="24"/>
          <w:lang w:val="lv-LV"/>
        </w:rPr>
        <w:t xml:space="preserve">Reģistram ir jāparedz pietiekama kapacitāte </w:t>
      </w:r>
      <w:r w:rsidR="0057075B" w:rsidRPr="006557B3">
        <w:rPr>
          <w:rFonts w:ascii="Times New Roman" w:hAnsi="Times New Roman"/>
          <w:sz w:val="24"/>
          <w:szCs w:val="24"/>
          <w:lang w:val="lv-LV"/>
        </w:rPr>
        <w:t xml:space="preserve">pārtikas </w:t>
      </w:r>
      <w:r w:rsidRPr="006557B3">
        <w:rPr>
          <w:rFonts w:ascii="Times New Roman" w:hAnsi="Times New Roman"/>
          <w:sz w:val="24"/>
          <w:szCs w:val="24"/>
          <w:lang w:val="lv-LV"/>
        </w:rPr>
        <w:t xml:space="preserve">produktu iepakojuma attēla iegūšanai un saglabāšanai. </w:t>
      </w:r>
      <w:r w:rsidR="0057075B" w:rsidRPr="006557B3">
        <w:rPr>
          <w:rFonts w:ascii="Times New Roman" w:hAnsi="Times New Roman"/>
          <w:sz w:val="24"/>
          <w:szCs w:val="24"/>
          <w:lang w:val="lv-LV"/>
        </w:rPr>
        <w:t>I</w:t>
      </w:r>
      <w:r w:rsidRPr="006557B3">
        <w:rPr>
          <w:rFonts w:ascii="Times New Roman" w:hAnsi="Times New Roman"/>
          <w:sz w:val="24"/>
          <w:szCs w:val="24"/>
          <w:lang w:val="lv-LV"/>
        </w:rPr>
        <w:t>epakojuma attēla publicēšana datubāzē patērētājiem sniegtu papildu ilustratīvu informāciju par konkrēto pārtikas produktu</w:t>
      </w:r>
      <w:r w:rsidR="0057075B" w:rsidRPr="006557B3">
        <w:rPr>
          <w:rFonts w:ascii="Times New Roman" w:hAnsi="Times New Roman"/>
          <w:sz w:val="24"/>
          <w:szCs w:val="24"/>
          <w:lang w:val="lv-LV"/>
        </w:rPr>
        <w:t>;</w:t>
      </w:r>
    </w:p>
    <w:p w14:paraId="744B3DAF" w14:textId="3ABC2E53" w:rsidR="00F54BC7" w:rsidRPr="006557B3" w:rsidRDefault="002837CE" w:rsidP="00C05C12">
      <w:pPr>
        <w:pStyle w:val="Sarakstarindkopa"/>
        <w:numPr>
          <w:ilvl w:val="1"/>
          <w:numId w:val="50"/>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 xml:space="preserve">pārtikas </w:t>
      </w:r>
      <w:r w:rsidR="0057075B" w:rsidRPr="006557B3">
        <w:rPr>
          <w:rFonts w:ascii="Times New Roman" w:hAnsi="Times New Roman"/>
          <w:sz w:val="24"/>
          <w:szCs w:val="24"/>
          <w:lang w:val="lv-LV"/>
        </w:rPr>
        <w:t>produkt</w:t>
      </w:r>
      <w:r w:rsidRPr="006557B3">
        <w:rPr>
          <w:rFonts w:ascii="Times New Roman" w:hAnsi="Times New Roman"/>
          <w:sz w:val="24"/>
          <w:szCs w:val="24"/>
          <w:lang w:val="lv-LV"/>
        </w:rPr>
        <w:t>a svītrkoda nolasītāj</w:t>
      </w:r>
      <w:r w:rsidR="00363EE4" w:rsidRPr="006557B3">
        <w:rPr>
          <w:rFonts w:ascii="Times New Roman" w:hAnsi="Times New Roman"/>
          <w:sz w:val="24"/>
          <w:szCs w:val="24"/>
          <w:lang w:val="lv-LV"/>
        </w:rPr>
        <w:t>s</w:t>
      </w:r>
      <w:r w:rsidR="00F54BC7" w:rsidRPr="006557B3">
        <w:rPr>
          <w:rFonts w:ascii="Times New Roman" w:hAnsi="Times New Roman"/>
          <w:sz w:val="24"/>
          <w:szCs w:val="24"/>
          <w:lang w:val="lv-LV"/>
        </w:rPr>
        <w:t>;</w:t>
      </w:r>
    </w:p>
    <w:p w14:paraId="058A5299" w14:textId="6D349D15" w:rsidR="0098443F" w:rsidRPr="006557B3" w:rsidRDefault="00D43B3F" w:rsidP="00C05C12">
      <w:pPr>
        <w:pStyle w:val="Sarakstarindkopa"/>
        <w:numPr>
          <w:ilvl w:val="1"/>
          <w:numId w:val="50"/>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j</w:t>
      </w:r>
      <w:r w:rsidR="0098443F" w:rsidRPr="006557B3">
        <w:rPr>
          <w:rFonts w:ascii="Times New Roman" w:hAnsi="Times New Roman"/>
          <w:sz w:val="24"/>
          <w:szCs w:val="24"/>
          <w:lang w:val="lv-LV"/>
        </w:rPr>
        <w:t>uridiskajām personām, kas atbildīg</w:t>
      </w:r>
      <w:r w:rsidR="00363EE4" w:rsidRPr="006557B3">
        <w:rPr>
          <w:rFonts w:ascii="Times New Roman" w:hAnsi="Times New Roman"/>
          <w:sz w:val="24"/>
          <w:szCs w:val="24"/>
          <w:lang w:val="lv-LV"/>
        </w:rPr>
        <w:t>as</w:t>
      </w:r>
      <w:r w:rsidR="0098443F" w:rsidRPr="006557B3">
        <w:rPr>
          <w:rFonts w:ascii="Times New Roman" w:hAnsi="Times New Roman"/>
          <w:sz w:val="24"/>
          <w:szCs w:val="24"/>
          <w:lang w:val="lv-LV"/>
        </w:rPr>
        <w:t xml:space="preserve"> par produkta laišanu tirgū (ražotāj</w:t>
      </w:r>
      <w:r w:rsidR="00363EE4" w:rsidRPr="006557B3">
        <w:rPr>
          <w:rFonts w:ascii="Times New Roman" w:hAnsi="Times New Roman"/>
          <w:sz w:val="24"/>
          <w:szCs w:val="24"/>
          <w:lang w:val="lv-LV"/>
        </w:rPr>
        <w:t>am</w:t>
      </w:r>
      <w:r w:rsidR="0098443F" w:rsidRPr="006557B3">
        <w:rPr>
          <w:rFonts w:ascii="Times New Roman" w:hAnsi="Times New Roman"/>
          <w:sz w:val="24"/>
          <w:szCs w:val="24"/>
          <w:lang w:val="lv-LV"/>
        </w:rPr>
        <w:t>, izplatītāj</w:t>
      </w:r>
      <w:r w:rsidR="00363EE4" w:rsidRPr="006557B3">
        <w:rPr>
          <w:rFonts w:ascii="Times New Roman" w:hAnsi="Times New Roman"/>
          <w:sz w:val="24"/>
          <w:szCs w:val="24"/>
          <w:lang w:val="lv-LV"/>
        </w:rPr>
        <w:t>am</w:t>
      </w:r>
      <w:r w:rsidR="0098443F" w:rsidRPr="006557B3">
        <w:rPr>
          <w:rFonts w:ascii="Times New Roman" w:hAnsi="Times New Roman"/>
          <w:sz w:val="24"/>
          <w:szCs w:val="24"/>
          <w:lang w:val="lv-LV"/>
        </w:rPr>
        <w:t>, pilnvarot</w:t>
      </w:r>
      <w:r w:rsidR="00363EE4" w:rsidRPr="006557B3">
        <w:rPr>
          <w:rFonts w:ascii="Times New Roman" w:hAnsi="Times New Roman"/>
          <w:sz w:val="24"/>
          <w:szCs w:val="24"/>
          <w:lang w:val="lv-LV"/>
        </w:rPr>
        <w:t>ajam</w:t>
      </w:r>
      <w:r w:rsidR="0098443F" w:rsidRPr="006557B3">
        <w:rPr>
          <w:rFonts w:ascii="Times New Roman" w:hAnsi="Times New Roman"/>
          <w:sz w:val="24"/>
          <w:szCs w:val="24"/>
          <w:lang w:val="lv-LV"/>
        </w:rPr>
        <w:t xml:space="preserve"> pārstāv</w:t>
      </w:r>
      <w:r w:rsidR="00363EE4" w:rsidRPr="006557B3">
        <w:rPr>
          <w:rFonts w:ascii="Times New Roman" w:hAnsi="Times New Roman"/>
          <w:sz w:val="24"/>
          <w:szCs w:val="24"/>
          <w:lang w:val="lv-LV"/>
        </w:rPr>
        <w:t>im</w:t>
      </w:r>
      <w:r w:rsidR="0098443F" w:rsidRPr="006557B3">
        <w:rPr>
          <w:rFonts w:ascii="Times New Roman" w:hAnsi="Times New Roman"/>
          <w:sz w:val="24"/>
          <w:szCs w:val="24"/>
          <w:lang w:val="lv-LV"/>
        </w:rPr>
        <w:t>),</w:t>
      </w:r>
      <w:r w:rsidR="00363EE4" w:rsidRPr="006557B3">
        <w:rPr>
          <w:rFonts w:ascii="Times New Roman" w:hAnsi="Times New Roman"/>
          <w:sz w:val="24"/>
          <w:szCs w:val="24"/>
          <w:lang w:val="lv-LV"/>
        </w:rPr>
        <w:t> –</w:t>
      </w:r>
      <w:r w:rsidR="0098443F" w:rsidRPr="006557B3">
        <w:rPr>
          <w:rFonts w:ascii="Times New Roman" w:hAnsi="Times New Roman"/>
          <w:sz w:val="24"/>
          <w:szCs w:val="24"/>
          <w:lang w:val="lv-LV"/>
        </w:rPr>
        <w:t xml:space="preserve"> nosaukums, adrese, kontaktinformācij</w:t>
      </w:r>
      <w:r w:rsidR="00363EE4" w:rsidRPr="006557B3">
        <w:rPr>
          <w:rFonts w:ascii="Times New Roman" w:hAnsi="Times New Roman"/>
          <w:sz w:val="24"/>
          <w:szCs w:val="24"/>
          <w:lang w:val="lv-LV"/>
        </w:rPr>
        <w:t>a</w:t>
      </w:r>
      <w:r w:rsidR="0098443F" w:rsidRPr="006557B3">
        <w:rPr>
          <w:rFonts w:ascii="Times New Roman" w:hAnsi="Times New Roman"/>
          <w:sz w:val="24"/>
          <w:szCs w:val="24"/>
          <w:lang w:val="lv-LV"/>
        </w:rPr>
        <w:t>;</w:t>
      </w:r>
    </w:p>
    <w:p w14:paraId="268F59FA" w14:textId="0E1C9A6D" w:rsidR="0098443F" w:rsidRPr="006557B3" w:rsidRDefault="00D43B3F" w:rsidP="00C05C12">
      <w:pPr>
        <w:pStyle w:val="Sarakstarindkopa"/>
        <w:numPr>
          <w:ilvl w:val="1"/>
          <w:numId w:val="50"/>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p</w:t>
      </w:r>
      <w:r w:rsidR="0098443F" w:rsidRPr="006557B3">
        <w:rPr>
          <w:rFonts w:ascii="Times New Roman" w:hAnsi="Times New Roman"/>
          <w:sz w:val="24"/>
          <w:szCs w:val="24"/>
          <w:lang w:val="lv-LV"/>
        </w:rPr>
        <w:t>rodukta riska profila raksturojum</w:t>
      </w:r>
      <w:r w:rsidR="00363EE4" w:rsidRPr="006557B3">
        <w:rPr>
          <w:rFonts w:ascii="Times New Roman" w:hAnsi="Times New Roman"/>
          <w:sz w:val="24"/>
          <w:szCs w:val="24"/>
          <w:lang w:val="lv-LV"/>
        </w:rPr>
        <w:t>s</w:t>
      </w:r>
      <w:r w:rsidR="0098443F" w:rsidRPr="006557B3">
        <w:rPr>
          <w:rFonts w:ascii="Times New Roman" w:hAnsi="Times New Roman"/>
          <w:sz w:val="24"/>
          <w:szCs w:val="24"/>
          <w:lang w:val="lv-LV"/>
        </w:rPr>
        <w:t xml:space="preserve"> (informācija par veiktajiem izmeklējumiem, ekspertu piešķirtie klasifikācijas kodi produktam, ņemot vērā tā sastāvu, mērķauditoriju, sūdzības, </w:t>
      </w:r>
      <w:r w:rsidR="0098443F" w:rsidRPr="006557B3">
        <w:rPr>
          <w:rFonts w:ascii="Times New Roman" w:hAnsi="Times New Roman"/>
          <w:i/>
          <w:sz w:val="24"/>
          <w:szCs w:val="24"/>
          <w:lang w:val="lv-LV"/>
        </w:rPr>
        <w:t>RASFF</w:t>
      </w:r>
      <w:r w:rsidR="0098443F" w:rsidRPr="006557B3">
        <w:rPr>
          <w:rFonts w:ascii="Times New Roman" w:hAnsi="Times New Roman"/>
          <w:sz w:val="24"/>
          <w:szCs w:val="24"/>
          <w:lang w:val="lv-LV"/>
        </w:rPr>
        <w:t xml:space="preserve"> ziņojumos sniegto informāciju);</w:t>
      </w:r>
    </w:p>
    <w:p w14:paraId="647B8D9B" w14:textId="09CD8F8B" w:rsidR="0098443F" w:rsidRPr="006557B3" w:rsidRDefault="00D43B3F" w:rsidP="00C05C12">
      <w:pPr>
        <w:pStyle w:val="Sarakstarindkopa"/>
        <w:numPr>
          <w:ilvl w:val="1"/>
          <w:numId w:val="50"/>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v</w:t>
      </w:r>
      <w:r w:rsidR="0098443F" w:rsidRPr="006557B3">
        <w:rPr>
          <w:rFonts w:ascii="Times New Roman" w:hAnsi="Times New Roman"/>
          <w:sz w:val="24"/>
          <w:szCs w:val="24"/>
          <w:lang w:val="lv-LV"/>
        </w:rPr>
        <w:t>eikto novērtēšanas</w:t>
      </w:r>
      <w:r w:rsidR="00363EE4" w:rsidRPr="006557B3">
        <w:rPr>
          <w:rFonts w:ascii="Times New Roman" w:hAnsi="Times New Roman"/>
          <w:sz w:val="24"/>
          <w:szCs w:val="24"/>
          <w:lang w:val="lv-LV"/>
        </w:rPr>
        <w:t xml:space="preserve"> un</w:t>
      </w:r>
      <w:r w:rsidR="0098443F" w:rsidRPr="006557B3">
        <w:rPr>
          <w:rFonts w:ascii="Times New Roman" w:hAnsi="Times New Roman"/>
          <w:sz w:val="24"/>
          <w:szCs w:val="24"/>
          <w:lang w:val="lv-LV"/>
        </w:rPr>
        <w:t xml:space="preserve"> reģistrācijas darbību</w:t>
      </w:r>
      <w:r w:rsidR="00363EE4" w:rsidRPr="006557B3">
        <w:rPr>
          <w:rFonts w:ascii="Times New Roman" w:hAnsi="Times New Roman"/>
          <w:sz w:val="24"/>
          <w:szCs w:val="24"/>
          <w:lang w:val="lv-LV"/>
        </w:rPr>
        <w:t xml:space="preserve"> vēsturi saistībā ar</w:t>
      </w:r>
      <w:r w:rsidR="0098443F" w:rsidRPr="006557B3">
        <w:rPr>
          <w:rFonts w:ascii="Times New Roman" w:hAnsi="Times New Roman"/>
          <w:sz w:val="24"/>
          <w:szCs w:val="24"/>
          <w:lang w:val="lv-LV"/>
        </w:rPr>
        <w:t xml:space="preserve"> </w:t>
      </w:r>
      <w:r w:rsidR="00F54BC7" w:rsidRPr="006557B3">
        <w:rPr>
          <w:rFonts w:ascii="Times New Roman" w:hAnsi="Times New Roman"/>
          <w:sz w:val="24"/>
          <w:szCs w:val="24"/>
          <w:lang w:val="lv-LV"/>
        </w:rPr>
        <w:t xml:space="preserve">pārtikas </w:t>
      </w:r>
      <w:r w:rsidR="0098443F" w:rsidRPr="006557B3">
        <w:rPr>
          <w:rFonts w:ascii="Times New Roman" w:hAnsi="Times New Roman"/>
          <w:sz w:val="24"/>
          <w:szCs w:val="24"/>
          <w:lang w:val="lv-LV"/>
        </w:rPr>
        <w:t>produkta aprit</w:t>
      </w:r>
      <w:r w:rsidR="00363EE4" w:rsidRPr="006557B3">
        <w:rPr>
          <w:rFonts w:ascii="Times New Roman" w:hAnsi="Times New Roman"/>
          <w:sz w:val="24"/>
          <w:szCs w:val="24"/>
          <w:lang w:val="lv-LV"/>
        </w:rPr>
        <w:t>i</w:t>
      </w:r>
      <w:r w:rsidR="0098443F" w:rsidRPr="006557B3">
        <w:rPr>
          <w:rFonts w:ascii="Times New Roman" w:hAnsi="Times New Roman"/>
          <w:sz w:val="24"/>
          <w:szCs w:val="24"/>
          <w:lang w:val="lv-LV"/>
        </w:rPr>
        <w:t xml:space="preserve"> tirgū;</w:t>
      </w:r>
    </w:p>
    <w:p w14:paraId="72F45F94" w14:textId="434A4058" w:rsidR="0098443F" w:rsidRPr="006557B3" w:rsidRDefault="00D43B3F" w:rsidP="00C05C12">
      <w:pPr>
        <w:pStyle w:val="Sarakstarindkopa"/>
        <w:numPr>
          <w:ilvl w:val="1"/>
          <w:numId w:val="50"/>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n</w:t>
      </w:r>
      <w:r w:rsidR="0098443F" w:rsidRPr="006557B3">
        <w:rPr>
          <w:rFonts w:ascii="Times New Roman" w:hAnsi="Times New Roman"/>
          <w:sz w:val="24"/>
          <w:szCs w:val="24"/>
          <w:lang w:val="lv-LV"/>
        </w:rPr>
        <w:t xml:space="preserve">oteiktai </w:t>
      </w:r>
      <w:r w:rsidRPr="006557B3">
        <w:rPr>
          <w:rFonts w:ascii="Times New Roman" w:hAnsi="Times New Roman"/>
          <w:sz w:val="24"/>
          <w:szCs w:val="24"/>
          <w:lang w:val="lv-LV"/>
        </w:rPr>
        <w:t xml:space="preserve">pārtikas </w:t>
      </w:r>
      <w:r w:rsidR="0098443F" w:rsidRPr="006557B3">
        <w:rPr>
          <w:rFonts w:ascii="Times New Roman" w:hAnsi="Times New Roman"/>
          <w:sz w:val="24"/>
          <w:szCs w:val="24"/>
          <w:lang w:val="lv-LV"/>
        </w:rPr>
        <w:t xml:space="preserve">produktu </w:t>
      </w:r>
      <w:r w:rsidRPr="006557B3">
        <w:rPr>
          <w:rFonts w:ascii="Times New Roman" w:hAnsi="Times New Roman"/>
          <w:sz w:val="24"/>
          <w:szCs w:val="24"/>
          <w:lang w:val="lv-LV"/>
        </w:rPr>
        <w:t xml:space="preserve">kategorijai </w:t>
      </w:r>
      <w:r w:rsidR="0098443F" w:rsidRPr="006557B3">
        <w:rPr>
          <w:rFonts w:ascii="Times New Roman" w:hAnsi="Times New Roman"/>
          <w:sz w:val="24"/>
          <w:szCs w:val="24"/>
          <w:lang w:val="lv-LV"/>
        </w:rPr>
        <w:t>specifisk</w:t>
      </w:r>
      <w:r w:rsidR="00363EE4" w:rsidRPr="006557B3">
        <w:rPr>
          <w:rFonts w:ascii="Times New Roman" w:hAnsi="Times New Roman"/>
          <w:sz w:val="24"/>
          <w:szCs w:val="24"/>
          <w:lang w:val="lv-LV"/>
        </w:rPr>
        <w:t>a</w:t>
      </w:r>
      <w:r w:rsidR="0098443F" w:rsidRPr="006557B3">
        <w:rPr>
          <w:rFonts w:ascii="Times New Roman" w:hAnsi="Times New Roman"/>
          <w:sz w:val="24"/>
          <w:szCs w:val="24"/>
          <w:lang w:val="lv-LV"/>
        </w:rPr>
        <w:t xml:space="preserve"> informācij</w:t>
      </w:r>
      <w:r w:rsidR="00363EE4" w:rsidRPr="006557B3">
        <w:rPr>
          <w:rFonts w:ascii="Times New Roman" w:hAnsi="Times New Roman"/>
          <w:sz w:val="24"/>
          <w:szCs w:val="24"/>
          <w:lang w:val="lv-LV"/>
        </w:rPr>
        <w:t>a.</w:t>
      </w:r>
    </w:p>
    <w:p w14:paraId="399DEED0" w14:textId="77777777" w:rsidR="00E8251A" w:rsidRPr="006557B3" w:rsidRDefault="00E8251A" w:rsidP="00C05C12">
      <w:pPr>
        <w:tabs>
          <w:tab w:val="left" w:pos="8647"/>
        </w:tabs>
        <w:spacing w:after="0" w:line="240" w:lineRule="auto"/>
        <w:jc w:val="both"/>
        <w:rPr>
          <w:rFonts w:ascii="Times New Roman" w:hAnsi="Times New Roman" w:cs="Times New Roman"/>
          <w:b/>
          <w:sz w:val="24"/>
          <w:szCs w:val="24"/>
          <w:u w:val="single"/>
          <w:lang w:val="lv-LV"/>
        </w:rPr>
      </w:pPr>
    </w:p>
    <w:p w14:paraId="7ADF7F38" w14:textId="546A658D" w:rsidR="00941F60" w:rsidRPr="006557B3" w:rsidRDefault="00006DDF" w:rsidP="00C05C12">
      <w:pPr>
        <w:tabs>
          <w:tab w:val="left" w:pos="8647"/>
        </w:tabs>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t>7.</w:t>
      </w:r>
      <w:r w:rsidR="00D94266" w:rsidRPr="006557B3">
        <w:rPr>
          <w:rFonts w:ascii="Times New Roman" w:hAnsi="Times New Roman" w:cs="Times New Roman"/>
          <w:b/>
          <w:sz w:val="24"/>
          <w:szCs w:val="24"/>
          <w:lang w:val="lv-LV"/>
        </w:rPr>
        <w:t>7</w:t>
      </w:r>
      <w:r w:rsidRPr="006557B3">
        <w:rPr>
          <w:rFonts w:ascii="Times New Roman" w:hAnsi="Times New Roman" w:cs="Times New Roman"/>
          <w:b/>
          <w:sz w:val="24"/>
          <w:szCs w:val="24"/>
          <w:lang w:val="lv-LV"/>
        </w:rPr>
        <w:t xml:space="preserve">. </w:t>
      </w:r>
      <w:r w:rsidR="00941F60" w:rsidRPr="006557B3">
        <w:rPr>
          <w:rFonts w:ascii="Times New Roman" w:hAnsi="Times New Roman" w:cs="Times New Roman"/>
          <w:b/>
          <w:sz w:val="24"/>
          <w:szCs w:val="24"/>
          <w:lang w:val="lv-LV"/>
        </w:rPr>
        <w:t>Reģistra</w:t>
      </w:r>
      <w:r w:rsidR="0098443F" w:rsidRPr="006557B3">
        <w:rPr>
          <w:rFonts w:ascii="Times New Roman" w:hAnsi="Times New Roman" w:cs="Times New Roman"/>
          <w:b/>
          <w:sz w:val="24"/>
          <w:szCs w:val="24"/>
          <w:lang w:val="lv-LV"/>
        </w:rPr>
        <w:t xml:space="preserve"> izstrāde</w:t>
      </w:r>
      <w:r w:rsidR="002330CF" w:rsidRPr="006557B3">
        <w:rPr>
          <w:rFonts w:ascii="Times New Roman" w:hAnsi="Times New Roman" w:cs="Times New Roman"/>
          <w:b/>
          <w:sz w:val="24"/>
          <w:szCs w:val="24"/>
          <w:lang w:val="lv-LV"/>
        </w:rPr>
        <w:t>s</w:t>
      </w:r>
      <w:r w:rsidR="0098443F" w:rsidRPr="006557B3">
        <w:rPr>
          <w:rFonts w:ascii="Times New Roman" w:hAnsi="Times New Roman" w:cs="Times New Roman"/>
          <w:b/>
          <w:sz w:val="24"/>
          <w:szCs w:val="24"/>
          <w:lang w:val="lv-LV"/>
        </w:rPr>
        <w:t xml:space="preserve"> </w:t>
      </w:r>
      <w:r w:rsidR="002330CF" w:rsidRPr="006557B3">
        <w:rPr>
          <w:rFonts w:ascii="Times New Roman" w:hAnsi="Times New Roman" w:cs="Times New Roman"/>
          <w:b/>
          <w:sz w:val="24"/>
          <w:szCs w:val="24"/>
          <w:lang w:val="lv-LV"/>
        </w:rPr>
        <w:t>īstenošana</w:t>
      </w:r>
      <w:r w:rsidR="00363EE4" w:rsidRPr="006557B3">
        <w:rPr>
          <w:rFonts w:ascii="Times New Roman" w:hAnsi="Times New Roman" w:cs="Times New Roman"/>
          <w:b/>
          <w:sz w:val="24"/>
          <w:szCs w:val="24"/>
          <w:lang w:val="lv-LV"/>
        </w:rPr>
        <w:t>:</w:t>
      </w:r>
    </w:p>
    <w:p w14:paraId="6B20897E" w14:textId="359F620C" w:rsidR="00941F60" w:rsidRPr="006557B3" w:rsidRDefault="0098443F" w:rsidP="00C05C12">
      <w:pPr>
        <w:pStyle w:val="Sarakstarindkopa"/>
        <w:numPr>
          <w:ilvl w:val="1"/>
          <w:numId w:val="52"/>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PVD iekšējo resursu</w:t>
      </w:r>
      <w:r w:rsidR="00363EE4" w:rsidRPr="006557B3">
        <w:rPr>
          <w:rFonts w:ascii="Times New Roman" w:hAnsi="Times New Roman"/>
          <w:sz w:val="24"/>
          <w:szCs w:val="24"/>
          <w:lang w:val="lv-LV"/>
        </w:rPr>
        <w:t xml:space="preserve"> izmantošana</w:t>
      </w:r>
      <w:r w:rsidRPr="006557B3">
        <w:rPr>
          <w:rFonts w:ascii="Times New Roman" w:hAnsi="Times New Roman"/>
          <w:sz w:val="24"/>
          <w:szCs w:val="24"/>
          <w:lang w:val="lv-LV"/>
        </w:rPr>
        <w:t>, kas nodrošinās autentifikācijas mehānismu vienotajā platformā</w:t>
      </w:r>
      <w:r w:rsidR="00941F60" w:rsidRPr="006557B3">
        <w:rPr>
          <w:rFonts w:ascii="Times New Roman" w:hAnsi="Times New Roman"/>
          <w:sz w:val="24"/>
          <w:szCs w:val="24"/>
          <w:lang w:val="lv-LV"/>
        </w:rPr>
        <w:t>;</w:t>
      </w:r>
    </w:p>
    <w:p w14:paraId="5A47943E" w14:textId="38204B9F" w:rsidR="00941F60" w:rsidRPr="006557B3" w:rsidRDefault="00941F60" w:rsidP="00C05C12">
      <w:pPr>
        <w:pStyle w:val="Sarakstarindkopa"/>
        <w:numPr>
          <w:ilvl w:val="1"/>
          <w:numId w:val="52"/>
        </w:numPr>
        <w:tabs>
          <w:tab w:val="left" w:pos="8647"/>
        </w:tabs>
        <w:spacing w:after="0" w:line="240" w:lineRule="auto"/>
        <w:jc w:val="both"/>
        <w:rPr>
          <w:rFonts w:ascii="Times New Roman" w:hAnsi="Times New Roman"/>
          <w:sz w:val="24"/>
          <w:szCs w:val="24"/>
          <w:lang w:val="lv-LV"/>
        </w:rPr>
      </w:pPr>
      <w:r w:rsidRPr="006557B3">
        <w:rPr>
          <w:rFonts w:ascii="Times New Roman" w:hAnsi="Times New Roman"/>
          <w:sz w:val="24"/>
          <w:szCs w:val="24"/>
          <w:lang w:val="lv-LV"/>
        </w:rPr>
        <w:t>informācijas tehnoloģijas</w:t>
      </w:r>
      <w:r w:rsidR="0098443F" w:rsidRPr="006557B3">
        <w:rPr>
          <w:rFonts w:ascii="Times New Roman" w:hAnsi="Times New Roman"/>
          <w:sz w:val="24"/>
          <w:szCs w:val="24"/>
          <w:lang w:val="lv-LV"/>
        </w:rPr>
        <w:t xml:space="preserve"> resursu prasību sagatavošan</w:t>
      </w:r>
      <w:r w:rsidR="00363EE4" w:rsidRPr="006557B3">
        <w:rPr>
          <w:rFonts w:ascii="Times New Roman" w:hAnsi="Times New Roman"/>
          <w:sz w:val="24"/>
          <w:szCs w:val="24"/>
          <w:lang w:val="lv-LV"/>
        </w:rPr>
        <w:t>a</w:t>
      </w:r>
      <w:r w:rsidR="0098443F" w:rsidRPr="006557B3">
        <w:rPr>
          <w:rFonts w:ascii="Times New Roman" w:hAnsi="Times New Roman"/>
          <w:sz w:val="24"/>
          <w:szCs w:val="24"/>
          <w:lang w:val="lv-LV"/>
        </w:rPr>
        <w:t xml:space="preserve"> un sistēmas izvietošan</w:t>
      </w:r>
      <w:r w:rsidR="00363EE4" w:rsidRPr="006557B3">
        <w:rPr>
          <w:rFonts w:ascii="Times New Roman" w:hAnsi="Times New Roman"/>
          <w:sz w:val="24"/>
          <w:szCs w:val="24"/>
          <w:lang w:val="lv-LV"/>
        </w:rPr>
        <w:t>a</w:t>
      </w:r>
      <w:r w:rsidRPr="006557B3">
        <w:rPr>
          <w:rFonts w:ascii="Times New Roman" w:hAnsi="Times New Roman"/>
          <w:sz w:val="24"/>
          <w:szCs w:val="24"/>
          <w:lang w:val="lv-LV"/>
        </w:rPr>
        <w:t>;</w:t>
      </w:r>
    </w:p>
    <w:p w14:paraId="6422B05E" w14:textId="4681CB9B" w:rsidR="0098443F" w:rsidRPr="006557B3" w:rsidRDefault="0098443F" w:rsidP="00C05C12">
      <w:pPr>
        <w:pStyle w:val="Sarakstarindkopa"/>
        <w:numPr>
          <w:ilvl w:val="1"/>
          <w:numId w:val="52"/>
        </w:numPr>
        <w:tabs>
          <w:tab w:val="left" w:pos="8647"/>
        </w:tabs>
        <w:spacing w:after="0" w:line="240" w:lineRule="auto"/>
        <w:jc w:val="both"/>
        <w:rPr>
          <w:rFonts w:ascii="Times New Roman" w:hAnsi="Times New Roman"/>
          <w:b/>
          <w:sz w:val="24"/>
          <w:szCs w:val="24"/>
          <w:lang w:val="lv-LV"/>
        </w:rPr>
      </w:pPr>
      <w:r w:rsidRPr="006557B3">
        <w:rPr>
          <w:rFonts w:ascii="Times New Roman" w:hAnsi="Times New Roman"/>
          <w:sz w:val="24"/>
          <w:szCs w:val="24"/>
          <w:lang w:val="lv-LV"/>
        </w:rPr>
        <w:t>konkurs</w:t>
      </w:r>
      <w:r w:rsidR="00363EE4" w:rsidRPr="006557B3">
        <w:rPr>
          <w:rFonts w:ascii="Times New Roman" w:hAnsi="Times New Roman"/>
          <w:sz w:val="24"/>
          <w:szCs w:val="24"/>
          <w:lang w:val="lv-LV"/>
        </w:rPr>
        <w:t>a izsludināšana</w:t>
      </w:r>
      <w:r w:rsidRPr="006557B3">
        <w:rPr>
          <w:rFonts w:ascii="Times New Roman" w:hAnsi="Times New Roman"/>
          <w:sz w:val="24"/>
          <w:szCs w:val="24"/>
          <w:lang w:val="lv-LV"/>
        </w:rPr>
        <w:t xml:space="preserve"> un izstrādātāju </w:t>
      </w:r>
      <w:r w:rsidR="00363EE4" w:rsidRPr="006557B3">
        <w:rPr>
          <w:rFonts w:ascii="Times New Roman" w:hAnsi="Times New Roman"/>
          <w:sz w:val="24"/>
          <w:szCs w:val="24"/>
          <w:lang w:val="lv-LV"/>
        </w:rPr>
        <w:t xml:space="preserve">piesaistīšana </w:t>
      </w:r>
      <w:r w:rsidR="00941F60" w:rsidRPr="006557B3">
        <w:rPr>
          <w:rFonts w:ascii="Times New Roman" w:hAnsi="Times New Roman"/>
          <w:sz w:val="24"/>
          <w:szCs w:val="24"/>
          <w:lang w:val="lv-LV"/>
        </w:rPr>
        <w:t>informācijas sistēmas</w:t>
      </w:r>
      <w:r w:rsidRPr="006557B3">
        <w:rPr>
          <w:rFonts w:ascii="Times New Roman" w:hAnsi="Times New Roman"/>
          <w:sz w:val="24"/>
          <w:szCs w:val="24"/>
          <w:lang w:val="lv-LV"/>
        </w:rPr>
        <w:t xml:space="preserve"> pamatfunkcionalitātes nodrošināšanai PVD sistēmas lietotāju darbam (produktu reģistrācija, pārraudzība, kontrole u.c.) un ārējo klientu apkalpošanai.</w:t>
      </w:r>
    </w:p>
    <w:p w14:paraId="160474BD" w14:textId="77777777" w:rsidR="006A2B1D" w:rsidRPr="006557B3" w:rsidRDefault="006A2B1D" w:rsidP="00044FD8">
      <w:pPr>
        <w:tabs>
          <w:tab w:val="left" w:pos="8647"/>
        </w:tabs>
        <w:spacing w:after="0" w:line="240" w:lineRule="auto"/>
        <w:jc w:val="both"/>
        <w:rPr>
          <w:rFonts w:ascii="Times New Roman" w:hAnsi="Times New Roman" w:cs="Times New Roman"/>
          <w:b/>
          <w:sz w:val="24"/>
          <w:szCs w:val="24"/>
          <w:lang w:val="lv-LV"/>
        </w:rPr>
      </w:pPr>
    </w:p>
    <w:p w14:paraId="215DF8A8" w14:textId="77777777" w:rsidR="006A2B1D" w:rsidRPr="006557B3" w:rsidRDefault="006A2B1D" w:rsidP="006A2B1D">
      <w:pPr>
        <w:tabs>
          <w:tab w:val="left" w:pos="8647"/>
        </w:tabs>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
          <w:sz w:val="24"/>
          <w:szCs w:val="24"/>
          <w:lang w:val="lv-LV"/>
        </w:rPr>
        <w:t>7.8. Pārtikas un veterinārā dienesta kopsavilkums finansējuma pieprasīšanai</w:t>
      </w:r>
    </w:p>
    <w:tbl>
      <w:tblPr>
        <w:tblStyle w:val="Reatabula"/>
        <w:tblW w:w="9240" w:type="dxa"/>
        <w:tblLayout w:type="fixed"/>
        <w:tblLook w:val="04A0" w:firstRow="1" w:lastRow="0" w:firstColumn="1" w:lastColumn="0" w:noHBand="0" w:noVBand="1"/>
      </w:tblPr>
      <w:tblGrid>
        <w:gridCol w:w="534"/>
        <w:gridCol w:w="1417"/>
        <w:gridCol w:w="3260"/>
        <w:gridCol w:w="1418"/>
        <w:gridCol w:w="1276"/>
        <w:gridCol w:w="1335"/>
      </w:tblGrid>
      <w:tr w:rsidR="006A2B1D" w:rsidRPr="006557B3" w14:paraId="03F12A64" w14:textId="77777777" w:rsidTr="006A2B1D">
        <w:tc>
          <w:tcPr>
            <w:tcW w:w="534" w:type="dxa"/>
            <w:tcBorders>
              <w:top w:val="single" w:sz="4" w:space="0" w:color="auto"/>
              <w:left w:val="single" w:sz="4" w:space="0" w:color="auto"/>
              <w:bottom w:val="single" w:sz="4" w:space="0" w:color="auto"/>
              <w:right w:val="single" w:sz="4" w:space="0" w:color="auto"/>
            </w:tcBorders>
            <w:hideMark/>
          </w:tcPr>
          <w:p w14:paraId="352D006E" w14:textId="77777777" w:rsidR="006A2B1D" w:rsidRPr="006557B3" w:rsidRDefault="006A2B1D">
            <w:pPr>
              <w:tabs>
                <w:tab w:val="left" w:pos="8647"/>
              </w:tabs>
              <w:rPr>
                <w:b/>
                <w:sz w:val="22"/>
              </w:rPr>
            </w:pPr>
            <w:r w:rsidRPr="006557B3">
              <w:t>Nr.p.k</w:t>
            </w:r>
          </w:p>
        </w:tc>
        <w:tc>
          <w:tcPr>
            <w:tcW w:w="1417" w:type="dxa"/>
            <w:tcBorders>
              <w:top w:val="single" w:sz="4" w:space="0" w:color="auto"/>
              <w:left w:val="single" w:sz="4" w:space="0" w:color="auto"/>
              <w:bottom w:val="single" w:sz="4" w:space="0" w:color="auto"/>
              <w:right w:val="single" w:sz="4" w:space="0" w:color="auto"/>
            </w:tcBorders>
            <w:hideMark/>
          </w:tcPr>
          <w:p w14:paraId="1A764A1D" w14:textId="77777777" w:rsidR="006A2B1D" w:rsidRPr="006557B3" w:rsidRDefault="006A2B1D">
            <w:pPr>
              <w:tabs>
                <w:tab w:val="left" w:pos="8647"/>
              </w:tabs>
            </w:pPr>
            <w:r w:rsidRPr="006557B3">
              <w:t>Pasākums</w:t>
            </w:r>
          </w:p>
        </w:tc>
        <w:tc>
          <w:tcPr>
            <w:tcW w:w="3260" w:type="dxa"/>
            <w:tcBorders>
              <w:top w:val="single" w:sz="4" w:space="0" w:color="auto"/>
              <w:left w:val="single" w:sz="4" w:space="0" w:color="auto"/>
              <w:bottom w:val="single" w:sz="4" w:space="0" w:color="auto"/>
              <w:right w:val="single" w:sz="4" w:space="0" w:color="auto"/>
            </w:tcBorders>
            <w:hideMark/>
          </w:tcPr>
          <w:p w14:paraId="4705FF52" w14:textId="77777777" w:rsidR="006A2B1D" w:rsidRPr="006557B3" w:rsidRDefault="006A2B1D">
            <w:pPr>
              <w:tabs>
                <w:tab w:val="left" w:pos="8647"/>
              </w:tabs>
              <w:jc w:val="center"/>
            </w:pPr>
            <w:r w:rsidRPr="006557B3">
              <w:t>Pasākuma veida iedalījumi</w:t>
            </w:r>
          </w:p>
        </w:tc>
        <w:tc>
          <w:tcPr>
            <w:tcW w:w="1418" w:type="dxa"/>
            <w:tcBorders>
              <w:top w:val="single" w:sz="4" w:space="0" w:color="auto"/>
              <w:left w:val="single" w:sz="4" w:space="0" w:color="auto"/>
              <w:bottom w:val="single" w:sz="4" w:space="0" w:color="auto"/>
              <w:right w:val="single" w:sz="4" w:space="0" w:color="auto"/>
            </w:tcBorders>
            <w:hideMark/>
          </w:tcPr>
          <w:p w14:paraId="4C20BCE3" w14:textId="77777777" w:rsidR="006A2B1D" w:rsidRPr="006557B3" w:rsidRDefault="006A2B1D">
            <w:pPr>
              <w:tabs>
                <w:tab w:val="left" w:pos="8647"/>
              </w:tabs>
              <w:jc w:val="center"/>
              <w:rPr>
                <w:b/>
              </w:rPr>
            </w:pPr>
            <w:r w:rsidRPr="006557B3">
              <w:rPr>
                <w:b/>
              </w:rPr>
              <w:t>2018.gads</w:t>
            </w:r>
          </w:p>
        </w:tc>
        <w:tc>
          <w:tcPr>
            <w:tcW w:w="1276" w:type="dxa"/>
            <w:tcBorders>
              <w:top w:val="single" w:sz="4" w:space="0" w:color="auto"/>
              <w:left w:val="single" w:sz="4" w:space="0" w:color="auto"/>
              <w:bottom w:val="single" w:sz="4" w:space="0" w:color="auto"/>
              <w:right w:val="single" w:sz="4" w:space="0" w:color="auto"/>
            </w:tcBorders>
            <w:hideMark/>
          </w:tcPr>
          <w:p w14:paraId="1EFB30FA" w14:textId="77777777" w:rsidR="006A2B1D" w:rsidRPr="006557B3" w:rsidRDefault="006A2B1D">
            <w:pPr>
              <w:tabs>
                <w:tab w:val="left" w:pos="8647"/>
              </w:tabs>
              <w:jc w:val="center"/>
              <w:rPr>
                <w:b/>
              </w:rPr>
            </w:pPr>
            <w:r w:rsidRPr="006557B3">
              <w:rPr>
                <w:b/>
              </w:rPr>
              <w:t>2019.gads</w:t>
            </w:r>
          </w:p>
        </w:tc>
        <w:tc>
          <w:tcPr>
            <w:tcW w:w="1335" w:type="dxa"/>
            <w:tcBorders>
              <w:top w:val="single" w:sz="4" w:space="0" w:color="auto"/>
              <w:left w:val="single" w:sz="4" w:space="0" w:color="auto"/>
              <w:bottom w:val="single" w:sz="4" w:space="0" w:color="auto"/>
              <w:right w:val="single" w:sz="4" w:space="0" w:color="auto"/>
            </w:tcBorders>
            <w:hideMark/>
          </w:tcPr>
          <w:p w14:paraId="25929880" w14:textId="77777777" w:rsidR="006A2B1D" w:rsidRPr="006557B3" w:rsidRDefault="006A2B1D">
            <w:pPr>
              <w:tabs>
                <w:tab w:val="left" w:pos="8647"/>
              </w:tabs>
              <w:jc w:val="center"/>
              <w:rPr>
                <w:b/>
              </w:rPr>
            </w:pPr>
            <w:r w:rsidRPr="006557B3">
              <w:rPr>
                <w:b/>
              </w:rPr>
              <w:t>2020.gads</w:t>
            </w:r>
          </w:p>
        </w:tc>
      </w:tr>
      <w:tr w:rsidR="006A2B1D" w:rsidRPr="006557B3" w14:paraId="0552E2EA" w14:textId="77777777" w:rsidTr="006A2B1D">
        <w:tc>
          <w:tcPr>
            <w:tcW w:w="534" w:type="dxa"/>
            <w:vMerge w:val="restart"/>
            <w:tcBorders>
              <w:top w:val="single" w:sz="4" w:space="0" w:color="auto"/>
              <w:left w:val="single" w:sz="4" w:space="0" w:color="auto"/>
              <w:bottom w:val="single" w:sz="4" w:space="0" w:color="auto"/>
              <w:right w:val="single" w:sz="4" w:space="0" w:color="auto"/>
            </w:tcBorders>
          </w:tcPr>
          <w:p w14:paraId="55F3E12B" w14:textId="77777777" w:rsidR="006A2B1D" w:rsidRPr="006557B3" w:rsidRDefault="006A2B1D">
            <w:pPr>
              <w:tabs>
                <w:tab w:val="left" w:pos="8647"/>
              </w:tabs>
            </w:pPr>
            <w:r w:rsidRPr="006557B3">
              <w:t>1.</w:t>
            </w:r>
          </w:p>
          <w:p w14:paraId="08121A39" w14:textId="77777777" w:rsidR="006A2B1D" w:rsidRPr="006557B3" w:rsidRDefault="006A2B1D">
            <w:pPr>
              <w:tabs>
                <w:tab w:val="left" w:pos="8647"/>
              </w:tabs>
            </w:pPr>
          </w:p>
        </w:tc>
        <w:tc>
          <w:tcPr>
            <w:tcW w:w="1417" w:type="dxa"/>
            <w:vMerge w:val="restart"/>
            <w:tcBorders>
              <w:top w:val="single" w:sz="4" w:space="0" w:color="auto"/>
              <w:left w:val="single" w:sz="4" w:space="0" w:color="auto"/>
              <w:bottom w:val="single" w:sz="4" w:space="0" w:color="auto"/>
              <w:right w:val="single" w:sz="4" w:space="0" w:color="auto"/>
            </w:tcBorders>
            <w:hideMark/>
          </w:tcPr>
          <w:p w14:paraId="3984A9E4" w14:textId="77777777" w:rsidR="006A2B1D" w:rsidRPr="006557B3" w:rsidRDefault="006A2B1D">
            <w:pPr>
              <w:tabs>
                <w:tab w:val="left" w:pos="8647"/>
              </w:tabs>
            </w:pPr>
            <w:r w:rsidRPr="006557B3">
              <w:t>Laboratoriskā kontrole</w:t>
            </w:r>
          </w:p>
        </w:tc>
        <w:tc>
          <w:tcPr>
            <w:tcW w:w="3260" w:type="dxa"/>
            <w:tcBorders>
              <w:top w:val="single" w:sz="4" w:space="0" w:color="auto"/>
              <w:left w:val="single" w:sz="4" w:space="0" w:color="auto"/>
              <w:bottom w:val="single" w:sz="4" w:space="0" w:color="auto"/>
              <w:right w:val="single" w:sz="4" w:space="0" w:color="auto"/>
            </w:tcBorders>
            <w:hideMark/>
          </w:tcPr>
          <w:p w14:paraId="3176579C" w14:textId="77777777" w:rsidR="006A2B1D" w:rsidRPr="006557B3" w:rsidRDefault="006A2B1D">
            <w:pPr>
              <w:tabs>
                <w:tab w:val="left" w:pos="8647"/>
              </w:tabs>
            </w:pPr>
            <w:r w:rsidRPr="006557B3">
              <w:t>1. Pirmstirgus laboratoriskā kontrole, veicot UB reģistrāciju:</w:t>
            </w:r>
          </w:p>
        </w:tc>
        <w:tc>
          <w:tcPr>
            <w:tcW w:w="1418" w:type="dxa"/>
            <w:tcBorders>
              <w:top w:val="single" w:sz="4" w:space="0" w:color="auto"/>
              <w:left w:val="single" w:sz="4" w:space="0" w:color="auto"/>
              <w:bottom w:val="single" w:sz="4" w:space="0" w:color="auto"/>
              <w:right w:val="single" w:sz="4" w:space="0" w:color="auto"/>
            </w:tcBorders>
          </w:tcPr>
          <w:p w14:paraId="240BD5F6" w14:textId="77777777" w:rsidR="006A2B1D" w:rsidRPr="006557B3" w:rsidRDefault="006A2B1D" w:rsidP="000D5945">
            <w:pPr>
              <w:tabs>
                <w:tab w:val="left" w:pos="8647"/>
              </w:tabs>
              <w:jc w:val="center"/>
            </w:pPr>
            <w:r w:rsidRPr="006557B3">
              <w:t xml:space="preserve">32 486,00 </w:t>
            </w:r>
            <w:r w:rsidRPr="009501A2">
              <w:rPr>
                <w:i/>
              </w:rPr>
              <w:t>euro</w:t>
            </w:r>
          </w:p>
          <w:p w14:paraId="751C137C" w14:textId="77777777" w:rsidR="006A2B1D" w:rsidRPr="006557B3" w:rsidRDefault="006A2B1D" w:rsidP="000D5945">
            <w:pPr>
              <w:tabs>
                <w:tab w:val="left" w:pos="8647"/>
              </w:tabs>
              <w:jc w:val="center"/>
            </w:pPr>
          </w:p>
        </w:tc>
        <w:tc>
          <w:tcPr>
            <w:tcW w:w="1276" w:type="dxa"/>
            <w:tcBorders>
              <w:top w:val="single" w:sz="4" w:space="0" w:color="auto"/>
              <w:left w:val="single" w:sz="4" w:space="0" w:color="auto"/>
              <w:bottom w:val="single" w:sz="4" w:space="0" w:color="auto"/>
              <w:right w:val="single" w:sz="4" w:space="0" w:color="auto"/>
            </w:tcBorders>
          </w:tcPr>
          <w:p w14:paraId="51246313" w14:textId="77777777" w:rsidR="006A2B1D" w:rsidRPr="006557B3" w:rsidRDefault="006A2B1D" w:rsidP="000D5945">
            <w:pPr>
              <w:tabs>
                <w:tab w:val="left" w:pos="8647"/>
              </w:tabs>
              <w:jc w:val="center"/>
            </w:pPr>
            <w:r w:rsidRPr="006557B3">
              <w:t xml:space="preserve">32 486,00 </w:t>
            </w:r>
            <w:r w:rsidRPr="009501A2">
              <w:rPr>
                <w:i/>
              </w:rPr>
              <w:t>euro</w:t>
            </w:r>
          </w:p>
          <w:p w14:paraId="7BF9A072" w14:textId="77777777" w:rsidR="006A2B1D" w:rsidRPr="006557B3" w:rsidRDefault="006A2B1D" w:rsidP="000D5945">
            <w:pPr>
              <w:tabs>
                <w:tab w:val="left" w:pos="8647"/>
              </w:tabs>
              <w:jc w:val="center"/>
            </w:pPr>
          </w:p>
        </w:tc>
        <w:tc>
          <w:tcPr>
            <w:tcW w:w="1335" w:type="dxa"/>
            <w:tcBorders>
              <w:top w:val="single" w:sz="4" w:space="0" w:color="auto"/>
              <w:left w:val="single" w:sz="4" w:space="0" w:color="auto"/>
              <w:bottom w:val="single" w:sz="4" w:space="0" w:color="auto"/>
              <w:right w:val="single" w:sz="4" w:space="0" w:color="auto"/>
            </w:tcBorders>
          </w:tcPr>
          <w:p w14:paraId="328D3FBC" w14:textId="77777777" w:rsidR="006A2B1D" w:rsidRPr="006557B3" w:rsidRDefault="006A2B1D" w:rsidP="000D5945">
            <w:pPr>
              <w:tabs>
                <w:tab w:val="left" w:pos="8647"/>
              </w:tabs>
              <w:jc w:val="center"/>
            </w:pPr>
            <w:r w:rsidRPr="006557B3">
              <w:t xml:space="preserve">32 486,00 </w:t>
            </w:r>
            <w:r w:rsidRPr="009501A2">
              <w:rPr>
                <w:i/>
              </w:rPr>
              <w:t>euro</w:t>
            </w:r>
          </w:p>
          <w:p w14:paraId="6FD2CEC2" w14:textId="77777777" w:rsidR="006A2B1D" w:rsidRPr="006557B3" w:rsidRDefault="006A2B1D" w:rsidP="000D5945">
            <w:pPr>
              <w:tabs>
                <w:tab w:val="left" w:pos="8647"/>
              </w:tabs>
              <w:jc w:val="center"/>
            </w:pPr>
          </w:p>
        </w:tc>
      </w:tr>
      <w:tr w:rsidR="006A2B1D" w:rsidRPr="006557B3" w14:paraId="76FD72E8" w14:textId="77777777" w:rsidTr="006A2B1D">
        <w:trPr>
          <w:trHeight w:val="1141"/>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7D7D6FD"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E5F99A8"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04966B2C" w14:textId="77777777" w:rsidR="006A2B1D" w:rsidRPr="006557B3" w:rsidRDefault="006A2B1D">
            <w:pPr>
              <w:tabs>
                <w:tab w:val="left" w:pos="8647"/>
              </w:tabs>
            </w:pPr>
            <w:r w:rsidRPr="006557B3">
              <w:t xml:space="preserve">1.1.pirms reģistrācijas monitoringam – 30 986,00 </w:t>
            </w:r>
            <w:r w:rsidRPr="006557B3">
              <w:rPr>
                <w:i/>
              </w:rPr>
              <w:t>euro</w:t>
            </w:r>
            <w:r w:rsidRPr="006557B3">
              <w:t xml:space="preserve"> (smagie metāli, vitamīni, minerālvielas, aizliegto/ nezināmo vielu noteikšana u.c.), t.sk.;</w:t>
            </w:r>
          </w:p>
        </w:tc>
        <w:tc>
          <w:tcPr>
            <w:tcW w:w="1418" w:type="dxa"/>
            <w:tcBorders>
              <w:top w:val="single" w:sz="4" w:space="0" w:color="auto"/>
              <w:left w:val="single" w:sz="4" w:space="0" w:color="auto"/>
              <w:bottom w:val="single" w:sz="4" w:space="0" w:color="auto"/>
              <w:right w:val="single" w:sz="4" w:space="0" w:color="auto"/>
            </w:tcBorders>
          </w:tcPr>
          <w:p w14:paraId="199A1FBF"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48C0B508"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23EDDB29" w14:textId="77777777" w:rsidR="006A2B1D" w:rsidRPr="006557B3" w:rsidRDefault="006A2B1D">
            <w:pPr>
              <w:tabs>
                <w:tab w:val="left" w:pos="8647"/>
              </w:tabs>
            </w:pPr>
          </w:p>
        </w:tc>
      </w:tr>
      <w:tr w:rsidR="006A2B1D" w:rsidRPr="006557B3" w14:paraId="642ED6B9"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742E2544"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9588CA1"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4517B7C2" w14:textId="77777777" w:rsidR="006A2B1D" w:rsidRPr="006557B3" w:rsidRDefault="006A2B1D">
            <w:pPr>
              <w:tabs>
                <w:tab w:val="left" w:pos="8647"/>
              </w:tabs>
            </w:pPr>
            <w:r w:rsidRPr="006557B3">
              <w:t xml:space="preserve">1.1.1.smagie metāli – </w:t>
            </w:r>
            <w:r w:rsidRPr="006557B3">
              <w:rPr>
                <w:color w:val="000000" w:themeColor="text1"/>
              </w:rPr>
              <w:t xml:space="preserve">15 </w:t>
            </w:r>
            <w:r w:rsidRPr="006557B3">
              <w:t xml:space="preserve">paraugi x 86,00 </w:t>
            </w:r>
            <w:r w:rsidRPr="006557B3">
              <w:rPr>
                <w:i/>
              </w:rPr>
              <w:t>euro</w:t>
            </w:r>
            <w:r w:rsidRPr="006557B3">
              <w:t xml:space="preserve"> vidēji par vienu paraugu = 1290,00 </w:t>
            </w:r>
            <w:r w:rsidRPr="006557B3">
              <w:rPr>
                <w:i/>
              </w:rPr>
              <w:t>euro</w:t>
            </w:r>
            <w:r w:rsidRPr="006557B3">
              <w:t>;</w:t>
            </w:r>
          </w:p>
        </w:tc>
        <w:tc>
          <w:tcPr>
            <w:tcW w:w="1418" w:type="dxa"/>
            <w:tcBorders>
              <w:top w:val="single" w:sz="4" w:space="0" w:color="auto"/>
              <w:left w:val="single" w:sz="4" w:space="0" w:color="auto"/>
              <w:bottom w:val="single" w:sz="4" w:space="0" w:color="auto"/>
              <w:right w:val="single" w:sz="4" w:space="0" w:color="auto"/>
            </w:tcBorders>
          </w:tcPr>
          <w:p w14:paraId="39F15AF4"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7B3B156F"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24B23884" w14:textId="77777777" w:rsidR="006A2B1D" w:rsidRPr="006557B3" w:rsidRDefault="006A2B1D">
            <w:pPr>
              <w:tabs>
                <w:tab w:val="left" w:pos="8647"/>
              </w:tabs>
            </w:pPr>
          </w:p>
        </w:tc>
      </w:tr>
      <w:tr w:rsidR="006A2B1D" w:rsidRPr="006557B3" w14:paraId="4759076B"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73F06EF1"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9DCF76E"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5D0D15BE" w14:textId="77777777" w:rsidR="006A2B1D" w:rsidRPr="006557B3" w:rsidRDefault="006A2B1D">
            <w:pPr>
              <w:tabs>
                <w:tab w:val="left" w:pos="8647"/>
              </w:tabs>
            </w:pPr>
            <w:r w:rsidRPr="006557B3">
              <w:t xml:space="preserve">1.1.2.vitamīni </w:t>
            </w:r>
            <w:r w:rsidRPr="006557B3">
              <w:rPr>
                <w:color w:val="000000" w:themeColor="text1"/>
              </w:rPr>
              <w:t xml:space="preserve">– 20 paraugi x 120,00 </w:t>
            </w:r>
            <w:r w:rsidRPr="006557B3">
              <w:rPr>
                <w:i/>
                <w:color w:val="000000" w:themeColor="text1"/>
              </w:rPr>
              <w:t>euro</w:t>
            </w:r>
            <w:r w:rsidRPr="006557B3">
              <w:rPr>
                <w:color w:val="000000" w:themeColor="text1"/>
              </w:rPr>
              <w:t xml:space="preserve"> vidēji par vienu rādītāju =2400,00 </w:t>
            </w:r>
            <w:r w:rsidRPr="006557B3">
              <w:rPr>
                <w:i/>
                <w:color w:val="000000" w:themeColor="text1"/>
              </w:rPr>
              <w:t>euro</w:t>
            </w:r>
            <w:r w:rsidRPr="006557B3">
              <w:rPr>
                <w:color w:val="000000" w:themeColor="text1"/>
              </w:rPr>
              <w:t>;</w:t>
            </w:r>
          </w:p>
        </w:tc>
        <w:tc>
          <w:tcPr>
            <w:tcW w:w="1418" w:type="dxa"/>
            <w:tcBorders>
              <w:top w:val="single" w:sz="4" w:space="0" w:color="auto"/>
              <w:left w:val="single" w:sz="4" w:space="0" w:color="auto"/>
              <w:bottom w:val="single" w:sz="4" w:space="0" w:color="auto"/>
              <w:right w:val="single" w:sz="4" w:space="0" w:color="auto"/>
            </w:tcBorders>
          </w:tcPr>
          <w:p w14:paraId="5A08119C"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0298639E"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2B3264FD" w14:textId="77777777" w:rsidR="006A2B1D" w:rsidRPr="006557B3" w:rsidRDefault="006A2B1D">
            <w:pPr>
              <w:tabs>
                <w:tab w:val="left" w:pos="8647"/>
              </w:tabs>
            </w:pPr>
          </w:p>
        </w:tc>
      </w:tr>
      <w:tr w:rsidR="006A2B1D" w:rsidRPr="006557B3" w14:paraId="011C8E58"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3D7E659E"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50D3EC2"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582D6294" w14:textId="77777777" w:rsidR="006A2B1D" w:rsidRPr="006557B3" w:rsidRDefault="006A2B1D">
            <w:pPr>
              <w:tabs>
                <w:tab w:val="left" w:pos="8647"/>
              </w:tabs>
            </w:pPr>
            <w:r w:rsidRPr="006557B3">
              <w:t>1</w:t>
            </w:r>
            <w:r w:rsidRPr="006557B3">
              <w:rPr>
                <w:color w:val="000000" w:themeColor="text1"/>
              </w:rPr>
              <w:t xml:space="preserve">.1.3. minerālvielas – 45 paraugi x 28,80 </w:t>
            </w:r>
            <w:r w:rsidRPr="006557B3">
              <w:rPr>
                <w:i/>
                <w:color w:val="000000" w:themeColor="text1"/>
              </w:rPr>
              <w:t>euro</w:t>
            </w:r>
            <w:r w:rsidRPr="006557B3">
              <w:rPr>
                <w:color w:val="000000" w:themeColor="text1"/>
              </w:rPr>
              <w:t xml:space="preserve"> vidēji par viena elementa noteikšanu = 1296,00 </w:t>
            </w:r>
            <w:r w:rsidRPr="006557B3">
              <w:rPr>
                <w:i/>
                <w:color w:val="000000" w:themeColor="text1"/>
              </w:rPr>
              <w:t>euro</w:t>
            </w:r>
            <w:r w:rsidRPr="006557B3">
              <w:rPr>
                <w:color w:val="000000" w:themeColor="text1"/>
              </w:rPr>
              <w:t>;</w:t>
            </w:r>
          </w:p>
        </w:tc>
        <w:tc>
          <w:tcPr>
            <w:tcW w:w="1418" w:type="dxa"/>
            <w:tcBorders>
              <w:top w:val="single" w:sz="4" w:space="0" w:color="auto"/>
              <w:left w:val="single" w:sz="4" w:space="0" w:color="auto"/>
              <w:bottom w:val="single" w:sz="4" w:space="0" w:color="auto"/>
              <w:right w:val="single" w:sz="4" w:space="0" w:color="auto"/>
            </w:tcBorders>
          </w:tcPr>
          <w:p w14:paraId="602BBA41"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08953E70"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6088F499" w14:textId="77777777" w:rsidR="006A2B1D" w:rsidRPr="006557B3" w:rsidRDefault="006A2B1D">
            <w:pPr>
              <w:tabs>
                <w:tab w:val="left" w:pos="8647"/>
              </w:tabs>
            </w:pPr>
          </w:p>
        </w:tc>
      </w:tr>
      <w:tr w:rsidR="006A2B1D" w:rsidRPr="006557B3" w14:paraId="5114CEE3"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3F8D63A4"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E3461B9"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2A95BEAA" w14:textId="77777777" w:rsidR="006A2B1D" w:rsidRPr="006557B3" w:rsidRDefault="006A2B1D">
            <w:pPr>
              <w:tabs>
                <w:tab w:val="left" w:pos="8647"/>
              </w:tabs>
            </w:pPr>
            <w:r w:rsidRPr="006557B3">
              <w:t>1</w:t>
            </w:r>
            <w:r w:rsidRPr="006557B3">
              <w:rPr>
                <w:color w:val="000000" w:themeColor="text1"/>
              </w:rPr>
              <w:t xml:space="preserve">.1.4. aizliegtās vielas/nezināmās vielas – 13 paraugi x vidēji 2000,00 </w:t>
            </w:r>
            <w:r w:rsidRPr="006557B3">
              <w:rPr>
                <w:i/>
                <w:color w:val="000000" w:themeColor="text1"/>
              </w:rPr>
              <w:t>euro</w:t>
            </w:r>
            <w:r w:rsidRPr="006557B3">
              <w:rPr>
                <w:color w:val="000000" w:themeColor="text1"/>
              </w:rPr>
              <w:t xml:space="preserve"> par vienu paraugu </w:t>
            </w:r>
            <w:r w:rsidRPr="006557B3">
              <w:rPr>
                <w:i/>
                <w:color w:val="000000" w:themeColor="text1"/>
              </w:rPr>
              <w:t>euro</w:t>
            </w:r>
            <w:r w:rsidRPr="006557B3">
              <w:rPr>
                <w:color w:val="000000" w:themeColor="text1"/>
              </w:rPr>
              <w:t xml:space="preserve"> = 26 000,00 </w:t>
            </w:r>
            <w:r w:rsidRPr="006557B3">
              <w:rPr>
                <w:i/>
                <w:color w:val="000000" w:themeColor="text1"/>
              </w:rPr>
              <w:t>euro</w:t>
            </w:r>
            <w:r w:rsidRPr="006557B3">
              <w:rPr>
                <w:color w:val="000000" w:themeColor="text1"/>
              </w:rPr>
              <w:t>;</w:t>
            </w:r>
          </w:p>
        </w:tc>
        <w:tc>
          <w:tcPr>
            <w:tcW w:w="1418" w:type="dxa"/>
            <w:tcBorders>
              <w:top w:val="single" w:sz="4" w:space="0" w:color="auto"/>
              <w:left w:val="single" w:sz="4" w:space="0" w:color="auto"/>
              <w:bottom w:val="single" w:sz="4" w:space="0" w:color="auto"/>
              <w:right w:val="single" w:sz="4" w:space="0" w:color="auto"/>
            </w:tcBorders>
          </w:tcPr>
          <w:p w14:paraId="4DC04C09"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6531CBA9"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425EFCCB" w14:textId="77777777" w:rsidR="006A2B1D" w:rsidRPr="006557B3" w:rsidRDefault="006A2B1D">
            <w:pPr>
              <w:tabs>
                <w:tab w:val="left" w:pos="8647"/>
              </w:tabs>
            </w:pPr>
          </w:p>
        </w:tc>
      </w:tr>
      <w:tr w:rsidR="006A2B1D" w:rsidRPr="006557B3" w14:paraId="1E64C15F"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2651BDD2"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8EBF596"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7F393C3A" w14:textId="77777777" w:rsidR="006A2B1D" w:rsidRPr="006557B3" w:rsidRDefault="006A2B1D">
            <w:pPr>
              <w:tabs>
                <w:tab w:val="left" w:pos="8647"/>
              </w:tabs>
            </w:pPr>
            <w:r w:rsidRPr="006557B3">
              <w:t xml:space="preserve">1.2. paraugu pārsūtīšana uz testēšanas laboratorijām (37 paraugi x  40,48 </w:t>
            </w:r>
            <w:r w:rsidRPr="006557B3">
              <w:rPr>
                <w:i/>
              </w:rPr>
              <w:t xml:space="preserve">euro </w:t>
            </w:r>
            <w:r w:rsidRPr="006557B3">
              <w:t>vidēji par vienu paraugu) = 1500,00</w:t>
            </w:r>
            <w:r w:rsidRPr="006557B3">
              <w:rPr>
                <w:i/>
              </w:rPr>
              <w:t xml:space="preserve"> euro</w:t>
            </w:r>
            <w:r w:rsidRPr="006557B3">
              <w:t>.</w:t>
            </w:r>
          </w:p>
        </w:tc>
        <w:tc>
          <w:tcPr>
            <w:tcW w:w="1418" w:type="dxa"/>
            <w:tcBorders>
              <w:top w:val="single" w:sz="4" w:space="0" w:color="auto"/>
              <w:left w:val="single" w:sz="4" w:space="0" w:color="auto"/>
              <w:bottom w:val="single" w:sz="4" w:space="0" w:color="auto"/>
              <w:right w:val="single" w:sz="4" w:space="0" w:color="auto"/>
            </w:tcBorders>
          </w:tcPr>
          <w:p w14:paraId="51C87AE0"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131EBC51"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1D2B3A35" w14:textId="77777777" w:rsidR="006A2B1D" w:rsidRPr="006557B3" w:rsidRDefault="006A2B1D">
            <w:pPr>
              <w:tabs>
                <w:tab w:val="left" w:pos="8647"/>
              </w:tabs>
            </w:pPr>
          </w:p>
        </w:tc>
      </w:tr>
      <w:tr w:rsidR="006A2B1D" w:rsidRPr="006557B3" w14:paraId="251A086F"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1A5B233E"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563D12C"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515C620B" w14:textId="2F84A707" w:rsidR="006A2B1D" w:rsidRPr="006557B3" w:rsidRDefault="006A2B1D">
            <w:pPr>
              <w:tabs>
                <w:tab w:val="left" w:pos="8647"/>
              </w:tabs>
            </w:pPr>
            <w:r w:rsidRPr="006557B3">
              <w:t xml:space="preserve">2. UB iekšējā tirgus kontrole </w:t>
            </w:r>
            <w:r w:rsidR="00F71964">
              <w:t xml:space="preserve">saistībā ar </w:t>
            </w:r>
            <w:r w:rsidRPr="006557B3">
              <w:t>uzraudzīb</w:t>
            </w:r>
            <w:r w:rsidR="00F71964">
              <w:t>u</w:t>
            </w:r>
            <w:r w:rsidRPr="006557B3">
              <w:t xml:space="preserve"> (monitoring</w:t>
            </w:r>
            <w:r w:rsidR="00F71964">
              <w:t>u</w:t>
            </w:r>
            <w:r w:rsidRPr="006557B3">
              <w:t>):</w:t>
            </w:r>
          </w:p>
        </w:tc>
        <w:tc>
          <w:tcPr>
            <w:tcW w:w="1418" w:type="dxa"/>
            <w:tcBorders>
              <w:top w:val="single" w:sz="4" w:space="0" w:color="auto"/>
              <w:left w:val="single" w:sz="4" w:space="0" w:color="auto"/>
              <w:bottom w:val="single" w:sz="4" w:space="0" w:color="auto"/>
              <w:right w:val="single" w:sz="4" w:space="0" w:color="auto"/>
            </w:tcBorders>
          </w:tcPr>
          <w:p w14:paraId="602A30C3" w14:textId="77777777" w:rsidR="006A2B1D" w:rsidRPr="006557B3" w:rsidRDefault="006A2B1D" w:rsidP="000D5945">
            <w:pPr>
              <w:tabs>
                <w:tab w:val="left" w:pos="8647"/>
              </w:tabs>
              <w:jc w:val="center"/>
              <w:rPr>
                <w:sz w:val="22"/>
                <w:szCs w:val="22"/>
              </w:rPr>
            </w:pPr>
            <w:r w:rsidRPr="006557B3">
              <w:t>37 890,00</w:t>
            </w:r>
          </w:p>
          <w:p w14:paraId="4D9D90D7" w14:textId="4BD9321A" w:rsidR="006A2B1D" w:rsidRPr="006557B3" w:rsidRDefault="006A2B1D" w:rsidP="000D5945">
            <w:pPr>
              <w:tabs>
                <w:tab w:val="left" w:pos="8647"/>
              </w:tabs>
              <w:jc w:val="center"/>
              <w:rPr>
                <w:i/>
              </w:rPr>
            </w:pPr>
            <w:r w:rsidRPr="006557B3">
              <w:rPr>
                <w:i/>
              </w:rPr>
              <w:t>euro</w:t>
            </w:r>
          </w:p>
          <w:p w14:paraId="30CA6671" w14:textId="77777777" w:rsidR="006A2B1D" w:rsidRPr="006557B3" w:rsidRDefault="006A2B1D" w:rsidP="000D5945">
            <w:pPr>
              <w:tabs>
                <w:tab w:val="left" w:pos="8647"/>
              </w:tabs>
              <w:jc w:val="center"/>
            </w:pPr>
          </w:p>
        </w:tc>
        <w:tc>
          <w:tcPr>
            <w:tcW w:w="1276" w:type="dxa"/>
            <w:tcBorders>
              <w:top w:val="single" w:sz="4" w:space="0" w:color="auto"/>
              <w:left w:val="single" w:sz="4" w:space="0" w:color="auto"/>
              <w:bottom w:val="single" w:sz="4" w:space="0" w:color="auto"/>
              <w:right w:val="single" w:sz="4" w:space="0" w:color="auto"/>
            </w:tcBorders>
          </w:tcPr>
          <w:p w14:paraId="5FC8CAD3" w14:textId="77777777" w:rsidR="006A2B1D" w:rsidRPr="006557B3" w:rsidRDefault="006A2B1D" w:rsidP="000D5945">
            <w:pPr>
              <w:tabs>
                <w:tab w:val="left" w:pos="8647"/>
              </w:tabs>
              <w:jc w:val="center"/>
              <w:rPr>
                <w:i/>
                <w:sz w:val="22"/>
                <w:szCs w:val="22"/>
              </w:rPr>
            </w:pPr>
            <w:r w:rsidRPr="006557B3">
              <w:t xml:space="preserve">37 890,00 </w:t>
            </w:r>
            <w:r w:rsidRPr="006557B3">
              <w:rPr>
                <w:i/>
              </w:rPr>
              <w:t>euro</w:t>
            </w:r>
          </w:p>
          <w:p w14:paraId="3519EF53" w14:textId="77777777" w:rsidR="006A2B1D" w:rsidRPr="006557B3" w:rsidRDefault="006A2B1D" w:rsidP="000D5945">
            <w:pPr>
              <w:tabs>
                <w:tab w:val="left" w:pos="8647"/>
              </w:tabs>
              <w:jc w:val="center"/>
            </w:pPr>
          </w:p>
        </w:tc>
        <w:tc>
          <w:tcPr>
            <w:tcW w:w="1335" w:type="dxa"/>
            <w:tcBorders>
              <w:top w:val="single" w:sz="4" w:space="0" w:color="auto"/>
              <w:left w:val="single" w:sz="4" w:space="0" w:color="auto"/>
              <w:bottom w:val="single" w:sz="4" w:space="0" w:color="auto"/>
              <w:right w:val="single" w:sz="4" w:space="0" w:color="auto"/>
            </w:tcBorders>
          </w:tcPr>
          <w:p w14:paraId="3EFF017E" w14:textId="77777777" w:rsidR="006A2B1D" w:rsidRPr="006557B3" w:rsidRDefault="006A2B1D" w:rsidP="000D5945">
            <w:pPr>
              <w:tabs>
                <w:tab w:val="left" w:pos="8647"/>
              </w:tabs>
              <w:jc w:val="center"/>
              <w:rPr>
                <w:i/>
                <w:sz w:val="22"/>
                <w:szCs w:val="22"/>
              </w:rPr>
            </w:pPr>
            <w:r w:rsidRPr="006557B3">
              <w:t xml:space="preserve">37 890,00 </w:t>
            </w:r>
            <w:r w:rsidRPr="006557B3">
              <w:rPr>
                <w:i/>
              </w:rPr>
              <w:t>euro</w:t>
            </w:r>
          </w:p>
          <w:p w14:paraId="57E91D68" w14:textId="77777777" w:rsidR="006A2B1D" w:rsidRPr="006557B3" w:rsidRDefault="006A2B1D" w:rsidP="000D5945">
            <w:pPr>
              <w:tabs>
                <w:tab w:val="left" w:pos="8647"/>
              </w:tabs>
              <w:jc w:val="center"/>
            </w:pPr>
          </w:p>
        </w:tc>
      </w:tr>
      <w:tr w:rsidR="006A2B1D" w:rsidRPr="006557B3" w14:paraId="69C2FE01"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72C24225"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1706BA5"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70DE697D" w14:textId="77777777" w:rsidR="006A2B1D" w:rsidRPr="006557B3" w:rsidRDefault="006A2B1D">
            <w:pPr>
              <w:tabs>
                <w:tab w:val="left" w:pos="8647"/>
              </w:tabs>
              <w:jc w:val="both"/>
            </w:pPr>
            <w:r w:rsidRPr="006557B3">
              <w:t xml:space="preserve">2.1.oficiālajam monitoringam – 34 390,00 </w:t>
            </w:r>
            <w:r w:rsidRPr="006557B3">
              <w:rPr>
                <w:i/>
              </w:rPr>
              <w:t>euro</w:t>
            </w:r>
            <w:r w:rsidRPr="006557B3">
              <w:t xml:space="preserve"> (smagie metāli, vitamīni, minerālvielas u.c.), t.sk.;</w:t>
            </w:r>
          </w:p>
        </w:tc>
        <w:tc>
          <w:tcPr>
            <w:tcW w:w="1418" w:type="dxa"/>
            <w:tcBorders>
              <w:top w:val="single" w:sz="4" w:space="0" w:color="auto"/>
              <w:left w:val="single" w:sz="4" w:space="0" w:color="auto"/>
              <w:bottom w:val="single" w:sz="4" w:space="0" w:color="auto"/>
              <w:right w:val="single" w:sz="4" w:space="0" w:color="auto"/>
            </w:tcBorders>
          </w:tcPr>
          <w:p w14:paraId="1F81C45E"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5057099D"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3618A01B" w14:textId="77777777" w:rsidR="006A2B1D" w:rsidRPr="006557B3" w:rsidRDefault="006A2B1D">
            <w:pPr>
              <w:tabs>
                <w:tab w:val="left" w:pos="8647"/>
              </w:tabs>
            </w:pPr>
          </w:p>
        </w:tc>
      </w:tr>
      <w:tr w:rsidR="006A2B1D" w:rsidRPr="006557B3" w14:paraId="3D0FCF3C"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7897502A"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FEB595C"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62D0133C" w14:textId="77777777" w:rsidR="006A2B1D" w:rsidRPr="006557B3" w:rsidRDefault="006A2B1D">
            <w:pPr>
              <w:tabs>
                <w:tab w:val="left" w:pos="8647"/>
              </w:tabs>
              <w:jc w:val="both"/>
            </w:pPr>
            <w:r w:rsidRPr="006557B3">
              <w:rPr>
                <w:color w:val="000000" w:themeColor="text1"/>
              </w:rPr>
              <w:t xml:space="preserve">2.1.1.smagie metāli – 25 paraugi x 86,00 </w:t>
            </w:r>
            <w:r w:rsidRPr="006557B3">
              <w:rPr>
                <w:i/>
                <w:color w:val="000000" w:themeColor="text1"/>
              </w:rPr>
              <w:t>euro</w:t>
            </w:r>
            <w:r w:rsidRPr="006557B3">
              <w:rPr>
                <w:color w:val="000000" w:themeColor="text1"/>
              </w:rPr>
              <w:t xml:space="preserve"> vidēji par vienu paraugu = 2150,00 </w:t>
            </w:r>
            <w:r w:rsidRPr="006557B3">
              <w:rPr>
                <w:i/>
                <w:color w:val="000000" w:themeColor="text1"/>
              </w:rPr>
              <w:t>euro</w:t>
            </w:r>
            <w:r w:rsidRPr="006557B3">
              <w:rPr>
                <w:color w:val="000000" w:themeColor="text1"/>
              </w:rPr>
              <w:t>;</w:t>
            </w:r>
          </w:p>
        </w:tc>
        <w:tc>
          <w:tcPr>
            <w:tcW w:w="1418" w:type="dxa"/>
            <w:tcBorders>
              <w:top w:val="single" w:sz="4" w:space="0" w:color="auto"/>
              <w:left w:val="single" w:sz="4" w:space="0" w:color="auto"/>
              <w:bottom w:val="single" w:sz="4" w:space="0" w:color="auto"/>
              <w:right w:val="single" w:sz="4" w:space="0" w:color="auto"/>
            </w:tcBorders>
          </w:tcPr>
          <w:p w14:paraId="637EC574"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1169D91F"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24BB35E8" w14:textId="77777777" w:rsidR="006A2B1D" w:rsidRPr="006557B3" w:rsidRDefault="006A2B1D">
            <w:pPr>
              <w:tabs>
                <w:tab w:val="left" w:pos="8647"/>
              </w:tabs>
            </w:pPr>
          </w:p>
        </w:tc>
      </w:tr>
      <w:tr w:rsidR="006A2B1D" w:rsidRPr="006557B3" w14:paraId="1F9CD841"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228E155A"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FD5EE65"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0D276439" w14:textId="0F0894E8" w:rsidR="006A2B1D" w:rsidRPr="006557B3" w:rsidRDefault="006A2B1D">
            <w:pPr>
              <w:tabs>
                <w:tab w:val="left" w:pos="8647"/>
              </w:tabs>
              <w:jc w:val="both"/>
            </w:pPr>
            <w:r w:rsidRPr="006557B3">
              <w:rPr>
                <w:color w:val="000000" w:themeColor="text1"/>
              </w:rPr>
              <w:t xml:space="preserve">2.1.2. vitamīni </w:t>
            </w:r>
            <w:r w:rsidR="000A5851">
              <w:rPr>
                <w:color w:val="000000" w:themeColor="text1"/>
              </w:rPr>
              <w:t>–</w:t>
            </w:r>
            <w:r w:rsidRPr="006557B3">
              <w:rPr>
                <w:color w:val="000000" w:themeColor="text1"/>
              </w:rPr>
              <w:t xml:space="preserve"> 40 paraugi x 120,00 </w:t>
            </w:r>
            <w:r w:rsidRPr="006557B3">
              <w:rPr>
                <w:i/>
                <w:color w:val="000000" w:themeColor="text1"/>
              </w:rPr>
              <w:t xml:space="preserve">euro </w:t>
            </w:r>
            <w:r w:rsidRPr="006557B3">
              <w:rPr>
                <w:color w:val="000000" w:themeColor="text1"/>
              </w:rPr>
              <w:t xml:space="preserve">= 4800,00 </w:t>
            </w:r>
            <w:r w:rsidRPr="006557B3">
              <w:rPr>
                <w:i/>
                <w:color w:val="000000" w:themeColor="text1"/>
              </w:rPr>
              <w:t>euro</w:t>
            </w:r>
            <w:r w:rsidRPr="006557B3">
              <w:rPr>
                <w:color w:val="000000" w:themeColor="text1"/>
              </w:rPr>
              <w:t>;</w:t>
            </w:r>
          </w:p>
        </w:tc>
        <w:tc>
          <w:tcPr>
            <w:tcW w:w="1418" w:type="dxa"/>
            <w:tcBorders>
              <w:top w:val="single" w:sz="4" w:space="0" w:color="auto"/>
              <w:left w:val="single" w:sz="4" w:space="0" w:color="auto"/>
              <w:bottom w:val="single" w:sz="4" w:space="0" w:color="auto"/>
              <w:right w:val="single" w:sz="4" w:space="0" w:color="auto"/>
            </w:tcBorders>
          </w:tcPr>
          <w:p w14:paraId="3B3C95C8"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1E4AE08A"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3994E187" w14:textId="77777777" w:rsidR="006A2B1D" w:rsidRPr="006557B3" w:rsidRDefault="006A2B1D">
            <w:pPr>
              <w:tabs>
                <w:tab w:val="left" w:pos="8647"/>
              </w:tabs>
            </w:pPr>
          </w:p>
        </w:tc>
      </w:tr>
      <w:tr w:rsidR="006A2B1D" w:rsidRPr="006557B3" w14:paraId="0D2BC060"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5F20F1C7"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DE85A07"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25D28640" w14:textId="77777777" w:rsidR="006A2B1D" w:rsidRPr="006557B3" w:rsidRDefault="006A2B1D">
            <w:pPr>
              <w:tabs>
                <w:tab w:val="left" w:pos="8647"/>
              </w:tabs>
              <w:rPr>
                <w:color w:val="000000" w:themeColor="text1"/>
                <w:sz w:val="22"/>
                <w:szCs w:val="22"/>
              </w:rPr>
            </w:pPr>
            <w:r w:rsidRPr="006557B3">
              <w:rPr>
                <w:color w:val="000000" w:themeColor="text1"/>
              </w:rPr>
              <w:t>2.1.3.minerālvielas – 50</w:t>
            </w:r>
          </w:p>
          <w:p w14:paraId="18751893" w14:textId="77777777" w:rsidR="006A2B1D" w:rsidRPr="006557B3" w:rsidRDefault="006A2B1D">
            <w:pPr>
              <w:tabs>
                <w:tab w:val="left" w:pos="8647"/>
              </w:tabs>
              <w:jc w:val="both"/>
            </w:pPr>
            <w:r w:rsidRPr="006557B3">
              <w:rPr>
                <w:color w:val="000000" w:themeColor="text1"/>
              </w:rPr>
              <w:t xml:space="preserve">paraugi x 28,80 </w:t>
            </w:r>
            <w:r w:rsidRPr="006557B3">
              <w:rPr>
                <w:i/>
                <w:color w:val="000000" w:themeColor="text1"/>
              </w:rPr>
              <w:t>euro</w:t>
            </w:r>
            <w:r w:rsidRPr="006557B3">
              <w:rPr>
                <w:color w:val="000000" w:themeColor="text1"/>
              </w:rPr>
              <w:t xml:space="preserve"> par viena elementa noteikšanu= 1440,00 </w:t>
            </w:r>
            <w:r w:rsidRPr="006557B3">
              <w:rPr>
                <w:i/>
                <w:color w:val="000000" w:themeColor="text1"/>
              </w:rPr>
              <w:t>euro</w:t>
            </w:r>
            <w:r w:rsidRPr="006557B3">
              <w:rPr>
                <w:color w:val="000000" w:themeColor="text1"/>
              </w:rPr>
              <w:t>;</w:t>
            </w:r>
          </w:p>
        </w:tc>
        <w:tc>
          <w:tcPr>
            <w:tcW w:w="1418" w:type="dxa"/>
            <w:tcBorders>
              <w:top w:val="single" w:sz="4" w:space="0" w:color="auto"/>
              <w:left w:val="single" w:sz="4" w:space="0" w:color="auto"/>
              <w:bottom w:val="single" w:sz="4" w:space="0" w:color="auto"/>
              <w:right w:val="single" w:sz="4" w:space="0" w:color="auto"/>
            </w:tcBorders>
          </w:tcPr>
          <w:p w14:paraId="5F3C7247"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2CF8F472"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65C68D68" w14:textId="77777777" w:rsidR="006A2B1D" w:rsidRPr="006557B3" w:rsidRDefault="006A2B1D">
            <w:pPr>
              <w:tabs>
                <w:tab w:val="left" w:pos="8647"/>
              </w:tabs>
            </w:pPr>
          </w:p>
        </w:tc>
      </w:tr>
      <w:tr w:rsidR="006A2B1D" w:rsidRPr="006557B3" w14:paraId="207A13F2"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627FE46F"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F6B740D"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38500EFC" w14:textId="77777777" w:rsidR="006A2B1D" w:rsidRPr="006557B3" w:rsidRDefault="006A2B1D">
            <w:pPr>
              <w:tabs>
                <w:tab w:val="left" w:pos="8647"/>
              </w:tabs>
              <w:jc w:val="both"/>
            </w:pPr>
            <w:r w:rsidRPr="006557B3">
              <w:rPr>
                <w:color w:val="000000" w:themeColor="text1"/>
              </w:rPr>
              <w:t xml:space="preserve">2.1.4. aizliegtās vielas/nezināmās vielas – 13 paraugi x 2000,00 </w:t>
            </w:r>
            <w:r w:rsidRPr="006557B3">
              <w:rPr>
                <w:i/>
                <w:color w:val="000000" w:themeColor="text1"/>
              </w:rPr>
              <w:t>euro</w:t>
            </w:r>
            <w:r w:rsidRPr="006557B3">
              <w:rPr>
                <w:color w:val="000000" w:themeColor="text1"/>
              </w:rPr>
              <w:t xml:space="preserve">= 26 000,00 </w:t>
            </w:r>
            <w:r w:rsidRPr="006557B3">
              <w:rPr>
                <w:i/>
                <w:color w:val="000000" w:themeColor="text1"/>
              </w:rPr>
              <w:t>euro;</w:t>
            </w:r>
          </w:p>
        </w:tc>
        <w:tc>
          <w:tcPr>
            <w:tcW w:w="1418" w:type="dxa"/>
            <w:tcBorders>
              <w:top w:val="single" w:sz="4" w:space="0" w:color="auto"/>
              <w:left w:val="single" w:sz="4" w:space="0" w:color="auto"/>
              <w:bottom w:val="single" w:sz="4" w:space="0" w:color="auto"/>
              <w:right w:val="single" w:sz="4" w:space="0" w:color="auto"/>
            </w:tcBorders>
          </w:tcPr>
          <w:p w14:paraId="725BA17A"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404EAD8C"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2564A0D0" w14:textId="77777777" w:rsidR="006A2B1D" w:rsidRPr="006557B3" w:rsidRDefault="006A2B1D">
            <w:pPr>
              <w:tabs>
                <w:tab w:val="left" w:pos="8647"/>
              </w:tabs>
            </w:pPr>
          </w:p>
        </w:tc>
      </w:tr>
      <w:tr w:rsidR="006A2B1D" w:rsidRPr="006557B3" w14:paraId="37AD0B4F"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065BF03A"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01B9539"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0D386F5F" w14:textId="77777777" w:rsidR="006A2B1D" w:rsidRPr="006557B3" w:rsidRDefault="006A2B1D">
            <w:pPr>
              <w:tabs>
                <w:tab w:val="left" w:pos="8647"/>
              </w:tabs>
              <w:jc w:val="both"/>
              <w:rPr>
                <w:sz w:val="22"/>
                <w:szCs w:val="22"/>
              </w:rPr>
            </w:pPr>
            <w:r w:rsidRPr="006557B3">
              <w:t xml:space="preserve">2.2. neparedzētiem gadījumiem* – 2000,00 </w:t>
            </w:r>
            <w:r w:rsidRPr="006557B3">
              <w:rPr>
                <w:i/>
              </w:rPr>
              <w:t>euro</w:t>
            </w:r>
            <w:r w:rsidRPr="006557B3">
              <w:t xml:space="preserve"> (aizliegto/nezināmo vielu noteikšana);</w:t>
            </w:r>
          </w:p>
          <w:p w14:paraId="491543D0" w14:textId="77777777" w:rsidR="006A2B1D" w:rsidRPr="006557B3" w:rsidRDefault="006A2B1D">
            <w:pPr>
              <w:tabs>
                <w:tab w:val="left" w:pos="8647"/>
              </w:tabs>
              <w:jc w:val="both"/>
            </w:pPr>
            <w:r w:rsidRPr="006557B3">
              <w:rPr>
                <w:color w:val="000000" w:themeColor="text1"/>
              </w:rPr>
              <w:t xml:space="preserve">10 paraugi x 200,00 </w:t>
            </w:r>
            <w:r w:rsidRPr="006557B3">
              <w:rPr>
                <w:i/>
                <w:color w:val="000000" w:themeColor="text1"/>
              </w:rPr>
              <w:t>euro</w:t>
            </w:r>
            <w:r w:rsidRPr="006557B3">
              <w:rPr>
                <w:color w:val="000000" w:themeColor="text1"/>
              </w:rPr>
              <w:t xml:space="preserve"> vidēji par vienu paraugu = 2000,00 </w:t>
            </w:r>
            <w:r w:rsidRPr="006557B3">
              <w:rPr>
                <w:i/>
                <w:color w:val="000000" w:themeColor="text1"/>
              </w:rPr>
              <w:t>euro</w:t>
            </w:r>
          </w:p>
        </w:tc>
        <w:tc>
          <w:tcPr>
            <w:tcW w:w="1418" w:type="dxa"/>
            <w:tcBorders>
              <w:top w:val="single" w:sz="4" w:space="0" w:color="auto"/>
              <w:left w:val="single" w:sz="4" w:space="0" w:color="auto"/>
              <w:bottom w:val="single" w:sz="4" w:space="0" w:color="auto"/>
              <w:right w:val="single" w:sz="4" w:space="0" w:color="auto"/>
            </w:tcBorders>
          </w:tcPr>
          <w:p w14:paraId="4FD75429"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12C47B52"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16BBA4C6" w14:textId="77777777" w:rsidR="006A2B1D" w:rsidRPr="006557B3" w:rsidRDefault="006A2B1D">
            <w:pPr>
              <w:tabs>
                <w:tab w:val="left" w:pos="8647"/>
              </w:tabs>
            </w:pPr>
          </w:p>
        </w:tc>
      </w:tr>
      <w:tr w:rsidR="006A2B1D" w:rsidRPr="006557B3" w14:paraId="2EC5B769"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0497A534"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8A964A7"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25872D51" w14:textId="77777777" w:rsidR="006A2B1D" w:rsidRPr="006557B3" w:rsidRDefault="006A2B1D">
            <w:pPr>
              <w:tabs>
                <w:tab w:val="left" w:pos="8647"/>
              </w:tabs>
              <w:jc w:val="both"/>
            </w:pPr>
            <w:r w:rsidRPr="006557B3">
              <w:t xml:space="preserve">2.3. paraugu pārsūtīšana uz testēšanas laboratorijām (37 paraugi x  40,48 </w:t>
            </w:r>
            <w:r w:rsidRPr="006557B3">
              <w:rPr>
                <w:i/>
              </w:rPr>
              <w:t xml:space="preserve">euro </w:t>
            </w:r>
            <w:r w:rsidRPr="006557B3">
              <w:t>vidēji par vienu paraugu) = 1500,00</w:t>
            </w:r>
            <w:r w:rsidRPr="006557B3">
              <w:rPr>
                <w:i/>
              </w:rPr>
              <w:t xml:space="preserve"> euro</w:t>
            </w:r>
            <w:r w:rsidRPr="006557B3">
              <w:t>.</w:t>
            </w:r>
          </w:p>
        </w:tc>
        <w:tc>
          <w:tcPr>
            <w:tcW w:w="1418" w:type="dxa"/>
            <w:tcBorders>
              <w:top w:val="single" w:sz="4" w:space="0" w:color="auto"/>
              <w:left w:val="single" w:sz="4" w:space="0" w:color="auto"/>
              <w:bottom w:val="single" w:sz="4" w:space="0" w:color="auto"/>
              <w:right w:val="single" w:sz="4" w:space="0" w:color="auto"/>
            </w:tcBorders>
          </w:tcPr>
          <w:p w14:paraId="4DE23D50"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7B570B70"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555EBEAC" w14:textId="77777777" w:rsidR="006A2B1D" w:rsidRPr="006557B3" w:rsidRDefault="006A2B1D">
            <w:pPr>
              <w:tabs>
                <w:tab w:val="left" w:pos="8647"/>
              </w:tabs>
              <w:rPr>
                <w:strike/>
              </w:rPr>
            </w:pPr>
          </w:p>
        </w:tc>
      </w:tr>
      <w:tr w:rsidR="006A2B1D" w:rsidRPr="006557B3" w14:paraId="107F3603"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7219F256"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872BA1C"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tcPr>
          <w:p w14:paraId="78BF2D75" w14:textId="75462686" w:rsidR="006A2B1D" w:rsidRPr="006557B3" w:rsidRDefault="006A2B1D" w:rsidP="00BF0D3C">
            <w:pPr>
              <w:tabs>
                <w:tab w:val="left" w:pos="8647"/>
              </w:tabs>
            </w:pPr>
            <w:r w:rsidRPr="006557B3">
              <w:t>3. UB laboratoriskā kontrole uz Latvijas ārējās robežas:</w:t>
            </w:r>
          </w:p>
        </w:tc>
        <w:tc>
          <w:tcPr>
            <w:tcW w:w="1418" w:type="dxa"/>
            <w:tcBorders>
              <w:top w:val="single" w:sz="4" w:space="0" w:color="auto"/>
              <w:left w:val="single" w:sz="4" w:space="0" w:color="auto"/>
              <w:bottom w:val="single" w:sz="4" w:space="0" w:color="auto"/>
              <w:right w:val="single" w:sz="4" w:space="0" w:color="auto"/>
            </w:tcBorders>
          </w:tcPr>
          <w:p w14:paraId="593FE467" w14:textId="77777777" w:rsidR="006A2B1D" w:rsidRPr="006557B3" w:rsidRDefault="006A2B1D" w:rsidP="000D5945">
            <w:pPr>
              <w:tabs>
                <w:tab w:val="left" w:pos="8647"/>
              </w:tabs>
              <w:jc w:val="center"/>
            </w:pPr>
            <w:r w:rsidRPr="006557B3">
              <w:t>21 650,00</w:t>
            </w:r>
          </w:p>
          <w:p w14:paraId="032A29D9" w14:textId="2D6D3D8E" w:rsidR="006A2B1D" w:rsidRPr="006557B3" w:rsidRDefault="006A2B1D" w:rsidP="000D5945">
            <w:pPr>
              <w:tabs>
                <w:tab w:val="left" w:pos="8647"/>
              </w:tabs>
              <w:jc w:val="center"/>
              <w:rPr>
                <w:i/>
              </w:rPr>
            </w:pPr>
            <w:r w:rsidRPr="006557B3">
              <w:rPr>
                <w:i/>
              </w:rPr>
              <w:t>euro</w:t>
            </w:r>
          </w:p>
          <w:p w14:paraId="039428ED" w14:textId="77777777" w:rsidR="006A2B1D" w:rsidRPr="006557B3" w:rsidRDefault="006A2B1D" w:rsidP="000D5945">
            <w:pPr>
              <w:tabs>
                <w:tab w:val="left" w:pos="8647"/>
              </w:tabs>
              <w:jc w:val="center"/>
            </w:pPr>
          </w:p>
        </w:tc>
        <w:tc>
          <w:tcPr>
            <w:tcW w:w="1276" w:type="dxa"/>
            <w:tcBorders>
              <w:top w:val="single" w:sz="4" w:space="0" w:color="auto"/>
              <w:left w:val="single" w:sz="4" w:space="0" w:color="auto"/>
              <w:bottom w:val="single" w:sz="4" w:space="0" w:color="auto"/>
              <w:right w:val="single" w:sz="4" w:space="0" w:color="auto"/>
            </w:tcBorders>
          </w:tcPr>
          <w:p w14:paraId="65F2BD53" w14:textId="77777777" w:rsidR="006A2B1D" w:rsidRPr="006557B3" w:rsidRDefault="006A2B1D" w:rsidP="000D5945">
            <w:pPr>
              <w:tabs>
                <w:tab w:val="left" w:pos="8647"/>
              </w:tabs>
              <w:jc w:val="center"/>
            </w:pPr>
            <w:r w:rsidRPr="006557B3">
              <w:t>21 650,00</w:t>
            </w:r>
          </w:p>
          <w:p w14:paraId="2C5616F3" w14:textId="77777777" w:rsidR="006A2B1D" w:rsidRPr="006557B3" w:rsidRDefault="006A2B1D" w:rsidP="000D5945">
            <w:pPr>
              <w:tabs>
                <w:tab w:val="left" w:pos="8647"/>
              </w:tabs>
              <w:jc w:val="center"/>
              <w:rPr>
                <w:i/>
                <w:sz w:val="22"/>
                <w:szCs w:val="22"/>
              </w:rPr>
            </w:pPr>
            <w:r w:rsidRPr="006557B3">
              <w:rPr>
                <w:i/>
              </w:rPr>
              <w:t>euro</w:t>
            </w:r>
          </w:p>
          <w:p w14:paraId="7DBB31DA" w14:textId="77777777" w:rsidR="006A2B1D" w:rsidRPr="006557B3" w:rsidRDefault="006A2B1D" w:rsidP="000D5945">
            <w:pPr>
              <w:tabs>
                <w:tab w:val="left" w:pos="8647"/>
              </w:tabs>
              <w:jc w:val="center"/>
            </w:pPr>
          </w:p>
        </w:tc>
        <w:tc>
          <w:tcPr>
            <w:tcW w:w="1335" w:type="dxa"/>
            <w:tcBorders>
              <w:top w:val="single" w:sz="4" w:space="0" w:color="auto"/>
              <w:left w:val="single" w:sz="4" w:space="0" w:color="auto"/>
              <w:bottom w:val="single" w:sz="4" w:space="0" w:color="auto"/>
              <w:right w:val="single" w:sz="4" w:space="0" w:color="auto"/>
            </w:tcBorders>
          </w:tcPr>
          <w:p w14:paraId="117486A3" w14:textId="77777777" w:rsidR="006A2B1D" w:rsidRPr="006557B3" w:rsidRDefault="006A2B1D" w:rsidP="000D5945">
            <w:pPr>
              <w:tabs>
                <w:tab w:val="left" w:pos="8647"/>
              </w:tabs>
              <w:jc w:val="center"/>
              <w:rPr>
                <w:strike/>
              </w:rPr>
            </w:pPr>
            <w:r w:rsidRPr="006557B3">
              <w:t>21 650,00</w:t>
            </w:r>
          </w:p>
          <w:p w14:paraId="3E5DDA3B" w14:textId="77777777" w:rsidR="006A2B1D" w:rsidRPr="006557B3" w:rsidRDefault="006A2B1D" w:rsidP="000D5945">
            <w:pPr>
              <w:tabs>
                <w:tab w:val="left" w:pos="8647"/>
              </w:tabs>
              <w:jc w:val="center"/>
              <w:rPr>
                <w:i/>
                <w:sz w:val="22"/>
                <w:szCs w:val="22"/>
              </w:rPr>
            </w:pPr>
            <w:r w:rsidRPr="006557B3">
              <w:rPr>
                <w:i/>
              </w:rPr>
              <w:t>euro</w:t>
            </w:r>
          </w:p>
          <w:p w14:paraId="3189DA0F" w14:textId="77777777" w:rsidR="006A2B1D" w:rsidRPr="006557B3" w:rsidRDefault="006A2B1D" w:rsidP="000D5945">
            <w:pPr>
              <w:tabs>
                <w:tab w:val="left" w:pos="8647"/>
              </w:tabs>
              <w:jc w:val="center"/>
              <w:rPr>
                <w:strike/>
              </w:rPr>
            </w:pPr>
          </w:p>
        </w:tc>
      </w:tr>
      <w:tr w:rsidR="006A2B1D" w:rsidRPr="006557B3" w14:paraId="3CDD118E"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7B47CC48"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C74D308"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78D08A88" w14:textId="77777777" w:rsidR="006A2B1D" w:rsidRPr="006557B3" w:rsidRDefault="006A2B1D">
            <w:pPr>
              <w:tabs>
                <w:tab w:val="left" w:pos="8647"/>
              </w:tabs>
              <w:jc w:val="both"/>
            </w:pPr>
            <w:r w:rsidRPr="006557B3">
              <w:t xml:space="preserve">3.1. monitoringam – 18 840,00 </w:t>
            </w:r>
            <w:r w:rsidRPr="006557B3">
              <w:rPr>
                <w:i/>
              </w:rPr>
              <w:t>euro</w:t>
            </w:r>
            <w:r w:rsidRPr="006557B3">
              <w:t xml:space="preserve"> (apstrāde ar jonizējošo starojumu, smagie metāli, vitamīni, minerālvielas, aizliegto/ nezināmo vielu noteikšana u.c.), t.sk.:</w:t>
            </w:r>
          </w:p>
        </w:tc>
        <w:tc>
          <w:tcPr>
            <w:tcW w:w="1418" w:type="dxa"/>
            <w:tcBorders>
              <w:top w:val="single" w:sz="4" w:space="0" w:color="auto"/>
              <w:left w:val="single" w:sz="4" w:space="0" w:color="auto"/>
              <w:bottom w:val="single" w:sz="4" w:space="0" w:color="auto"/>
              <w:right w:val="single" w:sz="4" w:space="0" w:color="auto"/>
            </w:tcBorders>
          </w:tcPr>
          <w:p w14:paraId="735F7F2F"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319F30FA"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4326A6E2" w14:textId="77777777" w:rsidR="006A2B1D" w:rsidRPr="006557B3" w:rsidRDefault="006A2B1D">
            <w:pPr>
              <w:tabs>
                <w:tab w:val="left" w:pos="8647"/>
              </w:tabs>
            </w:pPr>
          </w:p>
        </w:tc>
      </w:tr>
      <w:tr w:rsidR="006A2B1D" w:rsidRPr="006557B3" w14:paraId="10E4BC42"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07F74C2E"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5324126"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63FA30BC" w14:textId="77777777" w:rsidR="006A2B1D" w:rsidRPr="006557B3" w:rsidRDefault="006A2B1D">
            <w:pPr>
              <w:tabs>
                <w:tab w:val="left" w:pos="8647"/>
              </w:tabs>
              <w:rPr>
                <w:color w:val="000000" w:themeColor="text1"/>
              </w:rPr>
            </w:pPr>
            <w:r w:rsidRPr="006557B3">
              <w:rPr>
                <w:color w:val="000000" w:themeColor="text1"/>
              </w:rPr>
              <w:t xml:space="preserve">3.1.1. smagie metāli – 20 paraugi x 86, 00 </w:t>
            </w:r>
            <w:r w:rsidRPr="006557B3">
              <w:rPr>
                <w:i/>
                <w:color w:val="000000" w:themeColor="text1"/>
              </w:rPr>
              <w:t>euro</w:t>
            </w:r>
            <w:r w:rsidRPr="006557B3">
              <w:rPr>
                <w:color w:val="000000" w:themeColor="text1"/>
              </w:rPr>
              <w:t xml:space="preserve"> vidēji par vienu paraugu = 1720,00 </w:t>
            </w:r>
            <w:r w:rsidRPr="006557B3">
              <w:rPr>
                <w:i/>
                <w:color w:val="000000" w:themeColor="text1"/>
              </w:rPr>
              <w:t>euro</w:t>
            </w:r>
            <w:r w:rsidRPr="006557B3">
              <w:rPr>
                <w:color w:val="000000" w:themeColor="text1"/>
              </w:rPr>
              <w:t>;</w:t>
            </w:r>
          </w:p>
        </w:tc>
        <w:tc>
          <w:tcPr>
            <w:tcW w:w="1418" w:type="dxa"/>
            <w:tcBorders>
              <w:top w:val="single" w:sz="4" w:space="0" w:color="auto"/>
              <w:left w:val="single" w:sz="4" w:space="0" w:color="auto"/>
              <w:bottom w:val="single" w:sz="4" w:space="0" w:color="auto"/>
              <w:right w:val="single" w:sz="4" w:space="0" w:color="auto"/>
            </w:tcBorders>
          </w:tcPr>
          <w:p w14:paraId="102C85A6"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170FF39E"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5A01C4B8" w14:textId="77777777" w:rsidR="006A2B1D" w:rsidRPr="006557B3" w:rsidRDefault="006A2B1D">
            <w:pPr>
              <w:tabs>
                <w:tab w:val="left" w:pos="8647"/>
              </w:tabs>
            </w:pPr>
          </w:p>
        </w:tc>
      </w:tr>
      <w:tr w:rsidR="006A2B1D" w:rsidRPr="006557B3" w14:paraId="0F4FF077"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3216FBA8"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6C1210B"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2A1D61A3" w14:textId="77777777" w:rsidR="006A2B1D" w:rsidRPr="006557B3" w:rsidRDefault="006A2B1D">
            <w:pPr>
              <w:tabs>
                <w:tab w:val="left" w:pos="8647"/>
              </w:tabs>
              <w:rPr>
                <w:color w:val="000000" w:themeColor="text1"/>
              </w:rPr>
            </w:pPr>
            <w:r w:rsidRPr="006557B3">
              <w:rPr>
                <w:color w:val="000000" w:themeColor="text1"/>
              </w:rPr>
              <w:t xml:space="preserve">3.1.2. vitamīni – 20 paraugi x 120,00 </w:t>
            </w:r>
            <w:r w:rsidRPr="006557B3">
              <w:rPr>
                <w:i/>
                <w:color w:val="000000" w:themeColor="text1"/>
              </w:rPr>
              <w:t>euro</w:t>
            </w:r>
            <w:r w:rsidRPr="006557B3">
              <w:rPr>
                <w:color w:val="000000" w:themeColor="text1"/>
              </w:rPr>
              <w:t xml:space="preserve"> = 2400,00 </w:t>
            </w:r>
            <w:r w:rsidRPr="006557B3">
              <w:rPr>
                <w:i/>
                <w:color w:val="000000" w:themeColor="text1"/>
              </w:rPr>
              <w:t>euro</w:t>
            </w:r>
          </w:p>
        </w:tc>
        <w:tc>
          <w:tcPr>
            <w:tcW w:w="1418" w:type="dxa"/>
            <w:tcBorders>
              <w:top w:val="single" w:sz="4" w:space="0" w:color="auto"/>
              <w:left w:val="single" w:sz="4" w:space="0" w:color="auto"/>
              <w:bottom w:val="single" w:sz="4" w:space="0" w:color="auto"/>
              <w:right w:val="single" w:sz="4" w:space="0" w:color="auto"/>
            </w:tcBorders>
          </w:tcPr>
          <w:p w14:paraId="44377E5C"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1FF76897"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7174222C" w14:textId="77777777" w:rsidR="006A2B1D" w:rsidRPr="006557B3" w:rsidRDefault="006A2B1D">
            <w:pPr>
              <w:tabs>
                <w:tab w:val="left" w:pos="8647"/>
              </w:tabs>
            </w:pPr>
          </w:p>
        </w:tc>
      </w:tr>
      <w:tr w:rsidR="006A2B1D" w:rsidRPr="006557B3" w14:paraId="50D3521C"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08C8D016"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AE3A114"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29A741E0" w14:textId="77777777" w:rsidR="006A2B1D" w:rsidRPr="006557B3" w:rsidRDefault="006A2B1D">
            <w:pPr>
              <w:tabs>
                <w:tab w:val="left" w:pos="8647"/>
              </w:tabs>
              <w:rPr>
                <w:color w:val="000000" w:themeColor="text1"/>
              </w:rPr>
            </w:pPr>
            <w:r w:rsidRPr="006557B3">
              <w:rPr>
                <w:color w:val="000000" w:themeColor="text1"/>
              </w:rPr>
              <w:t xml:space="preserve">3.1.3. minerālvielas – 25 paraugi x 28,80 </w:t>
            </w:r>
            <w:r w:rsidRPr="006557B3">
              <w:rPr>
                <w:i/>
                <w:color w:val="000000" w:themeColor="text1"/>
              </w:rPr>
              <w:t>euro</w:t>
            </w:r>
            <w:r w:rsidRPr="006557B3">
              <w:rPr>
                <w:color w:val="000000" w:themeColor="text1"/>
              </w:rPr>
              <w:t xml:space="preserve"> par vienu elementu = 720,00 </w:t>
            </w:r>
            <w:r w:rsidRPr="006557B3">
              <w:rPr>
                <w:i/>
                <w:color w:val="000000" w:themeColor="text1"/>
              </w:rPr>
              <w:t>euro</w:t>
            </w:r>
          </w:p>
        </w:tc>
        <w:tc>
          <w:tcPr>
            <w:tcW w:w="1418" w:type="dxa"/>
            <w:tcBorders>
              <w:top w:val="single" w:sz="4" w:space="0" w:color="auto"/>
              <w:left w:val="single" w:sz="4" w:space="0" w:color="auto"/>
              <w:bottom w:val="single" w:sz="4" w:space="0" w:color="auto"/>
              <w:right w:val="single" w:sz="4" w:space="0" w:color="auto"/>
            </w:tcBorders>
          </w:tcPr>
          <w:p w14:paraId="1096FE67"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0BAA6899"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237B6B62" w14:textId="77777777" w:rsidR="006A2B1D" w:rsidRPr="006557B3" w:rsidRDefault="006A2B1D">
            <w:pPr>
              <w:tabs>
                <w:tab w:val="left" w:pos="8647"/>
              </w:tabs>
            </w:pPr>
          </w:p>
        </w:tc>
      </w:tr>
      <w:tr w:rsidR="006A2B1D" w:rsidRPr="006557B3" w14:paraId="29C35298"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5601EF43"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344B72E"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1E343163" w14:textId="77777777" w:rsidR="006A2B1D" w:rsidRPr="006557B3" w:rsidRDefault="006A2B1D">
            <w:pPr>
              <w:tabs>
                <w:tab w:val="left" w:pos="8647"/>
              </w:tabs>
              <w:rPr>
                <w:color w:val="000000" w:themeColor="text1"/>
              </w:rPr>
            </w:pPr>
            <w:r w:rsidRPr="006557B3">
              <w:rPr>
                <w:color w:val="000000" w:themeColor="text1"/>
              </w:rPr>
              <w:t xml:space="preserve">3.1.4. aizliegtās vielas/nezināmās vielas – 7 paraugi x 2000,00 </w:t>
            </w:r>
            <w:r w:rsidRPr="006557B3">
              <w:rPr>
                <w:i/>
                <w:color w:val="000000" w:themeColor="text1"/>
              </w:rPr>
              <w:t>euro</w:t>
            </w:r>
            <w:r w:rsidRPr="006557B3">
              <w:rPr>
                <w:color w:val="000000" w:themeColor="text1"/>
              </w:rPr>
              <w:t xml:space="preserve">= 14 000,00 </w:t>
            </w:r>
            <w:r w:rsidRPr="006557B3">
              <w:rPr>
                <w:i/>
                <w:color w:val="000000" w:themeColor="text1"/>
              </w:rPr>
              <w:t>euro</w:t>
            </w:r>
          </w:p>
        </w:tc>
        <w:tc>
          <w:tcPr>
            <w:tcW w:w="1418" w:type="dxa"/>
            <w:tcBorders>
              <w:top w:val="single" w:sz="4" w:space="0" w:color="auto"/>
              <w:left w:val="single" w:sz="4" w:space="0" w:color="auto"/>
              <w:bottom w:val="single" w:sz="4" w:space="0" w:color="auto"/>
              <w:right w:val="single" w:sz="4" w:space="0" w:color="auto"/>
            </w:tcBorders>
          </w:tcPr>
          <w:p w14:paraId="535755FD"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588ABF7F"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5DE15D40" w14:textId="77777777" w:rsidR="006A2B1D" w:rsidRPr="006557B3" w:rsidRDefault="006A2B1D">
            <w:pPr>
              <w:tabs>
                <w:tab w:val="left" w:pos="8647"/>
              </w:tabs>
            </w:pPr>
          </w:p>
        </w:tc>
      </w:tr>
      <w:tr w:rsidR="006A2B1D" w:rsidRPr="006557B3" w14:paraId="79EE895D"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45444BBD"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81A662D"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tcPr>
          <w:p w14:paraId="57CEC85A" w14:textId="77777777" w:rsidR="006A2B1D" w:rsidRPr="006557B3" w:rsidRDefault="006A2B1D">
            <w:pPr>
              <w:tabs>
                <w:tab w:val="left" w:pos="8647"/>
              </w:tabs>
              <w:jc w:val="both"/>
              <w:rPr>
                <w:color w:val="000000" w:themeColor="text1"/>
                <w:sz w:val="22"/>
                <w:szCs w:val="22"/>
              </w:rPr>
            </w:pPr>
            <w:r w:rsidRPr="006557B3">
              <w:rPr>
                <w:color w:val="000000" w:themeColor="text1"/>
              </w:rPr>
              <w:t xml:space="preserve">3.2. neparedzētiem gadījumiem* – 2000,00 </w:t>
            </w:r>
            <w:r w:rsidRPr="006557B3">
              <w:rPr>
                <w:i/>
                <w:color w:val="000000" w:themeColor="text1"/>
              </w:rPr>
              <w:t>euro</w:t>
            </w:r>
            <w:r w:rsidRPr="006557B3">
              <w:rPr>
                <w:color w:val="000000" w:themeColor="text1"/>
              </w:rPr>
              <w:t xml:space="preserve"> (aizliegto/nezināmo vielu noteikšana);</w:t>
            </w:r>
          </w:p>
          <w:p w14:paraId="330316B4" w14:textId="4DDE7690" w:rsidR="006A2B1D" w:rsidRPr="006557B3" w:rsidRDefault="006A2B1D" w:rsidP="00F81A44">
            <w:pPr>
              <w:tabs>
                <w:tab w:val="left" w:pos="8647"/>
              </w:tabs>
              <w:jc w:val="both"/>
              <w:rPr>
                <w:color w:val="000000" w:themeColor="text1"/>
              </w:rPr>
            </w:pPr>
            <w:r w:rsidRPr="006557B3">
              <w:rPr>
                <w:color w:val="000000" w:themeColor="text1"/>
              </w:rPr>
              <w:t>10 paraugi x 200,00</w:t>
            </w:r>
            <w:r w:rsidRPr="006557B3">
              <w:rPr>
                <w:i/>
                <w:color w:val="000000" w:themeColor="text1"/>
              </w:rPr>
              <w:t>euro</w:t>
            </w:r>
            <w:r w:rsidRPr="006557B3">
              <w:rPr>
                <w:color w:val="000000" w:themeColor="text1"/>
              </w:rPr>
              <w:t xml:space="preserve"> vidēji par vienu paraugu = 2000,00 </w:t>
            </w:r>
            <w:r w:rsidRPr="006557B3">
              <w:rPr>
                <w:i/>
                <w:color w:val="000000" w:themeColor="text1"/>
              </w:rPr>
              <w:t>euro</w:t>
            </w:r>
          </w:p>
        </w:tc>
        <w:tc>
          <w:tcPr>
            <w:tcW w:w="1418" w:type="dxa"/>
            <w:tcBorders>
              <w:top w:val="single" w:sz="4" w:space="0" w:color="auto"/>
              <w:left w:val="single" w:sz="4" w:space="0" w:color="auto"/>
              <w:bottom w:val="single" w:sz="4" w:space="0" w:color="auto"/>
              <w:right w:val="single" w:sz="4" w:space="0" w:color="auto"/>
            </w:tcBorders>
          </w:tcPr>
          <w:p w14:paraId="188AD700"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2166EC26"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047E3CC8" w14:textId="77777777" w:rsidR="006A2B1D" w:rsidRPr="006557B3" w:rsidRDefault="006A2B1D">
            <w:pPr>
              <w:tabs>
                <w:tab w:val="left" w:pos="8647"/>
              </w:tabs>
            </w:pPr>
          </w:p>
        </w:tc>
      </w:tr>
      <w:tr w:rsidR="006A2B1D" w:rsidRPr="006557B3" w14:paraId="6B4082E9" w14:textId="77777777" w:rsidTr="006A2B1D">
        <w:tc>
          <w:tcPr>
            <w:tcW w:w="534" w:type="dxa"/>
            <w:vMerge/>
            <w:tcBorders>
              <w:top w:val="single" w:sz="4" w:space="0" w:color="auto"/>
              <w:left w:val="single" w:sz="4" w:space="0" w:color="auto"/>
              <w:bottom w:val="single" w:sz="4" w:space="0" w:color="auto"/>
              <w:right w:val="single" w:sz="4" w:space="0" w:color="auto"/>
            </w:tcBorders>
            <w:vAlign w:val="center"/>
            <w:hideMark/>
          </w:tcPr>
          <w:p w14:paraId="4F18A447" w14:textId="77777777" w:rsidR="006A2B1D" w:rsidRPr="006557B3" w:rsidRDefault="006A2B1D"/>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F631C6B" w14:textId="77777777" w:rsidR="006A2B1D" w:rsidRPr="006557B3" w:rsidRDefault="006A2B1D"/>
        </w:tc>
        <w:tc>
          <w:tcPr>
            <w:tcW w:w="3260" w:type="dxa"/>
            <w:tcBorders>
              <w:top w:val="single" w:sz="4" w:space="0" w:color="auto"/>
              <w:left w:val="single" w:sz="4" w:space="0" w:color="auto"/>
              <w:bottom w:val="single" w:sz="4" w:space="0" w:color="auto"/>
              <w:right w:val="single" w:sz="4" w:space="0" w:color="auto"/>
            </w:tcBorders>
            <w:hideMark/>
          </w:tcPr>
          <w:p w14:paraId="65935BF8" w14:textId="77777777" w:rsidR="006A2B1D" w:rsidRDefault="006A2B1D">
            <w:pPr>
              <w:tabs>
                <w:tab w:val="left" w:pos="8647"/>
              </w:tabs>
            </w:pPr>
            <w:r w:rsidRPr="006557B3">
              <w:t xml:space="preserve">3.3.paraugu pārsūtīšana uz testēšanas laboratorijām (20 paraugi x  40,48 </w:t>
            </w:r>
            <w:r w:rsidRPr="006557B3">
              <w:rPr>
                <w:i/>
              </w:rPr>
              <w:lastRenderedPageBreak/>
              <w:t xml:space="preserve">euro </w:t>
            </w:r>
            <w:r w:rsidRPr="006557B3">
              <w:t>vidēji par vienu paraugu) = 810,00</w:t>
            </w:r>
            <w:r w:rsidRPr="006557B3">
              <w:rPr>
                <w:i/>
              </w:rPr>
              <w:t xml:space="preserve"> euro</w:t>
            </w:r>
            <w:r w:rsidRPr="006557B3">
              <w:t>.</w:t>
            </w:r>
          </w:p>
          <w:p w14:paraId="2994726E" w14:textId="77777777" w:rsidR="008C1707" w:rsidRDefault="008C1707">
            <w:pPr>
              <w:tabs>
                <w:tab w:val="left" w:pos="8647"/>
              </w:tabs>
            </w:pPr>
          </w:p>
          <w:p w14:paraId="184632E7" w14:textId="77777777" w:rsidR="00E8436B" w:rsidRPr="006557B3" w:rsidRDefault="00E8436B">
            <w:pPr>
              <w:tabs>
                <w:tab w:val="left" w:pos="8647"/>
              </w:tabs>
            </w:pPr>
          </w:p>
        </w:tc>
        <w:tc>
          <w:tcPr>
            <w:tcW w:w="1418" w:type="dxa"/>
            <w:tcBorders>
              <w:top w:val="single" w:sz="4" w:space="0" w:color="auto"/>
              <w:left w:val="single" w:sz="4" w:space="0" w:color="auto"/>
              <w:bottom w:val="single" w:sz="4" w:space="0" w:color="auto"/>
              <w:right w:val="single" w:sz="4" w:space="0" w:color="auto"/>
            </w:tcBorders>
          </w:tcPr>
          <w:p w14:paraId="581B8F79" w14:textId="77777777" w:rsidR="006A2B1D" w:rsidRPr="006557B3" w:rsidRDefault="006A2B1D">
            <w:pPr>
              <w:tabs>
                <w:tab w:val="left" w:pos="8647"/>
              </w:tabs>
            </w:pPr>
          </w:p>
        </w:tc>
        <w:tc>
          <w:tcPr>
            <w:tcW w:w="1276" w:type="dxa"/>
            <w:tcBorders>
              <w:top w:val="single" w:sz="4" w:space="0" w:color="auto"/>
              <w:left w:val="single" w:sz="4" w:space="0" w:color="auto"/>
              <w:bottom w:val="single" w:sz="4" w:space="0" w:color="auto"/>
              <w:right w:val="single" w:sz="4" w:space="0" w:color="auto"/>
            </w:tcBorders>
          </w:tcPr>
          <w:p w14:paraId="345C00B4" w14:textId="77777777" w:rsidR="006A2B1D" w:rsidRPr="006557B3" w:rsidRDefault="006A2B1D">
            <w:pPr>
              <w:tabs>
                <w:tab w:val="left" w:pos="8647"/>
              </w:tabs>
            </w:pPr>
          </w:p>
        </w:tc>
        <w:tc>
          <w:tcPr>
            <w:tcW w:w="1335" w:type="dxa"/>
            <w:tcBorders>
              <w:top w:val="single" w:sz="4" w:space="0" w:color="auto"/>
              <w:left w:val="single" w:sz="4" w:space="0" w:color="auto"/>
              <w:bottom w:val="single" w:sz="4" w:space="0" w:color="auto"/>
              <w:right w:val="single" w:sz="4" w:space="0" w:color="auto"/>
            </w:tcBorders>
          </w:tcPr>
          <w:p w14:paraId="4893DADF" w14:textId="77777777" w:rsidR="006A2B1D" w:rsidRPr="006557B3" w:rsidRDefault="006A2B1D">
            <w:pPr>
              <w:tabs>
                <w:tab w:val="left" w:pos="8647"/>
              </w:tabs>
            </w:pPr>
          </w:p>
        </w:tc>
      </w:tr>
      <w:tr w:rsidR="006A2B1D" w:rsidRPr="006557B3" w14:paraId="34F73BA7" w14:textId="77777777" w:rsidTr="006A2B1D">
        <w:tc>
          <w:tcPr>
            <w:tcW w:w="534" w:type="dxa"/>
            <w:tcBorders>
              <w:top w:val="single" w:sz="4" w:space="0" w:color="auto"/>
              <w:left w:val="single" w:sz="4" w:space="0" w:color="auto"/>
              <w:bottom w:val="single" w:sz="4" w:space="0" w:color="auto"/>
              <w:right w:val="single" w:sz="4" w:space="0" w:color="auto"/>
            </w:tcBorders>
            <w:hideMark/>
          </w:tcPr>
          <w:p w14:paraId="24EB260C" w14:textId="77777777" w:rsidR="006A2B1D" w:rsidRPr="008C1707" w:rsidRDefault="006A2B1D">
            <w:pPr>
              <w:tabs>
                <w:tab w:val="left" w:pos="8647"/>
              </w:tabs>
              <w:rPr>
                <w:color w:val="000000" w:themeColor="text1"/>
                <w:sz w:val="22"/>
                <w:szCs w:val="22"/>
              </w:rPr>
            </w:pPr>
            <w:r w:rsidRPr="008C1707">
              <w:rPr>
                <w:color w:val="000000" w:themeColor="text1"/>
              </w:rPr>
              <w:t>2.</w:t>
            </w:r>
          </w:p>
        </w:tc>
        <w:tc>
          <w:tcPr>
            <w:tcW w:w="1417" w:type="dxa"/>
            <w:tcBorders>
              <w:top w:val="single" w:sz="4" w:space="0" w:color="auto"/>
              <w:left w:val="single" w:sz="4" w:space="0" w:color="auto"/>
              <w:bottom w:val="single" w:sz="4" w:space="0" w:color="auto"/>
              <w:right w:val="single" w:sz="4" w:space="0" w:color="auto"/>
            </w:tcBorders>
            <w:hideMark/>
          </w:tcPr>
          <w:p w14:paraId="6C1F6882" w14:textId="77777777" w:rsidR="006A2B1D" w:rsidRPr="009501A2" w:rsidRDefault="006A2B1D">
            <w:pPr>
              <w:tabs>
                <w:tab w:val="left" w:pos="8647"/>
              </w:tabs>
              <w:rPr>
                <w:color w:val="000000" w:themeColor="text1"/>
              </w:rPr>
            </w:pPr>
            <w:r w:rsidRPr="009501A2">
              <w:rPr>
                <w:color w:val="000000" w:themeColor="text1"/>
              </w:rPr>
              <w:t>Tematisko (padziļināto) kontroļu organizēšana</w:t>
            </w:r>
          </w:p>
        </w:tc>
        <w:tc>
          <w:tcPr>
            <w:tcW w:w="3260" w:type="dxa"/>
            <w:tcBorders>
              <w:top w:val="single" w:sz="4" w:space="0" w:color="auto"/>
              <w:left w:val="single" w:sz="4" w:space="0" w:color="auto"/>
              <w:bottom w:val="single" w:sz="4" w:space="0" w:color="auto"/>
              <w:right w:val="single" w:sz="4" w:space="0" w:color="auto"/>
            </w:tcBorders>
            <w:hideMark/>
          </w:tcPr>
          <w:p w14:paraId="103AC785" w14:textId="1070CD56" w:rsidR="001E01BE" w:rsidRPr="009501A2" w:rsidRDefault="008D55AE" w:rsidP="000724DB">
            <w:pPr>
              <w:jc w:val="both"/>
              <w:rPr>
                <w:lang w:val="fr-FR"/>
              </w:rPr>
            </w:pPr>
            <w:r w:rsidRPr="009501A2">
              <w:t>2.</w:t>
            </w:r>
            <w:r w:rsidR="008C1707" w:rsidRPr="009501A2">
              <w:t xml:space="preserve"> </w:t>
            </w:r>
            <w:r w:rsidR="000724DB" w:rsidRPr="009501A2">
              <w:t>Izdevumi papildu pārbau</w:t>
            </w:r>
            <w:r w:rsidR="000A5851" w:rsidRPr="009501A2">
              <w:t>dēm</w:t>
            </w:r>
            <w:r w:rsidR="006163BD" w:rsidRPr="009501A2">
              <w:t xml:space="preserve"> </w:t>
            </w:r>
            <w:r w:rsidR="000A5851" w:rsidRPr="009501A2">
              <w:t xml:space="preserve">– </w:t>
            </w:r>
            <w:r w:rsidR="00B90B8F" w:rsidRPr="009501A2">
              <w:rPr>
                <w:lang w:val="fr-FR"/>
              </w:rPr>
              <w:t>6 822</w:t>
            </w:r>
            <w:r w:rsidR="005D181F" w:rsidRPr="009501A2">
              <w:rPr>
                <w:lang w:val="fr-FR"/>
              </w:rPr>
              <w:t>,00</w:t>
            </w:r>
            <w:r w:rsidR="000724DB" w:rsidRPr="009501A2">
              <w:rPr>
                <w:lang w:val="fr-FR"/>
              </w:rPr>
              <w:t> </w:t>
            </w:r>
            <w:r w:rsidR="005D181F" w:rsidRPr="009501A2">
              <w:rPr>
                <w:i/>
                <w:color w:val="000000" w:themeColor="text1"/>
              </w:rPr>
              <w:t>euro</w:t>
            </w:r>
            <w:r w:rsidR="000724DB" w:rsidRPr="009501A2">
              <w:rPr>
                <w:lang w:val="fr-FR"/>
              </w:rPr>
              <w:t>,</w:t>
            </w:r>
          </w:p>
          <w:p w14:paraId="0BF92E61" w14:textId="25810E79" w:rsidR="000724DB" w:rsidRPr="009501A2" w:rsidRDefault="000724DB" w:rsidP="00B90B8F">
            <w:pPr>
              <w:jc w:val="both"/>
              <w:rPr>
                <w:color w:val="000000" w:themeColor="text1"/>
                <w:lang w:val="fr-FR"/>
              </w:rPr>
            </w:pPr>
            <w:r w:rsidRPr="009501A2">
              <w:rPr>
                <w:lang w:val="fr-FR"/>
              </w:rPr>
              <w:t xml:space="preserve">kur EKK 1000 – </w:t>
            </w:r>
            <w:r w:rsidR="00B90B8F" w:rsidRPr="009501A2">
              <w:rPr>
                <w:lang w:val="fr-FR"/>
              </w:rPr>
              <w:t>5 844</w:t>
            </w:r>
            <w:r w:rsidR="005D181F" w:rsidRPr="009501A2">
              <w:rPr>
                <w:lang w:val="fr-FR"/>
              </w:rPr>
              <w:t>,00</w:t>
            </w:r>
            <w:r w:rsidRPr="009501A2">
              <w:rPr>
                <w:lang w:val="fr-FR"/>
              </w:rPr>
              <w:t> </w:t>
            </w:r>
            <w:r w:rsidR="005D181F" w:rsidRPr="009501A2">
              <w:rPr>
                <w:i/>
                <w:color w:val="000000" w:themeColor="text1"/>
              </w:rPr>
              <w:t>euro</w:t>
            </w:r>
            <w:r w:rsidRPr="009501A2">
              <w:rPr>
                <w:lang w:val="fr-FR"/>
              </w:rPr>
              <w:t xml:space="preserve"> (EKK 1100 – 4</w:t>
            </w:r>
            <w:r w:rsidR="005D181F" w:rsidRPr="009501A2">
              <w:rPr>
                <w:lang w:val="fr-FR"/>
              </w:rPr>
              <w:t> </w:t>
            </w:r>
            <w:r w:rsidR="00B90B8F" w:rsidRPr="009501A2">
              <w:rPr>
                <w:lang w:val="fr-FR"/>
              </w:rPr>
              <w:t>729</w:t>
            </w:r>
            <w:r w:rsidR="005D181F" w:rsidRPr="009501A2">
              <w:rPr>
                <w:lang w:val="fr-FR"/>
              </w:rPr>
              <w:t>,00</w:t>
            </w:r>
            <w:r w:rsidRPr="009501A2">
              <w:rPr>
                <w:lang w:val="fr-FR"/>
              </w:rPr>
              <w:t xml:space="preserve"> </w:t>
            </w:r>
            <w:r w:rsidR="005D181F" w:rsidRPr="009501A2">
              <w:rPr>
                <w:i/>
                <w:color w:val="000000" w:themeColor="text1"/>
              </w:rPr>
              <w:t>euro</w:t>
            </w:r>
            <w:r w:rsidRPr="009501A2">
              <w:rPr>
                <w:lang w:val="fr-FR"/>
              </w:rPr>
              <w:t>; EKK 1200 – 1</w:t>
            </w:r>
            <w:r w:rsidR="005D181F" w:rsidRPr="009501A2">
              <w:rPr>
                <w:lang w:val="fr-FR"/>
              </w:rPr>
              <w:t> </w:t>
            </w:r>
            <w:r w:rsidR="00B90B8F" w:rsidRPr="009501A2">
              <w:rPr>
                <w:lang w:val="fr-FR"/>
              </w:rPr>
              <w:t>115</w:t>
            </w:r>
            <w:r w:rsidR="005D181F" w:rsidRPr="009501A2">
              <w:rPr>
                <w:lang w:val="fr-FR"/>
              </w:rPr>
              <w:t>,00</w:t>
            </w:r>
            <w:r w:rsidRPr="009501A2">
              <w:rPr>
                <w:lang w:val="fr-FR"/>
              </w:rPr>
              <w:t xml:space="preserve"> </w:t>
            </w:r>
            <w:r w:rsidR="005D181F" w:rsidRPr="009501A2">
              <w:rPr>
                <w:i/>
                <w:color w:val="000000" w:themeColor="text1"/>
              </w:rPr>
              <w:t>euro</w:t>
            </w:r>
            <w:r w:rsidRPr="009501A2">
              <w:rPr>
                <w:lang w:val="fr-FR"/>
              </w:rPr>
              <w:t>), EKK 2000 – 978</w:t>
            </w:r>
            <w:r w:rsidR="005D181F" w:rsidRPr="009501A2">
              <w:rPr>
                <w:lang w:val="fr-FR"/>
              </w:rPr>
              <w:t>,00</w:t>
            </w:r>
            <w:r w:rsidRPr="009501A2">
              <w:rPr>
                <w:lang w:val="fr-FR"/>
              </w:rPr>
              <w:t xml:space="preserve"> </w:t>
            </w:r>
            <w:r w:rsidR="005D181F" w:rsidRPr="009501A2">
              <w:rPr>
                <w:i/>
                <w:color w:val="000000" w:themeColor="text1"/>
              </w:rPr>
              <w:t>euro</w:t>
            </w:r>
            <w:r w:rsidRPr="009501A2">
              <w:rPr>
                <w:lang w:val="fr-FR"/>
              </w:rPr>
              <w:t>.</w:t>
            </w:r>
          </w:p>
        </w:tc>
        <w:tc>
          <w:tcPr>
            <w:tcW w:w="1418" w:type="dxa"/>
            <w:tcBorders>
              <w:top w:val="single" w:sz="4" w:space="0" w:color="auto"/>
              <w:left w:val="single" w:sz="4" w:space="0" w:color="auto"/>
              <w:bottom w:val="single" w:sz="4" w:space="0" w:color="auto"/>
              <w:right w:val="single" w:sz="4" w:space="0" w:color="auto"/>
            </w:tcBorders>
            <w:hideMark/>
          </w:tcPr>
          <w:p w14:paraId="7174E91F" w14:textId="0EF856AE" w:rsidR="006A2B1D" w:rsidRPr="008C1707" w:rsidRDefault="006B4D44" w:rsidP="000D5945">
            <w:pPr>
              <w:tabs>
                <w:tab w:val="left" w:pos="8647"/>
              </w:tabs>
              <w:jc w:val="center"/>
              <w:rPr>
                <w:color w:val="000000" w:themeColor="text1"/>
              </w:rPr>
            </w:pPr>
            <w:r w:rsidRPr="008C1707">
              <w:t>6 822</w:t>
            </w:r>
            <w:r w:rsidR="006A2B1D" w:rsidRPr="008C1707">
              <w:rPr>
                <w:color w:val="000000" w:themeColor="text1"/>
              </w:rPr>
              <w:t>,00</w:t>
            </w:r>
          </w:p>
          <w:p w14:paraId="2D2038B5" w14:textId="77777777" w:rsidR="006A2B1D" w:rsidRPr="008C1707" w:rsidRDefault="006A2B1D" w:rsidP="000D5945">
            <w:pPr>
              <w:tabs>
                <w:tab w:val="left" w:pos="8647"/>
              </w:tabs>
              <w:jc w:val="center"/>
              <w:rPr>
                <w:color w:val="000000" w:themeColor="text1"/>
              </w:rPr>
            </w:pPr>
            <w:r w:rsidRPr="008C1707">
              <w:rPr>
                <w:i/>
                <w:color w:val="000000" w:themeColor="text1"/>
              </w:rPr>
              <w:t>euro</w:t>
            </w:r>
          </w:p>
        </w:tc>
        <w:tc>
          <w:tcPr>
            <w:tcW w:w="1276" w:type="dxa"/>
            <w:tcBorders>
              <w:top w:val="single" w:sz="4" w:space="0" w:color="auto"/>
              <w:left w:val="single" w:sz="4" w:space="0" w:color="auto"/>
              <w:bottom w:val="single" w:sz="4" w:space="0" w:color="auto"/>
              <w:right w:val="single" w:sz="4" w:space="0" w:color="auto"/>
            </w:tcBorders>
            <w:hideMark/>
          </w:tcPr>
          <w:p w14:paraId="482C47B4" w14:textId="6314FFD0" w:rsidR="006A2B1D" w:rsidRPr="008C1707" w:rsidRDefault="006B4D44" w:rsidP="000D5945">
            <w:pPr>
              <w:tabs>
                <w:tab w:val="left" w:pos="8647"/>
              </w:tabs>
              <w:jc w:val="center"/>
              <w:rPr>
                <w:color w:val="000000" w:themeColor="text1"/>
              </w:rPr>
            </w:pPr>
            <w:r w:rsidRPr="008C1707">
              <w:t>6 822</w:t>
            </w:r>
            <w:r w:rsidR="006A2B1D" w:rsidRPr="008C1707">
              <w:rPr>
                <w:color w:val="000000" w:themeColor="text1"/>
              </w:rPr>
              <w:t>,0</w:t>
            </w:r>
            <w:r w:rsidR="00BE35E2" w:rsidRPr="008C1707">
              <w:rPr>
                <w:color w:val="000000" w:themeColor="text1"/>
              </w:rPr>
              <w:t xml:space="preserve"> </w:t>
            </w:r>
            <w:r w:rsidR="006A2B1D" w:rsidRPr="008C1707">
              <w:rPr>
                <w:color w:val="000000" w:themeColor="text1"/>
              </w:rPr>
              <w:t xml:space="preserve">0 </w:t>
            </w:r>
            <w:r w:rsidR="006A2B1D" w:rsidRPr="008C1707">
              <w:rPr>
                <w:i/>
                <w:color w:val="000000" w:themeColor="text1"/>
              </w:rPr>
              <w:t>euro</w:t>
            </w:r>
          </w:p>
        </w:tc>
        <w:tc>
          <w:tcPr>
            <w:tcW w:w="1335" w:type="dxa"/>
            <w:tcBorders>
              <w:top w:val="single" w:sz="4" w:space="0" w:color="auto"/>
              <w:left w:val="single" w:sz="4" w:space="0" w:color="auto"/>
              <w:bottom w:val="single" w:sz="4" w:space="0" w:color="auto"/>
              <w:right w:val="single" w:sz="4" w:space="0" w:color="auto"/>
            </w:tcBorders>
            <w:hideMark/>
          </w:tcPr>
          <w:p w14:paraId="332CC6C3" w14:textId="37A6AFD2" w:rsidR="00AA6292" w:rsidRPr="008C1707" w:rsidRDefault="006B4D44" w:rsidP="000D5945">
            <w:pPr>
              <w:tabs>
                <w:tab w:val="left" w:pos="8647"/>
              </w:tabs>
              <w:jc w:val="center"/>
              <w:rPr>
                <w:color w:val="000000" w:themeColor="text1"/>
              </w:rPr>
            </w:pPr>
            <w:r w:rsidRPr="008C1707">
              <w:t>6 822</w:t>
            </w:r>
            <w:r w:rsidR="006A2B1D" w:rsidRPr="008C1707">
              <w:rPr>
                <w:color w:val="000000" w:themeColor="text1"/>
              </w:rPr>
              <w:t>,00</w:t>
            </w:r>
          </w:p>
          <w:p w14:paraId="65C796F6" w14:textId="0A066A68" w:rsidR="006A2B1D" w:rsidRPr="008C1707" w:rsidRDefault="006A2B1D" w:rsidP="000D5945">
            <w:pPr>
              <w:tabs>
                <w:tab w:val="left" w:pos="8647"/>
              </w:tabs>
              <w:jc w:val="center"/>
              <w:rPr>
                <w:color w:val="000000" w:themeColor="text1"/>
              </w:rPr>
            </w:pPr>
            <w:r w:rsidRPr="008C1707">
              <w:rPr>
                <w:color w:val="000000" w:themeColor="text1"/>
              </w:rPr>
              <w:t xml:space="preserve"> </w:t>
            </w:r>
            <w:r w:rsidRPr="008C1707">
              <w:rPr>
                <w:i/>
                <w:color w:val="000000" w:themeColor="text1"/>
              </w:rPr>
              <w:t>euro</w:t>
            </w:r>
          </w:p>
        </w:tc>
      </w:tr>
      <w:tr w:rsidR="007951C1" w:rsidRPr="006557B3" w14:paraId="50F067EA" w14:textId="77777777" w:rsidTr="006A2B1D">
        <w:tc>
          <w:tcPr>
            <w:tcW w:w="534" w:type="dxa"/>
            <w:tcBorders>
              <w:top w:val="single" w:sz="4" w:space="0" w:color="auto"/>
              <w:left w:val="single" w:sz="4" w:space="0" w:color="auto"/>
              <w:bottom w:val="single" w:sz="4" w:space="0" w:color="auto"/>
              <w:right w:val="single" w:sz="4" w:space="0" w:color="auto"/>
            </w:tcBorders>
          </w:tcPr>
          <w:p w14:paraId="4311526D" w14:textId="77777777" w:rsidR="007951C1" w:rsidRPr="006557B3" w:rsidRDefault="007951C1">
            <w:pPr>
              <w:tabs>
                <w:tab w:val="left" w:pos="8647"/>
              </w:tabs>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0A93EE0D" w14:textId="77777777" w:rsidR="007951C1" w:rsidRPr="009501A2" w:rsidRDefault="007951C1">
            <w:pPr>
              <w:tabs>
                <w:tab w:val="left" w:pos="8647"/>
              </w:tabs>
              <w:rPr>
                <w:color w:val="000000" w:themeColor="text1"/>
              </w:rPr>
            </w:pPr>
          </w:p>
        </w:tc>
        <w:tc>
          <w:tcPr>
            <w:tcW w:w="3260" w:type="dxa"/>
            <w:tcBorders>
              <w:top w:val="single" w:sz="4" w:space="0" w:color="auto"/>
              <w:left w:val="single" w:sz="4" w:space="0" w:color="auto"/>
              <w:bottom w:val="single" w:sz="4" w:space="0" w:color="auto"/>
              <w:right w:val="single" w:sz="4" w:space="0" w:color="auto"/>
            </w:tcBorders>
          </w:tcPr>
          <w:p w14:paraId="68202304" w14:textId="7F39138D" w:rsidR="007951C1" w:rsidRPr="009501A2" w:rsidRDefault="008D55AE" w:rsidP="008C1707">
            <w:pPr>
              <w:jc w:val="both"/>
              <w:rPr>
                <w:b/>
              </w:rPr>
            </w:pPr>
            <w:r w:rsidRPr="009501A2">
              <w:t>2.</w:t>
            </w:r>
            <w:r w:rsidR="00B80CC1" w:rsidRPr="009501A2">
              <w:t>1. Atlīdzība papildu kontrole</w:t>
            </w:r>
            <w:r w:rsidR="000A5851" w:rsidRPr="009501A2">
              <w:t>i</w:t>
            </w:r>
            <w:r w:rsidR="00B80CC1" w:rsidRPr="009501A2">
              <w:t xml:space="preserve">, EKK 1000 </w:t>
            </w:r>
            <w:r w:rsidR="000A5851" w:rsidRPr="009501A2">
              <w:t>–</w:t>
            </w:r>
            <w:r w:rsidR="00B80CC1" w:rsidRPr="009501A2">
              <w:t xml:space="preserve"> </w:t>
            </w:r>
            <w:r w:rsidR="00B90B8F" w:rsidRPr="009501A2">
              <w:rPr>
                <w:bCs/>
              </w:rPr>
              <w:t>5 844</w:t>
            </w:r>
            <w:r w:rsidR="00B80CC1" w:rsidRPr="009501A2">
              <w:rPr>
                <w:bCs/>
              </w:rPr>
              <w:t>,00</w:t>
            </w:r>
            <w:r w:rsidR="00B80CC1" w:rsidRPr="009501A2">
              <w:rPr>
                <w:bCs/>
                <w:u w:val="single"/>
              </w:rPr>
              <w:t xml:space="preserve"> </w:t>
            </w:r>
            <w:r w:rsidR="00B80CC1" w:rsidRPr="009501A2">
              <w:rPr>
                <w:i/>
                <w:color w:val="000000" w:themeColor="text1"/>
              </w:rPr>
              <w:t>euro</w:t>
            </w:r>
            <w:r w:rsidR="00435F66" w:rsidRPr="009501A2">
              <w:rPr>
                <w:i/>
                <w:color w:val="000000" w:themeColor="text1"/>
              </w:rPr>
              <w:t>;</w:t>
            </w:r>
          </w:p>
        </w:tc>
        <w:tc>
          <w:tcPr>
            <w:tcW w:w="1418" w:type="dxa"/>
            <w:tcBorders>
              <w:top w:val="single" w:sz="4" w:space="0" w:color="auto"/>
              <w:left w:val="single" w:sz="4" w:space="0" w:color="auto"/>
              <w:bottom w:val="single" w:sz="4" w:space="0" w:color="auto"/>
              <w:right w:val="single" w:sz="4" w:space="0" w:color="auto"/>
            </w:tcBorders>
          </w:tcPr>
          <w:p w14:paraId="33EC366E" w14:textId="77777777" w:rsidR="007951C1" w:rsidRDefault="007951C1" w:rsidP="000D5945">
            <w:pPr>
              <w:tabs>
                <w:tab w:val="left" w:pos="8647"/>
              </w:tabs>
              <w:jc w:val="center"/>
              <w:rPr>
                <w:b/>
              </w:rPr>
            </w:pPr>
          </w:p>
        </w:tc>
        <w:tc>
          <w:tcPr>
            <w:tcW w:w="1276" w:type="dxa"/>
            <w:tcBorders>
              <w:top w:val="single" w:sz="4" w:space="0" w:color="auto"/>
              <w:left w:val="single" w:sz="4" w:space="0" w:color="auto"/>
              <w:bottom w:val="single" w:sz="4" w:space="0" w:color="auto"/>
              <w:right w:val="single" w:sz="4" w:space="0" w:color="auto"/>
            </w:tcBorders>
          </w:tcPr>
          <w:p w14:paraId="07F0FBF9" w14:textId="77777777" w:rsidR="007951C1" w:rsidRDefault="007951C1" w:rsidP="000D5945">
            <w:pPr>
              <w:tabs>
                <w:tab w:val="left" w:pos="8647"/>
              </w:tabs>
              <w:jc w:val="center"/>
              <w:rPr>
                <w:b/>
              </w:rPr>
            </w:pPr>
          </w:p>
        </w:tc>
        <w:tc>
          <w:tcPr>
            <w:tcW w:w="1335" w:type="dxa"/>
            <w:tcBorders>
              <w:top w:val="single" w:sz="4" w:space="0" w:color="auto"/>
              <w:left w:val="single" w:sz="4" w:space="0" w:color="auto"/>
              <w:bottom w:val="single" w:sz="4" w:space="0" w:color="auto"/>
              <w:right w:val="single" w:sz="4" w:space="0" w:color="auto"/>
            </w:tcBorders>
          </w:tcPr>
          <w:p w14:paraId="42FF230C" w14:textId="77777777" w:rsidR="007951C1" w:rsidRDefault="007951C1" w:rsidP="000D5945">
            <w:pPr>
              <w:tabs>
                <w:tab w:val="left" w:pos="8647"/>
              </w:tabs>
              <w:jc w:val="center"/>
              <w:rPr>
                <w:b/>
              </w:rPr>
            </w:pPr>
          </w:p>
        </w:tc>
      </w:tr>
      <w:tr w:rsidR="007951C1" w:rsidRPr="006557B3" w14:paraId="5FF877CB" w14:textId="77777777" w:rsidTr="006A2B1D">
        <w:tc>
          <w:tcPr>
            <w:tcW w:w="534" w:type="dxa"/>
            <w:tcBorders>
              <w:top w:val="single" w:sz="4" w:space="0" w:color="auto"/>
              <w:left w:val="single" w:sz="4" w:space="0" w:color="auto"/>
              <w:bottom w:val="single" w:sz="4" w:space="0" w:color="auto"/>
              <w:right w:val="single" w:sz="4" w:space="0" w:color="auto"/>
            </w:tcBorders>
          </w:tcPr>
          <w:p w14:paraId="31CF4CB5" w14:textId="77777777" w:rsidR="007951C1" w:rsidRPr="006557B3" w:rsidRDefault="007951C1">
            <w:pPr>
              <w:tabs>
                <w:tab w:val="left" w:pos="8647"/>
              </w:tabs>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78BE8747" w14:textId="77777777" w:rsidR="007951C1" w:rsidRPr="009501A2" w:rsidRDefault="007951C1">
            <w:pPr>
              <w:tabs>
                <w:tab w:val="left" w:pos="8647"/>
              </w:tabs>
              <w:rPr>
                <w:color w:val="000000" w:themeColor="text1"/>
              </w:rPr>
            </w:pPr>
          </w:p>
        </w:tc>
        <w:tc>
          <w:tcPr>
            <w:tcW w:w="3260" w:type="dxa"/>
            <w:tcBorders>
              <w:top w:val="single" w:sz="4" w:space="0" w:color="auto"/>
              <w:left w:val="single" w:sz="4" w:space="0" w:color="auto"/>
              <w:bottom w:val="single" w:sz="4" w:space="0" w:color="auto"/>
              <w:right w:val="single" w:sz="4" w:space="0" w:color="auto"/>
            </w:tcBorders>
          </w:tcPr>
          <w:p w14:paraId="4058B298" w14:textId="77B1381D" w:rsidR="007951C1" w:rsidRPr="009501A2" w:rsidRDefault="000A2BAC" w:rsidP="000A5851">
            <w:pPr>
              <w:jc w:val="both"/>
              <w:rPr>
                <w:b/>
              </w:rPr>
            </w:pPr>
            <w:r w:rsidRPr="009501A2">
              <w:t>2.</w:t>
            </w:r>
            <w:r w:rsidR="00B80CC1" w:rsidRPr="009501A2">
              <w:t>1.1. Kontrole</w:t>
            </w:r>
            <w:r w:rsidR="000A5851" w:rsidRPr="009501A2">
              <w:t>i</w:t>
            </w:r>
            <w:r w:rsidR="00B80CC1" w:rsidRPr="009501A2">
              <w:t xml:space="preserve"> papildus nepieciešamas 400 inspektora darba stund</w:t>
            </w:r>
            <w:r w:rsidR="000A5851" w:rsidRPr="009501A2">
              <w:t>u</w:t>
            </w:r>
            <w:r w:rsidR="00B80CC1" w:rsidRPr="009501A2">
              <w:t xml:space="preserve"> (</w:t>
            </w:r>
            <w:r w:rsidR="000A5851" w:rsidRPr="009501A2">
              <w:t xml:space="preserve">plānots, ka </w:t>
            </w:r>
            <w:r w:rsidR="00B80CC1" w:rsidRPr="009501A2">
              <w:t xml:space="preserve">1 kontrole ilgums </w:t>
            </w:r>
            <w:r w:rsidR="000A5851" w:rsidRPr="009501A2">
              <w:t>aizņem</w:t>
            </w:r>
            <w:r w:rsidR="00B80CC1" w:rsidRPr="009501A2">
              <w:t xml:space="preserve"> 4 stundas</w:t>
            </w:r>
            <w:r w:rsidR="000A5851" w:rsidRPr="009501A2">
              <w:t xml:space="preserve"> un ka</w:t>
            </w:r>
            <w:r w:rsidR="00B80CC1" w:rsidRPr="009501A2">
              <w:t xml:space="preserve"> gada laikā </w:t>
            </w:r>
            <w:r w:rsidR="000A5851" w:rsidRPr="009501A2">
              <w:t xml:space="preserve">būs </w:t>
            </w:r>
            <w:r w:rsidR="00B80CC1" w:rsidRPr="009501A2">
              <w:t>100 kontro</w:t>
            </w:r>
            <w:r w:rsidR="000A5851" w:rsidRPr="009501A2">
              <w:t>ļu</w:t>
            </w:r>
            <w:r w:rsidR="00B80CC1" w:rsidRPr="009501A2">
              <w:t>, t.i., 4 stundas x 100 kontro</w:t>
            </w:r>
            <w:r w:rsidR="000A5851" w:rsidRPr="009501A2">
              <w:t>ļu</w:t>
            </w:r>
            <w:r w:rsidR="00B80CC1" w:rsidRPr="009501A2">
              <w:t xml:space="preserve"> = 400 stund</w:t>
            </w:r>
            <w:r w:rsidR="000A5851" w:rsidRPr="009501A2">
              <w:t>u</w:t>
            </w:r>
            <w:r w:rsidR="00B80CC1" w:rsidRPr="009501A2">
              <w:t xml:space="preserve">); </w:t>
            </w:r>
          </w:p>
        </w:tc>
        <w:tc>
          <w:tcPr>
            <w:tcW w:w="1418" w:type="dxa"/>
            <w:tcBorders>
              <w:top w:val="single" w:sz="4" w:space="0" w:color="auto"/>
              <w:left w:val="single" w:sz="4" w:space="0" w:color="auto"/>
              <w:bottom w:val="single" w:sz="4" w:space="0" w:color="auto"/>
              <w:right w:val="single" w:sz="4" w:space="0" w:color="auto"/>
            </w:tcBorders>
          </w:tcPr>
          <w:p w14:paraId="25C8382E" w14:textId="77777777" w:rsidR="007951C1" w:rsidRDefault="007951C1" w:rsidP="000D5945">
            <w:pPr>
              <w:tabs>
                <w:tab w:val="left" w:pos="8647"/>
              </w:tabs>
              <w:jc w:val="center"/>
              <w:rPr>
                <w:b/>
              </w:rPr>
            </w:pPr>
          </w:p>
        </w:tc>
        <w:tc>
          <w:tcPr>
            <w:tcW w:w="1276" w:type="dxa"/>
            <w:tcBorders>
              <w:top w:val="single" w:sz="4" w:space="0" w:color="auto"/>
              <w:left w:val="single" w:sz="4" w:space="0" w:color="auto"/>
              <w:bottom w:val="single" w:sz="4" w:space="0" w:color="auto"/>
              <w:right w:val="single" w:sz="4" w:space="0" w:color="auto"/>
            </w:tcBorders>
          </w:tcPr>
          <w:p w14:paraId="0D1FF0B7" w14:textId="77777777" w:rsidR="007951C1" w:rsidRDefault="007951C1" w:rsidP="000D5945">
            <w:pPr>
              <w:tabs>
                <w:tab w:val="left" w:pos="8647"/>
              </w:tabs>
              <w:jc w:val="center"/>
              <w:rPr>
                <w:b/>
              </w:rPr>
            </w:pPr>
          </w:p>
        </w:tc>
        <w:tc>
          <w:tcPr>
            <w:tcW w:w="1335" w:type="dxa"/>
            <w:tcBorders>
              <w:top w:val="single" w:sz="4" w:space="0" w:color="auto"/>
              <w:left w:val="single" w:sz="4" w:space="0" w:color="auto"/>
              <w:bottom w:val="single" w:sz="4" w:space="0" w:color="auto"/>
              <w:right w:val="single" w:sz="4" w:space="0" w:color="auto"/>
            </w:tcBorders>
          </w:tcPr>
          <w:p w14:paraId="1D625235" w14:textId="77777777" w:rsidR="007951C1" w:rsidRDefault="007951C1" w:rsidP="000D5945">
            <w:pPr>
              <w:tabs>
                <w:tab w:val="left" w:pos="8647"/>
              </w:tabs>
              <w:jc w:val="center"/>
              <w:rPr>
                <w:b/>
              </w:rPr>
            </w:pPr>
          </w:p>
        </w:tc>
      </w:tr>
      <w:tr w:rsidR="007951C1" w:rsidRPr="006557B3" w14:paraId="0F630EF0" w14:textId="77777777" w:rsidTr="006A2B1D">
        <w:tc>
          <w:tcPr>
            <w:tcW w:w="534" w:type="dxa"/>
            <w:tcBorders>
              <w:top w:val="single" w:sz="4" w:space="0" w:color="auto"/>
              <w:left w:val="single" w:sz="4" w:space="0" w:color="auto"/>
              <w:bottom w:val="single" w:sz="4" w:space="0" w:color="auto"/>
              <w:right w:val="single" w:sz="4" w:space="0" w:color="auto"/>
            </w:tcBorders>
          </w:tcPr>
          <w:p w14:paraId="282EB906" w14:textId="77777777" w:rsidR="007951C1" w:rsidRPr="006557B3" w:rsidRDefault="007951C1">
            <w:pPr>
              <w:tabs>
                <w:tab w:val="left" w:pos="8647"/>
              </w:tabs>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237CD7F3" w14:textId="77777777" w:rsidR="007951C1" w:rsidRPr="009501A2" w:rsidRDefault="007951C1">
            <w:pPr>
              <w:tabs>
                <w:tab w:val="left" w:pos="8647"/>
              </w:tabs>
              <w:rPr>
                <w:color w:val="000000" w:themeColor="text1"/>
              </w:rPr>
            </w:pPr>
          </w:p>
        </w:tc>
        <w:tc>
          <w:tcPr>
            <w:tcW w:w="3260" w:type="dxa"/>
            <w:tcBorders>
              <w:top w:val="single" w:sz="4" w:space="0" w:color="auto"/>
              <w:left w:val="single" w:sz="4" w:space="0" w:color="auto"/>
              <w:bottom w:val="single" w:sz="4" w:space="0" w:color="auto"/>
              <w:right w:val="single" w:sz="4" w:space="0" w:color="auto"/>
            </w:tcBorders>
          </w:tcPr>
          <w:p w14:paraId="405A6696" w14:textId="6923668B" w:rsidR="00B80CC1" w:rsidRPr="009501A2" w:rsidRDefault="000A2BAC" w:rsidP="00B80CC1">
            <w:pPr>
              <w:jc w:val="both"/>
            </w:pPr>
            <w:r w:rsidRPr="009501A2">
              <w:t>2.</w:t>
            </w:r>
            <w:r w:rsidR="00B80CC1" w:rsidRPr="009501A2">
              <w:t>1.2.</w:t>
            </w:r>
            <w:r w:rsidR="000F49E3" w:rsidRPr="009501A2">
              <w:t xml:space="preserve"> </w:t>
            </w:r>
            <w:r w:rsidR="00B80CC1" w:rsidRPr="009501A2">
              <w:t>Inspektora alga (26.3. amatu saime, IIIA līmenis, 9.mēnešalgu grupa, 3.kategorija):</w:t>
            </w:r>
          </w:p>
          <w:p w14:paraId="671E6015" w14:textId="77777777" w:rsidR="00B80CC1" w:rsidRPr="009501A2" w:rsidRDefault="00B80CC1" w:rsidP="00B80CC1">
            <w:pPr>
              <w:jc w:val="both"/>
            </w:pPr>
            <w:r w:rsidRPr="009501A2">
              <w:t xml:space="preserve">994,00 </w:t>
            </w:r>
            <w:r w:rsidRPr="009501A2">
              <w:rPr>
                <w:i/>
                <w:color w:val="000000" w:themeColor="text1"/>
              </w:rPr>
              <w:t>euro</w:t>
            </w:r>
            <w:r w:rsidRPr="009501A2">
              <w:t xml:space="preserve">/mēnesī x 1,2359 VSAOI x 12 mēneši/2018 (darba stundu skaits gadā) = 7,305 </w:t>
            </w:r>
            <w:r w:rsidRPr="009501A2">
              <w:rPr>
                <w:i/>
                <w:color w:val="000000" w:themeColor="text1"/>
              </w:rPr>
              <w:t>euro</w:t>
            </w:r>
            <w:r w:rsidRPr="009501A2">
              <w:t>/stundā,</w:t>
            </w:r>
          </w:p>
          <w:p w14:paraId="077544AC" w14:textId="1F932628" w:rsidR="007951C1" w:rsidRPr="009501A2" w:rsidRDefault="00B80CC1" w:rsidP="00435F66">
            <w:pPr>
              <w:jc w:val="both"/>
              <w:rPr>
                <w:b/>
              </w:rPr>
            </w:pPr>
            <w:r w:rsidRPr="009501A2">
              <w:t xml:space="preserve">t.i., 400 stundas x 7,305 </w:t>
            </w:r>
            <w:r w:rsidRPr="009501A2">
              <w:rPr>
                <w:i/>
                <w:color w:val="000000" w:themeColor="text1"/>
              </w:rPr>
              <w:t>euro</w:t>
            </w:r>
            <w:r w:rsidRPr="009501A2">
              <w:t xml:space="preserve">/stundā x 200% (virsstundu darba apmaksa) = 5 844,00 </w:t>
            </w:r>
            <w:r w:rsidRPr="009501A2">
              <w:rPr>
                <w:i/>
                <w:color w:val="000000" w:themeColor="text1"/>
              </w:rPr>
              <w:t>euro</w:t>
            </w:r>
            <w:r w:rsidRPr="009501A2">
              <w:t xml:space="preserve">/gadā (EKK 1000); </w:t>
            </w:r>
          </w:p>
        </w:tc>
        <w:tc>
          <w:tcPr>
            <w:tcW w:w="1418" w:type="dxa"/>
            <w:tcBorders>
              <w:top w:val="single" w:sz="4" w:space="0" w:color="auto"/>
              <w:left w:val="single" w:sz="4" w:space="0" w:color="auto"/>
              <w:bottom w:val="single" w:sz="4" w:space="0" w:color="auto"/>
              <w:right w:val="single" w:sz="4" w:space="0" w:color="auto"/>
            </w:tcBorders>
          </w:tcPr>
          <w:p w14:paraId="38D82139" w14:textId="77777777" w:rsidR="007951C1" w:rsidRDefault="007951C1" w:rsidP="000D5945">
            <w:pPr>
              <w:tabs>
                <w:tab w:val="left" w:pos="8647"/>
              </w:tabs>
              <w:jc w:val="center"/>
              <w:rPr>
                <w:b/>
              </w:rPr>
            </w:pPr>
          </w:p>
        </w:tc>
        <w:tc>
          <w:tcPr>
            <w:tcW w:w="1276" w:type="dxa"/>
            <w:tcBorders>
              <w:top w:val="single" w:sz="4" w:space="0" w:color="auto"/>
              <w:left w:val="single" w:sz="4" w:space="0" w:color="auto"/>
              <w:bottom w:val="single" w:sz="4" w:space="0" w:color="auto"/>
              <w:right w:val="single" w:sz="4" w:space="0" w:color="auto"/>
            </w:tcBorders>
          </w:tcPr>
          <w:p w14:paraId="567F5E06" w14:textId="77777777" w:rsidR="007951C1" w:rsidRDefault="007951C1" w:rsidP="000D5945">
            <w:pPr>
              <w:tabs>
                <w:tab w:val="left" w:pos="8647"/>
              </w:tabs>
              <w:jc w:val="center"/>
              <w:rPr>
                <w:b/>
              </w:rPr>
            </w:pPr>
          </w:p>
        </w:tc>
        <w:tc>
          <w:tcPr>
            <w:tcW w:w="1335" w:type="dxa"/>
            <w:tcBorders>
              <w:top w:val="single" w:sz="4" w:space="0" w:color="auto"/>
              <w:left w:val="single" w:sz="4" w:space="0" w:color="auto"/>
              <w:bottom w:val="single" w:sz="4" w:space="0" w:color="auto"/>
              <w:right w:val="single" w:sz="4" w:space="0" w:color="auto"/>
            </w:tcBorders>
          </w:tcPr>
          <w:p w14:paraId="6F46EF9B" w14:textId="77777777" w:rsidR="007951C1" w:rsidRDefault="007951C1" w:rsidP="000D5945">
            <w:pPr>
              <w:tabs>
                <w:tab w:val="left" w:pos="8647"/>
              </w:tabs>
              <w:jc w:val="center"/>
              <w:rPr>
                <w:b/>
              </w:rPr>
            </w:pPr>
          </w:p>
        </w:tc>
      </w:tr>
      <w:tr w:rsidR="007951C1" w:rsidRPr="006557B3" w14:paraId="00E51CB4" w14:textId="77777777" w:rsidTr="006A2B1D">
        <w:tc>
          <w:tcPr>
            <w:tcW w:w="534" w:type="dxa"/>
            <w:tcBorders>
              <w:top w:val="single" w:sz="4" w:space="0" w:color="auto"/>
              <w:left w:val="single" w:sz="4" w:space="0" w:color="auto"/>
              <w:bottom w:val="single" w:sz="4" w:space="0" w:color="auto"/>
              <w:right w:val="single" w:sz="4" w:space="0" w:color="auto"/>
            </w:tcBorders>
          </w:tcPr>
          <w:p w14:paraId="730345FA" w14:textId="77777777" w:rsidR="007951C1" w:rsidRPr="006557B3" w:rsidRDefault="007951C1">
            <w:pPr>
              <w:tabs>
                <w:tab w:val="left" w:pos="8647"/>
              </w:tabs>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5FA07763" w14:textId="77777777" w:rsidR="007951C1" w:rsidRPr="009501A2" w:rsidRDefault="007951C1">
            <w:pPr>
              <w:tabs>
                <w:tab w:val="left" w:pos="8647"/>
              </w:tabs>
              <w:rPr>
                <w:color w:val="000000" w:themeColor="text1"/>
              </w:rPr>
            </w:pPr>
          </w:p>
        </w:tc>
        <w:tc>
          <w:tcPr>
            <w:tcW w:w="3260" w:type="dxa"/>
            <w:tcBorders>
              <w:top w:val="single" w:sz="4" w:space="0" w:color="auto"/>
              <w:left w:val="single" w:sz="4" w:space="0" w:color="auto"/>
              <w:bottom w:val="single" w:sz="4" w:space="0" w:color="auto"/>
              <w:right w:val="single" w:sz="4" w:space="0" w:color="auto"/>
            </w:tcBorders>
          </w:tcPr>
          <w:p w14:paraId="2A10FCA3" w14:textId="37B26A16" w:rsidR="007951C1" w:rsidRPr="009501A2" w:rsidRDefault="000A2BAC" w:rsidP="00DD5424">
            <w:pPr>
              <w:jc w:val="both"/>
              <w:rPr>
                <w:b/>
              </w:rPr>
            </w:pPr>
            <w:r w:rsidRPr="009501A2">
              <w:t>2</w:t>
            </w:r>
            <w:r w:rsidR="00B80CC1" w:rsidRPr="009501A2">
              <w:t>.1.</w:t>
            </w:r>
            <w:r w:rsidR="00DD5424" w:rsidRPr="009501A2">
              <w:t>3</w:t>
            </w:r>
            <w:r w:rsidR="00B80CC1" w:rsidRPr="009501A2">
              <w:t>. Kopā EKK 1000: 2018.</w:t>
            </w:r>
            <w:r w:rsidR="008C1707" w:rsidRPr="009501A2">
              <w:t xml:space="preserve"> </w:t>
            </w:r>
            <w:r w:rsidR="00B80CC1" w:rsidRPr="009501A2">
              <w:t xml:space="preserve">gadā un turpmāk ik gadu nepieciešams 5 844,00 </w:t>
            </w:r>
            <w:r w:rsidR="00B80CC1" w:rsidRPr="009501A2">
              <w:rPr>
                <w:i/>
                <w:color w:val="000000" w:themeColor="text1"/>
              </w:rPr>
              <w:t>euro</w:t>
            </w:r>
            <w:r w:rsidR="00D25325" w:rsidRPr="009501A2">
              <w:rPr>
                <w:i/>
                <w:color w:val="000000" w:themeColor="text1"/>
              </w:rPr>
              <w:t>.</w:t>
            </w:r>
            <w:r w:rsidR="00B80CC1" w:rsidRPr="009501A2">
              <w:t xml:space="preserve"> </w:t>
            </w:r>
          </w:p>
        </w:tc>
        <w:tc>
          <w:tcPr>
            <w:tcW w:w="1418" w:type="dxa"/>
            <w:tcBorders>
              <w:top w:val="single" w:sz="4" w:space="0" w:color="auto"/>
              <w:left w:val="single" w:sz="4" w:space="0" w:color="auto"/>
              <w:bottom w:val="single" w:sz="4" w:space="0" w:color="auto"/>
              <w:right w:val="single" w:sz="4" w:space="0" w:color="auto"/>
            </w:tcBorders>
          </w:tcPr>
          <w:p w14:paraId="68B8D3BA" w14:textId="77777777" w:rsidR="007951C1" w:rsidRDefault="007951C1" w:rsidP="000D5945">
            <w:pPr>
              <w:tabs>
                <w:tab w:val="left" w:pos="8647"/>
              </w:tabs>
              <w:jc w:val="center"/>
              <w:rPr>
                <w:b/>
              </w:rPr>
            </w:pPr>
          </w:p>
        </w:tc>
        <w:tc>
          <w:tcPr>
            <w:tcW w:w="1276" w:type="dxa"/>
            <w:tcBorders>
              <w:top w:val="single" w:sz="4" w:space="0" w:color="auto"/>
              <w:left w:val="single" w:sz="4" w:space="0" w:color="auto"/>
              <w:bottom w:val="single" w:sz="4" w:space="0" w:color="auto"/>
              <w:right w:val="single" w:sz="4" w:space="0" w:color="auto"/>
            </w:tcBorders>
          </w:tcPr>
          <w:p w14:paraId="159F7099" w14:textId="77777777" w:rsidR="007951C1" w:rsidRDefault="007951C1" w:rsidP="000D5945">
            <w:pPr>
              <w:tabs>
                <w:tab w:val="left" w:pos="8647"/>
              </w:tabs>
              <w:jc w:val="center"/>
              <w:rPr>
                <w:b/>
              </w:rPr>
            </w:pPr>
          </w:p>
        </w:tc>
        <w:tc>
          <w:tcPr>
            <w:tcW w:w="1335" w:type="dxa"/>
            <w:tcBorders>
              <w:top w:val="single" w:sz="4" w:space="0" w:color="auto"/>
              <w:left w:val="single" w:sz="4" w:space="0" w:color="auto"/>
              <w:bottom w:val="single" w:sz="4" w:space="0" w:color="auto"/>
              <w:right w:val="single" w:sz="4" w:space="0" w:color="auto"/>
            </w:tcBorders>
          </w:tcPr>
          <w:p w14:paraId="20AF51E2" w14:textId="77777777" w:rsidR="007951C1" w:rsidRDefault="007951C1" w:rsidP="000D5945">
            <w:pPr>
              <w:tabs>
                <w:tab w:val="left" w:pos="8647"/>
              </w:tabs>
              <w:jc w:val="center"/>
              <w:rPr>
                <w:b/>
              </w:rPr>
            </w:pPr>
          </w:p>
        </w:tc>
      </w:tr>
      <w:tr w:rsidR="007951C1" w:rsidRPr="006557B3" w14:paraId="1D58D948" w14:textId="77777777" w:rsidTr="006A2B1D">
        <w:tc>
          <w:tcPr>
            <w:tcW w:w="534" w:type="dxa"/>
            <w:tcBorders>
              <w:top w:val="single" w:sz="4" w:space="0" w:color="auto"/>
              <w:left w:val="single" w:sz="4" w:space="0" w:color="auto"/>
              <w:bottom w:val="single" w:sz="4" w:space="0" w:color="auto"/>
              <w:right w:val="single" w:sz="4" w:space="0" w:color="auto"/>
            </w:tcBorders>
          </w:tcPr>
          <w:p w14:paraId="334F947A" w14:textId="77777777" w:rsidR="007951C1" w:rsidRPr="006557B3" w:rsidRDefault="007951C1">
            <w:pPr>
              <w:tabs>
                <w:tab w:val="left" w:pos="8647"/>
              </w:tabs>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0EFFE783" w14:textId="77777777" w:rsidR="007951C1" w:rsidRPr="009501A2" w:rsidRDefault="007951C1">
            <w:pPr>
              <w:tabs>
                <w:tab w:val="left" w:pos="8647"/>
              </w:tabs>
              <w:rPr>
                <w:color w:val="000000" w:themeColor="text1"/>
              </w:rPr>
            </w:pPr>
          </w:p>
        </w:tc>
        <w:tc>
          <w:tcPr>
            <w:tcW w:w="3260" w:type="dxa"/>
            <w:tcBorders>
              <w:top w:val="single" w:sz="4" w:space="0" w:color="auto"/>
              <w:left w:val="single" w:sz="4" w:space="0" w:color="auto"/>
              <w:bottom w:val="single" w:sz="4" w:space="0" w:color="auto"/>
              <w:right w:val="single" w:sz="4" w:space="0" w:color="auto"/>
            </w:tcBorders>
          </w:tcPr>
          <w:p w14:paraId="0A61423E" w14:textId="64C2BB9A" w:rsidR="007951C1" w:rsidRPr="009501A2" w:rsidRDefault="000A2BAC" w:rsidP="000A5851">
            <w:pPr>
              <w:jc w:val="both"/>
            </w:pPr>
            <w:r w:rsidRPr="009501A2">
              <w:t>2</w:t>
            </w:r>
            <w:r w:rsidR="007951C1" w:rsidRPr="009501A2">
              <w:t>.2.</w:t>
            </w:r>
            <w:r w:rsidR="000F49E3" w:rsidRPr="009501A2">
              <w:t xml:space="preserve"> </w:t>
            </w:r>
            <w:r w:rsidR="007951C1" w:rsidRPr="009501A2">
              <w:t xml:space="preserve">Izdevumi inspektoru ikdienas darba nodrošināšanai gadā </w:t>
            </w:r>
            <w:r w:rsidR="000A5851" w:rsidRPr="009501A2">
              <w:t xml:space="preserve">– </w:t>
            </w:r>
            <w:r w:rsidR="007951C1" w:rsidRPr="009501A2">
              <w:t xml:space="preserve"> 978,00 </w:t>
            </w:r>
            <w:r w:rsidR="007951C1" w:rsidRPr="009501A2">
              <w:rPr>
                <w:i/>
                <w:color w:val="000000" w:themeColor="text1"/>
              </w:rPr>
              <w:t>euro</w:t>
            </w:r>
            <w:r w:rsidR="007951C1" w:rsidRPr="009501A2">
              <w:t xml:space="preserve"> (EKK 2000); (izdevumi vienreizlietojamajam apģērbam, transporta izdevumiem, kvalifikācijas celšanai u.c.)</w:t>
            </w:r>
            <w:r w:rsidR="00782C36" w:rsidRPr="009501A2">
              <w:t>.</w:t>
            </w:r>
            <w:r w:rsidR="007951C1" w:rsidRPr="009501A2">
              <w:t xml:space="preserve"> </w:t>
            </w:r>
          </w:p>
        </w:tc>
        <w:tc>
          <w:tcPr>
            <w:tcW w:w="1418" w:type="dxa"/>
            <w:tcBorders>
              <w:top w:val="single" w:sz="4" w:space="0" w:color="auto"/>
              <w:left w:val="single" w:sz="4" w:space="0" w:color="auto"/>
              <w:bottom w:val="single" w:sz="4" w:space="0" w:color="auto"/>
              <w:right w:val="single" w:sz="4" w:space="0" w:color="auto"/>
            </w:tcBorders>
          </w:tcPr>
          <w:p w14:paraId="5036FA19" w14:textId="77777777" w:rsidR="007951C1" w:rsidRDefault="007951C1" w:rsidP="000D5945">
            <w:pPr>
              <w:tabs>
                <w:tab w:val="left" w:pos="8647"/>
              </w:tabs>
              <w:jc w:val="center"/>
              <w:rPr>
                <w:b/>
              </w:rPr>
            </w:pPr>
          </w:p>
        </w:tc>
        <w:tc>
          <w:tcPr>
            <w:tcW w:w="1276" w:type="dxa"/>
            <w:tcBorders>
              <w:top w:val="single" w:sz="4" w:space="0" w:color="auto"/>
              <w:left w:val="single" w:sz="4" w:space="0" w:color="auto"/>
              <w:bottom w:val="single" w:sz="4" w:space="0" w:color="auto"/>
              <w:right w:val="single" w:sz="4" w:space="0" w:color="auto"/>
            </w:tcBorders>
          </w:tcPr>
          <w:p w14:paraId="6825660C" w14:textId="77777777" w:rsidR="007951C1" w:rsidRDefault="007951C1" w:rsidP="000D5945">
            <w:pPr>
              <w:tabs>
                <w:tab w:val="left" w:pos="8647"/>
              </w:tabs>
              <w:jc w:val="center"/>
              <w:rPr>
                <w:b/>
              </w:rPr>
            </w:pPr>
          </w:p>
        </w:tc>
        <w:tc>
          <w:tcPr>
            <w:tcW w:w="1335" w:type="dxa"/>
            <w:tcBorders>
              <w:top w:val="single" w:sz="4" w:space="0" w:color="auto"/>
              <w:left w:val="single" w:sz="4" w:space="0" w:color="auto"/>
              <w:bottom w:val="single" w:sz="4" w:space="0" w:color="auto"/>
              <w:right w:val="single" w:sz="4" w:space="0" w:color="auto"/>
            </w:tcBorders>
          </w:tcPr>
          <w:p w14:paraId="7DC8D9CF" w14:textId="77777777" w:rsidR="007951C1" w:rsidRDefault="007951C1" w:rsidP="000D5945">
            <w:pPr>
              <w:tabs>
                <w:tab w:val="left" w:pos="8647"/>
              </w:tabs>
              <w:jc w:val="center"/>
              <w:rPr>
                <w:b/>
              </w:rPr>
            </w:pPr>
          </w:p>
        </w:tc>
      </w:tr>
      <w:tr w:rsidR="007951C1" w:rsidRPr="006557B3" w14:paraId="6F685DEB" w14:textId="77777777" w:rsidTr="006A2B1D">
        <w:tc>
          <w:tcPr>
            <w:tcW w:w="534" w:type="dxa"/>
            <w:tcBorders>
              <w:top w:val="single" w:sz="4" w:space="0" w:color="auto"/>
              <w:left w:val="single" w:sz="4" w:space="0" w:color="auto"/>
              <w:bottom w:val="single" w:sz="4" w:space="0" w:color="auto"/>
              <w:right w:val="single" w:sz="4" w:space="0" w:color="auto"/>
            </w:tcBorders>
          </w:tcPr>
          <w:p w14:paraId="71AFC17F" w14:textId="77777777" w:rsidR="007951C1" w:rsidRPr="006557B3" w:rsidRDefault="007951C1">
            <w:pPr>
              <w:tabs>
                <w:tab w:val="left" w:pos="8647"/>
              </w:tabs>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7E9F20B1" w14:textId="77777777" w:rsidR="007951C1" w:rsidRPr="009501A2" w:rsidRDefault="007951C1">
            <w:pPr>
              <w:tabs>
                <w:tab w:val="left" w:pos="8647"/>
              </w:tabs>
              <w:rPr>
                <w:color w:val="000000" w:themeColor="text1"/>
              </w:rPr>
            </w:pPr>
          </w:p>
        </w:tc>
        <w:tc>
          <w:tcPr>
            <w:tcW w:w="3260" w:type="dxa"/>
            <w:tcBorders>
              <w:top w:val="single" w:sz="4" w:space="0" w:color="auto"/>
              <w:left w:val="single" w:sz="4" w:space="0" w:color="auto"/>
              <w:bottom w:val="single" w:sz="4" w:space="0" w:color="auto"/>
              <w:right w:val="single" w:sz="4" w:space="0" w:color="auto"/>
            </w:tcBorders>
          </w:tcPr>
          <w:p w14:paraId="39B6145F" w14:textId="229768B5" w:rsidR="007951C1" w:rsidRPr="009501A2" w:rsidRDefault="00236C0F" w:rsidP="007951C1">
            <w:pPr>
              <w:jc w:val="both"/>
              <w:rPr>
                <w:b/>
              </w:rPr>
            </w:pPr>
            <w:r w:rsidRPr="009501A2">
              <w:t>2</w:t>
            </w:r>
            <w:r w:rsidR="007951C1" w:rsidRPr="009501A2">
              <w:t>.2.1. Kontrolēs iesaistīto inspektoru skaits – 146 inspektori;</w:t>
            </w:r>
          </w:p>
        </w:tc>
        <w:tc>
          <w:tcPr>
            <w:tcW w:w="1418" w:type="dxa"/>
            <w:tcBorders>
              <w:top w:val="single" w:sz="4" w:space="0" w:color="auto"/>
              <w:left w:val="single" w:sz="4" w:space="0" w:color="auto"/>
              <w:bottom w:val="single" w:sz="4" w:space="0" w:color="auto"/>
              <w:right w:val="single" w:sz="4" w:space="0" w:color="auto"/>
            </w:tcBorders>
          </w:tcPr>
          <w:p w14:paraId="193853E9" w14:textId="77777777" w:rsidR="007951C1" w:rsidRDefault="007951C1" w:rsidP="000D5945">
            <w:pPr>
              <w:tabs>
                <w:tab w:val="left" w:pos="8647"/>
              </w:tabs>
              <w:jc w:val="center"/>
              <w:rPr>
                <w:b/>
              </w:rPr>
            </w:pPr>
          </w:p>
        </w:tc>
        <w:tc>
          <w:tcPr>
            <w:tcW w:w="1276" w:type="dxa"/>
            <w:tcBorders>
              <w:top w:val="single" w:sz="4" w:space="0" w:color="auto"/>
              <w:left w:val="single" w:sz="4" w:space="0" w:color="auto"/>
              <w:bottom w:val="single" w:sz="4" w:space="0" w:color="auto"/>
              <w:right w:val="single" w:sz="4" w:space="0" w:color="auto"/>
            </w:tcBorders>
          </w:tcPr>
          <w:p w14:paraId="20F7CB7E" w14:textId="77777777" w:rsidR="007951C1" w:rsidRDefault="007951C1" w:rsidP="000D5945">
            <w:pPr>
              <w:tabs>
                <w:tab w:val="left" w:pos="8647"/>
              </w:tabs>
              <w:jc w:val="center"/>
              <w:rPr>
                <w:b/>
              </w:rPr>
            </w:pPr>
          </w:p>
        </w:tc>
        <w:tc>
          <w:tcPr>
            <w:tcW w:w="1335" w:type="dxa"/>
            <w:tcBorders>
              <w:top w:val="single" w:sz="4" w:space="0" w:color="auto"/>
              <w:left w:val="single" w:sz="4" w:space="0" w:color="auto"/>
              <w:bottom w:val="single" w:sz="4" w:space="0" w:color="auto"/>
              <w:right w:val="single" w:sz="4" w:space="0" w:color="auto"/>
            </w:tcBorders>
          </w:tcPr>
          <w:p w14:paraId="5D465CF0" w14:textId="77777777" w:rsidR="007951C1" w:rsidRDefault="007951C1" w:rsidP="000D5945">
            <w:pPr>
              <w:tabs>
                <w:tab w:val="left" w:pos="8647"/>
              </w:tabs>
              <w:jc w:val="center"/>
              <w:rPr>
                <w:b/>
              </w:rPr>
            </w:pPr>
          </w:p>
        </w:tc>
      </w:tr>
      <w:tr w:rsidR="007951C1" w:rsidRPr="006557B3" w14:paraId="14956BE6" w14:textId="77777777" w:rsidTr="006A2B1D">
        <w:tc>
          <w:tcPr>
            <w:tcW w:w="534" w:type="dxa"/>
            <w:tcBorders>
              <w:top w:val="single" w:sz="4" w:space="0" w:color="auto"/>
              <w:left w:val="single" w:sz="4" w:space="0" w:color="auto"/>
              <w:bottom w:val="single" w:sz="4" w:space="0" w:color="auto"/>
              <w:right w:val="single" w:sz="4" w:space="0" w:color="auto"/>
            </w:tcBorders>
          </w:tcPr>
          <w:p w14:paraId="7C64DE04" w14:textId="77777777" w:rsidR="007951C1" w:rsidRPr="006557B3" w:rsidRDefault="007951C1">
            <w:pPr>
              <w:tabs>
                <w:tab w:val="left" w:pos="8647"/>
              </w:tabs>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44A64BDE" w14:textId="77777777" w:rsidR="007951C1" w:rsidRPr="009501A2" w:rsidRDefault="007951C1">
            <w:pPr>
              <w:tabs>
                <w:tab w:val="left" w:pos="8647"/>
              </w:tabs>
              <w:rPr>
                <w:color w:val="000000" w:themeColor="text1"/>
              </w:rPr>
            </w:pPr>
          </w:p>
        </w:tc>
        <w:tc>
          <w:tcPr>
            <w:tcW w:w="3260" w:type="dxa"/>
            <w:tcBorders>
              <w:top w:val="single" w:sz="4" w:space="0" w:color="auto"/>
              <w:left w:val="single" w:sz="4" w:space="0" w:color="auto"/>
              <w:bottom w:val="single" w:sz="4" w:space="0" w:color="auto"/>
              <w:right w:val="single" w:sz="4" w:space="0" w:color="auto"/>
            </w:tcBorders>
          </w:tcPr>
          <w:p w14:paraId="3AB96CC6" w14:textId="3EC64569" w:rsidR="007951C1" w:rsidRPr="009501A2" w:rsidRDefault="00236C0F" w:rsidP="00236C0F">
            <w:pPr>
              <w:jc w:val="both"/>
              <w:rPr>
                <w:b/>
              </w:rPr>
            </w:pPr>
            <w:r w:rsidRPr="009501A2">
              <w:t>2</w:t>
            </w:r>
            <w:r w:rsidR="007951C1" w:rsidRPr="009501A2">
              <w:t>.2.2. Izdevumi inspektoru apmācīb</w:t>
            </w:r>
            <w:r w:rsidR="000A5851" w:rsidRPr="009501A2">
              <w:t>as</w:t>
            </w:r>
            <w:r w:rsidR="007951C1" w:rsidRPr="009501A2">
              <w:t xml:space="preserve"> nodrošināšanai (vienas dienas apmācība, izdevumi plānoti degvielai, lai nokļūtu līdz apmācīb</w:t>
            </w:r>
            <w:r w:rsidR="000A5851" w:rsidRPr="009501A2">
              <w:t>as</w:t>
            </w:r>
            <w:r w:rsidR="007951C1" w:rsidRPr="009501A2">
              <w:t xml:space="preserve"> vietai un atpakaļ uz darbavietu) – 300</w:t>
            </w:r>
            <w:r w:rsidR="000A5851" w:rsidRPr="009501A2">
              <w:t> </w:t>
            </w:r>
            <w:r w:rsidR="007951C1" w:rsidRPr="009501A2">
              <w:t xml:space="preserve">km x 11 teritoriālās struktūrvienības x 8,5 litri/100 km x 1,14 </w:t>
            </w:r>
            <w:r w:rsidR="007951C1" w:rsidRPr="009501A2">
              <w:rPr>
                <w:i/>
                <w:color w:val="000000" w:themeColor="text1"/>
              </w:rPr>
              <w:t>euro</w:t>
            </w:r>
            <w:r w:rsidR="007951C1" w:rsidRPr="009501A2">
              <w:t xml:space="preserve"> /litrā = 319,77 </w:t>
            </w:r>
            <w:r w:rsidR="007951C1" w:rsidRPr="009501A2">
              <w:rPr>
                <w:i/>
                <w:color w:val="000000" w:themeColor="text1"/>
              </w:rPr>
              <w:t>euro</w:t>
            </w:r>
            <w:r w:rsidR="007951C1" w:rsidRPr="009501A2">
              <w:t>;</w:t>
            </w:r>
          </w:p>
        </w:tc>
        <w:tc>
          <w:tcPr>
            <w:tcW w:w="1418" w:type="dxa"/>
            <w:tcBorders>
              <w:top w:val="single" w:sz="4" w:space="0" w:color="auto"/>
              <w:left w:val="single" w:sz="4" w:space="0" w:color="auto"/>
              <w:bottom w:val="single" w:sz="4" w:space="0" w:color="auto"/>
              <w:right w:val="single" w:sz="4" w:space="0" w:color="auto"/>
            </w:tcBorders>
          </w:tcPr>
          <w:p w14:paraId="768EBBB2" w14:textId="77777777" w:rsidR="007951C1" w:rsidRDefault="007951C1" w:rsidP="000D5945">
            <w:pPr>
              <w:tabs>
                <w:tab w:val="left" w:pos="8647"/>
              </w:tabs>
              <w:jc w:val="center"/>
              <w:rPr>
                <w:b/>
              </w:rPr>
            </w:pPr>
          </w:p>
        </w:tc>
        <w:tc>
          <w:tcPr>
            <w:tcW w:w="1276" w:type="dxa"/>
            <w:tcBorders>
              <w:top w:val="single" w:sz="4" w:space="0" w:color="auto"/>
              <w:left w:val="single" w:sz="4" w:space="0" w:color="auto"/>
              <w:bottom w:val="single" w:sz="4" w:space="0" w:color="auto"/>
              <w:right w:val="single" w:sz="4" w:space="0" w:color="auto"/>
            </w:tcBorders>
          </w:tcPr>
          <w:p w14:paraId="5CC39EB6" w14:textId="77777777" w:rsidR="007951C1" w:rsidRDefault="007951C1" w:rsidP="000D5945">
            <w:pPr>
              <w:tabs>
                <w:tab w:val="left" w:pos="8647"/>
              </w:tabs>
              <w:jc w:val="center"/>
              <w:rPr>
                <w:b/>
              </w:rPr>
            </w:pPr>
          </w:p>
        </w:tc>
        <w:tc>
          <w:tcPr>
            <w:tcW w:w="1335" w:type="dxa"/>
            <w:tcBorders>
              <w:top w:val="single" w:sz="4" w:space="0" w:color="auto"/>
              <w:left w:val="single" w:sz="4" w:space="0" w:color="auto"/>
              <w:bottom w:val="single" w:sz="4" w:space="0" w:color="auto"/>
              <w:right w:val="single" w:sz="4" w:space="0" w:color="auto"/>
            </w:tcBorders>
          </w:tcPr>
          <w:p w14:paraId="57ACA07B" w14:textId="77777777" w:rsidR="007951C1" w:rsidRDefault="007951C1" w:rsidP="000D5945">
            <w:pPr>
              <w:tabs>
                <w:tab w:val="left" w:pos="8647"/>
              </w:tabs>
              <w:jc w:val="center"/>
              <w:rPr>
                <w:b/>
              </w:rPr>
            </w:pPr>
          </w:p>
        </w:tc>
      </w:tr>
      <w:tr w:rsidR="007951C1" w:rsidRPr="006557B3" w14:paraId="33625E22" w14:textId="77777777" w:rsidTr="006A2B1D">
        <w:tc>
          <w:tcPr>
            <w:tcW w:w="534" w:type="dxa"/>
            <w:tcBorders>
              <w:top w:val="single" w:sz="4" w:space="0" w:color="auto"/>
              <w:left w:val="single" w:sz="4" w:space="0" w:color="auto"/>
              <w:bottom w:val="single" w:sz="4" w:space="0" w:color="auto"/>
              <w:right w:val="single" w:sz="4" w:space="0" w:color="auto"/>
            </w:tcBorders>
          </w:tcPr>
          <w:p w14:paraId="295F30A6" w14:textId="77777777" w:rsidR="007951C1" w:rsidRPr="006557B3" w:rsidRDefault="007951C1">
            <w:pPr>
              <w:tabs>
                <w:tab w:val="left" w:pos="8647"/>
              </w:tabs>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43DA0655" w14:textId="77777777" w:rsidR="007951C1" w:rsidRPr="009501A2" w:rsidRDefault="007951C1">
            <w:pPr>
              <w:tabs>
                <w:tab w:val="left" w:pos="8647"/>
              </w:tabs>
              <w:rPr>
                <w:color w:val="000000" w:themeColor="text1"/>
              </w:rPr>
            </w:pPr>
          </w:p>
        </w:tc>
        <w:tc>
          <w:tcPr>
            <w:tcW w:w="3260" w:type="dxa"/>
            <w:tcBorders>
              <w:top w:val="single" w:sz="4" w:space="0" w:color="auto"/>
              <w:left w:val="single" w:sz="4" w:space="0" w:color="auto"/>
              <w:bottom w:val="single" w:sz="4" w:space="0" w:color="auto"/>
              <w:right w:val="single" w:sz="4" w:space="0" w:color="auto"/>
            </w:tcBorders>
          </w:tcPr>
          <w:p w14:paraId="1E31B3F0" w14:textId="5761B119" w:rsidR="007951C1" w:rsidRPr="009501A2" w:rsidRDefault="00236C0F" w:rsidP="000724DB">
            <w:pPr>
              <w:jc w:val="both"/>
              <w:rPr>
                <w:b/>
              </w:rPr>
            </w:pPr>
            <w:r w:rsidRPr="009501A2">
              <w:rPr>
                <w:color w:val="000000"/>
              </w:rPr>
              <w:t>2</w:t>
            </w:r>
            <w:r w:rsidR="007951C1" w:rsidRPr="009501A2">
              <w:rPr>
                <w:color w:val="000000"/>
              </w:rPr>
              <w:t>.2.3. Pārējie iestādes administratīvie izdevumi (</w:t>
            </w:r>
            <w:r w:rsidR="000A5851" w:rsidRPr="009501A2">
              <w:rPr>
                <w:color w:val="000000"/>
              </w:rPr>
              <w:t>e</w:t>
            </w:r>
            <w:r w:rsidR="007951C1" w:rsidRPr="009501A2">
              <w:rPr>
                <w:color w:val="000000"/>
              </w:rPr>
              <w:t xml:space="preserve">-taloni) – 55 kontroles Rīgas pilsētas uzraudzības teritorijā x 1,15 </w:t>
            </w:r>
            <w:r w:rsidR="007951C1" w:rsidRPr="009501A2">
              <w:rPr>
                <w:i/>
                <w:color w:val="000000" w:themeColor="text1"/>
              </w:rPr>
              <w:t>euro</w:t>
            </w:r>
            <w:r w:rsidR="007951C1" w:rsidRPr="009501A2">
              <w:rPr>
                <w:color w:val="000000"/>
              </w:rPr>
              <w:t xml:space="preserve"> par braucienu x 4 braucieni = 253,00 </w:t>
            </w:r>
            <w:r w:rsidR="007951C1" w:rsidRPr="009501A2">
              <w:rPr>
                <w:i/>
                <w:color w:val="000000" w:themeColor="text1"/>
              </w:rPr>
              <w:t>euro</w:t>
            </w:r>
            <w:r w:rsidR="007951C1" w:rsidRPr="009501A2">
              <w:rPr>
                <w:color w:val="000000"/>
              </w:rPr>
              <w:t xml:space="preserve"> gadā;</w:t>
            </w:r>
          </w:p>
        </w:tc>
        <w:tc>
          <w:tcPr>
            <w:tcW w:w="1418" w:type="dxa"/>
            <w:tcBorders>
              <w:top w:val="single" w:sz="4" w:space="0" w:color="auto"/>
              <w:left w:val="single" w:sz="4" w:space="0" w:color="auto"/>
              <w:bottom w:val="single" w:sz="4" w:space="0" w:color="auto"/>
              <w:right w:val="single" w:sz="4" w:space="0" w:color="auto"/>
            </w:tcBorders>
          </w:tcPr>
          <w:p w14:paraId="73D0B57B" w14:textId="77777777" w:rsidR="007951C1" w:rsidRDefault="007951C1" w:rsidP="000D5945">
            <w:pPr>
              <w:tabs>
                <w:tab w:val="left" w:pos="8647"/>
              </w:tabs>
              <w:jc w:val="center"/>
              <w:rPr>
                <w:b/>
              </w:rPr>
            </w:pPr>
          </w:p>
        </w:tc>
        <w:tc>
          <w:tcPr>
            <w:tcW w:w="1276" w:type="dxa"/>
            <w:tcBorders>
              <w:top w:val="single" w:sz="4" w:space="0" w:color="auto"/>
              <w:left w:val="single" w:sz="4" w:space="0" w:color="auto"/>
              <w:bottom w:val="single" w:sz="4" w:space="0" w:color="auto"/>
              <w:right w:val="single" w:sz="4" w:space="0" w:color="auto"/>
            </w:tcBorders>
          </w:tcPr>
          <w:p w14:paraId="28CF31D6" w14:textId="77777777" w:rsidR="007951C1" w:rsidRDefault="007951C1" w:rsidP="000D5945">
            <w:pPr>
              <w:tabs>
                <w:tab w:val="left" w:pos="8647"/>
              </w:tabs>
              <w:jc w:val="center"/>
              <w:rPr>
                <w:b/>
              </w:rPr>
            </w:pPr>
          </w:p>
        </w:tc>
        <w:tc>
          <w:tcPr>
            <w:tcW w:w="1335" w:type="dxa"/>
            <w:tcBorders>
              <w:top w:val="single" w:sz="4" w:space="0" w:color="auto"/>
              <w:left w:val="single" w:sz="4" w:space="0" w:color="auto"/>
              <w:bottom w:val="single" w:sz="4" w:space="0" w:color="auto"/>
              <w:right w:val="single" w:sz="4" w:space="0" w:color="auto"/>
            </w:tcBorders>
          </w:tcPr>
          <w:p w14:paraId="2FB7A5DA" w14:textId="77777777" w:rsidR="007951C1" w:rsidRDefault="007951C1" w:rsidP="000D5945">
            <w:pPr>
              <w:tabs>
                <w:tab w:val="left" w:pos="8647"/>
              </w:tabs>
              <w:jc w:val="center"/>
              <w:rPr>
                <w:b/>
              </w:rPr>
            </w:pPr>
          </w:p>
        </w:tc>
      </w:tr>
      <w:tr w:rsidR="007951C1" w:rsidRPr="006557B3" w14:paraId="5F5C3BC0" w14:textId="77777777" w:rsidTr="006A2B1D">
        <w:tc>
          <w:tcPr>
            <w:tcW w:w="534" w:type="dxa"/>
            <w:tcBorders>
              <w:top w:val="single" w:sz="4" w:space="0" w:color="auto"/>
              <w:left w:val="single" w:sz="4" w:space="0" w:color="auto"/>
              <w:bottom w:val="single" w:sz="4" w:space="0" w:color="auto"/>
              <w:right w:val="single" w:sz="4" w:space="0" w:color="auto"/>
            </w:tcBorders>
          </w:tcPr>
          <w:p w14:paraId="5EFDB674" w14:textId="77777777" w:rsidR="007951C1" w:rsidRPr="006557B3" w:rsidRDefault="007951C1">
            <w:pPr>
              <w:tabs>
                <w:tab w:val="left" w:pos="8647"/>
              </w:tabs>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464D667E" w14:textId="77777777" w:rsidR="007951C1" w:rsidRPr="009501A2" w:rsidRDefault="007951C1">
            <w:pPr>
              <w:tabs>
                <w:tab w:val="left" w:pos="8647"/>
              </w:tabs>
              <w:rPr>
                <w:color w:val="000000" w:themeColor="text1"/>
              </w:rPr>
            </w:pPr>
          </w:p>
        </w:tc>
        <w:tc>
          <w:tcPr>
            <w:tcW w:w="3260" w:type="dxa"/>
            <w:tcBorders>
              <w:top w:val="single" w:sz="4" w:space="0" w:color="auto"/>
              <w:left w:val="single" w:sz="4" w:space="0" w:color="auto"/>
              <w:bottom w:val="single" w:sz="4" w:space="0" w:color="auto"/>
              <w:right w:val="single" w:sz="4" w:space="0" w:color="auto"/>
            </w:tcBorders>
          </w:tcPr>
          <w:p w14:paraId="2261CE43" w14:textId="60ED2B6F" w:rsidR="007951C1" w:rsidRPr="009501A2" w:rsidRDefault="00236C0F" w:rsidP="007951C1">
            <w:pPr>
              <w:jc w:val="both"/>
              <w:rPr>
                <w:b/>
              </w:rPr>
            </w:pPr>
            <w:r w:rsidRPr="009501A2">
              <w:rPr>
                <w:color w:val="000000"/>
              </w:rPr>
              <w:t>2</w:t>
            </w:r>
            <w:r w:rsidR="007951C1" w:rsidRPr="009501A2">
              <w:rPr>
                <w:color w:val="000000"/>
              </w:rPr>
              <w:t xml:space="preserve">.2.4. Spectērpi (vienreizlietojamie apģērbi) – 1,00 </w:t>
            </w:r>
            <w:r w:rsidR="007951C1" w:rsidRPr="009501A2">
              <w:rPr>
                <w:i/>
                <w:color w:val="000000" w:themeColor="text1"/>
              </w:rPr>
              <w:t>euro</w:t>
            </w:r>
            <w:r w:rsidR="007951C1" w:rsidRPr="009501A2">
              <w:rPr>
                <w:color w:val="000000"/>
              </w:rPr>
              <w:t xml:space="preserve"> /komplekts uz vienu kontroles objektu (halāts, bahilas, cepure, cimdi) = 100 kontroles darbības x 1,00 </w:t>
            </w:r>
            <w:r w:rsidR="007951C1" w:rsidRPr="009501A2">
              <w:rPr>
                <w:i/>
                <w:color w:val="000000" w:themeColor="text1"/>
              </w:rPr>
              <w:t>euro</w:t>
            </w:r>
            <w:r w:rsidR="007951C1" w:rsidRPr="009501A2">
              <w:rPr>
                <w:color w:val="000000"/>
              </w:rPr>
              <w:t xml:space="preserve"> = 100,00 </w:t>
            </w:r>
            <w:r w:rsidR="007951C1" w:rsidRPr="009501A2">
              <w:rPr>
                <w:i/>
                <w:color w:val="000000" w:themeColor="text1"/>
              </w:rPr>
              <w:t>euro</w:t>
            </w:r>
            <w:r w:rsidR="007951C1" w:rsidRPr="009501A2">
              <w:rPr>
                <w:color w:val="000000"/>
              </w:rPr>
              <w:t xml:space="preserve"> /gadā;</w:t>
            </w:r>
          </w:p>
        </w:tc>
        <w:tc>
          <w:tcPr>
            <w:tcW w:w="1418" w:type="dxa"/>
            <w:tcBorders>
              <w:top w:val="single" w:sz="4" w:space="0" w:color="auto"/>
              <w:left w:val="single" w:sz="4" w:space="0" w:color="auto"/>
              <w:bottom w:val="single" w:sz="4" w:space="0" w:color="auto"/>
              <w:right w:val="single" w:sz="4" w:space="0" w:color="auto"/>
            </w:tcBorders>
          </w:tcPr>
          <w:p w14:paraId="1D3295B1" w14:textId="77777777" w:rsidR="007951C1" w:rsidRDefault="007951C1" w:rsidP="000D5945">
            <w:pPr>
              <w:tabs>
                <w:tab w:val="left" w:pos="8647"/>
              </w:tabs>
              <w:jc w:val="center"/>
              <w:rPr>
                <w:b/>
              </w:rPr>
            </w:pPr>
          </w:p>
        </w:tc>
        <w:tc>
          <w:tcPr>
            <w:tcW w:w="1276" w:type="dxa"/>
            <w:tcBorders>
              <w:top w:val="single" w:sz="4" w:space="0" w:color="auto"/>
              <w:left w:val="single" w:sz="4" w:space="0" w:color="auto"/>
              <w:bottom w:val="single" w:sz="4" w:space="0" w:color="auto"/>
              <w:right w:val="single" w:sz="4" w:space="0" w:color="auto"/>
            </w:tcBorders>
          </w:tcPr>
          <w:p w14:paraId="38A5675E" w14:textId="77777777" w:rsidR="007951C1" w:rsidRDefault="007951C1" w:rsidP="000D5945">
            <w:pPr>
              <w:tabs>
                <w:tab w:val="left" w:pos="8647"/>
              </w:tabs>
              <w:jc w:val="center"/>
              <w:rPr>
                <w:b/>
              </w:rPr>
            </w:pPr>
          </w:p>
        </w:tc>
        <w:tc>
          <w:tcPr>
            <w:tcW w:w="1335" w:type="dxa"/>
            <w:tcBorders>
              <w:top w:val="single" w:sz="4" w:space="0" w:color="auto"/>
              <w:left w:val="single" w:sz="4" w:space="0" w:color="auto"/>
              <w:bottom w:val="single" w:sz="4" w:space="0" w:color="auto"/>
              <w:right w:val="single" w:sz="4" w:space="0" w:color="auto"/>
            </w:tcBorders>
          </w:tcPr>
          <w:p w14:paraId="3C7B403D" w14:textId="77777777" w:rsidR="007951C1" w:rsidRDefault="007951C1" w:rsidP="000D5945">
            <w:pPr>
              <w:tabs>
                <w:tab w:val="left" w:pos="8647"/>
              </w:tabs>
              <w:jc w:val="center"/>
              <w:rPr>
                <w:b/>
              </w:rPr>
            </w:pPr>
          </w:p>
        </w:tc>
      </w:tr>
      <w:tr w:rsidR="007951C1" w:rsidRPr="006557B3" w14:paraId="63F759D4" w14:textId="77777777" w:rsidTr="006A2B1D">
        <w:tc>
          <w:tcPr>
            <w:tcW w:w="534" w:type="dxa"/>
            <w:tcBorders>
              <w:top w:val="single" w:sz="4" w:space="0" w:color="auto"/>
              <w:left w:val="single" w:sz="4" w:space="0" w:color="auto"/>
              <w:bottom w:val="single" w:sz="4" w:space="0" w:color="auto"/>
              <w:right w:val="single" w:sz="4" w:space="0" w:color="auto"/>
            </w:tcBorders>
          </w:tcPr>
          <w:p w14:paraId="34FE9E32" w14:textId="77777777" w:rsidR="007951C1" w:rsidRPr="006557B3" w:rsidRDefault="007951C1">
            <w:pPr>
              <w:tabs>
                <w:tab w:val="left" w:pos="8647"/>
              </w:tabs>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2707A92D" w14:textId="77777777" w:rsidR="007951C1" w:rsidRPr="009501A2" w:rsidRDefault="007951C1">
            <w:pPr>
              <w:tabs>
                <w:tab w:val="left" w:pos="8647"/>
              </w:tabs>
              <w:rPr>
                <w:color w:val="000000" w:themeColor="text1"/>
              </w:rPr>
            </w:pPr>
          </w:p>
        </w:tc>
        <w:tc>
          <w:tcPr>
            <w:tcW w:w="3260" w:type="dxa"/>
            <w:tcBorders>
              <w:top w:val="single" w:sz="4" w:space="0" w:color="auto"/>
              <w:left w:val="single" w:sz="4" w:space="0" w:color="auto"/>
              <w:bottom w:val="single" w:sz="4" w:space="0" w:color="auto"/>
              <w:right w:val="single" w:sz="4" w:space="0" w:color="auto"/>
            </w:tcBorders>
          </w:tcPr>
          <w:p w14:paraId="6BF1E1FC" w14:textId="32EE8BF9" w:rsidR="007951C1" w:rsidRPr="009501A2" w:rsidRDefault="00236C0F" w:rsidP="000A5851">
            <w:pPr>
              <w:jc w:val="both"/>
              <w:rPr>
                <w:b/>
              </w:rPr>
            </w:pPr>
            <w:r w:rsidRPr="009501A2">
              <w:rPr>
                <w:color w:val="000000"/>
              </w:rPr>
              <w:t>2</w:t>
            </w:r>
            <w:r w:rsidR="007951C1" w:rsidRPr="009501A2">
              <w:rPr>
                <w:color w:val="000000"/>
              </w:rPr>
              <w:t xml:space="preserve">.2.5. Degviela </w:t>
            </w:r>
            <w:r w:rsidR="000A5851" w:rsidRPr="009501A2">
              <w:rPr>
                <w:color w:val="000000"/>
              </w:rPr>
              <w:t>–</w:t>
            </w:r>
            <w:r w:rsidR="007951C1" w:rsidRPr="009501A2">
              <w:rPr>
                <w:color w:val="000000"/>
              </w:rPr>
              <w:t xml:space="preserve"> 70 km uz </w:t>
            </w:r>
            <w:r w:rsidR="000A5851" w:rsidRPr="009501A2">
              <w:rPr>
                <w:color w:val="000000"/>
              </w:rPr>
              <w:t xml:space="preserve">uzraudzības objektu </w:t>
            </w:r>
            <w:r w:rsidR="007951C1" w:rsidRPr="009501A2">
              <w:rPr>
                <w:color w:val="000000"/>
              </w:rPr>
              <w:t>un no</w:t>
            </w:r>
            <w:r w:rsidR="000A5851" w:rsidRPr="009501A2">
              <w:rPr>
                <w:color w:val="000000"/>
              </w:rPr>
              <w:t xml:space="preserve"> tā</w:t>
            </w:r>
            <w:r w:rsidR="007951C1" w:rsidRPr="009501A2">
              <w:rPr>
                <w:color w:val="000000"/>
              </w:rPr>
              <w:t>, 8,5 litri uz 100</w:t>
            </w:r>
            <w:r w:rsidR="000A5851" w:rsidRPr="009501A2">
              <w:rPr>
                <w:color w:val="000000"/>
              </w:rPr>
              <w:t xml:space="preserve"> </w:t>
            </w:r>
            <w:r w:rsidR="007951C1" w:rsidRPr="009501A2">
              <w:rPr>
                <w:color w:val="000000"/>
              </w:rPr>
              <w:t xml:space="preserve">km, 1,14 </w:t>
            </w:r>
            <w:r w:rsidR="007951C1" w:rsidRPr="009501A2">
              <w:rPr>
                <w:i/>
                <w:color w:val="000000" w:themeColor="text1"/>
              </w:rPr>
              <w:t>euro</w:t>
            </w:r>
            <w:r w:rsidR="007951C1" w:rsidRPr="009501A2">
              <w:rPr>
                <w:color w:val="000000"/>
              </w:rPr>
              <w:t xml:space="preserve"> /litrā = 45 kontroles objekti x 70 km x 8,5 litri/100 km x 1,14 </w:t>
            </w:r>
            <w:r w:rsidR="007951C1" w:rsidRPr="009501A2">
              <w:rPr>
                <w:i/>
                <w:color w:val="000000" w:themeColor="text1"/>
              </w:rPr>
              <w:t>euro</w:t>
            </w:r>
            <w:r w:rsidR="007951C1" w:rsidRPr="009501A2">
              <w:rPr>
                <w:color w:val="000000"/>
              </w:rPr>
              <w:t xml:space="preserve"> /litrā = 305,24 </w:t>
            </w:r>
            <w:r w:rsidR="007951C1" w:rsidRPr="009501A2">
              <w:rPr>
                <w:i/>
                <w:color w:val="000000" w:themeColor="text1"/>
              </w:rPr>
              <w:t>euro;</w:t>
            </w:r>
          </w:p>
        </w:tc>
        <w:tc>
          <w:tcPr>
            <w:tcW w:w="1418" w:type="dxa"/>
            <w:tcBorders>
              <w:top w:val="single" w:sz="4" w:space="0" w:color="auto"/>
              <w:left w:val="single" w:sz="4" w:space="0" w:color="auto"/>
              <w:bottom w:val="single" w:sz="4" w:space="0" w:color="auto"/>
              <w:right w:val="single" w:sz="4" w:space="0" w:color="auto"/>
            </w:tcBorders>
          </w:tcPr>
          <w:p w14:paraId="39777B0E" w14:textId="77777777" w:rsidR="007951C1" w:rsidRDefault="007951C1" w:rsidP="000D5945">
            <w:pPr>
              <w:tabs>
                <w:tab w:val="left" w:pos="8647"/>
              </w:tabs>
              <w:jc w:val="center"/>
              <w:rPr>
                <w:b/>
              </w:rPr>
            </w:pPr>
          </w:p>
        </w:tc>
        <w:tc>
          <w:tcPr>
            <w:tcW w:w="1276" w:type="dxa"/>
            <w:tcBorders>
              <w:top w:val="single" w:sz="4" w:space="0" w:color="auto"/>
              <w:left w:val="single" w:sz="4" w:space="0" w:color="auto"/>
              <w:bottom w:val="single" w:sz="4" w:space="0" w:color="auto"/>
              <w:right w:val="single" w:sz="4" w:space="0" w:color="auto"/>
            </w:tcBorders>
          </w:tcPr>
          <w:p w14:paraId="37B8A154" w14:textId="77777777" w:rsidR="007951C1" w:rsidRDefault="007951C1" w:rsidP="000D5945">
            <w:pPr>
              <w:tabs>
                <w:tab w:val="left" w:pos="8647"/>
              </w:tabs>
              <w:jc w:val="center"/>
              <w:rPr>
                <w:b/>
              </w:rPr>
            </w:pPr>
          </w:p>
        </w:tc>
        <w:tc>
          <w:tcPr>
            <w:tcW w:w="1335" w:type="dxa"/>
            <w:tcBorders>
              <w:top w:val="single" w:sz="4" w:space="0" w:color="auto"/>
              <w:left w:val="single" w:sz="4" w:space="0" w:color="auto"/>
              <w:bottom w:val="single" w:sz="4" w:space="0" w:color="auto"/>
              <w:right w:val="single" w:sz="4" w:space="0" w:color="auto"/>
            </w:tcBorders>
          </w:tcPr>
          <w:p w14:paraId="4111D3CE" w14:textId="77777777" w:rsidR="007951C1" w:rsidRDefault="007951C1" w:rsidP="000D5945">
            <w:pPr>
              <w:tabs>
                <w:tab w:val="left" w:pos="8647"/>
              </w:tabs>
              <w:jc w:val="center"/>
              <w:rPr>
                <w:b/>
              </w:rPr>
            </w:pPr>
          </w:p>
        </w:tc>
      </w:tr>
      <w:tr w:rsidR="007951C1" w:rsidRPr="006557B3" w14:paraId="5E0DB020" w14:textId="77777777" w:rsidTr="006A2B1D">
        <w:tc>
          <w:tcPr>
            <w:tcW w:w="534" w:type="dxa"/>
            <w:tcBorders>
              <w:top w:val="single" w:sz="4" w:space="0" w:color="auto"/>
              <w:left w:val="single" w:sz="4" w:space="0" w:color="auto"/>
              <w:bottom w:val="single" w:sz="4" w:space="0" w:color="auto"/>
              <w:right w:val="single" w:sz="4" w:space="0" w:color="auto"/>
            </w:tcBorders>
          </w:tcPr>
          <w:p w14:paraId="2790A55E" w14:textId="77777777" w:rsidR="007951C1" w:rsidRPr="006557B3" w:rsidRDefault="007951C1">
            <w:pPr>
              <w:tabs>
                <w:tab w:val="left" w:pos="8647"/>
              </w:tabs>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7324D79E" w14:textId="77777777" w:rsidR="007951C1" w:rsidRPr="009501A2" w:rsidRDefault="007951C1">
            <w:pPr>
              <w:tabs>
                <w:tab w:val="left" w:pos="8647"/>
              </w:tabs>
              <w:rPr>
                <w:color w:val="000000" w:themeColor="text1"/>
              </w:rPr>
            </w:pPr>
          </w:p>
        </w:tc>
        <w:tc>
          <w:tcPr>
            <w:tcW w:w="3260" w:type="dxa"/>
            <w:tcBorders>
              <w:top w:val="single" w:sz="4" w:space="0" w:color="auto"/>
              <w:left w:val="single" w:sz="4" w:space="0" w:color="auto"/>
              <w:bottom w:val="single" w:sz="4" w:space="0" w:color="auto"/>
              <w:right w:val="single" w:sz="4" w:space="0" w:color="auto"/>
            </w:tcBorders>
          </w:tcPr>
          <w:p w14:paraId="6770CBBF" w14:textId="2EE38BA9" w:rsidR="007951C1" w:rsidRPr="009501A2" w:rsidRDefault="00236C0F" w:rsidP="007951C1">
            <w:pPr>
              <w:jc w:val="both"/>
              <w:rPr>
                <w:b/>
              </w:rPr>
            </w:pPr>
            <w:r w:rsidRPr="009501A2">
              <w:t>2</w:t>
            </w:r>
            <w:r w:rsidR="007951C1" w:rsidRPr="009501A2">
              <w:t>.2.6. Kopā EKK 2000: 2018.gadā un turpmāk ik gadu – 978,01 </w:t>
            </w:r>
            <w:r w:rsidR="007951C1" w:rsidRPr="009501A2">
              <w:rPr>
                <w:i/>
                <w:color w:val="000000" w:themeColor="text1"/>
              </w:rPr>
              <w:t>euro</w:t>
            </w:r>
          </w:p>
        </w:tc>
        <w:tc>
          <w:tcPr>
            <w:tcW w:w="1418" w:type="dxa"/>
            <w:tcBorders>
              <w:top w:val="single" w:sz="4" w:space="0" w:color="auto"/>
              <w:left w:val="single" w:sz="4" w:space="0" w:color="auto"/>
              <w:bottom w:val="single" w:sz="4" w:space="0" w:color="auto"/>
              <w:right w:val="single" w:sz="4" w:space="0" w:color="auto"/>
            </w:tcBorders>
          </w:tcPr>
          <w:p w14:paraId="6D454842" w14:textId="77777777" w:rsidR="007951C1" w:rsidRDefault="007951C1" w:rsidP="000D5945">
            <w:pPr>
              <w:tabs>
                <w:tab w:val="left" w:pos="8647"/>
              </w:tabs>
              <w:jc w:val="center"/>
              <w:rPr>
                <w:b/>
              </w:rPr>
            </w:pPr>
          </w:p>
        </w:tc>
        <w:tc>
          <w:tcPr>
            <w:tcW w:w="1276" w:type="dxa"/>
            <w:tcBorders>
              <w:top w:val="single" w:sz="4" w:space="0" w:color="auto"/>
              <w:left w:val="single" w:sz="4" w:space="0" w:color="auto"/>
              <w:bottom w:val="single" w:sz="4" w:space="0" w:color="auto"/>
              <w:right w:val="single" w:sz="4" w:space="0" w:color="auto"/>
            </w:tcBorders>
          </w:tcPr>
          <w:p w14:paraId="15F1FF12" w14:textId="77777777" w:rsidR="007951C1" w:rsidRDefault="007951C1" w:rsidP="000D5945">
            <w:pPr>
              <w:tabs>
                <w:tab w:val="left" w:pos="8647"/>
              </w:tabs>
              <w:jc w:val="center"/>
              <w:rPr>
                <w:b/>
              </w:rPr>
            </w:pPr>
          </w:p>
        </w:tc>
        <w:tc>
          <w:tcPr>
            <w:tcW w:w="1335" w:type="dxa"/>
            <w:tcBorders>
              <w:top w:val="single" w:sz="4" w:space="0" w:color="auto"/>
              <w:left w:val="single" w:sz="4" w:space="0" w:color="auto"/>
              <w:bottom w:val="single" w:sz="4" w:space="0" w:color="auto"/>
              <w:right w:val="single" w:sz="4" w:space="0" w:color="auto"/>
            </w:tcBorders>
          </w:tcPr>
          <w:p w14:paraId="7FD30903" w14:textId="77777777" w:rsidR="007951C1" w:rsidRDefault="007951C1" w:rsidP="000D5945">
            <w:pPr>
              <w:tabs>
                <w:tab w:val="left" w:pos="8647"/>
              </w:tabs>
              <w:jc w:val="center"/>
              <w:rPr>
                <w:b/>
              </w:rPr>
            </w:pPr>
          </w:p>
        </w:tc>
      </w:tr>
      <w:tr w:rsidR="006A2B1D" w:rsidRPr="006557B3" w14:paraId="6E9463DA" w14:textId="77777777" w:rsidTr="006A2B1D">
        <w:tc>
          <w:tcPr>
            <w:tcW w:w="534" w:type="dxa"/>
            <w:tcBorders>
              <w:top w:val="single" w:sz="4" w:space="0" w:color="auto"/>
              <w:left w:val="single" w:sz="4" w:space="0" w:color="auto"/>
              <w:bottom w:val="single" w:sz="4" w:space="0" w:color="auto"/>
              <w:right w:val="single" w:sz="4" w:space="0" w:color="auto"/>
            </w:tcBorders>
            <w:hideMark/>
          </w:tcPr>
          <w:p w14:paraId="0BB838CF" w14:textId="77777777" w:rsidR="006A2B1D" w:rsidRPr="006557B3" w:rsidRDefault="006A2B1D">
            <w:pPr>
              <w:tabs>
                <w:tab w:val="left" w:pos="8647"/>
              </w:tabs>
            </w:pPr>
            <w:r w:rsidRPr="006557B3">
              <w:t>3.</w:t>
            </w:r>
          </w:p>
        </w:tc>
        <w:tc>
          <w:tcPr>
            <w:tcW w:w="1417" w:type="dxa"/>
            <w:tcBorders>
              <w:top w:val="single" w:sz="4" w:space="0" w:color="auto"/>
              <w:left w:val="single" w:sz="4" w:space="0" w:color="auto"/>
              <w:bottom w:val="single" w:sz="4" w:space="0" w:color="auto"/>
              <w:right w:val="single" w:sz="4" w:space="0" w:color="auto"/>
            </w:tcBorders>
            <w:hideMark/>
          </w:tcPr>
          <w:p w14:paraId="35680716" w14:textId="77777777" w:rsidR="006A2B1D" w:rsidRPr="009501A2" w:rsidRDefault="006A2B1D">
            <w:pPr>
              <w:tabs>
                <w:tab w:val="left" w:pos="8647"/>
              </w:tabs>
            </w:pPr>
            <w:r w:rsidRPr="009501A2">
              <w:t>Sabiedrības informēšana, izglītošanas nodrošināšana</w:t>
            </w:r>
          </w:p>
        </w:tc>
        <w:tc>
          <w:tcPr>
            <w:tcW w:w="3260" w:type="dxa"/>
            <w:tcBorders>
              <w:top w:val="single" w:sz="4" w:space="0" w:color="auto"/>
              <w:left w:val="single" w:sz="4" w:space="0" w:color="auto"/>
              <w:bottom w:val="single" w:sz="4" w:space="0" w:color="auto"/>
              <w:right w:val="single" w:sz="4" w:space="0" w:color="auto"/>
            </w:tcBorders>
            <w:hideMark/>
          </w:tcPr>
          <w:p w14:paraId="72E49F12" w14:textId="225B05A3" w:rsidR="006A2B1D" w:rsidRPr="009501A2" w:rsidRDefault="006A2B1D">
            <w:pPr>
              <w:tabs>
                <w:tab w:val="left" w:pos="8647"/>
              </w:tabs>
            </w:pPr>
            <w:r w:rsidRPr="009501A2">
              <w:t>3.</w:t>
            </w:r>
            <w:r w:rsidR="000A5851" w:rsidRPr="009501A2">
              <w:t xml:space="preserve"> </w:t>
            </w:r>
            <w:r w:rsidRPr="009501A2">
              <w:t>Informatīvu uzziņas materiālu sagatavošana, ikgadēju informatīvu pasākumu organizēšana:</w:t>
            </w:r>
          </w:p>
          <w:p w14:paraId="47B76BB3" w14:textId="77777777" w:rsidR="006A2B1D" w:rsidRPr="009501A2" w:rsidRDefault="006A2B1D">
            <w:pPr>
              <w:pStyle w:val="Sarakstarindkopa"/>
              <w:tabs>
                <w:tab w:val="left" w:pos="8647"/>
              </w:tabs>
              <w:ind w:left="0"/>
              <w:jc w:val="both"/>
              <w:rPr>
                <w:rFonts w:ascii="Times New Roman" w:hAnsi="Times New Roman"/>
                <w:i/>
                <w:lang w:val="lv-LV"/>
              </w:rPr>
            </w:pPr>
            <w:r w:rsidRPr="009501A2">
              <w:rPr>
                <w:rFonts w:ascii="Times New Roman" w:hAnsi="Times New Roman"/>
                <w:lang w:val="lv-LV"/>
              </w:rPr>
              <w:t>3.1. interaktīva ilustratīva videofilma, kurā atspoguļots būtiskākais, kas jāņem vērā, iegādājoties preces internetveikalā, kā arī informācija, kādai būtu jābūt pieejamai par produktu, skarot jautājumus par u</w:t>
            </w:r>
            <w:r w:rsidRPr="009501A2">
              <w:rPr>
                <w:rFonts w:ascii="Times New Roman" w:hAnsi="Times New Roman"/>
                <w:bCs/>
                <w:lang w:val="lv-LV"/>
              </w:rPr>
              <w:t>ztura bagātinātāju</w:t>
            </w:r>
            <w:r w:rsidRPr="009501A2">
              <w:rPr>
                <w:rFonts w:ascii="Times New Roman" w:hAnsi="Times New Roman"/>
                <w:lang w:val="lv-LV"/>
              </w:rPr>
              <w:t xml:space="preserve"> reklāmu. Prognozējamās izmaksas – 7000,00 </w:t>
            </w:r>
            <w:r w:rsidRPr="009501A2">
              <w:rPr>
                <w:rFonts w:ascii="Times New Roman" w:hAnsi="Times New Roman"/>
                <w:i/>
                <w:lang w:val="lv-LV"/>
              </w:rPr>
              <w:t>euro;</w:t>
            </w:r>
          </w:p>
          <w:p w14:paraId="62AB9D19" w14:textId="77777777" w:rsidR="006A2B1D" w:rsidRPr="009501A2" w:rsidRDefault="006A2B1D">
            <w:pPr>
              <w:pStyle w:val="Sarakstarindkopa"/>
              <w:tabs>
                <w:tab w:val="left" w:pos="8647"/>
              </w:tabs>
              <w:ind w:left="0"/>
              <w:jc w:val="both"/>
              <w:rPr>
                <w:rFonts w:ascii="Times New Roman" w:hAnsi="Times New Roman"/>
                <w:lang w:val="lv-LV"/>
              </w:rPr>
            </w:pPr>
            <w:r w:rsidRPr="009501A2">
              <w:rPr>
                <w:rFonts w:ascii="Times New Roman" w:hAnsi="Times New Roman"/>
                <w:lang w:val="lv-LV"/>
              </w:rPr>
              <w:t xml:space="preserve">3.2. Informatīvs (interaktīvs) uzziņas materiāl, kurā analizēti biežākie reklāmās minētie apgalvojumi par uztura bagātinātājiem, īpaši akcentējot to, ka uztura bagātinātāji nenovērš slimības, tās neārstē, neaizvieto veselīgu uzturu u. tml. </w:t>
            </w:r>
          </w:p>
          <w:p w14:paraId="6CB6B793" w14:textId="77777777" w:rsidR="006A2B1D" w:rsidRPr="009501A2" w:rsidRDefault="006A2B1D">
            <w:pPr>
              <w:pStyle w:val="Sarakstarindkopa"/>
              <w:tabs>
                <w:tab w:val="left" w:pos="8647"/>
              </w:tabs>
              <w:ind w:left="0"/>
              <w:jc w:val="both"/>
              <w:rPr>
                <w:rFonts w:ascii="Times New Roman" w:hAnsi="Times New Roman"/>
                <w:lang w:val="lv-LV"/>
              </w:rPr>
            </w:pPr>
            <w:r w:rsidRPr="009501A2">
              <w:rPr>
                <w:rFonts w:ascii="Times New Roman" w:hAnsi="Times New Roman"/>
                <w:lang w:val="lv-LV"/>
              </w:rPr>
              <w:t xml:space="preserve">Prognozējamās izmaksas – 5500,00 </w:t>
            </w:r>
            <w:r w:rsidRPr="009501A2">
              <w:rPr>
                <w:rFonts w:ascii="Times New Roman" w:hAnsi="Times New Roman"/>
                <w:i/>
                <w:lang w:val="lv-LV"/>
              </w:rPr>
              <w:t>euro</w:t>
            </w:r>
            <w:r w:rsidRPr="009501A2">
              <w:rPr>
                <w:rFonts w:ascii="Times New Roman" w:hAnsi="Times New Roman"/>
                <w:lang w:val="lv-LV"/>
              </w:rPr>
              <w:t>;</w:t>
            </w:r>
          </w:p>
          <w:p w14:paraId="38AD6708" w14:textId="77777777" w:rsidR="006A2B1D" w:rsidRPr="009501A2" w:rsidRDefault="006A2B1D">
            <w:pPr>
              <w:pStyle w:val="Sarakstarindkopa"/>
              <w:tabs>
                <w:tab w:val="left" w:pos="8647"/>
              </w:tabs>
              <w:ind w:left="0"/>
              <w:jc w:val="both"/>
              <w:rPr>
                <w:rFonts w:ascii="Times New Roman" w:hAnsi="Times New Roman"/>
                <w:lang w:val="lv-LV"/>
              </w:rPr>
            </w:pPr>
            <w:r w:rsidRPr="009501A2">
              <w:rPr>
                <w:rFonts w:ascii="Times New Roman" w:hAnsi="Times New Roman"/>
                <w:lang w:val="lv-LV"/>
              </w:rPr>
              <w:t>3.3. ikgadējs PVD organizēts informatīvs pasākums, seminārs u</w:t>
            </w:r>
            <w:r w:rsidRPr="009501A2">
              <w:rPr>
                <w:rFonts w:ascii="Times New Roman" w:hAnsi="Times New Roman"/>
                <w:bCs/>
                <w:lang w:val="lv-LV"/>
              </w:rPr>
              <w:t>ztura bagātinātāju</w:t>
            </w:r>
            <w:r w:rsidRPr="009501A2">
              <w:rPr>
                <w:rFonts w:ascii="Times New Roman" w:hAnsi="Times New Roman"/>
                <w:lang w:val="lv-LV"/>
              </w:rPr>
              <w:t xml:space="preserve"> apritē iesaistītajiem pārtikas uzņēmējiem. </w:t>
            </w:r>
          </w:p>
          <w:p w14:paraId="6F5675A5" w14:textId="77777777" w:rsidR="006A2B1D" w:rsidRPr="009501A2" w:rsidRDefault="006A2B1D">
            <w:pPr>
              <w:pStyle w:val="Sarakstarindkopa"/>
              <w:tabs>
                <w:tab w:val="left" w:pos="8647"/>
              </w:tabs>
              <w:ind w:left="0"/>
              <w:jc w:val="both"/>
              <w:rPr>
                <w:rFonts w:ascii="Times New Roman" w:hAnsi="Times New Roman"/>
              </w:rPr>
            </w:pPr>
            <w:r w:rsidRPr="009501A2">
              <w:rPr>
                <w:rFonts w:ascii="Times New Roman" w:hAnsi="Times New Roman"/>
                <w:lang w:val="lv-LV"/>
              </w:rPr>
              <w:t xml:space="preserve">Prognozējamās izmaksas – 500, 00 </w:t>
            </w:r>
            <w:r w:rsidRPr="009501A2">
              <w:rPr>
                <w:rFonts w:ascii="Times New Roman" w:hAnsi="Times New Roman"/>
                <w:i/>
                <w:lang w:val="lv-LV"/>
              </w:rPr>
              <w:t>euro.</w:t>
            </w:r>
          </w:p>
        </w:tc>
        <w:tc>
          <w:tcPr>
            <w:tcW w:w="1418" w:type="dxa"/>
            <w:tcBorders>
              <w:top w:val="single" w:sz="4" w:space="0" w:color="auto"/>
              <w:left w:val="single" w:sz="4" w:space="0" w:color="auto"/>
              <w:bottom w:val="single" w:sz="4" w:space="0" w:color="auto"/>
              <w:right w:val="single" w:sz="4" w:space="0" w:color="auto"/>
            </w:tcBorders>
            <w:hideMark/>
          </w:tcPr>
          <w:p w14:paraId="62EC2FAE" w14:textId="77777777" w:rsidR="006A2B1D" w:rsidRPr="006557B3" w:rsidRDefault="006A2B1D" w:rsidP="000D5945">
            <w:pPr>
              <w:tabs>
                <w:tab w:val="left" w:pos="8647"/>
              </w:tabs>
              <w:jc w:val="center"/>
            </w:pPr>
            <w:r w:rsidRPr="006557B3">
              <w:t>13 000,00</w:t>
            </w:r>
          </w:p>
          <w:p w14:paraId="19EE000D" w14:textId="238AC547" w:rsidR="006A2B1D" w:rsidRPr="006557B3" w:rsidRDefault="006A2B1D" w:rsidP="000D5945">
            <w:pPr>
              <w:tabs>
                <w:tab w:val="left" w:pos="8647"/>
              </w:tabs>
              <w:jc w:val="center"/>
            </w:pPr>
            <w:r w:rsidRPr="006557B3">
              <w:rPr>
                <w:i/>
              </w:rPr>
              <w:t>euro</w:t>
            </w:r>
          </w:p>
        </w:tc>
        <w:tc>
          <w:tcPr>
            <w:tcW w:w="1276" w:type="dxa"/>
            <w:tcBorders>
              <w:top w:val="single" w:sz="4" w:space="0" w:color="auto"/>
              <w:left w:val="single" w:sz="4" w:space="0" w:color="auto"/>
              <w:bottom w:val="single" w:sz="4" w:space="0" w:color="auto"/>
              <w:right w:val="single" w:sz="4" w:space="0" w:color="auto"/>
            </w:tcBorders>
            <w:hideMark/>
          </w:tcPr>
          <w:p w14:paraId="5A84C465" w14:textId="77777777" w:rsidR="006A2B1D" w:rsidRPr="006557B3" w:rsidRDefault="006A2B1D" w:rsidP="000D5945">
            <w:pPr>
              <w:tabs>
                <w:tab w:val="left" w:pos="8647"/>
              </w:tabs>
              <w:jc w:val="center"/>
            </w:pPr>
            <w:r w:rsidRPr="006557B3">
              <w:t xml:space="preserve">13 000,00 </w:t>
            </w:r>
            <w:r w:rsidRPr="006557B3">
              <w:rPr>
                <w:i/>
              </w:rPr>
              <w:t>euro</w:t>
            </w:r>
          </w:p>
        </w:tc>
        <w:tc>
          <w:tcPr>
            <w:tcW w:w="1335" w:type="dxa"/>
            <w:tcBorders>
              <w:top w:val="single" w:sz="4" w:space="0" w:color="auto"/>
              <w:left w:val="single" w:sz="4" w:space="0" w:color="auto"/>
              <w:bottom w:val="single" w:sz="4" w:space="0" w:color="auto"/>
              <w:right w:val="single" w:sz="4" w:space="0" w:color="auto"/>
            </w:tcBorders>
            <w:hideMark/>
          </w:tcPr>
          <w:p w14:paraId="326F3015" w14:textId="77777777" w:rsidR="006A2B1D" w:rsidRPr="006557B3" w:rsidRDefault="006A2B1D" w:rsidP="000D5945">
            <w:pPr>
              <w:tabs>
                <w:tab w:val="left" w:pos="8647"/>
              </w:tabs>
              <w:jc w:val="center"/>
            </w:pPr>
            <w:r w:rsidRPr="006557B3">
              <w:t xml:space="preserve">13 000,00 </w:t>
            </w:r>
            <w:r w:rsidRPr="006557B3">
              <w:rPr>
                <w:i/>
              </w:rPr>
              <w:t>euro</w:t>
            </w:r>
          </w:p>
        </w:tc>
      </w:tr>
      <w:tr w:rsidR="006A2B1D" w:rsidRPr="006557B3" w14:paraId="39D4255E" w14:textId="77777777" w:rsidTr="006A2B1D">
        <w:tc>
          <w:tcPr>
            <w:tcW w:w="534" w:type="dxa"/>
            <w:tcBorders>
              <w:top w:val="single" w:sz="4" w:space="0" w:color="auto"/>
              <w:left w:val="single" w:sz="4" w:space="0" w:color="auto"/>
              <w:bottom w:val="single" w:sz="4" w:space="0" w:color="auto"/>
              <w:right w:val="single" w:sz="4" w:space="0" w:color="auto"/>
            </w:tcBorders>
            <w:hideMark/>
          </w:tcPr>
          <w:p w14:paraId="4DC79450" w14:textId="77777777" w:rsidR="006A2B1D" w:rsidRPr="006557B3" w:rsidRDefault="006A2B1D">
            <w:pPr>
              <w:tabs>
                <w:tab w:val="left" w:pos="8647"/>
              </w:tabs>
            </w:pPr>
            <w:r w:rsidRPr="006557B3">
              <w:t>4.</w:t>
            </w:r>
          </w:p>
        </w:tc>
        <w:tc>
          <w:tcPr>
            <w:tcW w:w="1417" w:type="dxa"/>
            <w:tcBorders>
              <w:top w:val="single" w:sz="4" w:space="0" w:color="auto"/>
              <w:left w:val="single" w:sz="4" w:space="0" w:color="auto"/>
              <w:bottom w:val="single" w:sz="4" w:space="0" w:color="auto"/>
              <w:right w:val="single" w:sz="4" w:space="0" w:color="auto"/>
            </w:tcBorders>
            <w:hideMark/>
          </w:tcPr>
          <w:p w14:paraId="7C918D1D" w14:textId="77777777" w:rsidR="006A2B1D" w:rsidRPr="006557B3" w:rsidRDefault="006A2B1D">
            <w:pPr>
              <w:tabs>
                <w:tab w:val="left" w:pos="8647"/>
              </w:tabs>
            </w:pPr>
            <w:r w:rsidRPr="006557B3">
              <w:t xml:space="preserve">Jauns reģistrs (specifisko pārtikas produktu informācijas sistēma) </w:t>
            </w:r>
          </w:p>
        </w:tc>
        <w:tc>
          <w:tcPr>
            <w:tcW w:w="3260" w:type="dxa"/>
            <w:tcBorders>
              <w:top w:val="single" w:sz="4" w:space="0" w:color="auto"/>
              <w:left w:val="single" w:sz="4" w:space="0" w:color="auto"/>
              <w:bottom w:val="single" w:sz="4" w:space="0" w:color="auto"/>
              <w:right w:val="single" w:sz="4" w:space="0" w:color="auto"/>
            </w:tcBorders>
            <w:hideMark/>
          </w:tcPr>
          <w:p w14:paraId="76DF7962" w14:textId="77777777" w:rsidR="006A2B1D" w:rsidRPr="006557B3" w:rsidRDefault="006A2B1D">
            <w:pPr>
              <w:tabs>
                <w:tab w:val="left" w:pos="8647"/>
              </w:tabs>
              <w:jc w:val="both"/>
            </w:pPr>
            <w:r w:rsidRPr="006557B3">
              <w:t>Reģistra izstrāde un uzturēšana.</w:t>
            </w:r>
          </w:p>
          <w:p w14:paraId="76409B83" w14:textId="502321AC" w:rsidR="006A2B1D" w:rsidRPr="006557B3" w:rsidRDefault="006A2B1D" w:rsidP="00681304">
            <w:pPr>
              <w:tabs>
                <w:tab w:val="left" w:pos="8647"/>
              </w:tabs>
              <w:jc w:val="both"/>
            </w:pPr>
            <w:r w:rsidRPr="006557B3">
              <w:t xml:space="preserve">Reģistrs paredzēts uztura bagātinātājiem, zīdaiņu pārtikai, medicīniskajai pārtikai, pilnīgiem uztura aizstājējiem, minerālūdenim un </w:t>
            </w:r>
            <w:r w:rsidR="00681304">
              <w:t>pārtikai</w:t>
            </w:r>
            <w:r w:rsidRPr="006557B3">
              <w:t>, kur</w:t>
            </w:r>
            <w:r w:rsidR="00681304">
              <w:t>ai</w:t>
            </w:r>
            <w:r w:rsidRPr="006557B3">
              <w:t xml:space="preserve"> ir pievienoti vitamīni un minerālvielas.</w:t>
            </w:r>
            <w:r w:rsidRPr="006557B3">
              <w:rPr>
                <w:bCs/>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279AD49F" w14:textId="77777777" w:rsidR="006A2B1D" w:rsidRPr="006557B3" w:rsidRDefault="006A2B1D" w:rsidP="00AE3E91">
            <w:pPr>
              <w:tabs>
                <w:tab w:val="left" w:pos="8647"/>
              </w:tabs>
              <w:jc w:val="center"/>
            </w:pPr>
            <w:r w:rsidRPr="006557B3">
              <w:t xml:space="preserve">158 000,00 </w:t>
            </w:r>
            <w:r w:rsidRPr="006557B3">
              <w:rPr>
                <w:i/>
              </w:rPr>
              <w:t>euro</w:t>
            </w:r>
          </w:p>
        </w:tc>
        <w:tc>
          <w:tcPr>
            <w:tcW w:w="1276" w:type="dxa"/>
            <w:tcBorders>
              <w:top w:val="single" w:sz="4" w:space="0" w:color="auto"/>
              <w:left w:val="single" w:sz="4" w:space="0" w:color="auto"/>
              <w:bottom w:val="single" w:sz="4" w:space="0" w:color="auto"/>
              <w:right w:val="single" w:sz="4" w:space="0" w:color="auto"/>
            </w:tcBorders>
            <w:hideMark/>
          </w:tcPr>
          <w:p w14:paraId="79DB9E1E" w14:textId="77777777" w:rsidR="006A2B1D" w:rsidRPr="006557B3" w:rsidRDefault="006A2B1D" w:rsidP="00AE3E91">
            <w:pPr>
              <w:tabs>
                <w:tab w:val="left" w:pos="8647"/>
              </w:tabs>
              <w:jc w:val="center"/>
            </w:pPr>
            <w:r w:rsidRPr="006557B3">
              <w:t xml:space="preserve">30 000,00 </w:t>
            </w:r>
            <w:r w:rsidRPr="006557B3">
              <w:rPr>
                <w:i/>
              </w:rPr>
              <w:t>euro</w:t>
            </w:r>
          </w:p>
        </w:tc>
        <w:tc>
          <w:tcPr>
            <w:tcW w:w="1335" w:type="dxa"/>
            <w:tcBorders>
              <w:top w:val="single" w:sz="4" w:space="0" w:color="auto"/>
              <w:left w:val="single" w:sz="4" w:space="0" w:color="auto"/>
              <w:bottom w:val="single" w:sz="4" w:space="0" w:color="auto"/>
              <w:right w:val="single" w:sz="4" w:space="0" w:color="auto"/>
            </w:tcBorders>
            <w:hideMark/>
          </w:tcPr>
          <w:p w14:paraId="794DD43D" w14:textId="77777777" w:rsidR="006A2B1D" w:rsidRPr="006557B3" w:rsidRDefault="006A2B1D" w:rsidP="00AE3E91">
            <w:pPr>
              <w:tabs>
                <w:tab w:val="left" w:pos="8647"/>
              </w:tabs>
              <w:jc w:val="center"/>
            </w:pPr>
            <w:r w:rsidRPr="006557B3">
              <w:t xml:space="preserve">30 000,00 </w:t>
            </w:r>
            <w:r w:rsidRPr="006557B3">
              <w:rPr>
                <w:i/>
              </w:rPr>
              <w:t>euro</w:t>
            </w:r>
          </w:p>
        </w:tc>
      </w:tr>
      <w:tr w:rsidR="006A2B1D" w:rsidRPr="006557B3" w14:paraId="739EA49D" w14:textId="77777777" w:rsidTr="006A2B1D">
        <w:tc>
          <w:tcPr>
            <w:tcW w:w="534" w:type="dxa"/>
            <w:tcBorders>
              <w:top w:val="single" w:sz="4" w:space="0" w:color="auto"/>
              <w:left w:val="single" w:sz="4" w:space="0" w:color="auto"/>
              <w:bottom w:val="single" w:sz="4" w:space="0" w:color="auto"/>
              <w:right w:val="single" w:sz="4" w:space="0" w:color="auto"/>
            </w:tcBorders>
          </w:tcPr>
          <w:p w14:paraId="1AAA4EB5" w14:textId="77777777" w:rsidR="006A2B1D" w:rsidRPr="006557B3" w:rsidRDefault="006A2B1D">
            <w:pPr>
              <w:tabs>
                <w:tab w:val="left" w:pos="8647"/>
              </w:tabs>
              <w:rPr>
                <w:b/>
              </w:rPr>
            </w:pPr>
          </w:p>
        </w:tc>
        <w:tc>
          <w:tcPr>
            <w:tcW w:w="1417" w:type="dxa"/>
            <w:tcBorders>
              <w:top w:val="single" w:sz="4" w:space="0" w:color="auto"/>
              <w:left w:val="single" w:sz="4" w:space="0" w:color="auto"/>
              <w:bottom w:val="single" w:sz="4" w:space="0" w:color="auto"/>
              <w:right w:val="single" w:sz="4" w:space="0" w:color="auto"/>
            </w:tcBorders>
            <w:hideMark/>
          </w:tcPr>
          <w:p w14:paraId="129A3B24" w14:textId="77777777" w:rsidR="006A2B1D" w:rsidRPr="006557B3" w:rsidRDefault="006A2B1D">
            <w:pPr>
              <w:tabs>
                <w:tab w:val="left" w:pos="8647"/>
              </w:tabs>
            </w:pPr>
            <w:r w:rsidRPr="006557B3">
              <w:t>Kopā**:</w:t>
            </w:r>
          </w:p>
        </w:tc>
        <w:tc>
          <w:tcPr>
            <w:tcW w:w="3260" w:type="dxa"/>
            <w:tcBorders>
              <w:top w:val="single" w:sz="4" w:space="0" w:color="auto"/>
              <w:left w:val="single" w:sz="4" w:space="0" w:color="auto"/>
              <w:bottom w:val="single" w:sz="4" w:space="0" w:color="auto"/>
              <w:right w:val="single" w:sz="4" w:space="0" w:color="auto"/>
            </w:tcBorders>
          </w:tcPr>
          <w:p w14:paraId="41DB8F32" w14:textId="77777777" w:rsidR="006A2B1D" w:rsidRPr="006557B3" w:rsidRDefault="006A2B1D">
            <w:pPr>
              <w:tabs>
                <w:tab w:val="left" w:pos="8647"/>
              </w:tabs>
              <w:rPr>
                <w:b/>
              </w:rPr>
            </w:pPr>
          </w:p>
        </w:tc>
        <w:tc>
          <w:tcPr>
            <w:tcW w:w="1418" w:type="dxa"/>
            <w:tcBorders>
              <w:top w:val="single" w:sz="4" w:space="0" w:color="auto"/>
              <w:left w:val="single" w:sz="4" w:space="0" w:color="auto"/>
              <w:bottom w:val="single" w:sz="4" w:space="0" w:color="auto"/>
              <w:right w:val="single" w:sz="4" w:space="0" w:color="auto"/>
            </w:tcBorders>
            <w:hideMark/>
          </w:tcPr>
          <w:p w14:paraId="1F115712" w14:textId="3C05C8D8" w:rsidR="006A2B1D" w:rsidRPr="0053030A" w:rsidRDefault="006B4D44" w:rsidP="00AE3E91">
            <w:pPr>
              <w:tabs>
                <w:tab w:val="left" w:pos="8647"/>
              </w:tabs>
              <w:jc w:val="center"/>
              <w:rPr>
                <w:b/>
              </w:rPr>
            </w:pPr>
            <w:r>
              <w:rPr>
                <w:b/>
              </w:rPr>
              <w:t>269 848</w:t>
            </w:r>
            <w:r w:rsidR="006A2B1D" w:rsidRPr="0053030A">
              <w:rPr>
                <w:b/>
              </w:rPr>
              <w:t>,00</w:t>
            </w:r>
          </w:p>
          <w:p w14:paraId="77460236" w14:textId="77777777" w:rsidR="006A2B1D" w:rsidRPr="0053030A" w:rsidRDefault="006A2B1D" w:rsidP="00AE3E91">
            <w:pPr>
              <w:tabs>
                <w:tab w:val="left" w:pos="8647"/>
              </w:tabs>
              <w:jc w:val="center"/>
              <w:rPr>
                <w:b/>
              </w:rPr>
            </w:pPr>
            <w:r w:rsidRPr="0053030A">
              <w:rPr>
                <w:i/>
              </w:rPr>
              <w:t>euro</w:t>
            </w:r>
          </w:p>
        </w:tc>
        <w:tc>
          <w:tcPr>
            <w:tcW w:w="1276" w:type="dxa"/>
            <w:tcBorders>
              <w:top w:val="single" w:sz="4" w:space="0" w:color="auto"/>
              <w:left w:val="single" w:sz="4" w:space="0" w:color="auto"/>
              <w:bottom w:val="single" w:sz="4" w:space="0" w:color="auto"/>
              <w:right w:val="single" w:sz="4" w:space="0" w:color="auto"/>
            </w:tcBorders>
            <w:hideMark/>
          </w:tcPr>
          <w:p w14:paraId="53CFC60E" w14:textId="44F6DA3D" w:rsidR="006A2B1D" w:rsidRPr="0053030A" w:rsidRDefault="006B4D44" w:rsidP="00AE3E91">
            <w:pPr>
              <w:tabs>
                <w:tab w:val="left" w:pos="8647"/>
              </w:tabs>
              <w:jc w:val="center"/>
              <w:rPr>
                <w:b/>
              </w:rPr>
            </w:pPr>
            <w:r>
              <w:rPr>
                <w:b/>
              </w:rPr>
              <w:t>141 848</w:t>
            </w:r>
            <w:r w:rsidR="006A2B1D" w:rsidRPr="0053030A">
              <w:rPr>
                <w:b/>
              </w:rPr>
              <w:t>,00</w:t>
            </w:r>
          </w:p>
          <w:p w14:paraId="64EDEB6A" w14:textId="77777777" w:rsidR="006A2B1D" w:rsidRPr="0053030A" w:rsidRDefault="006A2B1D" w:rsidP="00AE3E91">
            <w:pPr>
              <w:tabs>
                <w:tab w:val="left" w:pos="8647"/>
              </w:tabs>
              <w:jc w:val="center"/>
              <w:rPr>
                <w:b/>
              </w:rPr>
            </w:pPr>
            <w:r w:rsidRPr="0053030A">
              <w:rPr>
                <w:i/>
              </w:rPr>
              <w:t>euro</w:t>
            </w:r>
          </w:p>
        </w:tc>
        <w:tc>
          <w:tcPr>
            <w:tcW w:w="1335" w:type="dxa"/>
            <w:tcBorders>
              <w:top w:val="single" w:sz="4" w:space="0" w:color="auto"/>
              <w:left w:val="single" w:sz="4" w:space="0" w:color="auto"/>
              <w:bottom w:val="single" w:sz="4" w:space="0" w:color="auto"/>
              <w:right w:val="single" w:sz="4" w:space="0" w:color="auto"/>
            </w:tcBorders>
            <w:hideMark/>
          </w:tcPr>
          <w:p w14:paraId="166D23AB" w14:textId="4D1F32D9" w:rsidR="006A2B1D" w:rsidRPr="0053030A" w:rsidRDefault="006B4D44" w:rsidP="00AE3E91">
            <w:pPr>
              <w:tabs>
                <w:tab w:val="left" w:pos="8647"/>
              </w:tabs>
              <w:jc w:val="center"/>
              <w:rPr>
                <w:b/>
              </w:rPr>
            </w:pPr>
            <w:r>
              <w:rPr>
                <w:b/>
              </w:rPr>
              <w:t>141 848</w:t>
            </w:r>
            <w:r w:rsidR="006A2B1D" w:rsidRPr="0053030A">
              <w:rPr>
                <w:b/>
              </w:rPr>
              <w:t>,00</w:t>
            </w:r>
          </w:p>
          <w:p w14:paraId="73FE08A5" w14:textId="77777777" w:rsidR="006A2B1D" w:rsidRPr="0053030A" w:rsidRDefault="006A2B1D" w:rsidP="00AE3E91">
            <w:pPr>
              <w:tabs>
                <w:tab w:val="left" w:pos="8647"/>
              </w:tabs>
              <w:jc w:val="center"/>
              <w:rPr>
                <w:b/>
              </w:rPr>
            </w:pPr>
            <w:r w:rsidRPr="0053030A">
              <w:rPr>
                <w:i/>
              </w:rPr>
              <w:t>euro</w:t>
            </w:r>
          </w:p>
        </w:tc>
      </w:tr>
    </w:tbl>
    <w:p w14:paraId="281E12D9" w14:textId="047CA9E6" w:rsidR="006A2B1D" w:rsidRPr="006557B3" w:rsidRDefault="006A2B1D" w:rsidP="006A2B1D">
      <w:pPr>
        <w:spacing w:after="0" w:line="240" w:lineRule="auto"/>
        <w:jc w:val="both"/>
        <w:rPr>
          <w:rFonts w:ascii="Times New Roman" w:hAnsi="Times New Roman" w:cs="Times New Roman"/>
          <w:bCs/>
          <w:sz w:val="24"/>
          <w:szCs w:val="24"/>
          <w:lang w:eastAsia="lv-LV"/>
        </w:rPr>
      </w:pPr>
      <w:r w:rsidRPr="006557B3">
        <w:rPr>
          <w:rFonts w:ascii="Times New Roman" w:hAnsi="Times New Roman" w:cs="Times New Roman"/>
          <w:bCs/>
          <w:sz w:val="24"/>
          <w:szCs w:val="24"/>
          <w:lang w:val="lv-LV"/>
        </w:rPr>
        <w:t>*</w:t>
      </w:r>
      <w:r w:rsidRPr="006557B3">
        <w:rPr>
          <w:rFonts w:ascii="Times New Roman" w:hAnsi="Times New Roman" w:cs="Times New Roman"/>
          <w:sz w:val="24"/>
          <w:szCs w:val="24"/>
          <w:lang w:val="lv-LV"/>
        </w:rPr>
        <w:t xml:space="preserve"> </w:t>
      </w:r>
      <w:r w:rsidR="000A5851">
        <w:rPr>
          <w:rFonts w:ascii="Times New Roman" w:hAnsi="Times New Roman" w:cs="Times New Roman"/>
          <w:bCs/>
          <w:sz w:val="24"/>
          <w:szCs w:val="24"/>
          <w:lang w:eastAsia="lv-LV"/>
        </w:rPr>
        <w:t>N</w:t>
      </w:r>
      <w:r w:rsidRPr="006557B3">
        <w:rPr>
          <w:rFonts w:ascii="Times New Roman" w:hAnsi="Times New Roman" w:cs="Times New Roman"/>
          <w:bCs/>
          <w:sz w:val="24"/>
          <w:szCs w:val="24"/>
          <w:lang w:eastAsia="lv-LV"/>
        </w:rPr>
        <w:t>eparedzētie gadījumi:</w:t>
      </w:r>
    </w:p>
    <w:p w14:paraId="24C5D365" w14:textId="3D8E993F" w:rsidR="006A2B1D" w:rsidRPr="006557B3" w:rsidRDefault="000A5851" w:rsidP="006A2B1D">
      <w:pPr>
        <w:spacing w:after="0" w:line="240" w:lineRule="auto"/>
        <w:jc w:val="both"/>
        <w:rPr>
          <w:rFonts w:ascii="Times New Roman" w:hAnsi="Times New Roman" w:cs="Times New Roman"/>
          <w:sz w:val="24"/>
          <w:szCs w:val="24"/>
          <w:lang w:eastAsia="lv-LV"/>
        </w:rPr>
      </w:pPr>
      <w:r>
        <w:rPr>
          <w:rFonts w:ascii="Times New Roman" w:hAnsi="Times New Roman" w:cs="Times New Roman"/>
          <w:bCs/>
          <w:sz w:val="24"/>
          <w:szCs w:val="24"/>
          <w:lang w:eastAsia="lv-LV"/>
        </w:rPr>
        <w:t>a)</w:t>
      </w:r>
      <w:r w:rsidR="006A2B1D" w:rsidRPr="006557B3">
        <w:rPr>
          <w:rFonts w:ascii="Times New Roman" w:hAnsi="Times New Roman" w:cs="Times New Roman"/>
          <w:sz w:val="24"/>
          <w:szCs w:val="24"/>
          <w:lang w:eastAsia="lv-LV"/>
        </w:rPr>
        <w:t xml:space="preserve"> saņemtās sūdzības no iedzīvotājiem, uzņēmējiem vai citām institūcijām;</w:t>
      </w:r>
    </w:p>
    <w:p w14:paraId="544B84E2" w14:textId="2299E4AC" w:rsidR="006A2B1D" w:rsidRPr="006557B3" w:rsidRDefault="000A5851" w:rsidP="006A2B1D">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b)</w:t>
      </w:r>
      <w:r w:rsidR="006A2B1D" w:rsidRPr="006557B3">
        <w:rPr>
          <w:rFonts w:ascii="Times New Roman" w:hAnsi="Times New Roman" w:cs="Times New Roman"/>
          <w:sz w:val="24"/>
          <w:szCs w:val="24"/>
          <w:lang w:eastAsia="lv-LV"/>
        </w:rPr>
        <w:t xml:space="preserve"> saņemtie ziņojumi </w:t>
      </w:r>
      <w:r w:rsidR="006A2B1D" w:rsidRPr="006557B3">
        <w:rPr>
          <w:rFonts w:ascii="Times New Roman" w:hAnsi="Times New Roman" w:cs="Times New Roman"/>
          <w:bCs/>
          <w:sz w:val="24"/>
          <w:szCs w:val="24"/>
          <w:lang w:val="lv-LV"/>
        </w:rPr>
        <w:t>Ātrās brīdināšanas</w:t>
      </w:r>
      <w:r w:rsidR="006A2B1D" w:rsidRPr="006557B3">
        <w:rPr>
          <w:rFonts w:ascii="Times New Roman" w:hAnsi="Times New Roman" w:cs="Times New Roman"/>
          <w:sz w:val="24"/>
          <w:szCs w:val="24"/>
          <w:lang w:val="lv-LV"/>
        </w:rPr>
        <w:t xml:space="preserve"> sistēmā </w:t>
      </w:r>
      <w:r w:rsidR="006A2B1D" w:rsidRPr="006557B3">
        <w:rPr>
          <w:rFonts w:ascii="Times New Roman" w:hAnsi="Times New Roman" w:cs="Times New Roman"/>
          <w:bCs/>
          <w:sz w:val="24"/>
          <w:szCs w:val="24"/>
          <w:lang w:val="lv-LV"/>
        </w:rPr>
        <w:t>pārtikas</w:t>
      </w:r>
      <w:r w:rsidR="006A2B1D" w:rsidRPr="006557B3">
        <w:rPr>
          <w:rFonts w:ascii="Times New Roman" w:hAnsi="Times New Roman" w:cs="Times New Roman"/>
          <w:sz w:val="24"/>
          <w:szCs w:val="24"/>
          <w:lang w:val="lv-LV"/>
        </w:rPr>
        <w:t xml:space="preserve"> un </w:t>
      </w:r>
      <w:r w:rsidR="006A2B1D" w:rsidRPr="006557B3">
        <w:rPr>
          <w:rFonts w:ascii="Times New Roman" w:hAnsi="Times New Roman" w:cs="Times New Roman"/>
          <w:bCs/>
          <w:sz w:val="24"/>
          <w:szCs w:val="24"/>
          <w:lang w:val="lv-LV"/>
        </w:rPr>
        <w:t>barības</w:t>
      </w:r>
      <w:r w:rsidR="006A2B1D" w:rsidRPr="006557B3">
        <w:rPr>
          <w:rFonts w:ascii="Times New Roman" w:hAnsi="Times New Roman" w:cs="Times New Roman"/>
          <w:sz w:val="24"/>
          <w:szCs w:val="24"/>
          <w:lang w:val="lv-LV"/>
        </w:rPr>
        <w:t xml:space="preserve"> jomā </w:t>
      </w:r>
      <w:r w:rsidR="006A2B1D" w:rsidRPr="006557B3">
        <w:rPr>
          <w:rFonts w:ascii="Times New Roman" w:hAnsi="Times New Roman" w:cs="Times New Roman"/>
          <w:sz w:val="24"/>
          <w:szCs w:val="24"/>
          <w:lang w:eastAsia="lv-LV"/>
        </w:rPr>
        <w:t>(</w:t>
      </w:r>
      <w:r w:rsidR="006A2B1D" w:rsidRPr="006557B3">
        <w:rPr>
          <w:rFonts w:ascii="Times New Roman" w:hAnsi="Times New Roman" w:cs="Times New Roman"/>
          <w:i/>
          <w:sz w:val="24"/>
          <w:szCs w:val="24"/>
          <w:lang w:eastAsia="lv-LV"/>
        </w:rPr>
        <w:t>RASFF</w:t>
      </w:r>
      <w:r w:rsidR="006A2B1D" w:rsidRPr="006557B3">
        <w:rPr>
          <w:rFonts w:ascii="Times New Roman" w:hAnsi="Times New Roman" w:cs="Times New Roman"/>
          <w:sz w:val="24"/>
          <w:szCs w:val="24"/>
          <w:lang w:eastAsia="lv-LV"/>
        </w:rPr>
        <w:t>);</w:t>
      </w:r>
    </w:p>
    <w:p w14:paraId="7035BEF8" w14:textId="16BED4B3" w:rsidR="006A2B1D" w:rsidRPr="006557B3" w:rsidRDefault="000A5851" w:rsidP="006A2B1D">
      <w:pPr>
        <w:tabs>
          <w:tab w:val="left" w:pos="864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c)</w:t>
      </w:r>
      <w:r w:rsidR="006A2B1D" w:rsidRPr="006557B3">
        <w:rPr>
          <w:rFonts w:ascii="Times New Roman" w:hAnsi="Times New Roman" w:cs="Times New Roman"/>
          <w:sz w:val="24"/>
          <w:szCs w:val="24"/>
          <w:lang w:eastAsia="lv-LV"/>
        </w:rPr>
        <w:t xml:space="preserve"> aizdomu gadījumi, kā nedeklarētu vielu klātbūtne vai to daudzuma noteikšana UB sastāvā, piemēram, dopinga vai farmaceitiskas vielas </w:t>
      </w:r>
      <w:r w:rsidR="006A2B1D" w:rsidRPr="006557B3">
        <w:rPr>
          <w:rFonts w:ascii="Times New Roman" w:hAnsi="Times New Roman" w:cs="Times New Roman"/>
          <w:sz w:val="24"/>
          <w:szCs w:val="24"/>
          <w:lang w:val="lv-LV"/>
        </w:rPr>
        <w:t>(aizliegto/nezināmo vielu noteikšana);</w:t>
      </w:r>
    </w:p>
    <w:p w14:paraId="58EC2D5F" w14:textId="42AF51E7" w:rsidR="006A2B1D" w:rsidRPr="000A5851" w:rsidRDefault="006A2B1D" w:rsidP="006A2B1D">
      <w:pPr>
        <w:tabs>
          <w:tab w:val="left" w:pos="8647"/>
        </w:tabs>
        <w:spacing w:after="0" w:line="240" w:lineRule="auto"/>
        <w:jc w:val="both"/>
        <w:rPr>
          <w:rFonts w:ascii="Times New Roman" w:hAnsi="Times New Roman" w:cs="Times New Roman"/>
          <w:b/>
          <w:sz w:val="24"/>
          <w:szCs w:val="24"/>
          <w:lang w:val="lv-LV"/>
        </w:rPr>
      </w:pPr>
      <w:r w:rsidRPr="006557B3">
        <w:rPr>
          <w:rFonts w:ascii="Times New Roman" w:hAnsi="Times New Roman" w:cs="Times New Roman"/>
          <w:bCs/>
          <w:sz w:val="24"/>
          <w:szCs w:val="24"/>
          <w:lang w:val="lv-LV"/>
        </w:rPr>
        <w:t>**</w:t>
      </w:r>
      <w:r w:rsidRPr="006557B3">
        <w:rPr>
          <w:rFonts w:ascii="Times New Roman" w:hAnsi="Times New Roman" w:cs="Times New Roman"/>
          <w:color w:val="FF0000"/>
          <w:sz w:val="24"/>
          <w:szCs w:val="24"/>
          <w:lang w:val="lv-LV"/>
        </w:rPr>
        <w:t xml:space="preserve"> </w:t>
      </w:r>
      <w:r w:rsidR="000A5851">
        <w:rPr>
          <w:rFonts w:ascii="Times New Roman" w:hAnsi="Times New Roman" w:cs="Times New Roman"/>
          <w:bCs/>
          <w:sz w:val="24"/>
          <w:szCs w:val="24"/>
          <w:lang w:val="lv-LV"/>
        </w:rPr>
        <w:t>D</w:t>
      </w:r>
      <w:r w:rsidRPr="006557B3">
        <w:rPr>
          <w:rFonts w:ascii="Times New Roman" w:hAnsi="Times New Roman" w:cs="Times New Roman"/>
          <w:bCs/>
          <w:sz w:val="24"/>
          <w:szCs w:val="24"/>
          <w:lang w:val="lv-LV"/>
        </w:rPr>
        <w:t xml:space="preserve">arbinieku algas nav iekļautas finansējuma aprēķinā, </w:t>
      </w:r>
      <w:r w:rsidRPr="000A5851">
        <w:rPr>
          <w:rFonts w:ascii="Times New Roman" w:hAnsi="Times New Roman" w:cs="Times New Roman"/>
          <w:bCs/>
          <w:sz w:val="24"/>
          <w:szCs w:val="24"/>
          <w:lang w:val="lv-LV"/>
        </w:rPr>
        <w:t xml:space="preserve">izņemot 2.punktu, kur tiek plānota </w:t>
      </w:r>
      <w:r w:rsidR="00EB1DFE" w:rsidRPr="000A5851">
        <w:rPr>
          <w:rFonts w:ascii="Times New Roman" w:hAnsi="Times New Roman" w:cs="Times New Roman"/>
          <w:bCs/>
          <w:sz w:val="24"/>
          <w:szCs w:val="24"/>
          <w:lang w:val="lv-LV"/>
        </w:rPr>
        <w:t>tematiskā</w:t>
      </w:r>
      <w:r w:rsidR="00EB1DFE" w:rsidRPr="009501A2">
        <w:rPr>
          <w:rFonts w:ascii="Times New Roman" w:hAnsi="Times New Roman" w:cs="Times New Roman"/>
          <w:color w:val="000000" w:themeColor="text1"/>
          <w:sz w:val="24"/>
          <w:szCs w:val="24"/>
        </w:rPr>
        <w:t xml:space="preserve"> (padziļināto) kontroļu organizēšana</w:t>
      </w:r>
      <w:r w:rsidR="000A5851">
        <w:rPr>
          <w:rFonts w:ascii="Times New Roman" w:hAnsi="Times New Roman" w:cs="Times New Roman"/>
          <w:bCs/>
          <w:sz w:val="24"/>
          <w:szCs w:val="24"/>
          <w:lang w:val="lv-LV"/>
        </w:rPr>
        <w:t>;</w:t>
      </w:r>
      <w:r w:rsidRPr="000A5851">
        <w:rPr>
          <w:rFonts w:ascii="Times New Roman" w:hAnsi="Times New Roman" w:cs="Times New Roman"/>
          <w:bCs/>
          <w:sz w:val="24"/>
          <w:szCs w:val="24"/>
          <w:lang w:val="lv-LV"/>
        </w:rPr>
        <w:t xml:space="preserve"> šajā pozīcijā ir iekļauta darbinieka stundas likme</w:t>
      </w:r>
      <w:r w:rsidR="004B02B9" w:rsidRPr="000A5851">
        <w:rPr>
          <w:rFonts w:ascii="Times New Roman" w:hAnsi="Times New Roman" w:cs="Times New Roman"/>
          <w:bCs/>
          <w:sz w:val="24"/>
          <w:szCs w:val="24"/>
          <w:lang w:val="lv-LV"/>
        </w:rPr>
        <w:t xml:space="preserve"> un detalizēti norādīti izdevumi</w:t>
      </w:r>
      <w:r w:rsidRPr="000A5851">
        <w:rPr>
          <w:rFonts w:ascii="Times New Roman" w:hAnsi="Times New Roman" w:cs="Times New Roman"/>
          <w:bCs/>
          <w:sz w:val="24"/>
          <w:szCs w:val="24"/>
          <w:lang w:val="lv-LV"/>
        </w:rPr>
        <w:t>.</w:t>
      </w:r>
    </w:p>
    <w:p w14:paraId="77958A52" w14:textId="77777777" w:rsidR="006A2B1D" w:rsidRDefault="006A2B1D" w:rsidP="006A2B1D">
      <w:pPr>
        <w:tabs>
          <w:tab w:val="left" w:pos="8647"/>
        </w:tabs>
        <w:spacing w:after="0" w:line="240" w:lineRule="auto"/>
        <w:jc w:val="both"/>
        <w:rPr>
          <w:rFonts w:ascii="Times New Roman" w:hAnsi="Times New Roman" w:cs="Times New Roman"/>
          <w:b/>
          <w:sz w:val="24"/>
          <w:szCs w:val="24"/>
          <w:lang w:val="lv-LV"/>
        </w:rPr>
      </w:pPr>
    </w:p>
    <w:p w14:paraId="55A76668" w14:textId="77777777" w:rsidR="009D12D2" w:rsidRDefault="009D12D2" w:rsidP="006A2B1D">
      <w:pPr>
        <w:tabs>
          <w:tab w:val="left" w:pos="8647"/>
        </w:tabs>
        <w:spacing w:after="0" w:line="240" w:lineRule="auto"/>
        <w:jc w:val="both"/>
        <w:rPr>
          <w:rFonts w:ascii="Times New Roman" w:hAnsi="Times New Roman" w:cs="Times New Roman"/>
          <w:b/>
          <w:sz w:val="24"/>
          <w:szCs w:val="24"/>
          <w:lang w:val="lv-LV"/>
        </w:rPr>
      </w:pPr>
    </w:p>
    <w:p w14:paraId="1210862A" w14:textId="77777777" w:rsidR="009D12D2" w:rsidRDefault="009D12D2" w:rsidP="006A2B1D">
      <w:pPr>
        <w:tabs>
          <w:tab w:val="left" w:pos="8647"/>
        </w:tabs>
        <w:spacing w:after="0" w:line="240" w:lineRule="auto"/>
        <w:jc w:val="both"/>
        <w:rPr>
          <w:rFonts w:ascii="Times New Roman" w:hAnsi="Times New Roman" w:cs="Times New Roman"/>
          <w:b/>
          <w:sz w:val="24"/>
          <w:szCs w:val="24"/>
          <w:lang w:val="lv-LV"/>
        </w:rPr>
      </w:pPr>
    </w:p>
    <w:p w14:paraId="3EE872CF" w14:textId="563DF2E5" w:rsidR="006A2B1D" w:rsidRPr="006557B3" w:rsidRDefault="006A2B1D" w:rsidP="006A2B1D">
      <w:pPr>
        <w:tabs>
          <w:tab w:val="left" w:pos="8647"/>
        </w:tabs>
        <w:spacing w:after="0" w:line="240" w:lineRule="auto"/>
        <w:jc w:val="both"/>
        <w:rPr>
          <w:rFonts w:ascii="Times New Roman" w:hAnsi="Times New Roman"/>
          <w:b/>
          <w:bCs/>
          <w:color w:val="000000" w:themeColor="text1"/>
          <w:sz w:val="24"/>
          <w:szCs w:val="24"/>
          <w:lang w:val="lv-LV"/>
        </w:rPr>
      </w:pPr>
      <w:r w:rsidRPr="006557B3">
        <w:rPr>
          <w:rFonts w:ascii="Times New Roman" w:hAnsi="Times New Roman" w:cs="Times New Roman"/>
          <w:b/>
          <w:color w:val="000000"/>
          <w:sz w:val="24"/>
          <w:szCs w:val="24"/>
          <w:lang w:val="lv-LV"/>
        </w:rPr>
        <w:lastRenderedPageBreak/>
        <w:t>7.9. P</w:t>
      </w:r>
      <w:r w:rsidRPr="006557B3">
        <w:rPr>
          <w:rFonts w:ascii="Times New Roman" w:hAnsi="Times New Roman" w:cs="Times New Roman"/>
          <w:b/>
          <w:bCs/>
          <w:color w:val="000000"/>
          <w:sz w:val="24"/>
          <w:szCs w:val="24"/>
          <w:lang w:val="lv-LV"/>
        </w:rPr>
        <w:t>atērētāju tiesību aizsardzības centra</w:t>
      </w:r>
      <w:r w:rsidRPr="006557B3">
        <w:rPr>
          <w:rFonts w:ascii="Times New Roman" w:hAnsi="Times New Roman" w:cs="Times New Roman"/>
          <w:b/>
          <w:sz w:val="24"/>
          <w:szCs w:val="24"/>
          <w:lang w:val="lv-LV"/>
        </w:rPr>
        <w:t xml:space="preserve"> kopsavilkums finansējuma pieprasīšanai</w:t>
      </w:r>
      <w:r w:rsidRPr="006557B3">
        <w:rPr>
          <w:rFonts w:ascii="Times New Roman" w:hAnsi="Times New Roman"/>
          <w:b/>
          <w:bCs/>
          <w:color w:val="1F497D"/>
          <w:sz w:val="20"/>
          <w:szCs w:val="20"/>
          <w:lang w:val="lv-LV"/>
        </w:rPr>
        <w:t xml:space="preserve"> </w:t>
      </w:r>
      <w:r w:rsidRPr="006557B3">
        <w:rPr>
          <w:rFonts w:ascii="Times New Roman" w:hAnsi="Times New Roman"/>
          <w:b/>
          <w:bCs/>
          <w:color w:val="000000" w:themeColor="text1"/>
          <w:sz w:val="24"/>
          <w:szCs w:val="24"/>
          <w:lang w:val="lv-LV"/>
        </w:rPr>
        <w:t>sabiedrības informēšanas kampaņai 2018.</w:t>
      </w:r>
      <w:r w:rsidR="005176A5">
        <w:rPr>
          <w:rFonts w:ascii="Times New Roman" w:hAnsi="Times New Roman"/>
          <w:b/>
          <w:bCs/>
          <w:color w:val="000000" w:themeColor="text1"/>
          <w:sz w:val="24"/>
          <w:szCs w:val="24"/>
          <w:lang w:val="lv-LV"/>
        </w:rPr>
        <w:t xml:space="preserve"> </w:t>
      </w:r>
      <w:r w:rsidRPr="006557B3">
        <w:rPr>
          <w:rFonts w:ascii="Times New Roman" w:hAnsi="Times New Roman"/>
          <w:b/>
          <w:bCs/>
          <w:color w:val="000000" w:themeColor="text1"/>
          <w:sz w:val="24"/>
          <w:szCs w:val="24"/>
          <w:lang w:val="lv-LV"/>
        </w:rPr>
        <w:t>gadā.</w:t>
      </w:r>
    </w:p>
    <w:tbl>
      <w:tblPr>
        <w:tblStyle w:val="Reatabula"/>
        <w:tblW w:w="0" w:type="auto"/>
        <w:tblLook w:val="04A0" w:firstRow="1" w:lastRow="0" w:firstColumn="1" w:lastColumn="0" w:noHBand="0" w:noVBand="1"/>
      </w:tblPr>
      <w:tblGrid>
        <w:gridCol w:w="886"/>
        <w:gridCol w:w="3873"/>
        <w:gridCol w:w="1400"/>
        <w:gridCol w:w="1401"/>
        <w:gridCol w:w="1456"/>
      </w:tblGrid>
      <w:tr w:rsidR="006A2B1D" w:rsidRPr="006557B3" w14:paraId="36948E6E" w14:textId="77777777" w:rsidTr="006A2B1D">
        <w:tc>
          <w:tcPr>
            <w:tcW w:w="890" w:type="dxa"/>
            <w:tcBorders>
              <w:top w:val="single" w:sz="4" w:space="0" w:color="auto"/>
              <w:left w:val="single" w:sz="4" w:space="0" w:color="auto"/>
              <w:bottom w:val="single" w:sz="4" w:space="0" w:color="auto"/>
              <w:right w:val="single" w:sz="4" w:space="0" w:color="auto"/>
            </w:tcBorders>
            <w:hideMark/>
          </w:tcPr>
          <w:p w14:paraId="0D9B4119" w14:textId="77777777" w:rsidR="006A2B1D" w:rsidRPr="006557B3" w:rsidRDefault="006A2B1D">
            <w:pPr>
              <w:tabs>
                <w:tab w:val="left" w:pos="8647"/>
              </w:tabs>
              <w:jc w:val="center"/>
              <w:rPr>
                <w:bCs/>
                <w:sz w:val="22"/>
                <w:szCs w:val="22"/>
                <w:lang w:val="fr-FR"/>
              </w:rPr>
            </w:pPr>
            <w:r w:rsidRPr="006557B3">
              <w:rPr>
                <w:bCs/>
                <w:sz w:val="22"/>
                <w:szCs w:val="22"/>
              </w:rPr>
              <w:t>Nr.p.k.</w:t>
            </w:r>
          </w:p>
        </w:tc>
        <w:tc>
          <w:tcPr>
            <w:tcW w:w="4054" w:type="dxa"/>
            <w:tcBorders>
              <w:top w:val="single" w:sz="4" w:space="0" w:color="auto"/>
              <w:left w:val="single" w:sz="4" w:space="0" w:color="auto"/>
              <w:bottom w:val="single" w:sz="4" w:space="0" w:color="auto"/>
              <w:right w:val="single" w:sz="4" w:space="0" w:color="auto"/>
            </w:tcBorders>
            <w:hideMark/>
          </w:tcPr>
          <w:p w14:paraId="181D1DF2" w14:textId="77777777" w:rsidR="006A2B1D" w:rsidRPr="006557B3" w:rsidRDefault="006A2B1D">
            <w:pPr>
              <w:tabs>
                <w:tab w:val="left" w:pos="8647"/>
              </w:tabs>
              <w:jc w:val="center"/>
              <w:rPr>
                <w:bCs/>
                <w:sz w:val="22"/>
                <w:szCs w:val="22"/>
              </w:rPr>
            </w:pPr>
            <w:r w:rsidRPr="006557B3">
              <w:rPr>
                <w:bCs/>
                <w:sz w:val="22"/>
                <w:szCs w:val="22"/>
              </w:rPr>
              <w:t>Pasākums</w:t>
            </w:r>
          </w:p>
        </w:tc>
        <w:tc>
          <w:tcPr>
            <w:tcW w:w="1412" w:type="dxa"/>
            <w:tcBorders>
              <w:top w:val="single" w:sz="4" w:space="0" w:color="auto"/>
              <w:left w:val="single" w:sz="4" w:space="0" w:color="auto"/>
              <w:bottom w:val="single" w:sz="4" w:space="0" w:color="auto"/>
              <w:right w:val="single" w:sz="4" w:space="0" w:color="auto"/>
            </w:tcBorders>
            <w:hideMark/>
          </w:tcPr>
          <w:p w14:paraId="301299CB" w14:textId="77777777" w:rsidR="006A2B1D" w:rsidRPr="006557B3" w:rsidRDefault="006A2B1D">
            <w:pPr>
              <w:tabs>
                <w:tab w:val="left" w:pos="8647"/>
              </w:tabs>
              <w:jc w:val="center"/>
              <w:rPr>
                <w:b/>
                <w:sz w:val="22"/>
                <w:szCs w:val="22"/>
              </w:rPr>
            </w:pPr>
            <w:r w:rsidRPr="006557B3">
              <w:rPr>
                <w:b/>
                <w:sz w:val="22"/>
                <w:szCs w:val="22"/>
              </w:rPr>
              <w:t>2018.gads*</w:t>
            </w:r>
          </w:p>
        </w:tc>
        <w:tc>
          <w:tcPr>
            <w:tcW w:w="1413" w:type="dxa"/>
            <w:tcBorders>
              <w:top w:val="single" w:sz="4" w:space="0" w:color="auto"/>
              <w:left w:val="single" w:sz="4" w:space="0" w:color="auto"/>
              <w:bottom w:val="single" w:sz="4" w:space="0" w:color="auto"/>
              <w:right w:val="single" w:sz="4" w:space="0" w:color="auto"/>
            </w:tcBorders>
            <w:hideMark/>
          </w:tcPr>
          <w:p w14:paraId="54A2C228" w14:textId="77777777" w:rsidR="006A2B1D" w:rsidRPr="006557B3" w:rsidRDefault="006A2B1D">
            <w:pPr>
              <w:tabs>
                <w:tab w:val="left" w:pos="8647"/>
              </w:tabs>
              <w:jc w:val="center"/>
              <w:rPr>
                <w:b/>
                <w:sz w:val="22"/>
                <w:szCs w:val="22"/>
              </w:rPr>
            </w:pPr>
            <w:r w:rsidRPr="006557B3">
              <w:rPr>
                <w:b/>
                <w:sz w:val="22"/>
                <w:szCs w:val="22"/>
              </w:rPr>
              <w:t>2019.gads*</w:t>
            </w:r>
          </w:p>
        </w:tc>
        <w:tc>
          <w:tcPr>
            <w:tcW w:w="1473" w:type="dxa"/>
            <w:tcBorders>
              <w:top w:val="single" w:sz="4" w:space="0" w:color="auto"/>
              <w:left w:val="single" w:sz="4" w:space="0" w:color="auto"/>
              <w:bottom w:val="single" w:sz="4" w:space="0" w:color="auto"/>
              <w:right w:val="single" w:sz="4" w:space="0" w:color="auto"/>
            </w:tcBorders>
          </w:tcPr>
          <w:p w14:paraId="02FF6854" w14:textId="77777777" w:rsidR="006A2B1D" w:rsidRPr="006557B3" w:rsidRDefault="006A2B1D">
            <w:pPr>
              <w:tabs>
                <w:tab w:val="left" w:pos="8647"/>
              </w:tabs>
              <w:jc w:val="center"/>
              <w:rPr>
                <w:b/>
                <w:sz w:val="22"/>
                <w:szCs w:val="22"/>
              </w:rPr>
            </w:pPr>
            <w:r w:rsidRPr="006557B3">
              <w:rPr>
                <w:b/>
                <w:sz w:val="22"/>
                <w:szCs w:val="22"/>
              </w:rPr>
              <w:t>2020.gads*</w:t>
            </w:r>
          </w:p>
          <w:p w14:paraId="1B52124B" w14:textId="77777777" w:rsidR="006A2B1D" w:rsidRPr="006557B3" w:rsidRDefault="006A2B1D">
            <w:pPr>
              <w:tabs>
                <w:tab w:val="left" w:pos="8647"/>
              </w:tabs>
              <w:jc w:val="center"/>
              <w:rPr>
                <w:b/>
                <w:sz w:val="22"/>
                <w:szCs w:val="22"/>
              </w:rPr>
            </w:pPr>
          </w:p>
        </w:tc>
      </w:tr>
      <w:tr w:rsidR="006A2B1D" w:rsidRPr="006557B3" w14:paraId="1A66496B" w14:textId="77777777" w:rsidTr="007311F3">
        <w:trPr>
          <w:trHeight w:val="1048"/>
        </w:trPr>
        <w:tc>
          <w:tcPr>
            <w:tcW w:w="890" w:type="dxa"/>
            <w:tcBorders>
              <w:top w:val="single" w:sz="4" w:space="0" w:color="auto"/>
              <w:left w:val="single" w:sz="4" w:space="0" w:color="auto"/>
              <w:bottom w:val="single" w:sz="4" w:space="0" w:color="auto"/>
              <w:right w:val="single" w:sz="4" w:space="0" w:color="auto"/>
            </w:tcBorders>
            <w:hideMark/>
          </w:tcPr>
          <w:p w14:paraId="7C28F1DE" w14:textId="77777777" w:rsidR="006A2B1D" w:rsidRPr="006557B3" w:rsidRDefault="006A2B1D">
            <w:pPr>
              <w:tabs>
                <w:tab w:val="left" w:pos="8647"/>
              </w:tabs>
              <w:jc w:val="both"/>
              <w:rPr>
                <w:bCs/>
                <w:sz w:val="22"/>
                <w:szCs w:val="22"/>
              </w:rPr>
            </w:pPr>
            <w:r w:rsidRPr="006557B3">
              <w:rPr>
                <w:bCs/>
                <w:sz w:val="22"/>
                <w:szCs w:val="22"/>
              </w:rPr>
              <w:t>1.</w:t>
            </w:r>
          </w:p>
        </w:tc>
        <w:tc>
          <w:tcPr>
            <w:tcW w:w="4054" w:type="dxa"/>
            <w:tcBorders>
              <w:top w:val="single" w:sz="4" w:space="0" w:color="auto"/>
              <w:left w:val="single" w:sz="4" w:space="0" w:color="auto"/>
              <w:bottom w:val="single" w:sz="4" w:space="0" w:color="auto"/>
              <w:right w:val="single" w:sz="4" w:space="0" w:color="auto"/>
            </w:tcBorders>
            <w:hideMark/>
          </w:tcPr>
          <w:p w14:paraId="49D3BEAB" w14:textId="77777777" w:rsidR="006A2B1D" w:rsidRPr="006557B3" w:rsidRDefault="006A2B1D">
            <w:pPr>
              <w:tabs>
                <w:tab w:val="left" w:pos="8647"/>
              </w:tabs>
              <w:jc w:val="both"/>
              <w:rPr>
                <w:sz w:val="22"/>
                <w:szCs w:val="22"/>
              </w:rPr>
            </w:pPr>
            <w:r w:rsidRPr="006557B3">
              <w:rPr>
                <w:sz w:val="22"/>
                <w:szCs w:val="22"/>
              </w:rPr>
              <w:t>Audio un TV reklāmu raidīšana plašsaziņas līdzekļos. Nepieciešamais finansējums (TV un audio rullīšu sagatavošana un raidīšana)</w:t>
            </w:r>
            <w:r w:rsidRPr="006557B3">
              <w:rPr>
                <w:color w:val="000000" w:themeColor="text1"/>
                <w:sz w:val="22"/>
                <w:szCs w:val="22"/>
              </w:rPr>
              <w:t>**</w:t>
            </w:r>
          </w:p>
        </w:tc>
        <w:tc>
          <w:tcPr>
            <w:tcW w:w="1412" w:type="dxa"/>
            <w:tcBorders>
              <w:top w:val="single" w:sz="4" w:space="0" w:color="auto"/>
              <w:left w:val="single" w:sz="4" w:space="0" w:color="auto"/>
              <w:bottom w:val="single" w:sz="4" w:space="0" w:color="auto"/>
              <w:right w:val="single" w:sz="4" w:space="0" w:color="auto"/>
            </w:tcBorders>
          </w:tcPr>
          <w:p w14:paraId="5B468B0C" w14:textId="77777777" w:rsidR="006A2B1D" w:rsidRPr="006557B3" w:rsidRDefault="006A2B1D">
            <w:pPr>
              <w:tabs>
                <w:tab w:val="left" w:pos="8647"/>
              </w:tabs>
              <w:jc w:val="both"/>
              <w:rPr>
                <w:bCs/>
                <w:sz w:val="22"/>
                <w:szCs w:val="22"/>
              </w:rPr>
            </w:pPr>
          </w:p>
        </w:tc>
        <w:tc>
          <w:tcPr>
            <w:tcW w:w="1413" w:type="dxa"/>
            <w:tcBorders>
              <w:top w:val="single" w:sz="4" w:space="0" w:color="auto"/>
              <w:left w:val="single" w:sz="4" w:space="0" w:color="auto"/>
              <w:bottom w:val="single" w:sz="4" w:space="0" w:color="auto"/>
              <w:right w:val="single" w:sz="4" w:space="0" w:color="auto"/>
            </w:tcBorders>
          </w:tcPr>
          <w:p w14:paraId="3C513EE6" w14:textId="77777777" w:rsidR="006A2B1D" w:rsidRPr="006557B3" w:rsidRDefault="006A2B1D">
            <w:pPr>
              <w:tabs>
                <w:tab w:val="left" w:pos="8647"/>
              </w:tabs>
              <w:jc w:val="both"/>
              <w:rPr>
                <w:sz w:val="22"/>
                <w:szCs w:val="22"/>
              </w:rPr>
            </w:pPr>
          </w:p>
        </w:tc>
        <w:tc>
          <w:tcPr>
            <w:tcW w:w="1473" w:type="dxa"/>
            <w:tcBorders>
              <w:top w:val="single" w:sz="4" w:space="0" w:color="auto"/>
              <w:left w:val="single" w:sz="4" w:space="0" w:color="auto"/>
              <w:bottom w:val="single" w:sz="4" w:space="0" w:color="auto"/>
              <w:right w:val="single" w:sz="4" w:space="0" w:color="auto"/>
            </w:tcBorders>
            <w:hideMark/>
          </w:tcPr>
          <w:p w14:paraId="13E6DAD8" w14:textId="77777777" w:rsidR="006A2B1D" w:rsidRPr="006557B3" w:rsidRDefault="006A2B1D">
            <w:pPr>
              <w:tabs>
                <w:tab w:val="left" w:pos="8647"/>
              </w:tabs>
              <w:jc w:val="center"/>
              <w:rPr>
                <w:bCs/>
                <w:sz w:val="22"/>
                <w:szCs w:val="22"/>
              </w:rPr>
            </w:pPr>
            <w:r w:rsidRPr="006557B3">
              <w:rPr>
                <w:bCs/>
                <w:sz w:val="22"/>
                <w:szCs w:val="22"/>
              </w:rPr>
              <w:t>-</w:t>
            </w:r>
          </w:p>
        </w:tc>
      </w:tr>
      <w:tr w:rsidR="006A2B1D" w:rsidRPr="006557B3" w14:paraId="02EF800C" w14:textId="77777777" w:rsidTr="006A2B1D">
        <w:tc>
          <w:tcPr>
            <w:tcW w:w="890" w:type="dxa"/>
            <w:tcBorders>
              <w:top w:val="single" w:sz="4" w:space="0" w:color="auto"/>
              <w:left w:val="single" w:sz="4" w:space="0" w:color="auto"/>
              <w:bottom w:val="single" w:sz="4" w:space="0" w:color="auto"/>
              <w:right w:val="single" w:sz="4" w:space="0" w:color="auto"/>
            </w:tcBorders>
            <w:hideMark/>
          </w:tcPr>
          <w:p w14:paraId="611B4325" w14:textId="77777777" w:rsidR="006A2B1D" w:rsidRPr="006557B3" w:rsidRDefault="006A2B1D">
            <w:pPr>
              <w:tabs>
                <w:tab w:val="left" w:pos="8647"/>
              </w:tabs>
              <w:jc w:val="both"/>
              <w:rPr>
                <w:bCs/>
                <w:sz w:val="22"/>
                <w:szCs w:val="22"/>
              </w:rPr>
            </w:pPr>
            <w:r w:rsidRPr="006557B3">
              <w:rPr>
                <w:bCs/>
                <w:sz w:val="22"/>
                <w:szCs w:val="22"/>
              </w:rPr>
              <w:t>1.1.</w:t>
            </w:r>
          </w:p>
        </w:tc>
        <w:tc>
          <w:tcPr>
            <w:tcW w:w="4054" w:type="dxa"/>
            <w:tcBorders>
              <w:top w:val="single" w:sz="4" w:space="0" w:color="auto"/>
              <w:left w:val="single" w:sz="4" w:space="0" w:color="auto"/>
              <w:bottom w:val="single" w:sz="4" w:space="0" w:color="auto"/>
              <w:right w:val="single" w:sz="4" w:space="0" w:color="auto"/>
            </w:tcBorders>
            <w:hideMark/>
          </w:tcPr>
          <w:p w14:paraId="6DEBC1E6" w14:textId="77777777" w:rsidR="006A2B1D" w:rsidRPr="006557B3" w:rsidRDefault="006A2B1D">
            <w:pPr>
              <w:tabs>
                <w:tab w:val="left" w:pos="8647"/>
              </w:tabs>
              <w:jc w:val="both"/>
              <w:rPr>
                <w:bCs/>
                <w:sz w:val="22"/>
                <w:szCs w:val="22"/>
              </w:rPr>
            </w:pPr>
            <w:r w:rsidRPr="006557B3">
              <w:rPr>
                <w:bCs/>
                <w:sz w:val="22"/>
                <w:szCs w:val="22"/>
              </w:rPr>
              <w:t>TV reklāmas rullīša  izstrāde (1 vienība; 30 sekunžu video rullītis)</w:t>
            </w:r>
          </w:p>
        </w:tc>
        <w:tc>
          <w:tcPr>
            <w:tcW w:w="1412" w:type="dxa"/>
            <w:tcBorders>
              <w:top w:val="single" w:sz="4" w:space="0" w:color="auto"/>
              <w:left w:val="single" w:sz="4" w:space="0" w:color="auto"/>
              <w:bottom w:val="single" w:sz="4" w:space="0" w:color="auto"/>
              <w:right w:val="single" w:sz="4" w:space="0" w:color="auto"/>
            </w:tcBorders>
            <w:hideMark/>
          </w:tcPr>
          <w:p w14:paraId="087A7E22" w14:textId="77777777" w:rsidR="006A2B1D" w:rsidRPr="006557B3" w:rsidRDefault="006A2B1D">
            <w:pPr>
              <w:tabs>
                <w:tab w:val="left" w:pos="8647"/>
              </w:tabs>
              <w:jc w:val="both"/>
              <w:rPr>
                <w:bCs/>
                <w:i/>
                <w:sz w:val="22"/>
                <w:szCs w:val="22"/>
              </w:rPr>
            </w:pPr>
            <w:r w:rsidRPr="006557B3">
              <w:rPr>
                <w:bCs/>
                <w:sz w:val="22"/>
                <w:szCs w:val="22"/>
              </w:rPr>
              <w:t>3000,00</w:t>
            </w:r>
            <w:r w:rsidRPr="006557B3">
              <w:rPr>
                <w:bCs/>
                <w:i/>
                <w:sz w:val="22"/>
                <w:szCs w:val="22"/>
              </w:rPr>
              <w:t xml:space="preserve"> euro</w:t>
            </w:r>
          </w:p>
        </w:tc>
        <w:tc>
          <w:tcPr>
            <w:tcW w:w="1413" w:type="dxa"/>
            <w:tcBorders>
              <w:top w:val="single" w:sz="4" w:space="0" w:color="auto"/>
              <w:left w:val="single" w:sz="4" w:space="0" w:color="auto"/>
              <w:bottom w:val="single" w:sz="4" w:space="0" w:color="auto"/>
              <w:right w:val="single" w:sz="4" w:space="0" w:color="auto"/>
            </w:tcBorders>
          </w:tcPr>
          <w:p w14:paraId="5E458F47" w14:textId="77777777" w:rsidR="006A2B1D" w:rsidRPr="006557B3" w:rsidRDefault="006A2B1D">
            <w:pPr>
              <w:tabs>
                <w:tab w:val="left" w:pos="8647"/>
              </w:tabs>
              <w:jc w:val="both"/>
              <w:rPr>
                <w:sz w:val="22"/>
                <w:szCs w:val="22"/>
              </w:rPr>
            </w:pPr>
          </w:p>
        </w:tc>
        <w:tc>
          <w:tcPr>
            <w:tcW w:w="1473" w:type="dxa"/>
            <w:tcBorders>
              <w:top w:val="single" w:sz="4" w:space="0" w:color="auto"/>
              <w:left w:val="single" w:sz="4" w:space="0" w:color="auto"/>
              <w:bottom w:val="single" w:sz="4" w:space="0" w:color="auto"/>
              <w:right w:val="single" w:sz="4" w:space="0" w:color="auto"/>
            </w:tcBorders>
            <w:hideMark/>
          </w:tcPr>
          <w:p w14:paraId="2D968816" w14:textId="77777777" w:rsidR="006A2B1D" w:rsidRPr="006557B3" w:rsidRDefault="006A2B1D">
            <w:pPr>
              <w:tabs>
                <w:tab w:val="left" w:pos="8647"/>
              </w:tabs>
              <w:jc w:val="center"/>
              <w:rPr>
                <w:bCs/>
                <w:sz w:val="22"/>
                <w:szCs w:val="22"/>
              </w:rPr>
            </w:pPr>
            <w:r w:rsidRPr="006557B3">
              <w:rPr>
                <w:bCs/>
                <w:sz w:val="22"/>
                <w:szCs w:val="22"/>
              </w:rPr>
              <w:t>-</w:t>
            </w:r>
          </w:p>
        </w:tc>
      </w:tr>
      <w:tr w:rsidR="006A2B1D" w:rsidRPr="006557B3" w14:paraId="0B798750" w14:textId="77777777" w:rsidTr="006A2B1D">
        <w:tc>
          <w:tcPr>
            <w:tcW w:w="890" w:type="dxa"/>
            <w:tcBorders>
              <w:top w:val="single" w:sz="4" w:space="0" w:color="auto"/>
              <w:left w:val="single" w:sz="4" w:space="0" w:color="auto"/>
              <w:bottom w:val="single" w:sz="4" w:space="0" w:color="auto"/>
              <w:right w:val="single" w:sz="4" w:space="0" w:color="auto"/>
            </w:tcBorders>
            <w:hideMark/>
          </w:tcPr>
          <w:p w14:paraId="39100DD9" w14:textId="77777777" w:rsidR="006A2B1D" w:rsidRPr="006557B3" w:rsidRDefault="006A2B1D">
            <w:pPr>
              <w:tabs>
                <w:tab w:val="left" w:pos="8647"/>
              </w:tabs>
              <w:jc w:val="both"/>
              <w:rPr>
                <w:bCs/>
                <w:sz w:val="22"/>
                <w:szCs w:val="22"/>
              </w:rPr>
            </w:pPr>
            <w:r w:rsidRPr="006557B3">
              <w:rPr>
                <w:bCs/>
                <w:sz w:val="22"/>
                <w:szCs w:val="22"/>
              </w:rPr>
              <w:t>1.2.</w:t>
            </w:r>
          </w:p>
        </w:tc>
        <w:tc>
          <w:tcPr>
            <w:tcW w:w="4054" w:type="dxa"/>
            <w:tcBorders>
              <w:top w:val="single" w:sz="4" w:space="0" w:color="auto"/>
              <w:left w:val="single" w:sz="4" w:space="0" w:color="auto"/>
              <w:bottom w:val="single" w:sz="4" w:space="0" w:color="auto"/>
              <w:right w:val="single" w:sz="4" w:space="0" w:color="auto"/>
            </w:tcBorders>
            <w:hideMark/>
          </w:tcPr>
          <w:p w14:paraId="37F00E3C" w14:textId="77777777" w:rsidR="006A2B1D" w:rsidRPr="006557B3" w:rsidRDefault="006A2B1D">
            <w:pPr>
              <w:tabs>
                <w:tab w:val="left" w:pos="8647"/>
              </w:tabs>
              <w:jc w:val="both"/>
              <w:rPr>
                <w:bCs/>
                <w:sz w:val="22"/>
                <w:szCs w:val="22"/>
              </w:rPr>
            </w:pPr>
            <w:r w:rsidRPr="006557B3">
              <w:rPr>
                <w:bCs/>
                <w:sz w:val="22"/>
                <w:szCs w:val="22"/>
              </w:rPr>
              <w:t>audio rullīšu izstrāde (2 vienības ; 30 sekunžu audio rullītis) :</w:t>
            </w:r>
          </w:p>
          <w:p w14:paraId="0F5EDA75" w14:textId="77777777" w:rsidR="006A2B1D" w:rsidRPr="006557B3" w:rsidRDefault="006A2B1D">
            <w:pPr>
              <w:tabs>
                <w:tab w:val="left" w:pos="8647"/>
              </w:tabs>
              <w:jc w:val="both"/>
              <w:rPr>
                <w:bCs/>
                <w:sz w:val="22"/>
                <w:szCs w:val="22"/>
              </w:rPr>
            </w:pPr>
            <w:r w:rsidRPr="006557B3">
              <w:rPr>
                <w:bCs/>
                <w:sz w:val="22"/>
                <w:szCs w:val="22"/>
              </w:rPr>
              <w:t xml:space="preserve">2x1000,00 </w:t>
            </w:r>
            <w:r w:rsidRPr="006557B3">
              <w:rPr>
                <w:bCs/>
                <w:i/>
                <w:sz w:val="22"/>
                <w:szCs w:val="22"/>
              </w:rPr>
              <w:t>euro</w:t>
            </w:r>
            <w:r w:rsidRPr="006557B3">
              <w:rPr>
                <w:bCs/>
                <w:sz w:val="22"/>
                <w:szCs w:val="22"/>
              </w:rPr>
              <w:t xml:space="preserve">= 2000,00 </w:t>
            </w:r>
            <w:r w:rsidRPr="006557B3">
              <w:rPr>
                <w:bCs/>
                <w:i/>
                <w:sz w:val="22"/>
                <w:szCs w:val="22"/>
              </w:rPr>
              <w:t>euro</w:t>
            </w:r>
          </w:p>
        </w:tc>
        <w:tc>
          <w:tcPr>
            <w:tcW w:w="1412" w:type="dxa"/>
            <w:tcBorders>
              <w:top w:val="single" w:sz="4" w:space="0" w:color="auto"/>
              <w:left w:val="single" w:sz="4" w:space="0" w:color="auto"/>
              <w:bottom w:val="single" w:sz="4" w:space="0" w:color="auto"/>
              <w:right w:val="single" w:sz="4" w:space="0" w:color="auto"/>
            </w:tcBorders>
            <w:hideMark/>
          </w:tcPr>
          <w:p w14:paraId="44EF78FE" w14:textId="77777777" w:rsidR="006A2B1D" w:rsidRPr="006557B3" w:rsidRDefault="006A2B1D">
            <w:pPr>
              <w:tabs>
                <w:tab w:val="left" w:pos="8647"/>
              </w:tabs>
              <w:jc w:val="both"/>
              <w:rPr>
                <w:bCs/>
                <w:sz w:val="22"/>
                <w:szCs w:val="22"/>
              </w:rPr>
            </w:pPr>
            <w:r w:rsidRPr="006557B3">
              <w:rPr>
                <w:bCs/>
                <w:sz w:val="22"/>
                <w:szCs w:val="22"/>
              </w:rPr>
              <w:t>2000,00</w:t>
            </w:r>
            <w:r w:rsidRPr="006557B3">
              <w:rPr>
                <w:bCs/>
                <w:i/>
                <w:sz w:val="22"/>
                <w:szCs w:val="22"/>
              </w:rPr>
              <w:t xml:space="preserve"> euro</w:t>
            </w:r>
          </w:p>
        </w:tc>
        <w:tc>
          <w:tcPr>
            <w:tcW w:w="1413" w:type="dxa"/>
            <w:tcBorders>
              <w:top w:val="single" w:sz="4" w:space="0" w:color="auto"/>
              <w:left w:val="single" w:sz="4" w:space="0" w:color="auto"/>
              <w:bottom w:val="single" w:sz="4" w:space="0" w:color="auto"/>
              <w:right w:val="single" w:sz="4" w:space="0" w:color="auto"/>
            </w:tcBorders>
          </w:tcPr>
          <w:p w14:paraId="320194D9" w14:textId="77777777" w:rsidR="006A2B1D" w:rsidRPr="006557B3" w:rsidRDefault="006A2B1D">
            <w:pPr>
              <w:tabs>
                <w:tab w:val="left" w:pos="8647"/>
              </w:tabs>
              <w:jc w:val="both"/>
              <w:rPr>
                <w:sz w:val="22"/>
                <w:szCs w:val="22"/>
              </w:rPr>
            </w:pPr>
          </w:p>
        </w:tc>
        <w:tc>
          <w:tcPr>
            <w:tcW w:w="1473" w:type="dxa"/>
            <w:tcBorders>
              <w:top w:val="single" w:sz="4" w:space="0" w:color="auto"/>
              <w:left w:val="single" w:sz="4" w:space="0" w:color="auto"/>
              <w:bottom w:val="single" w:sz="4" w:space="0" w:color="auto"/>
              <w:right w:val="single" w:sz="4" w:space="0" w:color="auto"/>
            </w:tcBorders>
            <w:hideMark/>
          </w:tcPr>
          <w:p w14:paraId="01B803E1" w14:textId="77777777" w:rsidR="006A2B1D" w:rsidRPr="006557B3" w:rsidRDefault="006A2B1D">
            <w:pPr>
              <w:tabs>
                <w:tab w:val="left" w:pos="8647"/>
              </w:tabs>
              <w:jc w:val="center"/>
              <w:rPr>
                <w:bCs/>
                <w:sz w:val="22"/>
                <w:szCs w:val="22"/>
              </w:rPr>
            </w:pPr>
            <w:r w:rsidRPr="006557B3">
              <w:rPr>
                <w:bCs/>
                <w:sz w:val="22"/>
                <w:szCs w:val="22"/>
              </w:rPr>
              <w:t>-</w:t>
            </w:r>
          </w:p>
        </w:tc>
      </w:tr>
      <w:tr w:rsidR="006A2B1D" w:rsidRPr="006557B3" w14:paraId="56A1CA17" w14:textId="77777777" w:rsidTr="006A2B1D">
        <w:tc>
          <w:tcPr>
            <w:tcW w:w="890" w:type="dxa"/>
            <w:tcBorders>
              <w:top w:val="single" w:sz="4" w:space="0" w:color="auto"/>
              <w:left w:val="single" w:sz="4" w:space="0" w:color="auto"/>
              <w:bottom w:val="single" w:sz="4" w:space="0" w:color="auto"/>
              <w:right w:val="single" w:sz="4" w:space="0" w:color="auto"/>
            </w:tcBorders>
            <w:hideMark/>
          </w:tcPr>
          <w:p w14:paraId="5048C0DC" w14:textId="77777777" w:rsidR="006A2B1D" w:rsidRPr="006557B3" w:rsidRDefault="006A2B1D">
            <w:pPr>
              <w:tabs>
                <w:tab w:val="left" w:pos="8647"/>
              </w:tabs>
              <w:jc w:val="both"/>
              <w:rPr>
                <w:bCs/>
                <w:sz w:val="22"/>
                <w:szCs w:val="22"/>
              </w:rPr>
            </w:pPr>
            <w:r w:rsidRPr="006557B3">
              <w:rPr>
                <w:bCs/>
                <w:sz w:val="22"/>
                <w:szCs w:val="22"/>
              </w:rPr>
              <w:t>1.3.</w:t>
            </w:r>
          </w:p>
        </w:tc>
        <w:tc>
          <w:tcPr>
            <w:tcW w:w="4054" w:type="dxa"/>
            <w:tcBorders>
              <w:top w:val="single" w:sz="4" w:space="0" w:color="auto"/>
              <w:left w:val="single" w:sz="4" w:space="0" w:color="auto"/>
              <w:bottom w:val="single" w:sz="4" w:space="0" w:color="auto"/>
              <w:right w:val="single" w:sz="4" w:space="0" w:color="auto"/>
            </w:tcBorders>
            <w:hideMark/>
          </w:tcPr>
          <w:p w14:paraId="121B9C9F" w14:textId="77777777" w:rsidR="006A2B1D" w:rsidRPr="006557B3" w:rsidRDefault="006A2B1D">
            <w:pPr>
              <w:tabs>
                <w:tab w:val="left" w:pos="8647"/>
              </w:tabs>
              <w:jc w:val="both"/>
              <w:rPr>
                <w:bCs/>
                <w:i/>
                <w:sz w:val="22"/>
                <w:szCs w:val="22"/>
              </w:rPr>
            </w:pPr>
            <w:r w:rsidRPr="006557B3">
              <w:rPr>
                <w:bCs/>
                <w:sz w:val="22"/>
                <w:szCs w:val="22"/>
              </w:rPr>
              <w:t xml:space="preserve">TV rullīša raidīšana dažādām sociāli ekonomiskām iedzīvotāju auditorijām dažādos raidlaikos, ne mazāk kā 30% reklāmu raidot </w:t>
            </w:r>
            <w:r w:rsidRPr="006557B3">
              <w:rPr>
                <w:bCs/>
                <w:i/>
                <w:sz w:val="22"/>
                <w:szCs w:val="22"/>
              </w:rPr>
              <w:t>Prime time :</w:t>
            </w:r>
          </w:p>
          <w:p w14:paraId="485428BF" w14:textId="77777777" w:rsidR="006A2B1D" w:rsidRPr="006557B3" w:rsidRDefault="006A2B1D">
            <w:pPr>
              <w:tabs>
                <w:tab w:val="left" w:pos="8647"/>
              </w:tabs>
              <w:jc w:val="both"/>
              <w:rPr>
                <w:bCs/>
                <w:sz w:val="22"/>
                <w:szCs w:val="22"/>
              </w:rPr>
            </w:pPr>
            <w:r w:rsidRPr="006557B3">
              <w:rPr>
                <w:bCs/>
                <w:sz w:val="22"/>
                <w:szCs w:val="22"/>
              </w:rPr>
              <w:t xml:space="preserve">30 sekunžu video rullīša 1 pārraides vidējās izmaksas : </w:t>
            </w:r>
          </w:p>
          <w:p w14:paraId="5FAC0EF0" w14:textId="77777777" w:rsidR="006A2B1D" w:rsidRPr="006557B3" w:rsidRDefault="006A2B1D">
            <w:pPr>
              <w:tabs>
                <w:tab w:val="left" w:pos="8647"/>
              </w:tabs>
              <w:jc w:val="both"/>
              <w:rPr>
                <w:bCs/>
                <w:i/>
                <w:sz w:val="22"/>
                <w:szCs w:val="22"/>
              </w:rPr>
            </w:pPr>
            <w:r w:rsidRPr="006557B3">
              <w:rPr>
                <w:bCs/>
                <w:sz w:val="22"/>
                <w:szCs w:val="22"/>
              </w:rPr>
              <w:t xml:space="preserve">30 x 50,00 </w:t>
            </w:r>
            <w:r w:rsidRPr="006557B3">
              <w:rPr>
                <w:bCs/>
                <w:i/>
                <w:sz w:val="22"/>
                <w:szCs w:val="22"/>
              </w:rPr>
              <w:t xml:space="preserve">euro </w:t>
            </w:r>
            <w:r w:rsidRPr="006557B3">
              <w:rPr>
                <w:bCs/>
                <w:sz w:val="22"/>
                <w:szCs w:val="22"/>
              </w:rPr>
              <w:t xml:space="preserve">= 1500,00 </w:t>
            </w:r>
            <w:r w:rsidRPr="006557B3">
              <w:rPr>
                <w:bCs/>
                <w:i/>
                <w:sz w:val="22"/>
                <w:szCs w:val="22"/>
              </w:rPr>
              <w:t>euro</w:t>
            </w:r>
          </w:p>
          <w:p w14:paraId="66C5E813" w14:textId="77777777" w:rsidR="006A2B1D" w:rsidRPr="006557B3" w:rsidRDefault="006A2B1D">
            <w:pPr>
              <w:tabs>
                <w:tab w:val="left" w:pos="8647"/>
              </w:tabs>
              <w:jc w:val="both"/>
              <w:rPr>
                <w:bCs/>
                <w:sz w:val="22"/>
                <w:szCs w:val="22"/>
              </w:rPr>
            </w:pPr>
            <w:r w:rsidRPr="006557B3">
              <w:rPr>
                <w:bCs/>
                <w:sz w:val="22"/>
                <w:szCs w:val="22"/>
              </w:rPr>
              <w:t xml:space="preserve">(Atkarībā no raidīšanas laika 1 sekunde TV rullīša pārraides izmaksas var svārstīties no 1,00 – 100,00 </w:t>
            </w:r>
            <w:r w:rsidRPr="006557B3">
              <w:rPr>
                <w:bCs/>
                <w:i/>
                <w:sz w:val="22"/>
                <w:szCs w:val="22"/>
              </w:rPr>
              <w:t>euro</w:t>
            </w:r>
            <w:r w:rsidRPr="006557B3">
              <w:rPr>
                <w:bCs/>
                <w:sz w:val="22"/>
                <w:szCs w:val="22"/>
              </w:rPr>
              <w:t xml:space="preserve"> par 1 sekundi, aprēķinos izmantota vidējā aritmētiskā summa – 50,00 </w:t>
            </w:r>
            <w:r w:rsidRPr="006557B3">
              <w:rPr>
                <w:bCs/>
                <w:i/>
                <w:sz w:val="22"/>
                <w:szCs w:val="22"/>
              </w:rPr>
              <w:t>euro</w:t>
            </w:r>
            <w:r w:rsidRPr="006557B3">
              <w:rPr>
                <w:bCs/>
                <w:sz w:val="22"/>
                <w:szCs w:val="22"/>
              </w:rPr>
              <w:t xml:space="preserve"> par 1 sekundi).</w:t>
            </w:r>
          </w:p>
        </w:tc>
        <w:tc>
          <w:tcPr>
            <w:tcW w:w="1412" w:type="dxa"/>
            <w:tcBorders>
              <w:top w:val="single" w:sz="4" w:space="0" w:color="auto"/>
              <w:left w:val="single" w:sz="4" w:space="0" w:color="auto"/>
              <w:bottom w:val="single" w:sz="4" w:space="0" w:color="auto"/>
              <w:right w:val="single" w:sz="4" w:space="0" w:color="auto"/>
            </w:tcBorders>
          </w:tcPr>
          <w:p w14:paraId="51650767" w14:textId="77777777" w:rsidR="006A2B1D" w:rsidRPr="006557B3" w:rsidRDefault="006A2B1D">
            <w:pPr>
              <w:tabs>
                <w:tab w:val="left" w:pos="8647"/>
              </w:tabs>
              <w:jc w:val="both"/>
              <w:rPr>
                <w:bCs/>
                <w:sz w:val="22"/>
                <w:szCs w:val="22"/>
              </w:rPr>
            </w:pPr>
          </w:p>
          <w:p w14:paraId="2BD9E6D7" w14:textId="77777777" w:rsidR="006A2B1D" w:rsidRPr="006557B3" w:rsidRDefault="006A2B1D">
            <w:pPr>
              <w:tabs>
                <w:tab w:val="left" w:pos="8647"/>
              </w:tabs>
              <w:jc w:val="both"/>
              <w:rPr>
                <w:bCs/>
                <w:sz w:val="22"/>
                <w:szCs w:val="22"/>
              </w:rPr>
            </w:pPr>
          </w:p>
          <w:p w14:paraId="61799993" w14:textId="77777777" w:rsidR="006A2B1D" w:rsidRPr="006557B3" w:rsidRDefault="006A2B1D">
            <w:pPr>
              <w:tabs>
                <w:tab w:val="left" w:pos="8647"/>
              </w:tabs>
              <w:jc w:val="both"/>
              <w:rPr>
                <w:bCs/>
                <w:i/>
                <w:sz w:val="22"/>
                <w:szCs w:val="22"/>
              </w:rPr>
            </w:pPr>
          </w:p>
        </w:tc>
        <w:tc>
          <w:tcPr>
            <w:tcW w:w="1413" w:type="dxa"/>
            <w:tcBorders>
              <w:top w:val="single" w:sz="4" w:space="0" w:color="auto"/>
              <w:left w:val="single" w:sz="4" w:space="0" w:color="auto"/>
              <w:bottom w:val="single" w:sz="4" w:space="0" w:color="auto"/>
              <w:right w:val="single" w:sz="4" w:space="0" w:color="auto"/>
            </w:tcBorders>
            <w:hideMark/>
          </w:tcPr>
          <w:p w14:paraId="11058395" w14:textId="77777777" w:rsidR="006A2B1D" w:rsidRPr="006557B3" w:rsidRDefault="006A2B1D">
            <w:pPr>
              <w:tabs>
                <w:tab w:val="left" w:pos="8647"/>
              </w:tabs>
              <w:jc w:val="both"/>
              <w:rPr>
                <w:bCs/>
                <w:sz w:val="22"/>
                <w:szCs w:val="22"/>
              </w:rPr>
            </w:pPr>
            <w:r w:rsidRPr="006557B3">
              <w:rPr>
                <w:sz w:val="22"/>
                <w:szCs w:val="22"/>
              </w:rPr>
              <w:t xml:space="preserve">42 000,00 </w:t>
            </w:r>
            <w:r w:rsidRPr="006557B3">
              <w:rPr>
                <w:i/>
                <w:sz w:val="22"/>
                <w:szCs w:val="22"/>
              </w:rPr>
              <w:t xml:space="preserve">euro </w:t>
            </w:r>
            <w:r w:rsidRPr="006557B3">
              <w:rPr>
                <w:sz w:val="22"/>
                <w:szCs w:val="22"/>
              </w:rPr>
              <w:t>(35 pārraides reizes)</w:t>
            </w:r>
          </w:p>
        </w:tc>
        <w:tc>
          <w:tcPr>
            <w:tcW w:w="1473" w:type="dxa"/>
            <w:tcBorders>
              <w:top w:val="single" w:sz="4" w:space="0" w:color="auto"/>
              <w:left w:val="single" w:sz="4" w:space="0" w:color="auto"/>
              <w:bottom w:val="single" w:sz="4" w:space="0" w:color="auto"/>
              <w:right w:val="single" w:sz="4" w:space="0" w:color="auto"/>
            </w:tcBorders>
            <w:hideMark/>
          </w:tcPr>
          <w:p w14:paraId="1B95A32E" w14:textId="77777777" w:rsidR="006A2B1D" w:rsidRPr="006557B3" w:rsidRDefault="006A2B1D">
            <w:pPr>
              <w:tabs>
                <w:tab w:val="left" w:pos="8647"/>
              </w:tabs>
              <w:jc w:val="center"/>
              <w:rPr>
                <w:bCs/>
                <w:sz w:val="22"/>
                <w:szCs w:val="22"/>
              </w:rPr>
            </w:pPr>
            <w:r w:rsidRPr="006557B3">
              <w:rPr>
                <w:bCs/>
                <w:sz w:val="22"/>
                <w:szCs w:val="22"/>
              </w:rPr>
              <w:t>-</w:t>
            </w:r>
          </w:p>
        </w:tc>
      </w:tr>
      <w:tr w:rsidR="006A2B1D" w:rsidRPr="006557B3" w14:paraId="02D2AECA" w14:textId="77777777" w:rsidTr="006A2B1D">
        <w:tc>
          <w:tcPr>
            <w:tcW w:w="890" w:type="dxa"/>
            <w:tcBorders>
              <w:top w:val="single" w:sz="4" w:space="0" w:color="auto"/>
              <w:left w:val="single" w:sz="4" w:space="0" w:color="auto"/>
              <w:bottom w:val="single" w:sz="4" w:space="0" w:color="auto"/>
              <w:right w:val="single" w:sz="4" w:space="0" w:color="auto"/>
            </w:tcBorders>
            <w:hideMark/>
          </w:tcPr>
          <w:p w14:paraId="17D2BEE8" w14:textId="77777777" w:rsidR="006A2B1D" w:rsidRPr="006557B3" w:rsidRDefault="006A2B1D">
            <w:pPr>
              <w:tabs>
                <w:tab w:val="left" w:pos="8647"/>
              </w:tabs>
              <w:jc w:val="both"/>
              <w:rPr>
                <w:bCs/>
                <w:sz w:val="22"/>
                <w:szCs w:val="22"/>
              </w:rPr>
            </w:pPr>
            <w:r w:rsidRPr="006557B3">
              <w:rPr>
                <w:bCs/>
                <w:sz w:val="22"/>
                <w:szCs w:val="22"/>
              </w:rPr>
              <w:t>1.4.</w:t>
            </w:r>
          </w:p>
        </w:tc>
        <w:tc>
          <w:tcPr>
            <w:tcW w:w="4054" w:type="dxa"/>
            <w:tcBorders>
              <w:top w:val="single" w:sz="4" w:space="0" w:color="auto"/>
              <w:left w:val="single" w:sz="4" w:space="0" w:color="auto"/>
              <w:bottom w:val="single" w:sz="4" w:space="0" w:color="auto"/>
              <w:right w:val="single" w:sz="4" w:space="0" w:color="auto"/>
            </w:tcBorders>
            <w:hideMark/>
          </w:tcPr>
          <w:p w14:paraId="0AF28900" w14:textId="77777777" w:rsidR="006A2B1D" w:rsidRPr="006557B3" w:rsidRDefault="006A2B1D">
            <w:pPr>
              <w:tabs>
                <w:tab w:val="left" w:pos="8647"/>
              </w:tabs>
              <w:jc w:val="both"/>
              <w:rPr>
                <w:bCs/>
                <w:i/>
                <w:sz w:val="22"/>
                <w:szCs w:val="22"/>
              </w:rPr>
            </w:pPr>
            <w:r w:rsidRPr="006557B3">
              <w:rPr>
                <w:bCs/>
                <w:sz w:val="22"/>
                <w:szCs w:val="22"/>
              </w:rPr>
              <w:t xml:space="preserve">radio rullīša raidīšana dažādām sociāli ekonomiskām iedzīvotāju auditorijām dažādos raidlaikos, ne mazāk kā 30% reklāmu raidot </w:t>
            </w:r>
            <w:r w:rsidRPr="006557B3">
              <w:rPr>
                <w:bCs/>
                <w:i/>
                <w:sz w:val="22"/>
                <w:szCs w:val="22"/>
              </w:rPr>
              <w:t>Prime time :</w:t>
            </w:r>
          </w:p>
          <w:p w14:paraId="157E79C1" w14:textId="77777777" w:rsidR="006A2B1D" w:rsidRPr="006557B3" w:rsidRDefault="006A2B1D">
            <w:pPr>
              <w:tabs>
                <w:tab w:val="left" w:pos="8647"/>
              </w:tabs>
              <w:jc w:val="both"/>
              <w:rPr>
                <w:bCs/>
                <w:sz w:val="22"/>
                <w:szCs w:val="22"/>
              </w:rPr>
            </w:pPr>
            <w:r w:rsidRPr="006557B3">
              <w:rPr>
                <w:bCs/>
                <w:sz w:val="22"/>
                <w:szCs w:val="22"/>
              </w:rPr>
              <w:t>30 sekunžu audio rullīša 1 pārraides vidējās izmaksas :</w:t>
            </w:r>
          </w:p>
          <w:p w14:paraId="30118FCB" w14:textId="77777777" w:rsidR="006A2B1D" w:rsidRPr="006557B3" w:rsidRDefault="006A2B1D">
            <w:pPr>
              <w:tabs>
                <w:tab w:val="left" w:pos="8647"/>
              </w:tabs>
              <w:jc w:val="both"/>
              <w:rPr>
                <w:bCs/>
                <w:sz w:val="22"/>
                <w:szCs w:val="22"/>
              </w:rPr>
            </w:pPr>
            <w:r w:rsidRPr="006557B3">
              <w:rPr>
                <w:bCs/>
                <w:sz w:val="22"/>
                <w:szCs w:val="22"/>
              </w:rPr>
              <w:t xml:space="preserve">30 x 1,40 euro = 42,00 </w:t>
            </w:r>
            <w:r w:rsidRPr="006557B3">
              <w:rPr>
                <w:bCs/>
                <w:i/>
                <w:sz w:val="22"/>
                <w:szCs w:val="22"/>
              </w:rPr>
              <w:t>euro</w:t>
            </w:r>
          </w:p>
          <w:p w14:paraId="2CC63ECE" w14:textId="419C8B9B" w:rsidR="006A2B1D" w:rsidRPr="006557B3" w:rsidRDefault="006A2B1D">
            <w:pPr>
              <w:tabs>
                <w:tab w:val="left" w:pos="8647"/>
              </w:tabs>
              <w:jc w:val="both"/>
              <w:rPr>
                <w:bCs/>
                <w:sz w:val="22"/>
                <w:szCs w:val="22"/>
              </w:rPr>
            </w:pPr>
            <w:r w:rsidRPr="006557B3">
              <w:rPr>
                <w:bCs/>
                <w:sz w:val="22"/>
                <w:szCs w:val="22"/>
              </w:rPr>
              <w:t xml:space="preserve">(Atkarībā no raidīšanas laika 1 sekunde audio rullīša atskaņošanas izmaksas var svārstīties no 0,20 </w:t>
            </w:r>
            <w:r w:rsidR="000A5851">
              <w:rPr>
                <w:bCs/>
                <w:sz w:val="22"/>
                <w:szCs w:val="22"/>
              </w:rPr>
              <w:t xml:space="preserve">līdz </w:t>
            </w:r>
            <w:r w:rsidRPr="006557B3">
              <w:rPr>
                <w:bCs/>
                <w:sz w:val="22"/>
                <w:szCs w:val="22"/>
              </w:rPr>
              <w:t xml:space="preserve">3,00 </w:t>
            </w:r>
            <w:r w:rsidRPr="006557B3">
              <w:rPr>
                <w:bCs/>
                <w:i/>
                <w:sz w:val="22"/>
                <w:szCs w:val="22"/>
              </w:rPr>
              <w:t>euro</w:t>
            </w:r>
            <w:r w:rsidRPr="006557B3">
              <w:rPr>
                <w:bCs/>
                <w:sz w:val="22"/>
                <w:szCs w:val="22"/>
              </w:rPr>
              <w:t xml:space="preserve"> par 1 sekundi, aprēķinos izmantota vidējā aritmētiskā summa </w:t>
            </w:r>
            <w:r w:rsidR="000A5851">
              <w:rPr>
                <w:bCs/>
                <w:sz w:val="22"/>
                <w:szCs w:val="22"/>
              </w:rPr>
              <w:t>–</w:t>
            </w:r>
            <w:r w:rsidRPr="006557B3">
              <w:rPr>
                <w:bCs/>
                <w:sz w:val="22"/>
                <w:szCs w:val="22"/>
              </w:rPr>
              <w:t xml:space="preserve"> 1,40 </w:t>
            </w:r>
            <w:r w:rsidRPr="006557B3">
              <w:rPr>
                <w:bCs/>
                <w:i/>
                <w:sz w:val="22"/>
                <w:szCs w:val="22"/>
              </w:rPr>
              <w:t>euro</w:t>
            </w:r>
            <w:r w:rsidRPr="006557B3">
              <w:rPr>
                <w:bCs/>
                <w:sz w:val="22"/>
                <w:szCs w:val="22"/>
              </w:rPr>
              <w:t xml:space="preserve"> par 1 sekundi).</w:t>
            </w:r>
          </w:p>
        </w:tc>
        <w:tc>
          <w:tcPr>
            <w:tcW w:w="1412" w:type="dxa"/>
            <w:tcBorders>
              <w:top w:val="single" w:sz="4" w:space="0" w:color="auto"/>
              <w:left w:val="single" w:sz="4" w:space="0" w:color="auto"/>
              <w:bottom w:val="single" w:sz="4" w:space="0" w:color="auto"/>
              <w:right w:val="single" w:sz="4" w:space="0" w:color="auto"/>
            </w:tcBorders>
          </w:tcPr>
          <w:p w14:paraId="4C64396E" w14:textId="77777777" w:rsidR="006A2B1D" w:rsidRPr="006557B3" w:rsidRDefault="006A2B1D">
            <w:pPr>
              <w:tabs>
                <w:tab w:val="left" w:pos="8647"/>
              </w:tabs>
              <w:jc w:val="both"/>
              <w:rPr>
                <w:bCs/>
                <w:sz w:val="22"/>
                <w:szCs w:val="22"/>
              </w:rPr>
            </w:pPr>
          </w:p>
        </w:tc>
        <w:tc>
          <w:tcPr>
            <w:tcW w:w="1413" w:type="dxa"/>
            <w:tcBorders>
              <w:top w:val="single" w:sz="4" w:space="0" w:color="auto"/>
              <w:left w:val="single" w:sz="4" w:space="0" w:color="auto"/>
              <w:bottom w:val="single" w:sz="4" w:space="0" w:color="auto"/>
              <w:right w:val="single" w:sz="4" w:space="0" w:color="auto"/>
            </w:tcBorders>
            <w:hideMark/>
          </w:tcPr>
          <w:p w14:paraId="3BFC0D93" w14:textId="77777777" w:rsidR="006A2B1D" w:rsidRPr="006557B3" w:rsidRDefault="006A2B1D">
            <w:pPr>
              <w:tabs>
                <w:tab w:val="left" w:pos="8647"/>
              </w:tabs>
              <w:jc w:val="both"/>
              <w:rPr>
                <w:sz w:val="22"/>
                <w:szCs w:val="22"/>
              </w:rPr>
            </w:pPr>
            <w:r w:rsidRPr="006557B3">
              <w:rPr>
                <w:sz w:val="22"/>
                <w:szCs w:val="22"/>
              </w:rPr>
              <w:t xml:space="preserve">13 000,00 </w:t>
            </w:r>
            <w:r w:rsidRPr="006557B3">
              <w:rPr>
                <w:i/>
                <w:sz w:val="22"/>
                <w:szCs w:val="22"/>
              </w:rPr>
              <w:t>euro</w:t>
            </w:r>
            <w:r w:rsidRPr="006557B3">
              <w:rPr>
                <w:sz w:val="22"/>
                <w:szCs w:val="22"/>
              </w:rPr>
              <w:t xml:space="preserve"> (310 pārraides reizes)</w:t>
            </w:r>
          </w:p>
        </w:tc>
        <w:tc>
          <w:tcPr>
            <w:tcW w:w="1473" w:type="dxa"/>
            <w:tcBorders>
              <w:top w:val="single" w:sz="4" w:space="0" w:color="auto"/>
              <w:left w:val="single" w:sz="4" w:space="0" w:color="auto"/>
              <w:bottom w:val="single" w:sz="4" w:space="0" w:color="auto"/>
              <w:right w:val="single" w:sz="4" w:space="0" w:color="auto"/>
            </w:tcBorders>
            <w:hideMark/>
          </w:tcPr>
          <w:p w14:paraId="4FA1875C" w14:textId="77777777" w:rsidR="006A2B1D" w:rsidRPr="006557B3" w:rsidRDefault="006A2B1D">
            <w:pPr>
              <w:tabs>
                <w:tab w:val="left" w:pos="8647"/>
              </w:tabs>
              <w:jc w:val="center"/>
              <w:rPr>
                <w:bCs/>
                <w:sz w:val="22"/>
                <w:szCs w:val="22"/>
              </w:rPr>
            </w:pPr>
            <w:r w:rsidRPr="006557B3">
              <w:rPr>
                <w:bCs/>
                <w:sz w:val="22"/>
                <w:szCs w:val="22"/>
              </w:rPr>
              <w:t>-</w:t>
            </w:r>
          </w:p>
        </w:tc>
      </w:tr>
      <w:tr w:rsidR="006A2B1D" w:rsidRPr="006557B3" w14:paraId="7C67C70C" w14:textId="77777777" w:rsidTr="006A2B1D">
        <w:tc>
          <w:tcPr>
            <w:tcW w:w="890" w:type="dxa"/>
            <w:tcBorders>
              <w:top w:val="single" w:sz="4" w:space="0" w:color="auto"/>
              <w:left w:val="single" w:sz="4" w:space="0" w:color="auto"/>
              <w:bottom w:val="single" w:sz="4" w:space="0" w:color="auto"/>
              <w:right w:val="single" w:sz="4" w:space="0" w:color="auto"/>
            </w:tcBorders>
            <w:hideMark/>
          </w:tcPr>
          <w:p w14:paraId="6788311B" w14:textId="77777777" w:rsidR="006A2B1D" w:rsidRPr="006557B3" w:rsidRDefault="006A2B1D">
            <w:pPr>
              <w:tabs>
                <w:tab w:val="left" w:pos="8647"/>
              </w:tabs>
              <w:jc w:val="both"/>
              <w:rPr>
                <w:bCs/>
                <w:sz w:val="22"/>
                <w:szCs w:val="22"/>
              </w:rPr>
            </w:pPr>
            <w:r w:rsidRPr="006557B3">
              <w:rPr>
                <w:bCs/>
                <w:sz w:val="22"/>
                <w:szCs w:val="22"/>
              </w:rPr>
              <w:t>2.</w:t>
            </w:r>
          </w:p>
        </w:tc>
        <w:tc>
          <w:tcPr>
            <w:tcW w:w="4054" w:type="dxa"/>
            <w:tcBorders>
              <w:top w:val="single" w:sz="4" w:space="0" w:color="auto"/>
              <w:left w:val="single" w:sz="4" w:space="0" w:color="auto"/>
              <w:bottom w:val="single" w:sz="4" w:space="0" w:color="auto"/>
              <w:right w:val="single" w:sz="4" w:space="0" w:color="auto"/>
            </w:tcBorders>
            <w:hideMark/>
          </w:tcPr>
          <w:p w14:paraId="6ED0BBB7" w14:textId="77777777" w:rsidR="006A2B1D" w:rsidRPr="006557B3" w:rsidRDefault="006A2B1D">
            <w:pPr>
              <w:tabs>
                <w:tab w:val="left" w:pos="8647"/>
              </w:tabs>
              <w:jc w:val="both"/>
              <w:rPr>
                <w:sz w:val="22"/>
                <w:szCs w:val="22"/>
              </w:rPr>
            </w:pPr>
            <w:r w:rsidRPr="006557B3">
              <w:rPr>
                <w:sz w:val="22"/>
                <w:szCs w:val="22"/>
              </w:rPr>
              <w:t>Interneta baneru izstrāde (4gab.)</w:t>
            </w:r>
          </w:p>
          <w:p w14:paraId="58BE4354" w14:textId="77777777" w:rsidR="006A2B1D" w:rsidRPr="006557B3" w:rsidRDefault="006A2B1D">
            <w:pPr>
              <w:tabs>
                <w:tab w:val="left" w:pos="8647"/>
              </w:tabs>
              <w:jc w:val="both"/>
              <w:rPr>
                <w:bCs/>
                <w:sz w:val="22"/>
                <w:szCs w:val="22"/>
              </w:rPr>
            </w:pPr>
            <w:r w:rsidRPr="006557B3">
              <w:rPr>
                <w:sz w:val="22"/>
                <w:szCs w:val="22"/>
              </w:rPr>
              <w:t xml:space="preserve">4 x 250,00 </w:t>
            </w:r>
            <w:r w:rsidRPr="006557B3">
              <w:rPr>
                <w:i/>
                <w:sz w:val="22"/>
                <w:szCs w:val="22"/>
              </w:rPr>
              <w:t xml:space="preserve">euro </w:t>
            </w:r>
            <w:r w:rsidRPr="006557B3">
              <w:rPr>
                <w:sz w:val="22"/>
                <w:szCs w:val="22"/>
              </w:rPr>
              <w:t xml:space="preserve">= 1000,00 </w:t>
            </w:r>
            <w:r w:rsidRPr="006557B3">
              <w:rPr>
                <w:i/>
                <w:sz w:val="22"/>
                <w:szCs w:val="22"/>
              </w:rPr>
              <w:t>euro</w:t>
            </w:r>
            <w:r w:rsidRPr="006557B3">
              <w:rPr>
                <w:sz w:val="22"/>
                <w:szCs w:val="22"/>
              </w:rPr>
              <w:t xml:space="preserve"> </w:t>
            </w:r>
          </w:p>
        </w:tc>
        <w:tc>
          <w:tcPr>
            <w:tcW w:w="1412" w:type="dxa"/>
            <w:tcBorders>
              <w:top w:val="single" w:sz="4" w:space="0" w:color="auto"/>
              <w:left w:val="single" w:sz="4" w:space="0" w:color="auto"/>
              <w:bottom w:val="single" w:sz="4" w:space="0" w:color="auto"/>
              <w:right w:val="single" w:sz="4" w:space="0" w:color="auto"/>
            </w:tcBorders>
            <w:hideMark/>
          </w:tcPr>
          <w:p w14:paraId="1629E46E" w14:textId="77777777" w:rsidR="006A2B1D" w:rsidRPr="006557B3" w:rsidRDefault="006A2B1D">
            <w:pPr>
              <w:tabs>
                <w:tab w:val="left" w:pos="8647"/>
              </w:tabs>
              <w:jc w:val="both"/>
              <w:rPr>
                <w:bCs/>
                <w:sz w:val="22"/>
                <w:szCs w:val="22"/>
              </w:rPr>
            </w:pPr>
            <w:r w:rsidRPr="006557B3">
              <w:rPr>
                <w:sz w:val="22"/>
                <w:szCs w:val="22"/>
              </w:rPr>
              <w:t>1 000,00</w:t>
            </w:r>
            <w:r w:rsidRPr="006557B3">
              <w:rPr>
                <w:i/>
                <w:sz w:val="22"/>
                <w:szCs w:val="22"/>
              </w:rPr>
              <w:t xml:space="preserve"> euro</w:t>
            </w:r>
          </w:p>
        </w:tc>
        <w:tc>
          <w:tcPr>
            <w:tcW w:w="1413" w:type="dxa"/>
            <w:tcBorders>
              <w:top w:val="single" w:sz="4" w:space="0" w:color="auto"/>
              <w:left w:val="single" w:sz="4" w:space="0" w:color="auto"/>
              <w:bottom w:val="single" w:sz="4" w:space="0" w:color="auto"/>
              <w:right w:val="single" w:sz="4" w:space="0" w:color="auto"/>
            </w:tcBorders>
            <w:hideMark/>
          </w:tcPr>
          <w:p w14:paraId="602D0D8D" w14:textId="77777777" w:rsidR="006A2B1D" w:rsidRPr="006557B3" w:rsidRDefault="006A2B1D">
            <w:pPr>
              <w:rPr>
                <w:bCs/>
                <w:sz w:val="22"/>
                <w:szCs w:val="22"/>
              </w:rPr>
            </w:pPr>
          </w:p>
        </w:tc>
        <w:tc>
          <w:tcPr>
            <w:tcW w:w="1473" w:type="dxa"/>
            <w:tcBorders>
              <w:top w:val="single" w:sz="4" w:space="0" w:color="auto"/>
              <w:left w:val="single" w:sz="4" w:space="0" w:color="auto"/>
              <w:bottom w:val="single" w:sz="4" w:space="0" w:color="auto"/>
              <w:right w:val="single" w:sz="4" w:space="0" w:color="auto"/>
            </w:tcBorders>
            <w:hideMark/>
          </w:tcPr>
          <w:p w14:paraId="3B6DBFE7" w14:textId="77777777" w:rsidR="006A2B1D" w:rsidRPr="006557B3" w:rsidRDefault="006A2B1D">
            <w:pPr>
              <w:tabs>
                <w:tab w:val="left" w:pos="8647"/>
              </w:tabs>
              <w:jc w:val="center"/>
              <w:rPr>
                <w:bCs/>
                <w:sz w:val="22"/>
                <w:szCs w:val="22"/>
                <w:lang w:val="fr-FR"/>
              </w:rPr>
            </w:pPr>
            <w:r w:rsidRPr="006557B3">
              <w:rPr>
                <w:bCs/>
                <w:sz w:val="22"/>
                <w:szCs w:val="22"/>
              </w:rPr>
              <w:t>-</w:t>
            </w:r>
          </w:p>
        </w:tc>
      </w:tr>
      <w:tr w:rsidR="006A2B1D" w:rsidRPr="006557B3" w14:paraId="4E782C0E" w14:textId="77777777" w:rsidTr="006A2B1D">
        <w:tc>
          <w:tcPr>
            <w:tcW w:w="890" w:type="dxa"/>
            <w:tcBorders>
              <w:top w:val="single" w:sz="4" w:space="0" w:color="auto"/>
              <w:left w:val="single" w:sz="4" w:space="0" w:color="auto"/>
              <w:bottom w:val="single" w:sz="4" w:space="0" w:color="auto"/>
              <w:right w:val="single" w:sz="4" w:space="0" w:color="auto"/>
            </w:tcBorders>
          </w:tcPr>
          <w:p w14:paraId="344C182A" w14:textId="77777777" w:rsidR="006A2B1D" w:rsidRPr="006557B3" w:rsidRDefault="006A2B1D">
            <w:pPr>
              <w:tabs>
                <w:tab w:val="left" w:pos="8647"/>
              </w:tabs>
              <w:jc w:val="both"/>
              <w:rPr>
                <w:bCs/>
                <w:sz w:val="22"/>
                <w:szCs w:val="22"/>
              </w:rPr>
            </w:pPr>
          </w:p>
        </w:tc>
        <w:tc>
          <w:tcPr>
            <w:tcW w:w="4054" w:type="dxa"/>
            <w:tcBorders>
              <w:top w:val="single" w:sz="4" w:space="0" w:color="auto"/>
              <w:left w:val="single" w:sz="4" w:space="0" w:color="auto"/>
              <w:bottom w:val="single" w:sz="4" w:space="0" w:color="auto"/>
              <w:right w:val="single" w:sz="4" w:space="0" w:color="auto"/>
            </w:tcBorders>
            <w:hideMark/>
          </w:tcPr>
          <w:p w14:paraId="6647C006" w14:textId="2DA48297" w:rsidR="006A2B1D" w:rsidRPr="006557B3" w:rsidRDefault="006A2B1D">
            <w:pPr>
              <w:tabs>
                <w:tab w:val="left" w:pos="8647"/>
              </w:tabs>
              <w:jc w:val="both"/>
              <w:rPr>
                <w:sz w:val="22"/>
                <w:szCs w:val="22"/>
              </w:rPr>
            </w:pPr>
            <w:r w:rsidRPr="006557B3">
              <w:rPr>
                <w:sz w:val="22"/>
                <w:szCs w:val="22"/>
              </w:rPr>
              <w:t xml:space="preserve">Interneta baneru izvietošana </w:t>
            </w:r>
          </w:p>
          <w:p w14:paraId="699E8BEE" w14:textId="77777777" w:rsidR="006A2B1D" w:rsidRPr="006557B3" w:rsidRDefault="006A2B1D">
            <w:pPr>
              <w:tabs>
                <w:tab w:val="left" w:pos="8647"/>
              </w:tabs>
              <w:jc w:val="both"/>
              <w:rPr>
                <w:sz w:val="22"/>
                <w:szCs w:val="22"/>
              </w:rPr>
            </w:pPr>
            <w:r w:rsidRPr="006557B3">
              <w:rPr>
                <w:sz w:val="22"/>
                <w:szCs w:val="22"/>
              </w:rPr>
              <w:t xml:space="preserve">1 CPM (cena par katriem 1000 reklāmas skatījumiem) lielākajos ziņu portālos vidēji izmaksā 10,00 </w:t>
            </w:r>
            <w:r w:rsidRPr="006557B3">
              <w:rPr>
                <w:i/>
                <w:sz w:val="22"/>
                <w:szCs w:val="22"/>
              </w:rPr>
              <w:t>euro</w:t>
            </w:r>
            <w:r w:rsidRPr="006557B3">
              <w:rPr>
                <w:sz w:val="22"/>
                <w:szCs w:val="22"/>
              </w:rPr>
              <w:t xml:space="preserve">. </w:t>
            </w:r>
          </w:p>
          <w:p w14:paraId="026B1CEE" w14:textId="77777777" w:rsidR="006A2B1D" w:rsidRPr="006557B3" w:rsidRDefault="006A2B1D">
            <w:pPr>
              <w:tabs>
                <w:tab w:val="left" w:pos="8647"/>
              </w:tabs>
              <w:jc w:val="both"/>
              <w:rPr>
                <w:sz w:val="22"/>
                <w:szCs w:val="22"/>
              </w:rPr>
            </w:pPr>
            <w:r w:rsidRPr="006557B3">
              <w:rPr>
                <w:sz w:val="22"/>
                <w:szCs w:val="22"/>
              </w:rPr>
              <w:t xml:space="preserve">500 CPM x 10,00 </w:t>
            </w:r>
            <w:r w:rsidRPr="006557B3">
              <w:rPr>
                <w:i/>
                <w:sz w:val="22"/>
                <w:szCs w:val="22"/>
              </w:rPr>
              <w:t xml:space="preserve">euro </w:t>
            </w:r>
            <w:r w:rsidRPr="006557B3">
              <w:rPr>
                <w:sz w:val="22"/>
                <w:szCs w:val="22"/>
              </w:rPr>
              <w:t xml:space="preserve">= 5000,00 </w:t>
            </w:r>
            <w:r w:rsidRPr="006557B3">
              <w:rPr>
                <w:i/>
                <w:sz w:val="22"/>
                <w:szCs w:val="22"/>
              </w:rPr>
              <w:t>euro</w:t>
            </w:r>
          </w:p>
        </w:tc>
        <w:tc>
          <w:tcPr>
            <w:tcW w:w="1412" w:type="dxa"/>
            <w:tcBorders>
              <w:top w:val="single" w:sz="4" w:space="0" w:color="auto"/>
              <w:left w:val="single" w:sz="4" w:space="0" w:color="auto"/>
              <w:bottom w:val="single" w:sz="4" w:space="0" w:color="auto"/>
              <w:right w:val="single" w:sz="4" w:space="0" w:color="auto"/>
            </w:tcBorders>
          </w:tcPr>
          <w:p w14:paraId="6241866A" w14:textId="77777777" w:rsidR="006A2B1D" w:rsidRPr="006557B3" w:rsidRDefault="006A2B1D">
            <w:pPr>
              <w:tabs>
                <w:tab w:val="left" w:pos="8647"/>
              </w:tabs>
              <w:jc w:val="both"/>
              <w:rPr>
                <w:sz w:val="22"/>
                <w:szCs w:val="22"/>
              </w:rPr>
            </w:pPr>
          </w:p>
        </w:tc>
        <w:tc>
          <w:tcPr>
            <w:tcW w:w="1413" w:type="dxa"/>
            <w:tcBorders>
              <w:top w:val="single" w:sz="4" w:space="0" w:color="auto"/>
              <w:left w:val="single" w:sz="4" w:space="0" w:color="auto"/>
              <w:bottom w:val="single" w:sz="4" w:space="0" w:color="auto"/>
              <w:right w:val="single" w:sz="4" w:space="0" w:color="auto"/>
            </w:tcBorders>
            <w:hideMark/>
          </w:tcPr>
          <w:p w14:paraId="06CE73F2" w14:textId="77777777" w:rsidR="006A2B1D" w:rsidRPr="006557B3" w:rsidRDefault="006A2B1D">
            <w:pPr>
              <w:tabs>
                <w:tab w:val="left" w:pos="8647"/>
              </w:tabs>
              <w:jc w:val="both"/>
              <w:rPr>
                <w:sz w:val="22"/>
                <w:szCs w:val="22"/>
              </w:rPr>
            </w:pPr>
            <w:r w:rsidRPr="006557B3">
              <w:rPr>
                <w:sz w:val="22"/>
                <w:szCs w:val="22"/>
              </w:rPr>
              <w:t>5 000,00</w:t>
            </w:r>
            <w:r w:rsidRPr="006557B3">
              <w:rPr>
                <w:i/>
                <w:sz w:val="22"/>
                <w:szCs w:val="22"/>
              </w:rPr>
              <w:t xml:space="preserve"> euro</w:t>
            </w:r>
          </w:p>
        </w:tc>
        <w:tc>
          <w:tcPr>
            <w:tcW w:w="1473" w:type="dxa"/>
            <w:tcBorders>
              <w:top w:val="single" w:sz="4" w:space="0" w:color="auto"/>
              <w:left w:val="single" w:sz="4" w:space="0" w:color="auto"/>
              <w:bottom w:val="single" w:sz="4" w:space="0" w:color="auto"/>
              <w:right w:val="single" w:sz="4" w:space="0" w:color="auto"/>
            </w:tcBorders>
            <w:hideMark/>
          </w:tcPr>
          <w:p w14:paraId="3942B074" w14:textId="77777777" w:rsidR="006A2B1D" w:rsidRPr="006557B3" w:rsidRDefault="006A2B1D">
            <w:pPr>
              <w:tabs>
                <w:tab w:val="left" w:pos="8647"/>
              </w:tabs>
              <w:jc w:val="center"/>
              <w:rPr>
                <w:bCs/>
                <w:sz w:val="22"/>
                <w:szCs w:val="22"/>
              </w:rPr>
            </w:pPr>
            <w:r w:rsidRPr="006557B3">
              <w:rPr>
                <w:bCs/>
                <w:sz w:val="22"/>
                <w:szCs w:val="22"/>
              </w:rPr>
              <w:t>-</w:t>
            </w:r>
          </w:p>
        </w:tc>
      </w:tr>
      <w:tr w:rsidR="006A2B1D" w:rsidRPr="006557B3" w14:paraId="585FA451" w14:textId="77777777" w:rsidTr="006A2B1D">
        <w:tc>
          <w:tcPr>
            <w:tcW w:w="890" w:type="dxa"/>
            <w:tcBorders>
              <w:top w:val="single" w:sz="4" w:space="0" w:color="auto"/>
              <w:left w:val="single" w:sz="4" w:space="0" w:color="auto"/>
              <w:bottom w:val="single" w:sz="4" w:space="0" w:color="auto"/>
              <w:right w:val="single" w:sz="4" w:space="0" w:color="auto"/>
            </w:tcBorders>
            <w:hideMark/>
          </w:tcPr>
          <w:p w14:paraId="733EEDB9" w14:textId="77777777" w:rsidR="006A2B1D" w:rsidRPr="006557B3" w:rsidRDefault="006A2B1D">
            <w:pPr>
              <w:tabs>
                <w:tab w:val="left" w:pos="8647"/>
              </w:tabs>
              <w:jc w:val="both"/>
              <w:rPr>
                <w:bCs/>
                <w:sz w:val="22"/>
                <w:szCs w:val="22"/>
              </w:rPr>
            </w:pPr>
            <w:r w:rsidRPr="006557B3">
              <w:rPr>
                <w:bCs/>
                <w:sz w:val="22"/>
                <w:szCs w:val="22"/>
              </w:rPr>
              <w:t>3.</w:t>
            </w:r>
          </w:p>
        </w:tc>
        <w:tc>
          <w:tcPr>
            <w:tcW w:w="4054" w:type="dxa"/>
            <w:tcBorders>
              <w:top w:val="single" w:sz="4" w:space="0" w:color="auto"/>
              <w:left w:val="single" w:sz="4" w:space="0" w:color="auto"/>
              <w:bottom w:val="single" w:sz="4" w:space="0" w:color="auto"/>
              <w:right w:val="single" w:sz="4" w:space="0" w:color="auto"/>
            </w:tcBorders>
            <w:hideMark/>
          </w:tcPr>
          <w:p w14:paraId="5032CDD7" w14:textId="77777777" w:rsidR="006A2B1D" w:rsidRPr="006557B3" w:rsidRDefault="006A2B1D">
            <w:pPr>
              <w:tabs>
                <w:tab w:val="left" w:pos="8647"/>
              </w:tabs>
              <w:jc w:val="both"/>
              <w:rPr>
                <w:sz w:val="22"/>
                <w:szCs w:val="22"/>
              </w:rPr>
            </w:pPr>
            <w:r w:rsidRPr="006557B3">
              <w:rPr>
                <w:sz w:val="22"/>
                <w:szCs w:val="22"/>
              </w:rPr>
              <w:t>Kampaņas pasākumi un citas darbības:</w:t>
            </w:r>
          </w:p>
        </w:tc>
        <w:tc>
          <w:tcPr>
            <w:tcW w:w="1412" w:type="dxa"/>
            <w:tcBorders>
              <w:top w:val="single" w:sz="4" w:space="0" w:color="auto"/>
              <w:left w:val="single" w:sz="4" w:space="0" w:color="auto"/>
              <w:bottom w:val="single" w:sz="4" w:space="0" w:color="auto"/>
              <w:right w:val="single" w:sz="4" w:space="0" w:color="auto"/>
            </w:tcBorders>
          </w:tcPr>
          <w:p w14:paraId="480F7FDB" w14:textId="77777777" w:rsidR="006A2B1D" w:rsidRPr="006557B3" w:rsidRDefault="006A2B1D">
            <w:pPr>
              <w:rPr>
                <w:sz w:val="22"/>
                <w:szCs w:val="22"/>
              </w:rPr>
            </w:pPr>
          </w:p>
        </w:tc>
        <w:tc>
          <w:tcPr>
            <w:tcW w:w="1413" w:type="dxa"/>
            <w:tcBorders>
              <w:top w:val="single" w:sz="4" w:space="0" w:color="auto"/>
              <w:left w:val="single" w:sz="4" w:space="0" w:color="auto"/>
              <w:bottom w:val="single" w:sz="4" w:space="0" w:color="auto"/>
              <w:right w:val="single" w:sz="4" w:space="0" w:color="auto"/>
            </w:tcBorders>
          </w:tcPr>
          <w:p w14:paraId="15A8CABB" w14:textId="77777777" w:rsidR="006A2B1D" w:rsidRPr="006557B3" w:rsidRDefault="006A2B1D">
            <w:pPr>
              <w:tabs>
                <w:tab w:val="left" w:pos="8647"/>
              </w:tabs>
              <w:jc w:val="both"/>
              <w:rPr>
                <w:sz w:val="22"/>
                <w:szCs w:val="22"/>
              </w:rPr>
            </w:pPr>
          </w:p>
        </w:tc>
        <w:tc>
          <w:tcPr>
            <w:tcW w:w="1473" w:type="dxa"/>
            <w:tcBorders>
              <w:top w:val="single" w:sz="4" w:space="0" w:color="auto"/>
              <w:left w:val="single" w:sz="4" w:space="0" w:color="auto"/>
              <w:bottom w:val="single" w:sz="4" w:space="0" w:color="auto"/>
              <w:right w:val="single" w:sz="4" w:space="0" w:color="auto"/>
            </w:tcBorders>
          </w:tcPr>
          <w:p w14:paraId="07761711" w14:textId="77777777" w:rsidR="006A2B1D" w:rsidRPr="006557B3" w:rsidRDefault="006A2B1D">
            <w:pPr>
              <w:tabs>
                <w:tab w:val="left" w:pos="8647"/>
              </w:tabs>
              <w:jc w:val="center"/>
              <w:rPr>
                <w:bCs/>
                <w:sz w:val="22"/>
                <w:szCs w:val="22"/>
              </w:rPr>
            </w:pPr>
          </w:p>
        </w:tc>
      </w:tr>
      <w:tr w:rsidR="006A2B1D" w:rsidRPr="006557B3" w14:paraId="6D08A67A" w14:textId="77777777" w:rsidTr="006A2B1D">
        <w:trPr>
          <w:trHeight w:val="549"/>
        </w:trPr>
        <w:tc>
          <w:tcPr>
            <w:tcW w:w="890" w:type="dxa"/>
            <w:tcBorders>
              <w:top w:val="single" w:sz="4" w:space="0" w:color="auto"/>
              <w:left w:val="single" w:sz="4" w:space="0" w:color="auto"/>
              <w:bottom w:val="single" w:sz="4" w:space="0" w:color="auto"/>
              <w:right w:val="single" w:sz="4" w:space="0" w:color="auto"/>
            </w:tcBorders>
            <w:hideMark/>
          </w:tcPr>
          <w:p w14:paraId="682F99A8" w14:textId="77777777" w:rsidR="006A2B1D" w:rsidRPr="006557B3" w:rsidRDefault="006A2B1D">
            <w:pPr>
              <w:tabs>
                <w:tab w:val="left" w:pos="8647"/>
              </w:tabs>
              <w:jc w:val="both"/>
              <w:rPr>
                <w:bCs/>
                <w:sz w:val="22"/>
                <w:szCs w:val="22"/>
              </w:rPr>
            </w:pPr>
            <w:r w:rsidRPr="006557B3">
              <w:rPr>
                <w:bCs/>
                <w:sz w:val="22"/>
                <w:szCs w:val="22"/>
              </w:rPr>
              <w:t>3.1.</w:t>
            </w:r>
          </w:p>
        </w:tc>
        <w:tc>
          <w:tcPr>
            <w:tcW w:w="4054" w:type="dxa"/>
            <w:tcBorders>
              <w:top w:val="single" w:sz="4" w:space="0" w:color="auto"/>
              <w:left w:val="single" w:sz="4" w:space="0" w:color="auto"/>
              <w:bottom w:val="single" w:sz="4" w:space="0" w:color="auto"/>
              <w:right w:val="single" w:sz="4" w:space="0" w:color="auto"/>
            </w:tcBorders>
            <w:hideMark/>
          </w:tcPr>
          <w:p w14:paraId="0526A0E5" w14:textId="77777777" w:rsidR="006A2B1D" w:rsidRPr="006557B3" w:rsidRDefault="006A2B1D">
            <w:pPr>
              <w:tabs>
                <w:tab w:val="left" w:pos="8647"/>
              </w:tabs>
              <w:jc w:val="both"/>
              <w:rPr>
                <w:sz w:val="22"/>
                <w:szCs w:val="22"/>
              </w:rPr>
            </w:pPr>
            <w:r w:rsidRPr="006557B3">
              <w:rPr>
                <w:sz w:val="22"/>
                <w:szCs w:val="22"/>
              </w:rPr>
              <w:t>1 preses konference 35 personām.</w:t>
            </w:r>
          </w:p>
        </w:tc>
        <w:tc>
          <w:tcPr>
            <w:tcW w:w="1412" w:type="dxa"/>
            <w:tcBorders>
              <w:top w:val="single" w:sz="4" w:space="0" w:color="auto"/>
              <w:left w:val="single" w:sz="4" w:space="0" w:color="auto"/>
              <w:bottom w:val="single" w:sz="4" w:space="0" w:color="auto"/>
              <w:right w:val="single" w:sz="4" w:space="0" w:color="auto"/>
            </w:tcBorders>
          </w:tcPr>
          <w:p w14:paraId="35F72305" w14:textId="77777777" w:rsidR="006A2B1D" w:rsidRPr="006557B3" w:rsidRDefault="006A2B1D">
            <w:pPr>
              <w:rPr>
                <w:sz w:val="22"/>
                <w:szCs w:val="22"/>
              </w:rPr>
            </w:pPr>
          </w:p>
        </w:tc>
        <w:tc>
          <w:tcPr>
            <w:tcW w:w="1413" w:type="dxa"/>
            <w:tcBorders>
              <w:top w:val="single" w:sz="4" w:space="0" w:color="auto"/>
              <w:left w:val="single" w:sz="4" w:space="0" w:color="auto"/>
              <w:bottom w:val="single" w:sz="4" w:space="0" w:color="auto"/>
              <w:right w:val="single" w:sz="4" w:space="0" w:color="auto"/>
            </w:tcBorders>
            <w:hideMark/>
          </w:tcPr>
          <w:p w14:paraId="650748A3" w14:textId="77777777" w:rsidR="006A2B1D" w:rsidRPr="006557B3" w:rsidRDefault="006A2B1D">
            <w:pPr>
              <w:tabs>
                <w:tab w:val="left" w:pos="8647"/>
              </w:tabs>
              <w:jc w:val="both"/>
              <w:rPr>
                <w:sz w:val="22"/>
                <w:szCs w:val="22"/>
              </w:rPr>
            </w:pPr>
            <w:r w:rsidRPr="006557B3">
              <w:rPr>
                <w:sz w:val="22"/>
                <w:szCs w:val="22"/>
              </w:rPr>
              <w:t xml:space="preserve">1 000,00 </w:t>
            </w:r>
            <w:r w:rsidRPr="006557B3">
              <w:rPr>
                <w:i/>
                <w:sz w:val="22"/>
                <w:szCs w:val="22"/>
              </w:rPr>
              <w:t>euro</w:t>
            </w:r>
          </w:p>
        </w:tc>
        <w:tc>
          <w:tcPr>
            <w:tcW w:w="1473" w:type="dxa"/>
            <w:tcBorders>
              <w:top w:val="single" w:sz="4" w:space="0" w:color="auto"/>
              <w:left w:val="single" w:sz="4" w:space="0" w:color="auto"/>
              <w:bottom w:val="single" w:sz="4" w:space="0" w:color="auto"/>
              <w:right w:val="single" w:sz="4" w:space="0" w:color="auto"/>
            </w:tcBorders>
            <w:hideMark/>
          </w:tcPr>
          <w:p w14:paraId="637A7C8A" w14:textId="77777777" w:rsidR="006A2B1D" w:rsidRPr="006557B3" w:rsidRDefault="006A2B1D">
            <w:pPr>
              <w:tabs>
                <w:tab w:val="left" w:pos="8647"/>
              </w:tabs>
              <w:jc w:val="center"/>
              <w:rPr>
                <w:bCs/>
                <w:sz w:val="22"/>
                <w:szCs w:val="22"/>
              </w:rPr>
            </w:pPr>
            <w:r w:rsidRPr="006557B3">
              <w:rPr>
                <w:bCs/>
                <w:sz w:val="22"/>
                <w:szCs w:val="22"/>
              </w:rPr>
              <w:t>-</w:t>
            </w:r>
          </w:p>
        </w:tc>
      </w:tr>
      <w:tr w:rsidR="006A2B1D" w:rsidRPr="006557B3" w14:paraId="7B87D434" w14:textId="77777777" w:rsidTr="006A2B1D">
        <w:tc>
          <w:tcPr>
            <w:tcW w:w="890" w:type="dxa"/>
            <w:tcBorders>
              <w:top w:val="single" w:sz="4" w:space="0" w:color="auto"/>
              <w:left w:val="single" w:sz="4" w:space="0" w:color="auto"/>
              <w:bottom w:val="single" w:sz="4" w:space="0" w:color="auto"/>
              <w:right w:val="single" w:sz="4" w:space="0" w:color="auto"/>
            </w:tcBorders>
            <w:hideMark/>
          </w:tcPr>
          <w:p w14:paraId="7FE7892F" w14:textId="77777777" w:rsidR="006A2B1D" w:rsidRPr="006557B3" w:rsidRDefault="006A2B1D">
            <w:pPr>
              <w:tabs>
                <w:tab w:val="left" w:pos="8647"/>
              </w:tabs>
              <w:jc w:val="both"/>
              <w:rPr>
                <w:bCs/>
                <w:sz w:val="22"/>
                <w:szCs w:val="22"/>
              </w:rPr>
            </w:pPr>
            <w:r w:rsidRPr="006557B3">
              <w:rPr>
                <w:bCs/>
                <w:sz w:val="22"/>
                <w:szCs w:val="22"/>
              </w:rPr>
              <w:t>3.2.</w:t>
            </w:r>
          </w:p>
        </w:tc>
        <w:tc>
          <w:tcPr>
            <w:tcW w:w="4054" w:type="dxa"/>
            <w:tcBorders>
              <w:top w:val="single" w:sz="4" w:space="0" w:color="auto"/>
              <w:left w:val="single" w:sz="4" w:space="0" w:color="auto"/>
              <w:bottom w:val="single" w:sz="4" w:space="0" w:color="auto"/>
              <w:right w:val="single" w:sz="4" w:space="0" w:color="auto"/>
            </w:tcBorders>
            <w:hideMark/>
          </w:tcPr>
          <w:p w14:paraId="7086BB72" w14:textId="77777777" w:rsidR="006A2B1D" w:rsidRPr="006557B3" w:rsidRDefault="006A2B1D">
            <w:pPr>
              <w:tabs>
                <w:tab w:val="left" w:pos="8647"/>
              </w:tabs>
              <w:jc w:val="both"/>
              <w:rPr>
                <w:sz w:val="22"/>
                <w:szCs w:val="22"/>
              </w:rPr>
            </w:pPr>
            <w:r w:rsidRPr="006557B3">
              <w:rPr>
                <w:sz w:val="22"/>
                <w:szCs w:val="22"/>
              </w:rPr>
              <w:t>1 seminārs 35 personām ;</w:t>
            </w:r>
          </w:p>
          <w:p w14:paraId="7BD1E97D" w14:textId="393664CD" w:rsidR="006A2B1D" w:rsidRPr="006557B3" w:rsidRDefault="006A2B1D" w:rsidP="00CD4922">
            <w:pPr>
              <w:tabs>
                <w:tab w:val="left" w:pos="8647"/>
              </w:tabs>
              <w:jc w:val="both"/>
              <w:rPr>
                <w:bCs/>
                <w:sz w:val="22"/>
                <w:szCs w:val="22"/>
              </w:rPr>
            </w:pPr>
            <w:r w:rsidRPr="006557B3">
              <w:rPr>
                <w:sz w:val="22"/>
                <w:szCs w:val="22"/>
              </w:rPr>
              <w:lastRenderedPageBreak/>
              <w:t xml:space="preserve">(Ja 50 personām, tad summa palielinās uz 2000,00 </w:t>
            </w:r>
            <w:r w:rsidRPr="00CA652E">
              <w:rPr>
                <w:i/>
                <w:sz w:val="22"/>
                <w:szCs w:val="22"/>
              </w:rPr>
              <w:t>euro</w:t>
            </w:r>
            <w:r w:rsidRPr="006557B3">
              <w:rPr>
                <w:sz w:val="22"/>
                <w:szCs w:val="22"/>
              </w:rPr>
              <w:t>)</w:t>
            </w:r>
          </w:p>
        </w:tc>
        <w:tc>
          <w:tcPr>
            <w:tcW w:w="1412" w:type="dxa"/>
            <w:tcBorders>
              <w:top w:val="single" w:sz="4" w:space="0" w:color="auto"/>
              <w:left w:val="single" w:sz="4" w:space="0" w:color="auto"/>
              <w:bottom w:val="single" w:sz="4" w:space="0" w:color="auto"/>
              <w:right w:val="single" w:sz="4" w:space="0" w:color="auto"/>
            </w:tcBorders>
          </w:tcPr>
          <w:p w14:paraId="3EF761F6" w14:textId="77777777" w:rsidR="006A2B1D" w:rsidRPr="006557B3" w:rsidRDefault="006A2B1D">
            <w:pPr>
              <w:rPr>
                <w:sz w:val="22"/>
                <w:szCs w:val="22"/>
              </w:rPr>
            </w:pPr>
          </w:p>
        </w:tc>
        <w:tc>
          <w:tcPr>
            <w:tcW w:w="1413" w:type="dxa"/>
            <w:tcBorders>
              <w:top w:val="single" w:sz="4" w:space="0" w:color="auto"/>
              <w:left w:val="single" w:sz="4" w:space="0" w:color="auto"/>
              <w:bottom w:val="single" w:sz="4" w:space="0" w:color="auto"/>
              <w:right w:val="single" w:sz="4" w:space="0" w:color="auto"/>
            </w:tcBorders>
            <w:hideMark/>
          </w:tcPr>
          <w:p w14:paraId="3375F675" w14:textId="77777777" w:rsidR="006A2B1D" w:rsidRPr="006557B3" w:rsidRDefault="006A2B1D">
            <w:pPr>
              <w:tabs>
                <w:tab w:val="left" w:pos="8647"/>
              </w:tabs>
              <w:jc w:val="both"/>
              <w:rPr>
                <w:sz w:val="22"/>
                <w:szCs w:val="22"/>
              </w:rPr>
            </w:pPr>
            <w:r w:rsidRPr="006557B3">
              <w:rPr>
                <w:bCs/>
                <w:sz w:val="22"/>
                <w:szCs w:val="22"/>
              </w:rPr>
              <w:t xml:space="preserve">1000,00 </w:t>
            </w:r>
            <w:r w:rsidRPr="006557B3">
              <w:rPr>
                <w:bCs/>
                <w:i/>
                <w:sz w:val="22"/>
                <w:szCs w:val="22"/>
              </w:rPr>
              <w:t>euro</w:t>
            </w:r>
          </w:p>
        </w:tc>
        <w:tc>
          <w:tcPr>
            <w:tcW w:w="1473" w:type="dxa"/>
            <w:tcBorders>
              <w:top w:val="single" w:sz="4" w:space="0" w:color="auto"/>
              <w:left w:val="single" w:sz="4" w:space="0" w:color="auto"/>
              <w:bottom w:val="single" w:sz="4" w:space="0" w:color="auto"/>
              <w:right w:val="single" w:sz="4" w:space="0" w:color="auto"/>
            </w:tcBorders>
            <w:hideMark/>
          </w:tcPr>
          <w:p w14:paraId="4F7CA30C" w14:textId="77777777" w:rsidR="006A2B1D" w:rsidRPr="006557B3" w:rsidRDefault="006A2B1D">
            <w:pPr>
              <w:tabs>
                <w:tab w:val="left" w:pos="8647"/>
              </w:tabs>
              <w:jc w:val="center"/>
              <w:rPr>
                <w:bCs/>
                <w:sz w:val="22"/>
                <w:szCs w:val="22"/>
              </w:rPr>
            </w:pPr>
            <w:r w:rsidRPr="006557B3">
              <w:rPr>
                <w:bCs/>
                <w:sz w:val="22"/>
                <w:szCs w:val="22"/>
              </w:rPr>
              <w:t>-</w:t>
            </w:r>
          </w:p>
        </w:tc>
      </w:tr>
      <w:tr w:rsidR="006A2B1D" w:rsidRPr="006557B3" w14:paraId="15E9E6C8" w14:textId="77777777" w:rsidTr="006A2B1D">
        <w:tc>
          <w:tcPr>
            <w:tcW w:w="890" w:type="dxa"/>
            <w:tcBorders>
              <w:top w:val="single" w:sz="4" w:space="0" w:color="auto"/>
              <w:left w:val="single" w:sz="4" w:space="0" w:color="auto"/>
              <w:bottom w:val="single" w:sz="4" w:space="0" w:color="auto"/>
              <w:right w:val="single" w:sz="4" w:space="0" w:color="auto"/>
            </w:tcBorders>
            <w:hideMark/>
          </w:tcPr>
          <w:p w14:paraId="24E4CEB8" w14:textId="77777777" w:rsidR="006A2B1D" w:rsidRPr="006557B3" w:rsidRDefault="006A2B1D">
            <w:pPr>
              <w:tabs>
                <w:tab w:val="left" w:pos="8647"/>
              </w:tabs>
              <w:jc w:val="both"/>
              <w:rPr>
                <w:bCs/>
                <w:sz w:val="22"/>
                <w:szCs w:val="22"/>
              </w:rPr>
            </w:pPr>
            <w:r w:rsidRPr="006557B3">
              <w:rPr>
                <w:bCs/>
                <w:sz w:val="22"/>
                <w:szCs w:val="22"/>
              </w:rPr>
              <w:t>3.3.</w:t>
            </w:r>
          </w:p>
        </w:tc>
        <w:tc>
          <w:tcPr>
            <w:tcW w:w="4054" w:type="dxa"/>
            <w:tcBorders>
              <w:top w:val="single" w:sz="4" w:space="0" w:color="auto"/>
              <w:left w:val="single" w:sz="4" w:space="0" w:color="auto"/>
              <w:bottom w:val="single" w:sz="4" w:space="0" w:color="auto"/>
              <w:right w:val="single" w:sz="4" w:space="0" w:color="auto"/>
            </w:tcBorders>
            <w:hideMark/>
          </w:tcPr>
          <w:p w14:paraId="78DB3E2F" w14:textId="77777777" w:rsidR="006A2B1D" w:rsidRPr="006557B3" w:rsidRDefault="006A2B1D">
            <w:pPr>
              <w:tabs>
                <w:tab w:val="left" w:pos="8647"/>
              </w:tabs>
              <w:jc w:val="both"/>
              <w:rPr>
                <w:sz w:val="22"/>
                <w:szCs w:val="22"/>
              </w:rPr>
            </w:pPr>
            <w:r w:rsidRPr="006557B3">
              <w:rPr>
                <w:sz w:val="22"/>
                <w:szCs w:val="22"/>
              </w:rPr>
              <w:t>citas aktivitātes (iespējamās ārpustelpu aktivitātes u.c., uzrunājot patērētājus, piemēram, pilsētas svētki) 4 izbraukumi.</w:t>
            </w:r>
          </w:p>
          <w:p w14:paraId="0DED8D02" w14:textId="77777777" w:rsidR="006A2B1D" w:rsidRPr="006557B3" w:rsidRDefault="006A2B1D">
            <w:pPr>
              <w:tabs>
                <w:tab w:val="left" w:pos="8647"/>
              </w:tabs>
              <w:jc w:val="both"/>
              <w:rPr>
                <w:bCs/>
                <w:i/>
                <w:sz w:val="22"/>
                <w:szCs w:val="22"/>
              </w:rPr>
            </w:pPr>
            <w:r w:rsidRPr="006557B3">
              <w:rPr>
                <w:sz w:val="22"/>
                <w:szCs w:val="22"/>
              </w:rPr>
              <w:t xml:space="preserve">4 x 500,00 </w:t>
            </w:r>
            <w:r w:rsidRPr="006557B3">
              <w:rPr>
                <w:i/>
                <w:sz w:val="22"/>
                <w:szCs w:val="22"/>
              </w:rPr>
              <w:t>euro</w:t>
            </w:r>
            <w:r w:rsidRPr="006557B3">
              <w:rPr>
                <w:sz w:val="22"/>
                <w:szCs w:val="22"/>
              </w:rPr>
              <w:t xml:space="preserve">=2000,00 </w:t>
            </w:r>
            <w:r w:rsidRPr="006557B3">
              <w:rPr>
                <w:i/>
                <w:sz w:val="22"/>
                <w:szCs w:val="22"/>
              </w:rPr>
              <w:t>euro</w:t>
            </w:r>
          </w:p>
        </w:tc>
        <w:tc>
          <w:tcPr>
            <w:tcW w:w="1412" w:type="dxa"/>
            <w:tcBorders>
              <w:top w:val="single" w:sz="4" w:space="0" w:color="auto"/>
              <w:left w:val="single" w:sz="4" w:space="0" w:color="auto"/>
              <w:bottom w:val="single" w:sz="4" w:space="0" w:color="auto"/>
              <w:right w:val="single" w:sz="4" w:space="0" w:color="auto"/>
            </w:tcBorders>
            <w:hideMark/>
          </w:tcPr>
          <w:p w14:paraId="6D4749FC" w14:textId="77777777" w:rsidR="006A2B1D" w:rsidRPr="006557B3" w:rsidRDefault="006A2B1D">
            <w:pPr>
              <w:rPr>
                <w:bCs/>
                <w:i/>
                <w:sz w:val="22"/>
                <w:szCs w:val="22"/>
              </w:rPr>
            </w:pPr>
          </w:p>
        </w:tc>
        <w:tc>
          <w:tcPr>
            <w:tcW w:w="1413" w:type="dxa"/>
            <w:tcBorders>
              <w:top w:val="single" w:sz="4" w:space="0" w:color="auto"/>
              <w:left w:val="single" w:sz="4" w:space="0" w:color="auto"/>
              <w:bottom w:val="single" w:sz="4" w:space="0" w:color="auto"/>
              <w:right w:val="single" w:sz="4" w:space="0" w:color="auto"/>
            </w:tcBorders>
            <w:hideMark/>
          </w:tcPr>
          <w:p w14:paraId="62EE3497" w14:textId="77777777" w:rsidR="006A2B1D" w:rsidRPr="006557B3" w:rsidRDefault="006A2B1D">
            <w:pPr>
              <w:tabs>
                <w:tab w:val="left" w:pos="8647"/>
              </w:tabs>
              <w:jc w:val="both"/>
              <w:rPr>
                <w:bCs/>
                <w:sz w:val="22"/>
                <w:szCs w:val="22"/>
                <w:lang w:val="fr-FR"/>
              </w:rPr>
            </w:pPr>
            <w:r w:rsidRPr="006557B3">
              <w:rPr>
                <w:bCs/>
                <w:sz w:val="22"/>
                <w:szCs w:val="22"/>
              </w:rPr>
              <w:t xml:space="preserve">2 000,00 </w:t>
            </w:r>
            <w:r w:rsidRPr="006557B3">
              <w:rPr>
                <w:bCs/>
                <w:i/>
                <w:sz w:val="22"/>
                <w:szCs w:val="22"/>
              </w:rPr>
              <w:t>euro</w:t>
            </w:r>
          </w:p>
        </w:tc>
        <w:tc>
          <w:tcPr>
            <w:tcW w:w="1473" w:type="dxa"/>
            <w:tcBorders>
              <w:top w:val="single" w:sz="4" w:space="0" w:color="auto"/>
              <w:left w:val="single" w:sz="4" w:space="0" w:color="auto"/>
              <w:bottom w:val="single" w:sz="4" w:space="0" w:color="auto"/>
              <w:right w:val="single" w:sz="4" w:space="0" w:color="auto"/>
            </w:tcBorders>
            <w:hideMark/>
          </w:tcPr>
          <w:p w14:paraId="6764825C" w14:textId="77777777" w:rsidR="006A2B1D" w:rsidRPr="006557B3" w:rsidRDefault="006A2B1D">
            <w:pPr>
              <w:tabs>
                <w:tab w:val="left" w:pos="8647"/>
              </w:tabs>
              <w:jc w:val="center"/>
              <w:rPr>
                <w:bCs/>
                <w:sz w:val="22"/>
                <w:szCs w:val="22"/>
              </w:rPr>
            </w:pPr>
            <w:r w:rsidRPr="006557B3">
              <w:rPr>
                <w:bCs/>
                <w:sz w:val="22"/>
                <w:szCs w:val="22"/>
              </w:rPr>
              <w:t>-</w:t>
            </w:r>
          </w:p>
        </w:tc>
      </w:tr>
      <w:tr w:rsidR="006A2B1D" w:rsidRPr="006557B3" w14:paraId="1676DDC7" w14:textId="77777777" w:rsidTr="006A2B1D">
        <w:tc>
          <w:tcPr>
            <w:tcW w:w="890" w:type="dxa"/>
            <w:tcBorders>
              <w:top w:val="single" w:sz="4" w:space="0" w:color="auto"/>
              <w:left w:val="single" w:sz="4" w:space="0" w:color="auto"/>
              <w:bottom w:val="single" w:sz="4" w:space="0" w:color="auto"/>
              <w:right w:val="single" w:sz="4" w:space="0" w:color="auto"/>
            </w:tcBorders>
          </w:tcPr>
          <w:p w14:paraId="49473496" w14:textId="77777777" w:rsidR="006A2B1D" w:rsidRPr="006557B3" w:rsidRDefault="006A2B1D">
            <w:pPr>
              <w:tabs>
                <w:tab w:val="left" w:pos="8647"/>
              </w:tabs>
              <w:jc w:val="both"/>
              <w:rPr>
                <w:bCs/>
                <w:sz w:val="22"/>
                <w:szCs w:val="22"/>
              </w:rPr>
            </w:pPr>
          </w:p>
        </w:tc>
        <w:tc>
          <w:tcPr>
            <w:tcW w:w="4054" w:type="dxa"/>
            <w:tcBorders>
              <w:top w:val="single" w:sz="4" w:space="0" w:color="auto"/>
              <w:left w:val="single" w:sz="4" w:space="0" w:color="auto"/>
              <w:bottom w:val="single" w:sz="4" w:space="0" w:color="auto"/>
              <w:right w:val="single" w:sz="4" w:space="0" w:color="auto"/>
            </w:tcBorders>
            <w:hideMark/>
          </w:tcPr>
          <w:p w14:paraId="4BB94598" w14:textId="77777777" w:rsidR="006A2B1D" w:rsidRPr="006557B3" w:rsidRDefault="006A2B1D">
            <w:pPr>
              <w:tabs>
                <w:tab w:val="left" w:pos="8647"/>
              </w:tabs>
              <w:jc w:val="both"/>
              <w:rPr>
                <w:sz w:val="22"/>
                <w:szCs w:val="22"/>
              </w:rPr>
            </w:pPr>
            <w:r w:rsidRPr="006557B3">
              <w:rPr>
                <w:sz w:val="22"/>
                <w:szCs w:val="22"/>
              </w:rPr>
              <w:t>Kopā</w:t>
            </w:r>
            <w:r w:rsidRPr="006557B3">
              <w:rPr>
                <w:color w:val="000000" w:themeColor="text1"/>
                <w:sz w:val="22"/>
                <w:szCs w:val="22"/>
              </w:rPr>
              <w:t>***:</w:t>
            </w:r>
          </w:p>
        </w:tc>
        <w:tc>
          <w:tcPr>
            <w:tcW w:w="1412" w:type="dxa"/>
            <w:tcBorders>
              <w:top w:val="single" w:sz="4" w:space="0" w:color="auto"/>
              <w:left w:val="single" w:sz="4" w:space="0" w:color="auto"/>
              <w:bottom w:val="single" w:sz="4" w:space="0" w:color="auto"/>
              <w:right w:val="single" w:sz="4" w:space="0" w:color="auto"/>
            </w:tcBorders>
            <w:hideMark/>
          </w:tcPr>
          <w:p w14:paraId="1DAFAFAA" w14:textId="77777777" w:rsidR="006A2B1D" w:rsidRPr="006557B3" w:rsidRDefault="006A2B1D">
            <w:pPr>
              <w:tabs>
                <w:tab w:val="left" w:pos="8647"/>
              </w:tabs>
              <w:jc w:val="both"/>
              <w:rPr>
                <w:b/>
                <w:sz w:val="22"/>
                <w:szCs w:val="22"/>
              </w:rPr>
            </w:pPr>
            <w:r w:rsidRPr="006557B3">
              <w:rPr>
                <w:b/>
                <w:sz w:val="22"/>
                <w:szCs w:val="22"/>
              </w:rPr>
              <w:t>6 000,00</w:t>
            </w:r>
          </w:p>
          <w:p w14:paraId="77F2BF42" w14:textId="77777777" w:rsidR="006A2B1D" w:rsidRPr="006557B3" w:rsidRDefault="006A2B1D">
            <w:pPr>
              <w:tabs>
                <w:tab w:val="left" w:pos="8647"/>
              </w:tabs>
              <w:jc w:val="both"/>
              <w:rPr>
                <w:b/>
                <w:i/>
                <w:sz w:val="22"/>
                <w:szCs w:val="22"/>
              </w:rPr>
            </w:pPr>
            <w:r w:rsidRPr="006557B3">
              <w:rPr>
                <w:b/>
                <w:i/>
                <w:sz w:val="22"/>
                <w:szCs w:val="22"/>
              </w:rPr>
              <w:t>euro</w:t>
            </w:r>
          </w:p>
        </w:tc>
        <w:tc>
          <w:tcPr>
            <w:tcW w:w="1413" w:type="dxa"/>
            <w:tcBorders>
              <w:top w:val="single" w:sz="4" w:space="0" w:color="auto"/>
              <w:left w:val="single" w:sz="4" w:space="0" w:color="auto"/>
              <w:bottom w:val="single" w:sz="4" w:space="0" w:color="auto"/>
              <w:right w:val="single" w:sz="4" w:space="0" w:color="auto"/>
            </w:tcBorders>
            <w:hideMark/>
          </w:tcPr>
          <w:p w14:paraId="36A03127" w14:textId="77777777" w:rsidR="006A2B1D" w:rsidRPr="006557B3" w:rsidRDefault="006A2B1D">
            <w:pPr>
              <w:tabs>
                <w:tab w:val="left" w:pos="8647"/>
              </w:tabs>
              <w:jc w:val="both"/>
              <w:rPr>
                <w:b/>
                <w:sz w:val="22"/>
                <w:szCs w:val="22"/>
              </w:rPr>
            </w:pPr>
            <w:r w:rsidRPr="006557B3">
              <w:rPr>
                <w:b/>
                <w:sz w:val="22"/>
                <w:szCs w:val="22"/>
              </w:rPr>
              <w:t>64 000,00</w:t>
            </w:r>
          </w:p>
          <w:p w14:paraId="3A8A677B" w14:textId="77777777" w:rsidR="006A2B1D" w:rsidRPr="006557B3" w:rsidRDefault="006A2B1D">
            <w:pPr>
              <w:tabs>
                <w:tab w:val="left" w:pos="8647"/>
              </w:tabs>
              <w:jc w:val="both"/>
              <w:rPr>
                <w:b/>
                <w:i/>
                <w:sz w:val="22"/>
                <w:szCs w:val="22"/>
              </w:rPr>
            </w:pPr>
            <w:r w:rsidRPr="006557B3">
              <w:rPr>
                <w:b/>
                <w:i/>
                <w:sz w:val="22"/>
                <w:szCs w:val="22"/>
              </w:rPr>
              <w:t>euro</w:t>
            </w:r>
          </w:p>
        </w:tc>
        <w:tc>
          <w:tcPr>
            <w:tcW w:w="1473" w:type="dxa"/>
            <w:tcBorders>
              <w:top w:val="single" w:sz="4" w:space="0" w:color="auto"/>
              <w:left w:val="single" w:sz="4" w:space="0" w:color="auto"/>
              <w:bottom w:val="single" w:sz="4" w:space="0" w:color="auto"/>
              <w:right w:val="single" w:sz="4" w:space="0" w:color="auto"/>
            </w:tcBorders>
            <w:hideMark/>
          </w:tcPr>
          <w:p w14:paraId="6AB0AA01" w14:textId="77777777" w:rsidR="006A2B1D" w:rsidRPr="006557B3" w:rsidRDefault="006A2B1D">
            <w:pPr>
              <w:tabs>
                <w:tab w:val="left" w:pos="8647"/>
              </w:tabs>
              <w:jc w:val="center"/>
              <w:rPr>
                <w:b/>
                <w:sz w:val="22"/>
                <w:szCs w:val="22"/>
              </w:rPr>
            </w:pPr>
            <w:r w:rsidRPr="006557B3">
              <w:rPr>
                <w:b/>
                <w:sz w:val="22"/>
                <w:szCs w:val="22"/>
              </w:rPr>
              <w:t>-</w:t>
            </w:r>
          </w:p>
        </w:tc>
      </w:tr>
    </w:tbl>
    <w:p w14:paraId="1477A378" w14:textId="436D0916" w:rsidR="006A2B1D" w:rsidRPr="009501A2" w:rsidRDefault="006A2B1D" w:rsidP="006A2B1D">
      <w:pPr>
        <w:spacing w:after="0" w:line="240" w:lineRule="auto"/>
        <w:jc w:val="both"/>
        <w:rPr>
          <w:color w:val="000000" w:themeColor="text1"/>
          <w:sz w:val="24"/>
          <w:szCs w:val="24"/>
          <w:lang w:val="lv-LV"/>
        </w:rPr>
      </w:pPr>
      <w:r w:rsidRPr="009501A2">
        <w:rPr>
          <w:rFonts w:ascii="Times New Roman" w:hAnsi="Times New Roman"/>
          <w:color w:val="000000" w:themeColor="text1"/>
          <w:sz w:val="24"/>
          <w:szCs w:val="24"/>
          <w:lang w:val="lv-LV"/>
        </w:rPr>
        <w:t>* 2018.</w:t>
      </w:r>
      <w:r w:rsidR="00265D7E">
        <w:rPr>
          <w:rFonts w:ascii="Times New Roman" w:hAnsi="Times New Roman"/>
          <w:color w:val="000000" w:themeColor="text1"/>
          <w:sz w:val="24"/>
          <w:szCs w:val="24"/>
          <w:lang w:val="lv-LV"/>
        </w:rPr>
        <w:t xml:space="preserve"> </w:t>
      </w:r>
      <w:r w:rsidRPr="009501A2">
        <w:rPr>
          <w:rFonts w:ascii="Times New Roman" w:hAnsi="Times New Roman"/>
          <w:color w:val="000000" w:themeColor="text1"/>
          <w:sz w:val="24"/>
          <w:szCs w:val="24"/>
          <w:lang w:val="lv-LV"/>
        </w:rPr>
        <w:t>gadā plānota gatavošanās sabiedrības izglītošanas kampaņai (reklāmas materiālu izstrāde)</w:t>
      </w:r>
      <w:r w:rsidR="00F71964">
        <w:rPr>
          <w:rFonts w:ascii="Times New Roman" w:hAnsi="Times New Roman"/>
          <w:color w:val="000000" w:themeColor="text1"/>
          <w:sz w:val="24"/>
          <w:szCs w:val="24"/>
          <w:lang w:val="lv-LV"/>
        </w:rPr>
        <w:t>,</w:t>
      </w:r>
      <w:r w:rsidRPr="009501A2">
        <w:rPr>
          <w:rFonts w:ascii="Times New Roman" w:hAnsi="Times New Roman"/>
          <w:color w:val="000000" w:themeColor="text1"/>
          <w:sz w:val="24"/>
          <w:szCs w:val="24"/>
          <w:lang w:val="lv-LV"/>
        </w:rPr>
        <w:t xml:space="preserve"> 2019.</w:t>
      </w:r>
      <w:r w:rsidR="00265D7E">
        <w:rPr>
          <w:rFonts w:ascii="Times New Roman" w:hAnsi="Times New Roman"/>
          <w:color w:val="000000" w:themeColor="text1"/>
          <w:sz w:val="24"/>
          <w:szCs w:val="24"/>
          <w:lang w:val="lv-LV"/>
        </w:rPr>
        <w:t xml:space="preserve"> </w:t>
      </w:r>
      <w:r w:rsidRPr="009501A2">
        <w:rPr>
          <w:rFonts w:ascii="Times New Roman" w:hAnsi="Times New Roman"/>
          <w:color w:val="000000" w:themeColor="text1"/>
          <w:sz w:val="24"/>
          <w:szCs w:val="24"/>
          <w:lang w:val="lv-LV"/>
        </w:rPr>
        <w:t>gadā plānota sabiedrības izglītošanas kampaņa, bet 2020.</w:t>
      </w:r>
      <w:r w:rsidR="00265D7E">
        <w:rPr>
          <w:rFonts w:ascii="Times New Roman" w:hAnsi="Times New Roman"/>
          <w:color w:val="000000" w:themeColor="text1"/>
          <w:sz w:val="24"/>
          <w:szCs w:val="24"/>
          <w:lang w:val="lv-LV"/>
        </w:rPr>
        <w:t xml:space="preserve"> </w:t>
      </w:r>
      <w:r w:rsidRPr="009501A2">
        <w:rPr>
          <w:rFonts w:ascii="Times New Roman" w:hAnsi="Times New Roman"/>
          <w:color w:val="000000" w:themeColor="text1"/>
          <w:sz w:val="24"/>
          <w:szCs w:val="24"/>
          <w:lang w:val="lv-LV"/>
        </w:rPr>
        <w:t xml:space="preserve">gadā sabiedrības izglītošanas kampaņa netiek plānota. </w:t>
      </w:r>
    </w:p>
    <w:p w14:paraId="4CC6F13C" w14:textId="69CACE2C" w:rsidR="006A2B1D" w:rsidRPr="009501A2" w:rsidRDefault="006A2B1D" w:rsidP="006A2B1D">
      <w:pPr>
        <w:tabs>
          <w:tab w:val="left" w:pos="8647"/>
        </w:tabs>
        <w:spacing w:after="0" w:line="240" w:lineRule="auto"/>
        <w:jc w:val="both"/>
        <w:rPr>
          <w:rFonts w:ascii="Times New Roman" w:hAnsi="Times New Roman" w:cs="Times New Roman"/>
          <w:bCs/>
          <w:sz w:val="24"/>
          <w:szCs w:val="24"/>
          <w:lang w:val="lv-LV"/>
        </w:rPr>
      </w:pPr>
      <w:r w:rsidRPr="009501A2">
        <w:rPr>
          <w:rFonts w:ascii="Times New Roman" w:hAnsi="Times New Roman" w:cs="Times New Roman"/>
          <w:bCs/>
          <w:color w:val="000000" w:themeColor="text1"/>
          <w:sz w:val="24"/>
          <w:szCs w:val="24"/>
          <w:lang w:val="lv-LV"/>
        </w:rPr>
        <w:t>**</w:t>
      </w:r>
      <w:r w:rsidRPr="009501A2">
        <w:rPr>
          <w:rFonts w:ascii="Times New Roman" w:hAnsi="Times New Roman" w:cs="Times New Roman"/>
          <w:sz w:val="24"/>
          <w:szCs w:val="24"/>
          <w:lang w:val="lv-LV"/>
        </w:rPr>
        <w:t xml:space="preserve"> </w:t>
      </w:r>
      <w:r w:rsidR="000A5851" w:rsidRPr="009501A2">
        <w:rPr>
          <w:rFonts w:ascii="Times New Roman" w:hAnsi="Times New Roman" w:cs="Times New Roman"/>
          <w:sz w:val="24"/>
          <w:szCs w:val="24"/>
          <w:lang w:val="lv-LV"/>
        </w:rPr>
        <w:t>N</w:t>
      </w:r>
      <w:r w:rsidRPr="009501A2">
        <w:rPr>
          <w:rFonts w:ascii="Times New Roman" w:hAnsi="Times New Roman" w:cs="Times New Roman"/>
          <w:sz w:val="24"/>
          <w:szCs w:val="24"/>
          <w:lang w:val="lv-LV"/>
        </w:rPr>
        <w:t>orādītās cenas ir indikatīvas un var mainīties atkarībā no tirgus situācijas</w:t>
      </w:r>
      <w:r w:rsidR="000A5851" w:rsidRPr="009501A2">
        <w:rPr>
          <w:rFonts w:ascii="Times New Roman" w:hAnsi="Times New Roman" w:cs="Times New Roman"/>
          <w:sz w:val="24"/>
          <w:szCs w:val="24"/>
          <w:lang w:val="lv-LV"/>
        </w:rPr>
        <w:t>.</w:t>
      </w:r>
    </w:p>
    <w:p w14:paraId="07215EF2" w14:textId="2454605C" w:rsidR="006A2B1D" w:rsidRPr="00F71964" w:rsidRDefault="006A2B1D" w:rsidP="006A2B1D">
      <w:pPr>
        <w:tabs>
          <w:tab w:val="left" w:pos="8647"/>
        </w:tabs>
        <w:spacing w:after="0" w:line="240" w:lineRule="auto"/>
        <w:jc w:val="both"/>
        <w:rPr>
          <w:rFonts w:ascii="Times New Roman" w:hAnsi="Times New Roman" w:cs="Times New Roman"/>
          <w:bCs/>
          <w:sz w:val="24"/>
          <w:szCs w:val="24"/>
          <w:lang w:val="lv-LV"/>
        </w:rPr>
      </w:pPr>
      <w:r w:rsidRPr="009501A2">
        <w:rPr>
          <w:rFonts w:ascii="Times New Roman" w:hAnsi="Times New Roman" w:cs="Times New Roman"/>
          <w:color w:val="000000" w:themeColor="text1"/>
          <w:sz w:val="24"/>
          <w:szCs w:val="24"/>
          <w:lang w:val="lv-LV"/>
        </w:rPr>
        <w:t>***</w:t>
      </w:r>
      <w:r w:rsidRPr="009501A2">
        <w:rPr>
          <w:rFonts w:ascii="Times New Roman" w:hAnsi="Times New Roman" w:cs="Times New Roman"/>
          <w:color w:val="FF0000"/>
          <w:sz w:val="24"/>
          <w:szCs w:val="24"/>
          <w:lang w:val="lv-LV"/>
        </w:rPr>
        <w:t xml:space="preserve"> </w:t>
      </w:r>
      <w:r w:rsidR="000A5851" w:rsidRPr="000A5851">
        <w:rPr>
          <w:rFonts w:ascii="Times New Roman" w:hAnsi="Times New Roman"/>
          <w:bCs/>
          <w:sz w:val="24"/>
          <w:szCs w:val="24"/>
          <w:lang w:val="lv-LV"/>
        </w:rPr>
        <w:t>D</w:t>
      </w:r>
      <w:r w:rsidRPr="00F71964">
        <w:rPr>
          <w:rFonts w:ascii="Times New Roman" w:hAnsi="Times New Roman"/>
          <w:bCs/>
          <w:sz w:val="24"/>
          <w:szCs w:val="24"/>
          <w:lang w:val="lv-LV"/>
        </w:rPr>
        <w:t>arbinieku algas nav iekļautas finansējuma aprēķinā</w:t>
      </w:r>
    </w:p>
    <w:p w14:paraId="26441CB8" w14:textId="77777777" w:rsidR="006A2B1D" w:rsidRPr="006557B3" w:rsidRDefault="006A2B1D" w:rsidP="006A2B1D">
      <w:pPr>
        <w:tabs>
          <w:tab w:val="left" w:pos="8647"/>
        </w:tabs>
        <w:spacing w:after="0" w:line="240" w:lineRule="auto"/>
        <w:jc w:val="both"/>
        <w:rPr>
          <w:rFonts w:ascii="Times New Roman" w:hAnsi="Times New Roman" w:cs="Times New Roman"/>
          <w:b/>
          <w:sz w:val="24"/>
          <w:szCs w:val="24"/>
          <w:lang w:val="lv-LV"/>
        </w:rPr>
      </w:pPr>
    </w:p>
    <w:p w14:paraId="1E0E782B" w14:textId="77777777" w:rsidR="006A2B1D" w:rsidRPr="006557B3" w:rsidRDefault="006A2B1D" w:rsidP="006A2B1D">
      <w:pPr>
        <w:tabs>
          <w:tab w:val="left" w:pos="8647"/>
        </w:tabs>
        <w:spacing w:after="0" w:line="240" w:lineRule="auto"/>
        <w:jc w:val="both"/>
        <w:rPr>
          <w:rFonts w:ascii="Times New Roman" w:hAnsi="Times New Roman" w:cs="Times New Roman"/>
          <w:b/>
          <w:color w:val="000000" w:themeColor="text1"/>
          <w:sz w:val="24"/>
          <w:szCs w:val="24"/>
          <w:lang w:val="lv-LV"/>
        </w:rPr>
      </w:pPr>
      <w:r w:rsidRPr="006557B3">
        <w:rPr>
          <w:rFonts w:ascii="Times New Roman" w:hAnsi="Times New Roman" w:cs="Times New Roman"/>
          <w:b/>
          <w:color w:val="000000" w:themeColor="text1"/>
          <w:sz w:val="24"/>
          <w:szCs w:val="24"/>
          <w:lang w:val="lv-LV"/>
        </w:rPr>
        <w:t>7.10. Kopsavilkums finansējuma pieprasīšanai</w:t>
      </w:r>
    </w:p>
    <w:p w14:paraId="2C24BB60" w14:textId="77777777" w:rsidR="006A2B1D" w:rsidRPr="006557B3" w:rsidRDefault="006A2B1D" w:rsidP="006A2B1D">
      <w:pPr>
        <w:tabs>
          <w:tab w:val="left" w:pos="8647"/>
        </w:tabs>
        <w:spacing w:after="0" w:line="240" w:lineRule="auto"/>
        <w:ind w:firstLine="709"/>
        <w:jc w:val="both"/>
        <w:rPr>
          <w:rFonts w:ascii="Times New Roman" w:hAnsi="Times New Roman" w:cs="Times New Roman"/>
          <w:bCs/>
          <w:color w:val="000000" w:themeColor="text1"/>
          <w:sz w:val="24"/>
          <w:szCs w:val="24"/>
          <w:lang w:val="lv-LV"/>
        </w:rPr>
      </w:pPr>
    </w:p>
    <w:tbl>
      <w:tblPr>
        <w:tblStyle w:val="Reatabula"/>
        <w:tblW w:w="0" w:type="auto"/>
        <w:tblLook w:val="04A0" w:firstRow="1" w:lastRow="0" w:firstColumn="1" w:lastColumn="0" w:noHBand="0" w:noVBand="1"/>
      </w:tblPr>
      <w:tblGrid>
        <w:gridCol w:w="885"/>
        <w:gridCol w:w="3876"/>
        <w:gridCol w:w="1399"/>
        <w:gridCol w:w="1400"/>
        <w:gridCol w:w="1456"/>
      </w:tblGrid>
      <w:tr w:rsidR="006A2B1D" w:rsidRPr="006557B3" w14:paraId="1E65DE3A" w14:textId="77777777" w:rsidTr="006A2B1D">
        <w:tc>
          <w:tcPr>
            <w:tcW w:w="890" w:type="dxa"/>
            <w:tcBorders>
              <w:top w:val="single" w:sz="4" w:space="0" w:color="auto"/>
              <w:left w:val="single" w:sz="4" w:space="0" w:color="auto"/>
              <w:bottom w:val="single" w:sz="4" w:space="0" w:color="auto"/>
              <w:right w:val="single" w:sz="4" w:space="0" w:color="auto"/>
            </w:tcBorders>
            <w:hideMark/>
          </w:tcPr>
          <w:p w14:paraId="18351CBB" w14:textId="77777777" w:rsidR="006A2B1D" w:rsidRPr="006557B3" w:rsidRDefault="006A2B1D">
            <w:pPr>
              <w:tabs>
                <w:tab w:val="left" w:pos="8647"/>
              </w:tabs>
              <w:jc w:val="center"/>
              <w:rPr>
                <w:bCs/>
                <w:color w:val="000000" w:themeColor="text1"/>
                <w:sz w:val="22"/>
                <w:szCs w:val="22"/>
              </w:rPr>
            </w:pPr>
            <w:r w:rsidRPr="006557B3">
              <w:rPr>
                <w:bCs/>
                <w:color w:val="000000" w:themeColor="text1"/>
                <w:sz w:val="22"/>
                <w:szCs w:val="22"/>
              </w:rPr>
              <w:t>Nr.p.k.</w:t>
            </w:r>
          </w:p>
        </w:tc>
        <w:tc>
          <w:tcPr>
            <w:tcW w:w="4054" w:type="dxa"/>
            <w:tcBorders>
              <w:top w:val="single" w:sz="4" w:space="0" w:color="auto"/>
              <w:left w:val="single" w:sz="4" w:space="0" w:color="auto"/>
              <w:bottom w:val="single" w:sz="4" w:space="0" w:color="auto"/>
              <w:right w:val="single" w:sz="4" w:space="0" w:color="auto"/>
            </w:tcBorders>
            <w:hideMark/>
          </w:tcPr>
          <w:p w14:paraId="489BF704" w14:textId="77777777" w:rsidR="006A2B1D" w:rsidRPr="006557B3" w:rsidRDefault="006A2B1D">
            <w:pPr>
              <w:tabs>
                <w:tab w:val="left" w:pos="8647"/>
              </w:tabs>
              <w:jc w:val="center"/>
              <w:rPr>
                <w:bCs/>
                <w:color w:val="000000" w:themeColor="text1"/>
                <w:sz w:val="22"/>
                <w:szCs w:val="22"/>
              </w:rPr>
            </w:pPr>
            <w:r w:rsidRPr="006557B3">
              <w:rPr>
                <w:bCs/>
                <w:color w:val="000000" w:themeColor="text1"/>
                <w:sz w:val="22"/>
                <w:szCs w:val="22"/>
              </w:rPr>
              <w:t>Pasākums</w:t>
            </w:r>
          </w:p>
        </w:tc>
        <w:tc>
          <w:tcPr>
            <w:tcW w:w="1412" w:type="dxa"/>
            <w:tcBorders>
              <w:top w:val="single" w:sz="4" w:space="0" w:color="auto"/>
              <w:left w:val="single" w:sz="4" w:space="0" w:color="auto"/>
              <w:bottom w:val="single" w:sz="4" w:space="0" w:color="auto"/>
              <w:right w:val="single" w:sz="4" w:space="0" w:color="auto"/>
            </w:tcBorders>
            <w:hideMark/>
          </w:tcPr>
          <w:p w14:paraId="2260406D" w14:textId="77777777" w:rsidR="006A2B1D" w:rsidRPr="006557B3" w:rsidRDefault="006A2B1D">
            <w:pPr>
              <w:tabs>
                <w:tab w:val="left" w:pos="8647"/>
              </w:tabs>
              <w:jc w:val="center"/>
              <w:rPr>
                <w:b/>
                <w:color w:val="000000" w:themeColor="text1"/>
                <w:sz w:val="22"/>
                <w:szCs w:val="22"/>
              </w:rPr>
            </w:pPr>
            <w:r w:rsidRPr="006557B3">
              <w:rPr>
                <w:b/>
                <w:color w:val="000000" w:themeColor="text1"/>
                <w:sz w:val="22"/>
                <w:szCs w:val="22"/>
              </w:rPr>
              <w:t>2018.gads</w:t>
            </w:r>
          </w:p>
        </w:tc>
        <w:tc>
          <w:tcPr>
            <w:tcW w:w="1413" w:type="dxa"/>
            <w:tcBorders>
              <w:top w:val="single" w:sz="4" w:space="0" w:color="auto"/>
              <w:left w:val="single" w:sz="4" w:space="0" w:color="auto"/>
              <w:bottom w:val="single" w:sz="4" w:space="0" w:color="auto"/>
              <w:right w:val="single" w:sz="4" w:space="0" w:color="auto"/>
            </w:tcBorders>
            <w:hideMark/>
          </w:tcPr>
          <w:p w14:paraId="6194659F" w14:textId="77777777" w:rsidR="006A2B1D" w:rsidRPr="006557B3" w:rsidRDefault="006A2B1D">
            <w:pPr>
              <w:tabs>
                <w:tab w:val="left" w:pos="8647"/>
              </w:tabs>
              <w:jc w:val="center"/>
              <w:rPr>
                <w:b/>
                <w:color w:val="000000" w:themeColor="text1"/>
                <w:sz w:val="22"/>
                <w:szCs w:val="22"/>
              </w:rPr>
            </w:pPr>
            <w:r w:rsidRPr="006557B3">
              <w:rPr>
                <w:b/>
                <w:color w:val="000000" w:themeColor="text1"/>
                <w:sz w:val="22"/>
                <w:szCs w:val="22"/>
              </w:rPr>
              <w:t>2019.gads</w:t>
            </w:r>
          </w:p>
        </w:tc>
        <w:tc>
          <w:tcPr>
            <w:tcW w:w="1473" w:type="dxa"/>
            <w:tcBorders>
              <w:top w:val="single" w:sz="4" w:space="0" w:color="auto"/>
              <w:left w:val="single" w:sz="4" w:space="0" w:color="auto"/>
              <w:bottom w:val="single" w:sz="4" w:space="0" w:color="auto"/>
              <w:right w:val="single" w:sz="4" w:space="0" w:color="auto"/>
            </w:tcBorders>
          </w:tcPr>
          <w:p w14:paraId="150B5E4E" w14:textId="77777777" w:rsidR="006A2B1D" w:rsidRPr="006557B3" w:rsidRDefault="006A2B1D">
            <w:pPr>
              <w:tabs>
                <w:tab w:val="left" w:pos="8647"/>
              </w:tabs>
              <w:jc w:val="center"/>
              <w:rPr>
                <w:b/>
                <w:color w:val="000000" w:themeColor="text1"/>
                <w:sz w:val="22"/>
                <w:szCs w:val="22"/>
              </w:rPr>
            </w:pPr>
            <w:r w:rsidRPr="006557B3">
              <w:rPr>
                <w:b/>
                <w:color w:val="000000" w:themeColor="text1"/>
                <w:sz w:val="22"/>
                <w:szCs w:val="22"/>
              </w:rPr>
              <w:t>2020.gads</w:t>
            </w:r>
          </w:p>
          <w:p w14:paraId="702D8C22" w14:textId="77777777" w:rsidR="006A2B1D" w:rsidRPr="006557B3" w:rsidRDefault="006A2B1D">
            <w:pPr>
              <w:tabs>
                <w:tab w:val="left" w:pos="8647"/>
              </w:tabs>
              <w:jc w:val="center"/>
              <w:rPr>
                <w:b/>
                <w:color w:val="000000" w:themeColor="text1"/>
                <w:sz w:val="22"/>
                <w:szCs w:val="22"/>
              </w:rPr>
            </w:pPr>
          </w:p>
        </w:tc>
      </w:tr>
      <w:tr w:rsidR="006A2B1D" w:rsidRPr="006557B3" w14:paraId="77823E69" w14:textId="77777777" w:rsidTr="006A2B1D">
        <w:tc>
          <w:tcPr>
            <w:tcW w:w="890" w:type="dxa"/>
            <w:tcBorders>
              <w:top w:val="single" w:sz="4" w:space="0" w:color="auto"/>
              <w:left w:val="single" w:sz="4" w:space="0" w:color="auto"/>
              <w:bottom w:val="single" w:sz="4" w:space="0" w:color="auto"/>
              <w:right w:val="single" w:sz="4" w:space="0" w:color="auto"/>
            </w:tcBorders>
            <w:hideMark/>
          </w:tcPr>
          <w:p w14:paraId="450B23DF" w14:textId="77777777" w:rsidR="006A2B1D" w:rsidRPr="006557B3" w:rsidRDefault="006A2B1D">
            <w:pPr>
              <w:tabs>
                <w:tab w:val="left" w:pos="8647"/>
              </w:tabs>
              <w:jc w:val="both"/>
              <w:rPr>
                <w:bCs/>
                <w:color w:val="000000" w:themeColor="text1"/>
                <w:sz w:val="22"/>
                <w:szCs w:val="22"/>
              </w:rPr>
            </w:pPr>
            <w:r w:rsidRPr="006557B3">
              <w:rPr>
                <w:bCs/>
                <w:color w:val="000000" w:themeColor="text1"/>
                <w:sz w:val="22"/>
                <w:szCs w:val="22"/>
              </w:rPr>
              <w:t>1.</w:t>
            </w:r>
          </w:p>
        </w:tc>
        <w:tc>
          <w:tcPr>
            <w:tcW w:w="4054" w:type="dxa"/>
            <w:tcBorders>
              <w:top w:val="single" w:sz="4" w:space="0" w:color="auto"/>
              <w:left w:val="single" w:sz="4" w:space="0" w:color="auto"/>
              <w:bottom w:val="single" w:sz="4" w:space="0" w:color="auto"/>
              <w:right w:val="single" w:sz="4" w:space="0" w:color="auto"/>
            </w:tcBorders>
            <w:hideMark/>
          </w:tcPr>
          <w:p w14:paraId="576C02D1" w14:textId="77777777" w:rsidR="006A2B1D" w:rsidRPr="006557B3" w:rsidRDefault="006A2B1D">
            <w:pPr>
              <w:tabs>
                <w:tab w:val="left" w:pos="8647"/>
              </w:tabs>
              <w:jc w:val="both"/>
              <w:rPr>
                <w:bCs/>
                <w:color w:val="000000" w:themeColor="text1"/>
                <w:sz w:val="22"/>
                <w:szCs w:val="22"/>
              </w:rPr>
            </w:pPr>
            <w:r w:rsidRPr="006557B3">
              <w:rPr>
                <w:color w:val="000000" w:themeColor="text1"/>
                <w:sz w:val="22"/>
                <w:szCs w:val="22"/>
              </w:rPr>
              <w:t>Pārtikas un veterinārais dienests</w:t>
            </w:r>
          </w:p>
        </w:tc>
        <w:tc>
          <w:tcPr>
            <w:tcW w:w="1412" w:type="dxa"/>
            <w:tcBorders>
              <w:top w:val="single" w:sz="4" w:space="0" w:color="auto"/>
              <w:left w:val="single" w:sz="4" w:space="0" w:color="auto"/>
              <w:bottom w:val="single" w:sz="4" w:space="0" w:color="auto"/>
              <w:right w:val="single" w:sz="4" w:space="0" w:color="auto"/>
            </w:tcBorders>
            <w:hideMark/>
          </w:tcPr>
          <w:p w14:paraId="65B4FFD6" w14:textId="40EE7CC2" w:rsidR="006A2B1D" w:rsidRPr="00262B85" w:rsidRDefault="006B4D44">
            <w:pPr>
              <w:tabs>
                <w:tab w:val="left" w:pos="8647"/>
              </w:tabs>
              <w:rPr>
                <w:color w:val="000000" w:themeColor="text1"/>
                <w:sz w:val="22"/>
                <w:szCs w:val="22"/>
              </w:rPr>
            </w:pPr>
            <w:r>
              <w:rPr>
                <w:color w:val="000000" w:themeColor="text1"/>
                <w:sz w:val="22"/>
                <w:szCs w:val="22"/>
              </w:rPr>
              <w:t>269 848</w:t>
            </w:r>
            <w:r w:rsidR="006A2B1D" w:rsidRPr="00262B85">
              <w:rPr>
                <w:color w:val="000000" w:themeColor="text1"/>
                <w:sz w:val="22"/>
                <w:szCs w:val="22"/>
              </w:rPr>
              <w:t>,00</w:t>
            </w:r>
          </w:p>
          <w:p w14:paraId="6BC7B4DE" w14:textId="77777777" w:rsidR="006A2B1D" w:rsidRPr="00262B85" w:rsidRDefault="006A2B1D">
            <w:pPr>
              <w:tabs>
                <w:tab w:val="left" w:pos="8647"/>
              </w:tabs>
              <w:rPr>
                <w:color w:val="000000" w:themeColor="text1"/>
                <w:sz w:val="22"/>
                <w:szCs w:val="22"/>
              </w:rPr>
            </w:pPr>
            <w:r w:rsidRPr="00262B85">
              <w:rPr>
                <w:i/>
                <w:color w:val="000000" w:themeColor="text1"/>
                <w:sz w:val="22"/>
                <w:szCs w:val="22"/>
              </w:rPr>
              <w:t>euro</w:t>
            </w:r>
          </w:p>
        </w:tc>
        <w:tc>
          <w:tcPr>
            <w:tcW w:w="1413" w:type="dxa"/>
            <w:tcBorders>
              <w:top w:val="single" w:sz="4" w:space="0" w:color="auto"/>
              <w:left w:val="single" w:sz="4" w:space="0" w:color="auto"/>
              <w:bottom w:val="single" w:sz="4" w:space="0" w:color="auto"/>
              <w:right w:val="single" w:sz="4" w:space="0" w:color="auto"/>
            </w:tcBorders>
            <w:hideMark/>
          </w:tcPr>
          <w:p w14:paraId="677299B7" w14:textId="1834F4B9" w:rsidR="006A2B1D" w:rsidRPr="00262B85" w:rsidRDefault="006B4D44">
            <w:pPr>
              <w:tabs>
                <w:tab w:val="left" w:pos="8647"/>
              </w:tabs>
              <w:rPr>
                <w:color w:val="000000" w:themeColor="text1"/>
                <w:sz w:val="22"/>
                <w:szCs w:val="22"/>
              </w:rPr>
            </w:pPr>
            <w:r>
              <w:rPr>
                <w:color w:val="000000" w:themeColor="text1"/>
                <w:sz w:val="22"/>
                <w:szCs w:val="22"/>
              </w:rPr>
              <w:t>141 848</w:t>
            </w:r>
            <w:r w:rsidR="006A2B1D" w:rsidRPr="00262B85">
              <w:rPr>
                <w:color w:val="000000" w:themeColor="text1"/>
                <w:sz w:val="22"/>
                <w:szCs w:val="22"/>
              </w:rPr>
              <w:t>,00</w:t>
            </w:r>
          </w:p>
          <w:p w14:paraId="327FDF11" w14:textId="77777777" w:rsidR="006A2B1D" w:rsidRPr="00262B85" w:rsidRDefault="006A2B1D">
            <w:pPr>
              <w:tabs>
                <w:tab w:val="left" w:pos="8647"/>
              </w:tabs>
              <w:rPr>
                <w:color w:val="000000" w:themeColor="text1"/>
                <w:sz w:val="22"/>
                <w:szCs w:val="22"/>
              </w:rPr>
            </w:pPr>
            <w:r w:rsidRPr="00262B85">
              <w:rPr>
                <w:i/>
                <w:color w:val="000000" w:themeColor="text1"/>
                <w:sz w:val="22"/>
                <w:szCs w:val="22"/>
              </w:rPr>
              <w:t>euro</w:t>
            </w:r>
          </w:p>
        </w:tc>
        <w:tc>
          <w:tcPr>
            <w:tcW w:w="1473" w:type="dxa"/>
            <w:tcBorders>
              <w:top w:val="single" w:sz="4" w:space="0" w:color="auto"/>
              <w:left w:val="single" w:sz="4" w:space="0" w:color="auto"/>
              <w:bottom w:val="single" w:sz="4" w:space="0" w:color="auto"/>
              <w:right w:val="single" w:sz="4" w:space="0" w:color="auto"/>
            </w:tcBorders>
            <w:hideMark/>
          </w:tcPr>
          <w:p w14:paraId="6E9D63FE" w14:textId="429D134E" w:rsidR="006A2B1D" w:rsidRPr="00262B85" w:rsidRDefault="006B4D44">
            <w:pPr>
              <w:tabs>
                <w:tab w:val="left" w:pos="8647"/>
              </w:tabs>
              <w:jc w:val="center"/>
              <w:rPr>
                <w:color w:val="000000" w:themeColor="text1"/>
                <w:sz w:val="22"/>
                <w:szCs w:val="22"/>
              </w:rPr>
            </w:pPr>
            <w:r>
              <w:rPr>
                <w:color w:val="000000" w:themeColor="text1"/>
                <w:sz w:val="22"/>
                <w:szCs w:val="22"/>
              </w:rPr>
              <w:t>141 848</w:t>
            </w:r>
            <w:r w:rsidR="006A2B1D" w:rsidRPr="00262B85">
              <w:rPr>
                <w:color w:val="000000" w:themeColor="text1"/>
                <w:sz w:val="22"/>
                <w:szCs w:val="22"/>
              </w:rPr>
              <w:t>,00</w:t>
            </w:r>
          </w:p>
          <w:p w14:paraId="2711F8CB" w14:textId="77777777" w:rsidR="006A2B1D" w:rsidRPr="00262B85" w:rsidRDefault="006A2B1D">
            <w:pPr>
              <w:tabs>
                <w:tab w:val="left" w:pos="8647"/>
              </w:tabs>
              <w:jc w:val="center"/>
              <w:rPr>
                <w:color w:val="000000" w:themeColor="text1"/>
                <w:sz w:val="22"/>
                <w:szCs w:val="22"/>
              </w:rPr>
            </w:pPr>
            <w:r w:rsidRPr="00262B85">
              <w:rPr>
                <w:i/>
                <w:color w:val="000000" w:themeColor="text1"/>
                <w:sz w:val="22"/>
                <w:szCs w:val="22"/>
              </w:rPr>
              <w:t>euro</w:t>
            </w:r>
            <w:r w:rsidRPr="00262B85">
              <w:rPr>
                <w:color w:val="000000" w:themeColor="text1"/>
                <w:sz w:val="22"/>
                <w:szCs w:val="22"/>
              </w:rPr>
              <w:t xml:space="preserve"> </w:t>
            </w:r>
          </w:p>
        </w:tc>
      </w:tr>
      <w:tr w:rsidR="006A2B1D" w:rsidRPr="006557B3" w14:paraId="3599F2E9" w14:textId="77777777" w:rsidTr="006A2B1D">
        <w:tc>
          <w:tcPr>
            <w:tcW w:w="890" w:type="dxa"/>
            <w:tcBorders>
              <w:top w:val="single" w:sz="4" w:space="0" w:color="auto"/>
              <w:left w:val="single" w:sz="4" w:space="0" w:color="auto"/>
              <w:bottom w:val="single" w:sz="4" w:space="0" w:color="auto"/>
              <w:right w:val="single" w:sz="4" w:space="0" w:color="auto"/>
            </w:tcBorders>
            <w:hideMark/>
          </w:tcPr>
          <w:p w14:paraId="5AA14AF6" w14:textId="77777777" w:rsidR="006A2B1D" w:rsidRPr="006557B3" w:rsidRDefault="006A2B1D">
            <w:pPr>
              <w:tabs>
                <w:tab w:val="left" w:pos="8647"/>
              </w:tabs>
              <w:jc w:val="both"/>
              <w:rPr>
                <w:bCs/>
                <w:color w:val="000000" w:themeColor="text1"/>
                <w:sz w:val="22"/>
                <w:szCs w:val="22"/>
              </w:rPr>
            </w:pPr>
            <w:r w:rsidRPr="006557B3">
              <w:rPr>
                <w:bCs/>
                <w:color w:val="000000" w:themeColor="text1"/>
                <w:sz w:val="22"/>
                <w:szCs w:val="22"/>
              </w:rPr>
              <w:t>2.</w:t>
            </w:r>
          </w:p>
        </w:tc>
        <w:tc>
          <w:tcPr>
            <w:tcW w:w="4054" w:type="dxa"/>
            <w:tcBorders>
              <w:top w:val="single" w:sz="4" w:space="0" w:color="auto"/>
              <w:left w:val="single" w:sz="4" w:space="0" w:color="auto"/>
              <w:bottom w:val="single" w:sz="4" w:space="0" w:color="auto"/>
              <w:right w:val="single" w:sz="4" w:space="0" w:color="auto"/>
            </w:tcBorders>
            <w:hideMark/>
          </w:tcPr>
          <w:p w14:paraId="78C5B347" w14:textId="77777777" w:rsidR="006A2B1D" w:rsidRPr="006557B3" w:rsidRDefault="006A2B1D">
            <w:pPr>
              <w:tabs>
                <w:tab w:val="left" w:pos="8647"/>
              </w:tabs>
              <w:jc w:val="both"/>
              <w:rPr>
                <w:bCs/>
                <w:color w:val="000000" w:themeColor="text1"/>
                <w:sz w:val="22"/>
                <w:szCs w:val="22"/>
              </w:rPr>
            </w:pPr>
            <w:r w:rsidRPr="006557B3">
              <w:rPr>
                <w:color w:val="000000" w:themeColor="text1"/>
                <w:sz w:val="22"/>
                <w:szCs w:val="22"/>
              </w:rPr>
              <w:t>P</w:t>
            </w:r>
            <w:r w:rsidRPr="006557B3">
              <w:rPr>
                <w:bCs/>
                <w:color w:val="000000" w:themeColor="text1"/>
                <w:sz w:val="22"/>
                <w:szCs w:val="22"/>
              </w:rPr>
              <w:t>atērētāju tiesību aizsardzības centrs</w:t>
            </w:r>
          </w:p>
        </w:tc>
        <w:tc>
          <w:tcPr>
            <w:tcW w:w="1412" w:type="dxa"/>
            <w:tcBorders>
              <w:top w:val="single" w:sz="4" w:space="0" w:color="auto"/>
              <w:left w:val="single" w:sz="4" w:space="0" w:color="auto"/>
              <w:bottom w:val="single" w:sz="4" w:space="0" w:color="auto"/>
              <w:right w:val="single" w:sz="4" w:space="0" w:color="auto"/>
            </w:tcBorders>
            <w:hideMark/>
          </w:tcPr>
          <w:p w14:paraId="537BAAEB" w14:textId="77777777" w:rsidR="006A2B1D" w:rsidRPr="00262B85" w:rsidRDefault="006A2B1D">
            <w:pPr>
              <w:tabs>
                <w:tab w:val="left" w:pos="8647"/>
              </w:tabs>
              <w:jc w:val="both"/>
              <w:rPr>
                <w:color w:val="000000" w:themeColor="text1"/>
                <w:sz w:val="22"/>
                <w:szCs w:val="22"/>
              </w:rPr>
            </w:pPr>
            <w:r w:rsidRPr="00262B85">
              <w:rPr>
                <w:color w:val="000000" w:themeColor="text1"/>
                <w:sz w:val="22"/>
                <w:szCs w:val="22"/>
              </w:rPr>
              <w:t>6  000,00</w:t>
            </w:r>
          </w:p>
          <w:p w14:paraId="4A58EA96" w14:textId="77777777" w:rsidR="006A2B1D" w:rsidRPr="00262B85" w:rsidRDefault="006A2B1D">
            <w:pPr>
              <w:tabs>
                <w:tab w:val="left" w:pos="8647"/>
              </w:tabs>
              <w:jc w:val="both"/>
              <w:rPr>
                <w:i/>
                <w:color w:val="000000" w:themeColor="text1"/>
                <w:sz w:val="22"/>
                <w:szCs w:val="22"/>
              </w:rPr>
            </w:pPr>
            <w:r w:rsidRPr="00262B85">
              <w:rPr>
                <w:i/>
                <w:color w:val="000000" w:themeColor="text1"/>
                <w:sz w:val="22"/>
                <w:szCs w:val="22"/>
              </w:rPr>
              <w:t>euro</w:t>
            </w:r>
          </w:p>
        </w:tc>
        <w:tc>
          <w:tcPr>
            <w:tcW w:w="1413" w:type="dxa"/>
            <w:tcBorders>
              <w:top w:val="single" w:sz="4" w:space="0" w:color="auto"/>
              <w:left w:val="single" w:sz="4" w:space="0" w:color="auto"/>
              <w:bottom w:val="single" w:sz="4" w:space="0" w:color="auto"/>
              <w:right w:val="single" w:sz="4" w:space="0" w:color="auto"/>
            </w:tcBorders>
            <w:hideMark/>
          </w:tcPr>
          <w:p w14:paraId="502C67F0" w14:textId="77777777" w:rsidR="006A2B1D" w:rsidRPr="00262B85" w:rsidRDefault="006A2B1D">
            <w:pPr>
              <w:tabs>
                <w:tab w:val="left" w:pos="8647"/>
              </w:tabs>
              <w:jc w:val="both"/>
              <w:rPr>
                <w:color w:val="000000" w:themeColor="text1"/>
                <w:sz w:val="22"/>
                <w:szCs w:val="22"/>
              </w:rPr>
            </w:pPr>
            <w:r w:rsidRPr="00262B85">
              <w:rPr>
                <w:color w:val="000000" w:themeColor="text1"/>
                <w:sz w:val="22"/>
                <w:szCs w:val="22"/>
              </w:rPr>
              <w:t>64 000,00</w:t>
            </w:r>
          </w:p>
          <w:p w14:paraId="529C4E29" w14:textId="77777777" w:rsidR="006A2B1D" w:rsidRPr="00262B85" w:rsidRDefault="006A2B1D">
            <w:pPr>
              <w:tabs>
                <w:tab w:val="left" w:pos="8647"/>
              </w:tabs>
              <w:jc w:val="both"/>
              <w:rPr>
                <w:i/>
                <w:color w:val="000000" w:themeColor="text1"/>
                <w:sz w:val="22"/>
                <w:szCs w:val="22"/>
              </w:rPr>
            </w:pPr>
            <w:r w:rsidRPr="00262B85">
              <w:rPr>
                <w:i/>
                <w:color w:val="000000" w:themeColor="text1"/>
                <w:sz w:val="22"/>
                <w:szCs w:val="22"/>
              </w:rPr>
              <w:t>euro</w:t>
            </w:r>
          </w:p>
        </w:tc>
        <w:tc>
          <w:tcPr>
            <w:tcW w:w="1473" w:type="dxa"/>
            <w:tcBorders>
              <w:top w:val="single" w:sz="4" w:space="0" w:color="auto"/>
              <w:left w:val="single" w:sz="4" w:space="0" w:color="auto"/>
              <w:bottom w:val="single" w:sz="4" w:space="0" w:color="auto"/>
              <w:right w:val="single" w:sz="4" w:space="0" w:color="auto"/>
            </w:tcBorders>
            <w:hideMark/>
          </w:tcPr>
          <w:p w14:paraId="516F4AEB" w14:textId="77777777" w:rsidR="006A2B1D" w:rsidRPr="00262B85" w:rsidRDefault="006A2B1D">
            <w:pPr>
              <w:tabs>
                <w:tab w:val="left" w:pos="8647"/>
              </w:tabs>
              <w:jc w:val="center"/>
              <w:rPr>
                <w:color w:val="000000" w:themeColor="text1"/>
                <w:sz w:val="22"/>
                <w:szCs w:val="22"/>
              </w:rPr>
            </w:pPr>
            <w:r w:rsidRPr="00262B85">
              <w:rPr>
                <w:color w:val="000000" w:themeColor="text1"/>
                <w:sz w:val="22"/>
                <w:szCs w:val="22"/>
              </w:rPr>
              <w:t>-</w:t>
            </w:r>
          </w:p>
        </w:tc>
      </w:tr>
      <w:tr w:rsidR="006A2B1D" w:rsidRPr="006557B3" w14:paraId="5D00EE83" w14:textId="77777777" w:rsidTr="006A2B1D">
        <w:tc>
          <w:tcPr>
            <w:tcW w:w="890" w:type="dxa"/>
            <w:tcBorders>
              <w:top w:val="single" w:sz="4" w:space="0" w:color="auto"/>
              <w:left w:val="single" w:sz="4" w:space="0" w:color="auto"/>
              <w:bottom w:val="single" w:sz="4" w:space="0" w:color="auto"/>
              <w:right w:val="single" w:sz="4" w:space="0" w:color="auto"/>
            </w:tcBorders>
          </w:tcPr>
          <w:p w14:paraId="6E08B0CE" w14:textId="77777777" w:rsidR="006A2B1D" w:rsidRPr="006557B3" w:rsidRDefault="006A2B1D">
            <w:pPr>
              <w:tabs>
                <w:tab w:val="left" w:pos="8647"/>
              </w:tabs>
              <w:jc w:val="both"/>
              <w:rPr>
                <w:bCs/>
                <w:color w:val="000000" w:themeColor="text1"/>
                <w:sz w:val="22"/>
                <w:szCs w:val="22"/>
              </w:rPr>
            </w:pPr>
          </w:p>
        </w:tc>
        <w:tc>
          <w:tcPr>
            <w:tcW w:w="4054" w:type="dxa"/>
            <w:tcBorders>
              <w:top w:val="single" w:sz="4" w:space="0" w:color="auto"/>
              <w:left w:val="single" w:sz="4" w:space="0" w:color="auto"/>
              <w:bottom w:val="single" w:sz="4" w:space="0" w:color="auto"/>
              <w:right w:val="single" w:sz="4" w:space="0" w:color="auto"/>
            </w:tcBorders>
            <w:hideMark/>
          </w:tcPr>
          <w:p w14:paraId="5E73B8B5" w14:textId="77777777" w:rsidR="006A2B1D" w:rsidRPr="0053030A" w:rsidRDefault="006A2B1D">
            <w:pPr>
              <w:tabs>
                <w:tab w:val="left" w:pos="8647"/>
              </w:tabs>
              <w:jc w:val="both"/>
              <w:rPr>
                <w:b/>
                <w:bCs/>
                <w:color w:val="000000" w:themeColor="text1"/>
                <w:sz w:val="22"/>
                <w:szCs w:val="22"/>
              </w:rPr>
            </w:pPr>
            <w:r w:rsidRPr="0053030A">
              <w:rPr>
                <w:b/>
                <w:bCs/>
                <w:color w:val="000000" w:themeColor="text1"/>
                <w:sz w:val="22"/>
                <w:szCs w:val="22"/>
              </w:rPr>
              <w:t>Kopā:</w:t>
            </w:r>
          </w:p>
        </w:tc>
        <w:tc>
          <w:tcPr>
            <w:tcW w:w="1412" w:type="dxa"/>
            <w:tcBorders>
              <w:top w:val="single" w:sz="4" w:space="0" w:color="auto"/>
              <w:left w:val="single" w:sz="4" w:space="0" w:color="auto"/>
              <w:bottom w:val="single" w:sz="4" w:space="0" w:color="auto"/>
              <w:right w:val="single" w:sz="4" w:space="0" w:color="auto"/>
            </w:tcBorders>
            <w:hideMark/>
          </w:tcPr>
          <w:p w14:paraId="1881EAEC" w14:textId="1EFA76B9" w:rsidR="006A2B1D" w:rsidRPr="0053030A" w:rsidRDefault="006B4D44" w:rsidP="005B5E2E">
            <w:pPr>
              <w:tabs>
                <w:tab w:val="left" w:pos="8647"/>
              </w:tabs>
              <w:jc w:val="both"/>
              <w:rPr>
                <w:b/>
                <w:bCs/>
                <w:color w:val="000000" w:themeColor="text1"/>
                <w:sz w:val="22"/>
                <w:szCs w:val="22"/>
              </w:rPr>
            </w:pPr>
            <w:r>
              <w:rPr>
                <w:b/>
                <w:bCs/>
                <w:color w:val="000000" w:themeColor="text1"/>
                <w:sz w:val="22"/>
                <w:szCs w:val="22"/>
              </w:rPr>
              <w:t>275 848</w:t>
            </w:r>
            <w:r w:rsidR="006A2B1D" w:rsidRPr="0053030A">
              <w:rPr>
                <w:b/>
                <w:bCs/>
                <w:color w:val="000000" w:themeColor="text1"/>
                <w:sz w:val="22"/>
                <w:szCs w:val="22"/>
              </w:rPr>
              <w:t xml:space="preserve">,00 </w:t>
            </w:r>
            <w:r w:rsidR="006A2B1D" w:rsidRPr="0053030A">
              <w:rPr>
                <w:b/>
                <w:bCs/>
                <w:i/>
                <w:color w:val="000000" w:themeColor="text1"/>
                <w:sz w:val="22"/>
                <w:szCs w:val="22"/>
              </w:rPr>
              <w:t>euro</w:t>
            </w:r>
            <w:r w:rsidR="006A2B1D" w:rsidRPr="0053030A">
              <w:rPr>
                <w:b/>
                <w:i/>
                <w:color w:val="000000" w:themeColor="text1"/>
                <w:sz w:val="22"/>
                <w:szCs w:val="22"/>
              </w:rPr>
              <w:t xml:space="preserve"> </w:t>
            </w:r>
          </w:p>
        </w:tc>
        <w:tc>
          <w:tcPr>
            <w:tcW w:w="1413" w:type="dxa"/>
            <w:tcBorders>
              <w:top w:val="single" w:sz="4" w:space="0" w:color="auto"/>
              <w:left w:val="single" w:sz="4" w:space="0" w:color="auto"/>
              <w:bottom w:val="single" w:sz="4" w:space="0" w:color="auto"/>
              <w:right w:val="single" w:sz="4" w:space="0" w:color="auto"/>
            </w:tcBorders>
            <w:hideMark/>
          </w:tcPr>
          <w:p w14:paraId="4B1E1A2E" w14:textId="09A95374" w:rsidR="006A2B1D" w:rsidRPr="0053030A" w:rsidRDefault="006B4D44">
            <w:pPr>
              <w:tabs>
                <w:tab w:val="left" w:pos="8647"/>
              </w:tabs>
              <w:jc w:val="both"/>
              <w:rPr>
                <w:b/>
                <w:bCs/>
                <w:color w:val="000000" w:themeColor="text1"/>
                <w:sz w:val="22"/>
                <w:szCs w:val="22"/>
              </w:rPr>
            </w:pPr>
            <w:r>
              <w:rPr>
                <w:b/>
                <w:bCs/>
                <w:color w:val="000000" w:themeColor="text1"/>
                <w:sz w:val="22"/>
                <w:szCs w:val="22"/>
              </w:rPr>
              <w:t>205 848</w:t>
            </w:r>
            <w:r w:rsidR="006A2B1D" w:rsidRPr="0053030A">
              <w:rPr>
                <w:b/>
                <w:bCs/>
                <w:color w:val="000000" w:themeColor="text1"/>
                <w:sz w:val="22"/>
                <w:szCs w:val="22"/>
              </w:rPr>
              <w:t>,00</w:t>
            </w:r>
          </w:p>
          <w:p w14:paraId="5CDF2443" w14:textId="77777777" w:rsidR="006A2B1D" w:rsidRPr="0053030A" w:rsidRDefault="006A2B1D">
            <w:pPr>
              <w:tabs>
                <w:tab w:val="left" w:pos="8647"/>
              </w:tabs>
              <w:jc w:val="both"/>
              <w:rPr>
                <w:b/>
                <w:bCs/>
                <w:i/>
                <w:color w:val="000000" w:themeColor="text1"/>
                <w:sz w:val="22"/>
                <w:szCs w:val="22"/>
              </w:rPr>
            </w:pPr>
            <w:r w:rsidRPr="0053030A">
              <w:rPr>
                <w:b/>
                <w:bCs/>
                <w:i/>
                <w:color w:val="000000" w:themeColor="text1"/>
                <w:sz w:val="22"/>
                <w:szCs w:val="22"/>
              </w:rPr>
              <w:t>euro</w:t>
            </w:r>
          </w:p>
        </w:tc>
        <w:tc>
          <w:tcPr>
            <w:tcW w:w="1473" w:type="dxa"/>
            <w:tcBorders>
              <w:top w:val="single" w:sz="4" w:space="0" w:color="auto"/>
              <w:left w:val="single" w:sz="4" w:space="0" w:color="auto"/>
              <w:bottom w:val="single" w:sz="4" w:space="0" w:color="auto"/>
              <w:right w:val="single" w:sz="4" w:space="0" w:color="auto"/>
            </w:tcBorders>
            <w:hideMark/>
          </w:tcPr>
          <w:p w14:paraId="777EF81A" w14:textId="3FF33E1E" w:rsidR="006A2B1D" w:rsidRPr="0053030A" w:rsidRDefault="006B4D44" w:rsidP="00262B85">
            <w:pPr>
              <w:tabs>
                <w:tab w:val="left" w:pos="8647"/>
              </w:tabs>
              <w:jc w:val="center"/>
              <w:rPr>
                <w:b/>
                <w:bCs/>
                <w:color w:val="000000" w:themeColor="text1"/>
                <w:sz w:val="22"/>
                <w:szCs w:val="22"/>
              </w:rPr>
            </w:pPr>
            <w:r>
              <w:rPr>
                <w:b/>
                <w:color w:val="000000" w:themeColor="text1"/>
                <w:sz w:val="22"/>
                <w:szCs w:val="22"/>
              </w:rPr>
              <w:t>141 848</w:t>
            </w:r>
            <w:r w:rsidR="00262B85" w:rsidRPr="0053030A">
              <w:rPr>
                <w:b/>
                <w:color w:val="000000" w:themeColor="text1"/>
                <w:sz w:val="22"/>
                <w:szCs w:val="22"/>
              </w:rPr>
              <w:t>,00</w:t>
            </w:r>
            <w:r w:rsidR="006A2B1D" w:rsidRPr="0053030A">
              <w:rPr>
                <w:b/>
                <w:color w:val="000000" w:themeColor="text1"/>
                <w:sz w:val="22"/>
                <w:szCs w:val="22"/>
              </w:rPr>
              <w:t xml:space="preserve"> </w:t>
            </w:r>
            <w:r w:rsidR="006A2B1D" w:rsidRPr="0053030A">
              <w:rPr>
                <w:b/>
                <w:i/>
                <w:color w:val="000000" w:themeColor="text1"/>
                <w:sz w:val="22"/>
                <w:szCs w:val="22"/>
              </w:rPr>
              <w:t>euro</w:t>
            </w:r>
            <w:r w:rsidR="006A2B1D" w:rsidRPr="0053030A">
              <w:rPr>
                <w:b/>
                <w:bCs/>
                <w:color w:val="000000" w:themeColor="text1"/>
                <w:sz w:val="22"/>
                <w:szCs w:val="22"/>
              </w:rPr>
              <w:t xml:space="preserve"> </w:t>
            </w:r>
          </w:p>
        </w:tc>
      </w:tr>
    </w:tbl>
    <w:p w14:paraId="07CAF52E" w14:textId="77777777" w:rsidR="006A2B1D" w:rsidRPr="006557B3" w:rsidRDefault="006A2B1D" w:rsidP="006A2B1D">
      <w:pPr>
        <w:tabs>
          <w:tab w:val="left" w:pos="8647"/>
        </w:tabs>
        <w:spacing w:after="0" w:line="240" w:lineRule="auto"/>
        <w:ind w:firstLine="709"/>
        <w:jc w:val="both"/>
        <w:rPr>
          <w:rFonts w:ascii="Times New Roman" w:hAnsi="Times New Roman" w:cs="Times New Roman"/>
          <w:bCs/>
          <w:color w:val="000000" w:themeColor="text1"/>
          <w:lang w:val="lv-LV"/>
        </w:rPr>
      </w:pPr>
    </w:p>
    <w:p w14:paraId="78456C3C" w14:textId="68D970E9" w:rsidR="00D90EEE" w:rsidRPr="006557B3" w:rsidRDefault="00D90EEE" w:rsidP="00C05C12">
      <w:pPr>
        <w:tabs>
          <w:tab w:val="left" w:pos="8647"/>
        </w:tabs>
        <w:spacing w:after="0" w:line="240" w:lineRule="auto"/>
        <w:ind w:firstLine="709"/>
        <w:jc w:val="both"/>
        <w:rPr>
          <w:rFonts w:ascii="Times New Roman" w:hAnsi="Times New Roman" w:cs="Times New Roman"/>
          <w:bCs/>
          <w:color w:val="000000" w:themeColor="text1"/>
          <w:sz w:val="24"/>
          <w:szCs w:val="24"/>
          <w:lang w:val="lv-LV"/>
        </w:rPr>
      </w:pPr>
      <w:r w:rsidRPr="006557B3">
        <w:rPr>
          <w:rFonts w:ascii="Times New Roman" w:hAnsi="Times New Roman" w:cs="Times New Roman"/>
          <w:color w:val="000000" w:themeColor="text1"/>
          <w:sz w:val="24"/>
          <w:szCs w:val="24"/>
          <w:lang w:val="lv-LV"/>
        </w:rPr>
        <w:t>P</w:t>
      </w:r>
      <w:r w:rsidR="002330CF" w:rsidRPr="006557B3">
        <w:rPr>
          <w:rFonts w:ascii="Times New Roman" w:hAnsi="Times New Roman" w:cs="Times New Roman"/>
          <w:color w:val="000000" w:themeColor="text1"/>
          <w:sz w:val="24"/>
          <w:szCs w:val="24"/>
          <w:lang w:val="lv-LV"/>
        </w:rPr>
        <w:t>VD</w:t>
      </w:r>
      <w:r w:rsidRPr="006557B3">
        <w:rPr>
          <w:rFonts w:ascii="Times New Roman" w:hAnsi="Times New Roman" w:cs="Times New Roman"/>
          <w:bCs/>
          <w:color w:val="000000" w:themeColor="text1"/>
          <w:sz w:val="24"/>
          <w:szCs w:val="24"/>
          <w:lang w:val="lv-LV"/>
        </w:rPr>
        <w:t xml:space="preserve"> un </w:t>
      </w:r>
      <w:r w:rsidR="002330CF" w:rsidRPr="006557B3">
        <w:rPr>
          <w:rFonts w:ascii="Times New Roman" w:hAnsi="Times New Roman" w:cs="Times New Roman"/>
          <w:bCs/>
          <w:color w:val="000000" w:themeColor="text1"/>
          <w:sz w:val="24"/>
          <w:szCs w:val="24"/>
          <w:lang w:val="lv-LV"/>
        </w:rPr>
        <w:t xml:space="preserve">PTAC </w:t>
      </w:r>
      <w:r w:rsidRPr="006557B3">
        <w:rPr>
          <w:rFonts w:ascii="Times New Roman" w:hAnsi="Times New Roman" w:cs="Times New Roman"/>
          <w:bCs/>
          <w:color w:val="000000" w:themeColor="text1"/>
          <w:sz w:val="24"/>
          <w:szCs w:val="24"/>
          <w:lang w:val="lv-LV"/>
        </w:rPr>
        <w:t xml:space="preserve">uztura bagātinātāju uzraudzības un kontroles, kā arī sabiedrības informēšanas pasākumu </w:t>
      </w:r>
      <w:r w:rsidR="002330CF" w:rsidRPr="006557B3">
        <w:rPr>
          <w:rFonts w:ascii="Times New Roman" w:hAnsi="Times New Roman" w:cs="Times New Roman"/>
          <w:bCs/>
          <w:color w:val="000000" w:themeColor="text1"/>
          <w:sz w:val="24"/>
          <w:szCs w:val="24"/>
          <w:lang w:val="lv-LV"/>
        </w:rPr>
        <w:t>īstenošanai</w:t>
      </w:r>
      <w:r w:rsidRPr="006557B3">
        <w:rPr>
          <w:rFonts w:ascii="Times New Roman" w:hAnsi="Times New Roman" w:cs="Times New Roman"/>
          <w:bCs/>
          <w:color w:val="000000" w:themeColor="text1"/>
          <w:sz w:val="24"/>
          <w:szCs w:val="24"/>
          <w:lang w:val="lv-LV"/>
        </w:rPr>
        <w:t xml:space="preserve"> 201</w:t>
      </w:r>
      <w:r w:rsidR="00AB7AC5" w:rsidRPr="006557B3">
        <w:rPr>
          <w:rFonts w:ascii="Times New Roman" w:hAnsi="Times New Roman" w:cs="Times New Roman"/>
          <w:bCs/>
          <w:color w:val="000000" w:themeColor="text1"/>
          <w:sz w:val="24"/>
          <w:szCs w:val="24"/>
          <w:lang w:val="lv-LV"/>
        </w:rPr>
        <w:t>8</w:t>
      </w:r>
      <w:r w:rsidRPr="006557B3">
        <w:rPr>
          <w:rFonts w:ascii="Times New Roman" w:hAnsi="Times New Roman" w:cs="Times New Roman"/>
          <w:bCs/>
          <w:color w:val="000000" w:themeColor="text1"/>
          <w:sz w:val="24"/>
          <w:szCs w:val="24"/>
          <w:lang w:val="lv-LV"/>
        </w:rPr>
        <w:t>.</w:t>
      </w:r>
      <w:r w:rsidR="00363EE4" w:rsidRPr="006557B3">
        <w:rPr>
          <w:rFonts w:ascii="Times New Roman" w:hAnsi="Times New Roman" w:cs="Times New Roman"/>
          <w:bCs/>
          <w:color w:val="000000" w:themeColor="text1"/>
          <w:sz w:val="24"/>
          <w:szCs w:val="24"/>
          <w:lang w:val="lv-LV"/>
        </w:rPr>
        <w:t> </w:t>
      </w:r>
      <w:r w:rsidRPr="006557B3">
        <w:rPr>
          <w:rFonts w:ascii="Times New Roman" w:hAnsi="Times New Roman" w:cs="Times New Roman"/>
          <w:bCs/>
          <w:color w:val="000000" w:themeColor="text1"/>
          <w:sz w:val="24"/>
          <w:szCs w:val="24"/>
          <w:lang w:val="lv-LV"/>
        </w:rPr>
        <w:t xml:space="preserve">gadā </w:t>
      </w:r>
      <w:r w:rsidR="002330CF" w:rsidRPr="006557B3">
        <w:rPr>
          <w:rFonts w:ascii="Times New Roman" w:hAnsi="Times New Roman" w:cs="Times New Roman"/>
          <w:bCs/>
          <w:color w:val="000000" w:themeColor="text1"/>
          <w:sz w:val="24"/>
          <w:szCs w:val="24"/>
          <w:lang w:val="lv-LV"/>
        </w:rPr>
        <w:t xml:space="preserve">papildus </w:t>
      </w:r>
      <w:r w:rsidRPr="006557B3">
        <w:rPr>
          <w:rFonts w:ascii="Times New Roman" w:hAnsi="Times New Roman" w:cs="Times New Roman"/>
          <w:bCs/>
          <w:color w:val="000000" w:themeColor="text1"/>
          <w:sz w:val="24"/>
          <w:szCs w:val="24"/>
          <w:lang w:val="lv-LV"/>
        </w:rPr>
        <w:t xml:space="preserve">nepieciešami </w:t>
      </w:r>
      <w:r w:rsidR="006B4D44">
        <w:rPr>
          <w:rFonts w:ascii="Times New Roman" w:hAnsi="Times New Roman" w:cs="Times New Roman"/>
          <w:bCs/>
          <w:color w:val="000000" w:themeColor="text1"/>
          <w:sz w:val="24"/>
          <w:szCs w:val="24"/>
          <w:lang w:val="lv-LV"/>
        </w:rPr>
        <w:t>275 848</w:t>
      </w:r>
      <w:r w:rsidR="006A2B1D" w:rsidRPr="006557B3">
        <w:rPr>
          <w:rFonts w:ascii="Times New Roman" w:hAnsi="Times New Roman" w:cs="Times New Roman"/>
          <w:bCs/>
          <w:color w:val="000000" w:themeColor="text1"/>
          <w:sz w:val="24"/>
          <w:szCs w:val="24"/>
          <w:lang w:val="lv-LV"/>
        </w:rPr>
        <w:t>,00</w:t>
      </w:r>
      <w:r w:rsidR="006A2B1D" w:rsidRPr="006557B3">
        <w:rPr>
          <w:bCs/>
          <w:color w:val="000000" w:themeColor="text1"/>
          <w:sz w:val="24"/>
          <w:szCs w:val="24"/>
          <w:lang w:val="lv-LV"/>
        </w:rPr>
        <w:t xml:space="preserve"> </w:t>
      </w:r>
      <w:r w:rsidRPr="006557B3">
        <w:rPr>
          <w:rFonts w:ascii="Times New Roman" w:hAnsi="Times New Roman" w:cs="Times New Roman"/>
          <w:bCs/>
          <w:i/>
          <w:color w:val="000000" w:themeColor="text1"/>
          <w:sz w:val="24"/>
          <w:szCs w:val="24"/>
          <w:lang w:val="lv-LV"/>
        </w:rPr>
        <w:t>euro</w:t>
      </w:r>
      <w:r w:rsidRPr="006557B3">
        <w:rPr>
          <w:rFonts w:ascii="Times New Roman" w:hAnsi="Times New Roman" w:cs="Times New Roman"/>
          <w:bCs/>
          <w:color w:val="000000" w:themeColor="text1"/>
          <w:sz w:val="24"/>
          <w:szCs w:val="24"/>
          <w:lang w:val="lv-LV"/>
        </w:rPr>
        <w:t>,</w:t>
      </w:r>
      <w:r w:rsidRPr="006557B3">
        <w:rPr>
          <w:rFonts w:ascii="Times New Roman" w:hAnsi="Times New Roman" w:cs="Times New Roman"/>
          <w:bCs/>
          <w:i/>
          <w:color w:val="000000" w:themeColor="text1"/>
          <w:sz w:val="24"/>
          <w:szCs w:val="24"/>
          <w:lang w:val="lv-LV"/>
        </w:rPr>
        <w:t xml:space="preserve"> </w:t>
      </w:r>
      <w:r w:rsidRPr="006557B3">
        <w:rPr>
          <w:rFonts w:ascii="Times New Roman" w:hAnsi="Times New Roman" w:cs="Times New Roman"/>
          <w:bCs/>
          <w:color w:val="000000" w:themeColor="text1"/>
          <w:sz w:val="24"/>
          <w:szCs w:val="24"/>
          <w:lang w:val="lv-LV"/>
        </w:rPr>
        <w:t>20</w:t>
      </w:r>
      <w:r w:rsidR="00AB7AC5" w:rsidRPr="006557B3">
        <w:rPr>
          <w:rFonts w:ascii="Times New Roman" w:hAnsi="Times New Roman" w:cs="Times New Roman"/>
          <w:bCs/>
          <w:color w:val="000000" w:themeColor="text1"/>
          <w:sz w:val="24"/>
          <w:szCs w:val="24"/>
          <w:lang w:val="lv-LV"/>
        </w:rPr>
        <w:t>19</w:t>
      </w:r>
      <w:r w:rsidRPr="006557B3">
        <w:rPr>
          <w:rFonts w:ascii="Times New Roman" w:hAnsi="Times New Roman" w:cs="Times New Roman"/>
          <w:bCs/>
          <w:color w:val="000000" w:themeColor="text1"/>
          <w:sz w:val="24"/>
          <w:szCs w:val="24"/>
          <w:lang w:val="lv-LV"/>
        </w:rPr>
        <w:t xml:space="preserve">. </w:t>
      </w:r>
      <w:r w:rsidR="00A26376" w:rsidRPr="006557B3">
        <w:rPr>
          <w:rFonts w:ascii="Times New Roman" w:hAnsi="Times New Roman" w:cs="Times New Roman"/>
          <w:bCs/>
          <w:color w:val="000000" w:themeColor="text1"/>
          <w:sz w:val="24"/>
          <w:szCs w:val="24"/>
          <w:lang w:val="lv-LV"/>
        </w:rPr>
        <w:t xml:space="preserve">gadā papildus nepieciešami </w:t>
      </w:r>
      <w:r w:rsidR="006B4D44">
        <w:rPr>
          <w:rFonts w:ascii="Times New Roman" w:hAnsi="Times New Roman" w:cs="Times New Roman"/>
          <w:bCs/>
          <w:color w:val="000000" w:themeColor="text1"/>
          <w:sz w:val="24"/>
          <w:szCs w:val="24"/>
          <w:lang w:val="lv-LV"/>
        </w:rPr>
        <w:t>205 848</w:t>
      </w:r>
      <w:r w:rsidR="00A26376" w:rsidRPr="006557B3">
        <w:rPr>
          <w:rFonts w:ascii="Times New Roman" w:hAnsi="Times New Roman" w:cs="Times New Roman"/>
          <w:bCs/>
          <w:color w:val="000000" w:themeColor="text1"/>
          <w:sz w:val="24"/>
          <w:szCs w:val="24"/>
          <w:lang w:val="lv-LV"/>
        </w:rPr>
        <w:t xml:space="preserve">,00 </w:t>
      </w:r>
      <w:r w:rsidR="00A26376" w:rsidRPr="006557B3">
        <w:rPr>
          <w:rFonts w:ascii="Times New Roman" w:hAnsi="Times New Roman" w:cs="Times New Roman"/>
          <w:bCs/>
          <w:i/>
          <w:color w:val="000000" w:themeColor="text1"/>
          <w:sz w:val="24"/>
          <w:szCs w:val="24"/>
          <w:lang w:val="lv-LV"/>
        </w:rPr>
        <w:t>euro</w:t>
      </w:r>
      <w:r w:rsidR="00A26376" w:rsidRPr="006557B3">
        <w:rPr>
          <w:rFonts w:ascii="Times New Roman" w:hAnsi="Times New Roman" w:cs="Times New Roman"/>
          <w:bCs/>
          <w:color w:val="000000" w:themeColor="text1"/>
          <w:sz w:val="24"/>
          <w:szCs w:val="24"/>
          <w:lang w:val="lv-LV"/>
        </w:rPr>
        <w:t xml:space="preserve"> </w:t>
      </w:r>
      <w:r w:rsidRPr="006557B3">
        <w:rPr>
          <w:rFonts w:ascii="Times New Roman" w:hAnsi="Times New Roman" w:cs="Times New Roman"/>
          <w:bCs/>
          <w:color w:val="000000" w:themeColor="text1"/>
          <w:sz w:val="24"/>
          <w:szCs w:val="24"/>
          <w:lang w:val="lv-LV"/>
        </w:rPr>
        <w:t>un 20</w:t>
      </w:r>
      <w:r w:rsidR="00AB7AC5" w:rsidRPr="006557B3">
        <w:rPr>
          <w:rFonts w:ascii="Times New Roman" w:hAnsi="Times New Roman" w:cs="Times New Roman"/>
          <w:bCs/>
          <w:color w:val="000000" w:themeColor="text1"/>
          <w:sz w:val="24"/>
          <w:szCs w:val="24"/>
          <w:lang w:val="lv-LV"/>
        </w:rPr>
        <w:t>20</w:t>
      </w:r>
      <w:r w:rsidRPr="006557B3">
        <w:rPr>
          <w:rFonts w:ascii="Times New Roman" w:hAnsi="Times New Roman" w:cs="Times New Roman"/>
          <w:bCs/>
          <w:color w:val="000000" w:themeColor="text1"/>
          <w:sz w:val="24"/>
          <w:szCs w:val="24"/>
          <w:lang w:val="lv-LV"/>
        </w:rPr>
        <w:t xml:space="preserve">. gadā </w:t>
      </w:r>
      <w:r w:rsidR="00363EE4" w:rsidRPr="006557B3">
        <w:rPr>
          <w:rFonts w:ascii="Times New Roman" w:hAnsi="Times New Roman" w:cs="Times New Roman"/>
          <w:bCs/>
          <w:color w:val="000000" w:themeColor="text1"/>
          <w:sz w:val="24"/>
          <w:szCs w:val="24"/>
          <w:lang w:val="lv-LV"/>
        </w:rPr>
        <w:t xml:space="preserve">– </w:t>
      </w:r>
      <w:r w:rsidR="006B4D44">
        <w:rPr>
          <w:rFonts w:ascii="Times New Roman" w:hAnsi="Times New Roman" w:cs="Times New Roman"/>
          <w:bCs/>
          <w:color w:val="000000" w:themeColor="text1"/>
          <w:sz w:val="24"/>
          <w:szCs w:val="24"/>
          <w:lang w:val="lv-LV"/>
        </w:rPr>
        <w:t>141 848</w:t>
      </w:r>
      <w:r w:rsidR="00A26376" w:rsidRPr="006557B3">
        <w:rPr>
          <w:rFonts w:ascii="Times New Roman" w:hAnsi="Times New Roman" w:cs="Times New Roman"/>
          <w:bCs/>
          <w:color w:val="000000" w:themeColor="text1"/>
          <w:sz w:val="24"/>
          <w:szCs w:val="24"/>
          <w:lang w:val="lv-LV"/>
        </w:rPr>
        <w:t>,00</w:t>
      </w:r>
      <w:r w:rsidRPr="006557B3">
        <w:rPr>
          <w:rFonts w:ascii="Times New Roman" w:hAnsi="Times New Roman" w:cs="Times New Roman"/>
          <w:bCs/>
          <w:color w:val="000000" w:themeColor="text1"/>
          <w:sz w:val="24"/>
          <w:szCs w:val="24"/>
          <w:lang w:val="lv-LV"/>
        </w:rPr>
        <w:t xml:space="preserve"> </w:t>
      </w:r>
      <w:r w:rsidRPr="006557B3">
        <w:rPr>
          <w:rFonts w:ascii="Times New Roman" w:hAnsi="Times New Roman" w:cs="Times New Roman"/>
          <w:bCs/>
          <w:i/>
          <w:color w:val="000000" w:themeColor="text1"/>
          <w:sz w:val="24"/>
          <w:szCs w:val="24"/>
          <w:lang w:val="lv-LV"/>
        </w:rPr>
        <w:t>euro</w:t>
      </w:r>
      <w:r w:rsidRPr="006557B3">
        <w:rPr>
          <w:rFonts w:ascii="Times New Roman" w:hAnsi="Times New Roman" w:cs="Times New Roman"/>
          <w:bCs/>
          <w:color w:val="000000" w:themeColor="text1"/>
          <w:sz w:val="24"/>
          <w:szCs w:val="24"/>
          <w:lang w:val="lv-LV"/>
        </w:rPr>
        <w:t xml:space="preserve">. </w:t>
      </w:r>
    </w:p>
    <w:p w14:paraId="0FCA7CA7" w14:textId="44A0A844" w:rsidR="0060757D" w:rsidRPr="006557B3" w:rsidRDefault="0060757D" w:rsidP="00C05C12">
      <w:pPr>
        <w:tabs>
          <w:tab w:val="left" w:pos="8647"/>
        </w:tabs>
        <w:spacing w:after="0" w:line="240" w:lineRule="auto"/>
        <w:ind w:firstLine="709"/>
        <w:jc w:val="both"/>
        <w:rPr>
          <w:rFonts w:ascii="Times New Roman" w:hAnsi="Times New Roman" w:cs="Times New Roman"/>
          <w:bCs/>
          <w:color w:val="000000" w:themeColor="text1"/>
          <w:sz w:val="24"/>
          <w:szCs w:val="24"/>
          <w:lang w:val="lv-LV"/>
        </w:rPr>
      </w:pPr>
    </w:p>
    <w:p w14:paraId="62641E3B" w14:textId="54017300" w:rsidR="0060757D" w:rsidRPr="006557B3" w:rsidRDefault="00292267" w:rsidP="007240BC">
      <w:pPr>
        <w:keepNext/>
        <w:tabs>
          <w:tab w:val="left" w:pos="8647"/>
        </w:tabs>
        <w:spacing w:after="0" w:line="240" w:lineRule="auto"/>
        <w:jc w:val="both"/>
        <w:rPr>
          <w:rFonts w:ascii="Times New Roman" w:hAnsi="Times New Roman" w:cs="Times New Roman"/>
          <w:b/>
          <w:bCs/>
          <w:color w:val="000000" w:themeColor="text1"/>
          <w:sz w:val="24"/>
          <w:szCs w:val="24"/>
          <w:lang w:val="lv-LV"/>
        </w:rPr>
      </w:pPr>
      <w:r w:rsidRPr="006557B3">
        <w:rPr>
          <w:rFonts w:ascii="Times New Roman" w:hAnsi="Times New Roman" w:cs="Times New Roman"/>
          <w:b/>
          <w:bCs/>
          <w:color w:val="000000" w:themeColor="text1"/>
          <w:sz w:val="24"/>
          <w:szCs w:val="24"/>
          <w:lang w:val="lv-LV"/>
        </w:rPr>
        <w:t>8.</w:t>
      </w:r>
      <w:r w:rsidR="00425B22" w:rsidRPr="006557B3">
        <w:rPr>
          <w:rFonts w:ascii="Times New Roman" w:hAnsi="Times New Roman" w:cs="Times New Roman"/>
          <w:b/>
          <w:bCs/>
          <w:color w:val="000000" w:themeColor="text1"/>
          <w:sz w:val="24"/>
          <w:szCs w:val="24"/>
          <w:lang w:val="lv-LV"/>
        </w:rPr>
        <w:t xml:space="preserve"> </w:t>
      </w:r>
      <w:r w:rsidR="003655A3" w:rsidRPr="006557B3">
        <w:rPr>
          <w:rFonts w:ascii="Times New Roman" w:eastAsia="Times New Roman" w:hAnsi="Times New Roman"/>
          <w:b/>
          <w:bCs/>
          <w:sz w:val="24"/>
          <w:szCs w:val="24"/>
          <w:lang w:eastAsia="lv-LV"/>
        </w:rPr>
        <w:t>Pārtikas un veterinārais dienesta un Patērētāju tiesības aizsardzības centra turpmākie pasākumi,</w:t>
      </w:r>
      <w:r w:rsidR="00425B22" w:rsidRPr="006557B3">
        <w:rPr>
          <w:rFonts w:ascii="Times New Roman" w:hAnsi="Times New Roman" w:cs="Times New Roman"/>
          <w:b/>
          <w:bCs/>
          <w:color w:val="000000" w:themeColor="text1"/>
          <w:sz w:val="24"/>
          <w:szCs w:val="24"/>
          <w:lang w:val="lv-LV"/>
        </w:rPr>
        <w:t xml:space="preserve"> ja netiks saņemts finansiālais atbalsts</w:t>
      </w:r>
    </w:p>
    <w:p w14:paraId="5E807E65" w14:textId="349BE161" w:rsidR="0060757D" w:rsidRPr="006557B3" w:rsidRDefault="0060757D" w:rsidP="007240BC">
      <w:pPr>
        <w:keepNext/>
        <w:spacing w:after="0" w:line="240" w:lineRule="auto"/>
        <w:ind w:firstLine="709"/>
        <w:jc w:val="both"/>
        <w:rPr>
          <w:rFonts w:ascii="Times New Roman" w:hAnsi="Times New Roman"/>
          <w:color w:val="000000"/>
          <w:sz w:val="24"/>
          <w:szCs w:val="24"/>
        </w:rPr>
      </w:pPr>
      <w:r w:rsidRPr="006557B3">
        <w:rPr>
          <w:rFonts w:ascii="Times New Roman" w:eastAsia="Times New Roman" w:hAnsi="Times New Roman"/>
          <w:bCs/>
          <w:color w:val="000000"/>
          <w:sz w:val="24"/>
          <w:szCs w:val="24"/>
          <w:lang w:eastAsia="lv-LV"/>
        </w:rPr>
        <w:t>Ja netiks saņemts</w:t>
      </w:r>
      <w:r w:rsidRPr="006557B3">
        <w:rPr>
          <w:rFonts w:ascii="Times New Roman" w:eastAsia="Times New Roman" w:hAnsi="Times New Roman"/>
          <w:b/>
          <w:bCs/>
          <w:sz w:val="24"/>
          <w:szCs w:val="24"/>
          <w:lang w:eastAsia="lv-LV"/>
        </w:rPr>
        <w:t xml:space="preserve"> </w:t>
      </w:r>
      <w:r w:rsidR="00425B22" w:rsidRPr="006557B3">
        <w:rPr>
          <w:rFonts w:ascii="Times New Roman" w:hAnsi="Times New Roman" w:cs="Times New Roman"/>
          <w:bCs/>
          <w:color w:val="000000" w:themeColor="text1"/>
          <w:sz w:val="24"/>
          <w:szCs w:val="24"/>
          <w:lang w:val="lv-LV"/>
        </w:rPr>
        <w:t>finansiālais</w:t>
      </w:r>
      <w:r w:rsidR="00425B22" w:rsidRPr="006557B3">
        <w:rPr>
          <w:rFonts w:ascii="Times New Roman" w:eastAsia="Times New Roman" w:hAnsi="Times New Roman"/>
          <w:bCs/>
          <w:sz w:val="24"/>
          <w:szCs w:val="24"/>
          <w:lang w:eastAsia="lv-LV"/>
        </w:rPr>
        <w:t xml:space="preserve"> </w:t>
      </w:r>
      <w:r w:rsidRPr="006557B3">
        <w:rPr>
          <w:rFonts w:ascii="Times New Roman" w:eastAsia="Times New Roman" w:hAnsi="Times New Roman"/>
          <w:bCs/>
          <w:sz w:val="24"/>
          <w:szCs w:val="24"/>
          <w:lang w:eastAsia="lv-LV"/>
        </w:rPr>
        <w:t xml:space="preserve">atbalsts, </w:t>
      </w:r>
      <w:r w:rsidR="00AF6A00" w:rsidRPr="006557B3">
        <w:rPr>
          <w:rFonts w:ascii="Times New Roman" w:eastAsia="Times New Roman" w:hAnsi="Times New Roman"/>
          <w:b/>
          <w:bCs/>
          <w:sz w:val="24"/>
          <w:szCs w:val="24"/>
          <w:lang w:eastAsia="lv-LV"/>
        </w:rPr>
        <w:t>PVD</w:t>
      </w:r>
      <w:r w:rsidRPr="006557B3">
        <w:rPr>
          <w:rFonts w:ascii="Times New Roman" w:hAnsi="Times New Roman"/>
          <w:color w:val="000000"/>
          <w:sz w:val="24"/>
          <w:szCs w:val="24"/>
        </w:rPr>
        <w:t xml:space="preserve"> turpinās </w:t>
      </w:r>
      <w:r w:rsidR="00F71964">
        <w:rPr>
          <w:rFonts w:ascii="Times New Roman" w:hAnsi="Times New Roman"/>
          <w:color w:val="000000"/>
          <w:sz w:val="24"/>
          <w:szCs w:val="24"/>
        </w:rPr>
        <w:t xml:space="preserve">uzraudzīt </w:t>
      </w:r>
      <w:r w:rsidRPr="006557B3">
        <w:rPr>
          <w:rFonts w:ascii="Times New Roman" w:hAnsi="Times New Roman"/>
          <w:color w:val="000000"/>
          <w:sz w:val="24"/>
          <w:szCs w:val="24"/>
        </w:rPr>
        <w:t>uztura bagātinātāju jom</w:t>
      </w:r>
      <w:r w:rsidR="00F71964">
        <w:rPr>
          <w:rFonts w:ascii="Times New Roman" w:hAnsi="Times New Roman"/>
          <w:color w:val="000000"/>
          <w:sz w:val="24"/>
          <w:szCs w:val="24"/>
        </w:rPr>
        <w:t>u</w:t>
      </w:r>
      <w:r w:rsidRPr="006557B3">
        <w:rPr>
          <w:rFonts w:ascii="Times New Roman" w:hAnsi="Times New Roman"/>
          <w:color w:val="000000"/>
          <w:sz w:val="24"/>
          <w:szCs w:val="24"/>
        </w:rPr>
        <w:t xml:space="preserve"> </w:t>
      </w:r>
      <w:r w:rsidR="00F71964">
        <w:rPr>
          <w:rFonts w:ascii="Times New Roman" w:hAnsi="Times New Roman"/>
          <w:color w:val="000000"/>
          <w:sz w:val="24"/>
          <w:szCs w:val="24"/>
        </w:rPr>
        <w:t>atbilstoši savai</w:t>
      </w:r>
      <w:r w:rsidRPr="006557B3">
        <w:rPr>
          <w:rFonts w:ascii="Times New Roman" w:hAnsi="Times New Roman"/>
          <w:color w:val="000000"/>
          <w:sz w:val="24"/>
          <w:szCs w:val="24"/>
        </w:rPr>
        <w:t xml:space="preserve"> kompetence</w:t>
      </w:r>
      <w:r w:rsidR="00F71964">
        <w:rPr>
          <w:rFonts w:ascii="Times New Roman" w:hAnsi="Times New Roman"/>
          <w:color w:val="000000"/>
          <w:sz w:val="24"/>
          <w:szCs w:val="24"/>
        </w:rPr>
        <w:t>i no</w:t>
      </w:r>
      <w:r w:rsidRPr="006557B3">
        <w:rPr>
          <w:rFonts w:ascii="Times New Roman" w:hAnsi="Times New Roman"/>
          <w:color w:val="000000"/>
          <w:sz w:val="24"/>
          <w:szCs w:val="24"/>
        </w:rPr>
        <w:t xml:space="preserve"> piešķirtā finansējuma, tas ir, teorētiski pārbaudīs marķējuma atbilstību normatīvajiem aktiem un ievietos uztura bagātinātāju reģistrā</w:t>
      </w:r>
      <w:r w:rsidR="00F71964">
        <w:rPr>
          <w:rFonts w:ascii="Times New Roman" w:hAnsi="Times New Roman"/>
          <w:color w:val="000000"/>
          <w:sz w:val="24"/>
          <w:szCs w:val="24"/>
        </w:rPr>
        <w:t>, kā arī</w:t>
      </w:r>
      <w:r w:rsidRPr="006557B3">
        <w:rPr>
          <w:rFonts w:ascii="Times New Roman" w:hAnsi="Times New Roman"/>
          <w:color w:val="000000"/>
          <w:sz w:val="24"/>
          <w:szCs w:val="24"/>
        </w:rPr>
        <w:t xml:space="preserve"> </w:t>
      </w:r>
      <w:r w:rsidR="00F71964">
        <w:rPr>
          <w:rFonts w:ascii="Times New Roman" w:hAnsi="Times New Roman"/>
          <w:color w:val="000000"/>
          <w:sz w:val="24"/>
          <w:szCs w:val="24"/>
        </w:rPr>
        <w:t>v</w:t>
      </w:r>
      <w:r w:rsidRPr="006557B3">
        <w:rPr>
          <w:rFonts w:ascii="Times New Roman" w:hAnsi="Times New Roman"/>
          <w:color w:val="000000"/>
          <w:sz w:val="24"/>
          <w:szCs w:val="24"/>
        </w:rPr>
        <w:t xml:space="preserve">eiks kontroli saņemto ziņojumu Ātrās brīdināšanas sistēmā pārtikas un barības jomā </w:t>
      </w:r>
      <w:r w:rsidRPr="006557B3">
        <w:rPr>
          <w:rFonts w:ascii="Times New Roman" w:hAnsi="Times New Roman"/>
          <w:i/>
          <w:color w:val="000000"/>
          <w:sz w:val="24"/>
          <w:szCs w:val="24"/>
        </w:rPr>
        <w:t>(RASFF)</w:t>
      </w:r>
      <w:r w:rsidRPr="006557B3">
        <w:rPr>
          <w:rFonts w:ascii="Times New Roman" w:hAnsi="Times New Roman"/>
          <w:color w:val="000000"/>
          <w:sz w:val="24"/>
          <w:szCs w:val="24"/>
        </w:rPr>
        <w:t xml:space="preserve"> vai </w:t>
      </w:r>
      <w:r w:rsidR="00F71964">
        <w:rPr>
          <w:rFonts w:ascii="Times New Roman" w:hAnsi="Times New Roman"/>
          <w:color w:val="000000"/>
          <w:sz w:val="24"/>
          <w:szCs w:val="24"/>
        </w:rPr>
        <w:t xml:space="preserve">pēc </w:t>
      </w:r>
      <w:r w:rsidRPr="006557B3">
        <w:rPr>
          <w:rFonts w:ascii="Times New Roman" w:hAnsi="Times New Roman"/>
          <w:color w:val="000000"/>
          <w:sz w:val="24"/>
          <w:szCs w:val="24"/>
        </w:rPr>
        <w:t xml:space="preserve">patērētāju vai citu institūciju sūdzību </w:t>
      </w:r>
      <w:r w:rsidR="00F71964">
        <w:rPr>
          <w:rFonts w:ascii="Times New Roman" w:hAnsi="Times New Roman"/>
          <w:color w:val="000000"/>
          <w:sz w:val="24"/>
          <w:szCs w:val="24"/>
        </w:rPr>
        <w:t>saņemšanas</w:t>
      </w:r>
      <w:r w:rsidRPr="006557B3">
        <w:rPr>
          <w:rFonts w:ascii="Times New Roman" w:hAnsi="Times New Roman"/>
          <w:color w:val="000000"/>
          <w:sz w:val="24"/>
          <w:szCs w:val="24"/>
        </w:rPr>
        <w:t xml:space="preserve">. </w:t>
      </w:r>
    </w:p>
    <w:p w14:paraId="7C23F261" w14:textId="77777777" w:rsidR="0027460D" w:rsidRPr="006557B3" w:rsidRDefault="0027460D" w:rsidP="0027460D">
      <w:pPr>
        <w:spacing w:after="0" w:line="240" w:lineRule="auto"/>
        <w:ind w:firstLine="709"/>
        <w:jc w:val="both"/>
        <w:rPr>
          <w:rFonts w:ascii="Times New Roman" w:hAnsi="Times New Roman"/>
          <w:sz w:val="24"/>
          <w:szCs w:val="24"/>
          <w:lang w:eastAsia="lv-LV"/>
        </w:rPr>
      </w:pPr>
      <w:r w:rsidRPr="006557B3">
        <w:rPr>
          <w:rFonts w:ascii="Times New Roman" w:hAnsi="Times New Roman"/>
          <w:sz w:val="24"/>
          <w:szCs w:val="24"/>
          <w:lang w:eastAsia="lv-LV"/>
        </w:rPr>
        <w:t xml:space="preserve">PVD inspektori veic pārtikas uzņēmumu plānveida pārbaudes, kas tiek organizētas pamatojoties uz PVD kontroles (inspekciju) plānu. Tajā katrai pārtikas apritē iesaistīto uzņēmumu grupai ir noteikts minimālais pārbaužu biežums gadā, to skaits svārstās no vienas reizes ceturksnī līdz vienai reizei divos gados. Veidojot kontroles plānu, PVD izvērtē katra konkrētā uzņēmuma ražošanas apjomus, riska faktorus, iepriekšējo kontroļu rezultātus un arī iedzīvotāju sūdzības. </w:t>
      </w:r>
    </w:p>
    <w:p w14:paraId="0A166B80" w14:textId="77777777" w:rsidR="0027460D" w:rsidRPr="006557B3" w:rsidRDefault="0027460D" w:rsidP="0027460D">
      <w:pPr>
        <w:spacing w:after="0" w:line="240" w:lineRule="auto"/>
        <w:ind w:firstLine="709"/>
        <w:jc w:val="both"/>
        <w:rPr>
          <w:rFonts w:ascii="Times New Roman" w:hAnsi="Times New Roman"/>
          <w:sz w:val="24"/>
          <w:szCs w:val="24"/>
          <w:lang w:eastAsia="lv-LV"/>
        </w:rPr>
      </w:pPr>
      <w:r w:rsidRPr="006557B3">
        <w:rPr>
          <w:rFonts w:ascii="Times New Roman" w:hAnsi="Times New Roman"/>
          <w:sz w:val="24"/>
          <w:szCs w:val="24"/>
          <w:lang w:eastAsia="lv-LV"/>
        </w:rPr>
        <w:t>Saņemot patērētāju sūdzības, informāciju no citām iestādēm vai iespējama riska gadījumos tiek veiktas ārpuskārtas kontroles. Pārtikas aprites valsts uzraudzību un kontroli plāno, organizē un koordinē PVD Pārtikas uzraudzības departaments.</w:t>
      </w:r>
    </w:p>
    <w:p w14:paraId="1926D582" w14:textId="438F3AF8" w:rsidR="0027460D" w:rsidRPr="006557B3" w:rsidRDefault="0027460D" w:rsidP="0027460D">
      <w:pPr>
        <w:spacing w:after="0" w:line="240" w:lineRule="auto"/>
        <w:ind w:firstLine="709"/>
        <w:jc w:val="both"/>
        <w:rPr>
          <w:rFonts w:ascii="Times New Roman" w:hAnsi="Times New Roman"/>
          <w:sz w:val="24"/>
          <w:szCs w:val="24"/>
          <w:lang w:eastAsia="lv-LV"/>
        </w:rPr>
      </w:pPr>
      <w:r w:rsidRPr="006557B3">
        <w:rPr>
          <w:rFonts w:ascii="Times New Roman" w:hAnsi="Times New Roman"/>
          <w:sz w:val="24"/>
          <w:szCs w:val="24"/>
          <w:lang w:eastAsia="lv-LV"/>
        </w:rPr>
        <w:t>Lai PVD novirzītu kapacitāti un finanšu līdzekļus pastiprinātai uztura bagātinātāju kontrolei 201</w:t>
      </w:r>
      <w:r w:rsidR="00D20AF1" w:rsidRPr="006557B3">
        <w:rPr>
          <w:rFonts w:ascii="Times New Roman" w:hAnsi="Times New Roman"/>
          <w:sz w:val="24"/>
          <w:szCs w:val="24"/>
          <w:lang w:eastAsia="lv-LV"/>
        </w:rPr>
        <w:t>8</w:t>
      </w:r>
      <w:r w:rsidRPr="006557B3">
        <w:rPr>
          <w:rFonts w:ascii="Times New Roman" w:hAnsi="Times New Roman"/>
          <w:sz w:val="24"/>
          <w:szCs w:val="24"/>
          <w:lang w:eastAsia="lv-LV"/>
        </w:rPr>
        <w:t>.–20</w:t>
      </w:r>
      <w:r w:rsidR="00D20AF1" w:rsidRPr="006557B3">
        <w:rPr>
          <w:rFonts w:ascii="Times New Roman" w:hAnsi="Times New Roman"/>
          <w:sz w:val="24"/>
          <w:szCs w:val="24"/>
          <w:lang w:eastAsia="lv-LV"/>
        </w:rPr>
        <w:t>20</w:t>
      </w:r>
      <w:r w:rsidRPr="006557B3">
        <w:rPr>
          <w:rFonts w:ascii="Times New Roman" w:hAnsi="Times New Roman"/>
          <w:sz w:val="24"/>
          <w:szCs w:val="24"/>
          <w:lang w:eastAsia="lv-LV"/>
        </w:rPr>
        <w:t xml:space="preserve">. gadā, ievērojami resursi un finanšu līdzekļi būtu jāatņem pārējām pārtikas aprites uzraudzības programmām. Ņemot vērā, ka jau šobrīd daudzas pārtikas laboratoriskās uzraudzības programmas tiek realizētas minimālā apjomā, </w:t>
      </w:r>
      <w:r w:rsidR="00AA3C41" w:rsidRPr="006557B3">
        <w:rPr>
          <w:rFonts w:ascii="Times New Roman" w:hAnsi="Times New Roman"/>
          <w:sz w:val="24"/>
          <w:szCs w:val="24"/>
          <w:lang w:eastAsia="lv-LV"/>
        </w:rPr>
        <w:t xml:space="preserve">vai arī, vispār netiek </w:t>
      </w:r>
      <w:r w:rsidR="00AA3C41" w:rsidRPr="006557B3">
        <w:rPr>
          <w:rFonts w:ascii="Times New Roman" w:hAnsi="Times New Roman"/>
          <w:sz w:val="24"/>
          <w:szCs w:val="24"/>
          <w:lang w:eastAsia="lv-LV"/>
        </w:rPr>
        <w:lastRenderedPageBreak/>
        <w:t xml:space="preserve">realizētas, </w:t>
      </w:r>
      <w:r w:rsidRPr="006557B3">
        <w:rPr>
          <w:rFonts w:ascii="Times New Roman" w:hAnsi="Times New Roman"/>
          <w:sz w:val="24"/>
          <w:szCs w:val="24"/>
          <w:lang w:eastAsia="lv-LV"/>
        </w:rPr>
        <w:t xml:space="preserve">papildus līdzekļu novirzīšana uztura bagātinātāju pastiprinātai kontrolei nav iespējama. </w:t>
      </w:r>
    </w:p>
    <w:p w14:paraId="3D79EB0F" w14:textId="352EB51D" w:rsidR="0060757D" w:rsidRPr="006557B3" w:rsidRDefault="00425B22" w:rsidP="00833425">
      <w:pPr>
        <w:spacing w:after="0" w:line="240" w:lineRule="auto"/>
        <w:ind w:firstLine="709"/>
        <w:jc w:val="both"/>
        <w:rPr>
          <w:rFonts w:ascii="Times New Roman" w:hAnsi="Times New Roman"/>
          <w:color w:val="000000"/>
          <w:sz w:val="24"/>
          <w:szCs w:val="24"/>
        </w:rPr>
      </w:pPr>
      <w:r w:rsidRPr="006557B3">
        <w:rPr>
          <w:rFonts w:ascii="Times New Roman" w:eastAsia="Times New Roman" w:hAnsi="Times New Roman"/>
          <w:bCs/>
          <w:color w:val="000000"/>
          <w:sz w:val="24"/>
          <w:szCs w:val="24"/>
          <w:lang w:eastAsia="lv-LV"/>
        </w:rPr>
        <w:t>Ja netiks saņemts</w:t>
      </w:r>
      <w:r w:rsidRPr="006557B3">
        <w:rPr>
          <w:rFonts w:ascii="Times New Roman" w:eastAsia="Times New Roman" w:hAnsi="Times New Roman"/>
          <w:b/>
          <w:bCs/>
          <w:sz w:val="24"/>
          <w:szCs w:val="24"/>
          <w:lang w:eastAsia="lv-LV"/>
        </w:rPr>
        <w:t xml:space="preserve"> </w:t>
      </w:r>
      <w:r w:rsidRPr="006557B3">
        <w:rPr>
          <w:rFonts w:ascii="Times New Roman" w:hAnsi="Times New Roman" w:cs="Times New Roman"/>
          <w:bCs/>
          <w:color w:val="000000" w:themeColor="text1"/>
          <w:sz w:val="24"/>
          <w:szCs w:val="24"/>
          <w:lang w:val="lv-LV"/>
        </w:rPr>
        <w:t>finansiālais</w:t>
      </w:r>
      <w:r w:rsidRPr="006557B3">
        <w:rPr>
          <w:rFonts w:ascii="Times New Roman" w:eastAsia="Times New Roman" w:hAnsi="Times New Roman"/>
          <w:bCs/>
          <w:sz w:val="24"/>
          <w:szCs w:val="24"/>
          <w:lang w:eastAsia="lv-LV"/>
        </w:rPr>
        <w:t xml:space="preserve"> atbalsts</w:t>
      </w:r>
      <w:r w:rsidR="00F71964">
        <w:rPr>
          <w:rFonts w:ascii="Times New Roman" w:eastAsia="Times New Roman" w:hAnsi="Times New Roman"/>
          <w:bCs/>
          <w:sz w:val="24"/>
          <w:szCs w:val="24"/>
          <w:lang w:eastAsia="lv-LV"/>
        </w:rPr>
        <w:t>,</w:t>
      </w:r>
      <w:r w:rsidRPr="006557B3">
        <w:rPr>
          <w:rFonts w:ascii="Times New Roman" w:eastAsia="Times New Roman" w:hAnsi="Times New Roman"/>
          <w:b/>
          <w:bCs/>
          <w:sz w:val="24"/>
          <w:szCs w:val="24"/>
          <w:lang w:eastAsia="lv-LV"/>
        </w:rPr>
        <w:t xml:space="preserve"> </w:t>
      </w:r>
      <w:r w:rsidR="00AF6A00" w:rsidRPr="006557B3">
        <w:rPr>
          <w:rFonts w:ascii="Times New Roman" w:eastAsia="Times New Roman" w:hAnsi="Times New Roman"/>
          <w:b/>
          <w:bCs/>
          <w:sz w:val="24"/>
          <w:szCs w:val="24"/>
          <w:lang w:eastAsia="lv-LV"/>
        </w:rPr>
        <w:t>PTAC</w:t>
      </w:r>
      <w:r w:rsidRPr="006557B3">
        <w:rPr>
          <w:rFonts w:ascii="Times New Roman" w:eastAsia="Times New Roman" w:hAnsi="Times New Roman"/>
          <w:b/>
          <w:bCs/>
          <w:sz w:val="24"/>
          <w:szCs w:val="24"/>
          <w:lang w:eastAsia="lv-LV"/>
        </w:rPr>
        <w:t xml:space="preserve"> </w:t>
      </w:r>
      <w:r w:rsidR="00F71964">
        <w:rPr>
          <w:rFonts w:ascii="Times New Roman" w:hAnsi="Times New Roman"/>
          <w:color w:val="000000"/>
          <w:sz w:val="24"/>
          <w:szCs w:val="24"/>
        </w:rPr>
        <w:t>uzraudzī</w:t>
      </w:r>
      <w:r w:rsidR="0060757D" w:rsidRPr="006557B3">
        <w:rPr>
          <w:rFonts w:ascii="Times New Roman" w:hAnsi="Times New Roman"/>
          <w:color w:val="000000"/>
          <w:sz w:val="24"/>
          <w:szCs w:val="24"/>
        </w:rPr>
        <w:t>s uztura bagātinātāju jom</w:t>
      </w:r>
      <w:r w:rsidR="00F71964">
        <w:rPr>
          <w:rFonts w:ascii="Times New Roman" w:hAnsi="Times New Roman"/>
          <w:color w:val="000000"/>
          <w:sz w:val="24"/>
          <w:szCs w:val="24"/>
        </w:rPr>
        <w:t>u</w:t>
      </w:r>
      <w:r w:rsidR="0060757D" w:rsidRPr="006557B3">
        <w:rPr>
          <w:rFonts w:ascii="Times New Roman" w:hAnsi="Times New Roman"/>
          <w:color w:val="000000"/>
          <w:sz w:val="24"/>
          <w:szCs w:val="24"/>
        </w:rPr>
        <w:t xml:space="preserve"> </w:t>
      </w:r>
      <w:r w:rsidR="00F71964">
        <w:rPr>
          <w:rFonts w:ascii="Times New Roman" w:hAnsi="Times New Roman"/>
          <w:color w:val="000000"/>
          <w:sz w:val="24"/>
          <w:szCs w:val="24"/>
        </w:rPr>
        <w:t>atbilstoši</w:t>
      </w:r>
      <w:r w:rsidR="00F71964" w:rsidRPr="006557B3">
        <w:rPr>
          <w:rFonts w:ascii="Times New Roman" w:hAnsi="Times New Roman"/>
          <w:color w:val="000000"/>
          <w:sz w:val="24"/>
          <w:szCs w:val="24"/>
        </w:rPr>
        <w:t xml:space="preserve"> </w:t>
      </w:r>
      <w:r w:rsidR="0060757D" w:rsidRPr="006557B3">
        <w:rPr>
          <w:rFonts w:ascii="Times New Roman" w:hAnsi="Times New Roman"/>
          <w:color w:val="000000"/>
          <w:sz w:val="24"/>
          <w:szCs w:val="24"/>
        </w:rPr>
        <w:t>sava</w:t>
      </w:r>
      <w:r w:rsidR="00F71964">
        <w:rPr>
          <w:rFonts w:ascii="Times New Roman" w:hAnsi="Times New Roman"/>
          <w:color w:val="000000"/>
          <w:sz w:val="24"/>
          <w:szCs w:val="24"/>
        </w:rPr>
        <w:t>i</w:t>
      </w:r>
      <w:r w:rsidR="0060757D" w:rsidRPr="006557B3">
        <w:rPr>
          <w:rFonts w:ascii="Times New Roman" w:hAnsi="Times New Roman"/>
          <w:color w:val="000000"/>
          <w:sz w:val="24"/>
          <w:szCs w:val="24"/>
        </w:rPr>
        <w:t xml:space="preserve"> kompetence</w:t>
      </w:r>
      <w:r w:rsidR="00F71964">
        <w:rPr>
          <w:rFonts w:ascii="Times New Roman" w:hAnsi="Times New Roman"/>
          <w:color w:val="000000"/>
          <w:sz w:val="24"/>
          <w:szCs w:val="24"/>
        </w:rPr>
        <w:t>i</w:t>
      </w:r>
      <w:r w:rsidR="0060757D" w:rsidRPr="006557B3">
        <w:rPr>
          <w:rFonts w:ascii="Times New Roman" w:hAnsi="Times New Roman"/>
          <w:color w:val="000000"/>
          <w:sz w:val="24"/>
          <w:szCs w:val="24"/>
        </w:rPr>
        <w:t xml:space="preserve"> </w:t>
      </w:r>
      <w:r w:rsidR="00F71964">
        <w:rPr>
          <w:rFonts w:ascii="Times New Roman" w:hAnsi="Times New Roman"/>
          <w:color w:val="000000"/>
          <w:sz w:val="24"/>
          <w:szCs w:val="24"/>
        </w:rPr>
        <w:t xml:space="preserve">no </w:t>
      </w:r>
      <w:r w:rsidR="0060757D" w:rsidRPr="006557B3">
        <w:rPr>
          <w:rFonts w:ascii="Times New Roman" w:hAnsi="Times New Roman"/>
          <w:color w:val="000000"/>
          <w:sz w:val="24"/>
          <w:szCs w:val="24"/>
        </w:rPr>
        <w:t>piešķirtā finansējuma, kas ļauj reklāmu/komercprakses uzraudzību veikt izlases kārtībā, nosakot darbības prioritātes un koncentrējoties uz galvenajām problēmām, proti, kur konstatējams būtisks patērētāju kolektīvo interešu aizskārums.</w:t>
      </w:r>
    </w:p>
    <w:p w14:paraId="349FAAF1" w14:textId="6B8B1A2F" w:rsidR="00D44CB2" w:rsidRPr="006557B3" w:rsidRDefault="007412DF" w:rsidP="0078037A">
      <w:pPr>
        <w:spacing w:after="0" w:line="240" w:lineRule="auto"/>
        <w:ind w:firstLine="709"/>
        <w:jc w:val="both"/>
        <w:rPr>
          <w:rFonts w:ascii="Times New Roman" w:hAnsi="Times New Roman"/>
          <w:color w:val="000000"/>
          <w:sz w:val="24"/>
          <w:szCs w:val="24"/>
        </w:rPr>
      </w:pPr>
      <w:r w:rsidRPr="006557B3">
        <w:rPr>
          <w:rFonts w:ascii="Times New Roman" w:hAnsi="Times New Roman"/>
          <w:color w:val="000000" w:themeColor="text1"/>
          <w:sz w:val="24"/>
          <w:szCs w:val="24"/>
        </w:rPr>
        <w:t>PTAC darbojas</w:t>
      </w:r>
      <w:r w:rsidR="00F71964">
        <w:rPr>
          <w:rFonts w:ascii="Times New Roman" w:hAnsi="Times New Roman"/>
          <w:color w:val="000000" w:themeColor="text1"/>
          <w:sz w:val="24"/>
          <w:szCs w:val="24"/>
        </w:rPr>
        <w:t>, izmantojot</w:t>
      </w:r>
      <w:r w:rsidRPr="006557B3">
        <w:rPr>
          <w:rFonts w:ascii="Times New Roman" w:hAnsi="Times New Roman"/>
          <w:color w:val="000000" w:themeColor="text1"/>
          <w:sz w:val="24"/>
          <w:szCs w:val="24"/>
        </w:rPr>
        <w:t xml:space="preserve"> 2016.gada</w:t>
      </w:r>
      <w:r w:rsidR="00F71964">
        <w:rPr>
          <w:rFonts w:ascii="Times New Roman" w:hAnsi="Times New Roman"/>
          <w:color w:val="000000" w:themeColor="text1"/>
          <w:sz w:val="24"/>
          <w:szCs w:val="24"/>
        </w:rPr>
        <w:t>m</w:t>
      </w:r>
      <w:r w:rsidRPr="006557B3">
        <w:rPr>
          <w:rFonts w:ascii="Times New Roman" w:hAnsi="Times New Roman"/>
          <w:color w:val="000000" w:themeColor="text1"/>
          <w:sz w:val="24"/>
          <w:szCs w:val="24"/>
        </w:rPr>
        <w:t xml:space="preserve"> piešķirto finansējumu un </w:t>
      </w:r>
      <w:r w:rsidR="00F71964">
        <w:rPr>
          <w:rFonts w:ascii="Times New Roman" w:hAnsi="Times New Roman"/>
          <w:color w:val="000000" w:themeColor="text1"/>
          <w:sz w:val="24"/>
          <w:szCs w:val="24"/>
        </w:rPr>
        <w:t xml:space="preserve">ievērojot </w:t>
      </w:r>
      <w:r w:rsidRPr="006557B3">
        <w:rPr>
          <w:rFonts w:ascii="Times New Roman" w:hAnsi="Times New Roman"/>
          <w:color w:val="000000" w:themeColor="text1"/>
          <w:sz w:val="24"/>
          <w:szCs w:val="24"/>
        </w:rPr>
        <w:t>ierobežot</w:t>
      </w:r>
      <w:r w:rsidR="00F71964">
        <w:rPr>
          <w:rFonts w:ascii="Times New Roman" w:hAnsi="Times New Roman"/>
          <w:color w:val="000000" w:themeColor="text1"/>
          <w:sz w:val="24"/>
          <w:szCs w:val="24"/>
        </w:rPr>
        <w:t>o</w:t>
      </w:r>
      <w:r w:rsidRPr="006557B3">
        <w:rPr>
          <w:rFonts w:ascii="Times New Roman" w:hAnsi="Times New Roman"/>
          <w:color w:val="000000" w:themeColor="text1"/>
          <w:sz w:val="24"/>
          <w:szCs w:val="24"/>
        </w:rPr>
        <w:t xml:space="preserve"> kapacitāt</w:t>
      </w:r>
      <w:r w:rsidR="00F71964">
        <w:rPr>
          <w:rFonts w:ascii="Times New Roman" w:hAnsi="Times New Roman"/>
          <w:color w:val="000000" w:themeColor="text1"/>
          <w:sz w:val="24"/>
          <w:szCs w:val="24"/>
        </w:rPr>
        <w:t>i</w:t>
      </w:r>
      <w:r w:rsidR="00D44CB2" w:rsidRPr="006557B3">
        <w:rPr>
          <w:rFonts w:ascii="Times New Roman" w:hAnsi="Times New Roman"/>
          <w:color w:val="000000" w:themeColor="text1"/>
          <w:sz w:val="24"/>
          <w:szCs w:val="24"/>
        </w:rPr>
        <w:t xml:space="preserve">, </w:t>
      </w:r>
      <w:r w:rsidR="00F71964">
        <w:rPr>
          <w:rFonts w:ascii="Times New Roman" w:hAnsi="Times New Roman"/>
          <w:color w:val="000000" w:themeColor="text1"/>
          <w:sz w:val="24"/>
          <w:szCs w:val="24"/>
        </w:rPr>
        <w:t>tāpēc</w:t>
      </w:r>
      <w:r w:rsidRPr="006557B3">
        <w:rPr>
          <w:rFonts w:ascii="Times New Roman" w:hAnsi="Times New Roman"/>
          <w:color w:val="000000" w:themeColor="text1"/>
          <w:sz w:val="24"/>
          <w:szCs w:val="24"/>
        </w:rPr>
        <w:t xml:space="preserve"> </w:t>
      </w:r>
      <w:r w:rsidR="00F71964">
        <w:rPr>
          <w:rFonts w:ascii="Times New Roman" w:hAnsi="Times New Roman"/>
          <w:color w:val="000000" w:themeColor="text1"/>
          <w:sz w:val="24"/>
          <w:szCs w:val="24"/>
        </w:rPr>
        <w:t xml:space="preserve">par esošajiem resursiem </w:t>
      </w:r>
      <w:r w:rsidRPr="006557B3">
        <w:rPr>
          <w:rFonts w:ascii="Times New Roman" w:hAnsi="Times New Roman"/>
          <w:color w:val="000000" w:themeColor="text1"/>
          <w:sz w:val="24"/>
          <w:szCs w:val="24"/>
        </w:rPr>
        <w:t>nav iespēja</w:t>
      </w:r>
      <w:r w:rsidR="00F71964">
        <w:rPr>
          <w:rFonts w:ascii="Times New Roman" w:hAnsi="Times New Roman"/>
          <w:color w:val="000000" w:themeColor="text1"/>
          <w:sz w:val="24"/>
          <w:szCs w:val="24"/>
        </w:rPr>
        <w:t>m</w:t>
      </w:r>
      <w:r w:rsidRPr="006557B3">
        <w:rPr>
          <w:rFonts w:ascii="Times New Roman" w:hAnsi="Times New Roman"/>
          <w:color w:val="000000" w:themeColor="text1"/>
          <w:sz w:val="24"/>
          <w:szCs w:val="24"/>
        </w:rPr>
        <w:t>s, piemēram, main</w:t>
      </w:r>
      <w:r w:rsidR="00D44CB2" w:rsidRPr="006557B3">
        <w:rPr>
          <w:rFonts w:ascii="Times New Roman" w:hAnsi="Times New Roman"/>
          <w:color w:val="000000" w:themeColor="text1"/>
          <w:sz w:val="24"/>
          <w:szCs w:val="24"/>
        </w:rPr>
        <w:t>īt</w:t>
      </w:r>
      <w:r w:rsidRPr="006557B3">
        <w:rPr>
          <w:rFonts w:ascii="Times New Roman" w:hAnsi="Times New Roman"/>
          <w:color w:val="000000" w:themeColor="text1"/>
          <w:sz w:val="24"/>
          <w:szCs w:val="24"/>
        </w:rPr>
        <w:t xml:space="preserve"> kontroles pasākumu prioritātes</w:t>
      </w:r>
      <w:r w:rsidR="00D44CB2" w:rsidRPr="006557B3">
        <w:rPr>
          <w:rFonts w:ascii="Times New Roman" w:hAnsi="Times New Roman"/>
          <w:color w:val="000000" w:themeColor="text1"/>
          <w:sz w:val="24"/>
          <w:szCs w:val="24"/>
        </w:rPr>
        <w:t xml:space="preserve"> un papildus</w:t>
      </w:r>
      <w:r w:rsidR="00F71964">
        <w:rPr>
          <w:rFonts w:ascii="Times New Roman" w:hAnsi="Times New Roman"/>
          <w:color w:val="000000" w:themeColor="text1"/>
          <w:sz w:val="24"/>
          <w:szCs w:val="24"/>
        </w:rPr>
        <w:t xml:space="preserve"> īstenot arī</w:t>
      </w:r>
      <w:r w:rsidR="0078037A" w:rsidRPr="006557B3">
        <w:rPr>
          <w:rFonts w:ascii="Times New Roman" w:hAnsi="Times New Roman"/>
          <w:color w:val="000000" w:themeColor="text1"/>
          <w:sz w:val="24"/>
          <w:szCs w:val="24"/>
        </w:rPr>
        <w:t xml:space="preserve"> </w:t>
      </w:r>
      <w:r w:rsidR="00D44CB2" w:rsidRPr="006557B3">
        <w:rPr>
          <w:rFonts w:ascii="Times New Roman" w:hAnsi="Times New Roman"/>
          <w:color w:val="000000" w:themeColor="text1"/>
          <w:sz w:val="24"/>
          <w:szCs w:val="24"/>
        </w:rPr>
        <w:t>Informatīv</w:t>
      </w:r>
      <w:r w:rsidR="0078037A" w:rsidRPr="006557B3">
        <w:rPr>
          <w:rFonts w:ascii="Times New Roman" w:hAnsi="Times New Roman"/>
          <w:color w:val="000000" w:themeColor="text1"/>
          <w:sz w:val="24"/>
          <w:szCs w:val="24"/>
        </w:rPr>
        <w:t>ajā</w:t>
      </w:r>
      <w:r w:rsidR="00D44CB2" w:rsidRPr="006557B3">
        <w:rPr>
          <w:rFonts w:ascii="Times New Roman" w:hAnsi="Times New Roman"/>
          <w:color w:val="000000" w:themeColor="text1"/>
          <w:sz w:val="24"/>
          <w:szCs w:val="24"/>
        </w:rPr>
        <w:t xml:space="preserve"> ziņojuma projektā noteiktos pasākumus</w:t>
      </w:r>
      <w:r w:rsidR="00D44CB2" w:rsidRPr="006557B3">
        <w:rPr>
          <w:rFonts w:ascii="Times New Roman" w:hAnsi="Times New Roman"/>
          <w:color w:val="000000"/>
          <w:sz w:val="24"/>
          <w:szCs w:val="24"/>
        </w:rPr>
        <w:t xml:space="preserve">. </w:t>
      </w:r>
    </w:p>
    <w:p w14:paraId="2EF5A90C" w14:textId="19E2BF96" w:rsidR="0060757D" w:rsidRPr="006557B3" w:rsidRDefault="00F71964" w:rsidP="00F30468">
      <w:pPr>
        <w:tabs>
          <w:tab w:val="left" w:pos="8647"/>
        </w:tabs>
        <w:spacing w:after="0" w:line="240" w:lineRule="auto"/>
        <w:ind w:firstLine="709"/>
        <w:jc w:val="both"/>
        <w:rPr>
          <w:rFonts w:ascii="Times New Roman" w:hAnsi="Times New Roman" w:cs="Times New Roman"/>
          <w:bCs/>
          <w:color w:val="000000" w:themeColor="text1"/>
          <w:sz w:val="24"/>
          <w:szCs w:val="24"/>
          <w:lang w:val="lv-LV"/>
        </w:rPr>
      </w:pPr>
      <w:r>
        <w:rPr>
          <w:rFonts w:ascii="Times New Roman" w:hAnsi="Times New Roman"/>
          <w:color w:val="000000" w:themeColor="text1"/>
          <w:sz w:val="24"/>
          <w:szCs w:val="24"/>
        </w:rPr>
        <w:t>Tā kā</w:t>
      </w:r>
      <w:r w:rsidR="00F30468" w:rsidRPr="006557B3">
        <w:rPr>
          <w:rFonts w:ascii="Times New Roman" w:hAnsi="Times New Roman"/>
          <w:color w:val="000000" w:themeColor="text1"/>
          <w:sz w:val="24"/>
          <w:szCs w:val="24"/>
        </w:rPr>
        <w:t xml:space="preserve"> komercprakses uzraudzība uztura bagātinātāju jomā ir tikai viens no prioritārajiem rīcības virzieniem un ir </w:t>
      </w:r>
      <w:r>
        <w:rPr>
          <w:rFonts w:ascii="Times New Roman" w:hAnsi="Times New Roman"/>
          <w:color w:val="000000" w:themeColor="text1"/>
          <w:sz w:val="24"/>
          <w:szCs w:val="24"/>
        </w:rPr>
        <w:t>jā</w:t>
      </w:r>
      <w:r w:rsidR="00F30468" w:rsidRPr="006557B3">
        <w:rPr>
          <w:rFonts w:ascii="Times New Roman" w:hAnsi="Times New Roman"/>
          <w:color w:val="000000" w:themeColor="text1"/>
          <w:sz w:val="24"/>
          <w:szCs w:val="24"/>
        </w:rPr>
        <w:t xml:space="preserve">ņem vērā citos tirgus sektoros noteiktās prioritātes patērētāju interešu aizsardzības kontekstā, PTAC nav iespējams </w:t>
      </w:r>
      <w:r>
        <w:rPr>
          <w:rFonts w:ascii="Times New Roman" w:hAnsi="Times New Roman"/>
          <w:color w:val="000000" w:themeColor="text1"/>
          <w:sz w:val="24"/>
          <w:szCs w:val="24"/>
        </w:rPr>
        <w:t xml:space="preserve">par </w:t>
      </w:r>
      <w:r w:rsidR="00F30468" w:rsidRPr="006557B3">
        <w:rPr>
          <w:rFonts w:ascii="Times New Roman" w:hAnsi="Times New Roman"/>
          <w:color w:val="000000" w:themeColor="text1"/>
          <w:sz w:val="24"/>
          <w:szCs w:val="24"/>
        </w:rPr>
        <w:t>esoš</w:t>
      </w:r>
      <w:r>
        <w:rPr>
          <w:rFonts w:ascii="Times New Roman" w:hAnsi="Times New Roman"/>
          <w:color w:val="000000" w:themeColor="text1"/>
          <w:sz w:val="24"/>
          <w:szCs w:val="24"/>
        </w:rPr>
        <w:t>ajiem</w:t>
      </w:r>
      <w:r w:rsidR="00F30468" w:rsidRPr="006557B3">
        <w:rPr>
          <w:rFonts w:ascii="Times New Roman" w:hAnsi="Times New Roman"/>
          <w:color w:val="000000" w:themeColor="text1"/>
          <w:sz w:val="24"/>
          <w:szCs w:val="24"/>
        </w:rPr>
        <w:t xml:space="preserve"> resurs</w:t>
      </w:r>
      <w:r>
        <w:rPr>
          <w:rFonts w:ascii="Times New Roman" w:hAnsi="Times New Roman"/>
          <w:color w:val="000000" w:themeColor="text1"/>
          <w:sz w:val="24"/>
          <w:szCs w:val="24"/>
        </w:rPr>
        <w:t>iem</w:t>
      </w:r>
      <w:r w:rsidR="00F30468" w:rsidRPr="006557B3">
        <w:rPr>
          <w:rFonts w:ascii="Times New Roman" w:hAnsi="Times New Roman"/>
          <w:color w:val="000000" w:themeColor="text1"/>
          <w:sz w:val="24"/>
          <w:szCs w:val="24"/>
        </w:rPr>
        <w:t xml:space="preserve"> īstenot Informatīvajā ziņojumā ietvertos pasākumus un mainīt uzraudzības pasākumu prioritātes.</w:t>
      </w:r>
    </w:p>
    <w:p w14:paraId="5DC1FA41" w14:textId="77777777" w:rsidR="00C43D67" w:rsidRPr="00FF5630" w:rsidRDefault="00C43D67" w:rsidP="00F30468">
      <w:pPr>
        <w:spacing w:after="0" w:line="240" w:lineRule="auto"/>
        <w:jc w:val="both"/>
        <w:rPr>
          <w:rFonts w:ascii="Times New Roman" w:hAnsi="Times New Roman"/>
          <w:sz w:val="24"/>
          <w:szCs w:val="24"/>
        </w:rPr>
      </w:pPr>
    </w:p>
    <w:p w14:paraId="35CA5D0C" w14:textId="6A3A2589" w:rsidR="00C43D67" w:rsidRPr="00FF5630" w:rsidRDefault="00292267" w:rsidP="00845BDE">
      <w:pPr>
        <w:keepNext/>
        <w:spacing w:after="0" w:line="240" w:lineRule="auto"/>
        <w:jc w:val="both"/>
        <w:rPr>
          <w:rFonts w:ascii="Times New Roman" w:hAnsi="Times New Roman"/>
          <w:b/>
          <w:sz w:val="24"/>
          <w:szCs w:val="24"/>
        </w:rPr>
      </w:pPr>
      <w:r w:rsidRPr="006557B3">
        <w:rPr>
          <w:rFonts w:ascii="Times New Roman" w:hAnsi="Times New Roman" w:cs="Times New Roman"/>
          <w:b/>
          <w:color w:val="000000"/>
          <w:sz w:val="24"/>
          <w:szCs w:val="24"/>
        </w:rPr>
        <w:t>9.</w:t>
      </w:r>
      <w:r w:rsidR="004854D3" w:rsidRPr="006557B3">
        <w:rPr>
          <w:rFonts w:ascii="Times New Roman" w:hAnsi="Times New Roman" w:cs="Times New Roman"/>
          <w:b/>
          <w:color w:val="000000"/>
          <w:sz w:val="24"/>
          <w:szCs w:val="24"/>
        </w:rPr>
        <w:t xml:space="preserve"> </w:t>
      </w:r>
      <w:r w:rsidR="00FA29BB" w:rsidRPr="006557B3">
        <w:rPr>
          <w:rFonts w:ascii="Times New Roman" w:hAnsi="Times New Roman" w:cs="Times New Roman"/>
          <w:b/>
          <w:color w:val="000000"/>
          <w:sz w:val="24"/>
          <w:szCs w:val="24"/>
        </w:rPr>
        <w:t xml:space="preserve">Zemkopības ministrijas, Veselības ministrijas un Ekonomikas ministrijas priekšlikumi uztura bagātinātāju jomas normatīvā regulējuma </w:t>
      </w:r>
      <w:r w:rsidR="00FA29BB" w:rsidRPr="00FF5630">
        <w:rPr>
          <w:rFonts w:ascii="Times New Roman" w:hAnsi="Times New Roman" w:cs="Times New Roman"/>
          <w:b/>
          <w:sz w:val="24"/>
          <w:szCs w:val="24"/>
        </w:rPr>
        <w:t>pilnveidošanai</w:t>
      </w:r>
    </w:p>
    <w:p w14:paraId="2164BB41" w14:textId="67C54E43" w:rsidR="002A3DD8" w:rsidRPr="006557B3" w:rsidRDefault="002A3DD8" w:rsidP="00845BDE">
      <w:pPr>
        <w:keepNext/>
        <w:spacing w:after="0" w:line="240" w:lineRule="auto"/>
        <w:ind w:firstLine="709"/>
        <w:jc w:val="both"/>
        <w:rPr>
          <w:rFonts w:ascii="Times New Roman" w:hAnsi="Times New Roman" w:cs="Times New Roman"/>
          <w:bCs/>
          <w:color w:val="000000" w:themeColor="text1"/>
          <w:sz w:val="24"/>
          <w:szCs w:val="24"/>
          <w:lang w:val="lv-LV"/>
        </w:rPr>
      </w:pPr>
      <w:r w:rsidRPr="006557B3">
        <w:rPr>
          <w:rFonts w:ascii="Times New Roman" w:hAnsi="Times New Roman"/>
          <w:color w:val="000000" w:themeColor="text1"/>
          <w:sz w:val="24"/>
          <w:szCs w:val="24"/>
        </w:rPr>
        <w:t>Zemkopības ministrija 2016.</w:t>
      </w:r>
      <w:r w:rsidR="001D0308">
        <w:rPr>
          <w:rFonts w:ascii="Times New Roman" w:hAnsi="Times New Roman"/>
          <w:color w:val="000000" w:themeColor="text1"/>
          <w:sz w:val="24"/>
          <w:szCs w:val="24"/>
        </w:rPr>
        <w:t xml:space="preserve"> </w:t>
      </w:r>
      <w:r w:rsidRPr="006557B3">
        <w:rPr>
          <w:rFonts w:ascii="Times New Roman" w:hAnsi="Times New Roman"/>
          <w:color w:val="000000" w:themeColor="text1"/>
          <w:sz w:val="24"/>
          <w:szCs w:val="24"/>
        </w:rPr>
        <w:t xml:space="preserve">gada otrajā pusē plāno izstrādāt normatīvo regulējumu augiem, ko var izmantot pārtikā. Regulējuma prasības noteiks stingrāku </w:t>
      </w:r>
      <w:r w:rsidR="00F71964">
        <w:rPr>
          <w:rFonts w:ascii="Times New Roman" w:hAnsi="Times New Roman"/>
          <w:color w:val="000000" w:themeColor="text1"/>
          <w:sz w:val="24"/>
          <w:szCs w:val="24"/>
        </w:rPr>
        <w:t xml:space="preserve">to </w:t>
      </w:r>
      <w:r w:rsidRPr="006557B3">
        <w:rPr>
          <w:rFonts w:ascii="Times New Roman" w:hAnsi="Times New Roman"/>
          <w:color w:val="000000" w:themeColor="text1"/>
          <w:sz w:val="24"/>
          <w:szCs w:val="24"/>
        </w:rPr>
        <w:t>sastāvdaļu (augu) dalījumu, k</w:t>
      </w:r>
      <w:r w:rsidR="00F71964">
        <w:rPr>
          <w:rFonts w:ascii="Times New Roman" w:hAnsi="Times New Roman"/>
          <w:color w:val="000000" w:themeColor="text1"/>
          <w:sz w:val="24"/>
          <w:szCs w:val="24"/>
        </w:rPr>
        <w:t>urus</w:t>
      </w:r>
      <w:r w:rsidRPr="006557B3">
        <w:rPr>
          <w:rFonts w:ascii="Times New Roman" w:hAnsi="Times New Roman"/>
          <w:color w:val="000000" w:themeColor="text1"/>
          <w:sz w:val="24"/>
          <w:szCs w:val="24"/>
        </w:rPr>
        <w:t xml:space="preserve"> var izmantot uztura bagātinātāju ražošanā</w:t>
      </w:r>
      <w:r w:rsidR="00F71964">
        <w:rPr>
          <w:rFonts w:ascii="Times New Roman" w:hAnsi="Times New Roman"/>
          <w:color w:val="000000" w:themeColor="text1"/>
          <w:sz w:val="24"/>
          <w:szCs w:val="24"/>
        </w:rPr>
        <w:t>,</w:t>
      </w:r>
      <w:r w:rsidRPr="006557B3">
        <w:rPr>
          <w:rFonts w:ascii="Times New Roman" w:hAnsi="Times New Roman"/>
          <w:color w:val="000000" w:themeColor="text1"/>
          <w:sz w:val="24"/>
          <w:szCs w:val="24"/>
        </w:rPr>
        <w:t xml:space="preserve"> un augiem, kurus var izmantot bezrecepšu zālēs vai zālēs. </w:t>
      </w:r>
      <w:r w:rsidR="00F71964">
        <w:rPr>
          <w:rFonts w:ascii="Times New Roman" w:hAnsi="Times New Roman"/>
          <w:color w:val="000000" w:themeColor="text1"/>
          <w:sz w:val="24"/>
          <w:szCs w:val="24"/>
        </w:rPr>
        <w:t>A</w:t>
      </w:r>
      <w:r w:rsidRPr="006557B3">
        <w:rPr>
          <w:rFonts w:ascii="Times New Roman" w:hAnsi="Times New Roman"/>
          <w:color w:val="000000" w:themeColor="text1"/>
          <w:sz w:val="24"/>
          <w:szCs w:val="24"/>
        </w:rPr>
        <w:t>ttiec</w:t>
      </w:r>
      <w:r w:rsidR="00F71964">
        <w:rPr>
          <w:rFonts w:ascii="Times New Roman" w:hAnsi="Times New Roman"/>
          <w:color w:val="000000" w:themeColor="text1"/>
          <w:sz w:val="24"/>
          <w:szCs w:val="24"/>
        </w:rPr>
        <w:t>ībā</w:t>
      </w:r>
      <w:r w:rsidRPr="006557B3">
        <w:rPr>
          <w:rFonts w:ascii="Times New Roman" w:hAnsi="Times New Roman"/>
          <w:color w:val="000000" w:themeColor="text1"/>
          <w:sz w:val="24"/>
          <w:szCs w:val="24"/>
        </w:rPr>
        <w:t xml:space="preserve"> uz skaidri noteiktu normatīvo regulējumu par uztura bagātinātāju un </w:t>
      </w:r>
      <w:r w:rsidRPr="006557B3">
        <w:rPr>
          <w:rFonts w:ascii="Times New Roman" w:eastAsia="Times New Roman" w:hAnsi="Times New Roman"/>
          <w:bCs/>
          <w:color w:val="000000" w:themeColor="text1"/>
          <w:sz w:val="24"/>
          <w:szCs w:val="24"/>
          <w:lang w:eastAsia="lv-LV"/>
        </w:rPr>
        <w:t xml:space="preserve">zāļu atdalīšanu/izvietošanu aptiekās, </w:t>
      </w:r>
      <w:r w:rsidR="00F71964">
        <w:rPr>
          <w:rFonts w:ascii="Times New Roman" w:hAnsi="Times New Roman"/>
          <w:color w:val="000000" w:themeColor="text1"/>
          <w:sz w:val="24"/>
          <w:szCs w:val="24"/>
        </w:rPr>
        <w:t>patlaban</w:t>
      </w:r>
      <w:r w:rsidRPr="006557B3">
        <w:rPr>
          <w:rFonts w:ascii="Times New Roman" w:hAnsi="Times New Roman"/>
          <w:color w:val="000000" w:themeColor="text1"/>
          <w:sz w:val="24"/>
          <w:szCs w:val="24"/>
        </w:rPr>
        <w:t xml:space="preserve"> </w:t>
      </w:r>
      <w:r w:rsidRPr="006557B3">
        <w:rPr>
          <w:rFonts w:ascii="Times New Roman" w:eastAsia="Times New Roman" w:hAnsi="Times New Roman"/>
          <w:bCs/>
          <w:color w:val="000000" w:themeColor="text1"/>
          <w:sz w:val="24"/>
          <w:szCs w:val="24"/>
          <w:lang w:eastAsia="fr-FR"/>
        </w:rPr>
        <w:t xml:space="preserve">Ministru kabineta 2010.gada 23.marta noteikumiem Nr.288 ”Aptieku darbības noteikumi”  </w:t>
      </w:r>
      <w:r w:rsidRPr="006557B3">
        <w:rPr>
          <w:rFonts w:ascii="Times New Roman" w:hAnsi="Times New Roman"/>
          <w:color w:val="000000" w:themeColor="text1"/>
          <w:sz w:val="24"/>
          <w:szCs w:val="24"/>
        </w:rPr>
        <w:t>37.5. apakšpunkt</w:t>
      </w:r>
      <w:r w:rsidR="00F71964">
        <w:rPr>
          <w:rFonts w:ascii="Times New Roman" w:hAnsi="Times New Roman"/>
          <w:color w:val="000000" w:themeColor="text1"/>
          <w:sz w:val="24"/>
          <w:szCs w:val="24"/>
        </w:rPr>
        <w:t>ā noteikts</w:t>
      </w:r>
      <w:r w:rsidRPr="006557B3">
        <w:rPr>
          <w:rFonts w:ascii="Times New Roman" w:hAnsi="Times New Roman"/>
          <w:color w:val="000000" w:themeColor="text1"/>
          <w:sz w:val="24"/>
          <w:szCs w:val="24"/>
        </w:rPr>
        <w:t>, ka „uztura bagātinātājus aptiekas apmeklētāju apkalpošanas zālē izvieto nodalīti no bezrecepšu zālēm, lai patērētājam rastos skaidrs priekšstats, ka uztura bagātinātāji nav zāles.”</w:t>
      </w:r>
    </w:p>
    <w:p w14:paraId="01A6182F" w14:textId="29C693F4" w:rsidR="004854D3" w:rsidRDefault="002A3DD8" w:rsidP="000F4E1A">
      <w:pPr>
        <w:spacing w:after="0" w:line="240" w:lineRule="auto"/>
        <w:ind w:firstLine="709"/>
        <w:jc w:val="both"/>
        <w:rPr>
          <w:rFonts w:ascii="Times New Roman" w:hAnsi="Times New Roman"/>
          <w:color w:val="000000" w:themeColor="text1"/>
          <w:sz w:val="24"/>
          <w:szCs w:val="24"/>
        </w:rPr>
      </w:pPr>
      <w:r w:rsidRPr="006557B3">
        <w:rPr>
          <w:rFonts w:ascii="Times New Roman" w:hAnsi="Times New Roman"/>
          <w:color w:val="000000" w:themeColor="text1"/>
          <w:sz w:val="24"/>
          <w:szCs w:val="24"/>
        </w:rPr>
        <w:t>Z</w:t>
      </w:r>
      <w:r w:rsidR="00F30468" w:rsidRPr="006557B3">
        <w:rPr>
          <w:rFonts w:ascii="Times New Roman" w:hAnsi="Times New Roman"/>
          <w:color w:val="000000" w:themeColor="text1"/>
          <w:sz w:val="24"/>
          <w:szCs w:val="24"/>
        </w:rPr>
        <w:t>emkopības ministrija</w:t>
      </w:r>
      <w:r w:rsidR="0063314C" w:rsidRPr="006557B3">
        <w:rPr>
          <w:rFonts w:ascii="Times New Roman" w:hAnsi="Times New Roman"/>
          <w:color w:val="000000" w:themeColor="text1"/>
          <w:sz w:val="24"/>
          <w:szCs w:val="24"/>
        </w:rPr>
        <w:t xml:space="preserve">s </w:t>
      </w:r>
      <w:r w:rsidR="00F30468" w:rsidRPr="006557B3">
        <w:rPr>
          <w:rFonts w:ascii="Times New Roman" w:hAnsi="Times New Roman"/>
          <w:color w:val="000000" w:themeColor="text1"/>
          <w:sz w:val="24"/>
          <w:szCs w:val="24"/>
        </w:rPr>
        <w:t>organizēja starpinstitūciju darba grup</w:t>
      </w:r>
      <w:r w:rsidR="00F71964">
        <w:rPr>
          <w:rFonts w:ascii="Times New Roman" w:hAnsi="Times New Roman"/>
          <w:color w:val="000000" w:themeColor="text1"/>
          <w:sz w:val="24"/>
          <w:szCs w:val="24"/>
        </w:rPr>
        <w:t>as sanāksmi</w:t>
      </w:r>
      <w:r w:rsidR="00F30468" w:rsidRPr="006557B3">
        <w:rPr>
          <w:rFonts w:ascii="Times New Roman" w:hAnsi="Times New Roman"/>
          <w:color w:val="000000" w:themeColor="text1"/>
          <w:sz w:val="24"/>
          <w:szCs w:val="24"/>
        </w:rPr>
        <w:t xml:space="preserve">, kas notika </w:t>
      </w:r>
      <w:r w:rsidR="009F5817" w:rsidRPr="006557B3">
        <w:rPr>
          <w:rFonts w:ascii="Times New Roman" w:hAnsi="Times New Roman"/>
          <w:color w:val="000000" w:themeColor="text1"/>
          <w:sz w:val="24"/>
          <w:szCs w:val="24"/>
        </w:rPr>
        <w:t>2016.</w:t>
      </w:r>
      <w:r w:rsidR="00B47CC9">
        <w:rPr>
          <w:rFonts w:ascii="Times New Roman" w:hAnsi="Times New Roman"/>
          <w:color w:val="000000" w:themeColor="text1"/>
          <w:sz w:val="24"/>
          <w:szCs w:val="24"/>
        </w:rPr>
        <w:t xml:space="preserve"> </w:t>
      </w:r>
      <w:r w:rsidR="009F5817" w:rsidRPr="006557B3">
        <w:rPr>
          <w:rFonts w:ascii="Times New Roman" w:hAnsi="Times New Roman"/>
          <w:color w:val="000000" w:themeColor="text1"/>
          <w:sz w:val="24"/>
          <w:szCs w:val="24"/>
        </w:rPr>
        <w:t xml:space="preserve">gada </w:t>
      </w:r>
      <w:r w:rsidR="00F30468" w:rsidRPr="006557B3">
        <w:rPr>
          <w:rFonts w:ascii="Times New Roman" w:hAnsi="Times New Roman"/>
          <w:color w:val="000000" w:themeColor="text1"/>
          <w:sz w:val="24"/>
          <w:szCs w:val="24"/>
        </w:rPr>
        <w:t>1.</w:t>
      </w:r>
      <w:r w:rsidR="00B47CC9">
        <w:rPr>
          <w:rFonts w:ascii="Times New Roman" w:hAnsi="Times New Roman"/>
          <w:color w:val="000000" w:themeColor="text1"/>
          <w:sz w:val="24"/>
          <w:szCs w:val="24"/>
        </w:rPr>
        <w:t xml:space="preserve"> </w:t>
      </w:r>
      <w:r w:rsidR="00F30468" w:rsidRPr="006557B3">
        <w:rPr>
          <w:rFonts w:ascii="Times New Roman" w:hAnsi="Times New Roman"/>
          <w:color w:val="000000" w:themeColor="text1"/>
          <w:sz w:val="24"/>
          <w:szCs w:val="24"/>
        </w:rPr>
        <w:t>aprīlī</w:t>
      </w:r>
      <w:r w:rsidR="00F71964">
        <w:rPr>
          <w:rFonts w:ascii="Times New Roman" w:hAnsi="Times New Roman"/>
          <w:color w:val="000000" w:themeColor="text1"/>
          <w:sz w:val="24"/>
          <w:szCs w:val="24"/>
        </w:rPr>
        <w:t>.</w:t>
      </w:r>
      <w:r w:rsidR="00F30468" w:rsidRPr="006557B3">
        <w:rPr>
          <w:rFonts w:ascii="Times New Roman" w:hAnsi="Times New Roman"/>
          <w:color w:val="000000" w:themeColor="text1"/>
          <w:sz w:val="24"/>
          <w:szCs w:val="24"/>
        </w:rPr>
        <w:t xml:space="preserve"> </w:t>
      </w:r>
      <w:r w:rsidR="00F71964">
        <w:rPr>
          <w:rFonts w:ascii="Times New Roman" w:hAnsi="Times New Roman"/>
          <w:color w:val="000000" w:themeColor="text1"/>
          <w:sz w:val="24"/>
          <w:szCs w:val="24"/>
        </w:rPr>
        <w:t>S</w:t>
      </w:r>
      <w:r w:rsidR="0063314C" w:rsidRPr="006557B3">
        <w:rPr>
          <w:rFonts w:ascii="Times New Roman" w:hAnsi="Times New Roman"/>
          <w:color w:val="000000" w:themeColor="text1"/>
          <w:sz w:val="24"/>
          <w:szCs w:val="24"/>
        </w:rPr>
        <w:t xml:space="preserve">tarpinstitūciju </w:t>
      </w:r>
      <w:r w:rsidR="00F30468" w:rsidRPr="006557B3">
        <w:rPr>
          <w:rFonts w:ascii="Times New Roman" w:hAnsi="Times New Roman"/>
          <w:color w:val="000000" w:themeColor="text1"/>
          <w:sz w:val="24"/>
          <w:szCs w:val="24"/>
        </w:rPr>
        <w:t>darba grupas pārstāvji no Veselības ministrijas, Ekonomikas ministrijas un Zemkopības ministrijas nolēma, ka</w:t>
      </w:r>
      <w:r w:rsidR="004854D3" w:rsidRPr="006557B3">
        <w:rPr>
          <w:rFonts w:ascii="Times New Roman" w:hAnsi="Times New Roman"/>
          <w:color w:val="000000" w:themeColor="text1"/>
          <w:sz w:val="24"/>
          <w:szCs w:val="24"/>
        </w:rPr>
        <w:t>:</w:t>
      </w:r>
    </w:p>
    <w:p w14:paraId="4B87D638" w14:textId="64877D33" w:rsidR="009756A6" w:rsidRDefault="009756A6" w:rsidP="000F4E1A">
      <w:pPr>
        <w:spacing w:after="0" w:line="240" w:lineRule="auto"/>
        <w:ind w:firstLine="709"/>
        <w:jc w:val="both"/>
        <w:rPr>
          <w:rFonts w:ascii="Times New Roman" w:hAnsi="Times New Roman"/>
          <w:color w:val="000000" w:themeColor="text1"/>
          <w:sz w:val="24"/>
          <w:szCs w:val="24"/>
        </w:rPr>
      </w:pPr>
    </w:p>
    <w:p w14:paraId="3AAE82BA" w14:textId="11523912" w:rsidR="002A2525" w:rsidRPr="00780511" w:rsidRDefault="00F71964" w:rsidP="009501A2">
      <w:pPr>
        <w:pStyle w:val="Sarakstarindkopa"/>
        <w:spacing w:after="0" w:line="240" w:lineRule="auto"/>
        <w:ind w:left="1210"/>
        <w:jc w:val="both"/>
        <w:rPr>
          <w:rFonts w:ascii="Times New Roman" w:hAnsi="Times New Roman"/>
          <w:color w:val="000000" w:themeColor="text1"/>
          <w:sz w:val="24"/>
          <w:szCs w:val="24"/>
          <w:lang w:val="fr-FR"/>
        </w:rPr>
      </w:pPr>
      <w:r>
        <w:rPr>
          <w:rFonts w:ascii="Verdana" w:hAnsi="Verdana"/>
          <w:color w:val="000000" w:themeColor="text1"/>
          <w:sz w:val="24"/>
          <w:szCs w:val="24"/>
          <w:lang w:val="fr-FR"/>
        </w:rPr>
        <w:t>•</w:t>
      </w:r>
      <w:r>
        <w:rPr>
          <w:rFonts w:ascii="Times New Roman" w:hAnsi="Times New Roman"/>
          <w:color w:val="000000" w:themeColor="text1"/>
          <w:sz w:val="24"/>
          <w:szCs w:val="24"/>
          <w:lang w:val="fr-FR"/>
        </w:rPr>
        <w:t xml:space="preserve"> </w:t>
      </w:r>
      <w:r w:rsidR="002A2525" w:rsidRPr="00780511">
        <w:rPr>
          <w:rFonts w:ascii="Times New Roman" w:hAnsi="Times New Roman"/>
          <w:color w:val="000000" w:themeColor="text1"/>
          <w:sz w:val="24"/>
          <w:szCs w:val="24"/>
          <w:lang w:val="fr-FR"/>
        </w:rPr>
        <w:t>nepieciešams plašāks dialogs ar nevalstiskajām organizācijām, lai skaidrotu normatīvo aktu prasības par reklāmas prasību piemērošanu uztura bagātinātājiem un reklāmas prasību piemērošanu zālēm vai bezrecepšu zālēm un to atšķirībām;</w:t>
      </w:r>
    </w:p>
    <w:p w14:paraId="19063D77" w14:textId="77777777" w:rsidR="004854D3" w:rsidRPr="00780511" w:rsidRDefault="004854D3" w:rsidP="000F4E1A">
      <w:pPr>
        <w:pStyle w:val="Sarakstarindkopa"/>
        <w:spacing w:after="0" w:line="240" w:lineRule="auto"/>
        <w:ind w:left="0" w:firstLine="709"/>
        <w:jc w:val="both"/>
        <w:rPr>
          <w:rFonts w:ascii="Times New Roman" w:hAnsi="Times New Roman"/>
          <w:color w:val="000000" w:themeColor="text1"/>
          <w:sz w:val="24"/>
          <w:szCs w:val="24"/>
          <w:lang w:val="fr-FR"/>
        </w:rPr>
      </w:pPr>
    </w:p>
    <w:p w14:paraId="3EBC1451" w14:textId="3247098E" w:rsidR="009F5817" w:rsidRPr="00780511" w:rsidRDefault="00F71964" w:rsidP="009501A2">
      <w:pPr>
        <w:pStyle w:val="Pamattekstaatkpe3"/>
        <w:spacing w:after="0" w:line="240" w:lineRule="auto"/>
        <w:ind w:left="1210"/>
        <w:jc w:val="both"/>
        <w:rPr>
          <w:rFonts w:ascii="Times New Roman" w:hAnsi="Times New Roman" w:cs="Times New Roman"/>
          <w:color w:val="000000" w:themeColor="text1"/>
          <w:sz w:val="24"/>
          <w:szCs w:val="24"/>
        </w:rPr>
      </w:pPr>
      <w:r>
        <w:rPr>
          <w:rFonts w:ascii="Verdana" w:hAnsi="Verdana"/>
          <w:color w:val="000000" w:themeColor="text1"/>
          <w:sz w:val="24"/>
          <w:szCs w:val="24"/>
        </w:rPr>
        <w:t>•</w:t>
      </w:r>
      <w:r>
        <w:rPr>
          <w:rFonts w:ascii="Times New Roman" w:hAnsi="Times New Roman"/>
          <w:color w:val="000000" w:themeColor="text1"/>
          <w:sz w:val="24"/>
          <w:szCs w:val="24"/>
        </w:rPr>
        <w:t xml:space="preserve"> </w:t>
      </w:r>
      <w:r w:rsidR="004854D3" w:rsidRPr="00780511">
        <w:rPr>
          <w:rFonts w:ascii="Times New Roman" w:hAnsi="Times New Roman" w:cs="Times New Roman"/>
          <w:color w:val="000000" w:themeColor="text1"/>
          <w:sz w:val="24"/>
          <w:szCs w:val="24"/>
        </w:rPr>
        <w:t>t</w:t>
      </w:r>
      <w:r w:rsidR="0063314C" w:rsidRPr="00780511">
        <w:rPr>
          <w:rFonts w:ascii="Times New Roman" w:hAnsi="Times New Roman" w:cs="Times New Roman"/>
          <w:color w:val="000000" w:themeColor="text1"/>
          <w:sz w:val="24"/>
          <w:szCs w:val="24"/>
        </w:rPr>
        <w:t>u</w:t>
      </w:r>
      <w:r w:rsidR="009F5817" w:rsidRPr="00780511">
        <w:rPr>
          <w:rFonts w:ascii="Times New Roman" w:hAnsi="Times New Roman" w:cs="Times New Roman"/>
          <w:color w:val="000000" w:themeColor="text1"/>
          <w:sz w:val="24"/>
          <w:szCs w:val="24"/>
        </w:rPr>
        <w:t>rpin</w:t>
      </w:r>
      <w:r w:rsidR="00952C44" w:rsidRPr="00780511">
        <w:rPr>
          <w:rFonts w:ascii="Times New Roman" w:hAnsi="Times New Roman" w:cs="Times New Roman"/>
          <w:color w:val="000000" w:themeColor="text1"/>
          <w:sz w:val="24"/>
          <w:szCs w:val="24"/>
        </w:rPr>
        <w:t>ā</w:t>
      </w:r>
      <w:r>
        <w:rPr>
          <w:rFonts w:ascii="Times New Roman" w:hAnsi="Times New Roman" w:cs="Times New Roman"/>
          <w:color w:val="000000" w:themeColor="text1"/>
          <w:sz w:val="24"/>
          <w:szCs w:val="24"/>
        </w:rPr>
        <w:t>ma</w:t>
      </w:r>
      <w:r w:rsidR="009F5817" w:rsidRPr="00780511">
        <w:rPr>
          <w:rFonts w:ascii="Times New Roman" w:hAnsi="Times New Roman" w:cs="Times New Roman"/>
          <w:color w:val="000000" w:themeColor="text1"/>
          <w:sz w:val="24"/>
          <w:szCs w:val="24"/>
        </w:rPr>
        <w:t xml:space="preserve"> informācijas apmaiņ</w:t>
      </w:r>
      <w:r>
        <w:rPr>
          <w:rFonts w:ascii="Times New Roman" w:hAnsi="Times New Roman" w:cs="Times New Roman"/>
          <w:color w:val="000000" w:themeColor="text1"/>
          <w:sz w:val="24"/>
          <w:szCs w:val="24"/>
        </w:rPr>
        <w:t>a</w:t>
      </w:r>
      <w:r w:rsidR="009F5817" w:rsidRPr="00780511">
        <w:rPr>
          <w:rFonts w:ascii="Times New Roman" w:hAnsi="Times New Roman" w:cs="Times New Roman"/>
          <w:color w:val="000000" w:themeColor="text1"/>
          <w:sz w:val="24"/>
          <w:szCs w:val="24"/>
        </w:rPr>
        <w:t xml:space="preserve"> starp Zemkopības ministriju, Veselības ministriju, Ekonomikas ministriju, sabiedriskajām organizācijām un uztura bagātinātāju ražotājiem  par uztura bagātinātāju reklāmas </w:t>
      </w:r>
      <w:r w:rsidR="001A1766" w:rsidRPr="00780511">
        <w:rPr>
          <w:rFonts w:ascii="Times New Roman" w:hAnsi="Times New Roman" w:cs="Times New Roman"/>
          <w:color w:val="000000" w:themeColor="text1"/>
          <w:sz w:val="24"/>
          <w:szCs w:val="24"/>
        </w:rPr>
        <w:t>reglamentējošajiem normatīvajiem aktiem</w:t>
      </w:r>
      <w:r w:rsidR="009F5817" w:rsidRPr="00780511">
        <w:rPr>
          <w:rFonts w:ascii="Times New Roman" w:hAnsi="Times New Roman" w:cs="Times New Roman"/>
          <w:color w:val="000000" w:themeColor="text1"/>
          <w:sz w:val="24"/>
          <w:szCs w:val="24"/>
        </w:rPr>
        <w:t xml:space="preserve"> un t</w:t>
      </w:r>
      <w:r w:rsidR="001A1766" w:rsidRPr="00780511">
        <w:rPr>
          <w:rFonts w:ascii="Times New Roman" w:hAnsi="Times New Roman" w:cs="Times New Roman"/>
          <w:color w:val="000000" w:themeColor="text1"/>
          <w:sz w:val="24"/>
          <w:szCs w:val="24"/>
        </w:rPr>
        <w:t>o</w:t>
      </w:r>
      <w:r w:rsidR="009F5817" w:rsidRPr="00780511">
        <w:rPr>
          <w:rFonts w:ascii="Times New Roman" w:hAnsi="Times New Roman" w:cs="Times New Roman"/>
          <w:color w:val="000000" w:themeColor="text1"/>
          <w:sz w:val="24"/>
          <w:szCs w:val="24"/>
        </w:rPr>
        <w:t xml:space="preserve"> ievērošanas uzraudzības jautājumiem, ievērojot arī diskusiju turpmāko attīstību Saeimas Sociālo un darba lietu komisijas Sabiedrības veselības apakškomisijā par minētajiem jautājumiem</w:t>
      </w:r>
      <w:r w:rsidR="004854D3" w:rsidRPr="00780511">
        <w:rPr>
          <w:rFonts w:ascii="Times New Roman" w:hAnsi="Times New Roman" w:cs="Times New Roman"/>
          <w:color w:val="000000" w:themeColor="text1"/>
          <w:sz w:val="24"/>
          <w:szCs w:val="24"/>
        </w:rPr>
        <w:t>;</w:t>
      </w:r>
    </w:p>
    <w:p w14:paraId="205A6814" w14:textId="77777777" w:rsidR="004854D3" w:rsidRPr="00780511" w:rsidRDefault="004854D3" w:rsidP="004854D3">
      <w:pPr>
        <w:pStyle w:val="Pamattekstaatkpe3"/>
        <w:spacing w:after="0" w:line="240" w:lineRule="auto"/>
        <w:ind w:left="1545"/>
        <w:jc w:val="both"/>
        <w:rPr>
          <w:rFonts w:ascii="Times New Roman" w:hAnsi="Times New Roman" w:cs="Times New Roman"/>
          <w:color w:val="000000" w:themeColor="text1"/>
          <w:sz w:val="24"/>
          <w:szCs w:val="24"/>
        </w:rPr>
      </w:pPr>
    </w:p>
    <w:p w14:paraId="09BD54A4" w14:textId="514D3CA7" w:rsidR="00F71964" w:rsidRDefault="00F71964" w:rsidP="00B47CC9">
      <w:pPr>
        <w:pStyle w:val="Pamattekstaatkpe3"/>
        <w:spacing w:after="0"/>
        <w:ind w:left="1134"/>
        <w:jc w:val="both"/>
        <w:rPr>
          <w:rFonts w:ascii="Times New Roman" w:hAnsi="Times New Roman" w:cs="Times New Roman"/>
          <w:color w:val="000000" w:themeColor="text1"/>
          <w:sz w:val="24"/>
          <w:szCs w:val="24"/>
        </w:rPr>
      </w:pPr>
      <w:r>
        <w:rPr>
          <w:rFonts w:ascii="Verdana" w:hAnsi="Verdana"/>
          <w:color w:val="000000" w:themeColor="text1"/>
          <w:sz w:val="24"/>
          <w:szCs w:val="24"/>
        </w:rPr>
        <w:t>•</w:t>
      </w:r>
      <w:r>
        <w:rPr>
          <w:rFonts w:ascii="Times New Roman" w:hAnsi="Times New Roman"/>
          <w:color w:val="000000" w:themeColor="text1"/>
          <w:sz w:val="24"/>
          <w:szCs w:val="24"/>
        </w:rPr>
        <w:t xml:space="preserve"> </w:t>
      </w:r>
      <w:r w:rsidR="009F5817" w:rsidRPr="00780511">
        <w:rPr>
          <w:rFonts w:ascii="Times New Roman" w:hAnsi="Times New Roman" w:cs="Times New Roman"/>
          <w:color w:val="000000" w:themeColor="text1"/>
          <w:sz w:val="24"/>
          <w:szCs w:val="24"/>
        </w:rPr>
        <w:t>sagatavo</w:t>
      </w:r>
      <w:r>
        <w:rPr>
          <w:rFonts w:ascii="Times New Roman" w:hAnsi="Times New Roman" w:cs="Times New Roman"/>
          <w:color w:val="000000" w:themeColor="text1"/>
          <w:sz w:val="24"/>
          <w:szCs w:val="24"/>
        </w:rPr>
        <w:t>jama</w:t>
      </w:r>
      <w:r w:rsidR="009F5817" w:rsidRPr="00780511">
        <w:rPr>
          <w:rFonts w:ascii="Times New Roman" w:hAnsi="Times New Roman" w:cs="Times New Roman"/>
          <w:color w:val="000000" w:themeColor="text1"/>
          <w:sz w:val="24"/>
          <w:szCs w:val="24"/>
        </w:rPr>
        <w:t xml:space="preserve"> vienkāršot</w:t>
      </w:r>
      <w:r>
        <w:rPr>
          <w:rFonts w:ascii="Times New Roman" w:hAnsi="Times New Roman" w:cs="Times New Roman"/>
          <w:color w:val="000000" w:themeColor="text1"/>
          <w:sz w:val="24"/>
          <w:szCs w:val="24"/>
        </w:rPr>
        <w:t>a</w:t>
      </w:r>
      <w:r w:rsidR="009F5817" w:rsidRPr="00780511">
        <w:rPr>
          <w:rFonts w:ascii="Times New Roman" w:hAnsi="Times New Roman" w:cs="Times New Roman"/>
          <w:color w:val="000000" w:themeColor="text1"/>
          <w:sz w:val="24"/>
          <w:szCs w:val="24"/>
        </w:rPr>
        <w:t xml:space="preserve"> informācij</w:t>
      </w:r>
      <w:r>
        <w:rPr>
          <w:rFonts w:ascii="Times New Roman" w:hAnsi="Times New Roman" w:cs="Times New Roman"/>
          <w:color w:val="000000" w:themeColor="text1"/>
          <w:sz w:val="24"/>
          <w:szCs w:val="24"/>
        </w:rPr>
        <w:t>a</w:t>
      </w:r>
      <w:r w:rsidR="009F5817" w:rsidRPr="00780511">
        <w:rPr>
          <w:rFonts w:ascii="Times New Roman" w:hAnsi="Times New Roman" w:cs="Times New Roman"/>
          <w:color w:val="000000" w:themeColor="text1"/>
          <w:sz w:val="24"/>
          <w:szCs w:val="24"/>
        </w:rPr>
        <w:t xml:space="preserve"> par uztura bagātinātāju reklāmas </w:t>
      </w:r>
      <w:r w:rsidR="001A1766" w:rsidRPr="00780511">
        <w:rPr>
          <w:rFonts w:ascii="Times New Roman" w:hAnsi="Times New Roman" w:cs="Times New Roman"/>
          <w:color w:val="000000" w:themeColor="text1"/>
          <w:sz w:val="24"/>
          <w:szCs w:val="24"/>
        </w:rPr>
        <w:t>reglamentējošajiem normatīvajiem aktiem</w:t>
      </w:r>
      <w:r w:rsidR="009F5817" w:rsidRPr="00780511">
        <w:rPr>
          <w:rFonts w:ascii="Times New Roman" w:hAnsi="Times New Roman" w:cs="Times New Roman"/>
          <w:color w:val="000000" w:themeColor="text1"/>
          <w:sz w:val="24"/>
          <w:szCs w:val="24"/>
        </w:rPr>
        <w:t xml:space="preserve"> ārstiem, farmaceitiem un citām ieinteresētajām pusēm. Informācijas </w:t>
      </w:r>
      <w:r>
        <w:rPr>
          <w:rFonts w:ascii="Times New Roman" w:hAnsi="Times New Roman" w:cs="Times New Roman"/>
          <w:color w:val="000000" w:themeColor="text1"/>
          <w:sz w:val="24"/>
          <w:szCs w:val="24"/>
        </w:rPr>
        <w:t>jā</w:t>
      </w:r>
      <w:r w:rsidR="009F5817" w:rsidRPr="00780511">
        <w:rPr>
          <w:rFonts w:ascii="Times New Roman" w:hAnsi="Times New Roman" w:cs="Times New Roman"/>
          <w:color w:val="000000" w:themeColor="text1"/>
          <w:sz w:val="24"/>
          <w:szCs w:val="24"/>
        </w:rPr>
        <w:t>snie</w:t>
      </w:r>
      <w:r>
        <w:rPr>
          <w:rFonts w:ascii="Times New Roman" w:hAnsi="Times New Roman" w:cs="Times New Roman"/>
          <w:color w:val="000000" w:themeColor="text1"/>
          <w:sz w:val="24"/>
          <w:szCs w:val="24"/>
        </w:rPr>
        <w:t>dz</w:t>
      </w:r>
      <w:r w:rsidR="009F5817" w:rsidRPr="00780511">
        <w:rPr>
          <w:rFonts w:ascii="Times New Roman" w:hAnsi="Times New Roman" w:cs="Times New Roman"/>
          <w:color w:val="000000" w:themeColor="text1"/>
          <w:sz w:val="24"/>
          <w:szCs w:val="24"/>
        </w:rPr>
        <w:t xml:space="preserve"> izglītojošos semināros, sanāksmēs vai citos pasākumos, piesaistot sabiedriskās organizācijas (asociācijas un biedrības)</w:t>
      </w:r>
      <w:r w:rsidR="00044FD8" w:rsidRPr="00780511">
        <w:rPr>
          <w:rFonts w:ascii="Times New Roman" w:hAnsi="Times New Roman" w:cs="Times New Roman"/>
          <w:color w:val="000000" w:themeColor="text1"/>
          <w:sz w:val="24"/>
          <w:szCs w:val="24"/>
        </w:rPr>
        <w:t xml:space="preserve"> un uztura bagātinātāju ražotājus</w:t>
      </w:r>
      <w:r w:rsidR="004854D3" w:rsidRPr="00780511">
        <w:rPr>
          <w:rFonts w:ascii="Times New Roman" w:hAnsi="Times New Roman" w:cs="Times New Roman"/>
          <w:color w:val="000000" w:themeColor="text1"/>
          <w:sz w:val="24"/>
          <w:szCs w:val="24"/>
        </w:rPr>
        <w:t>;</w:t>
      </w:r>
    </w:p>
    <w:p w14:paraId="3CD920A7" w14:textId="77777777" w:rsidR="00B47CC9" w:rsidRDefault="00B47CC9" w:rsidP="00B47CC9">
      <w:pPr>
        <w:pStyle w:val="Pamattekstaatkpe3"/>
        <w:spacing w:after="0"/>
        <w:ind w:left="1134"/>
        <w:jc w:val="both"/>
        <w:rPr>
          <w:rFonts w:ascii="Times New Roman" w:hAnsi="Times New Roman"/>
          <w:color w:val="000000" w:themeColor="text1"/>
          <w:sz w:val="24"/>
          <w:szCs w:val="24"/>
        </w:rPr>
      </w:pPr>
    </w:p>
    <w:p w14:paraId="29296F23" w14:textId="78371E37" w:rsidR="002A3DD8" w:rsidRPr="009501A2" w:rsidRDefault="00F71964" w:rsidP="009501A2">
      <w:pPr>
        <w:pStyle w:val="Pamattekstaatkpe3"/>
        <w:spacing w:after="0" w:line="240" w:lineRule="auto"/>
        <w:ind w:left="1134"/>
        <w:jc w:val="both"/>
        <w:rPr>
          <w:rFonts w:ascii="Times New Roman" w:hAnsi="Times New Roman"/>
          <w:color w:val="000000" w:themeColor="text1"/>
          <w:sz w:val="24"/>
          <w:szCs w:val="24"/>
        </w:rPr>
      </w:pPr>
      <w:r>
        <w:rPr>
          <w:rFonts w:ascii="Verdana" w:hAnsi="Verdana"/>
          <w:color w:val="000000" w:themeColor="text1"/>
          <w:sz w:val="24"/>
          <w:szCs w:val="24"/>
        </w:rPr>
        <w:lastRenderedPageBreak/>
        <w:t xml:space="preserve">• </w:t>
      </w:r>
      <w:r w:rsidR="009756A6" w:rsidRPr="009501A2">
        <w:rPr>
          <w:rFonts w:ascii="Times New Roman" w:hAnsi="Times New Roman" w:cs="Times New Roman"/>
          <w:color w:val="000000" w:themeColor="text1"/>
          <w:sz w:val="24"/>
          <w:szCs w:val="24"/>
        </w:rPr>
        <w:t>Zemkopības ministrijai turpināt diskusiju ar Veselības ministriju un Ekonomikas ministriju par dažādu uztura bagātinātāju kategoriju izplatīšanu tikai aptiekās un citās pārtikas tirdzniecības vietās. Noteikt izplatāmo uztura bagātinātāju kategorijas, kuras var izplatīt tikai aptiekās. Diskutēt par ājurvēdas un Ķīnas tradicionālās medicīnas produktiem, kas šobrīd patērētājam tiek piedāvāti kā uztura bagātinātāji, un iespējamiem grozījumiem normatīvajos aktos par šo produktu kategoriju;</w:t>
      </w:r>
    </w:p>
    <w:p w14:paraId="3F4B9BE3" w14:textId="77777777" w:rsidR="009756A6" w:rsidRPr="009501A2" w:rsidRDefault="009756A6" w:rsidP="002A3DD8">
      <w:pPr>
        <w:pStyle w:val="Sarakstarindkopa"/>
        <w:spacing w:after="0" w:line="240" w:lineRule="auto"/>
        <w:ind w:left="1210"/>
        <w:jc w:val="both"/>
        <w:rPr>
          <w:rFonts w:ascii="Times New Roman" w:eastAsiaTheme="minorHAnsi" w:hAnsi="Times New Roman"/>
          <w:color w:val="000000" w:themeColor="text1"/>
          <w:sz w:val="24"/>
          <w:szCs w:val="24"/>
          <w:lang w:val="fr-FR"/>
        </w:rPr>
      </w:pPr>
    </w:p>
    <w:p w14:paraId="02320F42" w14:textId="16A251E7" w:rsidR="009F5817" w:rsidRPr="00780511" w:rsidRDefault="00F71964" w:rsidP="009501A2">
      <w:pPr>
        <w:pStyle w:val="Sarakstarindkopa"/>
        <w:numPr>
          <w:ilvl w:val="0"/>
          <w:numId w:val="54"/>
        </w:numPr>
        <w:spacing w:after="0" w:line="240" w:lineRule="auto"/>
        <w:ind w:left="1134" w:firstLine="0"/>
        <w:jc w:val="both"/>
        <w:rPr>
          <w:rFonts w:ascii="Times New Roman" w:hAnsi="Times New Roman"/>
          <w:color w:val="000000" w:themeColor="text1"/>
          <w:sz w:val="24"/>
          <w:szCs w:val="24"/>
          <w:lang w:val="fr-FR" w:eastAsia="fr-FR"/>
        </w:rPr>
      </w:pPr>
      <w:r>
        <w:rPr>
          <w:rFonts w:ascii="Times New Roman" w:hAnsi="Times New Roman"/>
          <w:color w:val="000000" w:themeColor="text1"/>
          <w:sz w:val="24"/>
          <w:szCs w:val="24"/>
          <w:lang w:val="fr-FR" w:eastAsia="fr-FR"/>
        </w:rPr>
        <w:t>d</w:t>
      </w:r>
      <w:r w:rsidR="009F5817" w:rsidRPr="00780511">
        <w:rPr>
          <w:rFonts w:ascii="Times New Roman" w:hAnsi="Times New Roman"/>
          <w:color w:val="000000" w:themeColor="text1"/>
          <w:sz w:val="24"/>
          <w:szCs w:val="24"/>
          <w:lang w:val="fr-FR" w:eastAsia="fr-FR"/>
        </w:rPr>
        <w:t xml:space="preserve">iskusijās par </w:t>
      </w:r>
      <w:r w:rsidRPr="00780511">
        <w:rPr>
          <w:rFonts w:ascii="Times New Roman" w:hAnsi="Times New Roman"/>
          <w:color w:val="000000" w:themeColor="text1"/>
          <w:sz w:val="24"/>
          <w:szCs w:val="24"/>
          <w:lang w:val="fr-FR" w:eastAsia="fr-FR"/>
        </w:rPr>
        <w:t xml:space="preserve">stingrākām </w:t>
      </w:r>
      <w:r>
        <w:rPr>
          <w:rFonts w:ascii="Times New Roman" w:hAnsi="Times New Roman"/>
          <w:color w:val="000000" w:themeColor="text1"/>
          <w:sz w:val="24"/>
          <w:szCs w:val="24"/>
          <w:lang w:val="fr-FR" w:eastAsia="fr-FR"/>
        </w:rPr>
        <w:t xml:space="preserve">normatīvajos aktos noteiktajām </w:t>
      </w:r>
      <w:r w:rsidRPr="00780511">
        <w:rPr>
          <w:rFonts w:ascii="Times New Roman" w:hAnsi="Times New Roman"/>
          <w:color w:val="000000" w:themeColor="text1"/>
          <w:sz w:val="24"/>
          <w:szCs w:val="24"/>
          <w:lang w:val="fr-FR" w:eastAsia="fr-FR"/>
        </w:rPr>
        <w:t xml:space="preserve">reklāmas prasībām </w:t>
      </w:r>
      <w:r w:rsidR="009F5817" w:rsidRPr="00780511">
        <w:rPr>
          <w:rFonts w:ascii="Times New Roman" w:hAnsi="Times New Roman"/>
          <w:color w:val="000000" w:themeColor="text1"/>
          <w:sz w:val="24"/>
          <w:szCs w:val="24"/>
          <w:lang w:val="fr-FR" w:eastAsia="fr-FR"/>
        </w:rPr>
        <w:t xml:space="preserve">uztura bagātinātāju </w:t>
      </w:r>
      <w:r>
        <w:rPr>
          <w:rFonts w:ascii="Times New Roman" w:hAnsi="Times New Roman"/>
          <w:color w:val="000000" w:themeColor="text1"/>
          <w:sz w:val="24"/>
          <w:szCs w:val="24"/>
          <w:lang w:val="fr-FR" w:eastAsia="fr-FR"/>
        </w:rPr>
        <w:t xml:space="preserve">jomā </w:t>
      </w:r>
      <w:r w:rsidR="009F5817" w:rsidRPr="00780511">
        <w:rPr>
          <w:rFonts w:ascii="Times New Roman" w:hAnsi="Times New Roman"/>
          <w:color w:val="000000" w:themeColor="text1"/>
          <w:sz w:val="24"/>
          <w:szCs w:val="24"/>
          <w:lang w:val="fr-FR" w:eastAsia="fr-FR"/>
        </w:rPr>
        <w:t xml:space="preserve">(Siffas priekšlikumi) ir nepieciešams iesaistīt </w:t>
      </w:r>
      <w:r>
        <w:rPr>
          <w:rFonts w:ascii="Times New Roman" w:hAnsi="Times New Roman"/>
          <w:color w:val="000000" w:themeColor="text1"/>
          <w:sz w:val="24"/>
          <w:szCs w:val="24"/>
          <w:lang w:val="fr-FR" w:eastAsia="fr-FR"/>
        </w:rPr>
        <w:t xml:space="preserve">arī </w:t>
      </w:r>
      <w:r w:rsidR="004E1E45" w:rsidRPr="00780511">
        <w:rPr>
          <w:rFonts w:ascii="Times New Roman" w:hAnsi="Times New Roman"/>
          <w:color w:val="000000" w:themeColor="text1"/>
          <w:sz w:val="24"/>
          <w:szCs w:val="24"/>
          <w:lang w:val="fr-FR" w:eastAsia="fr-FR"/>
        </w:rPr>
        <w:t xml:space="preserve">valsts uzraudzības iestādes, </w:t>
      </w:r>
      <w:r w:rsidR="009F5817" w:rsidRPr="00780511">
        <w:rPr>
          <w:rFonts w:ascii="Times New Roman" w:hAnsi="Times New Roman"/>
          <w:color w:val="000000" w:themeColor="text1"/>
          <w:sz w:val="24"/>
          <w:szCs w:val="24"/>
          <w:lang w:val="fr-FR" w:eastAsia="fr-FR"/>
        </w:rPr>
        <w:t>uztura bagātinātāju ražotājus un sabiedriskās organizācijas</w:t>
      </w:r>
      <w:r w:rsidR="00352807" w:rsidRPr="00780511">
        <w:rPr>
          <w:rFonts w:ascii="Times New Roman" w:hAnsi="Times New Roman"/>
          <w:color w:val="000000" w:themeColor="text1"/>
          <w:sz w:val="24"/>
          <w:szCs w:val="24"/>
          <w:lang w:val="fr-FR" w:eastAsia="fr-FR"/>
        </w:rPr>
        <w:t>.</w:t>
      </w:r>
      <w:r w:rsidR="009F5817" w:rsidRPr="00780511">
        <w:rPr>
          <w:rFonts w:ascii="Times New Roman" w:hAnsi="Times New Roman"/>
          <w:color w:val="000000" w:themeColor="text1"/>
          <w:sz w:val="24"/>
          <w:szCs w:val="24"/>
          <w:lang w:val="fr-FR" w:eastAsia="fr-FR"/>
        </w:rPr>
        <w:t xml:space="preserve"> </w:t>
      </w:r>
    </w:p>
    <w:p w14:paraId="3328303C" w14:textId="77777777" w:rsidR="00E74C3F" w:rsidRDefault="00E74C3F" w:rsidP="00C05C12">
      <w:pPr>
        <w:tabs>
          <w:tab w:val="left" w:pos="8647"/>
        </w:tabs>
        <w:spacing w:after="0" w:line="240" w:lineRule="auto"/>
        <w:ind w:firstLine="709"/>
        <w:jc w:val="both"/>
        <w:rPr>
          <w:rFonts w:ascii="Times New Roman" w:hAnsi="Times New Roman" w:cs="Times New Roman"/>
          <w:bCs/>
          <w:color w:val="000000" w:themeColor="text1"/>
          <w:sz w:val="24"/>
          <w:szCs w:val="24"/>
          <w:lang w:val="lv-LV"/>
        </w:rPr>
      </w:pPr>
    </w:p>
    <w:p w14:paraId="07CFE8D6" w14:textId="77777777" w:rsidR="00B47CC9" w:rsidRPr="00780511" w:rsidRDefault="00B47CC9" w:rsidP="00C05C12">
      <w:pPr>
        <w:tabs>
          <w:tab w:val="left" w:pos="8647"/>
        </w:tabs>
        <w:spacing w:after="0" w:line="240" w:lineRule="auto"/>
        <w:ind w:firstLine="709"/>
        <w:jc w:val="both"/>
        <w:rPr>
          <w:rFonts w:ascii="Times New Roman" w:hAnsi="Times New Roman" w:cs="Times New Roman"/>
          <w:bCs/>
          <w:color w:val="000000" w:themeColor="text1"/>
          <w:sz w:val="24"/>
          <w:szCs w:val="24"/>
          <w:lang w:val="lv-LV"/>
        </w:rPr>
      </w:pPr>
    </w:p>
    <w:p w14:paraId="66AE5627" w14:textId="0FC697F4" w:rsidR="00EB2D71" w:rsidRPr="00780511" w:rsidRDefault="00EB2D71" w:rsidP="00EE4C57">
      <w:pPr>
        <w:spacing w:after="0" w:line="240" w:lineRule="auto"/>
        <w:jc w:val="both"/>
        <w:rPr>
          <w:rFonts w:ascii="Times New Roman" w:hAnsi="Times New Roman" w:cs="Times New Roman"/>
          <w:bCs/>
          <w:color w:val="000000" w:themeColor="text1"/>
          <w:sz w:val="24"/>
          <w:szCs w:val="24"/>
        </w:rPr>
      </w:pPr>
      <w:r w:rsidRPr="00780511">
        <w:rPr>
          <w:rFonts w:ascii="Times New Roman" w:hAnsi="Times New Roman" w:cs="Times New Roman"/>
          <w:bCs/>
          <w:color w:val="000000" w:themeColor="text1"/>
          <w:sz w:val="24"/>
          <w:szCs w:val="24"/>
          <w:lang w:val="lv-LV"/>
        </w:rPr>
        <w:t xml:space="preserve">Zemkopības ministrs </w:t>
      </w:r>
      <w:r w:rsidRPr="00780511">
        <w:rPr>
          <w:rFonts w:ascii="Times New Roman" w:hAnsi="Times New Roman" w:cs="Times New Roman"/>
          <w:bCs/>
          <w:color w:val="000000" w:themeColor="text1"/>
          <w:sz w:val="24"/>
          <w:szCs w:val="24"/>
          <w:lang w:val="lv-LV"/>
        </w:rPr>
        <w:tab/>
      </w:r>
      <w:r w:rsidRPr="00780511">
        <w:rPr>
          <w:rFonts w:ascii="Times New Roman" w:hAnsi="Times New Roman" w:cs="Times New Roman"/>
          <w:bCs/>
          <w:color w:val="000000" w:themeColor="text1"/>
          <w:sz w:val="24"/>
          <w:szCs w:val="24"/>
          <w:lang w:val="lv-LV"/>
        </w:rPr>
        <w:tab/>
      </w:r>
      <w:r w:rsidRPr="00780511">
        <w:rPr>
          <w:rFonts w:ascii="Times New Roman" w:hAnsi="Times New Roman" w:cs="Times New Roman"/>
          <w:bCs/>
          <w:color w:val="000000" w:themeColor="text1"/>
          <w:sz w:val="24"/>
          <w:szCs w:val="24"/>
          <w:lang w:val="lv-LV"/>
        </w:rPr>
        <w:tab/>
      </w:r>
      <w:r w:rsidRPr="00780511">
        <w:rPr>
          <w:rFonts w:ascii="Times New Roman" w:hAnsi="Times New Roman" w:cs="Times New Roman"/>
          <w:bCs/>
          <w:color w:val="000000" w:themeColor="text1"/>
          <w:sz w:val="24"/>
          <w:szCs w:val="24"/>
          <w:lang w:val="lv-LV"/>
        </w:rPr>
        <w:tab/>
      </w:r>
      <w:r w:rsidRPr="00780511">
        <w:rPr>
          <w:rFonts w:ascii="Times New Roman" w:hAnsi="Times New Roman" w:cs="Times New Roman"/>
          <w:bCs/>
          <w:color w:val="000000" w:themeColor="text1"/>
          <w:sz w:val="24"/>
          <w:szCs w:val="24"/>
          <w:lang w:val="lv-LV"/>
        </w:rPr>
        <w:tab/>
      </w:r>
      <w:r w:rsidRPr="00780511">
        <w:rPr>
          <w:rFonts w:ascii="Times New Roman" w:hAnsi="Times New Roman" w:cs="Times New Roman"/>
          <w:bCs/>
          <w:color w:val="000000" w:themeColor="text1"/>
          <w:sz w:val="24"/>
          <w:szCs w:val="24"/>
          <w:lang w:val="lv-LV"/>
        </w:rPr>
        <w:tab/>
      </w:r>
      <w:r w:rsidRPr="00780511">
        <w:rPr>
          <w:rFonts w:ascii="Times New Roman" w:hAnsi="Times New Roman" w:cs="Times New Roman"/>
          <w:bCs/>
          <w:color w:val="000000" w:themeColor="text1"/>
          <w:sz w:val="24"/>
          <w:szCs w:val="24"/>
          <w:lang w:val="lv-LV"/>
        </w:rPr>
        <w:tab/>
      </w:r>
      <w:r w:rsidR="00EE4C57" w:rsidRPr="00780511">
        <w:rPr>
          <w:rFonts w:ascii="Times New Roman" w:hAnsi="Times New Roman" w:cs="Times New Roman"/>
          <w:bCs/>
          <w:color w:val="000000" w:themeColor="text1"/>
          <w:sz w:val="24"/>
          <w:szCs w:val="24"/>
          <w:lang w:val="lv-LV"/>
        </w:rPr>
        <w:tab/>
      </w:r>
      <w:r w:rsidR="00EE4C57" w:rsidRPr="00780511">
        <w:rPr>
          <w:rFonts w:ascii="Times New Roman" w:hAnsi="Times New Roman" w:cs="Times New Roman"/>
          <w:bCs/>
          <w:color w:val="000000" w:themeColor="text1"/>
          <w:sz w:val="24"/>
          <w:szCs w:val="24"/>
          <w:lang w:val="lv-LV"/>
        </w:rPr>
        <w:tab/>
      </w:r>
      <w:r w:rsidRPr="00780511">
        <w:rPr>
          <w:rFonts w:ascii="Times New Roman" w:hAnsi="Times New Roman" w:cs="Times New Roman"/>
          <w:bCs/>
          <w:color w:val="000000" w:themeColor="text1"/>
          <w:sz w:val="24"/>
          <w:szCs w:val="24"/>
        </w:rPr>
        <w:t>J.Dūklavs</w:t>
      </w:r>
    </w:p>
    <w:p w14:paraId="0CB926DD" w14:textId="77777777" w:rsidR="00EE4C57" w:rsidRPr="00780511" w:rsidRDefault="00EE4C57" w:rsidP="00EB2D71">
      <w:pPr>
        <w:spacing w:after="0" w:line="240" w:lineRule="auto"/>
        <w:rPr>
          <w:rFonts w:ascii="Times New Roman" w:hAnsi="Times New Roman" w:cs="Times New Roman"/>
          <w:bCs/>
          <w:color w:val="000000" w:themeColor="text1"/>
          <w:sz w:val="20"/>
          <w:szCs w:val="24"/>
        </w:rPr>
      </w:pPr>
    </w:p>
    <w:p w14:paraId="0C205AA0" w14:textId="4407BEA8" w:rsidR="00BE4135" w:rsidRPr="00780511" w:rsidRDefault="00BE4135" w:rsidP="00EB2D71">
      <w:pPr>
        <w:spacing w:after="0" w:line="240" w:lineRule="auto"/>
        <w:rPr>
          <w:rFonts w:ascii="Times New Roman" w:hAnsi="Times New Roman" w:cs="Times New Roman"/>
          <w:bCs/>
          <w:color w:val="000000" w:themeColor="text1"/>
          <w:sz w:val="20"/>
          <w:szCs w:val="24"/>
        </w:rPr>
      </w:pPr>
    </w:p>
    <w:p w14:paraId="74598E02" w14:textId="0F8AF61D" w:rsidR="00DB547E" w:rsidRPr="00780511" w:rsidRDefault="00DB547E" w:rsidP="00EB2D71">
      <w:pPr>
        <w:spacing w:after="0" w:line="240" w:lineRule="auto"/>
        <w:rPr>
          <w:rFonts w:ascii="Times New Roman" w:hAnsi="Times New Roman" w:cs="Times New Roman"/>
          <w:bCs/>
          <w:color w:val="000000" w:themeColor="text1"/>
          <w:sz w:val="20"/>
          <w:szCs w:val="24"/>
        </w:rPr>
      </w:pPr>
    </w:p>
    <w:p w14:paraId="7E7E24F6" w14:textId="363728F8" w:rsidR="00DB547E" w:rsidRDefault="00DB547E" w:rsidP="00EB2D71">
      <w:pPr>
        <w:spacing w:after="0" w:line="240" w:lineRule="auto"/>
        <w:rPr>
          <w:rFonts w:ascii="Times New Roman" w:hAnsi="Times New Roman" w:cs="Times New Roman"/>
          <w:bCs/>
          <w:sz w:val="20"/>
          <w:szCs w:val="24"/>
        </w:rPr>
      </w:pPr>
    </w:p>
    <w:p w14:paraId="48486238" w14:textId="77777777" w:rsidR="0003361A" w:rsidRDefault="0003361A" w:rsidP="00EB2D71">
      <w:pPr>
        <w:spacing w:after="0" w:line="240" w:lineRule="auto"/>
        <w:rPr>
          <w:rFonts w:ascii="Times New Roman" w:hAnsi="Times New Roman" w:cs="Times New Roman"/>
          <w:bCs/>
          <w:sz w:val="20"/>
          <w:szCs w:val="24"/>
        </w:rPr>
      </w:pPr>
    </w:p>
    <w:p w14:paraId="1BECE2FA" w14:textId="77777777" w:rsidR="0003361A" w:rsidRDefault="0003361A" w:rsidP="00EB2D71">
      <w:pPr>
        <w:spacing w:after="0" w:line="240" w:lineRule="auto"/>
        <w:rPr>
          <w:rFonts w:ascii="Times New Roman" w:hAnsi="Times New Roman" w:cs="Times New Roman"/>
          <w:bCs/>
          <w:sz w:val="20"/>
          <w:szCs w:val="24"/>
        </w:rPr>
      </w:pPr>
    </w:p>
    <w:p w14:paraId="69CC421F" w14:textId="77777777" w:rsidR="0003361A" w:rsidRDefault="0003361A" w:rsidP="00EB2D71">
      <w:pPr>
        <w:spacing w:after="0" w:line="240" w:lineRule="auto"/>
        <w:rPr>
          <w:rFonts w:ascii="Times New Roman" w:hAnsi="Times New Roman" w:cs="Times New Roman"/>
          <w:bCs/>
          <w:sz w:val="20"/>
          <w:szCs w:val="24"/>
        </w:rPr>
      </w:pPr>
    </w:p>
    <w:p w14:paraId="5C118D08" w14:textId="77777777" w:rsidR="0003361A" w:rsidRDefault="0003361A" w:rsidP="00EB2D71">
      <w:pPr>
        <w:spacing w:after="0" w:line="240" w:lineRule="auto"/>
        <w:rPr>
          <w:rFonts w:ascii="Times New Roman" w:hAnsi="Times New Roman" w:cs="Times New Roman"/>
          <w:bCs/>
          <w:sz w:val="20"/>
          <w:szCs w:val="24"/>
        </w:rPr>
      </w:pPr>
    </w:p>
    <w:p w14:paraId="285C49B8" w14:textId="77777777" w:rsidR="0003361A" w:rsidRDefault="0003361A" w:rsidP="00EB2D71">
      <w:pPr>
        <w:spacing w:after="0" w:line="240" w:lineRule="auto"/>
        <w:rPr>
          <w:rFonts w:ascii="Times New Roman" w:hAnsi="Times New Roman" w:cs="Times New Roman"/>
          <w:bCs/>
          <w:sz w:val="20"/>
          <w:szCs w:val="24"/>
        </w:rPr>
      </w:pPr>
    </w:p>
    <w:p w14:paraId="7784DB34" w14:textId="77777777" w:rsidR="0003361A" w:rsidRDefault="0003361A" w:rsidP="00EB2D71">
      <w:pPr>
        <w:spacing w:after="0" w:line="240" w:lineRule="auto"/>
        <w:rPr>
          <w:rFonts w:ascii="Times New Roman" w:hAnsi="Times New Roman" w:cs="Times New Roman"/>
          <w:bCs/>
          <w:sz w:val="20"/>
          <w:szCs w:val="24"/>
        </w:rPr>
      </w:pPr>
    </w:p>
    <w:p w14:paraId="3EDA3F0B" w14:textId="77777777" w:rsidR="0003361A" w:rsidRDefault="0003361A" w:rsidP="00EB2D71">
      <w:pPr>
        <w:spacing w:after="0" w:line="240" w:lineRule="auto"/>
        <w:rPr>
          <w:rFonts w:ascii="Times New Roman" w:hAnsi="Times New Roman" w:cs="Times New Roman"/>
          <w:bCs/>
          <w:sz w:val="20"/>
          <w:szCs w:val="24"/>
        </w:rPr>
      </w:pPr>
    </w:p>
    <w:p w14:paraId="55B16B3A" w14:textId="77777777" w:rsidR="0003361A" w:rsidRDefault="0003361A" w:rsidP="00EB2D71">
      <w:pPr>
        <w:spacing w:after="0" w:line="240" w:lineRule="auto"/>
        <w:rPr>
          <w:rFonts w:ascii="Times New Roman" w:hAnsi="Times New Roman" w:cs="Times New Roman"/>
          <w:bCs/>
          <w:sz w:val="20"/>
          <w:szCs w:val="24"/>
        </w:rPr>
      </w:pPr>
    </w:p>
    <w:p w14:paraId="126B6EEF" w14:textId="77777777" w:rsidR="0003361A" w:rsidRDefault="0003361A" w:rsidP="00EB2D71">
      <w:pPr>
        <w:spacing w:after="0" w:line="240" w:lineRule="auto"/>
        <w:rPr>
          <w:rFonts w:ascii="Times New Roman" w:hAnsi="Times New Roman" w:cs="Times New Roman"/>
          <w:bCs/>
          <w:sz w:val="20"/>
          <w:szCs w:val="24"/>
        </w:rPr>
      </w:pPr>
    </w:p>
    <w:p w14:paraId="3E8B78A7" w14:textId="77777777" w:rsidR="0003361A" w:rsidRDefault="0003361A" w:rsidP="00EB2D71">
      <w:pPr>
        <w:spacing w:after="0" w:line="240" w:lineRule="auto"/>
        <w:rPr>
          <w:rFonts w:ascii="Times New Roman" w:hAnsi="Times New Roman" w:cs="Times New Roman"/>
          <w:bCs/>
          <w:sz w:val="20"/>
          <w:szCs w:val="24"/>
        </w:rPr>
      </w:pPr>
    </w:p>
    <w:p w14:paraId="07A0707E" w14:textId="77777777" w:rsidR="0003361A" w:rsidRDefault="0003361A" w:rsidP="00EB2D71">
      <w:pPr>
        <w:spacing w:after="0" w:line="240" w:lineRule="auto"/>
        <w:rPr>
          <w:rFonts w:ascii="Times New Roman" w:hAnsi="Times New Roman" w:cs="Times New Roman"/>
          <w:bCs/>
          <w:sz w:val="20"/>
          <w:szCs w:val="24"/>
        </w:rPr>
      </w:pPr>
    </w:p>
    <w:p w14:paraId="310852BD" w14:textId="77777777" w:rsidR="0003361A" w:rsidRDefault="0003361A" w:rsidP="00EB2D71">
      <w:pPr>
        <w:spacing w:after="0" w:line="240" w:lineRule="auto"/>
        <w:rPr>
          <w:rFonts w:ascii="Times New Roman" w:hAnsi="Times New Roman" w:cs="Times New Roman"/>
          <w:bCs/>
          <w:sz w:val="20"/>
          <w:szCs w:val="24"/>
        </w:rPr>
      </w:pPr>
    </w:p>
    <w:p w14:paraId="275AE2A5" w14:textId="77777777" w:rsidR="0003361A" w:rsidRDefault="0003361A" w:rsidP="00EB2D71">
      <w:pPr>
        <w:spacing w:after="0" w:line="240" w:lineRule="auto"/>
        <w:rPr>
          <w:rFonts w:ascii="Times New Roman" w:hAnsi="Times New Roman" w:cs="Times New Roman"/>
          <w:bCs/>
          <w:sz w:val="20"/>
          <w:szCs w:val="24"/>
        </w:rPr>
      </w:pPr>
    </w:p>
    <w:p w14:paraId="64B5A071" w14:textId="77777777" w:rsidR="0003361A" w:rsidRDefault="0003361A" w:rsidP="00EB2D71">
      <w:pPr>
        <w:spacing w:after="0" w:line="240" w:lineRule="auto"/>
        <w:rPr>
          <w:rFonts w:ascii="Times New Roman" w:hAnsi="Times New Roman" w:cs="Times New Roman"/>
          <w:bCs/>
          <w:sz w:val="20"/>
          <w:szCs w:val="24"/>
        </w:rPr>
      </w:pPr>
    </w:p>
    <w:p w14:paraId="26D8FA5A" w14:textId="77777777" w:rsidR="0003361A" w:rsidRDefault="0003361A" w:rsidP="00EB2D71">
      <w:pPr>
        <w:spacing w:after="0" w:line="240" w:lineRule="auto"/>
        <w:rPr>
          <w:rFonts w:ascii="Times New Roman" w:hAnsi="Times New Roman" w:cs="Times New Roman"/>
          <w:bCs/>
          <w:sz w:val="20"/>
          <w:szCs w:val="24"/>
        </w:rPr>
      </w:pPr>
    </w:p>
    <w:p w14:paraId="6D09065D" w14:textId="77777777" w:rsidR="0003361A" w:rsidRDefault="0003361A" w:rsidP="00EB2D71">
      <w:pPr>
        <w:spacing w:after="0" w:line="240" w:lineRule="auto"/>
        <w:rPr>
          <w:rFonts w:ascii="Times New Roman" w:hAnsi="Times New Roman" w:cs="Times New Roman"/>
          <w:bCs/>
          <w:sz w:val="20"/>
          <w:szCs w:val="24"/>
        </w:rPr>
      </w:pPr>
    </w:p>
    <w:p w14:paraId="0E461C6B" w14:textId="77777777" w:rsidR="0003361A" w:rsidRDefault="0003361A" w:rsidP="00EB2D71">
      <w:pPr>
        <w:spacing w:after="0" w:line="240" w:lineRule="auto"/>
        <w:rPr>
          <w:rFonts w:ascii="Times New Roman" w:hAnsi="Times New Roman" w:cs="Times New Roman"/>
          <w:bCs/>
          <w:sz w:val="20"/>
          <w:szCs w:val="24"/>
        </w:rPr>
      </w:pPr>
    </w:p>
    <w:p w14:paraId="32BCE773" w14:textId="77777777" w:rsidR="0003361A" w:rsidRDefault="0003361A" w:rsidP="00EB2D71">
      <w:pPr>
        <w:spacing w:after="0" w:line="240" w:lineRule="auto"/>
        <w:rPr>
          <w:rFonts w:ascii="Times New Roman" w:hAnsi="Times New Roman" w:cs="Times New Roman"/>
          <w:bCs/>
          <w:sz w:val="20"/>
          <w:szCs w:val="24"/>
        </w:rPr>
      </w:pPr>
    </w:p>
    <w:p w14:paraId="1407F18F" w14:textId="77777777" w:rsidR="0003361A" w:rsidRDefault="0003361A" w:rsidP="00EB2D71">
      <w:pPr>
        <w:spacing w:after="0" w:line="240" w:lineRule="auto"/>
        <w:rPr>
          <w:rFonts w:ascii="Times New Roman" w:hAnsi="Times New Roman" w:cs="Times New Roman"/>
          <w:bCs/>
          <w:sz w:val="20"/>
          <w:szCs w:val="24"/>
        </w:rPr>
      </w:pPr>
    </w:p>
    <w:p w14:paraId="0FCAB911" w14:textId="77777777" w:rsidR="0003361A" w:rsidRDefault="0003361A" w:rsidP="00EB2D71">
      <w:pPr>
        <w:spacing w:after="0" w:line="240" w:lineRule="auto"/>
        <w:rPr>
          <w:rFonts w:ascii="Times New Roman" w:hAnsi="Times New Roman" w:cs="Times New Roman"/>
          <w:bCs/>
          <w:sz w:val="20"/>
          <w:szCs w:val="24"/>
        </w:rPr>
      </w:pPr>
    </w:p>
    <w:p w14:paraId="6F2A8AE7" w14:textId="77777777" w:rsidR="0003361A" w:rsidRDefault="0003361A" w:rsidP="00EB2D71">
      <w:pPr>
        <w:spacing w:after="0" w:line="240" w:lineRule="auto"/>
        <w:rPr>
          <w:rFonts w:ascii="Times New Roman" w:hAnsi="Times New Roman" w:cs="Times New Roman"/>
          <w:bCs/>
          <w:sz w:val="20"/>
          <w:szCs w:val="24"/>
        </w:rPr>
      </w:pPr>
    </w:p>
    <w:p w14:paraId="4E1FB5EE" w14:textId="77777777" w:rsidR="0003361A" w:rsidRDefault="0003361A" w:rsidP="00EB2D71">
      <w:pPr>
        <w:spacing w:after="0" w:line="240" w:lineRule="auto"/>
        <w:rPr>
          <w:rFonts w:ascii="Times New Roman" w:hAnsi="Times New Roman" w:cs="Times New Roman"/>
          <w:bCs/>
          <w:sz w:val="20"/>
          <w:szCs w:val="24"/>
        </w:rPr>
      </w:pPr>
    </w:p>
    <w:p w14:paraId="31934899" w14:textId="77777777" w:rsidR="0003361A" w:rsidRDefault="0003361A" w:rsidP="00EB2D71">
      <w:pPr>
        <w:spacing w:after="0" w:line="240" w:lineRule="auto"/>
        <w:rPr>
          <w:rFonts w:ascii="Times New Roman" w:hAnsi="Times New Roman" w:cs="Times New Roman"/>
          <w:bCs/>
          <w:sz w:val="20"/>
          <w:szCs w:val="24"/>
        </w:rPr>
      </w:pPr>
    </w:p>
    <w:p w14:paraId="7A54E6F3" w14:textId="77777777" w:rsidR="0003361A" w:rsidRDefault="0003361A" w:rsidP="00EB2D71">
      <w:pPr>
        <w:spacing w:after="0" w:line="240" w:lineRule="auto"/>
        <w:rPr>
          <w:rFonts w:ascii="Times New Roman" w:hAnsi="Times New Roman" w:cs="Times New Roman"/>
          <w:bCs/>
          <w:sz w:val="20"/>
          <w:szCs w:val="24"/>
        </w:rPr>
      </w:pPr>
    </w:p>
    <w:p w14:paraId="5CD14CF9" w14:textId="77777777" w:rsidR="0003361A" w:rsidRDefault="0003361A" w:rsidP="00EB2D71">
      <w:pPr>
        <w:spacing w:after="0" w:line="240" w:lineRule="auto"/>
        <w:rPr>
          <w:rFonts w:ascii="Times New Roman" w:hAnsi="Times New Roman" w:cs="Times New Roman"/>
          <w:bCs/>
          <w:sz w:val="20"/>
          <w:szCs w:val="24"/>
        </w:rPr>
      </w:pPr>
    </w:p>
    <w:p w14:paraId="6482DF65" w14:textId="77777777" w:rsidR="0003361A" w:rsidRDefault="0003361A" w:rsidP="00EB2D71">
      <w:pPr>
        <w:spacing w:after="0" w:line="240" w:lineRule="auto"/>
        <w:rPr>
          <w:rFonts w:ascii="Times New Roman" w:hAnsi="Times New Roman" w:cs="Times New Roman"/>
          <w:bCs/>
          <w:sz w:val="20"/>
          <w:szCs w:val="24"/>
        </w:rPr>
      </w:pPr>
    </w:p>
    <w:p w14:paraId="0BC117F6" w14:textId="77777777" w:rsidR="0003361A" w:rsidRDefault="0003361A" w:rsidP="00EB2D71">
      <w:pPr>
        <w:spacing w:after="0" w:line="240" w:lineRule="auto"/>
        <w:rPr>
          <w:rFonts w:ascii="Times New Roman" w:hAnsi="Times New Roman" w:cs="Times New Roman"/>
          <w:bCs/>
          <w:sz w:val="20"/>
          <w:szCs w:val="24"/>
        </w:rPr>
      </w:pPr>
    </w:p>
    <w:p w14:paraId="0CA6CC32" w14:textId="445458CB" w:rsidR="00DB547E" w:rsidRDefault="00DB547E" w:rsidP="00EB2D71">
      <w:pPr>
        <w:spacing w:after="0" w:line="240" w:lineRule="auto"/>
        <w:rPr>
          <w:rFonts w:ascii="Times New Roman" w:hAnsi="Times New Roman" w:cs="Times New Roman"/>
          <w:bCs/>
          <w:sz w:val="20"/>
          <w:szCs w:val="24"/>
        </w:rPr>
      </w:pPr>
      <w:bookmarkStart w:id="7" w:name="_GoBack"/>
      <w:bookmarkEnd w:id="7"/>
    </w:p>
    <w:p w14:paraId="70C67052" w14:textId="77777777" w:rsidR="00B47CC9" w:rsidRDefault="00B47CC9" w:rsidP="00EB2D71">
      <w:pPr>
        <w:spacing w:after="0" w:line="240" w:lineRule="auto"/>
        <w:rPr>
          <w:rFonts w:ascii="Times New Roman" w:hAnsi="Times New Roman" w:cs="Times New Roman"/>
          <w:bCs/>
          <w:sz w:val="20"/>
          <w:szCs w:val="24"/>
        </w:rPr>
      </w:pPr>
    </w:p>
    <w:p w14:paraId="6C16F46F" w14:textId="77777777" w:rsidR="00324B1F" w:rsidRDefault="00324B1F" w:rsidP="00EB2D71">
      <w:pPr>
        <w:spacing w:after="0" w:line="240" w:lineRule="auto"/>
        <w:rPr>
          <w:rFonts w:ascii="Times New Roman" w:hAnsi="Times New Roman" w:cs="Times New Roman"/>
          <w:bCs/>
          <w:sz w:val="20"/>
          <w:szCs w:val="24"/>
          <w:lang w:val="lv-LV"/>
        </w:rPr>
      </w:pPr>
      <w:r>
        <w:rPr>
          <w:rFonts w:ascii="Times New Roman" w:hAnsi="Times New Roman" w:cs="Times New Roman"/>
          <w:bCs/>
          <w:sz w:val="20"/>
          <w:szCs w:val="24"/>
          <w:lang w:val="lv-LV"/>
        </w:rPr>
        <w:t>29.06.2016. 16:21</w:t>
      </w:r>
    </w:p>
    <w:p w14:paraId="0E7DED5F" w14:textId="77777777" w:rsidR="00916CDB" w:rsidRDefault="00916CDB" w:rsidP="00EB2D71">
      <w:pPr>
        <w:spacing w:after="0" w:line="240" w:lineRule="auto"/>
        <w:rPr>
          <w:rFonts w:ascii="Times New Roman" w:hAnsi="Times New Roman" w:cs="Times New Roman"/>
          <w:bCs/>
          <w:sz w:val="20"/>
          <w:szCs w:val="24"/>
        </w:rPr>
      </w:pPr>
      <w:r>
        <w:rPr>
          <w:rFonts w:ascii="Times New Roman" w:hAnsi="Times New Roman" w:cs="Times New Roman"/>
          <w:bCs/>
          <w:sz w:val="20"/>
          <w:szCs w:val="24"/>
        </w:rPr>
        <w:fldChar w:fldCharType="begin"/>
      </w:r>
      <w:r>
        <w:rPr>
          <w:rFonts w:ascii="Times New Roman" w:hAnsi="Times New Roman" w:cs="Times New Roman"/>
          <w:bCs/>
          <w:sz w:val="20"/>
          <w:szCs w:val="24"/>
        </w:rPr>
        <w:instrText xml:space="preserve"> NUMWORDS   \* MERGEFORMAT </w:instrText>
      </w:r>
      <w:r>
        <w:rPr>
          <w:rFonts w:ascii="Times New Roman" w:hAnsi="Times New Roman" w:cs="Times New Roman"/>
          <w:bCs/>
          <w:sz w:val="20"/>
          <w:szCs w:val="24"/>
        </w:rPr>
        <w:fldChar w:fldCharType="separate"/>
      </w:r>
      <w:r>
        <w:rPr>
          <w:rFonts w:ascii="Times New Roman" w:hAnsi="Times New Roman" w:cs="Times New Roman"/>
          <w:bCs/>
          <w:noProof/>
          <w:sz w:val="20"/>
          <w:szCs w:val="24"/>
        </w:rPr>
        <w:t>10596</w:t>
      </w:r>
      <w:r>
        <w:rPr>
          <w:rFonts w:ascii="Times New Roman" w:hAnsi="Times New Roman" w:cs="Times New Roman"/>
          <w:bCs/>
          <w:sz w:val="20"/>
          <w:szCs w:val="24"/>
        </w:rPr>
        <w:fldChar w:fldCharType="end"/>
      </w:r>
    </w:p>
    <w:p w14:paraId="26F90F88" w14:textId="100817C0" w:rsidR="00EB2D71" w:rsidRPr="006557B3" w:rsidRDefault="00EB2D71" w:rsidP="00EB2D71">
      <w:pPr>
        <w:spacing w:after="0" w:line="240" w:lineRule="auto"/>
        <w:rPr>
          <w:rFonts w:ascii="Times New Roman" w:hAnsi="Times New Roman" w:cs="Times New Roman"/>
          <w:bCs/>
          <w:sz w:val="20"/>
          <w:szCs w:val="24"/>
        </w:rPr>
      </w:pPr>
      <w:r w:rsidRPr="006557B3">
        <w:rPr>
          <w:rFonts w:ascii="Times New Roman" w:hAnsi="Times New Roman" w:cs="Times New Roman"/>
          <w:bCs/>
          <w:sz w:val="20"/>
          <w:szCs w:val="24"/>
        </w:rPr>
        <w:t>I.Cine</w:t>
      </w:r>
    </w:p>
    <w:p w14:paraId="3BD59525" w14:textId="612A5DE3" w:rsidR="00EB2D71" w:rsidRPr="00EE4C57" w:rsidRDefault="00EB2D71" w:rsidP="00EB2D71">
      <w:pPr>
        <w:pStyle w:val="Default"/>
        <w:rPr>
          <w:rFonts w:ascii="Times New Roman" w:hAnsi="Times New Roman"/>
          <w:sz w:val="20"/>
        </w:rPr>
      </w:pPr>
      <w:r w:rsidRPr="006557B3">
        <w:rPr>
          <w:rFonts w:ascii="Times New Roman" w:hAnsi="Times New Roman"/>
          <w:bCs/>
          <w:sz w:val="20"/>
        </w:rPr>
        <w:t>67027146, Inara.Cine@vm.gov.lv</w:t>
      </w:r>
    </w:p>
    <w:sectPr w:rsidR="00EB2D71" w:rsidRPr="00EE4C57" w:rsidSect="00EE4C57">
      <w:headerReference w:type="default" r:id="rId29"/>
      <w:footerReference w:type="default" r:id="rId30"/>
      <w:footerReference w:type="first" r:id="rId31"/>
      <w:pgSz w:w="11906" w:h="16838"/>
      <w:pgMar w:top="1440" w:right="1440" w:bottom="1440" w:left="144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FE99A" w14:textId="77777777" w:rsidR="001C0B43" w:rsidRDefault="001C0B43" w:rsidP="003371C7">
      <w:pPr>
        <w:spacing w:after="0" w:line="240" w:lineRule="auto"/>
      </w:pPr>
      <w:r>
        <w:separator/>
      </w:r>
    </w:p>
  </w:endnote>
  <w:endnote w:type="continuationSeparator" w:id="0">
    <w:p w14:paraId="64DCC2C4" w14:textId="77777777" w:rsidR="001C0B43" w:rsidRDefault="001C0B43" w:rsidP="0033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wiss TL">
    <w:panose1 w:val="020B0504020202020204"/>
    <w:charset w:val="BA"/>
    <w:family w:val="swiss"/>
    <w:pitch w:val="variable"/>
    <w:sig w:usb0="800002AF" w:usb1="5000204A"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66923" w14:textId="31267DAA" w:rsidR="004F3293" w:rsidRPr="001F1411" w:rsidRDefault="00324B1F" w:rsidP="00C13088">
    <w:pPr>
      <w:spacing w:after="0" w:line="240" w:lineRule="auto"/>
      <w:jc w:val="both"/>
      <w:rPr>
        <w:rFonts w:ascii="Times New Roman" w:hAnsi="Times New Roman"/>
        <w:sz w:val="20"/>
        <w:szCs w:val="20"/>
        <w:lang w:val="lv-LV"/>
      </w:rPr>
    </w:pPr>
    <w:r>
      <w:rPr>
        <w:rFonts w:ascii="Times New Roman" w:hAnsi="Times New Roman"/>
        <w:sz w:val="20"/>
        <w:szCs w:val="20"/>
        <w:lang w:val="lv-LV"/>
      </w:rPr>
      <w:t>ZMZ</w:t>
    </w:r>
    <w:r w:rsidR="004F3293" w:rsidRPr="001F1411">
      <w:rPr>
        <w:rFonts w:ascii="Times New Roman" w:hAnsi="Times New Roman"/>
        <w:sz w:val="20"/>
        <w:szCs w:val="20"/>
        <w:lang w:val="lv-LV"/>
      </w:rPr>
      <w:t>ino_</w:t>
    </w:r>
    <w:r w:rsidR="002905AC">
      <w:rPr>
        <w:rFonts w:ascii="Times New Roman" w:hAnsi="Times New Roman"/>
        <w:sz w:val="20"/>
        <w:szCs w:val="20"/>
        <w:lang w:val="lv-LV"/>
      </w:rPr>
      <w:t>2906</w:t>
    </w:r>
    <w:r w:rsidR="004F3293" w:rsidRPr="001F1411">
      <w:rPr>
        <w:rFonts w:ascii="Times New Roman" w:hAnsi="Times New Roman"/>
        <w:sz w:val="20"/>
        <w:szCs w:val="20"/>
        <w:lang w:val="lv-LV"/>
      </w:rPr>
      <w:t>16_uzt</w:t>
    </w:r>
    <w:r w:rsidR="004F3293">
      <w:rPr>
        <w:rFonts w:ascii="Times New Roman" w:hAnsi="Times New Roman"/>
        <w:sz w:val="20"/>
        <w:szCs w:val="20"/>
        <w:lang w:val="lv-LV"/>
      </w:rPr>
      <w:t>ura</w:t>
    </w:r>
    <w:r w:rsidR="004F3293" w:rsidRPr="001F1411">
      <w:rPr>
        <w:rFonts w:ascii="Times New Roman" w:hAnsi="Times New Roman"/>
        <w:sz w:val="20"/>
        <w:szCs w:val="20"/>
        <w:lang w:val="lv-LV"/>
      </w:rPr>
      <w:t xml:space="preserve">bag; </w:t>
    </w:r>
    <w:r w:rsidR="004F3293" w:rsidRPr="001F1411">
      <w:rPr>
        <w:rFonts w:ascii="Times New Roman" w:hAnsi="Times New Roman" w:cs="Times New Roman"/>
        <w:sz w:val="20"/>
        <w:szCs w:val="20"/>
        <w:lang w:val="lv-LV"/>
      </w:rPr>
      <w:t xml:space="preserve">Informatīvais ziņojums par </w:t>
    </w:r>
    <w:r w:rsidR="004F3293" w:rsidRPr="001F1411">
      <w:rPr>
        <w:rFonts w:ascii="Times New Roman" w:hAnsi="Times New Roman" w:cs="Times New Roman"/>
        <w:sz w:val="20"/>
        <w:szCs w:val="20"/>
      </w:rPr>
      <w:t>nepieciešamo finansējumu uztura bagātinātāju uzraudzības un kontroles, kā arī sabiedrības izglītošanas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337C4" w14:textId="2EE37246" w:rsidR="004F3293" w:rsidRPr="00EE4C57" w:rsidRDefault="00324B1F" w:rsidP="00EE4C57">
    <w:pPr>
      <w:spacing w:after="0" w:line="240" w:lineRule="auto"/>
      <w:jc w:val="both"/>
      <w:rPr>
        <w:rFonts w:ascii="Times New Roman" w:hAnsi="Times New Roman"/>
        <w:sz w:val="20"/>
        <w:szCs w:val="20"/>
        <w:lang w:val="lv-LV"/>
      </w:rPr>
    </w:pPr>
    <w:r>
      <w:rPr>
        <w:rFonts w:ascii="Times New Roman" w:hAnsi="Times New Roman"/>
        <w:sz w:val="20"/>
        <w:szCs w:val="20"/>
        <w:lang w:val="lv-LV"/>
      </w:rPr>
      <w:t>ZMZ</w:t>
    </w:r>
    <w:r w:rsidR="004F3293" w:rsidRPr="001F1411">
      <w:rPr>
        <w:rFonts w:ascii="Times New Roman" w:hAnsi="Times New Roman"/>
        <w:sz w:val="20"/>
        <w:szCs w:val="20"/>
        <w:lang w:val="lv-LV"/>
      </w:rPr>
      <w:t>ino_</w:t>
    </w:r>
    <w:r w:rsidR="002905AC">
      <w:rPr>
        <w:rFonts w:ascii="Times New Roman" w:hAnsi="Times New Roman"/>
        <w:sz w:val="20"/>
        <w:szCs w:val="20"/>
        <w:lang w:val="lv-LV"/>
      </w:rPr>
      <w:t>2906</w:t>
    </w:r>
    <w:r w:rsidR="009501A2">
      <w:rPr>
        <w:rFonts w:ascii="Times New Roman" w:hAnsi="Times New Roman"/>
        <w:sz w:val="20"/>
        <w:szCs w:val="20"/>
        <w:lang w:val="lv-LV"/>
      </w:rPr>
      <w:t>16</w:t>
    </w:r>
    <w:r w:rsidR="004F3293" w:rsidRPr="001F1411">
      <w:rPr>
        <w:rFonts w:ascii="Times New Roman" w:hAnsi="Times New Roman"/>
        <w:sz w:val="20"/>
        <w:szCs w:val="20"/>
        <w:lang w:val="lv-LV"/>
      </w:rPr>
      <w:t>_uzt</w:t>
    </w:r>
    <w:r w:rsidR="004F3293">
      <w:rPr>
        <w:rFonts w:ascii="Times New Roman" w:hAnsi="Times New Roman"/>
        <w:sz w:val="20"/>
        <w:szCs w:val="20"/>
        <w:lang w:val="lv-LV"/>
      </w:rPr>
      <w:t>ura</w:t>
    </w:r>
    <w:r w:rsidR="004F3293" w:rsidRPr="001F1411">
      <w:rPr>
        <w:rFonts w:ascii="Times New Roman" w:hAnsi="Times New Roman"/>
        <w:sz w:val="20"/>
        <w:szCs w:val="20"/>
        <w:lang w:val="lv-LV"/>
      </w:rPr>
      <w:t xml:space="preserve">bag; </w:t>
    </w:r>
    <w:r w:rsidR="004F3293" w:rsidRPr="001F1411">
      <w:rPr>
        <w:rFonts w:ascii="Times New Roman" w:hAnsi="Times New Roman" w:cs="Times New Roman"/>
        <w:sz w:val="20"/>
        <w:szCs w:val="20"/>
        <w:lang w:val="lv-LV"/>
      </w:rPr>
      <w:t xml:space="preserve">Informatīvais ziņojums par </w:t>
    </w:r>
    <w:r w:rsidR="004F3293" w:rsidRPr="001F1411">
      <w:rPr>
        <w:rFonts w:ascii="Times New Roman" w:hAnsi="Times New Roman" w:cs="Times New Roman"/>
        <w:sz w:val="20"/>
        <w:szCs w:val="20"/>
      </w:rPr>
      <w:t>nepieciešamo finansējumu uztura bagātinātāju uzraudzības un kontroles, kā arī sabiedrības izglītošanas jomā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C22E3" w14:textId="77777777" w:rsidR="001C0B43" w:rsidRDefault="001C0B43" w:rsidP="003371C7">
      <w:pPr>
        <w:spacing w:after="0" w:line="240" w:lineRule="auto"/>
      </w:pPr>
      <w:r>
        <w:separator/>
      </w:r>
    </w:p>
  </w:footnote>
  <w:footnote w:type="continuationSeparator" w:id="0">
    <w:p w14:paraId="22862CF3" w14:textId="77777777" w:rsidR="001C0B43" w:rsidRDefault="001C0B43" w:rsidP="003371C7">
      <w:pPr>
        <w:spacing w:after="0" w:line="240" w:lineRule="auto"/>
      </w:pPr>
      <w:r>
        <w:continuationSeparator/>
      </w:r>
    </w:p>
  </w:footnote>
  <w:footnote w:id="1">
    <w:p w14:paraId="3D9ACB45" w14:textId="77777777" w:rsidR="004F3293" w:rsidRDefault="004F3293" w:rsidP="005A0941">
      <w:pPr>
        <w:pStyle w:val="Vresteksts"/>
        <w:rPr>
          <w:rFonts w:ascii="Times New Roman" w:hAnsi="Times New Roman"/>
          <w:lang w:val="lv-LV"/>
        </w:rPr>
      </w:pPr>
      <w:r>
        <w:rPr>
          <w:rStyle w:val="Vresatsauce"/>
          <w:rFonts w:ascii="Times New Roman" w:hAnsi="Times New Roman"/>
        </w:rPr>
        <w:t>[1]</w:t>
      </w:r>
      <w:r>
        <w:rPr>
          <w:rFonts w:ascii="Times New Roman" w:hAnsi="Times New Roman"/>
          <w:lang w:val="lv-LV"/>
        </w:rPr>
        <w:t xml:space="preserve"> http://www.spkc.gov.lv/infografikas/</w:t>
      </w:r>
    </w:p>
  </w:footnote>
  <w:footnote w:id="2">
    <w:p w14:paraId="7674EB68" w14:textId="77777777" w:rsidR="004F3293" w:rsidRDefault="004F3293" w:rsidP="005A0941">
      <w:pPr>
        <w:pStyle w:val="Vresteksts"/>
        <w:rPr>
          <w:rFonts w:ascii="Times New Roman" w:hAnsi="Times New Roman"/>
          <w:lang w:val="lv-LV"/>
        </w:rPr>
      </w:pPr>
      <w:r w:rsidRPr="00BB5234">
        <w:rPr>
          <w:rStyle w:val="Vresatsauce"/>
          <w:rFonts w:ascii="Times New Roman" w:hAnsi="Times New Roman"/>
          <w:lang w:val="lv-LV"/>
        </w:rPr>
        <w:t>[2]</w:t>
      </w:r>
      <w:r>
        <w:rPr>
          <w:rFonts w:ascii="Times New Roman" w:hAnsi="Times New Roman"/>
          <w:lang w:val="lv-LV"/>
        </w:rPr>
        <w:t xml:space="preserve"> http://www.vm.gov.lv/lv/tava_veseliba/informativie_materiali_/</w:t>
      </w:r>
    </w:p>
  </w:footnote>
  <w:footnote w:id="3">
    <w:p w14:paraId="7E77F0B6" w14:textId="77777777" w:rsidR="004F3293" w:rsidRPr="00FD0D93" w:rsidRDefault="004F3293" w:rsidP="00B23555">
      <w:pPr>
        <w:pStyle w:val="Vresteksts"/>
        <w:rPr>
          <w:rFonts w:ascii="Times New Roman" w:hAnsi="Times New Roman" w:cs="Times New Roman"/>
          <w:lang w:val="lv-LV"/>
        </w:rPr>
      </w:pPr>
      <w:r w:rsidRPr="00FD0D93">
        <w:rPr>
          <w:rStyle w:val="Vresatsauce"/>
          <w:rFonts w:ascii="Times New Roman" w:hAnsi="Times New Roman" w:cs="Times New Roman"/>
        </w:rPr>
        <w:footnoteRef/>
      </w:r>
      <w:r w:rsidRPr="00BB5234">
        <w:rPr>
          <w:rFonts w:ascii="Times New Roman" w:hAnsi="Times New Roman" w:cs="Times New Roman"/>
          <w:lang w:val="lv-LV"/>
        </w:rPr>
        <w:t xml:space="preserve"> </w:t>
      </w:r>
      <w:r w:rsidRPr="00FD0D93">
        <w:rPr>
          <w:rFonts w:ascii="Times New Roman" w:hAnsi="Times New Roman" w:cs="Times New Roman"/>
          <w:lang w:val="lv-LV"/>
        </w:rPr>
        <w:t>http://www.vm.gov.lv/lv/tava_veseliba/veseligs_un_aktivs_dzivesveids/uztura_bagatinataji/).</w:t>
      </w:r>
    </w:p>
  </w:footnote>
  <w:footnote w:id="4">
    <w:p w14:paraId="5A5A60BD" w14:textId="77777777" w:rsidR="004F3293" w:rsidRPr="00FD0D93" w:rsidRDefault="004F3293" w:rsidP="00B23555">
      <w:pPr>
        <w:pStyle w:val="Vresteksts"/>
        <w:rPr>
          <w:rFonts w:ascii="Times New Roman" w:hAnsi="Times New Roman" w:cs="Times New Roman"/>
          <w:lang w:val="lv-LV"/>
        </w:rPr>
      </w:pPr>
      <w:r w:rsidRPr="00FD0D93">
        <w:rPr>
          <w:rStyle w:val="Vresatsauce"/>
          <w:rFonts w:ascii="Times New Roman" w:hAnsi="Times New Roman" w:cs="Times New Roman"/>
        </w:rPr>
        <w:footnoteRef/>
      </w:r>
      <w:r w:rsidRPr="00FD0D93">
        <w:rPr>
          <w:rFonts w:ascii="Times New Roman" w:hAnsi="Times New Roman" w:cs="Times New Roman"/>
        </w:rPr>
        <w:t xml:space="preserve"> </w:t>
      </w:r>
      <w:r w:rsidRPr="00FD0D93">
        <w:rPr>
          <w:rFonts w:ascii="Times New Roman" w:hAnsi="Times New Roman" w:cs="Times New Roman"/>
          <w:lang w:val="lv-LV"/>
        </w:rPr>
        <w:t>http://www.vm.gov.lv/lv/tava_veseliba/ veseligs_uzturs/</w:t>
      </w:r>
    </w:p>
  </w:footnote>
  <w:footnote w:id="5">
    <w:p w14:paraId="583E1EC8" w14:textId="77777777" w:rsidR="004F3293" w:rsidRPr="00FD0D93" w:rsidRDefault="004F3293" w:rsidP="00B23555">
      <w:pPr>
        <w:pStyle w:val="Vresteksts"/>
        <w:rPr>
          <w:rFonts w:ascii="Times New Roman" w:hAnsi="Times New Roman" w:cs="Times New Roman"/>
          <w:lang w:val="lv-LV"/>
        </w:rPr>
      </w:pPr>
      <w:r w:rsidRPr="00FD0D93">
        <w:rPr>
          <w:rStyle w:val="Vresatsauce"/>
          <w:rFonts w:ascii="Times New Roman" w:hAnsi="Times New Roman" w:cs="Times New Roman"/>
        </w:rPr>
        <w:footnoteRef/>
      </w:r>
      <w:r w:rsidRPr="00DE4081">
        <w:rPr>
          <w:rFonts w:ascii="Times New Roman" w:hAnsi="Times New Roman" w:cs="Times New Roman"/>
          <w:lang w:val="lv-LV"/>
        </w:rPr>
        <w:t xml:space="preserve"> http://www.vm.gov.lv/images/userfiles/uztura_ieteikumi_pieaugusajiem.pdf</w:t>
      </w:r>
    </w:p>
  </w:footnote>
  <w:footnote w:id="6">
    <w:p w14:paraId="622FBC9D" w14:textId="77777777" w:rsidR="004F3293" w:rsidRPr="00FD0D93" w:rsidRDefault="004F3293" w:rsidP="00B23555">
      <w:pPr>
        <w:pStyle w:val="Vresteksts"/>
        <w:rPr>
          <w:rFonts w:ascii="Times New Roman" w:hAnsi="Times New Roman" w:cs="Times New Roman"/>
          <w:lang w:val="lv-LV"/>
        </w:rPr>
      </w:pPr>
      <w:r w:rsidRPr="00FD0D93">
        <w:rPr>
          <w:rStyle w:val="Vresatsauce"/>
          <w:rFonts w:ascii="Times New Roman" w:hAnsi="Times New Roman" w:cs="Times New Roman"/>
        </w:rPr>
        <w:footnoteRef/>
      </w:r>
      <w:r w:rsidRPr="00DE4081">
        <w:rPr>
          <w:rFonts w:ascii="Times New Roman" w:hAnsi="Times New Roman" w:cs="Times New Roman"/>
          <w:lang w:val="lv-LV"/>
        </w:rPr>
        <w:t xml:space="preserve"> http://www.vm.gov.lv/images/userfiles/ieteikumi_veciem_cilvekiem.pdf</w:t>
      </w:r>
    </w:p>
  </w:footnote>
  <w:footnote w:id="7">
    <w:p w14:paraId="5C63CAB2" w14:textId="77777777" w:rsidR="004F3293" w:rsidRPr="0098412C" w:rsidRDefault="004F3293" w:rsidP="000B5BBE">
      <w:pPr>
        <w:pStyle w:val="Vresteksts"/>
        <w:rPr>
          <w:lang w:val="lv-LV"/>
        </w:rPr>
      </w:pPr>
      <w:r>
        <w:rPr>
          <w:rStyle w:val="Vresatsauce"/>
        </w:rPr>
        <w:footnoteRef/>
      </w:r>
      <w:r w:rsidRPr="00DE4081">
        <w:rPr>
          <w:lang w:val="lv-LV"/>
        </w:rPr>
        <w:t xml:space="preserve"> http://polsis.mk.gov.lv/documents/4965</w:t>
      </w:r>
    </w:p>
  </w:footnote>
  <w:footnote w:id="8">
    <w:p w14:paraId="7B63EB92" w14:textId="77777777" w:rsidR="004F3293" w:rsidRPr="003D66BE" w:rsidRDefault="004F3293" w:rsidP="00B23555">
      <w:pPr>
        <w:pStyle w:val="Vresteksts"/>
        <w:rPr>
          <w:rFonts w:ascii="Times New Roman" w:hAnsi="Times New Roman" w:cs="Times New Roman"/>
          <w:lang w:val="lv-LV"/>
        </w:rPr>
      </w:pPr>
      <w:r w:rsidRPr="003D66BE">
        <w:rPr>
          <w:rStyle w:val="Vresatsauce"/>
          <w:rFonts w:ascii="Times New Roman" w:hAnsi="Times New Roman" w:cs="Times New Roman"/>
        </w:rPr>
        <w:footnoteRef/>
      </w:r>
      <w:r w:rsidRPr="003D66BE">
        <w:rPr>
          <w:rFonts w:ascii="Times New Roman" w:hAnsi="Times New Roman" w:cs="Times New Roman"/>
          <w:lang w:val="lv-LV"/>
        </w:rPr>
        <w:t xml:space="preserve"> </w:t>
      </w:r>
      <w:r w:rsidRPr="00DA6F8F">
        <w:rPr>
          <w:rFonts w:ascii="Times New Roman" w:hAnsi="Times New Roman" w:cs="Times New Roman"/>
          <w:lang w:val="lv-LV"/>
        </w:rPr>
        <w:t>http://www.vm.gov.lv/images/userfiles/475_gribu_but_mamina_29_04_2013_1.pdf</w:t>
      </w:r>
    </w:p>
    <w:p w14:paraId="4351493C" w14:textId="77777777" w:rsidR="004F3293" w:rsidRPr="00FD0D93" w:rsidRDefault="004F3293" w:rsidP="00B23555">
      <w:pPr>
        <w:pStyle w:val="Vresteksts"/>
        <w:rPr>
          <w:rFonts w:ascii="Times New Roman" w:hAnsi="Times New Roman" w:cs="Times New Roman"/>
          <w:lang w:val="lv-LV"/>
        </w:rPr>
      </w:pPr>
      <w:r>
        <w:rPr>
          <w:rFonts w:ascii="Times New Roman" w:hAnsi="Times New Roman" w:cs="Times New Roman"/>
          <w:lang w:val="lv-LV"/>
        </w:rPr>
        <w:t xml:space="preserve">    </w:t>
      </w:r>
      <w:hyperlink r:id="rId1" w:history="1">
        <w:r w:rsidRPr="00914B4F">
          <w:rPr>
            <w:rStyle w:val="Hipersaite"/>
            <w:rFonts w:ascii="Times New Roman" w:hAnsi="Times New Roman" w:cs="Times New Roman"/>
            <w:lang w:val="lv-LV"/>
          </w:rPr>
          <w:t>http://www.spkc.gov.lv/file_download/2797/Buklets_Gribu_but_mamina.pdf</w:t>
        </w:r>
      </w:hyperlink>
      <w:r>
        <w:rPr>
          <w:rFonts w:ascii="Times New Roman" w:hAnsi="Times New Roman" w:cs="Times New Roman"/>
          <w:lang w:val="lv-LV"/>
        </w:rPr>
        <w:t xml:space="preserve"> </w:t>
      </w:r>
    </w:p>
  </w:footnote>
  <w:footnote w:id="9">
    <w:p w14:paraId="20734CC1" w14:textId="77777777" w:rsidR="004F3293" w:rsidRPr="00320F05" w:rsidRDefault="004F3293" w:rsidP="00320F05">
      <w:pPr>
        <w:pStyle w:val="Vresteksts"/>
        <w:rPr>
          <w:rFonts w:ascii="Times New Roman" w:hAnsi="Times New Roman" w:cs="Times New Roman"/>
          <w:lang w:val="lv-LV"/>
        </w:rPr>
      </w:pPr>
      <w:r w:rsidRPr="00320F05">
        <w:rPr>
          <w:rStyle w:val="Vresatsauce"/>
          <w:rFonts w:ascii="Times New Roman" w:hAnsi="Times New Roman" w:cs="Times New Roman"/>
          <w:lang w:val="lv-LV"/>
        </w:rPr>
        <w:t>[1]</w:t>
      </w:r>
      <w:r w:rsidRPr="00320F05">
        <w:rPr>
          <w:rFonts w:ascii="Times New Roman" w:hAnsi="Times New Roman" w:cs="Times New Roman"/>
          <w:lang w:val="lv-LV"/>
        </w:rPr>
        <w:t xml:space="preserve"> http://www.ptac.gov.lv/lv/news/ptac-br-dina-uztura-bag-tin-t-jiem-m-dz-pied-v-t-nepatiesas-rstnieciskas-pa-bas  </w:t>
      </w:r>
    </w:p>
  </w:footnote>
  <w:footnote w:id="10">
    <w:p w14:paraId="0254464F" w14:textId="77777777" w:rsidR="004F3293" w:rsidRPr="00320F05" w:rsidRDefault="004F3293" w:rsidP="00320F05">
      <w:pPr>
        <w:pStyle w:val="Vresteksts"/>
        <w:rPr>
          <w:rFonts w:ascii="Times New Roman" w:hAnsi="Times New Roman" w:cs="Times New Roman"/>
          <w:lang w:val="lv-LV"/>
        </w:rPr>
      </w:pPr>
      <w:r w:rsidRPr="00320F05">
        <w:rPr>
          <w:rStyle w:val="Vresatsauce"/>
          <w:rFonts w:ascii="Times New Roman" w:hAnsi="Times New Roman" w:cs="Times New Roman"/>
          <w:lang w:val="lv-LV"/>
        </w:rPr>
        <w:t>[2]</w:t>
      </w:r>
      <w:r w:rsidRPr="00320F05">
        <w:rPr>
          <w:rFonts w:ascii="Times New Roman" w:hAnsi="Times New Roman" w:cs="Times New Roman"/>
          <w:lang w:val="lv-LV"/>
        </w:rPr>
        <w:t xml:space="preserve"> http://www.ptac.gov.lv/lv/news/ptac-un-pvd-aicina-neiegadaties-neregistretus-uztura-bagatinatajus-no-aizdomigam-interneta  </w:t>
      </w:r>
    </w:p>
  </w:footnote>
  <w:footnote w:id="11">
    <w:p w14:paraId="7619EF08" w14:textId="77777777" w:rsidR="004F3293" w:rsidRPr="00320F05" w:rsidRDefault="004F3293" w:rsidP="00320F05">
      <w:pPr>
        <w:pStyle w:val="Vresteksts"/>
        <w:rPr>
          <w:rFonts w:ascii="Times New Roman" w:hAnsi="Times New Roman" w:cs="Times New Roman"/>
          <w:lang w:val="fr-FR"/>
        </w:rPr>
      </w:pPr>
      <w:r w:rsidRPr="00320F05">
        <w:rPr>
          <w:rStyle w:val="Vresatsauce"/>
          <w:rFonts w:ascii="Times New Roman" w:hAnsi="Times New Roman" w:cs="Times New Roman"/>
          <w:lang w:val="fr-FR"/>
        </w:rPr>
        <w:t>[3]</w:t>
      </w:r>
      <w:r w:rsidRPr="00320F05">
        <w:rPr>
          <w:rFonts w:ascii="Times New Roman" w:hAnsi="Times New Roman" w:cs="Times New Roman"/>
          <w:lang w:val="fr-FR"/>
        </w:rPr>
        <w:t xml:space="preserve"> Vairāk informācijas http://www.veselibasprojekti.lv/lapa/460/UB-reklamas-uzraudziba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087883"/>
      <w:docPartObj>
        <w:docPartGallery w:val="Page Numbers (Top of Page)"/>
        <w:docPartUnique/>
      </w:docPartObj>
    </w:sdtPr>
    <w:sdtEndPr/>
    <w:sdtContent>
      <w:p w14:paraId="454A2CF9" w14:textId="7112DD59" w:rsidR="004F3293" w:rsidRDefault="004F3293">
        <w:pPr>
          <w:pStyle w:val="Galvene"/>
          <w:jc w:val="center"/>
        </w:pPr>
        <w:r w:rsidRPr="003371C7">
          <w:rPr>
            <w:rFonts w:ascii="Times New Roman" w:hAnsi="Times New Roman"/>
          </w:rPr>
          <w:fldChar w:fldCharType="begin"/>
        </w:r>
        <w:r w:rsidRPr="003371C7">
          <w:rPr>
            <w:rFonts w:ascii="Times New Roman" w:hAnsi="Times New Roman"/>
          </w:rPr>
          <w:instrText>PAGE   \* MERGEFORMAT</w:instrText>
        </w:r>
        <w:r w:rsidRPr="003371C7">
          <w:rPr>
            <w:rFonts w:ascii="Times New Roman" w:hAnsi="Times New Roman"/>
          </w:rPr>
          <w:fldChar w:fldCharType="separate"/>
        </w:r>
        <w:r w:rsidR="00916CDB" w:rsidRPr="00916CDB">
          <w:rPr>
            <w:rFonts w:ascii="Times New Roman" w:hAnsi="Times New Roman"/>
            <w:noProof/>
            <w:lang w:val="lv-LV"/>
          </w:rPr>
          <w:t>34</w:t>
        </w:r>
        <w:r w:rsidRPr="003371C7">
          <w:rPr>
            <w:rFonts w:ascii="Times New Roman" w:hAnsi="Times New Roman"/>
          </w:rPr>
          <w:fldChar w:fldCharType="end"/>
        </w:r>
      </w:p>
    </w:sdtContent>
  </w:sdt>
  <w:p w14:paraId="49AC198F" w14:textId="77777777" w:rsidR="004F3293" w:rsidRDefault="004F329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DA6E9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3EC1A92"/>
    <w:multiLevelType w:val="hybridMultilevel"/>
    <w:tmpl w:val="0AD27DB2"/>
    <w:lvl w:ilvl="0" w:tplc="21FC0D4C">
      <w:start w:val="1"/>
      <w:numFmt w:val="bullet"/>
      <w:lvlText w:val="-"/>
      <w:lvlJc w:val="left"/>
      <w:pPr>
        <w:ind w:left="360" w:hanging="360"/>
      </w:pPr>
      <w:rPr>
        <w:rFonts w:ascii="Swiss TL" w:hAnsi="Swiss T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4D812B8"/>
    <w:multiLevelType w:val="hybridMultilevel"/>
    <w:tmpl w:val="A1387ED0"/>
    <w:lvl w:ilvl="0" w:tplc="04260017">
      <w:start w:val="1"/>
      <w:numFmt w:val="lowerLetter"/>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063D7471"/>
    <w:multiLevelType w:val="multilevel"/>
    <w:tmpl w:val="DE14506E"/>
    <w:lvl w:ilvl="0">
      <w:start w:val="3"/>
      <w:numFmt w:val="decimal"/>
      <w:lvlText w:val="%1."/>
      <w:lvlJc w:val="left"/>
      <w:pPr>
        <w:ind w:left="450" w:hanging="450"/>
      </w:pPr>
      <w:rPr>
        <w:rFonts w:hint="default"/>
        <w:b/>
        <w:sz w:val="28"/>
      </w:rPr>
    </w:lvl>
    <w:lvl w:ilvl="1">
      <w:start w:val="1"/>
      <w:numFmt w:val="decimal"/>
      <w:lvlText w:val="%1.%2."/>
      <w:lvlJc w:val="left"/>
      <w:pPr>
        <w:ind w:left="1004" w:hanging="720"/>
      </w:pPr>
      <w:rPr>
        <w:rFonts w:ascii="Times New Roman" w:hAnsi="Times New Roman" w:cs="Times New Roman" w:hint="default"/>
        <w:b/>
        <w:strike w:val="0"/>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4" w15:restartNumberingAfterBreak="0">
    <w:nsid w:val="081B20A9"/>
    <w:multiLevelType w:val="hybridMultilevel"/>
    <w:tmpl w:val="ECE24C5C"/>
    <w:lvl w:ilvl="0" w:tplc="D59ECB90">
      <w:start w:val="1"/>
      <w:numFmt w:val="bullet"/>
      <w:lvlText w:val="-"/>
      <w:lvlJc w:val="left"/>
      <w:pPr>
        <w:ind w:left="405" w:hanging="360"/>
      </w:pPr>
      <w:rPr>
        <w:rFonts w:ascii="Times New Roman" w:eastAsia="Times New Roman" w:hAnsi="Times New Roman" w:cs="Times New Roman" w:hint="default"/>
        <w:sz w:val="20"/>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5" w15:restartNumberingAfterBreak="0">
    <w:nsid w:val="08A675FB"/>
    <w:multiLevelType w:val="hybridMultilevel"/>
    <w:tmpl w:val="CCFEAF48"/>
    <w:lvl w:ilvl="0" w:tplc="AC746AC6">
      <w:numFmt w:val="bullet"/>
      <w:lvlText w:val="-"/>
      <w:lvlJc w:val="left"/>
      <w:pPr>
        <w:ind w:left="1654" w:hanging="945"/>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0A8F350F"/>
    <w:multiLevelType w:val="hybridMultilevel"/>
    <w:tmpl w:val="9F24B260"/>
    <w:lvl w:ilvl="0" w:tplc="99A02660">
      <w:numFmt w:val="bullet"/>
      <w:lvlText w:val="-"/>
      <w:lvlJc w:val="left"/>
      <w:pPr>
        <w:ind w:left="1579" w:hanging="87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0B765CBB"/>
    <w:multiLevelType w:val="hybridMultilevel"/>
    <w:tmpl w:val="EB8E4726"/>
    <w:lvl w:ilvl="0" w:tplc="BC80FA68">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15:restartNumberingAfterBreak="0">
    <w:nsid w:val="10582F06"/>
    <w:multiLevelType w:val="hybridMultilevel"/>
    <w:tmpl w:val="4E86F210"/>
    <w:lvl w:ilvl="0" w:tplc="436A9E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23A60DE"/>
    <w:multiLevelType w:val="hybridMultilevel"/>
    <w:tmpl w:val="54BE5D9A"/>
    <w:lvl w:ilvl="0" w:tplc="AA7E4690">
      <w:start w:val="3"/>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12CE192C"/>
    <w:multiLevelType w:val="multilevel"/>
    <w:tmpl w:val="B304105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6DF2C3D"/>
    <w:multiLevelType w:val="hybridMultilevel"/>
    <w:tmpl w:val="DBF6262C"/>
    <w:lvl w:ilvl="0" w:tplc="04260017">
      <w:start w:val="1"/>
      <w:numFmt w:val="lowerLetter"/>
      <w:lvlText w:val="%1)"/>
      <w:lvlJc w:val="left"/>
      <w:pPr>
        <w:ind w:left="1429" w:hanging="360"/>
      </w:pPr>
    </w:lvl>
    <w:lvl w:ilvl="1" w:tplc="04260017">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1F1D476E"/>
    <w:multiLevelType w:val="hybridMultilevel"/>
    <w:tmpl w:val="AAEC9FE4"/>
    <w:lvl w:ilvl="0" w:tplc="04260017">
      <w:start w:val="1"/>
      <w:numFmt w:val="lowerLetter"/>
      <w:lvlText w:val="%1)"/>
      <w:lvlJc w:val="left"/>
      <w:pPr>
        <w:ind w:left="1429" w:hanging="360"/>
      </w:pPr>
    </w:lvl>
    <w:lvl w:ilvl="1" w:tplc="6100A502">
      <w:start w:val="1"/>
      <w:numFmt w:val="lowerLetter"/>
      <w:lvlText w:val="%2)"/>
      <w:lvlJc w:val="left"/>
      <w:pPr>
        <w:ind w:left="2204"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1F8A1E68"/>
    <w:multiLevelType w:val="hybridMultilevel"/>
    <w:tmpl w:val="64742E62"/>
    <w:lvl w:ilvl="0" w:tplc="04260017">
      <w:start w:val="1"/>
      <w:numFmt w:val="lowerLetter"/>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21172E4C"/>
    <w:multiLevelType w:val="hybridMultilevel"/>
    <w:tmpl w:val="B2B0ACA2"/>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15" w15:restartNumberingAfterBreak="0">
    <w:nsid w:val="21601A92"/>
    <w:multiLevelType w:val="hybridMultilevel"/>
    <w:tmpl w:val="20D00D9E"/>
    <w:lvl w:ilvl="0" w:tplc="04260017">
      <w:start w:val="1"/>
      <w:numFmt w:val="lowerLetter"/>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240F7BBA"/>
    <w:multiLevelType w:val="hybridMultilevel"/>
    <w:tmpl w:val="A8AC37FC"/>
    <w:lvl w:ilvl="0" w:tplc="0E7E7B10">
      <w:numFmt w:val="bullet"/>
      <w:lvlText w:val="-"/>
      <w:lvlJc w:val="left"/>
      <w:pPr>
        <w:ind w:left="1684" w:hanging="975"/>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7" w15:restartNumberingAfterBreak="0">
    <w:nsid w:val="24E77C07"/>
    <w:multiLevelType w:val="hybridMultilevel"/>
    <w:tmpl w:val="DFD22A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26966F1B"/>
    <w:multiLevelType w:val="hybridMultilevel"/>
    <w:tmpl w:val="036453B4"/>
    <w:lvl w:ilvl="0" w:tplc="B9ACB436">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27397CCE"/>
    <w:multiLevelType w:val="hybridMultilevel"/>
    <w:tmpl w:val="759C5D7E"/>
    <w:lvl w:ilvl="0" w:tplc="04260017">
      <w:start w:val="1"/>
      <w:numFmt w:val="lowerLetter"/>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28EE64BC"/>
    <w:multiLevelType w:val="hybridMultilevel"/>
    <w:tmpl w:val="A176B20C"/>
    <w:lvl w:ilvl="0" w:tplc="04260017">
      <w:start w:val="1"/>
      <w:numFmt w:val="lowerLetter"/>
      <w:lvlText w:val="%1)"/>
      <w:lvlJc w:val="left"/>
      <w:pPr>
        <w:ind w:left="1069" w:hanging="360"/>
      </w:pPr>
      <w:rPr>
        <w:rFont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28F03831"/>
    <w:multiLevelType w:val="hybridMultilevel"/>
    <w:tmpl w:val="ED021CD6"/>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2C324261"/>
    <w:multiLevelType w:val="multilevel"/>
    <w:tmpl w:val="A0C8B0A2"/>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F0B7C16"/>
    <w:multiLevelType w:val="multilevel"/>
    <w:tmpl w:val="150CB5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351C9C"/>
    <w:multiLevelType w:val="hybridMultilevel"/>
    <w:tmpl w:val="90B6423C"/>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30864F8A"/>
    <w:multiLevelType w:val="hybridMultilevel"/>
    <w:tmpl w:val="321016D2"/>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1658"/>
        </w:tabs>
        <w:ind w:left="1658" w:hanging="360"/>
      </w:pPr>
    </w:lvl>
    <w:lvl w:ilvl="2" w:tplc="0426001B">
      <w:start w:val="1"/>
      <w:numFmt w:val="lowerRoman"/>
      <w:lvlText w:val="%3."/>
      <w:lvlJc w:val="right"/>
      <w:pPr>
        <w:tabs>
          <w:tab w:val="num" w:pos="2378"/>
        </w:tabs>
        <w:ind w:left="2378" w:hanging="180"/>
      </w:pPr>
    </w:lvl>
    <w:lvl w:ilvl="3" w:tplc="0426000F">
      <w:start w:val="1"/>
      <w:numFmt w:val="decimal"/>
      <w:lvlText w:val="%4."/>
      <w:lvlJc w:val="left"/>
      <w:pPr>
        <w:tabs>
          <w:tab w:val="num" w:pos="3098"/>
        </w:tabs>
        <w:ind w:left="3098" w:hanging="360"/>
      </w:pPr>
    </w:lvl>
    <w:lvl w:ilvl="4" w:tplc="04260019">
      <w:start w:val="1"/>
      <w:numFmt w:val="lowerLetter"/>
      <w:lvlText w:val="%5."/>
      <w:lvlJc w:val="left"/>
      <w:pPr>
        <w:tabs>
          <w:tab w:val="num" w:pos="3818"/>
        </w:tabs>
        <w:ind w:left="3818" w:hanging="360"/>
      </w:pPr>
    </w:lvl>
    <w:lvl w:ilvl="5" w:tplc="0426001B">
      <w:start w:val="1"/>
      <w:numFmt w:val="lowerRoman"/>
      <w:lvlText w:val="%6."/>
      <w:lvlJc w:val="right"/>
      <w:pPr>
        <w:tabs>
          <w:tab w:val="num" w:pos="4538"/>
        </w:tabs>
        <w:ind w:left="4538" w:hanging="180"/>
      </w:pPr>
    </w:lvl>
    <w:lvl w:ilvl="6" w:tplc="0426000F">
      <w:start w:val="1"/>
      <w:numFmt w:val="decimal"/>
      <w:lvlText w:val="%7."/>
      <w:lvlJc w:val="left"/>
      <w:pPr>
        <w:tabs>
          <w:tab w:val="num" w:pos="5258"/>
        </w:tabs>
        <w:ind w:left="5258" w:hanging="360"/>
      </w:pPr>
    </w:lvl>
    <w:lvl w:ilvl="7" w:tplc="04260019">
      <w:start w:val="1"/>
      <w:numFmt w:val="lowerLetter"/>
      <w:lvlText w:val="%8."/>
      <w:lvlJc w:val="left"/>
      <w:pPr>
        <w:tabs>
          <w:tab w:val="num" w:pos="5978"/>
        </w:tabs>
        <w:ind w:left="5978" w:hanging="360"/>
      </w:pPr>
    </w:lvl>
    <w:lvl w:ilvl="8" w:tplc="0426001B">
      <w:start w:val="1"/>
      <w:numFmt w:val="lowerRoman"/>
      <w:lvlText w:val="%9."/>
      <w:lvlJc w:val="right"/>
      <w:pPr>
        <w:tabs>
          <w:tab w:val="num" w:pos="6698"/>
        </w:tabs>
        <w:ind w:left="6698" w:hanging="180"/>
      </w:pPr>
    </w:lvl>
  </w:abstractNum>
  <w:abstractNum w:abstractNumId="26" w15:restartNumberingAfterBreak="0">
    <w:nsid w:val="315F527B"/>
    <w:multiLevelType w:val="hybridMultilevel"/>
    <w:tmpl w:val="D9D2E598"/>
    <w:lvl w:ilvl="0" w:tplc="04260017">
      <w:start w:val="1"/>
      <w:numFmt w:val="lowerLetter"/>
      <w:lvlText w:val="%1)"/>
      <w:lvlJc w:val="left"/>
      <w:pPr>
        <w:ind w:left="1069" w:hanging="360"/>
      </w:p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34E45DAC"/>
    <w:multiLevelType w:val="multilevel"/>
    <w:tmpl w:val="D73CBF1C"/>
    <w:lvl w:ilvl="0">
      <w:start w:val="6"/>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15:restartNumberingAfterBreak="0">
    <w:nsid w:val="34F3797E"/>
    <w:multiLevelType w:val="hybridMultilevel"/>
    <w:tmpl w:val="75D86E36"/>
    <w:lvl w:ilvl="0" w:tplc="04260017">
      <w:start w:val="1"/>
      <w:numFmt w:val="lowerLetter"/>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15:restartNumberingAfterBreak="0">
    <w:nsid w:val="37F57E07"/>
    <w:multiLevelType w:val="hybridMultilevel"/>
    <w:tmpl w:val="E65C13E6"/>
    <w:lvl w:ilvl="0" w:tplc="83BAEFD2">
      <w:start w:val="5"/>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0" w15:restartNumberingAfterBreak="0">
    <w:nsid w:val="3BD80453"/>
    <w:multiLevelType w:val="hybridMultilevel"/>
    <w:tmpl w:val="150017EA"/>
    <w:lvl w:ilvl="0" w:tplc="04260017">
      <w:start w:val="1"/>
      <w:numFmt w:val="lowerLetter"/>
      <w:lvlText w:val="%1)"/>
      <w:lvlJc w:val="left"/>
      <w:pPr>
        <w:ind w:left="1429" w:hanging="360"/>
      </w:pPr>
    </w:lvl>
    <w:lvl w:ilvl="1" w:tplc="04260017">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1" w15:restartNumberingAfterBreak="0">
    <w:nsid w:val="3D727BFF"/>
    <w:multiLevelType w:val="hybridMultilevel"/>
    <w:tmpl w:val="7DBAAF24"/>
    <w:lvl w:ilvl="0" w:tplc="04260017">
      <w:start w:val="1"/>
      <w:numFmt w:val="lowerLetter"/>
      <w:lvlText w:val="%1)"/>
      <w:lvlJc w:val="left"/>
      <w:pPr>
        <w:ind w:left="1429" w:hanging="360"/>
      </w:pPr>
    </w:lvl>
    <w:lvl w:ilvl="1" w:tplc="04260017">
      <w:start w:val="1"/>
      <w:numFmt w:val="lowerLetter"/>
      <w:lvlText w:val="%2)"/>
      <w:lvlJc w:val="left"/>
      <w:pPr>
        <w:ind w:left="2149" w:hanging="360"/>
      </w:pPr>
    </w:lvl>
    <w:lvl w:ilvl="2" w:tplc="72440AD2">
      <w:start w:val="1"/>
      <w:numFmt w:val="decimal"/>
      <w:lvlText w:val="%3."/>
      <w:lvlJc w:val="left"/>
      <w:pPr>
        <w:ind w:left="3049" w:hanging="360"/>
      </w:pPr>
      <w:rPr>
        <w:rFonts w:hint="default"/>
      </w:r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2" w15:restartNumberingAfterBreak="0">
    <w:nsid w:val="477C3172"/>
    <w:multiLevelType w:val="hybridMultilevel"/>
    <w:tmpl w:val="5876F8A8"/>
    <w:lvl w:ilvl="0" w:tplc="04260017">
      <w:start w:val="1"/>
      <w:numFmt w:val="lowerLetter"/>
      <w:lvlText w:val="%1)"/>
      <w:lvlJc w:val="left"/>
      <w:pPr>
        <w:ind w:left="2149" w:hanging="360"/>
      </w:p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33" w15:restartNumberingAfterBreak="0">
    <w:nsid w:val="4B792716"/>
    <w:multiLevelType w:val="hybridMultilevel"/>
    <w:tmpl w:val="DCF0951C"/>
    <w:lvl w:ilvl="0" w:tplc="8AA41C3E">
      <w:start w:val="1"/>
      <w:numFmt w:val="lowerLetter"/>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4B83369A"/>
    <w:multiLevelType w:val="multilevel"/>
    <w:tmpl w:val="19E6E35C"/>
    <w:lvl w:ilvl="0">
      <w:start w:val="1"/>
      <w:numFmt w:val="decimal"/>
      <w:lvlText w:val="%1."/>
      <w:lvlJc w:val="left"/>
      <w:pPr>
        <w:ind w:left="502"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15:restartNumberingAfterBreak="0">
    <w:nsid w:val="4D6C6B13"/>
    <w:multiLevelType w:val="hybridMultilevel"/>
    <w:tmpl w:val="F65858E6"/>
    <w:lvl w:ilvl="0" w:tplc="04260001">
      <w:start w:val="1"/>
      <w:numFmt w:val="bullet"/>
      <w:lvlText w:val=""/>
      <w:lvlJc w:val="left"/>
      <w:pPr>
        <w:ind w:left="2149" w:hanging="360"/>
      </w:pPr>
      <w:rPr>
        <w:rFonts w:ascii="Symbol" w:hAnsi="Symbol" w:hint="default"/>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36" w15:restartNumberingAfterBreak="0">
    <w:nsid w:val="52282071"/>
    <w:multiLevelType w:val="hybridMultilevel"/>
    <w:tmpl w:val="7AAC8BB2"/>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7" w15:restartNumberingAfterBreak="0">
    <w:nsid w:val="525A173D"/>
    <w:multiLevelType w:val="hybridMultilevel"/>
    <w:tmpl w:val="7E2E391E"/>
    <w:lvl w:ilvl="0" w:tplc="8BF2655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4A2107A"/>
    <w:multiLevelType w:val="hybridMultilevel"/>
    <w:tmpl w:val="CF929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888303E"/>
    <w:multiLevelType w:val="multilevel"/>
    <w:tmpl w:val="CC56A904"/>
    <w:lvl w:ilvl="0">
      <w:start w:val="5"/>
      <w:numFmt w:val="decimal"/>
      <w:lvlText w:val="%1."/>
      <w:lvlJc w:val="left"/>
      <w:pPr>
        <w:ind w:left="450" w:hanging="450"/>
      </w:pPr>
      <w:rPr>
        <w:rFonts w:ascii="Times New Roman" w:hAnsi="Times New Roman" w:hint="default"/>
        <w:b/>
        <w:color w:val="000000"/>
      </w:rPr>
    </w:lvl>
    <w:lvl w:ilvl="1">
      <w:start w:val="2"/>
      <w:numFmt w:val="decimal"/>
      <w:lvlText w:val="%1.%2."/>
      <w:lvlJc w:val="left"/>
      <w:pPr>
        <w:ind w:left="1004" w:hanging="720"/>
      </w:pPr>
      <w:rPr>
        <w:rFonts w:ascii="Times New Roman" w:hAnsi="Times New Roman" w:hint="default"/>
        <w:b/>
        <w:color w:val="000000"/>
      </w:rPr>
    </w:lvl>
    <w:lvl w:ilvl="2">
      <w:start w:val="1"/>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1080" w:hanging="108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440" w:hanging="1440"/>
      </w:pPr>
      <w:rPr>
        <w:rFonts w:ascii="Times New Roman" w:hAnsi="Times New Roman" w:hint="default"/>
        <w:b/>
        <w:color w:val="000000"/>
      </w:rPr>
    </w:lvl>
    <w:lvl w:ilvl="6">
      <w:start w:val="1"/>
      <w:numFmt w:val="decimal"/>
      <w:lvlText w:val="%1.%2.%3.%4.%5.%6.%7."/>
      <w:lvlJc w:val="left"/>
      <w:pPr>
        <w:ind w:left="1800" w:hanging="1800"/>
      </w:pPr>
      <w:rPr>
        <w:rFonts w:ascii="Times New Roman" w:hAnsi="Times New Roman" w:hint="default"/>
        <w:b/>
        <w:color w:val="000000"/>
      </w:rPr>
    </w:lvl>
    <w:lvl w:ilvl="7">
      <w:start w:val="1"/>
      <w:numFmt w:val="decimal"/>
      <w:lvlText w:val="%1.%2.%3.%4.%5.%6.%7.%8."/>
      <w:lvlJc w:val="left"/>
      <w:pPr>
        <w:ind w:left="1800" w:hanging="1800"/>
      </w:pPr>
      <w:rPr>
        <w:rFonts w:ascii="Times New Roman" w:hAnsi="Times New Roman" w:hint="default"/>
        <w:b/>
        <w:color w:val="000000"/>
      </w:rPr>
    </w:lvl>
    <w:lvl w:ilvl="8">
      <w:start w:val="1"/>
      <w:numFmt w:val="decimal"/>
      <w:lvlText w:val="%1.%2.%3.%4.%5.%6.%7.%8.%9."/>
      <w:lvlJc w:val="left"/>
      <w:pPr>
        <w:ind w:left="2160" w:hanging="2160"/>
      </w:pPr>
      <w:rPr>
        <w:rFonts w:ascii="Times New Roman" w:hAnsi="Times New Roman" w:hint="default"/>
        <w:b/>
        <w:color w:val="000000"/>
      </w:rPr>
    </w:lvl>
  </w:abstractNum>
  <w:abstractNum w:abstractNumId="40" w15:restartNumberingAfterBreak="0">
    <w:nsid w:val="59A43862"/>
    <w:multiLevelType w:val="hybridMultilevel"/>
    <w:tmpl w:val="6FC415A2"/>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1" w15:restartNumberingAfterBreak="0">
    <w:nsid w:val="5CBB4BDF"/>
    <w:multiLevelType w:val="hybridMultilevel"/>
    <w:tmpl w:val="BCD02E14"/>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2" w15:restartNumberingAfterBreak="0">
    <w:nsid w:val="5D892130"/>
    <w:multiLevelType w:val="hybridMultilevel"/>
    <w:tmpl w:val="DC040244"/>
    <w:lvl w:ilvl="0" w:tplc="22DA6CE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3F62609"/>
    <w:multiLevelType w:val="multilevel"/>
    <w:tmpl w:val="CF50D4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6F93D83"/>
    <w:multiLevelType w:val="hybridMultilevel"/>
    <w:tmpl w:val="B7D877BC"/>
    <w:lvl w:ilvl="0" w:tplc="B9766B3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C9F6802"/>
    <w:multiLevelType w:val="hybridMultilevel"/>
    <w:tmpl w:val="06261A92"/>
    <w:lvl w:ilvl="0" w:tplc="04260017">
      <w:start w:val="1"/>
      <w:numFmt w:val="lowerLetter"/>
      <w:lvlText w:val="%1)"/>
      <w:lvlJc w:val="left"/>
      <w:pPr>
        <w:ind w:left="720" w:hanging="360"/>
      </w:pPr>
    </w:lvl>
    <w:lvl w:ilvl="1" w:tplc="ADD8B93E">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D436A31"/>
    <w:multiLevelType w:val="hybridMultilevel"/>
    <w:tmpl w:val="684A35F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15:restartNumberingAfterBreak="0">
    <w:nsid w:val="72E63F6F"/>
    <w:multiLevelType w:val="hybridMultilevel"/>
    <w:tmpl w:val="E56CFD72"/>
    <w:lvl w:ilvl="0" w:tplc="04260017">
      <w:start w:val="1"/>
      <w:numFmt w:val="lowerLetter"/>
      <w:lvlText w:val="%1)"/>
      <w:lvlJc w:val="left"/>
      <w:pPr>
        <w:ind w:left="720" w:hanging="360"/>
      </w:pPr>
    </w:lvl>
    <w:lvl w:ilvl="1" w:tplc="BE845B8E">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34C0C95"/>
    <w:multiLevelType w:val="hybridMultilevel"/>
    <w:tmpl w:val="87E27184"/>
    <w:lvl w:ilvl="0" w:tplc="04260017">
      <w:start w:val="1"/>
      <w:numFmt w:val="lowerLetter"/>
      <w:lvlText w:val="%1)"/>
      <w:lvlJc w:val="left"/>
      <w:pPr>
        <w:ind w:left="1429" w:hanging="360"/>
      </w:pPr>
    </w:lvl>
    <w:lvl w:ilvl="1" w:tplc="52CE3816">
      <w:numFmt w:val="bullet"/>
      <w:lvlText w:val="-"/>
      <w:lvlJc w:val="left"/>
      <w:pPr>
        <w:ind w:left="2149" w:hanging="360"/>
      </w:pPr>
      <w:rPr>
        <w:rFonts w:ascii="Times New Roman" w:eastAsiaTheme="minorHAnsi" w:hAnsi="Times New Roman" w:cs="Times New Roman"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9" w15:restartNumberingAfterBreak="0">
    <w:nsid w:val="74081BEF"/>
    <w:multiLevelType w:val="hybridMultilevel"/>
    <w:tmpl w:val="73002C8A"/>
    <w:lvl w:ilvl="0" w:tplc="820A179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0" w15:restartNumberingAfterBreak="0">
    <w:nsid w:val="751D22DA"/>
    <w:multiLevelType w:val="multilevel"/>
    <w:tmpl w:val="150CB5F6"/>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58F3E44"/>
    <w:multiLevelType w:val="hybridMultilevel"/>
    <w:tmpl w:val="D2801732"/>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2" w15:restartNumberingAfterBreak="0">
    <w:nsid w:val="79DF428E"/>
    <w:multiLevelType w:val="hybridMultilevel"/>
    <w:tmpl w:val="4E2E9DD6"/>
    <w:lvl w:ilvl="0" w:tplc="0426000F">
      <w:start w:val="4"/>
      <w:numFmt w:val="decimal"/>
      <w:lvlText w:val="%1."/>
      <w:lvlJc w:val="left"/>
      <w:pPr>
        <w:ind w:left="815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B9268AB"/>
    <w:multiLevelType w:val="hybridMultilevel"/>
    <w:tmpl w:val="C504B0E0"/>
    <w:lvl w:ilvl="0" w:tplc="0BF89B06">
      <w:numFmt w:val="bullet"/>
      <w:lvlText w:val="-"/>
      <w:lvlJc w:val="left"/>
      <w:pPr>
        <w:ind w:left="1624" w:hanging="915"/>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4" w15:restartNumberingAfterBreak="0">
    <w:nsid w:val="7CBD3BF9"/>
    <w:multiLevelType w:val="hybridMultilevel"/>
    <w:tmpl w:val="F07EB86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F343F4E"/>
    <w:multiLevelType w:val="hybridMultilevel"/>
    <w:tmpl w:val="CAE2E62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4"/>
  </w:num>
  <w:num w:numId="3">
    <w:abstractNumId w:val="43"/>
  </w:num>
  <w:num w:numId="4">
    <w:abstractNumId w:val="23"/>
  </w:num>
  <w:num w:numId="5">
    <w:abstractNumId w:val="50"/>
  </w:num>
  <w:num w:numId="6">
    <w:abstractNumId w:val="1"/>
  </w:num>
  <w:num w:numId="7">
    <w:abstractNumId w:val="38"/>
  </w:num>
  <w:num w:numId="8">
    <w:abstractNumId w:val="52"/>
  </w:num>
  <w:num w:numId="9">
    <w:abstractNumId w:val="29"/>
  </w:num>
  <w:num w:numId="10">
    <w:abstractNumId w:val="44"/>
  </w:num>
  <w:num w:numId="11">
    <w:abstractNumId w:val="4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3"/>
  </w:num>
  <w:num w:numId="16">
    <w:abstractNumId w:val="27"/>
  </w:num>
  <w:num w:numId="17">
    <w:abstractNumId w:val="22"/>
  </w:num>
  <w:num w:numId="18">
    <w:abstractNumId w:val="10"/>
  </w:num>
  <w:num w:numId="19">
    <w:abstractNumId w:val="39"/>
  </w:num>
  <w:num w:numId="20">
    <w:abstractNumId w:val="25"/>
  </w:num>
  <w:num w:numId="21">
    <w:abstractNumId w:val="40"/>
  </w:num>
  <w:num w:numId="22">
    <w:abstractNumId w:val="7"/>
  </w:num>
  <w:num w:numId="23">
    <w:abstractNumId w:val="36"/>
  </w:num>
  <w:num w:numId="24">
    <w:abstractNumId w:val="5"/>
  </w:num>
  <w:num w:numId="25">
    <w:abstractNumId w:val="55"/>
  </w:num>
  <w:num w:numId="26">
    <w:abstractNumId w:val="37"/>
  </w:num>
  <w:num w:numId="27">
    <w:abstractNumId w:val="51"/>
  </w:num>
  <w:num w:numId="28">
    <w:abstractNumId w:val="53"/>
  </w:num>
  <w:num w:numId="29">
    <w:abstractNumId w:val="48"/>
  </w:num>
  <w:num w:numId="30">
    <w:abstractNumId w:val="16"/>
  </w:num>
  <w:num w:numId="31">
    <w:abstractNumId w:val="41"/>
  </w:num>
  <w:num w:numId="32">
    <w:abstractNumId w:val="6"/>
  </w:num>
  <w:num w:numId="33">
    <w:abstractNumId w:val="12"/>
  </w:num>
  <w:num w:numId="34">
    <w:abstractNumId w:val="45"/>
  </w:num>
  <w:num w:numId="35">
    <w:abstractNumId w:val="54"/>
  </w:num>
  <w:num w:numId="36">
    <w:abstractNumId w:val="47"/>
  </w:num>
  <w:num w:numId="37">
    <w:abstractNumId w:val="19"/>
  </w:num>
  <w:num w:numId="38">
    <w:abstractNumId w:val="11"/>
  </w:num>
  <w:num w:numId="39">
    <w:abstractNumId w:val="46"/>
  </w:num>
  <w:num w:numId="40">
    <w:abstractNumId w:val="20"/>
  </w:num>
  <w:num w:numId="41">
    <w:abstractNumId w:val="13"/>
  </w:num>
  <w:num w:numId="42">
    <w:abstractNumId w:val="26"/>
  </w:num>
  <w:num w:numId="43">
    <w:abstractNumId w:val="33"/>
  </w:num>
  <w:num w:numId="44">
    <w:abstractNumId w:val="28"/>
  </w:num>
  <w:num w:numId="45">
    <w:abstractNumId w:val="32"/>
  </w:num>
  <w:num w:numId="46">
    <w:abstractNumId w:val="35"/>
  </w:num>
  <w:num w:numId="47">
    <w:abstractNumId w:val="21"/>
  </w:num>
  <w:num w:numId="48">
    <w:abstractNumId w:val="24"/>
  </w:num>
  <w:num w:numId="49">
    <w:abstractNumId w:val="2"/>
  </w:num>
  <w:num w:numId="50">
    <w:abstractNumId w:val="31"/>
  </w:num>
  <w:num w:numId="51">
    <w:abstractNumId w:val="15"/>
  </w:num>
  <w:num w:numId="52">
    <w:abstractNumId w:val="30"/>
  </w:num>
  <w:num w:numId="53">
    <w:abstractNumId w:val="4"/>
  </w:num>
  <w:num w:numId="54">
    <w:abstractNumId w:val="14"/>
  </w:num>
  <w:num w:numId="55">
    <w:abstractNumId w:val="17"/>
  </w:num>
  <w:num w:numId="56">
    <w:abstractNumId w:val="42"/>
  </w:num>
  <w:num w:numId="57">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B6"/>
    <w:rsid w:val="000008D4"/>
    <w:rsid w:val="00000AA8"/>
    <w:rsid w:val="00000D3A"/>
    <w:rsid w:val="0000254A"/>
    <w:rsid w:val="00003578"/>
    <w:rsid w:val="0000364E"/>
    <w:rsid w:val="00003EFE"/>
    <w:rsid w:val="000048CD"/>
    <w:rsid w:val="00006CD1"/>
    <w:rsid w:val="00006DDF"/>
    <w:rsid w:val="00010538"/>
    <w:rsid w:val="00010C43"/>
    <w:rsid w:val="0001101B"/>
    <w:rsid w:val="000129E2"/>
    <w:rsid w:val="00012DAF"/>
    <w:rsid w:val="00012DD1"/>
    <w:rsid w:val="00012EC2"/>
    <w:rsid w:val="000132CB"/>
    <w:rsid w:val="00013BBA"/>
    <w:rsid w:val="00014360"/>
    <w:rsid w:val="00014567"/>
    <w:rsid w:val="000173B3"/>
    <w:rsid w:val="00017692"/>
    <w:rsid w:val="00017A26"/>
    <w:rsid w:val="00020063"/>
    <w:rsid w:val="00021E5B"/>
    <w:rsid w:val="000238BF"/>
    <w:rsid w:val="00023C1C"/>
    <w:rsid w:val="00024150"/>
    <w:rsid w:val="00024260"/>
    <w:rsid w:val="000244FC"/>
    <w:rsid w:val="0002505E"/>
    <w:rsid w:val="00025582"/>
    <w:rsid w:val="00025CA1"/>
    <w:rsid w:val="00025CF8"/>
    <w:rsid w:val="00025FA4"/>
    <w:rsid w:val="000265D9"/>
    <w:rsid w:val="000266A4"/>
    <w:rsid w:val="00027035"/>
    <w:rsid w:val="000277D9"/>
    <w:rsid w:val="000278E4"/>
    <w:rsid w:val="000300FD"/>
    <w:rsid w:val="00030B87"/>
    <w:rsid w:val="0003351A"/>
    <w:rsid w:val="0003361A"/>
    <w:rsid w:val="00033BAD"/>
    <w:rsid w:val="00033F93"/>
    <w:rsid w:val="0003401B"/>
    <w:rsid w:val="000340DD"/>
    <w:rsid w:val="000351F6"/>
    <w:rsid w:val="00037A7B"/>
    <w:rsid w:val="0004018C"/>
    <w:rsid w:val="0004063B"/>
    <w:rsid w:val="000410D8"/>
    <w:rsid w:val="00042625"/>
    <w:rsid w:val="0004267A"/>
    <w:rsid w:val="00042786"/>
    <w:rsid w:val="00042DC4"/>
    <w:rsid w:val="00044835"/>
    <w:rsid w:val="00044FD8"/>
    <w:rsid w:val="00045867"/>
    <w:rsid w:val="0004693E"/>
    <w:rsid w:val="00046E89"/>
    <w:rsid w:val="00047294"/>
    <w:rsid w:val="000479F3"/>
    <w:rsid w:val="00051280"/>
    <w:rsid w:val="0005187D"/>
    <w:rsid w:val="00052749"/>
    <w:rsid w:val="00053686"/>
    <w:rsid w:val="000540BF"/>
    <w:rsid w:val="0005507C"/>
    <w:rsid w:val="00057581"/>
    <w:rsid w:val="00060512"/>
    <w:rsid w:val="000614C5"/>
    <w:rsid w:val="0006192D"/>
    <w:rsid w:val="0006193B"/>
    <w:rsid w:val="0006209F"/>
    <w:rsid w:val="00063093"/>
    <w:rsid w:val="000631FE"/>
    <w:rsid w:val="000634AE"/>
    <w:rsid w:val="00064CFA"/>
    <w:rsid w:val="0006549B"/>
    <w:rsid w:val="0006603A"/>
    <w:rsid w:val="00070FAE"/>
    <w:rsid w:val="000724DB"/>
    <w:rsid w:val="000731E7"/>
    <w:rsid w:val="00073F5C"/>
    <w:rsid w:val="00074ABE"/>
    <w:rsid w:val="000757C1"/>
    <w:rsid w:val="00075C7D"/>
    <w:rsid w:val="00075CDF"/>
    <w:rsid w:val="00077E5B"/>
    <w:rsid w:val="000803B4"/>
    <w:rsid w:val="000807A0"/>
    <w:rsid w:val="00080F26"/>
    <w:rsid w:val="0008167D"/>
    <w:rsid w:val="00082901"/>
    <w:rsid w:val="00082BBC"/>
    <w:rsid w:val="00084A2D"/>
    <w:rsid w:val="00085C41"/>
    <w:rsid w:val="000878E3"/>
    <w:rsid w:val="00091C17"/>
    <w:rsid w:val="000921F4"/>
    <w:rsid w:val="0009249F"/>
    <w:rsid w:val="00092CF9"/>
    <w:rsid w:val="00092FDB"/>
    <w:rsid w:val="00095426"/>
    <w:rsid w:val="00096CD6"/>
    <w:rsid w:val="000A003F"/>
    <w:rsid w:val="000A0D2B"/>
    <w:rsid w:val="000A1B07"/>
    <w:rsid w:val="000A29E5"/>
    <w:rsid w:val="000A2BAC"/>
    <w:rsid w:val="000A32CE"/>
    <w:rsid w:val="000A33D6"/>
    <w:rsid w:val="000A354B"/>
    <w:rsid w:val="000A397D"/>
    <w:rsid w:val="000A4514"/>
    <w:rsid w:val="000A4CAC"/>
    <w:rsid w:val="000A4D97"/>
    <w:rsid w:val="000A5393"/>
    <w:rsid w:val="000A5851"/>
    <w:rsid w:val="000A5906"/>
    <w:rsid w:val="000A5A53"/>
    <w:rsid w:val="000A6703"/>
    <w:rsid w:val="000A7784"/>
    <w:rsid w:val="000A7AAF"/>
    <w:rsid w:val="000A7B07"/>
    <w:rsid w:val="000B1ADB"/>
    <w:rsid w:val="000B207E"/>
    <w:rsid w:val="000B22A6"/>
    <w:rsid w:val="000B2681"/>
    <w:rsid w:val="000B29BF"/>
    <w:rsid w:val="000B30FD"/>
    <w:rsid w:val="000B38AC"/>
    <w:rsid w:val="000B3B27"/>
    <w:rsid w:val="000B3B4C"/>
    <w:rsid w:val="000B3C2A"/>
    <w:rsid w:val="000B43ED"/>
    <w:rsid w:val="000B473B"/>
    <w:rsid w:val="000B5BBE"/>
    <w:rsid w:val="000B5D15"/>
    <w:rsid w:val="000B5F08"/>
    <w:rsid w:val="000B6557"/>
    <w:rsid w:val="000B79F1"/>
    <w:rsid w:val="000C0484"/>
    <w:rsid w:val="000C19AE"/>
    <w:rsid w:val="000C2BDE"/>
    <w:rsid w:val="000C31FD"/>
    <w:rsid w:val="000C3A9F"/>
    <w:rsid w:val="000C496F"/>
    <w:rsid w:val="000C4CE9"/>
    <w:rsid w:val="000C576A"/>
    <w:rsid w:val="000C6087"/>
    <w:rsid w:val="000C6830"/>
    <w:rsid w:val="000C6A43"/>
    <w:rsid w:val="000C76C6"/>
    <w:rsid w:val="000C7E50"/>
    <w:rsid w:val="000D03BA"/>
    <w:rsid w:val="000D0C11"/>
    <w:rsid w:val="000D0FDB"/>
    <w:rsid w:val="000D1091"/>
    <w:rsid w:val="000D148D"/>
    <w:rsid w:val="000D22FF"/>
    <w:rsid w:val="000D284E"/>
    <w:rsid w:val="000D2DCE"/>
    <w:rsid w:val="000D42D1"/>
    <w:rsid w:val="000D47E8"/>
    <w:rsid w:val="000D4ABC"/>
    <w:rsid w:val="000D5000"/>
    <w:rsid w:val="000D510E"/>
    <w:rsid w:val="000D5137"/>
    <w:rsid w:val="000D53A9"/>
    <w:rsid w:val="000D5480"/>
    <w:rsid w:val="000D55E7"/>
    <w:rsid w:val="000D5945"/>
    <w:rsid w:val="000D6D7B"/>
    <w:rsid w:val="000E32EC"/>
    <w:rsid w:val="000E3838"/>
    <w:rsid w:val="000E3CFA"/>
    <w:rsid w:val="000E3D06"/>
    <w:rsid w:val="000E4738"/>
    <w:rsid w:val="000E4AAA"/>
    <w:rsid w:val="000E5DCB"/>
    <w:rsid w:val="000E6163"/>
    <w:rsid w:val="000E61CF"/>
    <w:rsid w:val="000E6C60"/>
    <w:rsid w:val="000E7A5D"/>
    <w:rsid w:val="000E7CDC"/>
    <w:rsid w:val="000F01A7"/>
    <w:rsid w:val="000F0551"/>
    <w:rsid w:val="000F076E"/>
    <w:rsid w:val="000F093E"/>
    <w:rsid w:val="000F0FBE"/>
    <w:rsid w:val="000F1058"/>
    <w:rsid w:val="000F18CB"/>
    <w:rsid w:val="000F1B1A"/>
    <w:rsid w:val="000F20E9"/>
    <w:rsid w:val="000F38C0"/>
    <w:rsid w:val="000F44BD"/>
    <w:rsid w:val="000F49E3"/>
    <w:rsid w:val="000F49F9"/>
    <w:rsid w:val="000F4E1A"/>
    <w:rsid w:val="000F4F09"/>
    <w:rsid w:val="000F6ED5"/>
    <w:rsid w:val="000F755D"/>
    <w:rsid w:val="000F7793"/>
    <w:rsid w:val="000F797A"/>
    <w:rsid w:val="0010013A"/>
    <w:rsid w:val="00100725"/>
    <w:rsid w:val="00101221"/>
    <w:rsid w:val="00101E80"/>
    <w:rsid w:val="001034D7"/>
    <w:rsid w:val="001044AB"/>
    <w:rsid w:val="0010493E"/>
    <w:rsid w:val="00104A01"/>
    <w:rsid w:val="00104B50"/>
    <w:rsid w:val="0010647F"/>
    <w:rsid w:val="00106AE6"/>
    <w:rsid w:val="001075E6"/>
    <w:rsid w:val="00107BD3"/>
    <w:rsid w:val="00110087"/>
    <w:rsid w:val="00110615"/>
    <w:rsid w:val="001119C5"/>
    <w:rsid w:val="00111DE0"/>
    <w:rsid w:val="00112B14"/>
    <w:rsid w:val="00112D06"/>
    <w:rsid w:val="00113ED1"/>
    <w:rsid w:val="00114FAE"/>
    <w:rsid w:val="0011526E"/>
    <w:rsid w:val="00115C55"/>
    <w:rsid w:val="001173BF"/>
    <w:rsid w:val="001210ED"/>
    <w:rsid w:val="001212E4"/>
    <w:rsid w:val="00121A21"/>
    <w:rsid w:val="00122C0E"/>
    <w:rsid w:val="0012313B"/>
    <w:rsid w:val="00123AAC"/>
    <w:rsid w:val="0012697D"/>
    <w:rsid w:val="0012731F"/>
    <w:rsid w:val="00127A19"/>
    <w:rsid w:val="0013065A"/>
    <w:rsid w:val="001306CD"/>
    <w:rsid w:val="00130DC0"/>
    <w:rsid w:val="00132607"/>
    <w:rsid w:val="00132D18"/>
    <w:rsid w:val="001331C9"/>
    <w:rsid w:val="00134246"/>
    <w:rsid w:val="0013436D"/>
    <w:rsid w:val="00134647"/>
    <w:rsid w:val="00135167"/>
    <w:rsid w:val="001405F1"/>
    <w:rsid w:val="001407E5"/>
    <w:rsid w:val="00140D1A"/>
    <w:rsid w:val="00140D96"/>
    <w:rsid w:val="00141844"/>
    <w:rsid w:val="001419ED"/>
    <w:rsid w:val="00141A95"/>
    <w:rsid w:val="0014203E"/>
    <w:rsid w:val="001423D0"/>
    <w:rsid w:val="001425CF"/>
    <w:rsid w:val="001436A7"/>
    <w:rsid w:val="0014527F"/>
    <w:rsid w:val="00145510"/>
    <w:rsid w:val="00145F8B"/>
    <w:rsid w:val="0014664E"/>
    <w:rsid w:val="0014737D"/>
    <w:rsid w:val="001503FB"/>
    <w:rsid w:val="00150819"/>
    <w:rsid w:val="00150887"/>
    <w:rsid w:val="001516C4"/>
    <w:rsid w:val="0015397D"/>
    <w:rsid w:val="00153F24"/>
    <w:rsid w:val="00153F38"/>
    <w:rsid w:val="00154F8A"/>
    <w:rsid w:val="00155841"/>
    <w:rsid w:val="001564B0"/>
    <w:rsid w:val="00156FB4"/>
    <w:rsid w:val="00161213"/>
    <w:rsid w:val="00161B70"/>
    <w:rsid w:val="00163190"/>
    <w:rsid w:val="001634AC"/>
    <w:rsid w:val="001636D2"/>
    <w:rsid w:val="001636DC"/>
    <w:rsid w:val="00163A0B"/>
    <w:rsid w:val="00163DAB"/>
    <w:rsid w:val="00163E80"/>
    <w:rsid w:val="001652E0"/>
    <w:rsid w:val="001669A4"/>
    <w:rsid w:val="00166EB5"/>
    <w:rsid w:val="00167622"/>
    <w:rsid w:val="00167DBA"/>
    <w:rsid w:val="00170945"/>
    <w:rsid w:val="00171F61"/>
    <w:rsid w:val="0017217A"/>
    <w:rsid w:val="0017284F"/>
    <w:rsid w:val="00172C9F"/>
    <w:rsid w:val="00172CAF"/>
    <w:rsid w:val="00174EA2"/>
    <w:rsid w:val="00177049"/>
    <w:rsid w:val="00177178"/>
    <w:rsid w:val="001774D0"/>
    <w:rsid w:val="001777D3"/>
    <w:rsid w:val="00177B6B"/>
    <w:rsid w:val="00181CDA"/>
    <w:rsid w:val="00181DD6"/>
    <w:rsid w:val="001837B0"/>
    <w:rsid w:val="00185263"/>
    <w:rsid w:val="0018647E"/>
    <w:rsid w:val="00186C00"/>
    <w:rsid w:val="001878BA"/>
    <w:rsid w:val="0019092D"/>
    <w:rsid w:val="00190AB1"/>
    <w:rsid w:val="00190BDC"/>
    <w:rsid w:val="00190C10"/>
    <w:rsid w:val="00190FFF"/>
    <w:rsid w:val="001922E9"/>
    <w:rsid w:val="001934E1"/>
    <w:rsid w:val="001946A2"/>
    <w:rsid w:val="001948BE"/>
    <w:rsid w:val="00195ACE"/>
    <w:rsid w:val="00196FC8"/>
    <w:rsid w:val="001973A1"/>
    <w:rsid w:val="00197875"/>
    <w:rsid w:val="00197C26"/>
    <w:rsid w:val="001A0B2E"/>
    <w:rsid w:val="001A0C61"/>
    <w:rsid w:val="001A0D00"/>
    <w:rsid w:val="001A1473"/>
    <w:rsid w:val="001A1766"/>
    <w:rsid w:val="001A1A42"/>
    <w:rsid w:val="001A2905"/>
    <w:rsid w:val="001A3D37"/>
    <w:rsid w:val="001A4FDF"/>
    <w:rsid w:val="001A5012"/>
    <w:rsid w:val="001A5E4F"/>
    <w:rsid w:val="001A6522"/>
    <w:rsid w:val="001A6BAE"/>
    <w:rsid w:val="001A6F91"/>
    <w:rsid w:val="001A71BC"/>
    <w:rsid w:val="001B07D0"/>
    <w:rsid w:val="001B1593"/>
    <w:rsid w:val="001B27DB"/>
    <w:rsid w:val="001B290D"/>
    <w:rsid w:val="001B298F"/>
    <w:rsid w:val="001B3A91"/>
    <w:rsid w:val="001B42BD"/>
    <w:rsid w:val="001B4D0B"/>
    <w:rsid w:val="001B59B7"/>
    <w:rsid w:val="001B5F46"/>
    <w:rsid w:val="001C07BD"/>
    <w:rsid w:val="001C0B43"/>
    <w:rsid w:val="001C1150"/>
    <w:rsid w:val="001C37B7"/>
    <w:rsid w:val="001C3867"/>
    <w:rsid w:val="001C4009"/>
    <w:rsid w:val="001C5E16"/>
    <w:rsid w:val="001C6892"/>
    <w:rsid w:val="001C71C7"/>
    <w:rsid w:val="001C72D2"/>
    <w:rsid w:val="001C7315"/>
    <w:rsid w:val="001C7B40"/>
    <w:rsid w:val="001C7FF4"/>
    <w:rsid w:val="001D0300"/>
    <w:rsid w:val="001D0308"/>
    <w:rsid w:val="001D06BF"/>
    <w:rsid w:val="001D1C7B"/>
    <w:rsid w:val="001D25C3"/>
    <w:rsid w:val="001D2F06"/>
    <w:rsid w:val="001D3139"/>
    <w:rsid w:val="001D3963"/>
    <w:rsid w:val="001D3BB9"/>
    <w:rsid w:val="001D4AC2"/>
    <w:rsid w:val="001D60A0"/>
    <w:rsid w:val="001D7FF9"/>
    <w:rsid w:val="001E01BE"/>
    <w:rsid w:val="001E03C3"/>
    <w:rsid w:val="001E0654"/>
    <w:rsid w:val="001E0899"/>
    <w:rsid w:val="001E0E2E"/>
    <w:rsid w:val="001E0FEC"/>
    <w:rsid w:val="001E139E"/>
    <w:rsid w:val="001E1974"/>
    <w:rsid w:val="001E2551"/>
    <w:rsid w:val="001E2557"/>
    <w:rsid w:val="001E355E"/>
    <w:rsid w:val="001E492E"/>
    <w:rsid w:val="001E555F"/>
    <w:rsid w:val="001E55CD"/>
    <w:rsid w:val="001E6021"/>
    <w:rsid w:val="001E6392"/>
    <w:rsid w:val="001E6D18"/>
    <w:rsid w:val="001E795E"/>
    <w:rsid w:val="001E79A1"/>
    <w:rsid w:val="001E7CDC"/>
    <w:rsid w:val="001E7F85"/>
    <w:rsid w:val="001F0645"/>
    <w:rsid w:val="001F1411"/>
    <w:rsid w:val="001F1EDA"/>
    <w:rsid w:val="001F2048"/>
    <w:rsid w:val="001F20F3"/>
    <w:rsid w:val="001F56AE"/>
    <w:rsid w:val="001F58A1"/>
    <w:rsid w:val="001F59E2"/>
    <w:rsid w:val="001F5D54"/>
    <w:rsid w:val="001F7031"/>
    <w:rsid w:val="00200D69"/>
    <w:rsid w:val="00201AAC"/>
    <w:rsid w:val="00202802"/>
    <w:rsid w:val="00202A0A"/>
    <w:rsid w:val="00202A40"/>
    <w:rsid w:val="002049AD"/>
    <w:rsid w:val="002049B5"/>
    <w:rsid w:val="0020696E"/>
    <w:rsid w:val="00207C0E"/>
    <w:rsid w:val="00207F5C"/>
    <w:rsid w:val="00210F7A"/>
    <w:rsid w:val="0021102D"/>
    <w:rsid w:val="00211C58"/>
    <w:rsid w:val="0021286F"/>
    <w:rsid w:val="00212887"/>
    <w:rsid w:val="00212F2E"/>
    <w:rsid w:val="00213455"/>
    <w:rsid w:val="0021420F"/>
    <w:rsid w:val="002149F5"/>
    <w:rsid w:val="00214DC6"/>
    <w:rsid w:val="00215165"/>
    <w:rsid w:val="00215859"/>
    <w:rsid w:val="00215FF2"/>
    <w:rsid w:val="00217575"/>
    <w:rsid w:val="00217925"/>
    <w:rsid w:val="00217DD4"/>
    <w:rsid w:val="00220306"/>
    <w:rsid w:val="002204DB"/>
    <w:rsid w:val="00220914"/>
    <w:rsid w:val="00221693"/>
    <w:rsid w:val="002226D9"/>
    <w:rsid w:val="002229A9"/>
    <w:rsid w:val="002229AD"/>
    <w:rsid w:val="00222A1F"/>
    <w:rsid w:val="0022303F"/>
    <w:rsid w:val="002233D7"/>
    <w:rsid w:val="00223996"/>
    <w:rsid w:val="00224282"/>
    <w:rsid w:val="00224334"/>
    <w:rsid w:val="00225247"/>
    <w:rsid w:val="0022639B"/>
    <w:rsid w:val="002264AB"/>
    <w:rsid w:val="00230BD1"/>
    <w:rsid w:val="002330CF"/>
    <w:rsid w:val="00234EDB"/>
    <w:rsid w:val="00235A9F"/>
    <w:rsid w:val="00235AA3"/>
    <w:rsid w:val="00235FE0"/>
    <w:rsid w:val="00236C0F"/>
    <w:rsid w:val="00237216"/>
    <w:rsid w:val="00240872"/>
    <w:rsid w:val="002411D7"/>
    <w:rsid w:val="00241242"/>
    <w:rsid w:val="002413B8"/>
    <w:rsid w:val="00241A5E"/>
    <w:rsid w:val="002426AC"/>
    <w:rsid w:val="0024286D"/>
    <w:rsid w:val="00242B5D"/>
    <w:rsid w:val="00242CBB"/>
    <w:rsid w:val="002439C9"/>
    <w:rsid w:val="00244370"/>
    <w:rsid w:val="002454F2"/>
    <w:rsid w:val="002464D6"/>
    <w:rsid w:val="002474EE"/>
    <w:rsid w:val="0024790C"/>
    <w:rsid w:val="00250B3F"/>
    <w:rsid w:val="00250CF8"/>
    <w:rsid w:val="0025107A"/>
    <w:rsid w:val="00251B54"/>
    <w:rsid w:val="0025250A"/>
    <w:rsid w:val="00252D9F"/>
    <w:rsid w:val="00254A8C"/>
    <w:rsid w:val="00255598"/>
    <w:rsid w:val="002573D1"/>
    <w:rsid w:val="002578B8"/>
    <w:rsid w:val="00260597"/>
    <w:rsid w:val="00260CE4"/>
    <w:rsid w:val="00261C45"/>
    <w:rsid w:val="002621DF"/>
    <w:rsid w:val="00262269"/>
    <w:rsid w:val="002626E6"/>
    <w:rsid w:val="00262B85"/>
    <w:rsid w:val="00262FB2"/>
    <w:rsid w:val="00265453"/>
    <w:rsid w:val="00265B63"/>
    <w:rsid w:val="00265D7E"/>
    <w:rsid w:val="002664AC"/>
    <w:rsid w:val="002664CE"/>
    <w:rsid w:val="00267417"/>
    <w:rsid w:val="00270B08"/>
    <w:rsid w:val="00270E55"/>
    <w:rsid w:val="0027163A"/>
    <w:rsid w:val="002720DE"/>
    <w:rsid w:val="002735F5"/>
    <w:rsid w:val="002744EA"/>
    <w:rsid w:val="0027460D"/>
    <w:rsid w:val="002763AF"/>
    <w:rsid w:val="00280B6C"/>
    <w:rsid w:val="00280D35"/>
    <w:rsid w:val="00281686"/>
    <w:rsid w:val="00281B3F"/>
    <w:rsid w:val="00282667"/>
    <w:rsid w:val="00282B8C"/>
    <w:rsid w:val="00283294"/>
    <w:rsid w:val="002837CE"/>
    <w:rsid w:val="00283A9D"/>
    <w:rsid w:val="00283CD8"/>
    <w:rsid w:val="00284480"/>
    <w:rsid w:val="002844B3"/>
    <w:rsid w:val="00284593"/>
    <w:rsid w:val="0028566B"/>
    <w:rsid w:val="0028683C"/>
    <w:rsid w:val="00286F36"/>
    <w:rsid w:val="00286FC8"/>
    <w:rsid w:val="00287289"/>
    <w:rsid w:val="002873B7"/>
    <w:rsid w:val="002905AC"/>
    <w:rsid w:val="0029065E"/>
    <w:rsid w:val="00291912"/>
    <w:rsid w:val="00291A8F"/>
    <w:rsid w:val="00292267"/>
    <w:rsid w:val="00294037"/>
    <w:rsid w:val="00294060"/>
    <w:rsid w:val="002951C0"/>
    <w:rsid w:val="0029543E"/>
    <w:rsid w:val="00295AAC"/>
    <w:rsid w:val="00295C64"/>
    <w:rsid w:val="00296787"/>
    <w:rsid w:val="00297879"/>
    <w:rsid w:val="00297B8A"/>
    <w:rsid w:val="00297BBE"/>
    <w:rsid w:val="00297D59"/>
    <w:rsid w:val="002A0AFC"/>
    <w:rsid w:val="002A12EA"/>
    <w:rsid w:val="002A1599"/>
    <w:rsid w:val="002A1902"/>
    <w:rsid w:val="002A209C"/>
    <w:rsid w:val="002A20CE"/>
    <w:rsid w:val="002A2429"/>
    <w:rsid w:val="002A2525"/>
    <w:rsid w:val="002A345C"/>
    <w:rsid w:val="002A3D4B"/>
    <w:rsid w:val="002A3DD8"/>
    <w:rsid w:val="002A473C"/>
    <w:rsid w:val="002A4F27"/>
    <w:rsid w:val="002A6D6B"/>
    <w:rsid w:val="002A7556"/>
    <w:rsid w:val="002A7A58"/>
    <w:rsid w:val="002A7B11"/>
    <w:rsid w:val="002B01EB"/>
    <w:rsid w:val="002B0FE8"/>
    <w:rsid w:val="002B1BC6"/>
    <w:rsid w:val="002B21F7"/>
    <w:rsid w:val="002B24FA"/>
    <w:rsid w:val="002B35B9"/>
    <w:rsid w:val="002B3F33"/>
    <w:rsid w:val="002B4343"/>
    <w:rsid w:val="002B4DC1"/>
    <w:rsid w:val="002B57D1"/>
    <w:rsid w:val="002B5C36"/>
    <w:rsid w:val="002B749D"/>
    <w:rsid w:val="002B79C8"/>
    <w:rsid w:val="002C1801"/>
    <w:rsid w:val="002C1AFB"/>
    <w:rsid w:val="002C1E2D"/>
    <w:rsid w:val="002C245A"/>
    <w:rsid w:val="002C2DAB"/>
    <w:rsid w:val="002C3785"/>
    <w:rsid w:val="002C3D80"/>
    <w:rsid w:val="002C4221"/>
    <w:rsid w:val="002C468E"/>
    <w:rsid w:val="002C4B4F"/>
    <w:rsid w:val="002C552B"/>
    <w:rsid w:val="002C59F8"/>
    <w:rsid w:val="002C6C62"/>
    <w:rsid w:val="002C6DFF"/>
    <w:rsid w:val="002C71C4"/>
    <w:rsid w:val="002C7279"/>
    <w:rsid w:val="002C7A60"/>
    <w:rsid w:val="002D07A0"/>
    <w:rsid w:val="002D25F1"/>
    <w:rsid w:val="002D2848"/>
    <w:rsid w:val="002D3300"/>
    <w:rsid w:val="002D4254"/>
    <w:rsid w:val="002D42BD"/>
    <w:rsid w:val="002D4483"/>
    <w:rsid w:val="002D54A6"/>
    <w:rsid w:val="002D5CD6"/>
    <w:rsid w:val="002D5E83"/>
    <w:rsid w:val="002D7E3A"/>
    <w:rsid w:val="002E00EE"/>
    <w:rsid w:val="002E0532"/>
    <w:rsid w:val="002E1CC4"/>
    <w:rsid w:val="002E2842"/>
    <w:rsid w:val="002E2B58"/>
    <w:rsid w:val="002E2F8B"/>
    <w:rsid w:val="002E3A1F"/>
    <w:rsid w:val="002E4B80"/>
    <w:rsid w:val="002E4EED"/>
    <w:rsid w:val="002E66AF"/>
    <w:rsid w:val="002E7791"/>
    <w:rsid w:val="002F07B1"/>
    <w:rsid w:val="002F0960"/>
    <w:rsid w:val="002F171F"/>
    <w:rsid w:val="002F3200"/>
    <w:rsid w:val="002F32E8"/>
    <w:rsid w:val="002F3C6A"/>
    <w:rsid w:val="002F4BF2"/>
    <w:rsid w:val="002F507F"/>
    <w:rsid w:val="002F62BA"/>
    <w:rsid w:val="00300818"/>
    <w:rsid w:val="00300B88"/>
    <w:rsid w:val="00301570"/>
    <w:rsid w:val="003018E2"/>
    <w:rsid w:val="00301B06"/>
    <w:rsid w:val="00302A21"/>
    <w:rsid w:val="00302E58"/>
    <w:rsid w:val="0030387B"/>
    <w:rsid w:val="00304166"/>
    <w:rsid w:val="003053EA"/>
    <w:rsid w:val="0030545E"/>
    <w:rsid w:val="003059D7"/>
    <w:rsid w:val="00305E34"/>
    <w:rsid w:val="00306357"/>
    <w:rsid w:val="003073F6"/>
    <w:rsid w:val="00307764"/>
    <w:rsid w:val="0030799B"/>
    <w:rsid w:val="00310205"/>
    <w:rsid w:val="00310E23"/>
    <w:rsid w:val="00311164"/>
    <w:rsid w:val="003111A9"/>
    <w:rsid w:val="003116CB"/>
    <w:rsid w:val="00311F44"/>
    <w:rsid w:val="00312F79"/>
    <w:rsid w:val="0031349B"/>
    <w:rsid w:val="0031359F"/>
    <w:rsid w:val="00313AE7"/>
    <w:rsid w:val="00313D36"/>
    <w:rsid w:val="0031421C"/>
    <w:rsid w:val="00314948"/>
    <w:rsid w:val="00314D60"/>
    <w:rsid w:val="00315459"/>
    <w:rsid w:val="00315AC4"/>
    <w:rsid w:val="0031673A"/>
    <w:rsid w:val="00316B08"/>
    <w:rsid w:val="00317406"/>
    <w:rsid w:val="00320086"/>
    <w:rsid w:val="003200F1"/>
    <w:rsid w:val="0032086D"/>
    <w:rsid w:val="00320F05"/>
    <w:rsid w:val="00321340"/>
    <w:rsid w:val="00321FB2"/>
    <w:rsid w:val="003222DC"/>
    <w:rsid w:val="0032446F"/>
    <w:rsid w:val="0032451C"/>
    <w:rsid w:val="00324B1F"/>
    <w:rsid w:val="003259E4"/>
    <w:rsid w:val="003260D1"/>
    <w:rsid w:val="0032627F"/>
    <w:rsid w:val="003262B9"/>
    <w:rsid w:val="0032685D"/>
    <w:rsid w:val="00327BAA"/>
    <w:rsid w:val="0033066C"/>
    <w:rsid w:val="00332524"/>
    <w:rsid w:val="00332A04"/>
    <w:rsid w:val="00332A32"/>
    <w:rsid w:val="00332CB0"/>
    <w:rsid w:val="00332D1E"/>
    <w:rsid w:val="00334EC3"/>
    <w:rsid w:val="00335DAD"/>
    <w:rsid w:val="003362C4"/>
    <w:rsid w:val="00336642"/>
    <w:rsid w:val="00336AEE"/>
    <w:rsid w:val="00337070"/>
    <w:rsid w:val="003371C7"/>
    <w:rsid w:val="0033758F"/>
    <w:rsid w:val="003403AE"/>
    <w:rsid w:val="00341CE0"/>
    <w:rsid w:val="00342100"/>
    <w:rsid w:val="00343EB3"/>
    <w:rsid w:val="00344567"/>
    <w:rsid w:val="00344EA3"/>
    <w:rsid w:val="00345CDE"/>
    <w:rsid w:val="003462AB"/>
    <w:rsid w:val="0034703F"/>
    <w:rsid w:val="00350745"/>
    <w:rsid w:val="00351453"/>
    <w:rsid w:val="0035192C"/>
    <w:rsid w:val="00351D14"/>
    <w:rsid w:val="0035274C"/>
    <w:rsid w:val="00352807"/>
    <w:rsid w:val="003537F6"/>
    <w:rsid w:val="0035475F"/>
    <w:rsid w:val="00355538"/>
    <w:rsid w:val="0035623C"/>
    <w:rsid w:val="003567F4"/>
    <w:rsid w:val="00356918"/>
    <w:rsid w:val="00356CB0"/>
    <w:rsid w:val="003602C8"/>
    <w:rsid w:val="00360CFC"/>
    <w:rsid w:val="003613FE"/>
    <w:rsid w:val="003616B5"/>
    <w:rsid w:val="00361BD4"/>
    <w:rsid w:val="0036272D"/>
    <w:rsid w:val="00362C49"/>
    <w:rsid w:val="00363E60"/>
    <w:rsid w:val="00363EE4"/>
    <w:rsid w:val="003649FE"/>
    <w:rsid w:val="00365275"/>
    <w:rsid w:val="00365425"/>
    <w:rsid w:val="00365440"/>
    <w:rsid w:val="00365447"/>
    <w:rsid w:val="003655A3"/>
    <w:rsid w:val="00365CB5"/>
    <w:rsid w:val="00365FBD"/>
    <w:rsid w:val="00366573"/>
    <w:rsid w:val="003674ED"/>
    <w:rsid w:val="003703B0"/>
    <w:rsid w:val="003710B6"/>
    <w:rsid w:val="00372BB8"/>
    <w:rsid w:val="00373131"/>
    <w:rsid w:val="003739F3"/>
    <w:rsid w:val="0037409D"/>
    <w:rsid w:val="00374250"/>
    <w:rsid w:val="00374CCB"/>
    <w:rsid w:val="003751EA"/>
    <w:rsid w:val="0037629C"/>
    <w:rsid w:val="00380AC7"/>
    <w:rsid w:val="0038218A"/>
    <w:rsid w:val="0038243C"/>
    <w:rsid w:val="00382F17"/>
    <w:rsid w:val="0038324C"/>
    <w:rsid w:val="003835F7"/>
    <w:rsid w:val="00383C44"/>
    <w:rsid w:val="00385146"/>
    <w:rsid w:val="00386446"/>
    <w:rsid w:val="00387900"/>
    <w:rsid w:val="003879B5"/>
    <w:rsid w:val="00387B42"/>
    <w:rsid w:val="00391B49"/>
    <w:rsid w:val="00392D38"/>
    <w:rsid w:val="003930AF"/>
    <w:rsid w:val="003934B7"/>
    <w:rsid w:val="00393829"/>
    <w:rsid w:val="003938D5"/>
    <w:rsid w:val="00393AFC"/>
    <w:rsid w:val="00393D54"/>
    <w:rsid w:val="00394384"/>
    <w:rsid w:val="00394FE8"/>
    <w:rsid w:val="003965E8"/>
    <w:rsid w:val="0039708C"/>
    <w:rsid w:val="003A11A4"/>
    <w:rsid w:val="003A1548"/>
    <w:rsid w:val="003A1DE2"/>
    <w:rsid w:val="003A1F06"/>
    <w:rsid w:val="003A2828"/>
    <w:rsid w:val="003A34AA"/>
    <w:rsid w:val="003A4194"/>
    <w:rsid w:val="003A462C"/>
    <w:rsid w:val="003A4E0B"/>
    <w:rsid w:val="003A528C"/>
    <w:rsid w:val="003A52E2"/>
    <w:rsid w:val="003A550C"/>
    <w:rsid w:val="003A684B"/>
    <w:rsid w:val="003A6B84"/>
    <w:rsid w:val="003A7D1C"/>
    <w:rsid w:val="003B1A37"/>
    <w:rsid w:val="003B1E17"/>
    <w:rsid w:val="003B1E63"/>
    <w:rsid w:val="003B2013"/>
    <w:rsid w:val="003B207A"/>
    <w:rsid w:val="003B23D7"/>
    <w:rsid w:val="003B2DED"/>
    <w:rsid w:val="003B330A"/>
    <w:rsid w:val="003B4671"/>
    <w:rsid w:val="003B624A"/>
    <w:rsid w:val="003C0374"/>
    <w:rsid w:val="003C3826"/>
    <w:rsid w:val="003C3B69"/>
    <w:rsid w:val="003C3BDC"/>
    <w:rsid w:val="003C3FC9"/>
    <w:rsid w:val="003C4186"/>
    <w:rsid w:val="003C4E2A"/>
    <w:rsid w:val="003C570A"/>
    <w:rsid w:val="003C63F5"/>
    <w:rsid w:val="003C7016"/>
    <w:rsid w:val="003C784F"/>
    <w:rsid w:val="003D1D76"/>
    <w:rsid w:val="003D2697"/>
    <w:rsid w:val="003D4A82"/>
    <w:rsid w:val="003D5C2F"/>
    <w:rsid w:val="003D5D00"/>
    <w:rsid w:val="003D7583"/>
    <w:rsid w:val="003D7F28"/>
    <w:rsid w:val="003E0562"/>
    <w:rsid w:val="003E0773"/>
    <w:rsid w:val="003E0DFE"/>
    <w:rsid w:val="003E125D"/>
    <w:rsid w:val="003E2B93"/>
    <w:rsid w:val="003E2D03"/>
    <w:rsid w:val="003E3C90"/>
    <w:rsid w:val="003E3DA0"/>
    <w:rsid w:val="003E4620"/>
    <w:rsid w:val="003E4649"/>
    <w:rsid w:val="003E4DF8"/>
    <w:rsid w:val="003E4FF1"/>
    <w:rsid w:val="003E6164"/>
    <w:rsid w:val="003E6FB6"/>
    <w:rsid w:val="003E702D"/>
    <w:rsid w:val="003E7447"/>
    <w:rsid w:val="003E74B6"/>
    <w:rsid w:val="003E7792"/>
    <w:rsid w:val="003F007A"/>
    <w:rsid w:val="003F0B64"/>
    <w:rsid w:val="003F0D55"/>
    <w:rsid w:val="003F0E95"/>
    <w:rsid w:val="003F13B4"/>
    <w:rsid w:val="003F2184"/>
    <w:rsid w:val="003F274C"/>
    <w:rsid w:val="003F2EC8"/>
    <w:rsid w:val="003F33C2"/>
    <w:rsid w:val="003F4406"/>
    <w:rsid w:val="003F4E2F"/>
    <w:rsid w:val="003F4ED5"/>
    <w:rsid w:val="003F4EF7"/>
    <w:rsid w:val="003F7491"/>
    <w:rsid w:val="003F7605"/>
    <w:rsid w:val="003F77FB"/>
    <w:rsid w:val="003F79FD"/>
    <w:rsid w:val="003F7C4C"/>
    <w:rsid w:val="00401485"/>
    <w:rsid w:val="004018F8"/>
    <w:rsid w:val="00401A32"/>
    <w:rsid w:val="00401F5F"/>
    <w:rsid w:val="00402BBE"/>
    <w:rsid w:val="00404C91"/>
    <w:rsid w:val="0040517A"/>
    <w:rsid w:val="00405D36"/>
    <w:rsid w:val="00405DBE"/>
    <w:rsid w:val="00405FC5"/>
    <w:rsid w:val="00406B65"/>
    <w:rsid w:val="00410261"/>
    <w:rsid w:val="0041050B"/>
    <w:rsid w:val="0041084C"/>
    <w:rsid w:val="00410FB7"/>
    <w:rsid w:val="00411BC7"/>
    <w:rsid w:val="004120BE"/>
    <w:rsid w:val="00412E09"/>
    <w:rsid w:val="0041380E"/>
    <w:rsid w:val="00414315"/>
    <w:rsid w:val="00414E6D"/>
    <w:rsid w:val="00414EA9"/>
    <w:rsid w:val="00415F82"/>
    <w:rsid w:val="004160BE"/>
    <w:rsid w:val="00417745"/>
    <w:rsid w:val="004205BE"/>
    <w:rsid w:val="00421B03"/>
    <w:rsid w:val="00421BFD"/>
    <w:rsid w:val="00422B52"/>
    <w:rsid w:val="00422D10"/>
    <w:rsid w:val="00423788"/>
    <w:rsid w:val="00424567"/>
    <w:rsid w:val="00425295"/>
    <w:rsid w:val="0042576C"/>
    <w:rsid w:val="004259B1"/>
    <w:rsid w:val="00425B22"/>
    <w:rsid w:val="00426029"/>
    <w:rsid w:val="00426D40"/>
    <w:rsid w:val="0042787C"/>
    <w:rsid w:val="0043026C"/>
    <w:rsid w:val="00431232"/>
    <w:rsid w:val="0043348B"/>
    <w:rsid w:val="004344A3"/>
    <w:rsid w:val="004345E8"/>
    <w:rsid w:val="00434DC6"/>
    <w:rsid w:val="00435CC1"/>
    <w:rsid w:val="00435F08"/>
    <w:rsid w:val="00435F66"/>
    <w:rsid w:val="00436CF9"/>
    <w:rsid w:val="00437586"/>
    <w:rsid w:val="004376C4"/>
    <w:rsid w:val="00437D16"/>
    <w:rsid w:val="004407B1"/>
    <w:rsid w:val="004410B6"/>
    <w:rsid w:val="004416C6"/>
    <w:rsid w:val="00442FD3"/>
    <w:rsid w:val="00443492"/>
    <w:rsid w:val="00443767"/>
    <w:rsid w:val="00443B8A"/>
    <w:rsid w:val="00444E19"/>
    <w:rsid w:val="004458B1"/>
    <w:rsid w:val="0044742D"/>
    <w:rsid w:val="00447745"/>
    <w:rsid w:val="00453F21"/>
    <w:rsid w:val="00454010"/>
    <w:rsid w:val="0045634F"/>
    <w:rsid w:val="00456E0E"/>
    <w:rsid w:val="0045759A"/>
    <w:rsid w:val="00457B06"/>
    <w:rsid w:val="00460099"/>
    <w:rsid w:val="00460591"/>
    <w:rsid w:val="0046074A"/>
    <w:rsid w:val="00460828"/>
    <w:rsid w:val="00460FCC"/>
    <w:rsid w:val="004616F5"/>
    <w:rsid w:val="004616F8"/>
    <w:rsid w:val="004619F7"/>
    <w:rsid w:val="004633BA"/>
    <w:rsid w:val="0046473C"/>
    <w:rsid w:val="00464909"/>
    <w:rsid w:val="004649A1"/>
    <w:rsid w:val="00466C31"/>
    <w:rsid w:val="0047022A"/>
    <w:rsid w:val="00470306"/>
    <w:rsid w:val="00470DC0"/>
    <w:rsid w:val="00471B66"/>
    <w:rsid w:val="00471CD7"/>
    <w:rsid w:val="00472093"/>
    <w:rsid w:val="004725DA"/>
    <w:rsid w:val="00472765"/>
    <w:rsid w:val="00472D66"/>
    <w:rsid w:val="00473C22"/>
    <w:rsid w:val="00473E10"/>
    <w:rsid w:val="00474B88"/>
    <w:rsid w:val="004767F5"/>
    <w:rsid w:val="004776F0"/>
    <w:rsid w:val="00477C6D"/>
    <w:rsid w:val="00480161"/>
    <w:rsid w:val="00480491"/>
    <w:rsid w:val="004818D5"/>
    <w:rsid w:val="00483E74"/>
    <w:rsid w:val="0048417E"/>
    <w:rsid w:val="004844DD"/>
    <w:rsid w:val="00484664"/>
    <w:rsid w:val="004848D5"/>
    <w:rsid w:val="00484DC5"/>
    <w:rsid w:val="0048506E"/>
    <w:rsid w:val="0048509F"/>
    <w:rsid w:val="004850E5"/>
    <w:rsid w:val="004854D3"/>
    <w:rsid w:val="00485F3A"/>
    <w:rsid w:val="00487686"/>
    <w:rsid w:val="004877EB"/>
    <w:rsid w:val="004879B8"/>
    <w:rsid w:val="00490439"/>
    <w:rsid w:val="00490944"/>
    <w:rsid w:val="004935BF"/>
    <w:rsid w:val="004936AE"/>
    <w:rsid w:val="0049370C"/>
    <w:rsid w:val="00493E46"/>
    <w:rsid w:val="00494E52"/>
    <w:rsid w:val="0049523F"/>
    <w:rsid w:val="00495DA8"/>
    <w:rsid w:val="0049690E"/>
    <w:rsid w:val="004969D5"/>
    <w:rsid w:val="004976E0"/>
    <w:rsid w:val="00497BCF"/>
    <w:rsid w:val="00497D71"/>
    <w:rsid w:val="004A1684"/>
    <w:rsid w:val="004A1D71"/>
    <w:rsid w:val="004A30DC"/>
    <w:rsid w:val="004A3557"/>
    <w:rsid w:val="004A3DD0"/>
    <w:rsid w:val="004A48DA"/>
    <w:rsid w:val="004A5C68"/>
    <w:rsid w:val="004A6BB6"/>
    <w:rsid w:val="004A7194"/>
    <w:rsid w:val="004A767B"/>
    <w:rsid w:val="004A780E"/>
    <w:rsid w:val="004B02B9"/>
    <w:rsid w:val="004B0910"/>
    <w:rsid w:val="004B0A88"/>
    <w:rsid w:val="004B13C3"/>
    <w:rsid w:val="004B3E8E"/>
    <w:rsid w:val="004B47E2"/>
    <w:rsid w:val="004B5022"/>
    <w:rsid w:val="004B5E73"/>
    <w:rsid w:val="004B6147"/>
    <w:rsid w:val="004B7633"/>
    <w:rsid w:val="004B7F6B"/>
    <w:rsid w:val="004C0667"/>
    <w:rsid w:val="004C18CF"/>
    <w:rsid w:val="004C18F3"/>
    <w:rsid w:val="004C19B9"/>
    <w:rsid w:val="004C1AA6"/>
    <w:rsid w:val="004C1DA2"/>
    <w:rsid w:val="004C33D6"/>
    <w:rsid w:val="004C3679"/>
    <w:rsid w:val="004C4B28"/>
    <w:rsid w:val="004C6932"/>
    <w:rsid w:val="004C6A0B"/>
    <w:rsid w:val="004D0B7A"/>
    <w:rsid w:val="004D1A2A"/>
    <w:rsid w:val="004D1C72"/>
    <w:rsid w:val="004D364A"/>
    <w:rsid w:val="004D3985"/>
    <w:rsid w:val="004D39F8"/>
    <w:rsid w:val="004D3E06"/>
    <w:rsid w:val="004D40C6"/>
    <w:rsid w:val="004D4840"/>
    <w:rsid w:val="004D62C8"/>
    <w:rsid w:val="004D6DA3"/>
    <w:rsid w:val="004D7400"/>
    <w:rsid w:val="004D789B"/>
    <w:rsid w:val="004D7C25"/>
    <w:rsid w:val="004E14B5"/>
    <w:rsid w:val="004E19FD"/>
    <w:rsid w:val="004E1E45"/>
    <w:rsid w:val="004E2358"/>
    <w:rsid w:val="004E29E7"/>
    <w:rsid w:val="004E35F4"/>
    <w:rsid w:val="004E3858"/>
    <w:rsid w:val="004E392A"/>
    <w:rsid w:val="004E3A1A"/>
    <w:rsid w:val="004E3D76"/>
    <w:rsid w:val="004E4C58"/>
    <w:rsid w:val="004E5CDA"/>
    <w:rsid w:val="004E6AB5"/>
    <w:rsid w:val="004F0018"/>
    <w:rsid w:val="004F0C2A"/>
    <w:rsid w:val="004F11FE"/>
    <w:rsid w:val="004F25A8"/>
    <w:rsid w:val="004F3293"/>
    <w:rsid w:val="004F390C"/>
    <w:rsid w:val="004F4186"/>
    <w:rsid w:val="004F41C1"/>
    <w:rsid w:val="004F5076"/>
    <w:rsid w:val="004F5AE6"/>
    <w:rsid w:val="004F5BD9"/>
    <w:rsid w:val="004F5C63"/>
    <w:rsid w:val="004F635C"/>
    <w:rsid w:val="004F6B22"/>
    <w:rsid w:val="004F7269"/>
    <w:rsid w:val="004F75CF"/>
    <w:rsid w:val="004F7A0F"/>
    <w:rsid w:val="004F7A5C"/>
    <w:rsid w:val="0050016B"/>
    <w:rsid w:val="00501F9F"/>
    <w:rsid w:val="005036A9"/>
    <w:rsid w:val="00503813"/>
    <w:rsid w:val="005047C9"/>
    <w:rsid w:val="005055A7"/>
    <w:rsid w:val="0050638E"/>
    <w:rsid w:val="00506D66"/>
    <w:rsid w:val="00507836"/>
    <w:rsid w:val="00510214"/>
    <w:rsid w:val="005110FE"/>
    <w:rsid w:val="00511D22"/>
    <w:rsid w:val="00512539"/>
    <w:rsid w:val="00512C7F"/>
    <w:rsid w:val="005131EB"/>
    <w:rsid w:val="005134CD"/>
    <w:rsid w:val="005157BF"/>
    <w:rsid w:val="00516C2B"/>
    <w:rsid w:val="00517427"/>
    <w:rsid w:val="005176A5"/>
    <w:rsid w:val="00517DEF"/>
    <w:rsid w:val="00521A00"/>
    <w:rsid w:val="005225C4"/>
    <w:rsid w:val="005231C0"/>
    <w:rsid w:val="005231DD"/>
    <w:rsid w:val="00524BD2"/>
    <w:rsid w:val="00524DE1"/>
    <w:rsid w:val="0052522F"/>
    <w:rsid w:val="005255DD"/>
    <w:rsid w:val="00526625"/>
    <w:rsid w:val="00527054"/>
    <w:rsid w:val="005271A8"/>
    <w:rsid w:val="00527499"/>
    <w:rsid w:val="005300C2"/>
    <w:rsid w:val="0053030A"/>
    <w:rsid w:val="00530848"/>
    <w:rsid w:val="005320EB"/>
    <w:rsid w:val="0053311B"/>
    <w:rsid w:val="00533413"/>
    <w:rsid w:val="005334B6"/>
    <w:rsid w:val="0053508E"/>
    <w:rsid w:val="005352F3"/>
    <w:rsid w:val="00535DAD"/>
    <w:rsid w:val="005367DB"/>
    <w:rsid w:val="00536F75"/>
    <w:rsid w:val="00537F9C"/>
    <w:rsid w:val="005400A7"/>
    <w:rsid w:val="0054030C"/>
    <w:rsid w:val="00540966"/>
    <w:rsid w:val="00541A61"/>
    <w:rsid w:val="00541EB9"/>
    <w:rsid w:val="005423E4"/>
    <w:rsid w:val="005423F9"/>
    <w:rsid w:val="0054252F"/>
    <w:rsid w:val="00543244"/>
    <w:rsid w:val="005437B8"/>
    <w:rsid w:val="00544168"/>
    <w:rsid w:val="0054481A"/>
    <w:rsid w:val="00545F81"/>
    <w:rsid w:val="00546E9B"/>
    <w:rsid w:val="00550325"/>
    <w:rsid w:val="0055126C"/>
    <w:rsid w:val="00551E3F"/>
    <w:rsid w:val="00552D26"/>
    <w:rsid w:val="005534F6"/>
    <w:rsid w:val="00553D4B"/>
    <w:rsid w:val="00554C7D"/>
    <w:rsid w:val="0055504F"/>
    <w:rsid w:val="00556348"/>
    <w:rsid w:val="0055689B"/>
    <w:rsid w:val="00556D82"/>
    <w:rsid w:val="005578D2"/>
    <w:rsid w:val="00557BF6"/>
    <w:rsid w:val="00560024"/>
    <w:rsid w:val="00561538"/>
    <w:rsid w:val="005624BF"/>
    <w:rsid w:val="00562A52"/>
    <w:rsid w:val="005631B7"/>
    <w:rsid w:val="00563BEA"/>
    <w:rsid w:val="00563DED"/>
    <w:rsid w:val="005644E3"/>
    <w:rsid w:val="005647AE"/>
    <w:rsid w:val="00565B8E"/>
    <w:rsid w:val="00567D30"/>
    <w:rsid w:val="0057071F"/>
    <w:rsid w:val="0057075B"/>
    <w:rsid w:val="00570849"/>
    <w:rsid w:val="005711F3"/>
    <w:rsid w:val="00571C8C"/>
    <w:rsid w:val="005722C2"/>
    <w:rsid w:val="005734BB"/>
    <w:rsid w:val="005741C1"/>
    <w:rsid w:val="0057626C"/>
    <w:rsid w:val="00576AB3"/>
    <w:rsid w:val="005777D7"/>
    <w:rsid w:val="0057789B"/>
    <w:rsid w:val="00580E04"/>
    <w:rsid w:val="00581107"/>
    <w:rsid w:val="00581A92"/>
    <w:rsid w:val="00581C2A"/>
    <w:rsid w:val="00581EF6"/>
    <w:rsid w:val="0058211B"/>
    <w:rsid w:val="005821B6"/>
    <w:rsid w:val="005822DB"/>
    <w:rsid w:val="00583118"/>
    <w:rsid w:val="00583BFD"/>
    <w:rsid w:val="005843AF"/>
    <w:rsid w:val="005857A1"/>
    <w:rsid w:val="00585836"/>
    <w:rsid w:val="005858D8"/>
    <w:rsid w:val="00585C50"/>
    <w:rsid w:val="00586109"/>
    <w:rsid w:val="0058629D"/>
    <w:rsid w:val="005866A5"/>
    <w:rsid w:val="00587D05"/>
    <w:rsid w:val="0059031F"/>
    <w:rsid w:val="00590EF4"/>
    <w:rsid w:val="00591375"/>
    <w:rsid w:val="00593C5F"/>
    <w:rsid w:val="005947DB"/>
    <w:rsid w:val="00595C13"/>
    <w:rsid w:val="00595CD0"/>
    <w:rsid w:val="00596701"/>
    <w:rsid w:val="005968DE"/>
    <w:rsid w:val="00596D5A"/>
    <w:rsid w:val="0059731A"/>
    <w:rsid w:val="005A02A5"/>
    <w:rsid w:val="005A0941"/>
    <w:rsid w:val="005A0B9B"/>
    <w:rsid w:val="005A270E"/>
    <w:rsid w:val="005A34B6"/>
    <w:rsid w:val="005A3598"/>
    <w:rsid w:val="005A419F"/>
    <w:rsid w:val="005A4290"/>
    <w:rsid w:val="005A5AB1"/>
    <w:rsid w:val="005A6221"/>
    <w:rsid w:val="005A685C"/>
    <w:rsid w:val="005A6CC4"/>
    <w:rsid w:val="005A70B1"/>
    <w:rsid w:val="005A7265"/>
    <w:rsid w:val="005A75C5"/>
    <w:rsid w:val="005B20A9"/>
    <w:rsid w:val="005B2D59"/>
    <w:rsid w:val="005B3A0D"/>
    <w:rsid w:val="005B4771"/>
    <w:rsid w:val="005B5180"/>
    <w:rsid w:val="005B52B5"/>
    <w:rsid w:val="005B5BB1"/>
    <w:rsid w:val="005B5E2E"/>
    <w:rsid w:val="005B6BCE"/>
    <w:rsid w:val="005B6D69"/>
    <w:rsid w:val="005B705B"/>
    <w:rsid w:val="005C03B7"/>
    <w:rsid w:val="005C0A75"/>
    <w:rsid w:val="005C1461"/>
    <w:rsid w:val="005C15B5"/>
    <w:rsid w:val="005C4C32"/>
    <w:rsid w:val="005C4F0D"/>
    <w:rsid w:val="005C5547"/>
    <w:rsid w:val="005C79F5"/>
    <w:rsid w:val="005C7F08"/>
    <w:rsid w:val="005D181F"/>
    <w:rsid w:val="005D26FA"/>
    <w:rsid w:val="005D2EDA"/>
    <w:rsid w:val="005D3018"/>
    <w:rsid w:val="005D32FE"/>
    <w:rsid w:val="005D380A"/>
    <w:rsid w:val="005D383B"/>
    <w:rsid w:val="005D3F3B"/>
    <w:rsid w:val="005D637C"/>
    <w:rsid w:val="005D6508"/>
    <w:rsid w:val="005D77A5"/>
    <w:rsid w:val="005D7E71"/>
    <w:rsid w:val="005E0196"/>
    <w:rsid w:val="005E0405"/>
    <w:rsid w:val="005E2D62"/>
    <w:rsid w:val="005E39AF"/>
    <w:rsid w:val="005E421C"/>
    <w:rsid w:val="005E521C"/>
    <w:rsid w:val="005E5A8A"/>
    <w:rsid w:val="005E62C7"/>
    <w:rsid w:val="005E65F6"/>
    <w:rsid w:val="005E767A"/>
    <w:rsid w:val="005F0A7C"/>
    <w:rsid w:val="005F5809"/>
    <w:rsid w:val="005F5ED8"/>
    <w:rsid w:val="005F5EEE"/>
    <w:rsid w:val="005F6716"/>
    <w:rsid w:val="005F70D8"/>
    <w:rsid w:val="005F7B08"/>
    <w:rsid w:val="00600E61"/>
    <w:rsid w:val="00601697"/>
    <w:rsid w:val="00601733"/>
    <w:rsid w:val="00601A13"/>
    <w:rsid w:val="00602809"/>
    <w:rsid w:val="0060290C"/>
    <w:rsid w:val="0060327B"/>
    <w:rsid w:val="00603DF8"/>
    <w:rsid w:val="00604776"/>
    <w:rsid w:val="00605368"/>
    <w:rsid w:val="006056BE"/>
    <w:rsid w:val="00605EBA"/>
    <w:rsid w:val="0060734E"/>
    <w:rsid w:val="0060757D"/>
    <w:rsid w:val="00607702"/>
    <w:rsid w:val="006106B7"/>
    <w:rsid w:val="00610C89"/>
    <w:rsid w:val="00611539"/>
    <w:rsid w:val="00611626"/>
    <w:rsid w:val="00611E7B"/>
    <w:rsid w:val="00612517"/>
    <w:rsid w:val="0061373F"/>
    <w:rsid w:val="0061379F"/>
    <w:rsid w:val="006140AF"/>
    <w:rsid w:val="006157AF"/>
    <w:rsid w:val="00615AEB"/>
    <w:rsid w:val="00615D27"/>
    <w:rsid w:val="006163BD"/>
    <w:rsid w:val="0061656E"/>
    <w:rsid w:val="00617B15"/>
    <w:rsid w:val="006203E6"/>
    <w:rsid w:val="0062089C"/>
    <w:rsid w:val="00620E10"/>
    <w:rsid w:val="00623451"/>
    <w:rsid w:val="00623E07"/>
    <w:rsid w:val="0062447C"/>
    <w:rsid w:val="00624ABF"/>
    <w:rsid w:val="00624AD2"/>
    <w:rsid w:val="00624C6A"/>
    <w:rsid w:val="00625A61"/>
    <w:rsid w:val="00626366"/>
    <w:rsid w:val="0062677C"/>
    <w:rsid w:val="00626BD4"/>
    <w:rsid w:val="00626D86"/>
    <w:rsid w:val="006271C7"/>
    <w:rsid w:val="00627E12"/>
    <w:rsid w:val="006300EA"/>
    <w:rsid w:val="00630147"/>
    <w:rsid w:val="00631003"/>
    <w:rsid w:val="006311E3"/>
    <w:rsid w:val="00631F58"/>
    <w:rsid w:val="006320DE"/>
    <w:rsid w:val="00632364"/>
    <w:rsid w:val="006325B2"/>
    <w:rsid w:val="00632875"/>
    <w:rsid w:val="00632EC1"/>
    <w:rsid w:val="006330B3"/>
    <w:rsid w:val="0063314C"/>
    <w:rsid w:val="006350FC"/>
    <w:rsid w:val="0063598E"/>
    <w:rsid w:val="00635E84"/>
    <w:rsid w:val="00636D3A"/>
    <w:rsid w:val="00637F86"/>
    <w:rsid w:val="00640DBC"/>
    <w:rsid w:val="00641070"/>
    <w:rsid w:val="006414E5"/>
    <w:rsid w:val="00641C68"/>
    <w:rsid w:val="00641FCD"/>
    <w:rsid w:val="00642B9A"/>
    <w:rsid w:val="00643062"/>
    <w:rsid w:val="006434EE"/>
    <w:rsid w:val="006435F9"/>
    <w:rsid w:val="00643643"/>
    <w:rsid w:val="00644F22"/>
    <w:rsid w:val="00645126"/>
    <w:rsid w:val="00645DE6"/>
    <w:rsid w:val="00645F29"/>
    <w:rsid w:val="00646139"/>
    <w:rsid w:val="00646EB7"/>
    <w:rsid w:val="00647CC2"/>
    <w:rsid w:val="00647D13"/>
    <w:rsid w:val="00647D42"/>
    <w:rsid w:val="00647F65"/>
    <w:rsid w:val="00651C9A"/>
    <w:rsid w:val="00651E00"/>
    <w:rsid w:val="00651FB4"/>
    <w:rsid w:val="00652109"/>
    <w:rsid w:val="006529E5"/>
    <w:rsid w:val="0065355A"/>
    <w:rsid w:val="006538E6"/>
    <w:rsid w:val="00653BBC"/>
    <w:rsid w:val="00653EE0"/>
    <w:rsid w:val="00653F96"/>
    <w:rsid w:val="006557B3"/>
    <w:rsid w:val="00656206"/>
    <w:rsid w:val="00656652"/>
    <w:rsid w:val="00656A63"/>
    <w:rsid w:val="00656C9D"/>
    <w:rsid w:val="006574C1"/>
    <w:rsid w:val="0066039B"/>
    <w:rsid w:val="0066050F"/>
    <w:rsid w:val="00660C0F"/>
    <w:rsid w:val="00661EFA"/>
    <w:rsid w:val="00661F0D"/>
    <w:rsid w:val="006627C0"/>
    <w:rsid w:val="0066301A"/>
    <w:rsid w:val="0066655F"/>
    <w:rsid w:val="00666590"/>
    <w:rsid w:val="0066697F"/>
    <w:rsid w:val="006673EC"/>
    <w:rsid w:val="00667AD7"/>
    <w:rsid w:val="00670333"/>
    <w:rsid w:val="00671698"/>
    <w:rsid w:val="00671C2B"/>
    <w:rsid w:val="00672349"/>
    <w:rsid w:val="00672CC9"/>
    <w:rsid w:val="00673AF1"/>
    <w:rsid w:val="00673FC3"/>
    <w:rsid w:val="00674276"/>
    <w:rsid w:val="0067525A"/>
    <w:rsid w:val="006771FB"/>
    <w:rsid w:val="0068095A"/>
    <w:rsid w:val="00681304"/>
    <w:rsid w:val="006819BC"/>
    <w:rsid w:val="0068201C"/>
    <w:rsid w:val="00682C1B"/>
    <w:rsid w:val="0068363F"/>
    <w:rsid w:val="00683BF5"/>
    <w:rsid w:val="00685177"/>
    <w:rsid w:val="00686176"/>
    <w:rsid w:val="00686D4F"/>
    <w:rsid w:val="00687901"/>
    <w:rsid w:val="006879A1"/>
    <w:rsid w:val="00687C0B"/>
    <w:rsid w:val="006909CE"/>
    <w:rsid w:val="0069135B"/>
    <w:rsid w:val="00691A7E"/>
    <w:rsid w:val="0069240A"/>
    <w:rsid w:val="00692A4B"/>
    <w:rsid w:val="00692CEB"/>
    <w:rsid w:val="00692F49"/>
    <w:rsid w:val="006936A8"/>
    <w:rsid w:val="006951FE"/>
    <w:rsid w:val="00695427"/>
    <w:rsid w:val="00696256"/>
    <w:rsid w:val="00696583"/>
    <w:rsid w:val="00696A82"/>
    <w:rsid w:val="006972C5"/>
    <w:rsid w:val="00697392"/>
    <w:rsid w:val="00697E30"/>
    <w:rsid w:val="00697FDA"/>
    <w:rsid w:val="006A0207"/>
    <w:rsid w:val="006A17F1"/>
    <w:rsid w:val="006A192D"/>
    <w:rsid w:val="006A24D2"/>
    <w:rsid w:val="006A279F"/>
    <w:rsid w:val="006A2B1D"/>
    <w:rsid w:val="006A2E3C"/>
    <w:rsid w:val="006A4065"/>
    <w:rsid w:val="006A56C6"/>
    <w:rsid w:val="006A5CD7"/>
    <w:rsid w:val="006B0BBE"/>
    <w:rsid w:val="006B0FF8"/>
    <w:rsid w:val="006B1131"/>
    <w:rsid w:val="006B11C8"/>
    <w:rsid w:val="006B278C"/>
    <w:rsid w:val="006B3625"/>
    <w:rsid w:val="006B3AFB"/>
    <w:rsid w:val="006B40DE"/>
    <w:rsid w:val="006B4D44"/>
    <w:rsid w:val="006B532E"/>
    <w:rsid w:val="006B56C8"/>
    <w:rsid w:val="006B57EF"/>
    <w:rsid w:val="006B650A"/>
    <w:rsid w:val="006B7182"/>
    <w:rsid w:val="006B7B81"/>
    <w:rsid w:val="006B7F56"/>
    <w:rsid w:val="006C061D"/>
    <w:rsid w:val="006C0DFF"/>
    <w:rsid w:val="006C1BB2"/>
    <w:rsid w:val="006C2B59"/>
    <w:rsid w:val="006C3882"/>
    <w:rsid w:val="006C3B44"/>
    <w:rsid w:val="006C5761"/>
    <w:rsid w:val="006C6F8E"/>
    <w:rsid w:val="006C7A19"/>
    <w:rsid w:val="006C7DB8"/>
    <w:rsid w:val="006D0B94"/>
    <w:rsid w:val="006D0ECD"/>
    <w:rsid w:val="006D13AB"/>
    <w:rsid w:val="006D1441"/>
    <w:rsid w:val="006D1679"/>
    <w:rsid w:val="006D16C6"/>
    <w:rsid w:val="006D2227"/>
    <w:rsid w:val="006D3156"/>
    <w:rsid w:val="006D3B18"/>
    <w:rsid w:val="006D3FBE"/>
    <w:rsid w:val="006D4420"/>
    <w:rsid w:val="006D4E7D"/>
    <w:rsid w:val="006D5350"/>
    <w:rsid w:val="006D53E8"/>
    <w:rsid w:val="006D6B06"/>
    <w:rsid w:val="006D6C0E"/>
    <w:rsid w:val="006D7415"/>
    <w:rsid w:val="006E0641"/>
    <w:rsid w:val="006E0C0A"/>
    <w:rsid w:val="006E0E41"/>
    <w:rsid w:val="006E10F7"/>
    <w:rsid w:val="006E1F2A"/>
    <w:rsid w:val="006E287C"/>
    <w:rsid w:val="006E2F55"/>
    <w:rsid w:val="006E3E53"/>
    <w:rsid w:val="006E4BD4"/>
    <w:rsid w:val="006E5A55"/>
    <w:rsid w:val="006E641C"/>
    <w:rsid w:val="006F1E1F"/>
    <w:rsid w:val="006F374C"/>
    <w:rsid w:val="006F384D"/>
    <w:rsid w:val="006F3F57"/>
    <w:rsid w:val="006F4E4F"/>
    <w:rsid w:val="006F5570"/>
    <w:rsid w:val="006F5842"/>
    <w:rsid w:val="006F5C51"/>
    <w:rsid w:val="006F61A4"/>
    <w:rsid w:val="006F6631"/>
    <w:rsid w:val="006F6E0D"/>
    <w:rsid w:val="006F75E0"/>
    <w:rsid w:val="0070056F"/>
    <w:rsid w:val="007009A1"/>
    <w:rsid w:val="00700B18"/>
    <w:rsid w:val="007014E0"/>
    <w:rsid w:val="00701D4A"/>
    <w:rsid w:val="00702B10"/>
    <w:rsid w:val="00702FD1"/>
    <w:rsid w:val="0070384C"/>
    <w:rsid w:val="0070423E"/>
    <w:rsid w:val="00704258"/>
    <w:rsid w:val="007042DE"/>
    <w:rsid w:val="007047D2"/>
    <w:rsid w:val="00704A6E"/>
    <w:rsid w:val="00705BE8"/>
    <w:rsid w:val="00706531"/>
    <w:rsid w:val="00706E39"/>
    <w:rsid w:val="0070761C"/>
    <w:rsid w:val="007076DB"/>
    <w:rsid w:val="00707DD7"/>
    <w:rsid w:val="00711604"/>
    <w:rsid w:val="00711D3F"/>
    <w:rsid w:val="00711FE1"/>
    <w:rsid w:val="0071256F"/>
    <w:rsid w:val="007135AC"/>
    <w:rsid w:val="0071362A"/>
    <w:rsid w:val="00713C8D"/>
    <w:rsid w:val="00714071"/>
    <w:rsid w:val="00714ED1"/>
    <w:rsid w:val="00715B1B"/>
    <w:rsid w:val="00715C88"/>
    <w:rsid w:val="0071618B"/>
    <w:rsid w:val="007161A5"/>
    <w:rsid w:val="00716608"/>
    <w:rsid w:val="0071743F"/>
    <w:rsid w:val="007175D0"/>
    <w:rsid w:val="00720B5A"/>
    <w:rsid w:val="007240BC"/>
    <w:rsid w:val="00724505"/>
    <w:rsid w:val="007246C3"/>
    <w:rsid w:val="00724959"/>
    <w:rsid w:val="007252EF"/>
    <w:rsid w:val="0072533B"/>
    <w:rsid w:val="00725677"/>
    <w:rsid w:val="00725D4E"/>
    <w:rsid w:val="00725DAE"/>
    <w:rsid w:val="00725E99"/>
    <w:rsid w:val="0072607E"/>
    <w:rsid w:val="0073030F"/>
    <w:rsid w:val="00730611"/>
    <w:rsid w:val="007307CB"/>
    <w:rsid w:val="00730BC2"/>
    <w:rsid w:val="007311F3"/>
    <w:rsid w:val="00731303"/>
    <w:rsid w:val="00731B28"/>
    <w:rsid w:val="007325D1"/>
    <w:rsid w:val="00732937"/>
    <w:rsid w:val="00732994"/>
    <w:rsid w:val="00732B7A"/>
    <w:rsid w:val="00732EAD"/>
    <w:rsid w:val="00732FB4"/>
    <w:rsid w:val="00733B4D"/>
    <w:rsid w:val="00733D69"/>
    <w:rsid w:val="007342A6"/>
    <w:rsid w:val="0073493E"/>
    <w:rsid w:val="007349F9"/>
    <w:rsid w:val="0074032F"/>
    <w:rsid w:val="00740F00"/>
    <w:rsid w:val="007412DF"/>
    <w:rsid w:val="00741732"/>
    <w:rsid w:val="00741AC7"/>
    <w:rsid w:val="0074284F"/>
    <w:rsid w:val="007434E4"/>
    <w:rsid w:val="007440B6"/>
    <w:rsid w:val="00744548"/>
    <w:rsid w:val="00744A96"/>
    <w:rsid w:val="007451F5"/>
    <w:rsid w:val="007455D6"/>
    <w:rsid w:val="00745AB7"/>
    <w:rsid w:val="007460E5"/>
    <w:rsid w:val="007465B6"/>
    <w:rsid w:val="00747229"/>
    <w:rsid w:val="0074757E"/>
    <w:rsid w:val="00747BD8"/>
    <w:rsid w:val="00750C3A"/>
    <w:rsid w:val="00751214"/>
    <w:rsid w:val="00751545"/>
    <w:rsid w:val="007519A8"/>
    <w:rsid w:val="0075251B"/>
    <w:rsid w:val="0075356F"/>
    <w:rsid w:val="0075364F"/>
    <w:rsid w:val="00753B7A"/>
    <w:rsid w:val="007560E3"/>
    <w:rsid w:val="007562C5"/>
    <w:rsid w:val="00757742"/>
    <w:rsid w:val="007601CD"/>
    <w:rsid w:val="00760F16"/>
    <w:rsid w:val="007615F9"/>
    <w:rsid w:val="00761F7E"/>
    <w:rsid w:val="00762C9E"/>
    <w:rsid w:val="00763F9F"/>
    <w:rsid w:val="00764959"/>
    <w:rsid w:val="00764D48"/>
    <w:rsid w:val="00765282"/>
    <w:rsid w:val="00765867"/>
    <w:rsid w:val="00765880"/>
    <w:rsid w:val="00765EFD"/>
    <w:rsid w:val="00766592"/>
    <w:rsid w:val="007666DE"/>
    <w:rsid w:val="00766C59"/>
    <w:rsid w:val="007701F2"/>
    <w:rsid w:val="0077080E"/>
    <w:rsid w:val="00770F40"/>
    <w:rsid w:val="007718D5"/>
    <w:rsid w:val="00771E52"/>
    <w:rsid w:val="00771FA1"/>
    <w:rsid w:val="00773642"/>
    <w:rsid w:val="007762DC"/>
    <w:rsid w:val="00777668"/>
    <w:rsid w:val="00777AB4"/>
    <w:rsid w:val="00780365"/>
    <w:rsid w:val="0078037A"/>
    <w:rsid w:val="00780511"/>
    <w:rsid w:val="00780962"/>
    <w:rsid w:val="00780B19"/>
    <w:rsid w:val="00780FFE"/>
    <w:rsid w:val="00782C36"/>
    <w:rsid w:val="0078363D"/>
    <w:rsid w:val="00783C65"/>
    <w:rsid w:val="00783E1E"/>
    <w:rsid w:val="00784170"/>
    <w:rsid w:val="007841B8"/>
    <w:rsid w:val="00784683"/>
    <w:rsid w:val="007849C9"/>
    <w:rsid w:val="007859BF"/>
    <w:rsid w:val="00786337"/>
    <w:rsid w:val="00786FDB"/>
    <w:rsid w:val="007870D8"/>
    <w:rsid w:val="00790163"/>
    <w:rsid w:val="00790ED6"/>
    <w:rsid w:val="0079297A"/>
    <w:rsid w:val="00793BF6"/>
    <w:rsid w:val="007951C1"/>
    <w:rsid w:val="00796E3B"/>
    <w:rsid w:val="007A2121"/>
    <w:rsid w:val="007A2708"/>
    <w:rsid w:val="007A2ED6"/>
    <w:rsid w:val="007A3B86"/>
    <w:rsid w:val="007A3E5D"/>
    <w:rsid w:val="007A4333"/>
    <w:rsid w:val="007A471F"/>
    <w:rsid w:val="007A5507"/>
    <w:rsid w:val="007A7455"/>
    <w:rsid w:val="007B04A0"/>
    <w:rsid w:val="007B2674"/>
    <w:rsid w:val="007B43D7"/>
    <w:rsid w:val="007B4F4F"/>
    <w:rsid w:val="007B5001"/>
    <w:rsid w:val="007B58C2"/>
    <w:rsid w:val="007B5C55"/>
    <w:rsid w:val="007B6400"/>
    <w:rsid w:val="007C043D"/>
    <w:rsid w:val="007C0D2F"/>
    <w:rsid w:val="007C101B"/>
    <w:rsid w:val="007C1492"/>
    <w:rsid w:val="007C1CF5"/>
    <w:rsid w:val="007C26C6"/>
    <w:rsid w:val="007C31D5"/>
    <w:rsid w:val="007C34F5"/>
    <w:rsid w:val="007C4A46"/>
    <w:rsid w:val="007C4BBD"/>
    <w:rsid w:val="007C5252"/>
    <w:rsid w:val="007C54E8"/>
    <w:rsid w:val="007C5FBF"/>
    <w:rsid w:val="007C605F"/>
    <w:rsid w:val="007C658A"/>
    <w:rsid w:val="007C6FB4"/>
    <w:rsid w:val="007C7672"/>
    <w:rsid w:val="007C7B75"/>
    <w:rsid w:val="007D05A3"/>
    <w:rsid w:val="007D07A6"/>
    <w:rsid w:val="007D14DC"/>
    <w:rsid w:val="007D2548"/>
    <w:rsid w:val="007D32A3"/>
    <w:rsid w:val="007D34AD"/>
    <w:rsid w:val="007D41EC"/>
    <w:rsid w:val="007D4E30"/>
    <w:rsid w:val="007D4E58"/>
    <w:rsid w:val="007D5048"/>
    <w:rsid w:val="007D5456"/>
    <w:rsid w:val="007D5EDF"/>
    <w:rsid w:val="007D6A68"/>
    <w:rsid w:val="007D6DA8"/>
    <w:rsid w:val="007D78FC"/>
    <w:rsid w:val="007E16FB"/>
    <w:rsid w:val="007E1DB2"/>
    <w:rsid w:val="007E24C0"/>
    <w:rsid w:val="007E37CF"/>
    <w:rsid w:val="007E3D85"/>
    <w:rsid w:val="007E4187"/>
    <w:rsid w:val="007E44CB"/>
    <w:rsid w:val="007E50D2"/>
    <w:rsid w:val="007E5931"/>
    <w:rsid w:val="007E6424"/>
    <w:rsid w:val="007E6B1F"/>
    <w:rsid w:val="007E6F5E"/>
    <w:rsid w:val="007E73A8"/>
    <w:rsid w:val="007E7BA4"/>
    <w:rsid w:val="007F0175"/>
    <w:rsid w:val="007F126B"/>
    <w:rsid w:val="007F1775"/>
    <w:rsid w:val="007F42AD"/>
    <w:rsid w:val="007F517A"/>
    <w:rsid w:val="007F7A20"/>
    <w:rsid w:val="007F7F6D"/>
    <w:rsid w:val="008006B5"/>
    <w:rsid w:val="00801393"/>
    <w:rsid w:val="008024C4"/>
    <w:rsid w:val="008032C9"/>
    <w:rsid w:val="00803690"/>
    <w:rsid w:val="00803DDD"/>
    <w:rsid w:val="00804428"/>
    <w:rsid w:val="00804769"/>
    <w:rsid w:val="00804C00"/>
    <w:rsid w:val="00805399"/>
    <w:rsid w:val="00805848"/>
    <w:rsid w:val="0080588D"/>
    <w:rsid w:val="00805F9F"/>
    <w:rsid w:val="008061C4"/>
    <w:rsid w:val="00806844"/>
    <w:rsid w:val="00806F1B"/>
    <w:rsid w:val="0080713B"/>
    <w:rsid w:val="00810FC1"/>
    <w:rsid w:val="0081239A"/>
    <w:rsid w:val="008125B3"/>
    <w:rsid w:val="00812FFF"/>
    <w:rsid w:val="00813C92"/>
    <w:rsid w:val="008142F7"/>
    <w:rsid w:val="00814C03"/>
    <w:rsid w:val="008158DA"/>
    <w:rsid w:val="00815D0B"/>
    <w:rsid w:val="00816047"/>
    <w:rsid w:val="00816286"/>
    <w:rsid w:val="00816815"/>
    <w:rsid w:val="008176C0"/>
    <w:rsid w:val="00817C5C"/>
    <w:rsid w:val="00820753"/>
    <w:rsid w:val="008207EE"/>
    <w:rsid w:val="00820D63"/>
    <w:rsid w:val="00821664"/>
    <w:rsid w:val="008219BD"/>
    <w:rsid w:val="00821BB4"/>
    <w:rsid w:val="008228C1"/>
    <w:rsid w:val="008229FD"/>
    <w:rsid w:val="00822D29"/>
    <w:rsid w:val="00822D9C"/>
    <w:rsid w:val="00823671"/>
    <w:rsid w:val="00823881"/>
    <w:rsid w:val="00824311"/>
    <w:rsid w:val="0082453F"/>
    <w:rsid w:val="008247D6"/>
    <w:rsid w:val="0082545C"/>
    <w:rsid w:val="00825974"/>
    <w:rsid w:val="00825CC9"/>
    <w:rsid w:val="008277E9"/>
    <w:rsid w:val="00827942"/>
    <w:rsid w:val="008303C3"/>
    <w:rsid w:val="008309B2"/>
    <w:rsid w:val="008309F4"/>
    <w:rsid w:val="00831C13"/>
    <w:rsid w:val="00831C3E"/>
    <w:rsid w:val="0083202B"/>
    <w:rsid w:val="0083277C"/>
    <w:rsid w:val="00833425"/>
    <w:rsid w:val="008335D4"/>
    <w:rsid w:val="008336D3"/>
    <w:rsid w:val="008344C2"/>
    <w:rsid w:val="008346EE"/>
    <w:rsid w:val="00834B39"/>
    <w:rsid w:val="00835D89"/>
    <w:rsid w:val="00837BDA"/>
    <w:rsid w:val="008403FA"/>
    <w:rsid w:val="00841910"/>
    <w:rsid w:val="0084354A"/>
    <w:rsid w:val="00843835"/>
    <w:rsid w:val="00844318"/>
    <w:rsid w:val="00844C2A"/>
    <w:rsid w:val="00845BDE"/>
    <w:rsid w:val="0084607A"/>
    <w:rsid w:val="00846168"/>
    <w:rsid w:val="00846B8F"/>
    <w:rsid w:val="00847345"/>
    <w:rsid w:val="008477CE"/>
    <w:rsid w:val="00847DC7"/>
    <w:rsid w:val="00850476"/>
    <w:rsid w:val="008519AC"/>
    <w:rsid w:val="008521FC"/>
    <w:rsid w:val="008546B4"/>
    <w:rsid w:val="008553A4"/>
    <w:rsid w:val="008553E9"/>
    <w:rsid w:val="00855C0A"/>
    <w:rsid w:val="00856539"/>
    <w:rsid w:val="0085656C"/>
    <w:rsid w:val="008573B8"/>
    <w:rsid w:val="00857C0E"/>
    <w:rsid w:val="00857CC5"/>
    <w:rsid w:val="00857DD6"/>
    <w:rsid w:val="008615DD"/>
    <w:rsid w:val="00861A0E"/>
    <w:rsid w:val="00861F83"/>
    <w:rsid w:val="00862BC4"/>
    <w:rsid w:val="00865608"/>
    <w:rsid w:val="00865C49"/>
    <w:rsid w:val="0086604A"/>
    <w:rsid w:val="008661C3"/>
    <w:rsid w:val="0086691C"/>
    <w:rsid w:val="00866B68"/>
    <w:rsid w:val="008677E9"/>
    <w:rsid w:val="00867D32"/>
    <w:rsid w:val="00867DD3"/>
    <w:rsid w:val="00870DFC"/>
    <w:rsid w:val="008711C5"/>
    <w:rsid w:val="008714E9"/>
    <w:rsid w:val="00872642"/>
    <w:rsid w:val="008726E4"/>
    <w:rsid w:val="00872B80"/>
    <w:rsid w:val="00872BB7"/>
    <w:rsid w:val="00872F59"/>
    <w:rsid w:val="00873A96"/>
    <w:rsid w:val="00873B55"/>
    <w:rsid w:val="00874EBE"/>
    <w:rsid w:val="00875250"/>
    <w:rsid w:val="00875A72"/>
    <w:rsid w:val="008774CE"/>
    <w:rsid w:val="008800DB"/>
    <w:rsid w:val="00881346"/>
    <w:rsid w:val="008814CE"/>
    <w:rsid w:val="00881678"/>
    <w:rsid w:val="00881A77"/>
    <w:rsid w:val="00882251"/>
    <w:rsid w:val="00882273"/>
    <w:rsid w:val="008834BE"/>
    <w:rsid w:val="008844DF"/>
    <w:rsid w:val="00884B29"/>
    <w:rsid w:val="00884E1C"/>
    <w:rsid w:val="00884FD9"/>
    <w:rsid w:val="00885764"/>
    <w:rsid w:val="00887988"/>
    <w:rsid w:val="00890C59"/>
    <w:rsid w:val="00891A09"/>
    <w:rsid w:val="00892289"/>
    <w:rsid w:val="00893C15"/>
    <w:rsid w:val="00894977"/>
    <w:rsid w:val="00894A9D"/>
    <w:rsid w:val="008957C3"/>
    <w:rsid w:val="008969A7"/>
    <w:rsid w:val="00896BE9"/>
    <w:rsid w:val="008972A9"/>
    <w:rsid w:val="00897487"/>
    <w:rsid w:val="008A1A25"/>
    <w:rsid w:val="008A1EF2"/>
    <w:rsid w:val="008A290A"/>
    <w:rsid w:val="008A2BA5"/>
    <w:rsid w:val="008A2CEC"/>
    <w:rsid w:val="008A392A"/>
    <w:rsid w:val="008A3E02"/>
    <w:rsid w:val="008A418D"/>
    <w:rsid w:val="008A4383"/>
    <w:rsid w:val="008A43D7"/>
    <w:rsid w:val="008A45C1"/>
    <w:rsid w:val="008A603A"/>
    <w:rsid w:val="008A6C2B"/>
    <w:rsid w:val="008A6E4E"/>
    <w:rsid w:val="008A7082"/>
    <w:rsid w:val="008A7513"/>
    <w:rsid w:val="008B0FED"/>
    <w:rsid w:val="008B1A82"/>
    <w:rsid w:val="008B30EC"/>
    <w:rsid w:val="008B377C"/>
    <w:rsid w:val="008B3F1C"/>
    <w:rsid w:val="008B4BAF"/>
    <w:rsid w:val="008B5BAC"/>
    <w:rsid w:val="008B78F6"/>
    <w:rsid w:val="008B796C"/>
    <w:rsid w:val="008C0147"/>
    <w:rsid w:val="008C0319"/>
    <w:rsid w:val="008C06B5"/>
    <w:rsid w:val="008C07AD"/>
    <w:rsid w:val="008C11EB"/>
    <w:rsid w:val="008C1707"/>
    <w:rsid w:val="008C21B6"/>
    <w:rsid w:val="008C2C75"/>
    <w:rsid w:val="008C3859"/>
    <w:rsid w:val="008C39D1"/>
    <w:rsid w:val="008C42F8"/>
    <w:rsid w:val="008C47BC"/>
    <w:rsid w:val="008C52A1"/>
    <w:rsid w:val="008C61CA"/>
    <w:rsid w:val="008C6FB9"/>
    <w:rsid w:val="008C7A9D"/>
    <w:rsid w:val="008D0572"/>
    <w:rsid w:val="008D0800"/>
    <w:rsid w:val="008D0D75"/>
    <w:rsid w:val="008D25F6"/>
    <w:rsid w:val="008D30CD"/>
    <w:rsid w:val="008D46E8"/>
    <w:rsid w:val="008D5443"/>
    <w:rsid w:val="008D55AE"/>
    <w:rsid w:val="008D5F5D"/>
    <w:rsid w:val="008D5FBB"/>
    <w:rsid w:val="008D65B3"/>
    <w:rsid w:val="008D685D"/>
    <w:rsid w:val="008D6BE0"/>
    <w:rsid w:val="008D6DB0"/>
    <w:rsid w:val="008D7326"/>
    <w:rsid w:val="008D7701"/>
    <w:rsid w:val="008D7A5D"/>
    <w:rsid w:val="008E0B18"/>
    <w:rsid w:val="008E0DAC"/>
    <w:rsid w:val="008E0DE2"/>
    <w:rsid w:val="008E0F09"/>
    <w:rsid w:val="008E195E"/>
    <w:rsid w:val="008E379B"/>
    <w:rsid w:val="008E4B36"/>
    <w:rsid w:val="008F00FF"/>
    <w:rsid w:val="008F0BAF"/>
    <w:rsid w:val="008F0DF0"/>
    <w:rsid w:val="008F197C"/>
    <w:rsid w:val="008F3F53"/>
    <w:rsid w:val="008F52D6"/>
    <w:rsid w:val="008F5A01"/>
    <w:rsid w:val="008F71D7"/>
    <w:rsid w:val="008F75DA"/>
    <w:rsid w:val="008F78E4"/>
    <w:rsid w:val="00900A9F"/>
    <w:rsid w:val="00900D25"/>
    <w:rsid w:val="009018B1"/>
    <w:rsid w:val="0090302A"/>
    <w:rsid w:val="00903D0E"/>
    <w:rsid w:val="00903E47"/>
    <w:rsid w:val="009043C2"/>
    <w:rsid w:val="00904548"/>
    <w:rsid w:val="00905107"/>
    <w:rsid w:val="00905962"/>
    <w:rsid w:val="0090672A"/>
    <w:rsid w:val="00906AF3"/>
    <w:rsid w:val="00906B1C"/>
    <w:rsid w:val="00907300"/>
    <w:rsid w:val="00907529"/>
    <w:rsid w:val="00907EBB"/>
    <w:rsid w:val="00907FF6"/>
    <w:rsid w:val="009103FC"/>
    <w:rsid w:val="00910A43"/>
    <w:rsid w:val="00910E4B"/>
    <w:rsid w:val="00911A69"/>
    <w:rsid w:val="00912645"/>
    <w:rsid w:val="009127C1"/>
    <w:rsid w:val="00912C13"/>
    <w:rsid w:val="00913180"/>
    <w:rsid w:val="00913D8F"/>
    <w:rsid w:val="00914D74"/>
    <w:rsid w:val="00914EDC"/>
    <w:rsid w:val="00915EBE"/>
    <w:rsid w:val="009162DA"/>
    <w:rsid w:val="0091652F"/>
    <w:rsid w:val="009166AC"/>
    <w:rsid w:val="00916CDB"/>
    <w:rsid w:val="00916D28"/>
    <w:rsid w:val="009172D0"/>
    <w:rsid w:val="00920559"/>
    <w:rsid w:val="009212BF"/>
    <w:rsid w:val="00921C24"/>
    <w:rsid w:val="009225D0"/>
    <w:rsid w:val="00922A5D"/>
    <w:rsid w:val="00922F26"/>
    <w:rsid w:val="00923E92"/>
    <w:rsid w:val="009242AB"/>
    <w:rsid w:val="009249D6"/>
    <w:rsid w:val="0092502D"/>
    <w:rsid w:val="00925870"/>
    <w:rsid w:val="00925B19"/>
    <w:rsid w:val="00926933"/>
    <w:rsid w:val="00926F09"/>
    <w:rsid w:val="00930385"/>
    <w:rsid w:val="009309A7"/>
    <w:rsid w:val="009317AC"/>
    <w:rsid w:val="009317FF"/>
    <w:rsid w:val="00931CF6"/>
    <w:rsid w:val="00932D67"/>
    <w:rsid w:val="00932DF3"/>
    <w:rsid w:val="00933A01"/>
    <w:rsid w:val="00933CA8"/>
    <w:rsid w:val="009345EC"/>
    <w:rsid w:val="00934CB6"/>
    <w:rsid w:val="0093533C"/>
    <w:rsid w:val="0093605B"/>
    <w:rsid w:val="00937C8F"/>
    <w:rsid w:val="00937DFE"/>
    <w:rsid w:val="009411FC"/>
    <w:rsid w:val="009416D1"/>
    <w:rsid w:val="00941740"/>
    <w:rsid w:val="00941F60"/>
    <w:rsid w:val="0094299C"/>
    <w:rsid w:val="00942E2F"/>
    <w:rsid w:val="00943497"/>
    <w:rsid w:val="0094370B"/>
    <w:rsid w:val="00943717"/>
    <w:rsid w:val="009438D3"/>
    <w:rsid w:val="009446BF"/>
    <w:rsid w:val="009451B4"/>
    <w:rsid w:val="00945506"/>
    <w:rsid w:val="00945918"/>
    <w:rsid w:val="00945A13"/>
    <w:rsid w:val="00945BFD"/>
    <w:rsid w:val="00945DF1"/>
    <w:rsid w:val="00946326"/>
    <w:rsid w:val="00946E10"/>
    <w:rsid w:val="00947B85"/>
    <w:rsid w:val="00947C1F"/>
    <w:rsid w:val="009501A2"/>
    <w:rsid w:val="009503E8"/>
    <w:rsid w:val="009507C2"/>
    <w:rsid w:val="00950F7D"/>
    <w:rsid w:val="00951D59"/>
    <w:rsid w:val="00952610"/>
    <w:rsid w:val="009526CF"/>
    <w:rsid w:val="00952C44"/>
    <w:rsid w:val="00952F05"/>
    <w:rsid w:val="00954C91"/>
    <w:rsid w:val="00954D0A"/>
    <w:rsid w:val="00955069"/>
    <w:rsid w:val="0095556C"/>
    <w:rsid w:val="00957094"/>
    <w:rsid w:val="0095724E"/>
    <w:rsid w:val="00961D60"/>
    <w:rsid w:val="00962182"/>
    <w:rsid w:val="00962284"/>
    <w:rsid w:val="0096279D"/>
    <w:rsid w:val="0096335B"/>
    <w:rsid w:val="00963B54"/>
    <w:rsid w:val="00963DFF"/>
    <w:rsid w:val="00964522"/>
    <w:rsid w:val="00965309"/>
    <w:rsid w:val="0096593E"/>
    <w:rsid w:val="00965DCC"/>
    <w:rsid w:val="00966BA8"/>
    <w:rsid w:val="00970CD1"/>
    <w:rsid w:val="009712D1"/>
    <w:rsid w:val="0097186B"/>
    <w:rsid w:val="0097216B"/>
    <w:rsid w:val="00972D31"/>
    <w:rsid w:val="0097412A"/>
    <w:rsid w:val="00974A48"/>
    <w:rsid w:val="00974E90"/>
    <w:rsid w:val="009750B3"/>
    <w:rsid w:val="009756A6"/>
    <w:rsid w:val="009760F0"/>
    <w:rsid w:val="00977321"/>
    <w:rsid w:val="00977342"/>
    <w:rsid w:val="00977AF6"/>
    <w:rsid w:val="00980627"/>
    <w:rsid w:val="00980AFC"/>
    <w:rsid w:val="00981AE0"/>
    <w:rsid w:val="00981EDB"/>
    <w:rsid w:val="00982A60"/>
    <w:rsid w:val="00983673"/>
    <w:rsid w:val="0098387C"/>
    <w:rsid w:val="00983A5E"/>
    <w:rsid w:val="00983BB9"/>
    <w:rsid w:val="0098443F"/>
    <w:rsid w:val="00984D4F"/>
    <w:rsid w:val="00985E6B"/>
    <w:rsid w:val="00985ECC"/>
    <w:rsid w:val="00986094"/>
    <w:rsid w:val="00986919"/>
    <w:rsid w:val="00987CEE"/>
    <w:rsid w:val="00990545"/>
    <w:rsid w:val="0099054E"/>
    <w:rsid w:val="009912FF"/>
    <w:rsid w:val="00991ACF"/>
    <w:rsid w:val="00993104"/>
    <w:rsid w:val="00993E98"/>
    <w:rsid w:val="00994A9C"/>
    <w:rsid w:val="00994C04"/>
    <w:rsid w:val="009957D9"/>
    <w:rsid w:val="00995B3E"/>
    <w:rsid w:val="00995D5F"/>
    <w:rsid w:val="00996750"/>
    <w:rsid w:val="00996849"/>
    <w:rsid w:val="00997502"/>
    <w:rsid w:val="009A14DF"/>
    <w:rsid w:val="009A2EB8"/>
    <w:rsid w:val="009A3245"/>
    <w:rsid w:val="009A3D86"/>
    <w:rsid w:val="009A5140"/>
    <w:rsid w:val="009A685B"/>
    <w:rsid w:val="009A74DB"/>
    <w:rsid w:val="009A7888"/>
    <w:rsid w:val="009A79A4"/>
    <w:rsid w:val="009A7AF6"/>
    <w:rsid w:val="009B0752"/>
    <w:rsid w:val="009B1025"/>
    <w:rsid w:val="009B10A4"/>
    <w:rsid w:val="009B140D"/>
    <w:rsid w:val="009B26C8"/>
    <w:rsid w:val="009B435A"/>
    <w:rsid w:val="009B4585"/>
    <w:rsid w:val="009B57D7"/>
    <w:rsid w:val="009B67D9"/>
    <w:rsid w:val="009B715C"/>
    <w:rsid w:val="009B742E"/>
    <w:rsid w:val="009B7773"/>
    <w:rsid w:val="009B7EA2"/>
    <w:rsid w:val="009C0002"/>
    <w:rsid w:val="009C0518"/>
    <w:rsid w:val="009C057B"/>
    <w:rsid w:val="009C1189"/>
    <w:rsid w:val="009C196C"/>
    <w:rsid w:val="009C1BE4"/>
    <w:rsid w:val="009C2C09"/>
    <w:rsid w:val="009C2C85"/>
    <w:rsid w:val="009C369C"/>
    <w:rsid w:val="009C4F12"/>
    <w:rsid w:val="009C5461"/>
    <w:rsid w:val="009C5D3A"/>
    <w:rsid w:val="009C74E2"/>
    <w:rsid w:val="009C7581"/>
    <w:rsid w:val="009C7F5C"/>
    <w:rsid w:val="009D0E28"/>
    <w:rsid w:val="009D12D2"/>
    <w:rsid w:val="009D17BE"/>
    <w:rsid w:val="009D1A6E"/>
    <w:rsid w:val="009D2200"/>
    <w:rsid w:val="009D3DF7"/>
    <w:rsid w:val="009D519A"/>
    <w:rsid w:val="009D5316"/>
    <w:rsid w:val="009D5760"/>
    <w:rsid w:val="009D59A3"/>
    <w:rsid w:val="009D63FD"/>
    <w:rsid w:val="009D6629"/>
    <w:rsid w:val="009D6A05"/>
    <w:rsid w:val="009E06A4"/>
    <w:rsid w:val="009E1A44"/>
    <w:rsid w:val="009E1EE8"/>
    <w:rsid w:val="009E68EC"/>
    <w:rsid w:val="009E7708"/>
    <w:rsid w:val="009E777A"/>
    <w:rsid w:val="009E7A89"/>
    <w:rsid w:val="009E7DBA"/>
    <w:rsid w:val="009F00A5"/>
    <w:rsid w:val="009F0F40"/>
    <w:rsid w:val="009F1395"/>
    <w:rsid w:val="009F1AC6"/>
    <w:rsid w:val="009F1CA6"/>
    <w:rsid w:val="009F1D79"/>
    <w:rsid w:val="009F2BC3"/>
    <w:rsid w:val="009F32D5"/>
    <w:rsid w:val="009F4074"/>
    <w:rsid w:val="009F418D"/>
    <w:rsid w:val="009F430D"/>
    <w:rsid w:val="009F46A4"/>
    <w:rsid w:val="009F48FE"/>
    <w:rsid w:val="009F5817"/>
    <w:rsid w:val="009F66E7"/>
    <w:rsid w:val="009F7725"/>
    <w:rsid w:val="009F7A1C"/>
    <w:rsid w:val="00A005E7"/>
    <w:rsid w:val="00A00683"/>
    <w:rsid w:val="00A00837"/>
    <w:rsid w:val="00A00C36"/>
    <w:rsid w:val="00A01D65"/>
    <w:rsid w:val="00A0207F"/>
    <w:rsid w:val="00A03A62"/>
    <w:rsid w:val="00A045E1"/>
    <w:rsid w:val="00A0486C"/>
    <w:rsid w:val="00A04A36"/>
    <w:rsid w:val="00A04C70"/>
    <w:rsid w:val="00A04C76"/>
    <w:rsid w:val="00A052F6"/>
    <w:rsid w:val="00A055BF"/>
    <w:rsid w:val="00A069AD"/>
    <w:rsid w:val="00A0723B"/>
    <w:rsid w:val="00A07252"/>
    <w:rsid w:val="00A079D6"/>
    <w:rsid w:val="00A101ED"/>
    <w:rsid w:val="00A10656"/>
    <w:rsid w:val="00A10C17"/>
    <w:rsid w:val="00A10EE0"/>
    <w:rsid w:val="00A11376"/>
    <w:rsid w:val="00A11441"/>
    <w:rsid w:val="00A119E8"/>
    <w:rsid w:val="00A125FB"/>
    <w:rsid w:val="00A13ADA"/>
    <w:rsid w:val="00A13E57"/>
    <w:rsid w:val="00A148D9"/>
    <w:rsid w:val="00A14AE2"/>
    <w:rsid w:val="00A14CD2"/>
    <w:rsid w:val="00A14DD3"/>
    <w:rsid w:val="00A14DF3"/>
    <w:rsid w:val="00A14E04"/>
    <w:rsid w:val="00A14E0E"/>
    <w:rsid w:val="00A16571"/>
    <w:rsid w:val="00A17648"/>
    <w:rsid w:val="00A17E30"/>
    <w:rsid w:val="00A2070E"/>
    <w:rsid w:val="00A21256"/>
    <w:rsid w:val="00A235DC"/>
    <w:rsid w:val="00A23F7C"/>
    <w:rsid w:val="00A24101"/>
    <w:rsid w:val="00A241F1"/>
    <w:rsid w:val="00A25BD3"/>
    <w:rsid w:val="00A26376"/>
    <w:rsid w:val="00A265D5"/>
    <w:rsid w:val="00A26761"/>
    <w:rsid w:val="00A26F55"/>
    <w:rsid w:val="00A2728D"/>
    <w:rsid w:val="00A27713"/>
    <w:rsid w:val="00A27CA0"/>
    <w:rsid w:val="00A27F88"/>
    <w:rsid w:val="00A30077"/>
    <w:rsid w:val="00A3068B"/>
    <w:rsid w:val="00A31008"/>
    <w:rsid w:val="00A31469"/>
    <w:rsid w:val="00A31600"/>
    <w:rsid w:val="00A32476"/>
    <w:rsid w:val="00A3317A"/>
    <w:rsid w:val="00A34278"/>
    <w:rsid w:val="00A34E23"/>
    <w:rsid w:val="00A35295"/>
    <w:rsid w:val="00A355E0"/>
    <w:rsid w:val="00A3600F"/>
    <w:rsid w:val="00A36B34"/>
    <w:rsid w:val="00A37046"/>
    <w:rsid w:val="00A373BE"/>
    <w:rsid w:val="00A37438"/>
    <w:rsid w:val="00A411B0"/>
    <w:rsid w:val="00A41F0B"/>
    <w:rsid w:val="00A4214A"/>
    <w:rsid w:val="00A4320E"/>
    <w:rsid w:val="00A43513"/>
    <w:rsid w:val="00A43847"/>
    <w:rsid w:val="00A43DF0"/>
    <w:rsid w:val="00A44199"/>
    <w:rsid w:val="00A45107"/>
    <w:rsid w:val="00A45801"/>
    <w:rsid w:val="00A45ABD"/>
    <w:rsid w:val="00A478D2"/>
    <w:rsid w:val="00A47A04"/>
    <w:rsid w:val="00A507A9"/>
    <w:rsid w:val="00A50C31"/>
    <w:rsid w:val="00A51182"/>
    <w:rsid w:val="00A5157C"/>
    <w:rsid w:val="00A515BC"/>
    <w:rsid w:val="00A51BEA"/>
    <w:rsid w:val="00A51D22"/>
    <w:rsid w:val="00A5217D"/>
    <w:rsid w:val="00A52A9E"/>
    <w:rsid w:val="00A52AA8"/>
    <w:rsid w:val="00A52B15"/>
    <w:rsid w:val="00A5393C"/>
    <w:rsid w:val="00A539D6"/>
    <w:rsid w:val="00A53C06"/>
    <w:rsid w:val="00A53C80"/>
    <w:rsid w:val="00A5475D"/>
    <w:rsid w:val="00A55AC5"/>
    <w:rsid w:val="00A56748"/>
    <w:rsid w:val="00A5732B"/>
    <w:rsid w:val="00A576BC"/>
    <w:rsid w:val="00A57BF7"/>
    <w:rsid w:val="00A61741"/>
    <w:rsid w:val="00A61D68"/>
    <w:rsid w:val="00A621B5"/>
    <w:rsid w:val="00A629CF"/>
    <w:rsid w:val="00A63EAD"/>
    <w:rsid w:val="00A640C3"/>
    <w:rsid w:val="00A644FB"/>
    <w:rsid w:val="00A65156"/>
    <w:rsid w:val="00A6536B"/>
    <w:rsid w:val="00A65566"/>
    <w:rsid w:val="00A6557F"/>
    <w:rsid w:val="00A656F6"/>
    <w:rsid w:val="00A6570C"/>
    <w:rsid w:val="00A66152"/>
    <w:rsid w:val="00A664DB"/>
    <w:rsid w:val="00A67114"/>
    <w:rsid w:val="00A70B17"/>
    <w:rsid w:val="00A71541"/>
    <w:rsid w:val="00A715AD"/>
    <w:rsid w:val="00A71B39"/>
    <w:rsid w:val="00A71DB1"/>
    <w:rsid w:val="00A72F9C"/>
    <w:rsid w:val="00A73146"/>
    <w:rsid w:val="00A7330D"/>
    <w:rsid w:val="00A73598"/>
    <w:rsid w:val="00A74BCD"/>
    <w:rsid w:val="00A764FE"/>
    <w:rsid w:val="00A76DFF"/>
    <w:rsid w:val="00A76E5D"/>
    <w:rsid w:val="00A77BBF"/>
    <w:rsid w:val="00A77F6C"/>
    <w:rsid w:val="00A81723"/>
    <w:rsid w:val="00A8182A"/>
    <w:rsid w:val="00A81975"/>
    <w:rsid w:val="00A82D67"/>
    <w:rsid w:val="00A83282"/>
    <w:rsid w:val="00A835D6"/>
    <w:rsid w:val="00A83675"/>
    <w:rsid w:val="00A83C4A"/>
    <w:rsid w:val="00A84550"/>
    <w:rsid w:val="00A85615"/>
    <w:rsid w:val="00A861BC"/>
    <w:rsid w:val="00A86DF9"/>
    <w:rsid w:val="00A8753E"/>
    <w:rsid w:val="00A8772B"/>
    <w:rsid w:val="00A87E9A"/>
    <w:rsid w:val="00A87FA4"/>
    <w:rsid w:val="00A906DF"/>
    <w:rsid w:val="00A906E7"/>
    <w:rsid w:val="00A9087C"/>
    <w:rsid w:val="00A909A2"/>
    <w:rsid w:val="00A91164"/>
    <w:rsid w:val="00A912BC"/>
    <w:rsid w:val="00A916F1"/>
    <w:rsid w:val="00A935CF"/>
    <w:rsid w:val="00A93617"/>
    <w:rsid w:val="00A936B6"/>
    <w:rsid w:val="00A93D6E"/>
    <w:rsid w:val="00A9428D"/>
    <w:rsid w:val="00A942B3"/>
    <w:rsid w:val="00A946CF"/>
    <w:rsid w:val="00A96021"/>
    <w:rsid w:val="00A96630"/>
    <w:rsid w:val="00A96D1F"/>
    <w:rsid w:val="00A97089"/>
    <w:rsid w:val="00A9745B"/>
    <w:rsid w:val="00AA03E4"/>
    <w:rsid w:val="00AA06FA"/>
    <w:rsid w:val="00AA21E1"/>
    <w:rsid w:val="00AA2561"/>
    <w:rsid w:val="00AA26E1"/>
    <w:rsid w:val="00AA2B4C"/>
    <w:rsid w:val="00AA2E7F"/>
    <w:rsid w:val="00AA3C41"/>
    <w:rsid w:val="00AA449B"/>
    <w:rsid w:val="00AA4559"/>
    <w:rsid w:val="00AA4658"/>
    <w:rsid w:val="00AA4DA4"/>
    <w:rsid w:val="00AA6292"/>
    <w:rsid w:val="00AA667B"/>
    <w:rsid w:val="00AA6934"/>
    <w:rsid w:val="00AA7ED0"/>
    <w:rsid w:val="00AB10D6"/>
    <w:rsid w:val="00AB128E"/>
    <w:rsid w:val="00AB2107"/>
    <w:rsid w:val="00AB457F"/>
    <w:rsid w:val="00AB4A70"/>
    <w:rsid w:val="00AB4E4A"/>
    <w:rsid w:val="00AB5541"/>
    <w:rsid w:val="00AB5D87"/>
    <w:rsid w:val="00AB5F9A"/>
    <w:rsid w:val="00AB726C"/>
    <w:rsid w:val="00AB7760"/>
    <w:rsid w:val="00AB7AC5"/>
    <w:rsid w:val="00AB7B91"/>
    <w:rsid w:val="00AC00A5"/>
    <w:rsid w:val="00AC1051"/>
    <w:rsid w:val="00AC1500"/>
    <w:rsid w:val="00AC33B4"/>
    <w:rsid w:val="00AC35FC"/>
    <w:rsid w:val="00AC4F40"/>
    <w:rsid w:val="00AC662B"/>
    <w:rsid w:val="00AC6BD2"/>
    <w:rsid w:val="00AD0670"/>
    <w:rsid w:val="00AD1A92"/>
    <w:rsid w:val="00AD3B94"/>
    <w:rsid w:val="00AD4F6F"/>
    <w:rsid w:val="00AD54E2"/>
    <w:rsid w:val="00AD5F37"/>
    <w:rsid w:val="00AD6BD5"/>
    <w:rsid w:val="00AD74F3"/>
    <w:rsid w:val="00AE08F1"/>
    <w:rsid w:val="00AE09B4"/>
    <w:rsid w:val="00AE0DB7"/>
    <w:rsid w:val="00AE11CC"/>
    <w:rsid w:val="00AE14D3"/>
    <w:rsid w:val="00AE1C36"/>
    <w:rsid w:val="00AE20E1"/>
    <w:rsid w:val="00AE2D9E"/>
    <w:rsid w:val="00AE2FA2"/>
    <w:rsid w:val="00AE307A"/>
    <w:rsid w:val="00AE3E91"/>
    <w:rsid w:val="00AE4598"/>
    <w:rsid w:val="00AE49BB"/>
    <w:rsid w:val="00AE5568"/>
    <w:rsid w:val="00AE5BCE"/>
    <w:rsid w:val="00AE6571"/>
    <w:rsid w:val="00AE6DCF"/>
    <w:rsid w:val="00AE70FE"/>
    <w:rsid w:val="00AE7715"/>
    <w:rsid w:val="00AE7C30"/>
    <w:rsid w:val="00AF033F"/>
    <w:rsid w:val="00AF0F2F"/>
    <w:rsid w:val="00AF156E"/>
    <w:rsid w:val="00AF1621"/>
    <w:rsid w:val="00AF17C5"/>
    <w:rsid w:val="00AF28F9"/>
    <w:rsid w:val="00AF31DD"/>
    <w:rsid w:val="00AF3861"/>
    <w:rsid w:val="00AF4E2A"/>
    <w:rsid w:val="00AF6A00"/>
    <w:rsid w:val="00AF6F3D"/>
    <w:rsid w:val="00AF77F9"/>
    <w:rsid w:val="00AF79AE"/>
    <w:rsid w:val="00AF7B36"/>
    <w:rsid w:val="00B00047"/>
    <w:rsid w:val="00B004EB"/>
    <w:rsid w:val="00B007AC"/>
    <w:rsid w:val="00B0086E"/>
    <w:rsid w:val="00B00A3C"/>
    <w:rsid w:val="00B02419"/>
    <w:rsid w:val="00B027A7"/>
    <w:rsid w:val="00B032E7"/>
    <w:rsid w:val="00B0630E"/>
    <w:rsid w:val="00B0641B"/>
    <w:rsid w:val="00B10216"/>
    <w:rsid w:val="00B10A1D"/>
    <w:rsid w:val="00B11040"/>
    <w:rsid w:val="00B11149"/>
    <w:rsid w:val="00B11628"/>
    <w:rsid w:val="00B11975"/>
    <w:rsid w:val="00B11E0F"/>
    <w:rsid w:val="00B13A57"/>
    <w:rsid w:val="00B14AA6"/>
    <w:rsid w:val="00B15390"/>
    <w:rsid w:val="00B15A49"/>
    <w:rsid w:val="00B15E83"/>
    <w:rsid w:val="00B165B9"/>
    <w:rsid w:val="00B168C9"/>
    <w:rsid w:val="00B16EDF"/>
    <w:rsid w:val="00B2000E"/>
    <w:rsid w:val="00B21B1D"/>
    <w:rsid w:val="00B21BA5"/>
    <w:rsid w:val="00B21D7B"/>
    <w:rsid w:val="00B21EFF"/>
    <w:rsid w:val="00B225A5"/>
    <w:rsid w:val="00B23555"/>
    <w:rsid w:val="00B24093"/>
    <w:rsid w:val="00B246BA"/>
    <w:rsid w:val="00B24713"/>
    <w:rsid w:val="00B247E3"/>
    <w:rsid w:val="00B24E7F"/>
    <w:rsid w:val="00B25319"/>
    <w:rsid w:val="00B25976"/>
    <w:rsid w:val="00B25BC5"/>
    <w:rsid w:val="00B26172"/>
    <w:rsid w:val="00B269E9"/>
    <w:rsid w:val="00B26BEF"/>
    <w:rsid w:val="00B27922"/>
    <w:rsid w:val="00B27B61"/>
    <w:rsid w:val="00B27D1C"/>
    <w:rsid w:val="00B3123A"/>
    <w:rsid w:val="00B31440"/>
    <w:rsid w:val="00B32982"/>
    <w:rsid w:val="00B345D3"/>
    <w:rsid w:val="00B34BC8"/>
    <w:rsid w:val="00B3667E"/>
    <w:rsid w:val="00B36EB1"/>
    <w:rsid w:val="00B375CE"/>
    <w:rsid w:val="00B402FE"/>
    <w:rsid w:val="00B416DE"/>
    <w:rsid w:val="00B41937"/>
    <w:rsid w:val="00B43D3A"/>
    <w:rsid w:val="00B442AB"/>
    <w:rsid w:val="00B45869"/>
    <w:rsid w:val="00B45BB1"/>
    <w:rsid w:val="00B45BB6"/>
    <w:rsid w:val="00B46398"/>
    <w:rsid w:val="00B46851"/>
    <w:rsid w:val="00B468E4"/>
    <w:rsid w:val="00B46E5E"/>
    <w:rsid w:val="00B470DD"/>
    <w:rsid w:val="00B47CC9"/>
    <w:rsid w:val="00B50D23"/>
    <w:rsid w:val="00B510A5"/>
    <w:rsid w:val="00B51E3F"/>
    <w:rsid w:val="00B523EA"/>
    <w:rsid w:val="00B53C6D"/>
    <w:rsid w:val="00B54325"/>
    <w:rsid w:val="00B54DF2"/>
    <w:rsid w:val="00B54F50"/>
    <w:rsid w:val="00B551FD"/>
    <w:rsid w:val="00B555D5"/>
    <w:rsid w:val="00B569BB"/>
    <w:rsid w:val="00B57DA1"/>
    <w:rsid w:val="00B603A8"/>
    <w:rsid w:val="00B61D3A"/>
    <w:rsid w:val="00B620ED"/>
    <w:rsid w:val="00B63011"/>
    <w:rsid w:val="00B631D7"/>
    <w:rsid w:val="00B63333"/>
    <w:rsid w:val="00B63606"/>
    <w:rsid w:val="00B63E14"/>
    <w:rsid w:val="00B63FF9"/>
    <w:rsid w:val="00B65185"/>
    <w:rsid w:val="00B65D3A"/>
    <w:rsid w:val="00B67B42"/>
    <w:rsid w:val="00B71D75"/>
    <w:rsid w:val="00B72010"/>
    <w:rsid w:val="00B72222"/>
    <w:rsid w:val="00B72448"/>
    <w:rsid w:val="00B72467"/>
    <w:rsid w:val="00B72B69"/>
    <w:rsid w:val="00B731A3"/>
    <w:rsid w:val="00B73621"/>
    <w:rsid w:val="00B738CC"/>
    <w:rsid w:val="00B7522E"/>
    <w:rsid w:val="00B75D15"/>
    <w:rsid w:val="00B75E21"/>
    <w:rsid w:val="00B76AF9"/>
    <w:rsid w:val="00B7712E"/>
    <w:rsid w:val="00B80CC1"/>
    <w:rsid w:val="00B813D3"/>
    <w:rsid w:val="00B81655"/>
    <w:rsid w:val="00B8259B"/>
    <w:rsid w:val="00B82B86"/>
    <w:rsid w:val="00B83148"/>
    <w:rsid w:val="00B832C3"/>
    <w:rsid w:val="00B838E2"/>
    <w:rsid w:val="00B83D86"/>
    <w:rsid w:val="00B863EA"/>
    <w:rsid w:val="00B86943"/>
    <w:rsid w:val="00B9086C"/>
    <w:rsid w:val="00B90B8F"/>
    <w:rsid w:val="00B90FAF"/>
    <w:rsid w:val="00B91210"/>
    <w:rsid w:val="00B924F9"/>
    <w:rsid w:val="00B92B9B"/>
    <w:rsid w:val="00B93543"/>
    <w:rsid w:val="00B938B8"/>
    <w:rsid w:val="00B940DA"/>
    <w:rsid w:val="00B9510F"/>
    <w:rsid w:val="00B9653E"/>
    <w:rsid w:val="00B96FAF"/>
    <w:rsid w:val="00B972FE"/>
    <w:rsid w:val="00BA13A6"/>
    <w:rsid w:val="00BA2F39"/>
    <w:rsid w:val="00BA3963"/>
    <w:rsid w:val="00BA3BFD"/>
    <w:rsid w:val="00BA3ED0"/>
    <w:rsid w:val="00BA5861"/>
    <w:rsid w:val="00BA7DC7"/>
    <w:rsid w:val="00BB0629"/>
    <w:rsid w:val="00BB06D3"/>
    <w:rsid w:val="00BB0D13"/>
    <w:rsid w:val="00BB1BE3"/>
    <w:rsid w:val="00BB1EBA"/>
    <w:rsid w:val="00BB20A0"/>
    <w:rsid w:val="00BB303A"/>
    <w:rsid w:val="00BB3617"/>
    <w:rsid w:val="00BB46DB"/>
    <w:rsid w:val="00BB5234"/>
    <w:rsid w:val="00BB5527"/>
    <w:rsid w:val="00BB5595"/>
    <w:rsid w:val="00BB5AEC"/>
    <w:rsid w:val="00BB5DE5"/>
    <w:rsid w:val="00BB6B48"/>
    <w:rsid w:val="00BB75F0"/>
    <w:rsid w:val="00BB78E4"/>
    <w:rsid w:val="00BB7907"/>
    <w:rsid w:val="00BC0A9B"/>
    <w:rsid w:val="00BC1617"/>
    <w:rsid w:val="00BC16D6"/>
    <w:rsid w:val="00BC273C"/>
    <w:rsid w:val="00BC309A"/>
    <w:rsid w:val="00BC3305"/>
    <w:rsid w:val="00BC3A15"/>
    <w:rsid w:val="00BC3A6F"/>
    <w:rsid w:val="00BC3B6D"/>
    <w:rsid w:val="00BC656F"/>
    <w:rsid w:val="00BD0E72"/>
    <w:rsid w:val="00BD4A59"/>
    <w:rsid w:val="00BD4A88"/>
    <w:rsid w:val="00BD4F07"/>
    <w:rsid w:val="00BD533D"/>
    <w:rsid w:val="00BD5A1B"/>
    <w:rsid w:val="00BD5D80"/>
    <w:rsid w:val="00BD65EC"/>
    <w:rsid w:val="00BD680D"/>
    <w:rsid w:val="00BD692E"/>
    <w:rsid w:val="00BE1DA6"/>
    <w:rsid w:val="00BE1DC9"/>
    <w:rsid w:val="00BE1E06"/>
    <w:rsid w:val="00BE27F6"/>
    <w:rsid w:val="00BE2871"/>
    <w:rsid w:val="00BE29A5"/>
    <w:rsid w:val="00BE2C76"/>
    <w:rsid w:val="00BE2E29"/>
    <w:rsid w:val="00BE3417"/>
    <w:rsid w:val="00BE3585"/>
    <w:rsid w:val="00BE35E2"/>
    <w:rsid w:val="00BE4135"/>
    <w:rsid w:val="00BE4F20"/>
    <w:rsid w:val="00BE505C"/>
    <w:rsid w:val="00BE68D8"/>
    <w:rsid w:val="00BE7066"/>
    <w:rsid w:val="00BE7DF9"/>
    <w:rsid w:val="00BF01E0"/>
    <w:rsid w:val="00BF0D3C"/>
    <w:rsid w:val="00BF1526"/>
    <w:rsid w:val="00BF1BA1"/>
    <w:rsid w:val="00BF3A9D"/>
    <w:rsid w:val="00BF4406"/>
    <w:rsid w:val="00BF4BEF"/>
    <w:rsid w:val="00BF4C02"/>
    <w:rsid w:val="00BF501B"/>
    <w:rsid w:val="00BF5E8E"/>
    <w:rsid w:val="00BF6292"/>
    <w:rsid w:val="00BF63AF"/>
    <w:rsid w:val="00BF6862"/>
    <w:rsid w:val="00BF6981"/>
    <w:rsid w:val="00BF6A41"/>
    <w:rsid w:val="00C01073"/>
    <w:rsid w:val="00C012E9"/>
    <w:rsid w:val="00C01340"/>
    <w:rsid w:val="00C017CD"/>
    <w:rsid w:val="00C01B28"/>
    <w:rsid w:val="00C01B40"/>
    <w:rsid w:val="00C0213F"/>
    <w:rsid w:val="00C023FA"/>
    <w:rsid w:val="00C03340"/>
    <w:rsid w:val="00C04649"/>
    <w:rsid w:val="00C04DAA"/>
    <w:rsid w:val="00C05213"/>
    <w:rsid w:val="00C05708"/>
    <w:rsid w:val="00C05C12"/>
    <w:rsid w:val="00C05F91"/>
    <w:rsid w:val="00C068C8"/>
    <w:rsid w:val="00C069CA"/>
    <w:rsid w:val="00C06CB4"/>
    <w:rsid w:val="00C07944"/>
    <w:rsid w:val="00C07E1D"/>
    <w:rsid w:val="00C1046B"/>
    <w:rsid w:val="00C10C96"/>
    <w:rsid w:val="00C112D8"/>
    <w:rsid w:val="00C112E6"/>
    <w:rsid w:val="00C11C53"/>
    <w:rsid w:val="00C13088"/>
    <w:rsid w:val="00C16A15"/>
    <w:rsid w:val="00C179B0"/>
    <w:rsid w:val="00C17E06"/>
    <w:rsid w:val="00C20889"/>
    <w:rsid w:val="00C2175A"/>
    <w:rsid w:val="00C21892"/>
    <w:rsid w:val="00C223E7"/>
    <w:rsid w:val="00C22E11"/>
    <w:rsid w:val="00C22E63"/>
    <w:rsid w:val="00C24D1E"/>
    <w:rsid w:val="00C24FA8"/>
    <w:rsid w:val="00C2609E"/>
    <w:rsid w:val="00C2620D"/>
    <w:rsid w:val="00C26213"/>
    <w:rsid w:val="00C263B6"/>
    <w:rsid w:val="00C26AE3"/>
    <w:rsid w:val="00C26C05"/>
    <w:rsid w:val="00C27AEC"/>
    <w:rsid w:val="00C31182"/>
    <w:rsid w:val="00C31218"/>
    <w:rsid w:val="00C31D05"/>
    <w:rsid w:val="00C32809"/>
    <w:rsid w:val="00C32A9B"/>
    <w:rsid w:val="00C32F2D"/>
    <w:rsid w:val="00C3386A"/>
    <w:rsid w:val="00C33CB7"/>
    <w:rsid w:val="00C342DA"/>
    <w:rsid w:val="00C348C4"/>
    <w:rsid w:val="00C34F81"/>
    <w:rsid w:val="00C350F8"/>
    <w:rsid w:val="00C353F3"/>
    <w:rsid w:val="00C35969"/>
    <w:rsid w:val="00C35A50"/>
    <w:rsid w:val="00C3643E"/>
    <w:rsid w:val="00C37352"/>
    <w:rsid w:val="00C37622"/>
    <w:rsid w:val="00C37D8D"/>
    <w:rsid w:val="00C4027B"/>
    <w:rsid w:val="00C40664"/>
    <w:rsid w:val="00C40A6C"/>
    <w:rsid w:val="00C40E34"/>
    <w:rsid w:val="00C42479"/>
    <w:rsid w:val="00C42971"/>
    <w:rsid w:val="00C43D67"/>
    <w:rsid w:val="00C45850"/>
    <w:rsid w:val="00C45A5A"/>
    <w:rsid w:val="00C45D50"/>
    <w:rsid w:val="00C45E9A"/>
    <w:rsid w:val="00C46C7B"/>
    <w:rsid w:val="00C474CF"/>
    <w:rsid w:val="00C50403"/>
    <w:rsid w:val="00C50CCD"/>
    <w:rsid w:val="00C51D15"/>
    <w:rsid w:val="00C51ED8"/>
    <w:rsid w:val="00C5201D"/>
    <w:rsid w:val="00C523A1"/>
    <w:rsid w:val="00C53356"/>
    <w:rsid w:val="00C53724"/>
    <w:rsid w:val="00C543CA"/>
    <w:rsid w:val="00C56916"/>
    <w:rsid w:val="00C57450"/>
    <w:rsid w:val="00C57CF3"/>
    <w:rsid w:val="00C60961"/>
    <w:rsid w:val="00C611C5"/>
    <w:rsid w:val="00C6129D"/>
    <w:rsid w:val="00C613DE"/>
    <w:rsid w:val="00C61A71"/>
    <w:rsid w:val="00C62375"/>
    <w:rsid w:val="00C63A18"/>
    <w:rsid w:val="00C63D94"/>
    <w:rsid w:val="00C647E5"/>
    <w:rsid w:val="00C64940"/>
    <w:rsid w:val="00C64A74"/>
    <w:rsid w:val="00C65EA9"/>
    <w:rsid w:val="00C66987"/>
    <w:rsid w:val="00C66A04"/>
    <w:rsid w:val="00C66B22"/>
    <w:rsid w:val="00C6786C"/>
    <w:rsid w:val="00C703EF"/>
    <w:rsid w:val="00C708AC"/>
    <w:rsid w:val="00C70C84"/>
    <w:rsid w:val="00C71417"/>
    <w:rsid w:val="00C72067"/>
    <w:rsid w:val="00C73DDD"/>
    <w:rsid w:val="00C7496E"/>
    <w:rsid w:val="00C74DCD"/>
    <w:rsid w:val="00C75816"/>
    <w:rsid w:val="00C764CE"/>
    <w:rsid w:val="00C76889"/>
    <w:rsid w:val="00C7719D"/>
    <w:rsid w:val="00C81A2C"/>
    <w:rsid w:val="00C82031"/>
    <w:rsid w:val="00C823F2"/>
    <w:rsid w:val="00C826AE"/>
    <w:rsid w:val="00C8359F"/>
    <w:rsid w:val="00C841AC"/>
    <w:rsid w:val="00C8423E"/>
    <w:rsid w:val="00C84BBC"/>
    <w:rsid w:val="00C84BDF"/>
    <w:rsid w:val="00C85528"/>
    <w:rsid w:val="00C85797"/>
    <w:rsid w:val="00C85C1F"/>
    <w:rsid w:val="00C85C42"/>
    <w:rsid w:val="00C866AF"/>
    <w:rsid w:val="00C8694D"/>
    <w:rsid w:val="00C86B41"/>
    <w:rsid w:val="00C90411"/>
    <w:rsid w:val="00C909EC"/>
    <w:rsid w:val="00C91859"/>
    <w:rsid w:val="00C92467"/>
    <w:rsid w:val="00C92ECA"/>
    <w:rsid w:val="00C930E7"/>
    <w:rsid w:val="00C9398C"/>
    <w:rsid w:val="00C939A3"/>
    <w:rsid w:val="00C94755"/>
    <w:rsid w:val="00C94BFB"/>
    <w:rsid w:val="00C94D52"/>
    <w:rsid w:val="00C9504E"/>
    <w:rsid w:val="00C9569A"/>
    <w:rsid w:val="00C95FA2"/>
    <w:rsid w:val="00C965A1"/>
    <w:rsid w:val="00C967A7"/>
    <w:rsid w:val="00C96A12"/>
    <w:rsid w:val="00C97A81"/>
    <w:rsid w:val="00CA10EF"/>
    <w:rsid w:val="00CA1485"/>
    <w:rsid w:val="00CA1C8C"/>
    <w:rsid w:val="00CA4B44"/>
    <w:rsid w:val="00CA4E70"/>
    <w:rsid w:val="00CA652E"/>
    <w:rsid w:val="00CB059B"/>
    <w:rsid w:val="00CB0D85"/>
    <w:rsid w:val="00CB1B19"/>
    <w:rsid w:val="00CB2EF8"/>
    <w:rsid w:val="00CB5005"/>
    <w:rsid w:val="00CB5E34"/>
    <w:rsid w:val="00CB5F02"/>
    <w:rsid w:val="00CB66A5"/>
    <w:rsid w:val="00CB7720"/>
    <w:rsid w:val="00CC05F3"/>
    <w:rsid w:val="00CC08ED"/>
    <w:rsid w:val="00CC1334"/>
    <w:rsid w:val="00CC1CD1"/>
    <w:rsid w:val="00CC2EF8"/>
    <w:rsid w:val="00CC353F"/>
    <w:rsid w:val="00CC35A5"/>
    <w:rsid w:val="00CC3E59"/>
    <w:rsid w:val="00CC4329"/>
    <w:rsid w:val="00CC460A"/>
    <w:rsid w:val="00CC4BCA"/>
    <w:rsid w:val="00CC50EC"/>
    <w:rsid w:val="00CC5546"/>
    <w:rsid w:val="00CC58F3"/>
    <w:rsid w:val="00CC59F7"/>
    <w:rsid w:val="00CC5B51"/>
    <w:rsid w:val="00CC5D84"/>
    <w:rsid w:val="00CC5E72"/>
    <w:rsid w:val="00CC7583"/>
    <w:rsid w:val="00CD0A8B"/>
    <w:rsid w:val="00CD19D8"/>
    <w:rsid w:val="00CD19F0"/>
    <w:rsid w:val="00CD1E4A"/>
    <w:rsid w:val="00CD1E85"/>
    <w:rsid w:val="00CD1F80"/>
    <w:rsid w:val="00CD2CD8"/>
    <w:rsid w:val="00CD4130"/>
    <w:rsid w:val="00CD4922"/>
    <w:rsid w:val="00CD51AB"/>
    <w:rsid w:val="00CD559A"/>
    <w:rsid w:val="00CD56EA"/>
    <w:rsid w:val="00CD5B51"/>
    <w:rsid w:val="00CD6132"/>
    <w:rsid w:val="00CD6D2A"/>
    <w:rsid w:val="00CD7960"/>
    <w:rsid w:val="00CE0BD4"/>
    <w:rsid w:val="00CE1A64"/>
    <w:rsid w:val="00CE1B8D"/>
    <w:rsid w:val="00CE2144"/>
    <w:rsid w:val="00CE2D4E"/>
    <w:rsid w:val="00CE2F42"/>
    <w:rsid w:val="00CE4BC2"/>
    <w:rsid w:val="00CE55EF"/>
    <w:rsid w:val="00CE56EA"/>
    <w:rsid w:val="00CE5A6E"/>
    <w:rsid w:val="00CE61E8"/>
    <w:rsid w:val="00CE6336"/>
    <w:rsid w:val="00CE6849"/>
    <w:rsid w:val="00CE69A5"/>
    <w:rsid w:val="00CE7A1F"/>
    <w:rsid w:val="00CE7BD9"/>
    <w:rsid w:val="00CF05A0"/>
    <w:rsid w:val="00CF0620"/>
    <w:rsid w:val="00CF0919"/>
    <w:rsid w:val="00CF0B9D"/>
    <w:rsid w:val="00CF0E92"/>
    <w:rsid w:val="00CF1217"/>
    <w:rsid w:val="00CF1806"/>
    <w:rsid w:val="00CF1CDE"/>
    <w:rsid w:val="00CF218A"/>
    <w:rsid w:val="00CF2535"/>
    <w:rsid w:val="00CF3462"/>
    <w:rsid w:val="00CF39DA"/>
    <w:rsid w:val="00CF3A60"/>
    <w:rsid w:val="00CF42A8"/>
    <w:rsid w:val="00CF57A7"/>
    <w:rsid w:val="00CF5C53"/>
    <w:rsid w:val="00CF6AF8"/>
    <w:rsid w:val="00CF76F9"/>
    <w:rsid w:val="00CF7A38"/>
    <w:rsid w:val="00CF7DD5"/>
    <w:rsid w:val="00D00044"/>
    <w:rsid w:val="00D00152"/>
    <w:rsid w:val="00D00A2F"/>
    <w:rsid w:val="00D00B0A"/>
    <w:rsid w:val="00D014B3"/>
    <w:rsid w:val="00D0194A"/>
    <w:rsid w:val="00D01C5B"/>
    <w:rsid w:val="00D02961"/>
    <w:rsid w:val="00D02A77"/>
    <w:rsid w:val="00D031A1"/>
    <w:rsid w:val="00D032CA"/>
    <w:rsid w:val="00D0697F"/>
    <w:rsid w:val="00D06AAD"/>
    <w:rsid w:val="00D06C17"/>
    <w:rsid w:val="00D07EFE"/>
    <w:rsid w:val="00D10634"/>
    <w:rsid w:val="00D10FE2"/>
    <w:rsid w:val="00D11B6F"/>
    <w:rsid w:val="00D121AE"/>
    <w:rsid w:val="00D1373C"/>
    <w:rsid w:val="00D13D4B"/>
    <w:rsid w:val="00D15B21"/>
    <w:rsid w:val="00D20029"/>
    <w:rsid w:val="00D20AF1"/>
    <w:rsid w:val="00D2138B"/>
    <w:rsid w:val="00D22469"/>
    <w:rsid w:val="00D225C3"/>
    <w:rsid w:val="00D229CE"/>
    <w:rsid w:val="00D23412"/>
    <w:rsid w:val="00D23CFC"/>
    <w:rsid w:val="00D23F11"/>
    <w:rsid w:val="00D2401C"/>
    <w:rsid w:val="00D2431E"/>
    <w:rsid w:val="00D25325"/>
    <w:rsid w:val="00D26011"/>
    <w:rsid w:val="00D27105"/>
    <w:rsid w:val="00D273FF"/>
    <w:rsid w:val="00D30DF8"/>
    <w:rsid w:val="00D3147B"/>
    <w:rsid w:val="00D3192C"/>
    <w:rsid w:val="00D31DFD"/>
    <w:rsid w:val="00D31E1D"/>
    <w:rsid w:val="00D32778"/>
    <w:rsid w:val="00D329B2"/>
    <w:rsid w:val="00D32C32"/>
    <w:rsid w:val="00D32CE3"/>
    <w:rsid w:val="00D334DB"/>
    <w:rsid w:val="00D35422"/>
    <w:rsid w:val="00D3613E"/>
    <w:rsid w:val="00D36210"/>
    <w:rsid w:val="00D3685E"/>
    <w:rsid w:val="00D36928"/>
    <w:rsid w:val="00D3726D"/>
    <w:rsid w:val="00D37CA2"/>
    <w:rsid w:val="00D4074B"/>
    <w:rsid w:val="00D42E89"/>
    <w:rsid w:val="00D42FF7"/>
    <w:rsid w:val="00D431C5"/>
    <w:rsid w:val="00D43B3F"/>
    <w:rsid w:val="00D4443C"/>
    <w:rsid w:val="00D44B0E"/>
    <w:rsid w:val="00D44CB2"/>
    <w:rsid w:val="00D4549F"/>
    <w:rsid w:val="00D4624C"/>
    <w:rsid w:val="00D46970"/>
    <w:rsid w:val="00D46F78"/>
    <w:rsid w:val="00D500A4"/>
    <w:rsid w:val="00D504C1"/>
    <w:rsid w:val="00D52926"/>
    <w:rsid w:val="00D53153"/>
    <w:rsid w:val="00D53F42"/>
    <w:rsid w:val="00D548D2"/>
    <w:rsid w:val="00D56372"/>
    <w:rsid w:val="00D57636"/>
    <w:rsid w:val="00D576B0"/>
    <w:rsid w:val="00D5795A"/>
    <w:rsid w:val="00D57A08"/>
    <w:rsid w:val="00D57BD1"/>
    <w:rsid w:val="00D57DB6"/>
    <w:rsid w:val="00D57F9A"/>
    <w:rsid w:val="00D60979"/>
    <w:rsid w:val="00D622F5"/>
    <w:rsid w:val="00D6248A"/>
    <w:rsid w:val="00D625E5"/>
    <w:rsid w:val="00D634EE"/>
    <w:rsid w:val="00D637C0"/>
    <w:rsid w:val="00D64134"/>
    <w:rsid w:val="00D6493A"/>
    <w:rsid w:val="00D658DA"/>
    <w:rsid w:val="00D6598F"/>
    <w:rsid w:val="00D65C20"/>
    <w:rsid w:val="00D6613E"/>
    <w:rsid w:val="00D66AF9"/>
    <w:rsid w:val="00D66BFD"/>
    <w:rsid w:val="00D672AD"/>
    <w:rsid w:val="00D676D9"/>
    <w:rsid w:val="00D70681"/>
    <w:rsid w:val="00D7153E"/>
    <w:rsid w:val="00D72850"/>
    <w:rsid w:val="00D72C68"/>
    <w:rsid w:val="00D7305A"/>
    <w:rsid w:val="00D7374C"/>
    <w:rsid w:val="00D74D13"/>
    <w:rsid w:val="00D75850"/>
    <w:rsid w:val="00D75FB2"/>
    <w:rsid w:val="00D760F2"/>
    <w:rsid w:val="00D76E6A"/>
    <w:rsid w:val="00D7765A"/>
    <w:rsid w:val="00D81245"/>
    <w:rsid w:val="00D81349"/>
    <w:rsid w:val="00D81598"/>
    <w:rsid w:val="00D815C1"/>
    <w:rsid w:val="00D81C11"/>
    <w:rsid w:val="00D81E42"/>
    <w:rsid w:val="00D82DF9"/>
    <w:rsid w:val="00D83277"/>
    <w:rsid w:val="00D83807"/>
    <w:rsid w:val="00D838EB"/>
    <w:rsid w:val="00D8558E"/>
    <w:rsid w:val="00D863DE"/>
    <w:rsid w:val="00D87177"/>
    <w:rsid w:val="00D90AE0"/>
    <w:rsid w:val="00D90EEE"/>
    <w:rsid w:val="00D914D7"/>
    <w:rsid w:val="00D91706"/>
    <w:rsid w:val="00D91794"/>
    <w:rsid w:val="00D9290C"/>
    <w:rsid w:val="00D92C29"/>
    <w:rsid w:val="00D93797"/>
    <w:rsid w:val="00D93C1B"/>
    <w:rsid w:val="00D93CDF"/>
    <w:rsid w:val="00D94266"/>
    <w:rsid w:val="00D94AB7"/>
    <w:rsid w:val="00D95208"/>
    <w:rsid w:val="00D95D7C"/>
    <w:rsid w:val="00D96133"/>
    <w:rsid w:val="00D9639C"/>
    <w:rsid w:val="00D96BD4"/>
    <w:rsid w:val="00D972FA"/>
    <w:rsid w:val="00DA030A"/>
    <w:rsid w:val="00DA05BC"/>
    <w:rsid w:val="00DA1246"/>
    <w:rsid w:val="00DA12CE"/>
    <w:rsid w:val="00DA1648"/>
    <w:rsid w:val="00DA227C"/>
    <w:rsid w:val="00DA42B3"/>
    <w:rsid w:val="00DA4955"/>
    <w:rsid w:val="00DA5717"/>
    <w:rsid w:val="00DA66E6"/>
    <w:rsid w:val="00DA6FAF"/>
    <w:rsid w:val="00DB17E9"/>
    <w:rsid w:val="00DB17FD"/>
    <w:rsid w:val="00DB1801"/>
    <w:rsid w:val="00DB1D9B"/>
    <w:rsid w:val="00DB2BF4"/>
    <w:rsid w:val="00DB2DF9"/>
    <w:rsid w:val="00DB3143"/>
    <w:rsid w:val="00DB37F8"/>
    <w:rsid w:val="00DB393C"/>
    <w:rsid w:val="00DB413E"/>
    <w:rsid w:val="00DB4ADB"/>
    <w:rsid w:val="00DB5154"/>
    <w:rsid w:val="00DB547E"/>
    <w:rsid w:val="00DB55CB"/>
    <w:rsid w:val="00DB5B78"/>
    <w:rsid w:val="00DB6406"/>
    <w:rsid w:val="00DB76A7"/>
    <w:rsid w:val="00DC0354"/>
    <w:rsid w:val="00DC0373"/>
    <w:rsid w:val="00DC13BF"/>
    <w:rsid w:val="00DC148C"/>
    <w:rsid w:val="00DC26BB"/>
    <w:rsid w:val="00DC2E28"/>
    <w:rsid w:val="00DC368E"/>
    <w:rsid w:val="00DC3B3E"/>
    <w:rsid w:val="00DC43DE"/>
    <w:rsid w:val="00DC69D6"/>
    <w:rsid w:val="00DC6F23"/>
    <w:rsid w:val="00DC7257"/>
    <w:rsid w:val="00DC760A"/>
    <w:rsid w:val="00DD066E"/>
    <w:rsid w:val="00DD11B2"/>
    <w:rsid w:val="00DD120B"/>
    <w:rsid w:val="00DD1FBC"/>
    <w:rsid w:val="00DD21B1"/>
    <w:rsid w:val="00DD2BCC"/>
    <w:rsid w:val="00DD2F0B"/>
    <w:rsid w:val="00DD3256"/>
    <w:rsid w:val="00DD3A04"/>
    <w:rsid w:val="00DD3AAF"/>
    <w:rsid w:val="00DD3D47"/>
    <w:rsid w:val="00DD3E4C"/>
    <w:rsid w:val="00DD4376"/>
    <w:rsid w:val="00DD5424"/>
    <w:rsid w:val="00DD5656"/>
    <w:rsid w:val="00DD5CA9"/>
    <w:rsid w:val="00DD5DF9"/>
    <w:rsid w:val="00DD60D1"/>
    <w:rsid w:val="00DD6A5B"/>
    <w:rsid w:val="00DD720B"/>
    <w:rsid w:val="00DD76AE"/>
    <w:rsid w:val="00DD7B47"/>
    <w:rsid w:val="00DD7E29"/>
    <w:rsid w:val="00DE05B2"/>
    <w:rsid w:val="00DE0932"/>
    <w:rsid w:val="00DE0950"/>
    <w:rsid w:val="00DE0C2F"/>
    <w:rsid w:val="00DE0D11"/>
    <w:rsid w:val="00DE1758"/>
    <w:rsid w:val="00DE1842"/>
    <w:rsid w:val="00DE1A28"/>
    <w:rsid w:val="00DE2997"/>
    <w:rsid w:val="00DE2AA9"/>
    <w:rsid w:val="00DE2AC3"/>
    <w:rsid w:val="00DE2B2C"/>
    <w:rsid w:val="00DE366B"/>
    <w:rsid w:val="00DE3F27"/>
    <w:rsid w:val="00DE5A52"/>
    <w:rsid w:val="00DE5D8D"/>
    <w:rsid w:val="00DE619E"/>
    <w:rsid w:val="00DE656A"/>
    <w:rsid w:val="00DE7384"/>
    <w:rsid w:val="00DF027C"/>
    <w:rsid w:val="00DF02A8"/>
    <w:rsid w:val="00DF0750"/>
    <w:rsid w:val="00DF0C92"/>
    <w:rsid w:val="00DF129A"/>
    <w:rsid w:val="00DF18AF"/>
    <w:rsid w:val="00DF1C14"/>
    <w:rsid w:val="00DF1F40"/>
    <w:rsid w:val="00DF1FDB"/>
    <w:rsid w:val="00DF2624"/>
    <w:rsid w:val="00DF26D4"/>
    <w:rsid w:val="00DF2DCB"/>
    <w:rsid w:val="00DF4365"/>
    <w:rsid w:val="00DF4A9D"/>
    <w:rsid w:val="00DF7272"/>
    <w:rsid w:val="00DF76AD"/>
    <w:rsid w:val="00DF774F"/>
    <w:rsid w:val="00E00857"/>
    <w:rsid w:val="00E039D3"/>
    <w:rsid w:val="00E03EAA"/>
    <w:rsid w:val="00E0483A"/>
    <w:rsid w:val="00E05AA9"/>
    <w:rsid w:val="00E05E8A"/>
    <w:rsid w:val="00E0679E"/>
    <w:rsid w:val="00E07340"/>
    <w:rsid w:val="00E101E9"/>
    <w:rsid w:val="00E106F1"/>
    <w:rsid w:val="00E10C5A"/>
    <w:rsid w:val="00E11FC1"/>
    <w:rsid w:val="00E13778"/>
    <w:rsid w:val="00E142C5"/>
    <w:rsid w:val="00E14C18"/>
    <w:rsid w:val="00E14F0F"/>
    <w:rsid w:val="00E150E6"/>
    <w:rsid w:val="00E1542A"/>
    <w:rsid w:val="00E16B3F"/>
    <w:rsid w:val="00E17145"/>
    <w:rsid w:val="00E176F3"/>
    <w:rsid w:val="00E17811"/>
    <w:rsid w:val="00E203AC"/>
    <w:rsid w:val="00E215C9"/>
    <w:rsid w:val="00E2217F"/>
    <w:rsid w:val="00E223B5"/>
    <w:rsid w:val="00E2359F"/>
    <w:rsid w:val="00E2393C"/>
    <w:rsid w:val="00E24240"/>
    <w:rsid w:val="00E25230"/>
    <w:rsid w:val="00E258EF"/>
    <w:rsid w:val="00E25A47"/>
    <w:rsid w:val="00E2670A"/>
    <w:rsid w:val="00E31350"/>
    <w:rsid w:val="00E31B28"/>
    <w:rsid w:val="00E325F0"/>
    <w:rsid w:val="00E33273"/>
    <w:rsid w:val="00E33885"/>
    <w:rsid w:val="00E34A1A"/>
    <w:rsid w:val="00E34D09"/>
    <w:rsid w:val="00E35045"/>
    <w:rsid w:val="00E35574"/>
    <w:rsid w:val="00E3593E"/>
    <w:rsid w:val="00E3595C"/>
    <w:rsid w:val="00E35CDE"/>
    <w:rsid w:val="00E35DEF"/>
    <w:rsid w:val="00E36030"/>
    <w:rsid w:val="00E36F50"/>
    <w:rsid w:val="00E40EAF"/>
    <w:rsid w:val="00E40F91"/>
    <w:rsid w:val="00E41DA2"/>
    <w:rsid w:val="00E4279A"/>
    <w:rsid w:val="00E437D4"/>
    <w:rsid w:val="00E44638"/>
    <w:rsid w:val="00E4476E"/>
    <w:rsid w:val="00E4481B"/>
    <w:rsid w:val="00E451E1"/>
    <w:rsid w:val="00E45E23"/>
    <w:rsid w:val="00E4751F"/>
    <w:rsid w:val="00E504F1"/>
    <w:rsid w:val="00E50827"/>
    <w:rsid w:val="00E50C92"/>
    <w:rsid w:val="00E50D49"/>
    <w:rsid w:val="00E51A44"/>
    <w:rsid w:val="00E52EAA"/>
    <w:rsid w:val="00E547EF"/>
    <w:rsid w:val="00E54DD7"/>
    <w:rsid w:val="00E561BB"/>
    <w:rsid w:val="00E57017"/>
    <w:rsid w:val="00E61896"/>
    <w:rsid w:val="00E61F28"/>
    <w:rsid w:val="00E6245E"/>
    <w:rsid w:val="00E62A57"/>
    <w:rsid w:val="00E62CCA"/>
    <w:rsid w:val="00E636DA"/>
    <w:rsid w:val="00E6432F"/>
    <w:rsid w:val="00E650C7"/>
    <w:rsid w:val="00E673E0"/>
    <w:rsid w:val="00E67AE1"/>
    <w:rsid w:val="00E70123"/>
    <w:rsid w:val="00E7030A"/>
    <w:rsid w:val="00E70CEC"/>
    <w:rsid w:val="00E71DAD"/>
    <w:rsid w:val="00E71F40"/>
    <w:rsid w:val="00E72365"/>
    <w:rsid w:val="00E72E69"/>
    <w:rsid w:val="00E73CA5"/>
    <w:rsid w:val="00E742AC"/>
    <w:rsid w:val="00E74C3F"/>
    <w:rsid w:val="00E76248"/>
    <w:rsid w:val="00E77ADD"/>
    <w:rsid w:val="00E77E74"/>
    <w:rsid w:val="00E803A7"/>
    <w:rsid w:val="00E818E5"/>
    <w:rsid w:val="00E81B4C"/>
    <w:rsid w:val="00E8235B"/>
    <w:rsid w:val="00E8251A"/>
    <w:rsid w:val="00E828D2"/>
    <w:rsid w:val="00E836CB"/>
    <w:rsid w:val="00E837E5"/>
    <w:rsid w:val="00E840BE"/>
    <w:rsid w:val="00E8436B"/>
    <w:rsid w:val="00E8487B"/>
    <w:rsid w:val="00E84D57"/>
    <w:rsid w:val="00E84F99"/>
    <w:rsid w:val="00E8503F"/>
    <w:rsid w:val="00E851A9"/>
    <w:rsid w:val="00E85638"/>
    <w:rsid w:val="00E85F84"/>
    <w:rsid w:val="00E86EE7"/>
    <w:rsid w:val="00E87BA2"/>
    <w:rsid w:val="00E906B2"/>
    <w:rsid w:val="00E91738"/>
    <w:rsid w:val="00E92684"/>
    <w:rsid w:val="00E9306E"/>
    <w:rsid w:val="00E93DBD"/>
    <w:rsid w:val="00E95CD6"/>
    <w:rsid w:val="00E95DAC"/>
    <w:rsid w:val="00E97EDE"/>
    <w:rsid w:val="00EA04A4"/>
    <w:rsid w:val="00EA077B"/>
    <w:rsid w:val="00EA1E12"/>
    <w:rsid w:val="00EA4DE0"/>
    <w:rsid w:val="00EA4FCD"/>
    <w:rsid w:val="00EA52A9"/>
    <w:rsid w:val="00EA6298"/>
    <w:rsid w:val="00EA67B4"/>
    <w:rsid w:val="00EA681F"/>
    <w:rsid w:val="00EA6A08"/>
    <w:rsid w:val="00EA6B0F"/>
    <w:rsid w:val="00EA6E0B"/>
    <w:rsid w:val="00EA7839"/>
    <w:rsid w:val="00EA7A0B"/>
    <w:rsid w:val="00EB014F"/>
    <w:rsid w:val="00EB1132"/>
    <w:rsid w:val="00EB1CBB"/>
    <w:rsid w:val="00EB1DFE"/>
    <w:rsid w:val="00EB1ECC"/>
    <w:rsid w:val="00EB1EEC"/>
    <w:rsid w:val="00EB21B2"/>
    <w:rsid w:val="00EB2C67"/>
    <w:rsid w:val="00EB2D71"/>
    <w:rsid w:val="00EB3655"/>
    <w:rsid w:val="00EB3A82"/>
    <w:rsid w:val="00EB3FD7"/>
    <w:rsid w:val="00EB52CE"/>
    <w:rsid w:val="00EB54B1"/>
    <w:rsid w:val="00EB6304"/>
    <w:rsid w:val="00EB6C9D"/>
    <w:rsid w:val="00EB7BC6"/>
    <w:rsid w:val="00EC0173"/>
    <w:rsid w:val="00EC01E5"/>
    <w:rsid w:val="00EC0989"/>
    <w:rsid w:val="00EC2DE0"/>
    <w:rsid w:val="00EC2F34"/>
    <w:rsid w:val="00EC39ED"/>
    <w:rsid w:val="00EC421B"/>
    <w:rsid w:val="00EC4558"/>
    <w:rsid w:val="00EC5A0D"/>
    <w:rsid w:val="00EC5E0F"/>
    <w:rsid w:val="00EC6F1B"/>
    <w:rsid w:val="00EC7C06"/>
    <w:rsid w:val="00EC7D9F"/>
    <w:rsid w:val="00ED0421"/>
    <w:rsid w:val="00ED0A78"/>
    <w:rsid w:val="00ED0EE4"/>
    <w:rsid w:val="00ED1658"/>
    <w:rsid w:val="00ED1C32"/>
    <w:rsid w:val="00ED2416"/>
    <w:rsid w:val="00ED282A"/>
    <w:rsid w:val="00ED291C"/>
    <w:rsid w:val="00ED2B2F"/>
    <w:rsid w:val="00ED32B0"/>
    <w:rsid w:val="00ED3FCE"/>
    <w:rsid w:val="00ED4752"/>
    <w:rsid w:val="00ED4897"/>
    <w:rsid w:val="00ED4DD6"/>
    <w:rsid w:val="00ED68B8"/>
    <w:rsid w:val="00ED69B2"/>
    <w:rsid w:val="00ED6B26"/>
    <w:rsid w:val="00ED7405"/>
    <w:rsid w:val="00ED7C7B"/>
    <w:rsid w:val="00ED7CD7"/>
    <w:rsid w:val="00EE0F7D"/>
    <w:rsid w:val="00EE1B88"/>
    <w:rsid w:val="00EE2466"/>
    <w:rsid w:val="00EE2CCF"/>
    <w:rsid w:val="00EE2DFE"/>
    <w:rsid w:val="00EE354F"/>
    <w:rsid w:val="00EE3BB2"/>
    <w:rsid w:val="00EE3D1A"/>
    <w:rsid w:val="00EE3DF5"/>
    <w:rsid w:val="00EE3ED6"/>
    <w:rsid w:val="00EE4668"/>
    <w:rsid w:val="00EE4A6D"/>
    <w:rsid w:val="00EE4C57"/>
    <w:rsid w:val="00EE5352"/>
    <w:rsid w:val="00EE5650"/>
    <w:rsid w:val="00EE5DBF"/>
    <w:rsid w:val="00EE6BDB"/>
    <w:rsid w:val="00EE7CC5"/>
    <w:rsid w:val="00EF05E9"/>
    <w:rsid w:val="00EF1952"/>
    <w:rsid w:val="00EF2026"/>
    <w:rsid w:val="00EF281F"/>
    <w:rsid w:val="00EF332F"/>
    <w:rsid w:val="00EF34EC"/>
    <w:rsid w:val="00EF4B84"/>
    <w:rsid w:val="00EF57CF"/>
    <w:rsid w:val="00EF6E23"/>
    <w:rsid w:val="00EF7214"/>
    <w:rsid w:val="00EF72D5"/>
    <w:rsid w:val="00EF7835"/>
    <w:rsid w:val="00EF7E23"/>
    <w:rsid w:val="00F00AEB"/>
    <w:rsid w:val="00F00B7D"/>
    <w:rsid w:val="00F01418"/>
    <w:rsid w:val="00F02FDE"/>
    <w:rsid w:val="00F03281"/>
    <w:rsid w:val="00F032FA"/>
    <w:rsid w:val="00F0384B"/>
    <w:rsid w:val="00F03BAE"/>
    <w:rsid w:val="00F0433B"/>
    <w:rsid w:val="00F04B92"/>
    <w:rsid w:val="00F0575D"/>
    <w:rsid w:val="00F068A2"/>
    <w:rsid w:val="00F109B6"/>
    <w:rsid w:val="00F10EF2"/>
    <w:rsid w:val="00F13E82"/>
    <w:rsid w:val="00F14381"/>
    <w:rsid w:val="00F159C7"/>
    <w:rsid w:val="00F16FC2"/>
    <w:rsid w:val="00F176AA"/>
    <w:rsid w:val="00F17A69"/>
    <w:rsid w:val="00F2086A"/>
    <w:rsid w:val="00F20CFF"/>
    <w:rsid w:val="00F20D96"/>
    <w:rsid w:val="00F213D1"/>
    <w:rsid w:val="00F21A9A"/>
    <w:rsid w:val="00F220E1"/>
    <w:rsid w:val="00F22127"/>
    <w:rsid w:val="00F223F1"/>
    <w:rsid w:val="00F24385"/>
    <w:rsid w:val="00F246AF"/>
    <w:rsid w:val="00F2495F"/>
    <w:rsid w:val="00F24E96"/>
    <w:rsid w:val="00F24F5C"/>
    <w:rsid w:val="00F2562E"/>
    <w:rsid w:val="00F26602"/>
    <w:rsid w:val="00F271C7"/>
    <w:rsid w:val="00F279F0"/>
    <w:rsid w:val="00F27AFB"/>
    <w:rsid w:val="00F27DEE"/>
    <w:rsid w:val="00F30468"/>
    <w:rsid w:val="00F316AA"/>
    <w:rsid w:val="00F31995"/>
    <w:rsid w:val="00F3359F"/>
    <w:rsid w:val="00F34F82"/>
    <w:rsid w:val="00F3556F"/>
    <w:rsid w:val="00F35D1D"/>
    <w:rsid w:val="00F363BA"/>
    <w:rsid w:val="00F3670F"/>
    <w:rsid w:val="00F3748C"/>
    <w:rsid w:val="00F37B99"/>
    <w:rsid w:val="00F40554"/>
    <w:rsid w:val="00F42133"/>
    <w:rsid w:val="00F4275F"/>
    <w:rsid w:val="00F42FDC"/>
    <w:rsid w:val="00F43FBB"/>
    <w:rsid w:val="00F44811"/>
    <w:rsid w:val="00F45972"/>
    <w:rsid w:val="00F4796D"/>
    <w:rsid w:val="00F47A03"/>
    <w:rsid w:val="00F500C8"/>
    <w:rsid w:val="00F5044B"/>
    <w:rsid w:val="00F50F25"/>
    <w:rsid w:val="00F5143F"/>
    <w:rsid w:val="00F515CB"/>
    <w:rsid w:val="00F519CB"/>
    <w:rsid w:val="00F52E06"/>
    <w:rsid w:val="00F53656"/>
    <w:rsid w:val="00F53B1B"/>
    <w:rsid w:val="00F54326"/>
    <w:rsid w:val="00F54BC7"/>
    <w:rsid w:val="00F551AF"/>
    <w:rsid w:val="00F565EB"/>
    <w:rsid w:val="00F5660E"/>
    <w:rsid w:val="00F566E0"/>
    <w:rsid w:val="00F5682C"/>
    <w:rsid w:val="00F56C58"/>
    <w:rsid w:val="00F5799E"/>
    <w:rsid w:val="00F60BB9"/>
    <w:rsid w:val="00F61610"/>
    <w:rsid w:val="00F627DC"/>
    <w:rsid w:val="00F6461B"/>
    <w:rsid w:val="00F64C04"/>
    <w:rsid w:val="00F65478"/>
    <w:rsid w:val="00F6580C"/>
    <w:rsid w:val="00F671D0"/>
    <w:rsid w:val="00F672E8"/>
    <w:rsid w:val="00F67770"/>
    <w:rsid w:val="00F67B0D"/>
    <w:rsid w:val="00F71964"/>
    <w:rsid w:val="00F71CF9"/>
    <w:rsid w:val="00F72813"/>
    <w:rsid w:val="00F72EA3"/>
    <w:rsid w:val="00F7303C"/>
    <w:rsid w:val="00F73C49"/>
    <w:rsid w:val="00F744B7"/>
    <w:rsid w:val="00F74695"/>
    <w:rsid w:val="00F74A13"/>
    <w:rsid w:val="00F74F47"/>
    <w:rsid w:val="00F75019"/>
    <w:rsid w:val="00F75106"/>
    <w:rsid w:val="00F75714"/>
    <w:rsid w:val="00F75D64"/>
    <w:rsid w:val="00F760D3"/>
    <w:rsid w:val="00F76279"/>
    <w:rsid w:val="00F76DA6"/>
    <w:rsid w:val="00F807FF"/>
    <w:rsid w:val="00F80A85"/>
    <w:rsid w:val="00F81A44"/>
    <w:rsid w:val="00F81ACF"/>
    <w:rsid w:val="00F81D49"/>
    <w:rsid w:val="00F81D59"/>
    <w:rsid w:val="00F82084"/>
    <w:rsid w:val="00F829F7"/>
    <w:rsid w:val="00F833DE"/>
    <w:rsid w:val="00F8360F"/>
    <w:rsid w:val="00F83664"/>
    <w:rsid w:val="00F83C52"/>
    <w:rsid w:val="00F83FC2"/>
    <w:rsid w:val="00F84E7A"/>
    <w:rsid w:val="00F86C48"/>
    <w:rsid w:val="00F875AB"/>
    <w:rsid w:val="00F8784E"/>
    <w:rsid w:val="00F916C5"/>
    <w:rsid w:val="00F91908"/>
    <w:rsid w:val="00F92171"/>
    <w:rsid w:val="00F934C1"/>
    <w:rsid w:val="00F94633"/>
    <w:rsid w:val="00F94721"/>
    <w:rsid w:val="00F94A5C"/>
    <w:rsid w:val="00F951EA"/>
    <w:rsid w:val="00F958F1"/>
    <w:rsid w:val="00F95BD3"/>
    <w:rsid w:val="00F9681F"/>
    <w:rsid w:val="00FA02AF"/>
    <w:rsid w:val="00FA05F1"/>
    <w:rsid w:val="00FA29BB"/>
    <w:rsid w:val="00FA2AE8"/>
    <w:rsid w:val="00FA31C8"/>
    <w:rsid w:val="00FA4358"/>
    <w:rsid w:val="00FA4AA4"/>
    <w:rsid w:val="00FA4AFE"/>
    <w:rsid w:val="00FA5FEC"/>
    <w:rsid w:val="00FA67E8"/>
    <w:rsid w:val="00FA6CE3"/>
    <w:rsid w:val="00FA70B6"/>
    <w:rsid w:val="00FA736D"/>
    <w:rsid w:val="00FB0388"/>
    <w:rsid w:val="00FB0E25"/>
    <w:rsid w:val="00FB0F95"/>
    <w:rsid w:val="00FB1252"/>
    <w:rsid w:val="00FB167D"/>
    <w:rsid w:val="00FB2E48"/>
    <w:rsid w:val="00FB4741"/>
    <w:rsid w:val="00FB5116"/>
    <w:rsid w:val="00FB61A3"/>
    <w:rsid w:val="00FB7CB0"/>
    <w:rsid w:val="00FB7EE9"/>
    <w:rsid w:val="00FB7FF9"/>
    <w:rsid w:val="00FC12D2"/>
    <w:rsid w:val="00FC1D2B"/>
    <w:rsid w:val="00FC216A"/>
    <w:rsid w:val="00FC25B2"/>
    <w:rsid w:val="00FC3930"/>
    <w:rsid w:val="00FC3D7A"/>
    <w:rsid w:val="00FC469D"/>
    <w:rsid w:val="00FC4B05"/>
    <w:rsid w:val="00FC5028"/>
    <w:rsid w:val="00FC508A"/>
    <w:rsid w:val="00FC50B0"/>
    <w:rsid w:val="00FC5161"/>
    <w:rsid w:val="00FC5414"/>
    <w:rsid w:val="00FC548C"/>
    <w:rsid w:val="00FC66CC"/>
    <w:rsid w:val="00FC67D8"/>
    <w:rsid w:val="00FC7402"/>
    <w:rsid w:val="00FC793D"/>
    <w:rsid w:val="00FC7AE6"/>
    <w:rsid w:val="00FC7F5A"/>
    <w:rsid w:val="00FD0480"/>
    <w:rsid w:val="00FD054D"/>
    <w:rsid w:val="00FD16BD"/>
    <w:rsid w:val="00FD1850"/>
    <w:rsid w:val="00FD24D9"/>
    <w:rsid w:val="00FD31BC"/>
    <w:rsid w:val="00FD47B7"/>
    <w:rsid w:val="00FD5CFD"/>
    <w:rsid w:val="00FD71BC"/>
    <w:rsid w:val="00FD7833"/>
    <w:rsid w:val="00FE0B1F"/>
    <w:rsid w:val="00FE1205"/>
    <w:rsid w:val="00FE275E"/>
    <w:rsid w:val="00FE27FB"/>
    <w:rsid w:val="00FE31A9"/>
    <w:rsid w:val="00FE387E"/>
    <w:rsid w:val="00FE3C3D"/>
    <w:rsid w:val="00FE4AC8"/>
    <w:rsid w:val="00FE53EB"/>
    <w:rsid w:val="00FE6140"/>
    <w:rsid w:val="00FE66F6"/>
    <w:rsid w:val="00FE7C3A"/>
    <w:rsid w:val="00FF0090"/>
    <w:rsid w:val="00FF0221"/>
    <w:rsid w:val="00FF0341"/>
    <w:rsid w:val="00FF0821"/>
    <w:rsid w:val="00FF114D"/>
    <w:rsid w:val="00FF127E"/>
    <w:rsid w:val="00FF130F"/>
    <w:rsid w:val="00FF136C"/>
    <w:rsid w:val="00FF2A42"/>
    <w:rsid w:val="00FF33DC"/>
    <w:rsid w:val="00FF3779"/>
    <w:rsid w:val="00FF3DBF"/>
    <w:rsid w:val="00FF4624"/>
    <w:rsid w:val="00FF4DAE"/>
    <w:rsid w:val="00FF5630"/>
    <w:rsid w:val="00FF63EF"/>
    <w:rsid w:val="00FF6BAD"/>
    <w:rsid w:val="00FF7254"/>
    <w:rsid w:val="00FF7733"/>
    <w:rsid w:val="00FF799D"/>
    <w:rsid w:val="00FF7AAC"/>
    <w:rsid w:val="00FF7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4BB85E95"/>
  <w15:docId w15:val="{8E7B2C17-5DFE-488E-A88F-F6562E80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aliases w:val="H1"/>
    <w:basedOn w:val="Parasts"/>
    <w:next w:val="Parasts"/>
    <w:link w:val="Virsraksts1Rakstz"/>
    <w:qFormat/>
    <w:rsid w:val="00E67AE1"/>
    <w:pPr>
      <w:keepNext/>
      <w:tabs>
        <w:tab w:val="left" w:pos="-540"/>
      </w:tabs>
      <w:suppressAutoHyphens/>
      <w:autoSpaceDE w:val="0"/>
      <w:autoSpaceDN w:val="0"/>
      <w:adjustRightInd w:val="0"/>
      <w:spacing w:before="180" w:after="120" w:line="288" w:lineRule="auto"/>
      <w:jc w:val="both"/>
      <w:textAlignment w:val="center"/>
      <w:outlineLvl w:val="0"/>
    </w:pPr>
    <w:rPr>
      <w:rFonts w:ascii="RimTimes" w:eastAsia="Times New Roman" w:hAnsi="RimTimes" w:cs="RimTimes"/>
      <w:b/>
      <w:bCs/>
      <w:color w:val="000000"/>
      <w:sz w:val="24"/>
      <w:szCs w:val="24"/>
      <w:lang w:val="lv-LV" w:eastAsia="lv-LV"/>
    </w:rPr>
  </w:style>
  <w:style w:type="paragraph" w:styleId="Virsraksts3">
    <w:name w:val="heading 3"/>
    <w:basedOn w:val="Parasts"/>
    <w:link w:val="Virsraksts3Rakstz"/>
    <w:qFormat/>
    <w:rsid w:val="00643643"/>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E67AE1"/>
    <w:rPr>
      <w:rFonts w:ascii="RimTimes" w:eastAsia="Times New Roman" w:hAnsi="RimTimes" w:cs="RimTimes"/>
      <w:b/>
      <w:bCs/>
      <w:color w:val="000000"/>
      <w:sz w:val="24"/>
      <w:szCs w:val="24"/>
      <w:lang w:val="lv-LV" w:eastAsia="lv-LV"/>
    </w:rPr>
  </w:style>
  <w:style w:type="character" w:customStyle="1" w:styleId="Virsraksts3Rakstz">
    <w:name w:val="Virsraksts 3 Rakstz."/>
    <w:basedOn w:val="Noklusjumarindkopasfonts"/>
    <w:link w:val="Virsraksts3"/>
    <w:rsid w:val="00643643"/>
    <w:rPr>
      <w:rFonts w:ascii="Times New Roman" w:eastAsia="Times New Roman" w:hAnsi="Times New Roman" w:cs="Times New Roman"/>
      <w:b/>
      <w:bCs/>
      <w:sz w:val="27"/>
      <w:szCs w:val="27"/>
      <w:lang w:val="lv-LV" w:eastAsia="lv-LV"/>
    </w:rPr>
  </w:style>
  <w:style w:type="paragraph" w:styleId="Paraststmeklis">
    <w:name w:val="Normal (Web)"/>
    <w:basedOn w:val="Parasts"/>
    <w:uiPriority w:val="99"/>
    <w:unhideWhenUsed/>
    <w:rsid w:val="0064364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643643"/>
    <w:pPr>
      <w:tabs>
        <w:tab w:val="center" w:pos="4153"/>
        <w:tab w:val="right" w:pos="8306"/>
      </w:tabs>
    </w:pPr>
    <w:rPr>
      <w:rFonts w:ascii="Calibri" w:eastAsia="Calibri" w:hAnsi="Calibri" w:cs="Times New Roman"/>
      <w:sz w:val="20"/>
      <w:szCs w:val="20"/>
      <w:lang w:val="x-none" w:eastAsia="x-none"/>
    </w:rPr>
  </w:style>
  <w:style w:type="character" w:customStyle="1" w:styleId="GalveneRakstz">
    <w:name w:val="Galvene Rakstz."/>
    <w:basedOn w:val="Noklusjumarindkopasfonts"/>
    <w:link w:val="Galvene"/>
    <w:uiPriority w:val="99"/>
    <w:rsid w:val="00643643"/>
    <w:rPr>
      <w:rFonts w:ascii="Calibri" w:eastAsia="Calibri" w:hAnsi="Calibri" w:cs="Times New Roman"/>
      <w:sz w:val="20"/>
      <w:szCs w:val="20"/>
      <w:lang w:val="x-none" w:eastAsia="x-none"/>
    </w:rPr>
  </w:style>
  <w:style w:type="paragraph" w:styleId="Nosaukums">
    <w:name w:val="Title"/>
    <w:basedOn w:val="Parasts"/>
    <w:link w:val="NosaukumsRakstz"/>
    <w:qFormat/>
    <w:rsid w:val="00643643"/>
    <w:pPr>
      <w:spacing w:after="0" w:line="240" w:lineRule="auto"/>
      <w:jc w:val="center"/>
    </w:pPr>
    <w:rPr>
      <w:rFonts w:ascii="Times New Roman" w:eastAsia="Times New Roman" w:hAnsi="Times New Roman" w:cs="Times New Roman"/>
      <w:b/>
      <w:caps/>
      <w:sz w:val="24"/>
      <w:szCs w:val="24"/>
      <w:lang w:eastAsia="x-none"/>
    </w:rPr>
  </w:style>
  <w:style w:type="character" w:customStyle="1" w:styleId="NosaukumsRakstz">
    <w:name w:val="Nosaukums Rakstz."/>
    <w:basedOn w:val="Noklusjumarindkopasfonts"/>
    <w:link w:val="Nosaukums"/>
    <w:rsid w:val="00643643"/>
    <w:rPr>
      <w:rFonts w:ascii="Times New Roman" w:eastAsia="Times New Roman" w:hAnsi="Times New Roman" w:cs="Times New Roman"/>
      <w:b/>
      <w:caps/>
      <w:sz w:val="24"/>
      <w:szCs w:val="24"/>
      <w:lang w:eastAsia="x-none"/>
    </w:rPr>
  </w:style>
  <w:style w:type="paragraph" w:customStyle="1" w:styleId="naisf">
    <w:name w:val="naisf"/>
    <w:basedOn w:val="Parasts"/>
    <w:rsid w:val="0064364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Vienkrsteksts">
    <w:name w:val="Plain Text"/>
    <w:basedOn w:val="Parasts"/>
    <w:link w:val="VienkrstekstsRakstz"/>
    <w:rsid w:val="00643643"/>
    <w:rPr>
      <w:rFonts w:ascii="Courier New" w:eastAsia="Calibri" w:hAnsi="Courier New" w:cs="Times New Roman"/>
      <w:sz w:val="20"/>
      <w:szCs w:val="20"/>
      <w:lang w:val="x-none" w:eastAsia="x-none"/>
    </w:rPr>
  </w:style>
  <w:style w:type="character" w:customStyle="1" w:styleId="VienkrstekstsRakstz">
    <w:name w:val="Vienkāršs teksts Rakstz."/>
    <w:basedOn w:val="Noklusjumarindkopasfonts"/>
    <w:link w:val="Vienkrsteksts"/>
    <w:rsid w:val="00643643"/>
    <w:rPr>
      <w:rFonts w:ascii="Courier New" w:eastAsia="Calibri" w:hAnsi="Courier New" w:cs="Times New Roman"/>
      <w:sz w:val="20"/>
      <w:szCs w:val="20"/>
      <w:lang w:val="x-none" w:eastAsia="x-none"/>
    </w:rPr>
  </w:style>
  <w:style w:type="paragraph" w:customStyle="1" w:styleId="Default">
    <w:name w:val="Default"/>
    <w:basedOn w:val="Parasts"/>
    <w:rsid w:val="00643643"/>
    <w:pPr>
      <w:autoSpaceDE w:val="0"/>
      <w:autoSpaceDN w:val="0"/>
      <w:spacing w:after="0" w:line="240" w:lineRule="auto"/>
    </w:pPr>
    <w:rPr>
      <w:rFonts w:ascii="EUAlbertina" w:eastAsia="Times New Roman" w:hAnsi="EUAlbertina" w:cs="Times New Roman"/>
      <w:color w:val="000000"/>
      <w:sz w:val="24"/>
      <w:szCs w:val="24"/>
      <w:lang w:val="lv-LV" w:eastAsia="lv-LV"/>
    </w:rPr>
  </w:style>
  <w:style w:type="paragraph" w:styleId="Kjene">
    <w:name w:val="footer"/>
    <w:basedOn w:val="Parasts"/>
    <w:link w:val="KjeneRakstz"/>
    <w:uiPriority w:val="99"/>
    <w:unhideWhenUsed/>
    <w:rsid w:val="00643643"/>
    <w:pPr>
      <w:tabs>
        <w:tab w:val="center" w:pos="4153"/>
        <w:tab w:val="right" w:pos="8306"/>
      </w:tabs>
    </w:pPr>
    <w:rPr>
      <w:rFonts w:ascii="Calibri" w:eastAsia="Calibri" w:hAnsi="Calibri" w:cs="Times New Roman"/>
      <w:lang w:val="x-none"/>
    </w:rPr>
  </w:style>
  <w:style w:type="character" w:customStyle="1" w:styleId="KjeneRakstz">
    <w:name w:val="Kājene Rakstz."/>
    <w:basedOn w:val="Noklusjumarindkopasfonts"/>
    <w:link w:val="Kjene"/>
    <w:uiPriority w:val="99"/>
    <w:rsid w:val="00643643"/>
    <w:rPr>
      <w:rFonts w:ascii="Calibri" w:eastAsia="Calibri" w:hAnsi="Calibri" w:cs="Times New Roman"/>
      <w:lang w:val="x-none"/>
    </w:rPr>
  </w:style>
  <w:style w:type="character" w:styleId="Komentraatsauce">
    <w:name w:val="annotation reference"/>
    <w:uiPriority w:val="99"/>
    <w:semiHidden/>
    <w:rsid w:val="00643643"/>
    <w:rPr>
      <w:sz w:val="16"/>
      <w:szCs w:val="16"/>
    </w:rPr>
  </w:style>
  <w:style w:type="paragraph" w:styleId="Komentrateksts">
    <w:name w:val="annotation text"/>
    <w:basedOn w:val="Parasts"/>
    <w:link w:val="KomentratekstsRakstz"/>
    <w:uiPriority w:val="99"/>
    <w:semiHidden/>
    <w:rsid w:val="00643643"/>
    <w:rPr>
      <w:rFonts w:ascii="Calibri" w:eastAsia="Calibri" w:hAnsi="Calibri" w:cs="Times New Roman"/>
      <w:sz w:val="20"/>
      <w:szCs w:val="20"/>
      <w:lang w:val="lv-LV"/>
    </w:rPr>
  </w:style>
  <w:style w:type="character" w:customStyle="1" w:styleId="KomentratekstsRakstz">
    <w:name w:val="Komentāra teksts Rakstz."/>
    <w:basedOn w:val="Noklusjumarindkopasfonts"/>
    <w:link w:val="Komentrateksts"/>
    <w:uiPriority w:val="99"/>
    <w:semiHidden/>
    <w:rsid w:val="00643643"/>
    <w:rPr>
      <w:rFonts w:ascii="Calibri" w:eastAsia="Calibri" w:hAnsi="Calibri" w:cs="Times New Roman"/>
      <w:sz w:val="20"/>
      <w:szCs w:val="20"/>
      <w:lang w:val="lv-LV"/>
    </w:rPr>
  </w:style>
  <w:style w:type="paragraph" w:styleId="Komentratma">
    <w:name w:val="annotation subject"/>
    <w:basedOn w:val="Komentrateksts"/>
    <w:next w:val="Komentrateksts"/>
    <w:link w:val="KomentratmaRakstz"/>
    <w:uiPriority w:val="99"/>
    <w:semiHidden/>
    <w:rsid w:val="00643643"/>
    <w:rPr>
      <w:b/>
      <w:bCs/>
    </w:rPr>
  </w:style>
  <w:style w:type="character" w:customStyle="1" w:styleId="KomentratmaRakstz">
    <w:name w:val="Komentāra tēma Rakstz."/>
    <w:basedOn w:val="KomentratekstsRakstz"/>
    <w:link w:val="Komentratma"/>
    <w:uiPriority w:val="99"/>
    <w:semiHidden/>
    <w:rsid w:val="00643643"/>
    <w:rPr>
      <w:rFonts w:ascii="Calibri" w:eastAsia="Calibri" w:hAnsi="Calibri" w:cs="Times New Roman"/>
      <w:b/>
      <w:bCs/>
      <w:sz w:val="20"/>
      <w:szCs w:val="20"/>
      <w:lang w:val="lv-LV"/>
    </w:rPr>
  </w:style>
  <w:style w:type="paragraph" w:styleId="Balonteksts">
    <w:name w:val="Balloon Text"/>
    <w:basedOn w:val="Parasts"/>
    <w:link w:val="BalontekstsRakstz"/>
    <w:uiPriority w:val="99"/>
    <w:semiHidden/>
    <w:rsid w:val="00643643"/>
    <w:rPr>
      <w:rFonts w:ascii="Tahoma" w:eastAsia="Calibri" w:hAnsi="Tahoma" w:cs="Tahoma"/>
      <w:sz w:val="16"/>
      <w:szCs w:val="16"/>
      <w:lang w:val="lv-LV"/>
    </w:rPr>
  </w:style>
  <w:style w:type="character" w:customStyle="1" w:styleId="BalontekstsRakstz">
    <w:name w:val="Balonteksts Rakstz."/>
    <w:basedOn w:val="Noklusjumarindkopasfonts"/>
    <w:link w:val="Balonteksts"/>
    <w:uiPriority w:val="99"/>
    <w:semiHidden/>
    <w:rsid w:val="00643643"/>
    <w:rPr>
      <w:rFonts w:ascii="Tahoma" w:eastAsia="Calibri" w:hAnsi="Tahoma" w:cs="Tahoma"/>
      <w:sz w:val="16"/>
      <w:szCs w:val="16"/>
      <w:lang w:val="lv-LV"/>
    </w:rPr>
  </w:style>
  <w:style w:type="character" w:styleId="Hipersaite">
    <w:name w:val="Hyperlink"/>
    <w:uiPriority w:val="99"/>
    <w:rsid w:val="00643643"/>
    <w:rPr>
      <w:color w:val="0000FF"/>
      <w:u w:val="single"/>
    </w:rPr>
  </w:style>
  <w:style w:type="character" w:styleId="Izclums">
    <w:name w:val="Emphasis"/>
    <w:qFormat/>
    <w:rsid w:val="00643643"/>
    <w:rPr>
      <w:i/>
      <w:iCs/>
    </w:rPr>
  </w:style>
  <w:style w:type="character" w:styleId="Izteiksmgs">
    <w:name w:val="Strong"/>
    <w:uiPriority w:val="22"/>
    <w:qFormat/>
    <w:rsid w:val="00643643"/>
    <w:rPr>
      <w:b/>
      <w:bCs/>
    </w:rPr>
  </w:style>
  <w:style w:type="paragraph" w:customStyle="1" w:styleId="bodytext">
    <w:name w:val="bodytext"/>
    <w:basedOn w:val="Parasts"/>
    <w:rsid w:val="0064364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Sarakstarindkopa">
    <w:name w:val="List Paragraph"/>
    <w:basedOn w:val="Parasts"/>
    <w:uiPriority w:val="34"/>
    <w:qFormat/>
    <w:rsid w:val="00643643"/>
    <w:pPr>
      <w:ind w:left="720"/>
      <w:contextualSpacing/>
    </w:pPr>
    <w:rPr>
      <w:rFonts w:ascii="Calibri" w:eastAsia="Calibri" w:hAnsi="Calibri" w:cs="Times New Roman"/>
      <w:lang w:val="ru-RU"/>
    </w:rPr>
  </w:style>
  <w:style w:type="paragraph" w:customStyle="1" w:styleId="CM1">
    <w:name w:val="CM1"/>
    <w:basedOn w:val="Default"/>
    <w:next w:val="Default"/>
    <w:uiPriority w:val="99"/>
    <w:rsid w:val="00643643"/>
    <w:pPr>
      <w:adjustRightInd w:val="0"/>
    </w:pPr>
    <w:rPr>
      <w:rFonts w:eastAsia="Calibri"/>
      <w:color w:val="auto"/>
      <w:lang w:eastAsia="en-US"/>
    </w:rPr>
  </w:style>
  <w:style w:type="paragraph" w:customStyle="1" w:styleId="CM3">
    <w:name w:val="CM3"/>
    <w:basedOn w:val="Default"/>
    <w:next w:val="Default"/>
    <w:uiPriority w:val="99"/>
    <w:rsid w:val="00643643"/>
    <w:pPr>
      <w:adjustRightInd w:val="0"/>
    </w:pPr>
    <w:rPr>
      <w:rFonts w:eastAsia="Calibri"/>
      <w:color w:val="auto"/>
      <w:lang w:eastAsia="en-US"/>
    </w:rPr>
  </w:style>
  <w:style w:type="paragraph" w:customStyle="1" w:styleId="CM4">
    <w:name w:val="CM4"/>
    <w:basedOn w:val="Default"/>
    <w:next w:val="Default"/>
    <w:uiPriority w:val="99"/>
    <w:rsid w:val="00643643"/>
    <w:pPr>
      <w:adjustRightInd w:val="0"/>
    </w:pPr>
    <w:rPr>
      <w:rFonts w:eastAsia="Calibri"/>
      <w:color w:val="auto"/>
      <w:lang w:eastAsia="en-US"/>
    </w:rPr>
  </w:style>
  <w:style w:type="paragraph" w:customStyle="1" w:styleId="naisc">
    <w:name w:val="naisc"/>
    <w:basedOn w:val="Parasts"/>
    <w:rsid w:val="0064364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643643"/>
  </w:style>
  <w:style w:type="character" w:styleId="Izmantotahipersaite">
    <w:name w:val="FollowedHyperlink"/>
    <w:uiPriority w:val="99"/>
    <w:semiHidden/>
    <w:unhideWhenUsed/>
    <w:rsid w:val="00643643"/>
    <w:rPr>
      <w:color w:val="800080"/>
      <w:u w:val="single"/>
    </w:rPr>
  </w:style>
  <w:style w:type="paragraph" w:customStyle="1" w:styleId="liknoteik1">
    <w:name w:val="lik_noteik1"/>
    <w:basedOn w:val="Parasts"/>
    <w:rsid w:val="006325B2"/>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fr-FR"/>
    </w:rPr>
  </w:style>
  <w:style w:type="paragraph" w:customStyle="1" w:styleId="likdat1">
    <w:name w:val="lik_dat1"/>
    <w:basedOn w:val="Parasts"/>
    <w:rsid w:val="006325B2"/>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fr-FR"/>
    </w:rPr>
  </w:style>
  <w:style w:type="character" w:customStyle="1" w:styleId="Marker2">
    <w:name w:val="Marker2"/>
    <w:rsid w:val="00DC148C"/>
    <w:rPr>
      <w:color w:val="FF0000"/>
    </w:rPr>
  </w:style>
  <w:style w:type="paragraph" w:styleId="Bezatstarpm">
    <w:name w:val="No Spacing"/>
    <w:link w:val="BezatstarpmRakstz"/>
    <w:uiPriority w:val="1"/>
    <w:qFormat/>
    <w:rsid w:val="00EF2026"/>
    <w:pPr>
      <w:spacing w:after="0" w:line="240" w:lineRule="auto"/>
    </w:pPr>
    <w:rPr>
      <w:rFonts w:ascii="Calibri" w:eastAsia="Calibri" w:hAnsi="Calibri" w:cs="Times New Roman"/>
      <w:lang w:val="lv-LV"/>
    </w:rPr>
  </w:style>
  <w:style w:type="paragraph" w:styleId="Vresteksts">
    <w:name w:val="footnote text"/>
    <w:basedOn w:val="Parasts"/>
    <w:link w:val="VrestekstsRakstz"/>
    <w:uiPriority w:val="99"/>
    <w:semiHidden/>
    <w:unhideWhenUsed/>
    <w:rsid w:val="00B23555"/>
    <w:pPr>
      <w:spacing w:after="0" w:line="240" w:lineRule="auto"/>
    </w:pPr>
    <w:rPr>
      <w:sz w:val="20"/>
      <w:szCs w:val="20"/>
      <w:lang w:val="en-US"/>
    </w:rPr>
  </w:style>
  <w:style w:type="character" w:customStyle="1" w:styleId="VrestekstsRakstz">
    <w:name w:val="Vēres teksts Rakstz."/>
    <w:basedOn w:val="Noklusjumarindkopasfonts"/>
    <w:link w:val="Vresteksts"/>
    <w:uiPriority w:val="99"/>
    <w:semiHidden/>
    <w:rsid w:val="00B23555"/>
    <w:rPr>
      <w:sz w:val="20"/>
      <w:szCs w:val="20"/>
      <w:lang w:val="en-US"/>
    </w:rPr>
  </w:style>
  <w:style w:type="character" w:styleId="Vresatsauce">
    <w:name w:val="footnote reference"/>
    <w:aliases w:val="EN Footnote Reference,Times 10 Point,Exposant 3 Point,Footnote symbol,Footnote reference number,note TESI,Footnote,Ref,de nota al pie,SUPERS,fr,Footnote Reference Number,ftref,Footnote Reference Superscript,BVI fnr,Footnote sign"/>
    <w:basedOn w:val="Noklusjumarindkopasfonts"/>
    <w:uiPriority w:val="99"/>
    <w:unhideWhenUsed/>
    <w:rsid w:val="00B23555"/>
    <w:rPr>
      <w:vertAlign w:val="superscript"/>
    </w:rPr>
  </w:style>
  <w:style w:type="paragraph" w:styleId="Sarakstaaizzme">
    <w:name w:val="List Bullet"/>
    <w:basedOn w:val="Parasts"/>
    <w:uiPriority w:val="99"/>
    <w:unhideWhenUsed/>
    <w:rsid w:val="00B23555"/>
    <w:pPr>
      <w:numPr>
        <w:numId w:val="1"/>
      </w:numPr>
      <w:contextualSpacing/>
    </w:pPr>
    <w:rPr>
      <w:lang w:val="en-US"/>
    </w:rPr>
  </w:style>
  <w:style w:type="paragraph" w:styleId="Apakvirsraksts">
    <w:name w:val="Subtitle"/>
    <w:basedOn w:val="Parasts"/>
    <w:next w:val="Parasts"/>
    <w:link w:val="ApakvirsrakstsRakstz"/>
    <w:qFormat/>
    <w:rsid w:val="00780B19"/>
    <w:pPr>
      <w:keepNext/>
      <w:keepLines/>
      <w:widowControl w:val="0"/>
      <w:suppressAutoHyphens/>
      <w:spacing w:before="600" w:after="600" w:line="240" w:lineRule="auto"/>
      <w:ind w:right="4820"/>
    </w:pPr>
    <w:rPr>
      <w:rFonts w:ascii="Times New Roman" w:eastAsia="Times New Roman" w:hAnsi="Times New Roman" w:cs="Times New Roman"/>
      <w:b/>
      <w:sz w:val="26"/>
      <w:szCs w:val="20"/>
      <w:lang w:val="lv-LV"/>
    </w:rPr>
  </w:style>
  <w:style w:type="character" w:customStyle="1" w:styleId="ApakvirsrakstsRakstz">
    <w:name w:val="Apakšvirsraksts Rakstz."/>
    <w:basedOn w:val="Noklusjumarindkopasfonts"/>
    <w:link w:val="Apakvirsraksts"/>
    <w:rsid w:val="00780B19"/>
    <w:rPr>
      <w:rFonts w:ascii="Times New Roman" w:eastAsia="Times New Roman" w:hAnsi="Times New Roman" w:cs="Times New Roman"/>
      <w:b/>
      <w:sz w:val="26"/>
      <w:szCs w:val="20"/>
      <w:lang w:val="lv-LV"/>
    </w:rPr>
  </w:style>
  <w:style w:type="table" w:styleId="Reatabula">
    <w:name w:val="Table Grid"/>
    <w:basedOn w:val="Parastatabula"/>
    <w:uiPriority w:val="59"/>
    <w:rsid w:val="00872F59"/>
    <w:pPr>
      <w:spacing w:after="0" w:line="240" w:lineRule="auto"/>
    </w:pPr>
    <w:rPr>
      <w:rFonts w:ascii="Times New Roman" w:eastAsia="Times New Roman" w:hAnsi="Times New Roman"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 Char"/>
    <w:basedOn w:val="Parasts"/>
    <w:link w:val="PamattekstsRakstz"/>
    <w:rsid w:val="0044742D"/>
    <w:pPr>
      <w:spacing w:after="0" w:line="240" w:lineRule="auto"/>
      <w:jc w:val="both"/>
    </w:pPr>
    <w:rPr>
      <w:rFonts w:ascii="Times New Roman" w:eastAsia="Times New Roman" w:hAnsi="Times New Roman" w:cs="Times New Roman"/>
      <w:sz w:val="28"/>
      <w:szCs w:val="20"/>
      <w:lang w:val="lv-LV" w:eastAsia="lv-LV"/>
    </w:rPr>
  </w:style>
  <w:style w:type="character" w:customStyle="1" w:styleId="PamattekstsRakstz">
    <w:name w:val="Pamatteksts Rakstz."/>
    <w:aliases w:val="Body Text Char Rakstz."/>
    <w:basedOn w:val="Noklusjumarindkopasfonts"/>
    <w:link w:val="Pamatteksts"/>
    <w:rsid w:val="0044742D"/>
    <w:rPr>
      <w:rFonts w:ascii="Times New Roman" w:eastAsia="Times New Roman" w:hAnsi="Times New Roman" w:cs="Times New Roman"/>
      <w:sz w:val="28"/>
      <w:szCs w:val="20"/>
      <w:lang w:val="lv-LV" w:eastAsia="lv-LV"/>
    </w:rPr>
  </w:style>
  <w:style w:type="paragraph" w:styleId="Pamattekstsaratkpi">
    <w:name w:val="Body Text Indent"/>
    <w:basedOn w:val="Parasts"/>
    <w:link w:val="PamattekstsaratkpiRakstz"/>
    <w:uiPriority w:val="99"/>
    <w:unhideWhenUsed/>
    <w:rsid w:val="00C023FA"/>
    <w:pPr>
      <w:spacing w:after="120"/>
      <w:ind w:left="283"/>
    </w:pPr>
  </w:style>
  <w:style w:type="character" w:customStyle="1" w:styleId="PamattekstsaratkpiRakstz">
    <w:name w:val="Pamatteksts ar atkāpi Rakstz."/>
    <w:basedOn w:val="Noklusjumarindkopasfonts"/>
    <w:link w:val="Pamattekstsaratkpi"/>
    <w:uiPriority w:val="99"/>
    <w:rsid w:val="00C023FA"/>
  </w:style>
  <w:style w:type="paragraph" w:customStyle="1" w:styleId="default0">
    <w:name w:val="default"/>
    <w:basedOn w:val="Parasts"/>
    <w:rsid w:val="00C023FA"/>
    <w:pPr>
      <w:autoSpaceDE w:val="0"/>
      <w:autoSpaceDN w:val="0"/>
      <w:spacing w:after="0" w:line="240" w:lineRule="auto"/>
    </w:pPr>
    <w:rPr>
      <w:rFonts w:ascii="Calibri" w:hAnsi="Calibri" w:cs="Times New Roman"/>
      <w:color w:val="000000"/>
      <w:sz w:val="24"/>
      <w:szCs w:val="24"/>
      <w:lang w:eastAsia="fr-FR"/>
    </w:rPr>
  </w:style>
  <w:style w:type="character" w:customStyle="1" w:styleId="accent">
    <w:name w:val="accent"/>
    <w:basedOn w:val="Noklusjumarindkopasfonts"/>
    <w:rsid w:val="0098443F"/>
  </w:style>
  <w:style w:type="paragraph" w:customStyle="1" w:styleId="tv2132">
    <w:name w:val="tv2132"/>
    <w:basedOn w:val="Parasts"/>
    <w:rsid w:val="00ED4DD6"/>
    <w:pPr>
      <w:spacing w:after="0" w:line="360" w:lineRule="auto"/>
      <w:ind w:firstLine="300"/>
    </w:pPr>
    <w:rPr>
      <w:rFonts w:ascii="Times New Roman" w:eastAsia="Times New Roman" w:hAnsi="Times New Roman" w:cs="Times New Roman"/>
      <w:color w:val="414142"/>
      <w:sz w:val="20"/>
      <w:szCs w:val="20"/>
      <w:lang w:eastAsia="fr-FR"/>
    </w:rPr>
  </w:style>
  <w:style w:type="paragraph" w:styleId="Prskatjums">
    <w:name w:val="Revision"/>
    <w:hidden/>
    <w:uiPriority w:val="99"/>
    <w:semiHidden/>
    <w:rsid w:val="00AD5F37"/>
    <w:pPr>
      <w:spacing w:after="0" w:line="240" w:lineRule="auto"/>
    </w:pPr>
  </w:style>
  <w:style w:type="character" w:customStyle="1" w:styleId="xbe">
    <w:name w:val="_xbe"/>
    <w:basedOn w:val="Noklusjumarindkopasfonts"/>
    <w:rsid w:val="00D23F11"/>
  </w:style>
  <w:style w:type="paragraph" w:styleId="Pamattekstaatkpe3">
    <w:name w:val="Body Text Indent 3"/>
    <w:basedOn w:val="Parasts"/>
    <w:link w:val="Pamattekstaatkpe3Rakstz"/>
    <w:uiPriority w:val="99"/>
    <w:unhideWhenUsed/>
    <w:rsid w:val="009F5817"/>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9F5817"/>
    <w:rPr>
      <w:sz w:val="16"/>
      <w:szCs w:val="16"/>
    </w:rPr>
  </w:style>
  <w:style w:type="character" w:customStyle="1" w:styleId="BezatstarpmRakstz">
    <w:name w:val="Bez atstarpēm Rakstz."/>
    <w:link w:val="Bezatstarpm"/>
    <w:uiPriority w:val="1"/>
    <w:rsid w:val="009F5817"/>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2146">
      <w:bodyDiv w:val="1"/>
      <w:marLeft w:val="0"/>
      <w:marRight w:val="0"/>
      <w:marTop w:val="0"/>
      <w:marBottom w:val="0"/>
      <w:divBdr>
        <w:top w:val="none" w:sz="0" w:space="0" w:color="auto"/>
        <w:left w:val="none" w:sz="0" w:space="0" w:color="auto"/>
        <w:bottom w:val="none" w:sz="0" w:space="0" w:color="auto"/>
        <w:right w:val="none" w:sz="0" w:space="0" w:color="auto"/>
      </w:divBdr>
    </w:div>
    <w:div w:id="72287997">
      <w:bodyDiv w:val="1"/>
      <w:marLeft w:val="0"/>
      <w:marRight w:val="0"/>
      <w:marTop w:val="0"/>
      <w:marBottom w:val="0"/>
      <w:divBdr>
        <w:top w:val="none" w:sz="0" w:space="0" w:color="auto"/>
        <w:left w:val="none" w:sz="0" w:space="0" w:color="auto"/>
        <w:bottom w:val="none" w:sz="0" w:space="0" w:color="auto"/>
        <w:right w:val="none" w:sz="0" w:space="0" w:color="auto"/>
      </w:divBdr>
    </w:div>
    <w:div w:id="159393303">
      <w:bodyDiv w:val="1"/>
      <w:marLeft w:val="0"/>
      <w:marRight w:val="0"/>
      <w:marTop w:val="0"/>
      <w:marBottom w:val="0"/>
      <w:divBdr>
        <w:top w:val="none" w:sz="0" w:space="0" w:color="auto"/>
        <w:left w:val="none" w:sz="0" w:space="0" w:color="auto"/>
        <w:bottom w:val="none" w:sz="0" w:space="0" w:color="auto"/>
        <w:right w:val="none" w:sz="0" w:space="0" w:color="auto"/>
      </w:divBdr>
      <w:divsChild>
        <w:div w:id="1266499045">
          <w:marLeft w:val="0"/>
          <w:marRight w:val="0"/>
          <w:marTop w:val="0"/>
          <w:marBottom w:val="0"/>
          <w:divBdr>
            <w:top w:val="none" w:sz="0" w:space="0" w:color="auto"/>
            <w:left w:val="none" w:sz="0" w:space="0" w:color="auto"/>
            <w:bottom w:val="none" w:sz="0" w:space="0" w:color="auto"/>
            <w:right w:val="none" w:sz="0" w:space="0" w:color="auto"/>
          </w:divBdr>
          <w:divsChild>
            <w:div w:id="444931600">
              <w:marLeft w:val="0"/>
              <w:marRight w:val="0"/>
              <w:marTop w:val="0"/>
              <w:marBottom w:val="0"/>
              <w:divBdr>
                <w:top w:val="none" w:sz="0" w:space="0" w:color="auto"/>
                <w:left w:val="none" w:sz="0" w:space="0" w:color="auto"/>
                <w:bottom w:val="none" w:sz="0" w:space="0" w:color="auto"/>
                <w:right w:val="none" w:sz="0" w:space="0" w:color="auto"/>
              </w:divBdr>
              <w:divsChild>
                <w:div w:id="777221406">
                  <w:marLeft w:val="0"/>
                  <w:marRight w:val="0"/>
                  <w:marTop w:val="0"/>
                  <w:marBottom w:val="0"/>
                  <w:divBdr>
                    <w:top w:val="none" w:sz="0" w:space="0" w:color="auto"/>
                    <w:left w:val="none" w:sz="0" w:space="0" w:color="auto"/>
                    <w:bottom w:val="none" w:sz="0" w:space="0" w:color="auto"/>
                    <w:right w:val="none" w:sz="0" w:space="0" w:color="auto"/>
                  </w:divBdr>
                  <w:divsChild>
                    <w:div w:id="217938837">
                      <w:marLeft w:val="0"/>
                      <w:marRight w:val="0"/>
                      <w:marTop w:val="0"/>
                      <w:marBottom w:val="0"/>
                      <w:divBdr>
                        <w:top w:val="none" w:sz="0" w:space="0" w:color="auto"/>
                        <w:left w:val="none" w:sz="0" w:space="0" w:color="auto"/>
                        <w:bottom w:val="none" w:sz="0" w:space="0" w:color="auto"/>
                        <w:right w:val="none" w:sz="0" w:space="0" w:color="auto"/>
                      </w:divBdr>
                      <w:divsChild>
                        <w:div w:id="1736006910">
                          <w:marLeft w:val="0"/>
                          <w:marRight w:val="0"/>
                          <w:marTop w:val="0"/>
                          <w:marBottom w:val="0"/>
                          <w:divBdr>
                            <w:top w:val="none" w:sz="0" w:space="0" w:color="auto"/>
                            <w:left w:val="none" w:sz="0" w:space="0" w:color="auto"/>
                            <w:bottom w:val="none" w:sz="0" w:space="0" w:color="auto"/>
                            <w:right w:val="none" w:sz="0" w:space="0" w:color="auto"/>
                          </w:divBdr>
                          <w:divsChild>
                            <w:div w:id="11437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4699">
      <w:bodyDiv w:val="1"/>
      <w:marLeft w:val="0"/>
      <w:marRight w:val="0"/>
      <w:marTop w:val="0"/>
      <w:marBottom w:val="0"/>
      <w:divBdr>
        <w:top w:val="none" w:sz="0" w:space="0" w:color="auto"/>
        <w:left w:val="none" w:sz="0" w:space="0" w:color="auto"/>
        <w:bottom w:val="none" w:sz="0" w:space="0" w:color="auto"/>
        <w:right w:val="none" w:sz="0" w:space="0" w:color="auto"/>
      </w:divBdr>
    </w:div>
    <w:div w:id="278536370">
      <w:bodyDiv w:val="1"/>
      <w:marLeft w:val="0"/>
      <w:marRight w:val="0"/>
      <w:marTop w:val="0"/>
      <w:marBottom w:val="0"/>
      <w:divBdr>
        <w:top w:val="none" w:sz="0" w:space="0" w:color="auto"/>
        <w:left w:val="none" w:sz="0" w:space="0" w:color="auto"/>
        <w:bottom w:val="none" w:sz="0" w:space="0" w:color="auto"/>
        <w:right w:val="none" w:sz="0" w:space="0" w:color="auto"/>
      </w:divBdr>
    </w:div>
    <w:div w:id="380446099">
      <w:bodyDiv w:val="1"/>
      <w:marLeft w:val="0"/>
      <w:marRight w:val="0"/>
      <w:marTop w:val="0"/>
      <w:marBottom w:val="0"/>
      <w:divBdr>
        <w:top w:val="none" w:sz="0" w:space="0" w:color="auto"/>
        <w:left w:val="none" w:sz="0" w:space="0" w:color="auto"/>
        <w:bottom w:val="none" w:sz="0" w:space="0" w:color="auto"/>
        <w:right w:val="none" w:sz="0" w:space="0" w:color="auto"/>
      </w:divBdr>
    </w:div>
    <w:div w:id="439959228">
      <w:bodyDiv w:val="1"/>
      <w:marLeft w:val="0"/>
      <w:marRight w:val="0"/>
      <w:marTop w:val="0"/>
      <w:marBottom w:val="0"/>
      <w:divBdr>
        <w:top w:val="none" w:sz="0" w:space="0" w:color="auto"/>
        <w:left w:val="none" w:sz="0" w:space="0" w:color="auto"/>
        <w:bottom w:val="none" w:sz="0" w:space="0" w:color="auto"/>
        <w:right w:val="none" w:sz="0" w:space="0" w:color="auto"/>
      </w:divBdr>
    </w:div>
    <w:div w:id="587735188">
      <w:bodyDiv w:val="1"/>
      <w:marLeft w:val="0"/>
      <w:marRight w:val="0"/>
      <w:marTop w:val="0"/>
      <w:marBottom w:val="0"/>
      <w:divBdr>
        <w:top w:val="none" w:sz="0" w:space="0" w:color="auto"/>
        <w:left w:val="none" w:sz="0" w:space="0" w:color="auto"/>
        <w:bottom w:val="none" w:sz="0" w:space="0" w:color="auto"/>
        <w:right w:val="none" w:sz="0" w:space="0" w:color="auto"/>
      </w:divBdr>
    </w:div>
    <w:div w:id="641234931">
      <w:bodyDiv w:val="1"/>
      <w:marLeft w:val="0"/>
      <w:marRight w:val="0"/>
      <w:marTop w:val="0"/>
      <w:marBottom w:val="0"/>
      <w:divBdr>
        <w:top w:val="none" w:sz="0" w:space="0" w:color="auto"/>
        <w:left w:val="none" w:sz="0" w:space="0" w:color="auto"/>
        <w:bottom w:val="none" w:sz="0" w:space="0" w:color="auto"/>
        <w:right w:val="none" w:sz="0" w:space="0" w:color="auto"/>
      </w:divBdr>
    </w:div>
    <w:div w:id="669404260">
      <w:bodyDiv w:val="1"/>
      <w:marLeft w:val="0"/>
      <w:marRight w:val="0"/>
      <w:marTop w:val="0"/>
      <w:marBottom w:val="0"/>
      <w:divBdr>
        <w:top w:val="none" w:sz="0" w:space="0" w:color="auto"/>
        <w:left w:val="none" w:sz="0" w:space="0" w:color="auto"/>
        <w:bottom w:val="none" w:sz="0" w:space="0" w:color="auto"/>
        <w:right w:val="none" w:sz="0" w:space="0" w:color="auto"/>
      </w:divBdr>
    </w:div>
    <w:div w:id="774835026">
      <w:bodyDiv w:val="1"/>
      <w:marLeft w:val="0"/>
      <w:marRight w:val="0"/>
      <w:marTop w:val="0"/>
      <w:marBottom w:val="0"/>
      <w:divBdr>
        <w:top w:val="none" w:sz="0" w:space="0" w:color="auto"/>
        <w:left w:val="none" w:sz="0" w:space="0" w:color="auto"/>
        <w:bottom w:val="none" w:sz="0" w:space="0" w:color="auto"/>
        <w:right w:val="none" w:sz="0" w:space="0" w:color="auto"/>
      </w:divBdr>
    </w:div>
    <w:div w:id="786002804">
      <w:bodyDiv w:val="1"/>
      <w:marLeft w:val="0"/>
      <w:marRight w:val="0"/>
      <w:marTop w:val="0"/>
      <w:marBottom w:val="0"/>
      <w:divBdr>
        <w:top w:val="none" w:sz="0" w:space="0" w:color="auto"/>
        <w:left w:val="none" w:sz="0" w:space="0" w:color="auto"/>
        <w:bottom w:val="none" w:sz="0" w:space="0" w:color="auto"/>
        <w:right w:val="none" w:sz="0" w:space="0" w:color="auto"/>
      </w:divBdr>
    </w:div>
    <w:div w:id="794755748">
      <w:bodyDiv w:val="1"/>
      <w:marLeft w:val="0"/>
      <w:marRight w:val="0"/>
      <w:marTop w:val="0"/>
      <w:marBottom w:val="0"/>
      <w:divBdr>
        <w:top w:val="none" w:sz="0" w:space="0" w:color="auto"/>
        <w:left w:val="none" w:sz="0" w:space="0" w:color="auto"/>
        <w:bottom w:val="none" w:sz="0" w:space="0" w:color="auto"/>
        <w:right w:val="none" w:sz="0" w:space="0" w:color="auto"/>
      </w:divBdr>
    </w:div>
    <w:div w:id="804662550">
      <w:bodyDiv w:val="1"/>
      <w:marLeft w:val="0"/>
      <w:marRight w:val="0"/>
      <w:marTop w:val="0"/>
      <w:marBottom w:val="0"/>
      <w:divBdr>
        <w:top w:val="none" w:sz="0" w:space="0" w:color="auto"/>
        <w:left w:val="none" w:sz="0" w:space="0" w:color="auto"/>
        <w:bottom w:val="none" w:sz="0" w:space="0" w:color="auto"/>
        <w:right w:val="none" w:sz="0" w:space="0" w:color="auto"/>
      </w:divBdr>
    </w:div>
    <w:div w:id="830752574">
      <w:bodyDiv w:val="1"/>
      <w:marLeft w:val="0"/>
      <w:marRight w:val="0"/>
      <w:marTop w:val="0"/>
      <w:marBottom w:val="0"/>
      <w:divBdr>
        <w:top w:val="none" w:sz="0" w:space="0" w:color="auto"/>
        <w:left w:val="none" w:sz="0" w:space="0" w:color="auto"/>
        <w:bottom w:val="none" w:sz="0" w:space="0" w:color="auto"/>
        <w:right w:val="none" w:sz="0" w:space="0" w:color="auto"/>
      </w:divBdr>
    </w:div>
    <w:div w:id="840197685">
      <w:bodyDiv w:val="1"/>
      <w:marLeft w:val="0"/>
      <w:marRight w:val="0"/>
      <w:marTop w:val="0"/>
      <w:marBottom w:val="0"/>
      <w:divBdr>
        <w:top w:val="none" w:sz="0" w:space="0" w:color="auto"/>
        <w:left w:val="none" w:sz="0" w:space="0" w:color="auto"/>
        <w:bottom w:val="none" w:sz="0" w:space="0" w:color="auto"/>
        <w:right w:val="none" w:sz="0" w:space="0" w:color="auto"/>
      </w:divBdr>
      <w:divsChild>
        <w:div w:id="178551007">
          <w:marLeft w:val="0"/>
          <w:marRight w:val="0"/>
          <w:marTop w:val="0"/>
          <w:marBottom w:val="0"/>
          <w:divBdr>
            <w:top w:val="none" w:sz="0" w:space="0" w:color="auto"/>
            <w:left w:val="none" w:sz="0" w:space="0" w:color="auto"/>
            <w:bottom w:val="none" w:sz="0" w:space="0" w:color="auto"/>
            <w:right w:val="none" w:sz="0" w:space="0" w:color="auto"/>
          </w:divBdr>
          <w:divsChild>
            <w:div w:id="211159551">
              <w:marLeft w:val="0"/>
              <w:marRight w:val="0"/>
              <w:marTop w:val="0"/>
              <w:marBottom w:val="0"/>
              <w:divBdr>
                <w:top w:val="none" w:sz="0" w:space="0" w:color="auto"/>
                <w:left w:val="none" w:sz="0" w:space="0" w:color="auto"/>
                <w:bottom w:val="none" w:sz="0" w:space="0" w:color="auto"/>
                <w:right w:val="none" w:sz="0" w:space="0" w:color="auto"/>
              </w:divBdr>
              <w:divsChild>
                <w:div w:id="1921062694">
                  <w:marLeft w:val="0"/>
                  <w:marRight w:val="0"/>
                  <w:marTop w:val="0"/>
                  <w:marBottom w:val="0"/>
                  <w:divBdr>
                    <w:top w:val="none" w:sz="0" w:space="0" w:color="auto"/>
                    <w:left w:val="none" w:sz="0" w:space="0" w:color="auto"/>
                    <w:bottom w:val="none" w:sz="0" w:space="0" w:color="auto"/>
                    <w:right w:val="none" w:sz="0" w:space="0" w:color="auto"/>
                  </w:divBdr>
                  <w:divsChild>
                    <w:div w:id="678703080">
                      <w:marLeft w:val="0"/>
                      <w:marRight w:val="0"/>
                      <w:marTop w:val="0"/>
                      <w:marBottom w:val="0"/>
                      <w:divBdr>
                        <w:top w:val="none" w:sz="0" w:space="0" w:color="auto"/>
                        <w:left w:val="none" w:sz="0" w:space="0" w:color="auto"/>
                        <w:bottom w:val="none" w:sz="0" w:space="0" w:color="auto"/>
                        <w:right w:val="none" w:sz="0" w:space="0" w:color="auto"/>
                      </w:divBdr>
                      <w:divsChild>
                        <w:div w:id="333000902">
                          <w:marLeft w:val="0"/>
                          <w:marRight w:val="0"/>
                          <w:marTop w:val="0"/>
                          <w:marBottom w:val="0"/>
                          <w:divBdr>
                            <w:top w:val="none" w:sz="0" w:space="0" w:color="auto"/>
                            <w:left w:val="none" w:sz="0" w:space="0" w:color="auto"/>
                            <w:bottom w:val="none" w:sz="0" w:space="0" w:color="auto"/>
                            <w:right w:val="none" w:sz="0" w:space="0" w:color="auto"/>
                          </w:divBdr>
                          <w:divsChild>
                            <w:div w:id="1900364030">
                              <w:marLeft w:val="0"/>
                              <w:marRight w:val="0"/>
                              <w:marTop w:val="480"/>
                              <w:marBottom w:val="240"/>
                              <w:divBdr>
                                <w:top w:val="none" w:sz="0" w:space="0" w:color="auto"/>
                                <w:left w:val="none" w:sz="0" w:space="0" w:color="auto"/>
                                <w:bottom w:val="none" w:sz="0" w:space="0" w:color="auto"/>
                                <w:right w:val="none" w:sz="0" w:space="0" w:color="auto"/>
                              </w:divBdr>
                            </w:div>
                            <w:div w:id="199710317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25546">
      <w:bodyDiv w:val="1"/>
      <w:marLeft w:val="0"/>
      <w:marRight w:val="0"/>
      <w:marTop w:val="0"/>
      <w:marBottom w:val="0"/>
      <w:divBdr>
        <w:top w:val="none" w:sz="0" w:space="0" w:color="auto"/>
        <w:left w:val="none" w:sz="0" w:space="0" w:color="auto"/>
        <w:bottom w:val="none" w:sz="0" w:space="0" w:color="auto"/>
        <w:right w:val="none" w:sz="0" w:space="0" w:color="auto"/>
      </w:divBdr>
    </w:div>
    <w:div w:id="1191644197">
      <w:bodyDiv w:val="1"/>
      <w:marLeft w:val="0"/>
      <w:marRight w:val="0"/>
      <w:marTop w:val="0"/>
      <w:marBottom w:val="0"/>
      <w:divBdr>
        <w:top w:val="none" w:sz="0" w:space="0" w:color="auto"/>
        <w:left w:val="none" w:sz="0" w:space="0" w:color="auto"/>
        <w:bottom w:val="none" w:sz="0" w:space="0" w:color="auto"/>
        <w:right w:val="none" w:sz="0" w:space="0" w:color="auto"/>
      </w:divBdr>
    </w:div>
    <w:div w:id="1219323136">
      <w:bodyDiv w:val="1"/>
      <w:marLeft w:val="0"/>
      <w:marRight w:val="0"/>
      <w:marTop w:val="0"/>
      <w:marBottom w:val="0"/>
      <w:divBdr>
        <w:top w:val="none" w:sz="0" w:space="0" w:color="auto"/>
        <w:left w:val="none" w:sz="0" w:space="0" w:color="auto"/>
        <w:bottom w:val="none" w:sz="0" w:space="0" w:color="auto"/>
        <w:right w:val="none" w:sz="0" w:space="0" w:color="auto"/>
      </w:divBdr>
    </w:div>
    <w:div w:id="1230772425">
      <w:bodyDiv w:val="1"/>
      <w:marLeft w:val="0"/>
      <w:marRight w:val="0"/>
      <w:marTop w:val="0"/>
      <w:marBottom w:val="0"/>
      <w:divBdr>
        <w:top w:val="none" w:sz="0" w:space="0" w:color="auto"/>
        <w:left w:val="none" w:sz="0" w:space="0" w:color="auto"/>
        <w:bottom w:val="none" w:sz="0" w:space="0" w:color="auto"/>
        <w:right w:val="none" w:sz="0" w:space="0" w:color="auto"/>
      </w:divBdr>
    </w:div>
    <w:div w:id="1482187720">
      <w:bodyDiv w:val="1"/>
      <w:marLeft w:val="0"/>
      <w:marRight w:val="0"/>
      <w:marTop w:val="0"/>
      <w:marBottom w:val="0"/>
      <w:divBdr>
        <w:top w:val="none" w:sz="0" w:space="0" w:color="auto"/>
        <w:left w:val="none" w:sz="0" w:space="0" w:color="auto"/>
        <w:bottom w:val="none" w:sz="0" w:space="0" w:color="auto"/>
        <w:right w:val="none" w:sz="0" w:space="0" w:color="auto"/>
      </w:divBdr>
    </w:div>
    <w:div w:id="1561015713">
      <w:bodyDiv w:val="1"/>
      <w:marLeft w:val="0"/>
      <w:marRight w:val="0"/>
      <w:marTop w:val="0"/>
      <w:marBottom w:val="0"/>
      <w:divBdr>
        <w:top w:val="none" w:sz="0" w:space="0" w:color="auto"/>
        <w:left w:val="none" w:sz="0" w:space="0" w:color="auto"/>
        <w:bottom w:val="none" w:sz="0" w:space="0" w:color="auto"/>
        <w:right w:val="none" w:sz="0" w:space="0" w:color="auto"/>
      </w:divBdr>
    </w:div>
    <w:div w:id="1573538589">
      <w:bodyDiv w:val="1"/>
      <w:marLeft w:val="0"/>
      <w:marRight w:val="0"/>
      <w:marTop w:val="0"/>
      <w:marBottom w:val="0"/>
      <w:divBdr>
        <w:top w:val="none" w:sz="0" w:space="0" w:color="auto"/>
        <w:left w:val="none" w:sz="0" w:space="0" w:color="auto"/>
        <w:bottom w:val="none" w:sz="0" w:space="0" w:color="auto"/>
        <w:right w:val="none" w:sz="0" w:space="0" w:color="auto"/>
      </w:divBdr>
    </w:div>
    <w:div w:id="1580014619">
      <w:bodyDiv w:val="1"/>
      <w:marLeft w:val="0"/>
      <w:marRight w:val="0"/>
      <w:marTop w:val="0"/>
      <w:marBottom w:val="0"/>
      <w:divBdr>
        <w:top w:val="none" w:sz="0" w:space="0" w:color="auto"/>
        <w:left w:val="none" w:sz="0" w:space="0" w:color="auto"/>
        <w:bottom w:val="none" w:sz="0" w:space="0" w:color="auto"/>
        <w:right w:val="none" w:sz="0" w:space="0" w:color="auto"/>
      </w:divBdr>
      <w:divsChild>
        <w:div w:id="1431125686">
          <w:marLeft w:val="0"/>
          <w:marRight w:val="0"/>
          <w:marTop w:val="0"/>
          <w:marBottom w:val="0"/>
          <w:divBdr>
            <w:top w:val="none" w:sz="0" w:space="0" w:color="auto"/>
            <w:left w:val="none" w:sz="0" w:space="0" w:color="auto"/>
            <w:bottom w:val="none" w:sz="0" w:space="0" w:color="auto"/>
            <w:right w:val="none" w:sz="0" w:space="0" w:color="auto"/>
          </w:divBdr>
          <w:divsChild>
            <w:div w:id="1425107254">
              <w:marLeft w:val="0"/>
              <w:marRight w:val="0"/>
              <w:marTop w:val="0"/>
              <w:marBottom w:val="0"/>
              <w:divBdr>
                <w:top w:val="none" w:sz="0" w:space="0" w:color="auto"/>
                <w:left w:val="none" w:sz="0" w:space="0" w:color="auto"/>
                <w:bottom w:val="none" w:sz="0" w:space="0" w:color="auto"/>
                <w:right w:val="none" w:sz="0" w:space="0" w:color="auto"/>
              </w:divBdr>
              <w:divsChild>
                <w:div w:id="427234107">
                  <w:marLeft w:val="0"/>
                  <w:marRight w:val="0"/>
                  <w:marTop w:val="0"/>
                  <w:marBottom w:val="0"/>
                  <w:divBdr>
                    <w:top w:val="none" w:sz="0" w:space="0" w:color="auto"/>
                    <w:left w:val="none" w:sz="0" w:space="0" w:color="auto"/>
                    <w:bottom w:val="none" w:sz="0" w:space="0" w:color="auto"/>
                    <w:right w:val="none" w:sz="0" w:space="0" w:color="auto"/>
                  </w:divBdr>
                  <w:divsChild>
                    <w:div w:id="1201284556">
                      <w:marLeft w:val="0"/>
                      <w:marRight w:val="0"/>
                      <w:marTop w:val="0"/>
                      <w:marBottom w:val="0"/>
                      <w:divBdr>
                        <w:top w:val="none" w:sz="0" w:space="0" w:color="auto"/>
                        <w:left w:val="none" w:sz="0" w:space="0" w:color="auto"/>
                        <w:bottom w:val="none" w:sz="0" w:space="0" w:color="auto"/>
                        <w:right w:val="none" w:sz="0" w:space="0" w:color="auto"/>
                      </w:divBdr>
                      <w:divsChild>
                        <w:div w:id="776868465">
                          <w:marLeft w:val="0"/>
                          <w:marRight w:val="0"/>
                          <w:marTop w:val="0"/>
                          <w:marBottom w:val="0"/>
                          <w:divBdr>
                            <w:top w:val="none" w:sz="0" w:space="0" w:color="auto"/>
                            <w:left w:val="none" w:sz="0" w:space="0" w:color="auto"/>
                            <w:bottom w:val="none" w:sz="0" w:space="0" w:color="auto"/>
                            <w:right w:val="none" w:sz="0" w:space="0" w:color="auto"/>
                          </w:divBdr>
                          <w:divsChild>
                            <w:div w:id="13995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96942">
      <w:bodyDiv w:val="1"/>
      <w:marLeft w:val="0"/>
      <w:marRight w:val="0"/>
      <w:marTop w:val="0"/>
      <w:marBottom w:val="0"/>
      <w:divBdr>
        <w:top w:val="none" w:sz="0" w:space="0" w:color="auto"/>
        <w:left w:val="none" w:sz="0" w:space="0" w:color="auto"/>
        <w:bottom w:val="none" w:sz="0" w:space="0" w:color="auto"/>
        <w:right w:val="none" w:sz="0" w:space="0" w:color="auto"/>
      </w:divBdr>
    </w:div>
    <w:div w:id="1660187067">
      <w:bodyDiv w:val="1"/>
      <w:marLeft w:val="0"/>
      <w:marRight w:val="0"/>
      <w:marTop w:val="0"/>
      <w:marBottom w:val="0"/>
      <w:divBdr>
        <w:top w:val="none" w:sz="0" w:space="0" w:color="auto"/>
        <w:left w:val="none" w:sz="0" w:space="0" w:color="auto"/>
        <w:bottom w:val="none" w:sz="0" w:space="0" w:color="auto"/>
        <w:right w:val="none" w:sz="0" w:space="0" w:color="auto"/>
      </w:divBdr>
    </w:div>
    <w:div w:id="1673531529">
      <w:bodyDiv w:val="1"/>
      <w:marLeft w:val="0"/>
      <w:marRight w:val="0"/>
      <w:marTop w:val="0"/>
      <w:marBottom w:val="0"/>
      <w:divBdr>
        <w:top w:val="none" w:sz="0" w:space="0" w:color="auto"/>
        <w:left w:val="none" w:sz="0" w:space="0" w:color="auto"/>
        <w:bottom w:val="none" w:sz="0" w:space="0" w:color="auto"/>
        <w:right w:val="none" w:sz="0" w:space="0" w:color="auto"/>
      </w:divBdr>
    </w:div>
    <w:div w:id="1775586893">
      <w:bodyDiv w:val="1"/>
      <w:marLeft w:val="0"/>
      <w:marRight w:val="0"/>
      <w:marTop w:val="0"/>
      <w:marBottom w:val="0"/>
      <w:divBdr>
        <w:top w:val="none" w:sz="0" w:space="0" w:color="auto"/>
        <w:left w:val="none" w:sz="0" w:space="0" w:color="auto"/>
        <w:bottom w:val="none" w:sz="0" w:space="0" w:color="auto"/>
        <w:right w:val="none" w:sz="0" w:space="0" w:color="auto"/>
      </w:divBdr>
    </w:div>
    <w:div w:id="1793862104">
      <w:bodyDiv w:val="1"/>
      <w:marLeft w:val="0"/>
      <w:marRight w:val="0"/>
      <w:marTop w:val="0"/>
      <w:marBottom w:val="0"/>
      <w:divBdr>
        <w:top w:val="none" w:sz="0" w:space="0" w:color="auto"/>
        <w:left w:val="none" w:sz="0" w:space="0" w:color="auto"/>
        <w:bottom w:val="none" w:sz="0" w:space="0" w:color="auto"/>
        <w:right w:val="none" w:sz="0" w:space="0" w:color="auto"/>
      </w:divBdr>
    </w:div>
    <w:div w:id="1838693632">
      <w:bodyDiv w:val="1"/>
      <w:marLeft w:val="0"/>
      <w:marRight w:val="0"/>
      <w:marTop w:val="0"/>
      <w:marBottom w:val="0"/>
      <w:divBdr>
        <w:top w:val="none" w:sz="0" w:space="0" w:color="auto"/>
        <w:left w:val="none" w:sz="0" w:space="0" w:color="auto"/>
        <w:bottom w:val="none" w:sz="0" w:space="0" w:color="auto"/>
        <w:right w:val="none" w:sz="0" w:space="0" w:color="auto"/>
      </w:divBdr>
    </w:div>
    <w:div w:id="1994720485">
      <w:bodyDiv w:val="1"/>
      <w:marLeft w:val="0"/>
      <w:marRight w:val="0"/>
      <w:marTop w:val="0"/>
      <w:marBottom w:val="0"/>
      <w:divBdr>
        <w:top w:val="none" w:sz="0" w:space="0" w:color="auto"/>
        <w:left w:val="none" w:sz="0" w:space="0" w:color="auto"/>
        <w:bottom w:val="none" w:sz="0" w:space="0" w:color="auto"/>
        <w:right w:val="none" w:sz="0" w:space="0" w:color="auto"/>
      </w:divBdr>
    </w:div>
    <w:div w:id="20197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ta/id/278321-ministru-kabineta-sedes-protokols" TargetMode="External"/><Relationship Id="rId13" Type="http://schemas.openxmlformats.org/officeDocument/2006/relationships/hyperlink" Target="http://eur-lex.europa.eu/eli/reg/2011/1161?locale=LV" TargetMode="External"/><Relationship Id="rId18" Type="http://schemas.openxmlformats.org/officeDocument/2006/relationships/hyperlink" Target="http://eur-lex.europa.eu/eli/dir/2002/46?locale=LV" TargetMode="Externa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pro.nais.lv/naiser/text.cfm?&amp;KEY=0101032006050900376&amp;waiting=Yes&amp;RequestTimeout=500" TargetMode="External"/><Relationship Id="rId7" Type="http://schemas.openxmlformats.org/officeDocument/2006/relationships/endnotes" Target="endnotes.xml"/><Relationship Id="rId12" Type="http://schemas.openxmlformats.org/officeDocument/2006/relationships/hyperlink" Target="http://eur-lex.europa.eu/eli/reg/2006/1925?locale=LV" TargetMode="External"/><Relationship Id="rId17" Type="http://schemas.openxmlformats.org/officeDocument/2006/relationships/hyperlink" Target="http://eur-lex.europa.eu/eli/reg/2014/119?locale=LV" TargetMode="External"/><Relationship Id="rId25" Type="http://schemas.openxmlformats.org/officeDocument/2006/relationships/chart" Target="charts/chart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eli/reg/2009/953?locale=LV" TargetMode="External"/><Relationship Id="rId20" Type="http://schemas.openxmlformats.org/officeDocument/2006/relationships/hyperlink" Target="http://pro.nais.lv/naiser/text.cfm?Ref=0101032006050900376&amp;Req=0101032006050900376&amp;Key=0103011997041032772&amp;Has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2/46?locale=LV" TargetMode="External"/><Relationship Id="rId24" Type="http://schemas.openxmlformats.org/officeDocument/2006/relationships/chart" Target="charts/chart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eli/reg/2006/1925?locale=LV" TargetMode="External"/><Relationship Id="rId23" Type="http://schemas.openxmlformats.org/officeDocument/2006/relationships/chart" Target="charts/chart2.xml"/><Relationship Id="rId28" Type="http://schemas.openxmlformats.org/officeDocument/2006/relationships/chart" Target="charts/chart7.xml"/><Relationship Id="rId10" Type="http://schemas.openxmlformats.org/officeDocument/2006/relationships/hyperlink" Target="http://eur-lex.europa.eu/eli/reg/2009/1170?locale=LV" TargetMode="External"/><Relationship Id="rId19" Type="http://schemas.openxmlformats.org/officeDocument/2006/relationships/hyperlink" Target="http://eur-lex.europa.eu/eli/reg/2006/1925?locale=LV"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vestnesis.lv/url.php?id=278321" TargetMode="External"/><Relationship Id="rId14" Type="http://schemas.openxmlformats.org/officeDocument/2006/relationships/hyperlink" Target="http://eur-lex.europa.eu/eli/dir/2002/46?locale=LV"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pkc.gov.lv/file_download/2797/Buklets_Gribu_but_mamina.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lapa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santare\Documents\ta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santare\Documents\tab.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marcenkova\Desktop\UB_grafiki_2015.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tmarcenkova\Documents\ATSKAITES\2015\P&#257;rskata_dati_2015.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tmarcenkova\Desktop\UB_grafiki_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I</a:t>
            </a:r>
            <a:r>
              <a:rPr lang="lv-LV" sz="1400" b="0" i="0" u="none" strike="noStrike" baseline="0">
                <a:effectLst/>
                <a:latin typeface="Times New Roman" panose="02020603050405020304" pitchFamily="18" charset="0"/>
                <a:cs typeface="Times New Roman" panose="02020603050405020304" pitchFamily="18" charset="0"/>
              </a:rPr>
              <a:t>zskatīto</a:t>
            </a:r>
            <a:r>
              <a:rPr lang="lv-LV" sz="1400" b="0" i="0" u="none" strike="noStrike" baseline="0">
                <a:effectLst/>
              </a:rPr>
              <a:t> pieteikumu skaits dokumentācijas izvērtēšanai par piederību vai nepiederību zālēm</a:t>
            </a:r>
            <a:endParaRPr lang="en-GB"/>
          </a:p>
        </c:rich>
      </c:tx>
      <c:layout>
        <c:manualLayout>
          <c:xMode val="edge"/>
          <c:yMode val="edge"/>
          <c:x val="0.12501805923428844"/>
          <c:y val="2.4767801857585141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Kopā</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22</c:v>
                </c:pt>
                <c:pt idx="1">
                  <c:v>31</c:v>
                </c:pt>
                <c:pt idx="2">
                  <c:v>12</c:v>
                </c:pt>
                <c:pt idx="3">
                  <c:v>37</c:v>
                </c:pt>
                <c:pt idx="4">
                  <c:v>31</c:v>
                </c:pt>
              </c:numCache>
            </c:numRef>
          </c:val>
          <c:extLst xmlns:c16r2="http://schemas.microsoft.com/office/drawing/2015/06/chart">
            <c:ext xmlns:c16="http://schemas.microsoft.com/office/drawing/2014/chart" uri="{C3380CC4-5D6E-409C-BE32-E72D297353CC}">
              <c16:uniqueId val="{00000000-C238-45E3-BF59-104C2572B8E9}"/>
            </c:ext>
          </c:extLst>
        </c:ser>
        <c:ser>
          <c:idx val="1"/>
          <c:order val="1"/>
          <c:tx>
            <c:strRef>
              <c:f>Sheet1!$C$1</c:f>
              <c:strCache>
                <c:ptCount val="1"/>
                <c:pt idx="0">
                  <c:v>PVD</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2011</c:v>
                </c:pt>
                <c:pt idx="1">
                  <c:v>2012</c:v>
                </c:pt>
                <c:pt idx="2">
                  <c:v>2013</c:v>
                </c:pt>
                <c:pt idx="3">
                  <c:v>2014</c:v>
                </c:pt>
                <c:pt idx="4">
                  <c:v>2015</c:v>
                </c:pt>
              </c:numCache>
            </c:numRef>
          </c:cat>
          <c:val>
            <c:numRef>
              <c:f>Sheet1!$C$2:$C$6</c:f>
              <c:numCache>
                <c:formatCode>General</c:formatCode>
                <c:ptCount val="5"/>
                <c:pt idx="0">
                  <c:v>19</c:v>
                </c:pt>
                <c:pt idx="1">
                  <c:v>17</c:v>
                </c:pt>
                <c:pt idx="2">
                  <c:v>11</c:v>
                </c:pt>
                <c:pt idx="3">
                  <c:v>23</c:v>
                </c:pt>
                <c:pt idx="4">
                  <c:v>25</c:v>
                </c:pt>
              </c:numCache>
            </c:numRef>
          </c:val>
          <c:extLst xmlns:c16r2="http://schemas.microsoft.com/office/drawing/2015/06/chart">
            <c:ext xmlns:c16="http://schemas.microsoft.com/office/drawing/2014/chart" uri="{C3380CC4-5D6E-409C-BE32-E72D297353CC}">
              <c16:uniqueId val="{00000001-C238-45E3-BF59-104C2572B8E9}"/>
            </c:ext>
          </c:extLst>
        </c:ser>
        <c:ser>
          <c:idx val="2"/>
          <c:order val="2"/>
          <c:tx>
            <c:strRef>
              <c:f>Sheet1!$D$1</c:f>
              <c:strCache>
                <c:ptCount val="1"/>
                <c:pt idx="0">
                  <c:v>Citas valsts iestādes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2011</c:v>
                </c:pt>
                <c:pt idx="1">
                  <c:v>2012</c:v>
                </c:pt>
                <c:pt idx="2">
                  <c:v>2013</c:v>
                </c:pt>
                <c:pt idx="3">
                  <c:v>2014</c:v>
                </c:pt>
                <c:pt idx="4">
                  <c:v>2015</c:v>
                </c:pt>
              </c:numCache>
            </c:numRef>
          </c:cat>
          <c:val>
            <c:numRef>
              <c:f>Sheet1!$D$2:$D$6</c:f>
              <c:numCache>
                <c:formatCode>General</c:formatCode>
                <c:ptCount val="5"/>
                <c:pt idx="0">
                  <c:v>3</c:v>
                </c:pt>
                <c:pt idx="1">
                  <c:v>1</c:v>
                </c:pt>
                <c:pt idx="2">
                  <c:v>1</c:v>
                </c:pt>
                <c:pt idx="3">
                  <c:v>10</c:v>
                </c:pt>
              </c:numCache>
            </c:numRef>
          </c:val>
          <c:extLst xmlns:c16r2="http://schemas.microsoft.com/office/drawing/2015/06/chart">
            <c:ext xmlns:c16="http://schemas.microsoft.com/office/drawing/2014/chart" uri="{C3380CC4-5D6E-409C-BE32-E72D297353CC}">
              <c16:uniqueId val="{00000002-C238-45E3-BF59-104C2572B8E9}"/>
            </c:ext>
          </c:extLst>
        </c:ser>
        <c:ser>
          <c:idx val="3"/>
          <c:order val="3"/>
          <c:tx>
            <c:strRef>
              <c:f>Sheet1!$E$1</c:f>
              <c:strCache>
                <c:ptCount val="1"/>
                <c:pt idx="0">
                  <c:v>Med. Ierīču reģistrācijas nodaļa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2011</c:v>
                </c:pt>
                <c:pt idx="1">
                  <c:v>2012</c:v>
                </c:pt>
                <c:pt idx="2">
                  <c:v>2013</c:v>
                </c:pt>
                <c:pt idx="3">
                  <c:v>2014</c:v>
                </c:pt>
                <c:pt idx="4">
                  <c:v>2015</c:v>
                </c:pt>
              </c:numCache>
            </c:numRef>
          </c:cat>
          <c:val>
            <c:numRef>
              <c:f>Sheet1!$E$2:$E$6</c:f>
              <c:numCache>
                <c:formatCode>General</c:formatCode>
                <c:ptCount val="5"/>
                <c:pt idx="0">
                  <c:v>0</c:v>
                </c:pt>
                <c:pt idx="1">
                  <c:v>13</c:v>
                </c:pt>
                <c:pt idx="2">
                  <c:v>0</c:v>
                </c:pt>
                <c:pt idx="3">
                  <c:v>4</c:v>
                </c:pt>
                <c:pt idx="4">
                  <c:v>4</c:v>
                </c:pt>
              </c:numCache>
            </c:numRef>
          </c:val>
          <c:extLst xmlns:c16r2="http://schemas.microsoft.com/office/drawing/2015/06/chart">
            <c:ext xmlns:c16="http://schemas.microsoft.com/office/drawing/2014/chart" uri="{C3380CC4-5D6E-409C-BE32-E72D297353CC}">
              <c16:uniqueId val="{00000003-C238-45E3-BF59-104C2572B8E9}"/>
            </c:ext>
          </c:extLst>
        </c:ser>
        <c:ser>
          <c:idx val="4"/>
          <c:order val="4"/>
          <c:tx>
            <c:strRef>
              <c:f>Sheet1!$F$1</c:f>
              <c:strCache>
                <c:ptCount val="1"/>
                <c:pt idx="0">
                  <c:v>Maksas pakalpojums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2011</c:v>
                </c:pt>
                <c:pt idx="1">
                  <c:v>2012</c:v>
                </c:pt>
                <c:pt idx="2">
                  <c:v>2013</c:v>
                </c:pt>
                <c:pt idx="3">
                  <c:v>2014</c:v>
                </c:pt>
                <c:pt idx="4">
                  <c:v>2015</c:v>
                </c:pt>
              </c:numCache>
            </c:numRef>
          </c:cat>
          <c:val>
            <c:numRef>
              <c:f>Sheet1!$F$2:$F$6</c:f>
              <c:numCache>
                <c:formatCode>General</c:formatCode>
                <c:ptCount val="5"/>
                <c:pt idx="0">
                  <c:v>0</c:v>
                </c:pt>
                <c:pt idx="1">
                  <c:v>0</c:v>
                </c:pt>
                <c:pt idx="2">
                  <c:v>0</c:v>
                </c:pt>
                <c:pt idx="3">
                  <c:v>0</c:v>
                </c:pt>
                <c:pt idx="4">
                  <c:v>2</c:v>
                </c:pt>
              </c:numCache>
            </c:numRef>
          </c:val>
          <c:extLst xmlns:c16r2="http://schemas.microsoft.com/office/drawing/2015/06/chart">
            <c:ext xmlns:c16="http://schemas.microsoft.com/office/drawing/2014/chart" uri="{C3380CC4-5D6E-409C-BE32-E72D297353CC}">
              <c16:uniqueId val="{00000004-C238-45E3-BF59-104C2572B8E9}"/>
            </c:ext>
          </c:extLst>
        </c:ser>
        <c:dLbls>
          <c:showLegendKey val="0"/>
          <c:showVal val="0"/>
          <c:showCatName val="0"/>
          <c:showSerName val="0"/>
          <c:showPercent val="0"/>
          <c:showBubbleSize val="0"/>
        </c:dLbls>
        <c:gapWidth val="219"/>
        <c:overlap val="-27"/>
        <c:axId val="246572896"/>
        <c:axId val="246570936"/>
      </c:barChart>
      <c:catAx>
        <c:axId val="24657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46570936"/>
        <c:crosses val="autoZero"/>
        <c:auto val="1"/>
        <c:lblAlgn val="ctr"/>
        <c:lblOffset val="100"/>
        <c:noMultiLvlLbl val="0"/>
      </c:catAx>
      <c:valAx>
        <c:axId val="246570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46572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1200"/>
              <a:t>Reģistrēto uztura bagātinātāju skaita pieauguma dinamika, 2009.–2015.</a:t>
            </a:r>
          </a:p>
        </c:rich>
      </c:tx>
      <c:layout>
        <c:manualLayout>
          <c:xMode val="edge"/>
          <c:yMode val="edge"/>
          <c:x val="0.14557247966954945"/>
          <c:y val="2.7777777777777801E-2"/>
        </c:manualLayout>
      </c:layout>
      <c:overlay val="0"/>
      <c:spPr>
        <a:noFill/>
        <a:ln>
          <a:noFill/>
        </a:ln>
        <a:effectLst/>
      </c:spPr>
    </c:title>
    <c:autoTitleDeleted val="0"/>
    <c:plotArea>
      <c:layout/>
      <c:lineChart>
        <c:grouping val="stacked"/>
        <c:varyColors val="0"/>
        <c:ser>
          <c:idx val="0"/>
          <c:order val="0"/>
          <c:tx>
            <c:strRef>
              <c:f>Sheet1!$B$1</c:f>
              <c:strCache>
                <c:ptCount val="1"/>
                <c:pt idx="0">
                  <c:v>UB reģistrā iekļauti jauni UB</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Sheet1!$A$2:$A$8</c:f>
              <c:numCache>
                <c:formatCode>General</c:formatCode>
                <c:ptCount val="7"/>
                <c:pt idx="0">
                  <c:v>2009</c:v>
                </c:pt>
                <c:pt idx="1">
                  <c:v>2010</c:v>
                </c:pt>
                <c:pt idx="2">
                  <c:v>2011</c:v>
                </c:pt>
                <c:pt idx="3">
                  <c:v>2012</c:v>
                </c:pt>
                <c:pt idx="4">
                  <c:v>2013</c:v>
                </c:pt>
                <c:pt idx="5">
                  <c:v>2014</c:v>
                </c:pt>
                <c:pt idx="6">
                  <c:v>2015</c:v>
                </c:pt>
              </c:numCache>
            </c:numRef>
          </c:cat>
          <c:val>
            <c:numRef>
              <c:f>Sheet1!$B$2:$B$8</c:f>
              <c:numCache>
                <c:formatCode>General</c:formatCode>
                <c:ptCount val="7"/>
                <c:pt idx="0">
                  <c:v>440</c:v>
                </c:pt>
                <c:pt idx="1">
                  <c:v>541</c:v>
                </c:pt>
                <c:pt idx="2">
                  <c:v>717</c:v>
                </c:pt>
                <c:pt idx="3">
                  <c:v>487</c:v>
                </c:pt>
                <c:pt idx="4">
                  <c:v>489</c:v>
                </c:pt>
                <c:pt idx="5">
                  <c:v>569</c:v>
                </c:pt>
                <c:pt idx="6">
                  <c:v>592</c:v>
                </c:pt>
              </c:numCache>
            </c:numRef>
          </c:val>
          <c:smooth val="0"/>
          <c:extLst xmlns:c16r2="http://schemas.microsoft.com/office/drawing/2015/06/chart">
            <c:ext xmlns:c16="http://schemas.microsoft.com/office/drawing/2014/chart" uri="{C3380CC4-5D6E-409C-BE32-E72D297353CC}">
              <c16:uniqueId val="{00000000-08DB-4ECC-BE24-CBB4DF141785}"/>
            </c:ext>
          </c:extLst>
        </c:ser>
        <c:ser>
          <c:idx val="1"/>
          <c:order val="1"/>
          <c:tx>
            <c:strRef>
              <c:f>Sheet1!$C$1</c:f>
              <c:strCache>
                <c:ptCount val="1"/>
                <c:pt idx="0">
                  <c:v>PVD UB reģistrā fiksētais UB kopskaits attiecīgā kalendārā gada beigās</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Sheet1!$A$2:$A$8</c:f>
              <c:numCache>
                <c:formatCode>General</c:formatCode>
                <c:ptCount val="7"/>
                <c:pt idx="0">
                  <c:v>2009</c:v>
                </c:pt>
                <c:pt idx="1">
                  <c:v>2010</c:v>
                </c:pt>
                <c:pt idx="2">
                  <c:v>2011</c:v>
                </c:pt>
                <c:pt idx="3">
                  <c:v>2012</c:v>
                </c:pt>
                <c:pt idx="4">
                  <c:v>2013</c:v>
                </c:pt>
                <c:pt idx="5">
                  <c:v>2014</c:v>
                </c:pt>
                <c:pt idx="6">
                  <c:v>2015</c:v>
                </c:pt>
              </c:numCache>
            </c:numRef>
          </c:cat>
          <c:val>
            <c:numRef>
              <c:f>Sheet1!$C$2:$C$8</c:f>
              <c:numCache>
                <c:formatCode>General</c:formatCode>
                <c:ptCount val="7"/>
                <c:pt idx="0">
                  <c:v>3078</c:v>
                </c:pt>
                <c:pt idx="1">
                  <c:v>3517</c:v>
                </c:pt>
                <c:pt idx="2">
                  <c:v>4198</c:v>
                </c:pt>
                <c:pt idx="3">
                  <c:v>4568</c:v>
                </c:pt>
                <c:pt idx="4">
                  <c:v>5038</c:v>
                </c:pt>
                <c:pt idx="5">
                  <c:v>5554</c:v>
                </c:pt>
                <c:pt idx="6">
                  <c:v>6070</c:v>
                </c:pt>
              </c:numCache>
            </c:numRef>
          </c:val>
          <c:smooth val="0"/>
          <c:extLst xmlns:c16r2="http://schemas.microsoft.com/office/drawing/2015/06/chart">
            <c:ext xmlns:c16="http://schemas.microsoft.com/office/drawing/2014/chart" uri="{C3380CC4-5D6E-409C-BE32-E72D297353CC}">
              <c16:uniqueId val="{00000001-08DB-4ECC-BE24-CBB4DF141785}"/>
            </c:ext>
          </c:extLst>
        </c:ser>
        <c:dLbls>
          <c:showLegendKey val="0"/>
          <c:showVal val="1"/>
          <c:showCatName val="0"/>
          <c:showSerName val="0"/>
          <c:showPercent val="0"/>
          <c:showBubbleSize val="0"/>
        </c:dLbls>
        <c:marker val="1"/>
        <c:smooth val="0"/>
        <c:axId val="246574464"/>
        <c:axId val="246571720"/>
      </c:lineChart>
      <c:catAx>
        <c:axId val="2465744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mn-lt"/>
                <a:ea typeface="+mn-ea"/>
                <a:cs typeface="+mn-cs"/>
              </a:defRPr>
            </a:pPr>
            <a:endParaRPr lang="lv-LV"/>
          </a:p>
        </c:txPr>
        <c:crossAx val="246571720"/>
        <c:crosses val="autoZero"/>
        <c:auto val="1"/>
        <c:lblAlgn val="ctr"/>
        <c:lblOffset val="100"/>
        <c:noMultiLvlLbl val="0"/>
      </c:catAx>
      <c:valAx>
        <c:axId val="2465717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246574464"/>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r>
              <a:rPr lang="lv-LV" sz="1200" b="1" i="0" baseline="0">
                <a:effectLst/>
              </a:rPr>
              <a:t>PVD veikto UB reģistrācijas procedūru dinamika, 2011.–2015.</a:t>
            </a:r>
            <a:endParaRPr lang="lv-LV" sz="1200">
              <a:effectLst/>
            </a:endParaRPr>
          </a:p>
        </c:rich>
      </c:tx>
      <c:layout>
        <c:manualLayout>
          <c:xMode val="edge"/>
          <c:yMode val="edge"/>
          <c:x val="0.15005555555555555"/>
          <c:y val="3.2407407407407406E-2"/>
        </c:manualLayout>
      </c:layout>
      <c:overlay val="0"/>
      <c:spPr>
        <a:noFill/>
        <a:ln>
          <a:noFill/>
        </a:ln>
        <a:effectLst/>
      </c:spPr>
    </c:title>
    <c:autoTitleDeleted val="0"/>
    <c:plotArea>
      <c:layout/>
      <c:barChart>
        <c:barDir val="bar"/>
        <c:grouping val="clustered"/>
        <c:varyColors val="0"/>
        <c:ser>
          <c:idx val="0"/>
          <c:order val="0"/>
          <c:tx>
            <c:strRef>
              <c:f>Sheet2!$B$1</c:f>
              <c:strCache>
                <c:ptCount val="1"/>
                <c:pt idx="0">
                  <c:v>Jaunu UB reģistrācija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2">
                        <a:lumMod val="50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Sheet2!$A$2:$A$6</c:f>
              <c:numCache>
                <c:formatCode>General</c:formatCode>
                <c:ptCount val="5"/>
                <c:pt idx="0">
                  <c:v>2011</c:v>
                </c:pt>
                <c:pt idx="1">
                  <c:v>2012</c:v>
                </c:pt>
                <c:pt idx="2">
                  <c:v>2013</c:v>
                </c:pt>
                <c:pt idx="3">
                  <c:v>2014</c:v>
                </c:pt>
                <c:pt idx="4">
                  <c:v>2015</c:v>
                </c:pt>
              </c:numCache>
            </c:numRef>
          </c:cat>
          <c:val>
            <c:numRef>
              <c:f>Sheet2!$B$2:$B$6</c:f>
              <c:numCache>
                <c:formatCode>General</c:formatCode>
                <c:ptCount val="5"/>
                <c:pt idx="0">
                  <c:v>717</c:v>
                </c:pt>
                <c:pt idx="1">
                  <c:v>487</c:v>
                </c:pt>
                <c:pt idx="2">
                  <c:v>489</c:v>
                </c:pt>
                <c:pt idx="3">
                  <c:v>569</c:v>
                </c:pt>
                <c:pt idx="4">
                  <c:v>592</c:v>
                </c:pt>
              </c:numCache>
            </c:numRef>
          </c:val>
          <c:extLst xmlns:c16r2="http://schemas.microsoft.com/office/drawing/2015/06/chart">
            <c:ext xmlns:c16="http://schemas.microsoft.com/office/drawing/2014/chart" uri="{C3380CC4-5D6E-409C-BE32-E72D297353CC}">
              <c16:uniqueId val="{00000000-EEBF-499B-A27E-B887C3E8449E}"/>
            </c:ext>
          </c:extLst>
        </c:ser>
        <c:ser>
          <c:idx val="1"/>
          <c:order val="1"/>
          <c:tx>
            <c:strRef>
              <c:f>Sheet2!$C$1</c:f>
              <c:strCache>
                <c:ptCount val="1"/>
                <c:pt idx="0">
                  <c:v>Izmaiņu veikšana reģistrētam UB</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F070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Sheet2!$A$2:$A$6</c:f>
              <c:numCache>
                <c:formatCode>General</c:formatCode>
                <c:ptCount val="5"/>
                <c:pt idx="0">
                  <c:v>2011</c:v>
                </c:pt>
                <c:pt idx="1">
                  <c:v>2012</c:v>
                </c:pt>
                <c:pt idx="2">
                  <c:v>2013</c:v>
                </c:pt>
                <c:pt idx="3">
                  <c:v>2014</c:v>
                </c:pt>
                <c:pt idx="4">
                  <c:v>2015</c:v>
                </c:pt>
              </c:numCache>
            </c:numRef>
          </c:cat>
          <c:val>
            <c:numRef>
              <c:f>Sheet2!$C$2:$C$6</c:f>
              <c:numCache>
                <c:formatCode>General</c:formatCode>
                <c:ptCount val="5"/>
                <c:pt idx="0">
                  <c:v>436</c:v>
                </c:pt>
                <c:pt idx="1">
                  <c:v>547</c:v>
                </c:pt>
                <c:pt idx="2">
                  <c:v>511</c:v>
                </c:pt>
                <c:pt idx="3">
                  <c:v>265</c:v>
                </c:pt>
                <c:pt idx="4">
                  <c:v>518</c:v>
                </c:pt>
              </c:numCache>
            </c:numRef>
          </c:val>
          <c:extLst xmlns:c16r2="http://schemas.microsoft.com/office/drawing/2015/06/chart">
            <c:ext xmlns:c16="http://schemas.microsoft.com/office/drawing/2014/chart" uri="{C3380CC4-5D6E-409C-BE32-E72D297353CC}">
              <c16:uniqueId val="{00000001-EEBF-499B-A27E-B887C3E8449E}"/>
            </c:ext>
          </c:extLst>
        </c:ser>
        <c:dLbls>
          <c:dLblPos val="inEnd"/>
          <c:showLegendKey val="0"/>
          <c:showVal val="1"/>
          <c:showCatName val="0"/>
          <c:showSerName val="0"/>
          <c:showPercent val="0"/>
          <c:showBubbleSize val="0"/>
        </c:dLbls>
        <c:gapWidth val="65"/>
        <c:axId val="246571328"/>
        <c:axId val="246577600"/>
      </c:barChart>
      <c:catAx>
        <c:axId val="24657132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mn-lt"/>
                <a:ea typeface="+mn-ea"/>
                <a:cs typeface="+mn-cs"/>
              </a:defRPr>
            </a:pPr>
            <a:endParaRPr lang="lv-LV"/>
          </a:p>
        </c:txPr>
        <c:crossAx val="246577600"/>
        <c:crosses val="autoZero"/>
        <c:auto val="1"/>
        <c:lblAlgn val="ctr"/>
        <c:lblOffset val="100"/>
        <c:noMultiLvlLbl val="0"/>
      </c:catAx>
      <c:valAx>
        <c:axId val="24657760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4657132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1200"/>
              <a:t>To trešajās valstīs ražotu UB skaita dinamika, kuri līdz paziņošanai nav laisti tirgū, 2009.–2015. </a:t>
            </a:r>
          </a:p>
        </c:rich>
      </c:tx>
      <c:layout>
        <c:manualLayout>
          <c:xMode val="edge"/>
          <c:yMode val="edge"/>
          <c:x val="0.12947900262467193"/>
          <c:y val="3.170289855072464E-2"/>
        </c:manualLayout>
      </c:layout>
      <c:overlay val="0"/>
      <c:spPr>
        <a:noFill/>
        <a:ln>
          <a:noFill/>
        </a:ln>
        <a:effectLst/>
      </c:spPr>
    </c:title>
    <c:autoTitleDeleted val="0"/>
    <c:plotArea>
      <c:layout/>
      <c:barChart>
        <c:barDir val="col"/>
        <c:grouping val="clustered"/>
        <c:varyColors val="0"/>
        <c:ser>
          <c:idx val="0"/>
          <c:order val="0"/>
          <c:tx>
            <c:strRef>
              <c:f>Sheet3!$G$1</c:f>
              <c:strCache>
                <c:ptCount val="1"/>
                <c:pt idx="0">
                  <c:v>UB reģistrā iekļauti jauni UB</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0"/>
                  <c:y val="0.1201436278798482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0F3-429C-A49A-933E1C1B5C26}"/>
                </c:ext>
                <c:ext xmlns:c15="http://schemas.microsoft.com/office/drawing/2012/chart" uri="{CE6537A1-D6FC-4f65-9D91-7224C49458BB}">
                  <c15:layout/>
                </c:ext>
              </c:extLst>
            </c:dLbl>
            <c:dLbl>
              <c:idx val="1"/>
              <c:layout>
                <c:manualLayout>
                  <c:x val="-2.5462668816039986E-17"/>
                  <c:y val="0.16250410104986876"/>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endParaRPr lang="lv-LV"/>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0F3-429C-A49A-933E1C1B5C26}"/>
                </c:ext>
                <c:ext xmlns:c15="http://schemas.microsoft.com/office/drawing/2012/chart" uri="{CE6537A1-D6FC-4f65-9D91-7224C49458BB}">
                  <c15:layout>
                    <c:manualLayout>
                      <c:w val="7.1333333333333332E-2"/>
                      <c:h val="6.4745552639253412E-2"/>
                    </c:manualLayout>
                  </c15:layout>
                </c:ext>
              </c:extLst>
            </c:dLbl>
            <c:dLbl>
              <c:idx val="2"/>
              <c:layout>
                <c:manualLayout>
                  <c:x val="0"/>
                  <c:y val="0.2434861063562706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0F3-429C-A49A-933E1C1B5C26}"/>
                </c:ext>
                <c:ext xmlns:c15="http://schemas.microsoft.com/office/drawing/2012/chart" uri="{CE6537A1-D6FC-4f65-9D91-7224C49458BB}">
                  <c15:layout/>
                </c:ext>
              </c:extLst>
            </c:dLbl>
            <c:dLbl>
              <c:idx val="3"/>
              <c:layout>
                <c:manualLayout>
                  <c:x val="0"/>
                  <c:y val="0.1354534849810440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0F3-429C-A49A-933E1C1B5C26}"/>
                </c:ext>
                <c:ext xmlns:c15="http://schemas.microsoft.com/office/drawing/2012/chart" uri="{CE6537A1-D6FC-4f65-9D91-7224C49458BB}">
                  <c15:layout/>
                </c:ext>
              </c:extLst>
            </c:dLbl>
            <c:dLbl>
              <c:idx val="4"/>
              <c:layout>
                <c:manualLayout>
                  <c:x val="-1.0185067526415994E-16"/>
                  <c:y val="0.143144138232720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0F3-429C-A49A-933E1C1B5C26}"/>
                </c:ext>
                <c:ext xmlns:c15="http://schemas.microsoft.com/office/drawing/2012/chart" uri="{CE6537A1-D6FC-4f65-9D91-7224C49458BB}">
                  <c15:layout/>
                </c:ext>
              </c:extLst>
            </c:dLbl>
            <c:dLbl>
              <c:idx val="5"/>
              <c:layout>
                <c:manualLayout>
                  <c:x val="-1.0185067526415994E-16"/>
                  <c:y val="0.1732158650005705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0F3-429C-A49A-933E1C1B5C26}"/>
                </c:ext>
                <c:ext xmlns:c15="http://schemas.microsoft.com/office/drawing/2012/chart" uri="{CE6537A1-D6FC-4f65-9D91-7224C49458BB}">
                  <c15:layout/>
                </c:ext>
              </c:extLst>
            </c:dLbl>
            <c:dLbl>
              <c:idx val="6"/>
              <c:layout>
                <c:manualLayout>
                  <c:x val="1.0185067526415994E-16"/>
                  <c:y val="0.1802850051352276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0F3-429C-A49A-933E1C1B5C2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Sheet3!$F$2:$F$8</c:f>
              <c:numCache>
                <c:formatCode>General</c:formatCode>
                <c:ptCount val="7"/>
                <c:pt idx="0">
                  <c:v>2009</c:v>
                </c:pt>
                <c:pt idx="1">
                  <c:v>2010</c:v>
                </c:pt>
                <c:pt idx="2">
                  <c:v>2011</c:v>
                </c:pt>
                <c:pt idx="3">
                  <c:v>2012</c:v>
                </c:pt>
                <c:pt idx="4">
                  <c:v>2013</c:v>
                </c:pt>
                <c:pt idx="5">
                  <c:v>2014</c:v>
                </c:pt>
                <c:pt idx="6">
                  <c:v>2015</c:v>
                </c:pt>
              </c:numCache>
            </c:numRef>
          </c:cat>
          <c:val>
            <c:numRef>
              <c:f>Sheet3!$G$2:$G$8</c:f>
              <c:numCache>
                <c:formatCode>General</c:formatCode>
                <c:ptCount val="7"/>
                <c:pt idx="0">
                  <c:v>440</c:v>
                </c:pt>
                <c:pt idx="1">
                  <c:v>541</c:v>
                </c:pt>
                <c:pt idx="2">
                  <c:v>717</c:v>
                </c:pt>
                <c:pt idx="3">
                  <c:v>487</c:v>
                </c:pt>
                <c:pt idx="4">
                  <c:v>489</c:v>
                </c:pt>
                <c:pt idx="5">
                  <c:v>569</c:v>
                </c:pt>
                <c:pt idx="6">
                  <c:v>592</c:v>
                </c:pt>
              </c:numCache>
            </c:numRef>
          </c:val>
          <c:extLst xmlns:c16r2="http://schemas.microsoft.com/office/drawing/2015/06/chart">
            <c:ext xmlns:c16="http://schemas.microsoft.com/office/drawing/2014/chart" uri="{C3380CC4-5D6E-409C-BE32-E72D297353CC}">
              <c16:uniqueId val="{00000007-70F3-429C-A49A-933E1C1B5C26}"/>
            </c:ext>
          </c:extLst>
        </c:ser>
        <c:dLbls>
          <c:dLblPos val="ctr"/>
          <c:showLegendKey val="0"/>
          <c:showVal val="1"/>
          <c:showCatName val="0"/>
          <c:showSerName val="0"/>
          <c:showPercent val="0"/>
          <c:showBubbleSize val="0"/>
        </c:dLbls>
        <c:gapWidth val="150"/>
        <c:axId val="246573680"/>
        <c:axId val="246574072"/>
      </c:barChart>
      <c:lineChart>
        <c:grouping val="standard"/>
        <c:varyColors val="0"/>
        <c:ser>
          <c:idx val="1"/>
          <c:order val="1"/>
          <c:tx>
            <c:strRef>
              <c:f>Sheet3!$H$1</c:f>
              <c:strCache>
                <c:ptCount val="1"/>
                <c:pt idx="0">
                  <c:v>UB, kas ražoti trešajās valstīs un līdz šim nav laisti tirgū EEZ</c:v>
                </c:pt>
              </c:strCache>
            </c:strRef>
          </c:tx>
          <c:spPr>
            <a:ln w="31750" cap="rnd">
              <a:solidFill>
                <a:schemeClr val="accent2">
                  <a:alpha val="85000"/>
                </a:schemeClr>
              </a:solidFill>
              <a:round/>
            </a:ln>
            <a:effectLst/>
          </c:spPr>
          <c:marker>
            <c:symbol val="none"/>
          </c:marker>
          <c:dLbls>
            <c:dLbl>
              <c:idx val="0"/>
              <c:layout>
                <c:manualLayout>
                  <c:x val="-4.465288713910761E-2"/>
                  <c:y val="-3.70370370370370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0F3-429C-A49A-933E1C1B5C26}"/>
                </c:ext>
                <c:ext xmlns:c15="http://schemas.microsoft.com/office/drawing/2012/chart" uri="{CE6537A1-D6FC-4f65-9D91-7224C49458BB}">
                  <c15:layout/>
                </c:ext>
              </c:extLst>
            </c:dLbl>
            <c:dLbl>
              <c:idx val="1"/>
              <c:layout>
                <c:manualLayout>
                  <c:x val="-3.9097331583552053E-2"/>
                  <c:y val="-2.777777777777777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0F3-429C-A49A-933E1C1B5C26}"/>
                </c:ext>
                <c:ext xmlns:c15="http://schemas.microsoft.com/office/drawing/2012/chart" uri="{CE6537A1-D6FC-4f65-9D91-7224C49458BB}">
                  <c15:layout/>
                </c:ext>
              </c:extLst>
            </c:dLbl>
            <c:dLbl>
              <c:idx val="2"/>
              <c:layout>
                <c:manualLayout>
                  <c:x val="-3.9097331583552053E-2"/>
                  <c:y val="-3.70370370370370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0F3-429C-A49A-933E1C1B5C26}"/>
                </c:ext>
                <c:ext xmlns:c15="http://schemas.microsoft.com/office/drawing/2012/chart" uri="{CE6537A1-D6FC-4f65-9D91-7224C49458BB}">
                  <c15:layout/>
                </c:ext>
              </c:extLst>
            </c:dLbl>
            <c:dLbl>
              <c:idx val="3"/>
              <c:layout>
                <c:manualLayout>
                  <c:x val="-3.9097331583552053E-2"/>
                  <c:y val="-2.7777777777777863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2">
                          <a:lumMod val="10000"/>
                        </a:schemeClr>
                      </a:solidFill>
                      <a:latin typeface="+mn-lt"/>
                      <a:ea typeface="+mn-ea"/>
                      <a:cs typeface="+mn-cs"/>
                    </a:defRPr>
                  </a:pPr>
                  <a:endParaRPr lang="lv-LV"/>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0F3-429C-A49A-933E1C1B5C26}"/>
                </c:ext>
                <c:ext xmlns:c15="http://schemas.microsoft.com/office/drawing/2012/chart" uri="{CE6537A1-D6FC-4f65-9D91-7224C49458BB}">
                  <c15:layout>
                    <c:manualLayout>
                      <c:w val="4.763888888888889E-2"/>
                      <c:h val="0.1038425925925926"/>
                    </c:manualLayout>
                  </c15:layout>
                </c:ext>
              </c:extLst>
            </c:dLbl>
            <c:dLbl>
              <c:idx val="4"/>
              <c:layout>
                <c:manualLayout>
                  <c:x val="-3.1354330708661414E-2"/>
                  <c:y val="-3.240740740740740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70F3-429C-A49A-933E1C1B5C26}"/>
                </c:ext>
                <c:ext xmlns:c15="http://schemas.microsoft.com/office/drawing/2012/chart" uri="{CE6537A1-D6FC-4f65-9D91-7224C49458BB}">
                  <c15:layout/>
                </c:ext>
              </c:extLst>
            </c:dLbl>
            <c:dLbl>
              <c:idx val="5"/>
              <c:layout>
                <c:manualLayout>
                  <c:x val="-3.9097331583552053E-2"/>
                  <c:y val="-4.629629629629638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0F3-429C-A49A-933E1C1B5C26}"/>
                </c:ext>
                <c:ext xmlns:c15="http://schemas.microsoft.com/office/drawing/2012/chart" uri="{CE6537A1-D6FC-4f65-9D91-7224C49458BB}">
                  <c15:layout/>
                </c:ext>
              </c:extLst>
            </c:dLbl>
            <c:dLbl>
              <c:idx val="6"/>
              <c:layout>
                <c:manualLayout>
                  <c:x val="-3.6319225721784767E-2"/>
                  <c:y val="-4.166666666666675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2">
                          <a:lumMod val="10000"/>
                        </a:schemeClr>
                      </a:solidFill>
                      <a:latin typeface="+mn-lt"/>
                      <a:ea typeface="+mn-ea"/>
                      <a:cs typeface="+mn-cs"/>
                    </a:defRPr>
                  </a:pPr>
                  <a:endParaRPr lang="lv-LV"/>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70F3-429C-A49A-933E1C1B5C26}"/>
                </c:ext>
                <c:ext xmlns:c15="http://schemas.microsoft.com/office/drawing/2012/chart" uri="{CE6537A1-D6FC-4f65-9D91-7224C49458BB}">
                  <c15:layout>
                    <c:manualLayout>
                      <c:w val="5.3194444444444447E-2"/>
                      <c:h val="7.1435185185185185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2">
                        <a:lumMod val="10000"/>
                      </a:schemeClr>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Sheet3!$F$2:$F$8</c:f>
              <c:numCache>
                <c:formatCode>General</c:formatCode>
                <c:ptCount val="7"/>
                <c:pt idx="0">
                  <c:v>2009</c:v>
                </c:pt>
                <c:pt idx="1">
                  <c:v>2010</c:v>
                </c:pt>
                <c:pt idx="2">
                  <c:v>2011</c:v>
                </c:pt>
                <c:pt idx="3">
                  <c:v>2012</c:v>
                </c:pt>
                <c:pt idx="4">
                  <c:v>2013</c:v>
                </c:pt>
                <c:pt idx="5">
                  <c:v>2014</c:v>
                </c:pt>
                <c:pt idx="6">
                  <c:v>2015</c:v>
                </c:pt>
              </c:numCache>
            </c:numRef>
          </c:cat>
          <c:val>
            <c:numRef>
              <c:f>Sheet3!$H$2:$H$8</c:f>
              <c:numCache>
                <c:formatCode>General</c:formatCode>
                <c:ptCount val="7"/>
                <c:pt idx="0">
                  <c:v>30</c:v>
                </c:pt>
                <c:pt idx="1">
                  <c:v>30</c:v>
                </c:pt>
                <c:pt idx="2">
                  <c:v>59</c:v>
                </c:pt>
                <c:pt idx="3">
                  <c:v>16</c:v>
                </c:pt>
                <c:pt idx="4">
                  <c:v>8</c:v>
                </c:pt>
                <c:pt idx="5">
                  <c:v>22</c:v>
                </c:pt>
                <c:pt idx="6">
                  <c:v>36</c:v>
                </c:pt>
              </c:numCache>
            </c:numRef>
          </c:val>
          <c:smooth val="0"/>
          <c:extLst xmlns:c16r2="http://schemas.microsoft.com/office/drawing/2015/06/chart">
            <c:ext xmlns:c16="http://schemas.microsoft.com/office/drawing/2014/chart" uri="{C3380CC4-5D6E-409C-BE32-E72D297353CC}">
              <c16:uniqueId val="{0000000F-70F3-429C-A49A-933E1C1B5C26}"/>
            </c:ext>
          </c:extLst>
        </c:ser>
        <c:dLbls>
          <c:showLegendKey val="0"/>
          <c:showVal val="0"/>
          <c:showCatName val="0"/>
          <c:showSerName val="0"/>
          <c:showPercent val="0"/>
          <c:showBubbleSize val="0"/>
        </c:dLbls>
        <c:marker val="1"/>
        <c:smooth val="0"/>
        <c:axId val="246573680"/>
        <c:axId val="246574072"/>
      </c:lineChart>
      <c:catAx>
        <c:axId val="2465736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mn-lt"/>
                <a:ea typeface="+mn-ea"/>
                <a:cs typeface="+mn-cs"/>
              </a:defRPr>
            </a:pPr>
            <a:endParaRPr lang="lv-LV"/>
          </a:p>
        </c:txPr>
        <c:crossAx val="246574072"/>
        <c:crosses val="autoZero"/>
        <c:auto val="1"/>
        <c:lblAlgn val="ctr"/>
        <c:lblOffset val="100"/>
        <c:noMultiLvlLbl val="0"/>
      </c:catAx>
      <c:valAx>
        <c:axId val="2465740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46573680"/>
        <c:crosses val="autoZero"/>
        <c:crossBetween val="between"/>
      </c:valAx>
      <c:spPr>
        <a:noFill/>
        <a:ln>
          <a:noFill/>
        </a:ln>
        <a:effectLst/>
      </c:spPr>
    </c:plotArea>
    <c:legend>
      <c:legendPos val="b"/>
      <c:layout>
        <c:manualLayout>
          <c:xMode val="edge"/>
          <c:yMode val="edge"/>
          <c:x val="0.11660192475940508"/>
          <c:y val="0.79050816564596094"/>
          <c:w val="0.84885104986876647"/>
          <c:h val="0.2041265675123942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b="1">
                <a:effectLst/>
              </a:rPr>
              <a:t>Saņemtie un nosūtītie </a:t>
            </a:r>
            <a:r>
              <a:rPr lang="lv-LV" sz="1200" b="1" i="1">
                <a:effectLst/>
              </a:rPr>
              <a:t>RASFF</a:t>
            </a:r>
            <a:r>
              <a:rPr lang="lv-LV" sz="1200" b="1">
                <a:effectLst/>
              </a:rPr>
              <a:t> ziņojumi par uztura bagātinātājiem </a:t>
            </a:r>
          </a:p>
          <a:p>
            <a:pPr>
              <a:defRPr sz="1200"/>
            </a:pPr>
            <a:r>
              <a:rPr lang="lv-LV" sz="1200" b="1">
                <a:effectLst/>
              </a:rPr>
              <a:t>2011.–2015. gads</a:t>
            </a:r>
            <a:endParaRPr lang="lv-LV" sz="1200">
              <a:effectLst/>
            </a:endParaRPr>
          </a:p>
        </c:rich>
      </c:tx>
      <c:layout/>
      <c:overlay val="0"/>
      <c:spPr>
        <a:solidFill>
          <a:schemeClr val="bg1">
            <a:lumMod val="85000"/>
          </a:schemeClr>
        </a:solidFill>
      </c:spPr>
    </c:title>
    <c:autoTitleDeleted val="0"/>
    <c:plotArea>
      <c:layout>
        <c:manualLayout>
          <c:layoutTarget val="inner"/>
          <c:xMode val="edge"/>
          <c:yMode val="edge"/>
          <c:x val="5.6832953446608644E-2"/>
          <c:y val="0.1777894429862934"/>
          <c:w val="0.91904423953584746"/>
          <c:h val="0.60032735491396916"/>
        </c:manualLayout>
      </c:layout>
      <c:barChart>
        <c:barDir val="col"/>
        <c:grouping val="stacked"/>
        <c:varyColors val="0"/>
        <c:ser>
          <c:idx val="0"/>
          <c:order val="0"/>
          <c:tx>
            <c:strRef>
              <c:f>Sheet1!$B$5</c:f>
              <c:strCache>
                <c:ptCount val="1"/>
                <c:pt idx="0">
                  <c:v>No ES valstīm saņemtie RASFF ziņojumi par UB</c:v>
                </c:pt>
              </c:strCache>
            </c:strRef>
          </c:tx>
          <c:invertIfNegative val="0"/>
          <c:dLbls>
            <c:spPr>
              <a:noFill/>
              <a:ln>
                <a:noFill/>
              </a:ln>
              <a:effectLst/>
            </c:spPr>
            <c:txPr>
              <a:bodyPr/>
              <a:lstStyle/>
              <a:p>
                <a:pPr>
                  <a:defRPr b="1"/>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Sheet1!$C$4:$G$4</c:f>
              <c:strCache>
                <c:ptCount val="5"/>
                <c:pt idx="0">
                  <c:v>2011.gads</c:v>
                </c:pt>
                <c:pt idx="1">
                  <c:v>2012.gads</c:v>
                </c:pt>
                <c:pt idx="2">
                  <c:v>2013.gads</c:v>
                </c:pt>
                <c:pt idx="3">
                  <c:v>2014.gads</c:v>
                </c:pt>
                <c:pt idx="4">
                  <c:v>2015 gads</c:v>
                </c:pt>
              </c:strCache>
            </c:strRef>
          </c:cat>
          <c:val>
            <c:numRef>
              <c:f>Sheet1!$C$5:$G$5</c:f>
              <c:numCache>
                <c:formatCode>General</c:formatCode>
                <c:ptCount val="5"/>
                <c:pt idx="0">
                  <c:v>3</c:v>
                </c:pt>
                <c:pt idx="1">
                  <c:v>8</c:v>
                </c:pt>
                <c:pt idx="2">
                  <c:v>1</c:v>
                </c:pt>
                <c:pt idx="3">
                  <c:v>18</c:v>
                </c:pt>
                <c:pt idx="4">
                  <c:v>11</c:v>
                </c:pt>
              </c:numCache>
            </c:numRef>
          </c:val>
          <c:extLst xmlns:c16r2="http://schemas.microsoft.com/office/drawing/2015/06/chart">
            <c:ext xmlns:c16="http://schemas.microsoft.com/office/drawing/2014/chart" uri="{C3380CC4-5D6E-409C-BE32-E72D297353CC}">
              <c16:uniqueId val="{00000000-40D0-4B93-981B-1F049BD424F6}"/>
            </c:ext>
          </c:extLst>
        </c:ser>
        <c:ser>
          <c:idx val="1"/>
          <c:order val="1"/>
          <c:tx>
            <c:strRef>
              <c:f>Sheet1!$B$6</c:f>
              <c:strCache>
                <c:ptCount val="1"/>
                <c:pt idx="0">
                  <c:v>Latvijas nosūtītie RASFF ziņojumi par UB</c:v>
                </c:pt>
              </c:strCache>
            </c:strRef>
          </c:tx>
          <c:invertIfNegative val="0"/>
          <c:dLbls>
            <c:spPr>
              <a:noFill/>
              <a:ln>
                <a:noFill/>
              </a:ln>
              <a:effectLst/>
            </c:spPr>
            <c:txPr>
              <a:bodyPr/>
              <a:lstStyle/>
              <a:p>
                <a:pPr>
                  <a:defRPr b="1"/>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Sheet1!$C$4:$G$4</c:f>
              <c:strCache>
                <c:ptCount val="5"/>
                <c:pt idx="0">
                  <c:v>2011.gads</c:v>
                </c:pt>
                <c:pt idx="1">
                  <c:v>2012.gads</c:v>
                </c:pt>
                <c:pt idx="2">
                  <c:v>2013.gads</c:v>
                </c:pt>
                <c:pt idx="3">
                  <c:v>2014.gads</c:v>
                </c:pt>
                <c:pt idx="4">
                  <c:v>2015 gads</c:v>
                </c:pt>
              </c:strCache>
            </c:strRef>
          </c:cat>
          <c:val>
            <c:numRef>
              <c:f>Sheet1!$C$6:$G$6</c:f>
              <c:numCache>
                <c:formatCode>General</c:formatCode>
                <c:ptCount val="5"/>
                <c:pt idx="0">
                  <c:v>5</c:v>
                </c:pt>
                <c:pt idx="1">
                  <c:v>5</c:v>
                </c:pt>
                <c:pt idx="2">
                  <c:v>5</c:v>
                </c:pt>
                <c:pt idx="3">
                  <c:v>2</c:v>
                </c:pt>
                <c:pt idx="4">
                  <c:v>1</c:v>
                </c:pt>
              </c:numCache>
            </c:numRef>
          </c:val>
          <c:extLst xmlns:c16r2="http://schemas.microsoft.com/office/drawing/2015/06/chart">
            <c:ext xmlns:c16="http://schemas.microsoft.com/office/drawing/2014/chart" uri="{C3380CC4-5D6E-409C-BE32-E72D297353CC}">
              <c16:uniqueId val="{00000001-40D0-4B93-981B-1F049BD424F6}"/>
            </c:ext>
          </c:extLst>
        </c:ser>
        <c:dLbls>
          <c:showLegendKey val="0"/>
          <c:showVal val="0"/>
          <c:showCatName val="0"/>
          <c:showSerName val="0"/>
          <c:showPercent val="0"/>
          <c:showBubbleSize val="0"/>
        </c:dLbls>
        <c:gapWidth val="75"/>
        <c:overlap val="100"/>
        <c:axId val="246576032"/>
        <c:axId val="246576424"/>
      </c:barChart>
      <c:catAx>
        <c:axId val="246576032"/>
        <c:scaling>
          <c:orientation val="minMax"/>
        </c:scaling>
        <c:delete val="0"/>
        <c:axPos val="b"/>
        <c:numFmt formatCode="General" sourceLinked="0"/>
        <c:majorTickMark val="none"/>
        <c:minorTickMark val="none"/>
        <c:tickLblPos val="nextTo"/>
        <c:txPr>
          <a:bodyPr/>
          <a:lstStyle/>
          <a:p>
            <a:pPr>
              <a:defRPr b="1"/>
            </a:pPr>
            <a:endParaRPr lang="lv-LV"/>
          </a:p>
        </c:txPr>
        <c:crossAx val="246576424"/>
        <c:crosses val="autoZero"/>
        <c:auto val="1"/>
        <c:lblAlgn val="ctr"/>
        <c:lblOffset val="100"/>
        <c:noMultiLvlLbl val="0"/>
      </c:catAx>
      <c:valAx>
        <c:axId val="246576424"/>
        <c:scaling>
          <c:orientation val="minMax"/>
        </c:scaling>
        <c:delete val="0"/>
        <c:axPos val="l"/>
        <c:numFmt formatCode="General" sourceLinked="1"/>
        <c:majorTickMark val="none"/>
        <c:minorTickMark val="none"/>
        <c:tickLblPos val="nextTo"/>
        <c:spPr>
          <a:ln w="9525">
            <a:noFill/>
          </a:ln>
        </c:spPr>
        <c:txPr>
          <a:bodyPr/>
          <a:lstStyle/>
          <a:p>
            <a:pPr>
              <a:defRPr sz="900" b="1"/>
            </a:pPr>
            <a:endParaRPr lang="lv-LV"/>
          </a:p>
        </c:txPr>
        <c:crossAx val="246576032"/>
        <c:crosses val="autoZero"/>
        <c:crossBetween val="between"/>
      </c:valAx>
      <c:spPr>
        <a:solidFill>
          <a:schemeClr val="bg1">
            <a:lumMod val="85000"/>
          </a:schemeClr>
        </a:solidFill>
      </c:spPr>
    </c:plotArea>
    <c:legend>
      <c:legendPos val="b"/>
      <c:layout/>
      <c:overlay val="0"/>
      <c:txPr>
        <a:bodyPr/>
        <a:lstStyle/>
        <a:p>
          <a:pPr>
            <a:defRPr sz="900" b="1"/>
          </a:pPr>
          <a:endParaRPr lang="lv-LV"/>
        </a:p>
      </c:txPr>
    </c:legend>
    <c:plotVisOnly val="1"/>
    <c:dispBlanksAs val="zero"/>
    <c:showDLblsOverMax val="0"/>
  </c:chart>
  <c:spPr>
    <a:solidFill>
      <a:schemeClr val="bg1">
        <a:lumMod val="85000"/>
      </a:schemeClr>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22881764604108917"/>
          <c:y val="0.25111355565848387"/>
          <c:w val="0.64076708153416306"/>
          <c:h val="0.54125463177396949"/>
        </c:manualLayout>
      </c:layout>
      <c:pie3DChart>
        <c:varyColors val="1"/>
        <c:ser>
          <c:idx val="0"/>
          <c:order val="0"/>
          <c:tx>
            <c:strRef>
              <c:f>Neatbilstibas!$B$25</c:f>
              <c:strCache>
                <c:ptCount val="1"/>
                <c:pt idx="0">
                  <c:v>2015..gadā</c:v>
                </c:pt>
              </c:strCache>
            </c:strRef>
          </c:tx>
          <c:explosion val="25"/>
          <c:dLbls>
            <c:dLbl>
              <c:idx val="0"/>
              <c:layout>
                <c:manualLayout>
                  <c:x val="7.0486955851562602E-2"/>
                  <c:y val="2.0644835556066773E-2"/>
                </c:manualLayout>
              </c:layout>
              <c:numFmt formatCode="0.00%" sourceLinked="0"/>
              <c:spPr>
                <a:noFill/>
                <a:ln>
                  <a:noFill/>
                </a:ln>
                <a:effectLst/>
              </c:spPr>
              <c:txPr>
                <a:bodyPr/>
                <a:lstStyle/>
                <a:p>
                  <a:pPr>
                    <a:defRPr sz="700" b="1">
                      <a:solidFill>
                        <a:srgbClr val="FF0000"/>
                      </a:solidFill>
                    </a:defRPr>
                  </a:pPr>
                  <a:endParaRPr lang="lv-LV"/>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5AA0-4B71-904B-99337AAE3D33}"/>
                </c:ext>
                <c:ext xmlns:c15="http://schemas.microsoft.com/office/drawing/2012/chart" uri="{CE6537A1-D6FC-4f65-9D91-7224C49458BB}">
                  <c15:layout/>
                </c:ext>
              </c:extLst>
            </c:dLbl>
            <c:dLbl>
              <c:idx val="1"/>
              <c:layout>
                <c:manualLayout>
                  <c:x val="1.0866655534289862E-2"/>
                  <c:y val="-5.4722570073960849E-2"/>
                </c:manualLayout>
              </c:layout>
              <c:numFmt formatCode="0.00%" sourceLinked="0"/>
              <c:spPr>
                <a:noFill/>
                <a:ln>
                  <a:noFill/>
                </a:ln>
                <a:effectLst/>
              </c:spPr>
              <c:txPr>
                <a:bodyPr/>
                <a:lstStyle/>
                <a:p>
                  <a:pPr>
                    <a:defRPr sz="700" b="1">
                      <a:solidFill>
                        <a:srgbClr val="FF0000"/>
                      </a:solidFill>
                    </a:defRPr>
                  </a:pPr>
                  <a:endParaRPr lang="lv-LV"/>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5AA0-4B71-904B-99337AAE3D33}"/>
                </c:ext>
                <c:ext xmlns:c15="http://schemas.microsoft.com/office/drawing/2012/chart" uri="{CE6537A1-D6FC-4f65-9D91-7224C49458BB}">
                  <c15:layout/>
                </c:ext>
              </c:extLst>
            </c:dLbl>
            <c:dLbl>
              <c:idx val="2"/>
              <c:layout>
                <c:manualLayout>
                  <c:x val="2.7963759831815475E-2"/>
                  <c:y val="-1.6294115841679703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5AA0-4B71-904B-99337AAE3D33}"/>
                </c:ext>
                <c:ext xmlns:c15="http://schemas.microsoft.com/office/drawing/2012/chart" uri="{CE6537A1-D6FC-4f65-9D91-7224C49458BB}">
                  <c15:layout/>
                </c:ext>
              </c:extLst>
            </c:dLbl>
            <c:dLbl>
              <c:idx val="5"/>
              <c:layout>
                <c:manualLayout>
                  <c:x val="-3.9720320441184655E-2"/>
                  <c:y val="0.1076141604244599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5AA0-4B71-904B-99337AAE3D33}"/>
                </c:ext>
                <c:ext xmlns:c15="http://schemas.microsoft.com/office/drawing/2012/chart" uri="{CE6537A1-D6FC-4f65-9D91-7224C49458BB}">
                  <c15:layout/>
                </c:ext>
              </c:extLst>
            </c:dLbl>
            <c:dLbl>
              <c:idx val="6"/>
              <c:layout>
                <c:manualLayout>
                  <c:x val="-5.6455708126206899E-2"/>
                  <c:y val="3.2470719393647644E-2"/>
                </c:manualLayout>
              </c:layout>
              <c:numFmt formatCode="0.00%" sourceLinked="0"/>
              <c:spPr>
                <a:noFill/>
                <a:ln>
                  <a:noFill/>
                </a:ln>
                <a:effectLst/>
              </c:spPr>
              <c:txPr>
                <a:bodyPr/>
                <a:lstStyle/>
                <a:p>
                  <a:pPr>
                    <a:defRPr sz="700" b="1">
                      <a:solidFill>
                        <a:srgbClr val="FF0000"/>
                      </a:solidFill>
                    </a:defRPr>
                  </a:pPr>
                  <a:endParaRPr lang="lv-LV"/>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5AA0-4B71-904B-99337AAE3D33}"/>
                </c:ext>
                <c:ext xmlns:c15="http://schemas.microsoft.com/office/drawing/2012/chart" uri="{CE6537A1-D6FC-4f65-9D91-7224C49458BB}">
                  <c15:layout/>
                </c:ext>
              </c:extLst>
            </c:dLbl>
            <c:dLbl>
              <c:idx val="7"/>
              <c:layout>
                <c:manualLayout>
                  <c:x val="7.2578900720607312E-2"/>
                  <c:y val="3.5521061935059668E-2"/>
                </c:manualLayout>
              </c:layout>
              <c:tx>
                <c:rich>
                  <a:bodyPr/>
                  <a:lstStyle/>
                  <a:p>
                    <a:pPr>
                      <a:defRPr sz="700" b="1">
                        <a:solidFill>
                          <a:srgbClr val="FF0000"/>
                        </a:solidFill>
                      </a:defRPr>
                    </a:pPr>
                    <a:r>
                      <a:rPr lang="en-US"/>
                      <a:t>Pārtikas iepakošana, t.sk. materiāli
6,60%</a:t>
                    </a:r>
                  </a:p>
                </c:rich>
              </c:tx>
              <c:numFmt formatCode="0.00%" sourceLinked="0"/>
              <c:spPr>
                <a:noFill/>
                <a:ln>
                  <a:noFill/>
                </a:ln>
                <a:effectLst/>
              </c:sp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5AA0-4B71-904B-99337AAE3D33}"/>
                </c:ext>
                <c:ext xmlns:c15="http://schemas.microsoft.com/office/drawing/2012/chart" uri="{CE6537A1-D6FC-4f65-9D91-7224C49458BB}">
                  <c15:layout/>
                </c:ext>
              </c:extLst>
            </c:dLbl>
            <c:dLbl>
              <c:idx val="10"/>
              <c:layout>
                <c:manualLayout>
                  <c:x val="-2.986217261178405E-2"/>
                  <c:y val="-5.4157128585818393E-2"/>
                </c:manualLayout>
              </c:layout>
              <c:numFmt formatCode="0.00%" sourceLinked="0"/>
              <c:spPr>
                <a:noFill/>
                <a:ln>
                  <a:noFill/>
                </a:ln>
                <a:effectLst/>
              </c:spPr>
              <c:txPr>
                <a:bodyPr/>
                <a:lstStyle/>
                <a:p>
                  <a:pPr>
                    <a:defRPr sz="700" b="1">
                      <a:solidFill>
                        <a:srgbClr val="FF0000"/>
                      </a:solidFill>
                    </a:defRPr>
                  </a:pPr>
                  <a:endParaRPr lang="lv-LV"/>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5AA0-4B71-904B-99337AAE3D33}"/>
                </c:ext>
                <c:ext xmlns:c15="http://schemas.microsoft.com/office/drawing/2012/chart" uri="{CE6537A1-D6FC-4f65-9D91-7224C49458BB}">
                  <c15:layout/>
                </c:ext>
              </c:extLst>
            </c:dLbl>
            <c:dLbl>
              <c:idx val="11"/>
              <c:layout>
                <c:manualLayout>
                  <c:x val="-2.0569121355752229E-2"/>
                  <c:y val="4.2197142488213518E-2"/>
                </c:manualLayout>
              </c:layout>
              <c:numFmt formatCode="0.00%" sourceLinked="0"/>
              <c:spPr>
                <a:noFill/>
                <a:ln>
                  <a:noFill/>
                </a:ln>
                <a:effectLst/>
              </c:spPr>
              <c:txPr>
                <a:bodyPr/>
                <a:lstStyle/>
                <a:p>
                  <a:pPr>
                    <a:defRPr sz="700" b="1">
                      <a:solidFill>
                        <a:srgbClr val="FF0000"/>
                      </a:solidFill>
                    </a:defRPr>
                  </a:pPr>
                  <a:endParaRPr lang="lv-LV"/>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5AA0-4B71-904B-99337AAE3D33}"/>
                </c:ext>
                <c:ext xmlns:c15="http://schemas.microsoft.com/office/drawing/2012/chart" uri="{CE6537A1-D6FC-4f65-9D91-7224C49458BB}">
                  <c15:layout/>
                </c:ext>
              </c:extLst>
            </c:dLbl>
            <c:dLbl>
              <c:idx val="12"/>
              <c:layout>
                <c:manualLayout>
                  <c:x val="-2.4318077695426734E-2"/>
                  <c:y val="-5.4798607437891993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8-5AA0-4B71-904B-99337AAE3D33}"/>
                </c:ext>
                <c:ext xmlns:c15="http://schemas.microsoft.com/office/drawing/2012/chart" uri="{CE6537A1-D6FC-4f65-9D91-7224C49458BB}">
                  <c15:layout/>
                </c:ext>
              </c:extLst>
            </c:dLbl>
            <c:dLbl>
              <c:idx val="13"/>
              <c:layout>
                <c:manualLayout>
                  <c:x val="-9.2830492436406301E-2"/>
                  <c:y val="-7.3634859730418514E-2"/>
                </c:manualLayout>
              </c:layout>
              <c:numFmt formatCode="0.00%" sourceLinked="0"/>
              <c:spPr>
                <a:noFill/>
                <a:ln>
                  <a:noFill/>
                </a:ln>
                <a:effectLst/>
              </c:spPr>
              <c:txPr>
                <a:bodyPr/>
                <a:lstStyle/>
                <a:p>
                  <a:pPr>
                    <a:defRPr sz="700" b="1">
                      <a:solidFill>
                        <a:srgbClr val="FF0000"/>
                      </a:solidFill>
                    </a:defRPr>
                  </a:pPr>
                  <a:endParaRPr lang="lv-LV"/>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5AA0-4B71-904B-99337AAE3D33}"/>
                </c:ext>
                <c:ext xmlns:c15="http://schemas.microsoft.com/office/drawing/2012/chart" uri="{CE6537A1-D6FC-4f65-9D91-7224C49458BB}">
                  <c15:layout/>
                </c:ext>
              </c:extLst>
            </c:dLbl>
            <c:dLbl>
              <c:idx val="14"/>
              <c:layout>
                <c:manualLayout>
                  <c:x val="-2.3596271510106914E-2"/>
                  <c:y val="-6.2553589060352383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A-5AA0-4B71-904B-99337AAE3D33}"/>
                </c:ext>
                <c:ext xmlns:c15="http://schemas.microsoft.com/office/drawing/2012/chart" uri="{CE6537A1-D6FC-4f65-9D91-7224C49458BB}">
                  <c15:layout/>
                </c:ext>
              </c:extLst>
            </c:dLbl>
            <c:dLbl>
              <c:idx val="15"/>
              <c:layout>
                <c:manualLayout>
                  <c:x val="0.10821141239889875"/>
                  <c:y val="-4.5091262809185205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5AA0-4B71-904B-99337AAE3D33}"/>
                </c:ext>
                <c:ext xmlns:c15="http://schemas.microsoft.com/office/drawing/2012/chart" uri="{CE6537A1-D6FC-4f65-9D91-7224C49458BB}">
                  <c15:layout/>
                </c:ext>
              </c:extLst>
            </c:dLbl>
            <c:dLbl>
              <c:idx val="16"/>
              <c:layout>
                <c:manualLayout>
                  <c:x val="0.26780764965553855"/>
                  <c:y val="-5.2992236170393371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C-5AA0-4B71-904B-99337AAE3D33}"/>
                </c:ext>
                <c:ext xmlns:c15="http://schemas.microsoft.com/office/drawing/2012/chart" uri="{CE6537A1-D6FC-4f65-9D91-7224C49458BB}">
                  <c15:layout/>
                </c:ext>
              </c:extLst>
            </c:dLbl>
            <c:numFmt formatCode="0.00%" sourceLinked="0"/>
            <c:spPr>
              <a:noFill/>
              <a:ln>
                <a:noFill/>
              </a:ln>
              <a:effectLst/>
            </c:spPr>
            <c:txPr>
              <a:bodyPr/>
              <a:lstStyle/>
              <a:p>
                <a:pPr>
                  <a:defRPr sz="700" b="1"/>
                </a:pPr>
                <a:endParaRPr lang="lv-LV"/>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Neatbilstibas!$A$26:$A$42</c:f>
              <c:strCache>
                <c:ptCount val="17"/>
                <c:pt idx="0">
                  <c:v>Pārtikas aprites telpu higiēna </c:v>
                </c:pt>
                <c:pt idx="1">
                  <c:v>Iekārtas un aprīkojums</c:v>
                </c:pt>
                <c:pt idx="2">
                  <c:v>Ūdensapgāde</c:v>
                </c:pt>
                <c:pt idx="3">
                  <c:v>Tehnoloģiskā procesa ievērošana</c:v>
                </c:pt>
                <c:pt idx="4">
                  <c:v>Pārtikas temperatūras režīmi</c:v>
                </c:pt>
                <c:pt idx="5">
                  <c:v>Pārtikas marķējums </c:v>
                </c:pt>
                <c:pt idx="6">
                  <c:v>Pārtikas izsekojamība</c:v>
                </c:pt>
                <c:pt idx="7">
                  <c:v>Pārtikas iepakošana, t.sk., materiāli</c:v>
                </c:pt>
                <c:pt idx="8">
                  <c:v>Pārtikas derīguma termiņi, to pamatojums</c:v>
                </c:pt>
                <c:pt idx="9">
                  <c:v>Pārtikas piedevu lietošana</c:v>
                </c:pt>
                <c:pt idx="10">
                  <c:v>Personāla higiēna</c:v>
                </c:pt>
                <c:pt idx="11">
                  <c:v>Personāla apmācība</c:v>
                </c:pt>
                <c:pt idx="12">
                  <c:v>Pārtikā neizmantojamie dzīvnieku izcelsmes blakusprodukti</c:v>
                </c:pt>
                <c:pt idx="13">
                  <c:v>HACCP (paškontroles) procedūras</c:v>
                </c:pt>
                <c:pt idx="14">
                  <c:v>Tīrīšanas un dezinfekcijas procedūras</c:v>
                </c:pt>
                <c:pt idx="15">
                  <c:v>Deratizācijas un dezinsekcijas procedūras</c:v>
                </c:pt>
                <c:pt idx="16">
                  <c:v>Dzīvnieku aizsardzības prasību ievērošana (dzīvās zivis)</c:v>
                </c:pt>
              </c:strCache>
            </c:strRef>
          </c:cat>
          <c:val>
            <c:numRef>
              <c:f>Neatbilstibas!$B$26:$B$42</c:f>
              <c:numCache>
                <c:formatCode>General</c:formatCode>
                <c:ptCount val="17"/>
                <c:pt idx="0">
                  <c:v>8576</c:v>
                </c:pt>
                <c:pt idx="1">
                  <c:v>10352</c:v>
                </c:pt>
                <c:pt idx="2">
                  <c:v>2762</c:v>
                </c:pt>
                <c:pt idx="3">
                  <c:v>4146</c:v>
                </c:pt>
                <c:pt idx="4">
                  <c:v>1882</c:v>
                </c:pt>
                <c:pt idx="5">
                  <c:v>2424</c:v>
                </c:pt>
                <c:pt idx="6">
                  <c:v>5221</c:v>
                </c:pt>
                <c:pt idx="7">
                  <c:v>4616</c:v>
                </c:pt>
                <c:pt idx="8">
                  <c:v>3118</c:v>
                </c:pt>
                <c:pt idx="9">
                  <c:v>171</c:v>
                </c:pt>
                <c:pt idx="10">
                  <c:v>6645</c:v>
                </c:pt>
                <c:pt idx="11">
                  <c:v>5475</c:v>
                </c:pt>
                <c:pt idx="12">
                  <c:v>366</c:v>
                </c:pt>
                <c:pt idx="13">
                  <c:v>10058</c:v>
                </c:pt>
                <c:pt idx="14">
                  <c:v>2422</c:v>
                </c:pt>
                <c:pt idx="15">
                  <c:v>1645</c:v>
                </c:pt>
                <c:pt idx="16">
                  <c:v>45</c:v>
                </c:pt>
              </c:numCache>
            </c:numRef>
          </c:val>
          <c:extLst xmlns:c16r2="http://schemas.microsoft.com/office/drawing/2015/06/chart">
            <c:ext xmlns:c16="http://schemas.microsoft.com/office/drawing/2014/chart" uri="{C3380CC4-5D6E-409C-BE32-E72D297353CC}">
              <c16:uniqueId val="{0000000D-5AA0-4B71-904B-99337AAE3D33}"/>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461067366579174E-2"/>
          <c:y val="4.238921001926782E-2"/>
          <c:w val="0.89647156605424327"/>
          <c:h val="0.60561952877277614"/>
        </c:manualLayout>
      </c:layout>
      <c:barChart>
        <c:barDir val="col"/>
        <c:grouping val="stacked"/>
        <c:varyColors val="0"/>
        <c:ser>
          <c:idx val="0"/>
          <c:order val="0"/>
          <c:tx>
            <c:strRef>
              <c:f>Sheet2!$Q$15:$R$15</c:f>
              <c:strCache>
                <c:ptCount val="1"/>
                <c:pt idx="0">
                  <c:v>Pārtikas izplatīšana Internetā un pa pastu - pārbaužu skaits</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Sheet2!$S$14:$W$14</c:f>
              <c:numCache>
                <c:formatCode>General</c:formatCode>
                <c:ptCount val="5"/>
                <c:pt idx="0">
                  <c:v>2011</c:v>
                </c:pt>
                <c:pt idx="1">
                  <c:v>2012</c:v>
                </c:pt>
                <c:pt idx="2">
                  <c:v>2013</c:v>
                </c:pt>
                <c:pt idx="3">
                  <c:v>2014</c:v>
                </c:pt>
                <c:pt idx="4">
                  <c:v>2015</c:v>
                </c:pt>
              </c:numCache>
            </c:numRef>
          </c:cat>
          <c:val>
            <c:numRef>
              <c:f>Sheet2!$S$15:$W$15</c:f>
              <c:numCache>
                <c:formatCode>General</c:formatCode>
                <c:ptCount val="5"/>
                <c:pt idx="0">
                  <c:v>32</c:v>
                </c:pt>
                <c:pt idx="1">
                  <c:v>62</c:v>
                </c:pt>
                <c:pt idx="2">
                  <c:v>49</c:v>
                </c:pt>
                <c:pt idx="3">
                  <c:v>50</c:v>
                </c:pt>
                <c:pt idx="4">
                  <c:v>29</c:v>
                </c:pt>
              </c:numCache>
            </c:numRef>
          </c:val>
          <c:extLst xmlns:c16r2="http://schemas.microsoft.com/office/drawing/2015/06/chart">
            <c:ext xmlns:c16="http://schemas.microsoft.com/office/drawing/2014/chart" uri="{C3380CC4-5D6E-409C-BE32-E72D297353CC}">
              <c16:uniqueId val="{00000000-1DC1-4A89-B6B9-38B0E34219E2}"/>
            </c:ext>
          </c:extLst>
        </c:ser>
        <c:ser>
          <c:idx val="1"/>
          <c:order val="1"/>
          <c:tx>
            <c:strRef>
              <c:f>Sheet2!$Q$16:$R$16</c:f>
              <c:strCache>
                <c:ptCount val="1"/>
                <c:pt idx="0">
                  <c:v>Pārtikas izplatīšana Internetā un pa pastu - konstatētas neatbilstības</c:v>
                </c:pt>
              </c:strCache>
            </c:strRef>
          </c:tx>
          <c:invertIfNegative val="0"/>
          <c:cat>
            <c:numRef>
              <c:f>Sheet2!$S$14:$W$14</c:f>
              <c:numCache>
                <c:formatCode>General</c:formatCode>
                <c:ptCount val="5"/>
                <c:pt idx="0">
                  <c:v>2011</c:v>
                </c:pt>
                <c:pt idx="1">
                  <c:v>2012</c:v>
                </c:pt>
                <c:pt idx="2">
                  <c:v>2013</c:v>
                </c:pt>
                <c:pt idx="3">
                  <c:v>2014</c:v>
                </c:pt>
                <c:pt idx="4">
                  <c:v>2015</c:v>
                </c:pt>
              </c:numCache>
            </c:numRef>
          </c:cat>
          <c:val>
            <c:numRef>
              <c:f>Sheet2!$S$16:$W$16</c:f>
              <c:numCache>
                <c:formatCode>General</c:formatCode>
                <c:ptCount val="5"/>
                <c:pt idx="0">
                  <c:v>3</c:v>
                </c:pt>
                <c:pt idx="1">
                  <c:v>8</c:v>
                </c:pt>
                <c:pt idx="2">
                  <c:v>7</c:v>
                </c:pt>
                <c:pt idx="3">
                  <c:v>3</c:v>
                </c:pt>
                <c:pt idx="4">
                  <c:v>0</c:v>
                </c:pt>
              </c:numCache>
            </c:numRef>
          </c:val>
          <c:extLst xmlns:c16r2="http://schemas.microsoft.com/office/drawing/2015/06/chart">
            <c:ext xmlns:c16="http://schemas.microsoft.com/office/drawing/2014/chart" uri="{C3380CC4-5D6E-409C-BE32-E72D297353CC}">
              <c16:uniqueId val="{00000001-1DC1-4A89-B6B9-38B0E34219E2}"/>
            </c:ext>
          </c:extLst>
        </c:ser>
        <c:ser>
          <c:idx val="2"/>
          <c:order val="2"/>
          <c:tx>
            <c:strRef>
              <c:f>Sheet2!$Q$17:$R$17</c:f>
              <c:strCache>
                <c:ptCount val="1"/>
                <c:pt idx="0">
                  <c:v> Pārtikas izplatīšana zāļu lieltirgotavā - pārbaužu skaits</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Sheet2!$S$14:$W$14</c:f>
              <c:numCache>
                <c:formatCode>General</c:formatCode>
                <c:ptCount val="5"/>
                <c:pt idx="0">
                  <c:v>2011</c:v>
                </c:pt>
                <c:pt idx="1">
                  <c:v>2012</c:v>
                </c:pt>
                <c:pt idx="2">
                  <c:v>2013</c:v>
                </c:pt>
                <c:pt idx="3">
                  <c:v>2014</c:v>
                </c:pt>
                <c:pt idx="4">
                  <c:v>2015</c:v>
                </c:pt>
              </c:numCache>
            </c:numRef>
          </c:cat>
          <c:val>
            <c:numRef>
              <c:f>Sheet2!$S$17:$W$17</c:f>
              <c:numCache>
                <c:formatCode>General</c:formatCode>
                <c:ptCount val="5"/>
                <c:pt idx="0">
                  <c:v>34</c:v>
                </c:pt>
                <c:pt idx="1">
                  <c:v>24</c:v>
                </c:pt>
                <c:pt idx="2">
                  <c:v>42</c:v>
                </c:pt>
                <c:pt idx="3">
                  <c:v>33</c:v>
                </c:pt>
                <c:pt idx="4">
                  <c:v>35</c:v>
                </c:pt>
              </c:numCache>
            </c:numRef>
          </c:val>
          <c:extLst xmlns:c16r2="http://schemas.microsoft.com/office/drawing/2015/06/chart">
            <c:ext xmlns:c16="http://schemas.microsoft.com/office/drawing/2014/chart" uri="{C3380CC4-5D6E-409C-BE32-E72D297353CC}">
              <c16:uniqueId val="{00000002-1DC1-4A89-B6B9-38B0E34219E2}"/>
            </c:ext>
          </c:extLst>
        </c:ser>
        <c:ser>
          <c:idx val="3"/>
          <c:order val="3"/>
          <c:tx>
            <c:strRef>
              <c:f>Sheet2!$Q$18:$R$18</c:f>
              <c:strCache>
                <c:ptCount val="1"/>
                <c:pt idx="0">
                  <c:v> Pārtikas izplatīšana zāļu lieltirgotavā - konstatētas neatbilstības</c:v>
                </c:pt>
              </c:strCache>
            </c:strRef>
          </c:tx>
          <c:invertIfNegative val="0"/>
          <c:cat>
            <c:numRef>
              <c:f>Sheet2!$S$14:$W$14</c:f>
              <c:numCache>
                <c:formatCode>General</c:formatCode>
                <c:ptCount val="5"/>
                <c:pt idx="0">
                  <c:v>2011</c:v>
                </c:pt>
                <c:pt idx="1">
                  <c:v>2012</c:v>
                </c:pt>
                <c:pt idx="2">
                  <c:v>2013</c:v>
                </c:pt>
                <c:pt idx="3">
                  <c:v>2014</c:v>
                </c:pt>
                <c:pt idx="4">
                  <c:v>2015</c:v>
                </c:pt>
              </c:numCache>
            </c:numRef>
          </c:cat>
          <c:val>
            <c:numRef>
              <c:f>Sheet2!$S$18:$W$18</c:f>
              <c:numCache>
                <c:formatCode>General</c:formatCode>
                <c:ptCount val="5"/>
                <c:pt idx="0">
                  <c:v>5</c:v>
                </c:pt>
                <c:pt idx="1">
                  <c:v>7</c:v>
                </c:pt>
                <c:pt idx="2">
                  <c:v>7</c:v>
                </c:pt>
                <c:pt idx="3">
                  <c:v>3</c:v>
                </c:pt>
                <c:pt idx="4">
                  <c:v>0</c:v>
                </c:pt>
              </c:numCache>
            </c:numRef>
          </c:val>
          <c:extLst xmlns:c16r2="http://schemas.microsoft.com/office/drawing/2015/06/chart">
            <c:ext xmlns:c16="http://schemas.microsoft.com/office/drawing/2014/chart" uri="{C3380CC4-5D6E-409C-BE32-E72D297353CC}">
              <c16:uniqueId val="{00000003-1DC1-4A89-B6B9-38B0E34219E2}"/>
            </c:ext>
          </c:extLst>
        </c:ser>
        <c:ser>
          <c:idx val="4"/>
          <c:order val="4"/>
          <c:tx>
            <c:strRef>
              <c:f>Sheet2!$Q$19:$R$19</c:f>
              <c:strCache>
                <c:ptCount val="1"/>
                <c:pt idx="0">
                  <c:v> Pārtikas izplatīšana aptiekās - pārbaužu skaits</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Sheet2!$S$14:$W$14</c:f>
              <c:numCache>
                <c:formatCode>General</c:formatCode>
                <c:ptCount val="5"/>
                <c:pt idx="0">
                  <c:v>2011</c:v>
                </c:pt>
                <c:pt idx="1">
                  <c:v>2012</c:v>
                </c:pt>
                <c:pt idx="2">
                  <c:v>2013</c:v>
                </c:pt>
                <c:pt idx="3">
                  <c:v>2014</c:v>
                </c:pt>
                <c:pt idx="4">
                  <c:v>2015</c:v>
                </c:pt>
              </c:numCache>
            </c:numRef>
          </c:cat>
          <c:val>
            <c:numRef>
              <c:f>Sheet2!$S$19:$W$19</c:f>
              <c:numCache>
                <c:formatCode>General</c:formatCode>
                <c:ptCount val="5"/>
                <c:pt idx="0">
                  <c:v>352</c:v>
                </c:pt>
                <c:pt idx="1">
                  <c:v>372</c:v>
                </c:pt>
                <c:pt idx="2">
                  <c:v>329</c:v>
                </c:pt>
                <c:pt idx="3">
                  <c:v>329</c:v>
                </c:pt>
                <c:pt idx="4">
                  <c:v>316</c:v>
                </c:pt>
              </c:numCache>
            </c:numRef>
          </c:val>
          <c:extLst xmlns:c16r2="http://schemas.microsoft.com/office/drawing/2015/06/chart">
            <c:ext xmlns:c16="http://schemas.microsoft.com/office/drawing/2014/chart" uri="{C3380CC4-5D6E-409C-BE32-E72D297353CC}">
              <c16:uniqueId val="{00000004-1DC1-4A89-B6B9-38B0E34219E2}"/>
            </c:ext>
          </c:extLst>
        </c:ser>
        <c:ser>
          <c:idx val="5"/>
          <c:order val="5"/>
          <c:tx>
            <c:strRef>
              <c:f>Sheet2!$Q$20:$R$20</c:f>
              <c:strCache>
                <c:ptCount val="1"/>
                <c:pt idx="0">
                  <c:v> Pārtikas izplatīšana aptiekās - konstatētas neatbilstības</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Sheet2!$S$14:$W$14</c:f>
              <c:numCache>
                <c:formatCode>General</c:formatCode>
                <c:ptCount val="5"/>
                <c:pt idx="0">
                  <c:v>2011</c:v>
                </c:pt>
                <c:pt idx="1">
                  <c:v>2012</c:v>
                </c:pt>
                <c:pt idx="2">
                  <c:v>2013</c:v>
                </c:pt>
                <c:pt idx="3">
                  <c:v>2014</c:v>
                </c:pt>
                <c:pt idx="4">
                  <c:v>2015</c:v>
                </c:pt>
              </c:numCache>
            </c:numRef>
          </c:cat>
          <c:val>
            <c:numRef>
              <c:f>Sheet2!$S$20:$W$20</c:f>
              <c:numCache>
                <c:formatCode>General</c:formatCode>
                <c:ptCount val="5"/>
                <c:pt idx="0">
                  <c:v>21</c:v>
                </c:pt>
                <c:pt idx="1">
                  <c:v>13</c:v>
                </c:pt>
                <c:pt idx="2">
                  <c:v>17</c:v>
                </c:pt>
                <c:pt idx="3">
                  <c:v>6</c:v>
                </c:pt>
                <c:pt idx="4">
                  <c:v>0</c:v>
                </c:pt>
              </c:numCache>
            </c:numRef>
          </c:val>
          <c:extLst xmlns:c16r2="http://schemas.microsoft.com/office/drawing/2015/06/chart">
            <c:ext xmlns:c16="http://schemas.microsoft.com/office/drawing/2014/chart" uri="{C3380CC4-5D6E-409C-BE32-E72D297353CC}">
              <c16:uniqueId val="{00000005-1DC1-4A89-B6B9-38B0E34219E2}"/>
            </c:ext>
          </c:extLst>
        </c:ser>
        <c:dLbls>
          <c:showLegendKey val="0"/>
          <c:showVal val="0"/>
          <c:showCatName val="0"/>
          <c:showSerName val="0"/>
          <c:showPercent val="0"/>
          <c:showBubbleSize val="0"/>
        </c:dLbls>
        <c:gapWidth val="150"/>
        <c:overlap val="100"/>
        <c:axId val="221487456"/>
        <c:axId val="221487848"/>
      </c:barChart>
      <c:catAx>
        <c:axId val="221487456"/>
        <c:scaling>
          <c:orientation val="minMax"/>
        </c:scaling>
        <c:delete val="0"/>
        <c:axPos val="b"/>
        <c:numFmt formatCode="General" sourceLinked="1"/>
        <c:majorTickMark val="out"/>
        <c:minorTickMark val="none"/>
        <c:tickLblPos val="nextTo"/>
        <c:crossAx val="221487848"/>
        <c:crosses val="autoZero"/>
        <c:auto val="1"/>
        <c:lblAlgn val="ctr"/>
        <c:lblOffset val="100"/>
        <c:noMultiLvlLbl val="0"/>
      </c:catAx>
      <c:valAx>
        <c:axId val="221487848"/>
        <c:scaling>
          <c:orientation val="minMax"/>
        </c:scaling>
        <c:delete val="0"/>
        <c:axPos val="l"/>
        <c:majorGridlines>
          <c:spPr>
            <a:ln>
              <a:noFill/>
            </a:ln>
          </c:spPr>
        </c:majorGridlines>
        <c:numFmt formatCode="General" sourceLinked="1"/>
        <c:majorTickMark val="out"/>
        <c:minorTickMark val="none"/>
        <c:tickLblPos val="nextTo"/>
        <c:crossAx val="221487456"/>
        <c:crosses val="autoZero"/>
        <c:crossBetween val="between"/>
      </c:valAx>
      <c:spPr>
        <a:solidFill>
          <a:schemeClr val="bg1">
            <a:lumMod val="85000"/>
          </a:schemeClr>
        </a:solidFill>
      </c:spPr>
    </c:plotArea>
    <c:legend>
      <c:legendPos val="b"/>
      <c:layout>
        <c:manualLayout>
          <c:xMode val="edge"/>
          <c:yMode val="edge"/>
          <c:x val="5.5069908323070987E-2"/>
          <c:y val="0.70865443061853295"/>
          <c:w val="0.89973380104738088"/>
          <c:h val="0.27359934045511392"/>
        </c:manualLayout>
      </c:layout>
      <c:overlay val="0"/>
    </c:legend>
    <c:plotVisOnly val="1"/>
    <c:dispBlanksAs val="gap"/>
    <c:showDLblsOverMax val="0"/>
  </c:chart>
  <c:spPr>
    <a:solidFill>
      <a:schemeClr val="bg1">
        <a:lumMod val="85000"/>
      </a:schemeClr>
    </a:solidFill>
  </c:spPr>
  <c:txPr>
    <a:bodyPr/>
    <a:lstStyle/>
    <a:p>
      <a:pPr>
        <a:defRPr sz="800" b="1"/>
      </a:pPr>
      <a:endParaRPr lang="lv-LV"/>
    </a:p>
  </c:txPr>
  <c:externalData r:id="rId1">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CBAB-BD0E-4E02-9FB9-0DA5F35F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10847</Words>
  <Characters>74958</Characters>
  <Application>Microsoft Office Word</Application>
  <DocSecurity>0</DocSecurity>
  <Lines>2418</Lines>
  <Paragraphs>1208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nepieciešamo finansējumu uztura bagātinātāju uzraudzības un kontroles, kā arī sabiedrības izglītošanas jomā</vt:lpstr>
      <vt:lpstr/>
    </vt:vector>
  </TitlesOfParts>
  <Company>Zemkopības Ministrija</Company>
  <LinksUpToDate>false</LinksUpToDate>
  <CharactersWithSpaces>84597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nepieciešamo finansējumu uztura bagātinātāju uzraudzības un kontroles, kā arī sabiedrības izglītošanas jomā</dc:title>
  <dc:subject>Informatīvais ziņojums</dc:subject>
  <dc:creator>Zemkopības ministrija</dc:creator>
  <dc:description>Inara.Cine@zm.gov.lv;
67027146</dc:description>
  <cp:lastModifiedBy>Sanita Žagare</cp:lastModifiedBy>
  <cp:revision>6</cp:revision>
  <cp:lastPrinted>2016-06-09T09:02:00Z</cp:lastPrinted>
  <dcterms:created xsi:type="dcterms:W3CDTF">2016-06-29T12:34:00Z</dcterms:created>
  <dcterms:modified xsi:type="dcterms:W3CDTF">2016-06-29T13:22:00Z</dcterms:modified>
</cp:coreProperties>
</file>