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9631" w14:textId="347F2BC3" w:rsidR="00A97E7D" w:rsidRPr="00366439" w:rsidRDefault="008F42E1" w:rsidP="00A97E7D">
      <w:pPr>
        <w:jc w:val="center"/>
        <w:outlineLvl w:val="2"/>
        <w:rPr>
          <w:rFonts w:ascii="Times New Roman" w:eastAsia="Times New Roman" w:hAnsi="Times New Roman" w:cs="Times New Roman"/>
          <w:b/>
          <w:bCs/>
          <w:sz w:val="28"/>
          <w:szCs w:val="28"/>
          <w:lang w:eastAsia="lv-LV"/>
        </w:rPr>
      </w:pPr>
      <w:r w:rsidRPr="00366439">
        <w:rPr>
          <w:rFonts w:ascii="Times New Roman" w:eastAsia="Times New Roman" w:hAnsi="Times New Roman" w:cs="Times New Roman"/>
          <w:b/>
          <w:bCs/>
          <w:sz w:val="28"/>
          <w:szCs w:val="28"/>
          <w:lang w:eastAsia="lv-LV"/>
        </w:rPr>
        <w:t>Ministru kabineta noteikum</w:t>
      </w:r>
      <w:r w:rsidR="00146E31" w:rsidRPr="00366439">
        <w:rPr>
          <w:rFonts w:ascii="Times New Roman" w:eastAsia="Times New Roman" w:hAnsi="Times New Roman" w:cs="Times New Roman"/>
          <w:b/>
          <w:bCs/>
          <w:sz w:val="28"/>
          <w:szCs w:val="28"/>
          <w:lang w:eastAsia="lv-LV"/>
        </w:rPr>
        <w:t>u</w:t>
      </w:r>
      <w:r w:rsidRPr="00366439">
        <w:rPr>
          <w:rFonts w:ascii="Times New Roman" w:eastAsia="Times New Roman" w:hAnsi="Times New Roman" w:cs="Times New Roman"/>
          <w:b/>
          <w:bCs/>
          <w:sz w:val="28"/>
          <w:szCs w:val="28"/>
          <w:lang w:eastAsia="lv-LV"/>
        </w:rPr>
        <w:t xml:space="preserve"> </w:t>
      </w:r>
      <w:r w:rsidR="00A97E7D" w:rsidRPr="00366439">
        <w:rPr>
          <w:rFonts w:ascii="Times New Roman" w:eastAsia="Times New Roman" w:hAnsi="Times New Roman" w:cs="Times New Roman"/>
          <w:b/>
          <w:bCs/>
          <w:sz w:val="28"/>
          <w:szCs w:val="28"/>
          <w:lang w:eastAsia="lv-LV"/>
        </w:rPr>
        <w:t>projekta „Grozījum</w:t>
      </w:r>
      <w:r w:rsidR="00B26F44" w:rsidRPr="00366439">
        <w:rPr>
          <w:rFonts w:ascii="Times New Roman" w:eastAsia="Times New Roman" w:hAnsi="Times New Roman" w:cs="Times New Roman"/>
          <w:b/>
          <w:bCs/>
          <w:sz w:val="28"/>
          <w:szCs w:val="28"/>
          <w:lang w:eastAsia="lv-LV"/>
        </w:rPr>
        <w:t>i</w:t>
      </w:r>
      <w:r w:rsidR="00A97E7D" w:rsidRPr="00366439">
        <w:rPr>
          <w:rFonts w:ascii="Times New Roman" w:eastAsia="Times New Roman" w:hAnsi="Times New Roman" w:cs="Times New Roman"/>
          <w:b/>
          <w:bCs/>
          <w:sz w:val="28"/>
          <w:szCs w:val="28"/>
          <w:lang w:eastAsia="lv-LV"/>
        </w:rPr>
        <w:t xml:space="preserve"> </w:t>
      </w:r>
      <w:r w:rsidR="00296609" w:rsidRPr="00366439">
        <w:rPr>
          <w:rFonts w:ascii="Times New Roman" w:eastAsia="Times New Roman" w:hAnsi="Times New Roman" w:cs="Times New Roman"/>
          <w:b/>
          <w:bCs/>
          <w:sz w:val="28"/>
          <w:szCs w:val="28"/>
          <w:lang w:eastAsia="lv-LV"/>
        </w:rPr>
        <w:t xml:space="preserve">Ministru kabineta </w:t>
      </w:r>
      <w:r w:rsidR="00366439" w:rsidRPr="00366439">
        <w:rPr>
          <w:rFonts w:ascii="Times New Roman" w:eastAsia="Times New Roman" w:hAnsi="Times New Roman" w:cs="Times New Roman"/>
          <w:b/>
          <w:bCs/>
          <w:sz w:val="28"/>
          <w:szCs w:val="28"/>
          <w:lang w:eastAsia="lv-LV"/>
        </w:rPr>
        <w:t>2016.gada 29.marta noteikumos</w:t>
      </w:r>
      <w:r w:rsidR="00296609" w:rsidRPr="00366439">
        <w:rPr>
          <w:rFonts w:ascii="Times New Roman" w:eastAsia="Times New Roman" w:hAnsi="Times New Roman" w:cs="Times New Roman"/>
          <w:b/>
          <w:bCs/>
          <w:sz w:val="28"/>
          <w:szCs w:val="28"/>
          <w:lang w:eastAsia="lv-LV"/>
        </w:rPr>
        <w:t xml:space="preserve"> Nr.</w:t>
      </w:r>
      <w:r w:rsidR="00366439" w:rsidRPr="00366439">
        <w:rPr>
          <w:rFonts w:ascii="Times New Roman" w:eastAsia="Times New Roman" w:hAnsi="Times New Roman" w:cs="Times New Roman"/>
          <w:b/>
          <w:bCs/>
          <w:sz w:val="28"/>
          <w:szCs w:val="28"/>
          <w:lang w:eastAsia="lv-LV"/>
        </w:rPr>
        <w:t xml:space="preserve">179 </w:t>
      </w:r>
      <w:r w:rsidR="00296609" w:rsidRPr="00366439">
        <w:rPr>
          <w:rFonts w:ascii="Times New Roman" w:eastAsia="Times New Roman" w:hAnsi="Times New Roman" w:cs="Times New Roman"/>
          <w:b/>
          <w:bCs/>
          <w:sz w:val="28"/>
          <w:szCs w:val="28"/>
          <w:lang w:eastAsia="lv-LV"/>
        </w:rPr>
        <w:t>“</w:t>
      </w:r>
      <w:r w:rsidR="00366439" w:rsidRPr="00366439">
        <w:rPr>
          <w:rFonts w:ascii="Times New Roman" w:eastAsia="Times New Roman" w:hAnsi="Times New Roman" w:cs="Times New Roman"/>
          <w:b/>
          <w:bCs/>
          <w:sz w:val="28"/>
          <w:szCs w:val="28"/>
          <w:lang w:eastAsia="lv-LV"/>
        </w:rPr>
        <w:t>Kārtība, kādā nosakāms naudas sods par </w:t>
      </w:r>
      <w:hyperlink r:id="rId8" w:tgtFrame="_blank" w:history="1">
        <w:r w:rsidR="00366439" w:rsidRPr="00366439">
          <w:rPr>
            <w:rFonts w:ascii="Times New Roman" w:eastAsia="Times New Roman" w:hAnsi="Times New Roman" w:cs="Times New Roman"/>
            <w:b/>
            <w:bCs/>
            <w:sz w:val="28"/>
            <w:szCs w:val="28"/>
            <w:lang w:eastAsia="lv-LV"/>
          </w:rPr>
          <w:t>Konkurences likuma</w:t>
        </w:r>
      </w:hyperlink>
      <w:r w:rsidR="00366439" w:rsidRPr="00366439">
        <w:rPr>
          <w:rFonts w:ascii="Times New Roman" w:eastAsia="Times New Roman" w:hAnsi="Times New Roman" w:cs="Times New Roman"/>
          <w:b/>
          <w:bCs/>
          <w:sz w:val="28"/>
          <w:szCs w:val="28"/>
          <w:lang w:eastAsia="lv-LV"/>
        </w:rPr>
        <w:t> </w:t>
      </w:r>
      <w:hyperlink r:id="rId9" w:anchor="p11" w:tgtFrame="_blank" w:history="1">
        <w:r w:rsidR="00366439" w:rsidRPr="00366439">
          <w:rPr>
            <w:rFonts w:ascii="Times New Roman" w:eastAsia="Times New Roman" w:hAnsi="Times New Roman" w:cs="Times New Roman"/>
            <w:b/>
            <w:bCs/>
            <w:sz w:val="28"/>
            <w:szCs w:val="28"/>
            <w:lang w:eastAsia="lv-LV"/>
          </w:rPr>
          <w:t>11. panta</w:t>
        </w:r>
      </w:hyperlink>
      <w:r w:rsidR="00366439" w:rsidRPr="00366439">
        <w:rPr>
          <w:rFonts w:ascii="Times New Roman" w:eastAsia="Times New Roman" w:hAnsi="Times New Roman" w:cs="Times New Roman"/>
          <w:b/>
          <w:bCs/>
          <w:sz w:val="28"/>
          <w:szCs w:val="28"/>
          <w:lang w:eastAsia="lv-LV"/>
        </w:rPr>
        <w:t> pirmajā daļā un </w:t>
      </w:r>
      <w:hyperlink r:id="rId10" w:anchor="p13" w:tgtFrame="_blank" w:history="1">
        <w:r w:rsidR="00366439" w:rsidRPr="00366439">
          <w:rPr>
            <w:rFonts w:ascii="Times New Roman" w:eastAsia="Times New Roman" w:hAnsi="Times New Roman" w:cs="Times New Roman"/>
            <w:b/>
            <w:bCs/>
            <w:sz w:val="28"/>
            <w:szCs w:val="28"/>
            <w:lang w:eastAsia="lv-LV"/>
          </w:rPr>
          <w:t>13. pantā</w:t>
        </w:r>
      </w:hyperlink>
      <w:r w:rsidR="00366439" w:rsidRPr="00366439">
        <w:rPr>
          <w:rFonts w:ascii="Times New Roman" w:eastAsia="Times New Roman" w:hAnsi="Times New Roman" w:cs="Times New Roman"/>
          <w:b/>
          <w:bCs/>
          <w:sz w:val="28"/>
          <w:szCs w:val="28"/>
          <w:lang w:eastAsia="lv-LV"/>
        </w:rPr>
        <w:t> un </w:t>
      </w:r>
      <w:hyperlink r:id="rId11" w:tgtFrame="_blank" w:history="1">
        <w:r w:rsidR="00366439" w:rsidRPr="00366439">
          <w:rPr>
            <w:rFonts w:ascii="Times New Roman" w:eastAsia="Times New Roman" w:hAnsi="Times New Roman" w:cs="Times New Roman"/>
            <w:b/>
            <w:bCs/>
            <w:sz w:val="28"/>
            <w:szCs w:val="28"/>
            <w:lang w:eastAsia="lv-LV"/>
          </w:rPr>
          <w:t>Negodīgas mazumtirdzniecības prakses aizlieguma likuma</w:t>
        </w:r>
      </w:hyperlink>
      <w:r w:rsidR="00366439" w:rsidRPr="00366439">
        <w:rPr>
          <w:rFonts w:ascii="Times New Roman" w:eastAsia="Times New Roman" w:hAnsi="Times New Roman" w:cs="Times New Roman"/>
          <w:b/>
          <w:bCs/>
          <w:sz w:val="28"/>
          <w:szCs w:val="28"/>
          <w:lang w:eastAsia="lv-LV"/>
        </w:rPr>
        <w:t> </w:t>
      </w:r>
      <w:hyperlink r:id="rId12" w:anchor="p5" w:tgtFrame="_blank" w:history="1">
        <w:r w:rsidR="00366439" w:rsidRPr="00366439">
          <w:rPr>
            <w:rFonts w:ascii="Times New Roman" w:eastAsia="Times New Roman" w:hAnsi="Times New Roman" w:cs="Times New Roman"/>
            <w:b/>
            <w:bCs/>
            <w:sz w:val="28"/>
            <w:szCs w:val="28"/>
            <w:lang w:eastAsia="lv-LV"/>
          </w:rPr>
          <w:t>5.</w:t>
        </w:r>
      </w:hyperlink>
      <w:r w:rsidR="00366439" w:rsidRPr="00366439">
        <w:rPr>
          <w:rFonts w:ascii="Times New Roman" w:eastAsia="Times New Roman" w:hAnsi="Times New Roman" w:cs="Times New Roman"/>
          <w:b/>
          <w:bCs/>
          <w:sz w:val="28"/>
          <w:szCs w:val="28"/>
          <w:lang w:eastAsia="lv-LV"/>
        </w:rPr>
        <w:t>, </w:t>
      </w:r>
      <w:hyperlink r:id="rId13" w:anchor="p6" w:tgtFrame="_blank" w:history="1">
        <w:r w:rsidR="00366439" w:rsidRPr="00366439">
          <w:rPr>
            <w:rFonts w:ascii="Times New Roman" w:eastAsia="Times New Roman" w:hAnsi="Times New Roman" w:cs="Times New Roman"/>
            <w:b/>
            <w:bCs/>
            <w:sz w:val="28"/>
            <w:szCs w:val="28"/>
            <w:lang w:eastAsia="lv-LV"/>
          </w:rPr>
          <w:t>6.</w:t>
        </w:r>
      </w:hyperlink>
      <w:r w:rsidR="00366439" w:rsidRPr="00366439">
        <w:rPr>
          <w:rFonts w:ascii="Times New Roman" w:eastAsia="Times New Roman" w:hAnsi="Times New Roman" w:cs="Times New Roman"/>
          <w:b/>
          <w:bCs/>
          <w:sz w:val="28"/>
          <w:szCs w:val="28"/>
          <w:lang w:eastAsia="lv-LV"/>
        </w:rPr>
        <w:t>, </w:t>
      </w:r>
      <w:hyperlink r:id="rId14" w:anchor="p7" w:tgtFrame="_blank" w:history="1">
        <w:r w:rsidR="00366439" w:rsidRPr="00366439">
          <w:rPr>
            <w:rFonts w:ascii="Times New Roman" w:eastAsia="Times New Roman" w:hAnsi="Times New Roman" w:cs="Times New Roman"/>
            <w:b/>
            <w:bCs/>
            <w:sz w:val="28"/>
            <w:szCs w:val="28"/>
            <w:lang w:eastAsia="lv-LV"/>
          </w:rPr>
          <w:t>7.</w:t>
        </w:r>
      </w:hyperlink>
      <w:r w:rsidR="00366439" w:rsidRPr="00366439">
        <w:rPr>
          <w:rFonts w:ascii="Times New Roman" w:eastAsia="Times New Roman" w:hAnsi="Times New Roman" w:cs="Times New Roman"/>
          <w:b/>
          <w:bCs/>
          <w:sz w:val="28"/>
          <w:szCs w:val="28"/>
          <w:lang w:eastAsia="lv-LV"/>
        </w:rPr>
        <w:t>un </w:t>
      </w:r>
      <w:hyperlink r:id="rId15" w:anchor="p8" w:tgtFrame="_blank" w:history="1">
        <w:r w:rsidR="00366439" w:rsidRPr="00366439">
          <w:rPr>
            <w:rFonts w:ascii="Times New Roman" w:eastAsia="Times New Roman" w:hAnsi="Times New Roman" w:cs="Times New Roman"/>
            <w:b/>
            <w:bCs/>
            <w:sz w:val="28"/>
            <w:szCs w:val="28"/>
            <w:lang w:eastAsia="lv-LV"/>
          </w:rPr>
          <w:t>8. pantā</w:t>
        </w:r>
      </w:hyperlink>
      <w:r w:rsidR="00366439" w:rsidRPr="00366439">
        <w:rPr>
          <w:rFonts w:ascii="Times New Roman" w:eastAsia="Times New Roman" w:hAnsi="Times New Roman" w:cs="Times New Roman"/>
          <w:b/>
          <w:bCs/>
          <w:sz w:val="28"/>
          <w:szCs w:val="28"/>
          <w:lang w:eastAsia="lv-LV"/>
        </w:rPr>
        <w:t> paredzētajiem pārkāpumiem</w:t>
      </w:r>
      <w:r w:rsidR="00296609" w:rsidRPr="00366439">
        <w:rPr>
          <w:rFonts w:ascii="Times New Roman" w:eastAsia="Times New Roman" w:hAnsi="Times New Roman" w:cs="Times New Roman"/>
          <w:b/>
          <w:bCs/>
          <w:sz w:val="28"/>
          <w:szCs w:val="28"/>
          <w:lang w:eastAsia="lv-LV"/>
        </w:rPr>
        <w:t>”</w:t>
      </w:r>
      <w:r w:rsidR="00A97E7D" w:rsidRPr="00366439">
        <w:rPr>
          <w:rFonts w:ascii="Times New Roman" w:eastAsia="Times New Roman" w:hAnsi="Times New Roman" w:cs="Times New Roman"/>
          <w:b/>
          <w:bCs/>
          <w:sz w:val="28"/>
          <w:szCs w:val="28"/>
          <w:lang w:eastAsia="lv-LV"/>
        </w:rPr>
        <w:t>”</w:t>
      </w:r>
    </w:p>
    <w:p w14:paraId="3E6AAFB7" w14:textId="77777777" w:rsidR="00A97E7D" w:rsidRPr="002F5130" w:rsidRDefault="00A97E7D" w:rsidP="00A97E7D">
      <w:pPr>
        <w:jc w:val="center"/>
        <w:rPr>
          <w:rFonts w:ascii="Times New Roman" w:eastAsia="Times New Roman" w:hAnsi="Times New Roman" w:cs="Times New Roman"/>
          <w:b/>
          <w:bCs/>
          <w:sz w:val="28"/>
          <w:szCs w:val="28"/>
          <w:lang w:eastAsia="lv-LV"/>
        </w:rPr>
      </w:pPr>
      <w:r w:rsidRPr="00366439">
        <w:rPr>
          <w:rFonts w:ascii="Times New Roman" w:eastAsia="Times New Roman" w:hAnsi="Times New Roman" w:cs="Times New Roman"/>
          <w:b/>
          <w:bCs/>
          <w:sz w:val="28"/>
          <w:szCs w:val="28"/>
          <w:lang w:eastAsia="lv-LV"/>
        </w:rPr>
        <w:t>sākotnējās ietekmes novērtējuma ziņojums (anotācija)</w:t>
      </w:r>
    </w:p>
    <w:p w14:paraId="1DE3D81F" w14:textId="77777777" w:rsidR="00A97E7D" w:rsidRDefault="00A97E7D" w:rsidP="00BC0505">
      <w:pPr>
        <w:rPr>
          <w:rFonts w:ascii="Times New Roman" w:eastAsia="Times New Roman" w:hAnsi="Times New Roman" w:cs="Times New Roman"/>
          <w:b/>
          <w:bCs/>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325"/>
      </w:tblGrid>
      <w:tr w:rsidR="00A97E7D" w:rsidRPr="002F5130" w14:paraId="06AAAB73" w14:textId="77777777" w:rsidTr="0036293E">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80"/>
              <w:gridCol w:w="2443"/>
              <w:gridCol w:w="6332"/>
            </w:tblGrid>
            <w:tr w:rsidR="0057037A" w:rsidRPr="002F5130" w14:paraId="2F3986F5" w14:textId="77777777" w:rsidTr="0036293E">
              <w:trPr>
                <w:trHeight w:val="405"/>
                <w:tblCellSpacing w:w="15" w:type="dxa"/>
              </w:trPr>
              <w:tc>
                <w:tcPr>
                  <w:tcW w:w="4968" w:type="pct"/>
                  <w:gridSpan w:val="3"/>
                  <w:vAlign w:val="center"/>
                  <w:hideMark/>
                </w:tcPr>
                <w:p w14:paraId="5EF31A01" w14:textId="77777777"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I. Tiesību akta projekta izstrādes nepieciešamība</w:t>
                  </w:r>
                </w:p>
              </w:tc>
            </w:tr>
            <w:tr w:rsidR="0057037A" w:rsidRPr="002F5130" w14:paraId="37B6805D" w14:textId="77777777" w:rsidTr="007D292A">
              <w:trPr>
                <w:trHeight w:val="405"/>
                <w:tblCellSpacing w:w="15" w:type="dxa"/>
              </w:trPr>
              <w:tc>
                <w:tcPr>
                  <w:tcW w:w="236" w:type="pct"/>
                  <w:hideMark/>
                </w:tcPr>
                <w:p w14:paraId="4CFB42BD" w14:textId="77777777"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313" w:type="pct"/>
                  <w:hideMark/>
                </w:tcPr>
                <w:p w14:paraId="5E3C2F6A"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Pamatojums</w:t>
                  </w:r>
                </w:p>
              </w:tc>
              <w:tc>
                <w:tcPr>
                  <w:tcW w:w="3386" w:type="pct"/>
                  <w:shd w:val="clear" w:color="auto" w:fill="FFFFFF" w:themeFill="background1"/>
                  <w:hideMark/>
                </w:tcPr>
                <w:p w14:paraId="7B6B0BB2" w14:textId="545FAA2D" w:rsidR="00567B74" w:rsidRPr="00636FD1" w:rsidRDefault="00445D14" w:rsidP="00445D14">
                  <w:pPr>
                    <w:pStyle w:val="tv2131"/>
                    <w:spacing w:line="240" w:lineRule="auto"/>
                    <w:ind w:firstLine="0"/>
                    <w:jc w:val="both"/>
                    <w:rPr>
                      <w:bCs/>
                      <w:iCs/>
                      <w:color w:val="auto"/>
                      <w:sz w:val="24"/>
                      <w:szCs w:val="24"/>
                    </w:rPr>
                  </w:pPr>
                  <w:r>
                    <w:rPr>
                      <w:bCs/>
                      <w:iCs/>
                      <w:color w:val="auto"/>
                      <w:sz w:val="24"/>
                      <w:szCs w:val="24"/>
                    </w:rPr>
                    <w:t xml:space="preserve">1. </w:t>
                  </w:r>
                  <w:r w:rsidR="00636FD1">
                    <w:rPr>
                      <w:bCs/>
                      <w:iCs/>
                      <w:color w:val="auto"/>
                      <w:sz w:val="24"/>
                      <w:szCs w:val="24"/>
                    </w:rPr>
                    <w:t>Ar Konkurences likuma (turpmāk – KL) grozījumiem, kas stāj</w:t>
                  </w:r>
                  <w:r w:rsidR="00A9750D">
                    <w:rPr>
                      <w:bCs/>
                      <w:iCs/>
                      <w:color w:val="auto"/>
                      <w:sz w:val="24"/>
                      <w:szCs w:val="24"/>
                    </w:rPr>
                    <w:t>ā</w:t>
                  </w:r>
                  <w:r w:rsidR="00636FD1">
                    <w:rPr>
                      <w:bCs/>
                      <w:iCs/>
                      <w:color w:val="auto"/>
                      <w:sz w:val="24"/>
                      <w:szCs w:val="24"/>
                    </w:rPr>
                    <w:t xml:space="preserve">s spēkā 2016.gada 15.jūnijā, KL papildināts ar </w:t>
                  </w:r>
                  <w:r w:rsidR="00636FD1" w:rsidRPr="005A550D">
                    <w:rPr>
                      <w:bCs/>
                      <w:iCs/>
                      <w:color w:val="auto"/>
                      <w:sz w:val="24"/>
                      <w:szCs w:val="24"/>
                    </w:rPr>
                    <w:t>12.</w:t>
                  </w:r>
                  <w:r w:rsidR="00636FD1" w:rsidRPr="005A550D">
                    <w:rPr>
                      <w:bCs/>
                      <w:iCs/>
                      <w:color w:val="auto"/>
                      <w:sz w:val="24"/>
                      <w:szCs w:val="24"/>
                      <w:vertAlign w:val="superscript"/>
                    </w:rPr>
                    <w:t>1</w:t>
                  </w:r>
                  <w:r w:rsidR="00636FD1">
                    <w:rPr>
                      <w:bCs/>
                      <w:iCs/>
                      <w:color w:val="auto"/>
                      <w:sz w:val="24"/>
                      <w:szCs w:val="24"/>
                    </w:rPr>
                    <w:t xml:space="preserve"> pantu (Iecietības programma). KL </w:t>
                  </w:r>
                  <w:r w:rsidR="00567B74" w:rsidRPr="005A550D">
                    <w:rPr>
                      <w:bCs/>
                      <w:iCs/>
                      <w:color w:val="auto"/>
                      <w:sz w:val="24"/>
                      <w:szCs w:val="24"/>
                    </w:rPr>
                    <w:t>12.</w:t>
                  </w:r>
                  <w:r w:rsidR="00567B74" w:rsidRPr="005A550D">
                    <w:rPr>
                      <w:bCs/>
                      <w:iCs/>
                      <w:color w:val="auto"/>
                      <w:sz w:val="24"/>
                      <w:szCs w:val="24"/>
                      <w:vertAlign w:val="superscript"/>
                    </w:rPr>
                    <w:t>1</w:t>
                  </w:r>
                  <w:r w:rsidR="005A550D">
                    <w:rPr>
                      <w:bCs/>
                      <w:iCs/>
                      <w:color w:val="auto"/>
                      <w:sz w:val="24"/>
                      <w:szCs w:val="24"/>
                    </w:rPr>
                    <w:t xml:space="preserve"> pant</w:t>
                  </w:r>
                  <w:r w:rsidR="00636FD1">
                    <w:rPr>
                      <w:bCs/>
                      <w:iCs/>
                      <w:color w:val="auto"/>
                      <w:sz w:val="24"/>
                      <w:szCs w:val="24"/>
                    </w:rPr>
                    <w:t xml:space="preserve">a septītā daļa </w:t>
                  </w:r>
                  <w:r w:rsidR="00636FD1" w:rsidRPr="00636FD1">
                    <w:rPr>
                      <w:bCs/>
                      <w:iCs/>
                      <w:color w:val="auto"/>
                      <w:sz w:val="24"/>
                      <w:szCs w:val="24"/>
                    </w:rPr>
                    <w:t xml:space="preserve">paredz, ka </w:t>
                  </w:r>
                  <w:r w:rsidR="00636FD1" w:rsidRPr="00636FD1">
                    <w:rPr>
                      <w:color w:val="auto"/>
                      <w:sz w:val="24"/>
                      <w:szCs w:val="24"/>
                    </w:rPr>
                    <w:t xml:space="preserve">kārtību, kādā Konkurences padome </w:t>
                  </w:r>
                  <w:r w:rsidR="00A9750D">
                    <w:rPr>
                      <w:color w:val="auto"/>
                      <w:sz w:val="24"/>
                      <w:szCs w:val="24"/>
                    </w:rPr>
                    <w:t xml:space="preserve">(turpmāk – KP) </w:t>
                  </w:r>
                  <w:r w:rsidR="00636FD1" w:rsidRPr="00636FD1">
                    <w:rPr>
                      <w:color w:val="auto"/>
                      <w:sz w:val="24"/>
                      <w:szCs w:val="24"/>
                    </w:rPr>
                    <w:t>iecietības programmas ietvaros atbrīvo no naudas soda un samazina naudas sodu, kā arī prasības iecietības programmas dalībniekiem,  nosaka Ministru kabinets</w:t>
                  </w:r>
                  <w:r w:rsidR="00EC32EB">
                    <w:rPr>
                      <w:color w:val="auto"/>
                      <w:sz w:val="24"/>
                      <w:szCs w:val="24"/>
                    </w:rPr>
                    <w:t xml:space="preserve"> (turpmāk – MK)</w:t>
                  </w:r>
                  <w:r w:rsidR="00636FD1" w:rsidRPr="00636FD1">
                    <w:rPr>
                      <w:color w:val="auto"/>
                      <w:sz w:val="24"/>
                      <w:szCs w:val="24"/>
                    </w:rPr>
                    <w:t>.</w:t>
                  </w:r>
                </w:p>
                <w:p w14:paraId="34382A0E" w14:textId="77777777" w:rsidR="00720700" w:rsidRDefault="00636FD1" w:rsidP="00636FD1">
                  <w:pPr>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w:t>
                  </w:r>
                  <w:r w:rsidR="004F48CA" w:rsidRPr="002F5130">
                    <w:rPr>
                      <w:rFonts w:ascii="Times New Roman" w:eastAsia="Times New Roman" w:hAnsi="Times New Roman" w:cs="Times New Roman"/>
                      <w:sz w:val="24"/>
                      <w:szCs w:val="24"/>
                      <w:lang w:eastAsia="lv-LV"/>
                    </w:rPr>
                    <w:t xml:space="preserve"> pārejas noteikumu </w:t>
                  </w:r>
                  <w:r>
                    <w:rPr>
                      <w:rFonts w:ascii="Times New Roman" w:eastAsia="Times New Roman" w:hAnsi="Times New Roman" w:cs="Times New Roman"/>
                      <w:sz w:val="24"/>
                      <w:szCs w:val="24"/>
                      <w:lang w:eastAsia="lv-LV"/>
                    </w:rPr>
                    <w:t>14</w:t>
                  </w:r>
                  <w:r w:rsidR="004F48CA" w:rsidRPr="002F5130">
                    <w:rPr>
                      <w:rFonts w:ascii="Times New Roman" w:eastAsia="Times New Roman" w:hAnsi="Times New Roman" w:cs="Times New Roman"/>
                      <w:sz w:val="24"/>
                      <w:szCs w:val="24"/>
                      <w:lang w:eastAsia="lv-LV"/>
                    </w:rPr>
                    <w:t xml:space="preserve">.punkts paredz, ka </w:t>
                  </w:r>
                  <w:r w:rsidR="00FB21B7" w:rsidRPr="002F5130">
                    <w:rPr>
                      <w:rFonts w:ascii="Times New Roman" w:eastAsia="Times New Roman" w:hAnsi="Times New Roman" w:cs="Times New Roman"/>
                      <w:sz w:val="24"/>
                      <w:szCs w:val="24"/>
                      <w:lang w:eastAsia="lv-LV"/>
                    </w:rPr>
                    <w:t>MK</w:t>
                  </w:r>
                  <w:r w:rsidR="004F48CA" w:rsidRPr="002F5130">
                    <w:rPr>
                      <w:rFonts w:ascii="Times New Roman" w:eastAsia="Times New Roman" w:hAnsi="Times New Roman" w:cs="Times New Roman"/>
                      <w:sz w:val="24"/>
                      <w:szCs w:val="24"/>
                      <w:lang w:eastAsia="lv-LV"/>
                    </w:rPr>
                    <w:t xml:space="preserve"> līdz 2016.</w:t>
                  </w:r>
                  <w:r w:rsidR="004F48CA" w:rsidRPr="00636FD1">
                    <w:rPr>
                      <w:rFonts w:ascii="Times New Roman" w:eastAsia="Times New Roman" w:hAnsi="Times New Roman" w:cs="Times New Roman"/>
                      <w:sz w:val="24"/>
                      <w:szCs w:val="24"/>
                      <w:lang w:eastAsia="lv-LV"/>
                    </w:rPr>
                    <w:t xml:space="preserve">gada </w:t>
                  </w:r>
                  <w:r w:rsidRPr="00636FD1">
                    <w:rPr>
                      <w:rFonts w:ascii="Times New Roman" w:eastAsia="Times New Roman" w:hAnsi="Times New Roman" w:cs="Times New Roman"/>
                      <w:sz w:val="24"/>
                      <w:szCs w:val="24"/>
                      <w:lang w:eastAsia="lv-LV"/>
                    </w:rPr>
                    <w:t>31.decembrim</w:t>
                  </w:r>
                  <w:r w:rsidR="004F48CA" w:rsidRPr="00636FD1">
                    <w:rPr>
                      <w:rFonts w:ascii="Times New Roman" w:eastAsia="Times New Roman" w:hAnsi="Times New Roman" w:cs="Times New Roman"/>
                      <w:sz w:val="24"/>
                      <w:szCs w:val="24"/>
                      <w:lang w:eastAsia="lv-LV"/>
                    </w:rPr>
                    <w:t xml:space="preserve"> izdod </w:t>
                  </w:r>
                  <w:r w:rsidRPr="00636FD1">
                    <w:rPr>
                      <w:rFonts w:ascii="Times New Roman" w:eastAsia="Times New Roman" w:hAnsi="Times New Roman" w:cs="Times New Roman"/>
                      <w:sz w:val="24"/>
                      <w:szCs w:val="24"/>
                      <w:lang w:eastAsia="lv-LV"/>
                    </w:rPr>
                    <w:t xml:space="preserve">KL </w:t>
                  </w:r>
                  <w:r w:rsidRPr="00636FD1">
                    <w:rPr>
                      <w:rFonts w:ascii="Times New Roman" w:hAnsi="Times New Roman" w:cs="Times New Roman"/>
                      <w:bCs/>
                      <w:iCs/>
                      <w:sz w:val="24"/>
                      <w:szCs w:val="24"/>
                    </w:rPr>
                    <w:t>12.</w:t>
                  </w:r>
                  <w:r w:rsidRPr="00636FD1">
                    <w:rPr>
                      <w:rFonts w:ascii="Times New Roman" w:hAnsi="Times New Roman" w:cs="Times New Roman"/>
                      <w:bCs/>
                      <w:iCs/>
                      <w:sz w:val="24"/>
                      <w:szCs w:val="24"/>
                      <w:vertAlign w:val="superscript"/>
                    </w:rPr>
                    <w:t>1</w:t>
                  </w:r>
                  <w:r w:rsidRPr="00636FD1">
                    <w:rPr>
                      <w:rFonts w:ascii="Times New Roman" w:hAnsi="Times New Roman" w:cs="Times New Roman"/>
                      <w:bCs/>
                      <w:iCs/>
                      <w:sz w:val="24"/>
                      <w:szCs w:val="24"/>
                    </w:rPr>
                    <w:t xml:space="preserve"> panta septītajā daļā </w:t>
                  </w:r>
                  <w:r w:rsidR="004F48CA" w:rsidRPr="00636FD1">
                    <w:rPr>
                      <w:rFonts w:ascii="Times New Roman" w:eastAsia="Times New Roman" w:hAnsi="Times New Roman" w:cs="Times New Roman"/>
                      <w:sz w:val="24"/>
                      <w:szCs w:val="24"/>
                      <w:lang w:eastAsia="lv-LV"/>
                    </w:rPr>
                    <w:t>minētos noteikumus.</w:t>
                  </w:r>
                </w:p>
                <w:p w14:paraId="5C0AB694" w14:textId="738870E3" w:rsidR="002832BB" w:rsidRPr="001059A6" w:rsidRDefault="00445D14" w:rsidP="00636FD1">
                  <w:pPr>
                    <w:ind w:left="57" w:right="57"/>
                    <w:jc w:val="both"/>
                    <w:rPr>
                      <w:rFonts w:ascii="Times New Roman" w:eastAsia="Times New Roman" w:hAnsi="Times New Roman" w:cs="Times New Roman"/>
                      <w:sz w:val="24"/>
                      <w:szCs w:val="24"/>
                      <w:lang w:eastAsia="lv-LV"/>
                    </w:rPr>
                  </w:pPr>
                  <w:r w:rsidRPr="001059A6">
                    <w:rPr>
                      <w:rFonts w:ascii="Times New Roman" w:eastAsia="Times New Roman" w:hAnsi="Times New Roman" w:cs="Times New Roman"/>
                      <w:sz w:val="24"/>
                      <w:szCs w:val="24"/>
                      <w:lang w:eastAsia="lv-LV"/>
                    </w:rPr>
                    <w:t xml:space="preserve">2. </w:t>
                  </w:r>
                  <w:r w:rsidR="002832BB" w:rsidRPr="001059A6">
                    <w:rPr>
                      <w:rFonts w:ascii="Times New Roman" w:eastAsia="Times New Roman" w:hAnsi="Times New Roman" w:cs="Times New Roman"/>
                      <w:sz w:val="24"/>
                      <w:szCs w:val="24"/>
                      <w:lang w:eastAsia="lv-LV"/>
                    </w:rPr>
                    <w:t xml:space="preserve">Attiecīgi ar KL grozījumiem ir precizēts </w:t>
                  </w:r>
                  <w:r w:rsidR="00402B4D" w:rsidRPr="001059A6">
                    <w:rPr>
                      <w:rFonts w:ascii="Times New Roman" w:eastAsia="Times New Roman" w:hAnsi="Times New Roman" w:cs="Times New Roman"/>
                      <w:sz w:val="24"/>
                      <w:szCs w:val="24"/>
                      <w:lang w:eastAsia="lv-LV"/>
                    </w:rPr>
                    <w:t xml:space="preserve">arī </w:t>
                  </w:r>
                  <w:r w:rsidR="002832BB" w:rsidRPr="001059A6">
                    <w:rPr>
                      <w:rFonts w:ascii="Times New Roman" w:eastAsia="Times New Roman" w:hAnsi="Times New Roman" w:cs="Times New Roman"/>
                      <w:sz w:val="24"/>
                      <w:szCs w:val="24"/>
                      <w:lang w:eastAsia="lv-LV"/>
                    </w:rPr>
                    <w:t xml:space="preserve">KL </w:t>
                  </w:r>
                  <w:r w:rsidR="00402B4D" w:rsidRPr="001059A6">
                    <w:rPr>
                      <w:rFonts w:ascii="Times New Roman" w:eastAsia="Times New Roman" w:hAnsi="Times New Roman" w:cs="Times New Roman"/>
                      <w:sz w:val="24"/>
                      <w:szCs w:val="24"/>
                      <w:lang w:eastAsia="lv-LV"/>
                    </w:rPr>
                    <w:t xml:space="preserve">12.panta piektajā daļā ietvertais pilnvarojums Ministru kabinetam </w:t>
                  </w:r>
                  <w:r w:rsidR="00964628" w:rsidRPr="001059A6">
                    <w:rPr>
                      <w:rFonts w:ascii="Times New Roman" w:eastAsia="Times New Roman" w:hAnsi="Times New Roman" w:cs="Times New Roman"/>
                      <w:sz w:val="24"/>
                      <w:szCs w:val="24"/>
                      <w:lang w:eastAsia="lv-LV"/>
                    </w:rPr>
                    <w:t xml:space="preserve">izdod noteikumus par naudas soda noteikšanas kārtību.  Saskaņā ar Ministru kabineta 2009. gada 7. aprīļa noteikumu Nr. 300 "Ministru kabineta kārtības rullis" 234. punktu Ministru prezidents ir uzdevis sagatavot un noteiktā kārtībā iesniegt Ministru kabinetā KL12. panta piektajā daļā minēto tiesību akta projektu līdz </w:t>
                  </w:r>
                  <w:r w:rsidRPr="001059A6">
                    <w:rPr>
                      <w:rFonts w:ascii="Times New Roman" w:eastAsia="Times New Roman" w:hAnsi="Times New Roman" w:cs="Times New Roman"/>
                      <w:sz w:val="24"/>
                      <w:szCs w:val="24"/>
                      <w:lang w:eastAsia="lv-LV"/>
                    </w:rPr>
                    <w:t>likuma spēkā stāšanās brīdim</w:t>
                  </w:r>
                  <w:r w:rsidR="00964628" w:rsidRPr="001059A6">
                    <w:rPr>
                      <w:rFonts w:ascii="Times New Roman" w:eastAsia="Times New Roman" w:hAnsi="Times New Roman" w:cs="Times New Roman"/>
                      <w:sz w:val="24"/>
                      <w:szCs w:val="24"/>
                      <w:lang w:eastAsia="lv-LV"/>
                    </w:rPr>
                    <w:t>.</w:t>
                  </w:r>
                </w:p>
                <w:p w14:paraId="45F3DEC8" w14:textId="73DCAA91" w:rsidR="008843B5" w:rsidRPr="002F5130" w:rsidRDefault="00445D14" w:rsidP="00636FD1">
                  <w:pPr>
                    <w:ind w:left="57" w:right="57"/>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3. </w:t>
                  </w:r>
                  <w:r w:rsidR="008843B5">
                    <w:rPr>
                      <w:rFonts w:ascii="Times New Roman" w:eastAsia="Times New Roman" w:hAnsi="Times New Roman"/>
                      <w:sz w:val="24"/>
                      <w:szCs w:val="24"/>
                      <w:lang w:eastAsia="lv-LV"/>
                    </w:rPr>
                    <w:t xml:space="preserve">Nepieciešams pārņemt </w:t>
                  </w:r>
                  <w:r w:rsidR="008843B5" w:rsidRPr="00900140">
                    <w:rPr>
                      <w:rFonts w:ascii="Times New Roman" w:eastAsia="Times New Roman" w:hAnsi="Times New Roman"/>
                      <w:sz w:val="24"/>
                      <w:szCs w:val="24"/>
                      <w:lang w:eastAsia="lv-LV"/>
                    </w:rPr>
                    <w:t>Eiropas Parlamenta un Padomes 2014.gada 26.novembra direktīva</w:t>
                  </w:r>
                  <w:r w:rsidR="008843B5">
                    <w:rPr>
                      <w:rFonts w:ascii="Times New Roman" w:eastAsia="Times New Roman" w:hAnsi="Times New Roman"/>
                      <w:sz w:val="24"/>
                      <w:szCs w:val="24"/>
                      <w:lang w:eastAsia="lv-LV"/>
                    </w:rPr>
                    <w:t>s</w:t>
                  </w:r>
                  <w:r w:rsidR="008843B5" w:rsidRPr="00900140">
                    <w:rPr>
                      <w:rFonts w:ascii="Times New Roman" w:eastAsia="Times New Roman" w:hAnsi="Times New Roman"/>
                      <w:sz w:val="24"/>
                      <w:szCs w:val="24"/>
                      <w:lang w:eastAsia="lv-LV"/>
                    </w:rPr>
                    <w:t xml:space="preserve"> 2014/104/ES </w:t>
                  </w:r>
                  <w:r w:rsidR="008843B5" w:rsidRPr="008843B5">
                    <w:rPr>
                      <w:rFonts w:ascii="Times New Roman" w:eastAsia="Times New Roman" w:hAnsi="Times New Roman"/>
                      <w:i/>
                      <w:sz w:val="24"/>
                      <w:szCs w:val="24"/>
                      <w:lang w:eastAsia="lv-LV"/>
                    </w:rPr>
                    <w:t>par atsevišķiem noteikumiem, kuri valstu tiesībās reglamentē zaudējumu atlīdzināšanas prasības par dalībvalstu un Eiropas Savienības konkurences tiesību pārkāpumiem</w:t>
                  </w:r>
                  <w:r w:rsidR="008843B5">
                    <w:rPr>
                      <w:rFonts w:ascii="Times New Roman" w:eastAsia="Times New Roman" w:hAnsi="Times New Roman"/>
                      <w:sz w:val="24"/>
                      <w:szCs w:val="24"/>
                      <w:lang w:eastAsia="lv-LV"/>
                    </w:rPr>
                    <w:t xml:space="preserve"> 18.panta trešajā daļā </w:t>
                  </w:r>
                  <w:proofErr w:type="spellStart"/>
                  <w:r w:rsidR="008843B5">
                    <w:rPr>
                      <w:rFonts w:ascii="Times New Roman" w:eastAsia="Times New Roman" w:hAnsi="Times New Roman"/>
                      <w:sz w:val="24"/>
                      <w:szCs w:val="24"/>
                      <w:lang w:eastAsia="lv-LV"/>
                    </w:rPr>
                    <w:t>ietvērto</w:t>
                  </w:r>
                  <w:proofErr w:type="spellEnd"/>
                  <w:r w:rsidR="008843B5">
                    <w:rPr>
                      <w:rFonts w:ascii="Times New Roman" w:eastAsia="Times New Roman" w:hAnsi="Times New Roman"/>
                      <w:sz w:val="24"/>
                      <w:szCs w:val="24"/>
                      <w:lang w:eastAsia="lv-LV"/>
                    </w:rPr>
                    <w:t xml:space="preserve"> prasību.</w:t>
                  </w:r>
                </w:p>
              </w:tc>
            </w:tr>
            <w:tr w:rsidR="0057037A" w:rsidRPr="002F5130" w14:paraId="1B19E031" w14:textId="77777777" w:rsidTr="007D292A">
              <w:trPr>
                <w:trHeight w:val="465"/>
                <w:tblCellSpacing w:w="15" w:type="dxa"/>
              </w:trPr>
              <w:tc>
                <w:tcPr>
                  <w:tcW w:w="236" w:type="pct"/>
                  <w:hideMark/>
                </w:tcPr>
                <w:p w14:paraId="6F67443A" w14:textId="5ADA1104"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313" w:type="pct"/>
                  <w:hideMark/>
                </w:tcPr>
                <w:p w14:paraId="67B15A1B"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6" w:type="pct"/>
                  <w:hideMark/>
                </w:tcPr>
                <w:p w14:paraId="7EA045E8" w14:textId="5782EA31" w:rsidR="00830068" w:rsidRPr="00E45842" w:rsidRDefault="003204EB" w:rsidP="00E45842">
                  <w:pPr>
                    <w:ind w:left="57" w:right="57"/>
                    <w:jc w:val="both"/>
                    <w:rPr>
                      <w:rFonts w:ascii="Times New Roman" w:eastAsia="Times New Roman" w:hAnsi="Times New Roman" w:cs="Times New Roman"/>
                      <w:bCs/>
                      <w:sz w:val="24"/>
                      <w:szCs w:val="24"/>
                      <w:lang w:eastAsia="lv-LV"/>
                    </w:rPr>
                  </w:pPr>
                  <w:r w:rsidRPr="00E45842">
                    <w:rPr>
                      <w:rFonts w:ascii="Times New Roman" w:hAnsi="Times New Roman" w:cs="Times New Roman"/>
                      <w:bCs/>
                      <w:iCs/>
                      <w:sz w:val="24"/>
                      <w:szCs w:val="24"/>
                    </w:rPr>
                    <w:t>Ņemot vērā, ka KL ir papildināts ar 12.</w:t>
                  </w:r>
                  <w:r w:rsidRPr="00E45842">
                    <w:rPr>
                      <w:rFonts w:ascii="Times New Roman" w:hAnsi="Times New Roman" w:cs="Times New Roman"/>
                      <w:bCs/>
                      <w:iCs/>
                      <w:sz w:val="24"/>
                      <w:szCs w:val="24"/>
                      <w:vertAlign w:val="superscript"/>
                    </w:rPr>
                    <w:t>1</w:t>
                  </w:r>
                  <w:r w:rsidRPr="00E45842">
                    <w:rPr>
                      <w:rFonts w:ascii="Times New Roman" w:hAnsi="Times New Roman" w:cs="Times New Roman"/>
                      <w:bCs/>
                      <w:iCs/>
                      <w:sz w:val="24"/>
                      <w:szCs w:val="24"/>
                    </w:rPr>
                    <w:t xml:space="preserve"> pantu, kas paredz vispārēju I</w:t>
                  </w:r>
                  <w:r w:rsidR="00830068" w:rsidRPr="00E45842">
                    <w:rPr>
                      <w:rFonts w:ascii="Times New Roman" w:hAnsi="Times New Roman" w:cs="Times New Roman"/>
                      <w:bCs/>
                      <w:iCs/>
                      <w:sz w:val="24"/>
                      <w:szCs w:val="24"/>
                    </w:rPr>
                    <w:t>ecietības programmas regulējumu un to, ka</w:t>
                  </w:r>
                  <w:r w:rsidRPr="00E45842">
                    <w:rPr>
                      <w:rFonts w:ascii="Times New Roman" w:hAnsi="Times New Roman" w:cs="Times New Roman"/>
                      <w:bCs/>
                      <w:iCs/>
                      <w:sz w:val="24"/>
                      <w:szCs w:val="24"/>
                    </w:rPr>
                    <w:t xml:space="preserve"> MK 29.03.2016. noteikum</w:t>
                  </w:r>
                  <w:r w:rsidR="00830068" w:rsidRPr="00E45842">
                    <w:rPr>
                      <w:rFonts w:ascii="Times New Roman" w:hAnsi="Times New Roman" w:cs="Times New Roman"/>
                      <w:bCs/>
                      <w:iCs/>
                      <w:sz w:val="24"/>
                      <w:szCs w:val="24"/>
                    </w:rPr>
                    <w:t>u</w:t>
                  </w:r>
                  <w:r w:rsidRPr="00E45842">
                    <w:rPr>
                      <w:rFonts w:ascii="Times New Roman" w:hAnsi="Times New Roman" w:cs="Times New Roman"/>
                      <w:bCs/>
                      <w:iCs/>
                      <w:sz w:val="24"/>
                      <w:szCs w:val="24"/>
                    </w:rPr>
                    <w:t xml:space="preserve"> Nr.</w:t>
                  </w:r>
                  <w:r w:rsidRPr="00E45842">
                    <w:rPr>
                      <w:rFonts w:ascii="Times New Roman" w:eastAsia="Times New Roman" w:hAnsi="Times New Roman" w:cs="Times New Roman"/>
                      <w:bCs/>
                      <w:sz w:val="24"/>
                      <w:szCs w:val="24"/>
                      <w:lang w:eastAsia="lv-LV"/>
                    </w:rPr>
                    <w:t xml:space="preserve"> 179 “Kārtība</w:t>
                  </w:r>
                  <w:r w:rsidR="00830068" w:rsidRPr="00E45842">
                    <w:rPr>
                      <w:rFonts w:ascii="Times New Roman" w:eastAsia="Times New Roman" w:hAnsi="Times New Roman" w:cs="Times New Roman"/>
                      <w:bCs/>
                      <w:sz w:val="24"/>
                      <w:szCs w:val="24"/>
                      <w:lang w:eastAsia="lv-LV"/>
                    </w:rPr>
                    <w:t xml:space="preserve">, kādā nosakāms naudas sods par </w:t>
                  </w:r>
                  <w:hyperlink r:id="rId16" w:tgtFrame="_blank" w:history="1">
                    <w:r w:rsidRPr="00E45842">
                      <w:rPr>
                        <w:rFonts w:ascii="Times New Roman" w:eastAsia="Times New Roman" w:hAnsi="Times New Roman" w:cs="Times New Roman"/>
                        <w:bCs/>
                        <w:sz w:val="24"/>
                        <w:szCs w:val="24"/>
                        <w:lang w:eastAsia="lv-LV"/>
                      </w:rPr>
                      <w:t>Konkurences likuma</w:t>
                    </w:r>
                  </w:hyperlink>
                  <w:r w:rsidR="00830068" w:rsidRPr="00E45842">
                    <w:rPr>
                      <w:rFonts w:ascii="Times New Roman" w:eastAsia="Times New Roman" w:hAnsi="Times New Roman" w:cs="Times New Roman"/>
                      <w:bCs/>
                      <w:sz w:val="24"/>
                      <w:szCs w:val="24"/>
                      <w:lang w:eastAsia="lv-LV"/>
                    </w:rPr>
                    <w:t xml:space="preserve"> </w:t>
                  </w:r>
                  <w:hyperlink r:id="rId17" w:anchor="p11" w:tgtFrame="_blank" w:history="1">
                    <w:r w:rsidRPr="00E45842">
                      <w:rPr>
                        <w:rFonts w:ascii="Times New Roman" w:eastAsia="Times New Roman" w:hAnsi="Times New Roman" w:cs="Times New Roman"/>
                        <w:bCs/>
                        <w:sz w:val="24"/>
                        <w:szCs w:val="24"/>
                        <w:lang w:eastAsia="lv-LV"/>
                      </w:rPr>
                      <w:t>11. panta</w:t>
                    </w:r>
                  </w:hyperlink>
                  <w:r w:rsidR="00830068" w:rsidRPr="00E45842">
                    <w:rPr>
                      <w:rFonts w:ascii="Times New Roman" w:eastAsia="Times New Roman" w:hAnsi="Times New Roman" w:cs="Times New Roman"/>
                      <w:bCs/>
                      <w:sz w:val="24"/>
                      <w:szCs w:val="24"/>
                      <w:lang w:eastAsia="lv-LV"/>
                    </w:rPr>
                    <w:t xml:space="preserve"> pirmajā daļā un </w:t>
                  </w:r>
                  <w:hyperlink r:id="rId18" w:anchor="p13" w:tgtFrame="_blank" w:history="1">
                    <w:r w:rsidRPr="00E45842">
                      <w:rPr>
                        <w:rFonts w:ascii="Times New Roman" w:eastAsia="Times New Roman" w:hAnsi="Times New Roman" w:cs="Times New Roman"/>
                        <w:bCs/>
                        <w:sz w:val="24"/>
                        <w:szCs w:val="24"/>
                        <w:lang w:eastAsia="lv-LV"/>
                      </w:rPr>
                      <w:t>13. pantā</w:t>
                    </w:r>
                  </w:hyperlink>
                  <w:r w:rsidR="00830068" w:rsidRPr="00E45842">
                    <w:rPr>
                      <w:rFonts w:ascii="Times New Roman" w:eastAsia="Times New Roman" w:hAnsi="Times New Roman" w:cs="Times New Roman"/>
                      <w:bCs/>
                      <w:sz w:val="24"/>
                      <w:szCs w:val="24"/>
                      <w:lang w:eastAsia="lv-LV"/>
                    </w:rPr>
                    <w:t xml:space="preserve"> un </w:t>
                  </w:r>
                  <w:hyperlink r:id="rId19" w:tgtFrame="_blank" w:history="1">
                    <w:r w:rsidRPr="00E45842">
                      <w:rPr>
                        <w:rFonts w:ascii="Times New Roman" w:eastAsia="Times New Roman" w:hAnsi="Times New Roman" w:cs="Times New Roman"/>
                        <w:bCs/>
                        <w:sz w:val="24"/>
                        <w:szCs w:val="24"/>
                        <w:lang w:eastAsia="lv-LV"/>
                      </w:rPr>
                      <w:t>Negodīgas mazumtirdzniecības prakses aizlieguma likuma</w:t>
                    </w:r>
                  </w:hyperlink>
                  <w:r w:rsidR="00830068" w:rsidRPr="00E45842">
                    <w:rPr>
                      <w:rFonts w:ascii="Times New Roman" w:eastAsia="Times New Roman" w:hAnsi="Times New Roman" w:cs="Times New Roman"/>
                      <w:bCs/>
                      <w:sz w:val="24"/>
                      <w:szCs w:val="24"/>
                      <w:lang w:eastAsia="lv-LV"/>
                    </w:rPr>
                    <w:t xml:space="preserve"> </w:t>
                  </w:r>
                  <w:hyperlink r:id="rId20" w:anchor="p5" w:tgtFrame="_blank" w:history="1">
                    <w:r w:rsidRPr="00E45842">
                      <w:rPr>
                        <w:rFonts w:ascii="Times New Roman" w:eastAsia="Times New Roman" w:hAnsi="Times New Roman" w:cs="Times New Roman"/>
                        <w:bCs/>
                        <w:sz w:val="24"/>
                        <w:szCs w:val="24"/>
                        <w:lang w:eastAsia="lv-LV"/>
                      </w:rPr>
                      <w:t>5.</w:t>
                    </w:r>
                  </w:hyperlink>
                  <w:r w:rsidR="00830068" w:rsidRPr="00E45842">
                    <w:rPr>
                      <w:rFonts w:ascii="Times New Roman" w:eastAsia="Times New Roman" w:hAnsi="Times New Roman" w:cs="Times New Roman"/>
                      <w:bCs/>
                      <w:sz w:val="24"/>
                      <w:szCs w:val="24"/>
                      <w:lang w:eastAsia="lv-LV"/>
                    </w:rPr>
                    <w:t xml:space="preserve">, </w:t>
                  </w:r>
                  <w:hyperlink r:id="rId21" w:anchor="p6" w:tgtFrame="_blank" w:history="1">
                    <w:r w:rsidRPr="00E45842">
                      <w:rPr>
                        <w:rFonts w:ascii="Times New Roman" w:eastAsia="Times New Roman" w:hAnsi="Times New Roman" w:cs="Times New Roman"/>
                        <w:bCs/>
                        <w:sz w:val="24"/>
                        <w:szCs w:val="24"/>
                        <w:lang w:eastAsia="lv-LV"/>
                      </w:rPr>
                      <w:t>6.</w:t>
                    </w:r>
                  </w:hyperlink>
                  <w:r w:rsidR="00830068" w:rsidRPr="00E45842">
                    <w:rPr>
                      <w:rFonts w:ascii="Times New Roman" w:eastAsia="Times New Roman" w:hAnsi="Times New Roman" w:cs="Times New Roman"/>
                      <w:bCs/>
                      <w:sz w:val="24"/>
                      <w:szCs w:val="24"/>
                      <w:lang w:eastAsia="lv-LV"/>
                    </w:rPr>
                    <w:t xml:space="preserve">, </w:t>
                  </w:r>
                  <w:hyperlink r:id="rId22" w:anchor="p7" w:tgtFrame="_blank" w:history="1">
                    <w:r w:rsidRPr="00E45842">
                      <w:rPr>
                        <w:rFonts w:ascii="Times New Roman" w:eastAsia="Times New Roman" w:hAnsi="Times New Roman" w:cs="Times New Roman"/>
                        <w:bCs/>
                        <w:sz w:val="24"/>
                        <w:szCs w:val="24"/>
                        <w:lang w:eastAsia="lv-LV"/>
                      </w:rPr>
                      <w:t>7.</w:t>
                    </w:r>
                  </w:hyperlink>
                  <w:r w:rsidR="00830068" w:rsidRPr="00E45842">
                    <w:rPr>
                      <w:rFonts w:ascii="Times New Roman" w:eastAsia="Times New Roman" w:hAnsi="Times New Roman" w:cs="Times New Roman"/>
                      <w:bCs/>
                      <w:sz w:val="24"/>
                      <w:szCs w:val="24"/>
                      <w:lang w:eastAsia="lv-LV"/>
                    </w:rPr>
                    <w:t xml:space="preserve">un </w:t>
                  </w:r>
                  <w:hyperlink r:id="rId23" w:anchor="p8" w:tgtFrame="_blank" w:history="1">
                    <w:r w:rsidRPr="00E45842">
                      <w:rPr>
                        <w:rFonts w:ascii="Times New Roman" w:eastAsia="Times New Roman" w:hAnsi="Times New Roman" w:cs="Times New Roman"/>
                        <w:bCs/>
                        <w:sz w:val="24"/>
                        <w:szCs w:val="24"/>
                        <w:lang w:eastAsia="lv-LV"/>
                      </w:rPr>
                      <w:t>8. pantā</w:t>
                    </w:r>
                  </w:hyperlink>
                  <w:r w:rsidR="00830068" w:rsidRPr="00E45842">
                    <w:rPr>
                      <w:rFonts w:ascii="Times New Roman" w:eastAsia="Times New Roman" w:hAnsi="Times New Roman" w:cs="Times New Roman"/>
                      <w:bCs/>
                      <w:sz w:val="24"/>
                      <w:szCs w:val="24"/>
                      <w:lang w:eastAsia="lv-LV"/>
                    </w:rPr>
                    <w:t xml:space="preserve"> </w:t>
                  </w:r>
                  <w:r w:rsidRPr="00E45842">
                    <w:rPr>
                      <w:rFonts w:ascii="Times New Roman" w:eastAsia="Times New Roman" w:hAnsi="Times New Roman" w:cs="Times New Roman"/>
                      <w:bCs/>
                      <w:sz w:val="24"/>
                      <w:szCs w:val="24"/>
                      <w:lang w:eastAsia="lv-LV"/>
                    </w:rPr>
                    <w:t xml:space="preserve">paredzētajiem pārkāpumiem” </w:t>
                  </w:r>
                  <w:r w:rsidR="00245E19" w:rsidRPr="00E45842">
                    <w:rPr>
                      <w:rFonts w:ascii="Times New Roman" w:eastAsia="Times New Roman" w:hAnsi="Times New Roman" w:cs="Times New Roman"/>
                      <w:bCs/>
                      <w:sz w:val="24"/>
                      <w:szCs w:val="24"/>
                      <w:lang w:eastAsia="lv-LV"/>
                    </w:rPr>
                    <w:t xml:space="preserve">(turpmāk – Noteikumi) </w:t>
                  </w:r>
                  <w:proofErr w:type="spellStart"/>
                  <w:r w:rsidR="00830068" w:rsidRPr="00E45842">
                    <w:rPr>
                      <w:rFonts w:ascii="Times New Roman" w:eastAsia="Times New Roman" w:hAnsi="Times New Roman" w:cs="Times New Roman"/>
                      <w:bCs/>
                      <w:sz w:val="24"/>
                      <w:szCs w:val="24"/>
                      <w:lang w:eastAsia="lv-LV"/>
                    </w:rPr>
                    <w:t>III.nodaļa</w:t>
                  </w:r>
                  <w:proofErr w:type="spellEnd"/>
                  <w:r w:rsidR="00830068" w:rsidRPr="00E45842">
                    <w:rPr>
                      <w:rFonts w:ascii="Times New Roman" w:eastAsia="Times New Roman" w:hAnsi="Times New Roman" w:cs="Times New Roman"/>
                      <w:bCs/>
                      <w:sz w:val="24"/>
                      <w:szCs w:val="24"/>
                      <w:lang w:eastAsia="lv-LV"/>
                    </w:rPr>
                    <w:t xml:space="preserve"> “</w:t>
                  </w:r>
                  <w:r w:rsidR="00577271" w:rsidRPr="00E45842">
                    <w:rPr>
                      <w:rFonts w:ascii="Times New Roman" w:eastAsia="Times New Roman" w:hAnsi="Times New Roman" w:cs="Times New Roman"/>
                      <w:bCs/>
                      <w:sz w:val="24"/>
                      <w:szCs w:val="24"/>
                      <w:lang w:eastAsia="lv-LV"/>
                    </w:rPr>
                    <w:t>Horizontālās karteļa vienošanās dalībnieka atbrīvošana no naudas soda vai naudas soda samazināšana</w:t>
                  </w:r>
                  <w:r w:rsidR="00830068" w:rsidRPr="00E45842">
                    <w:rPr>
                      <w:rFonts w:ascii="Times New Roman" w:eastAsia="Times New Roman" w:hAnsi="Times New Roman" w:cs="Times New Roman"/>
                      <w:bCs/>
                      <w:sz w:val="24"/>
                      <w:szCs w:val="24"/>
                      <w:lang w:eastAsia="lv-LV"/>
                    </w:rPr>
                    <w:t xml:space="preserve">” nosaka kārtību, </w:t>
                  </w:r>
                  <w:r w:rsidR="00830068" w:rsidRPr="00E45842">
                    <w:rPr>
                      <w:rFonts w:ascii="Times New Roman" w:hAnsi="Times New Roman" w:cs="Times New Roman"/>
                      <w:sz w:val="24"/>
                      <w:szCs w:val="24"/>
                    </w:rPr>
                    <w:t xml:space="preserve">kādā </w:t>
                  </w:r>
                  <w:r w:rsidR="00577271" w:rsidRPr="00E45842">
                    <w:rPr>
                      <w:rFonts w:ascii="Times New Roman" w:hAnsi="Times New Roman" w:cs="Times New Roman"/>
                      <w:sz w:val="24"/>
                      <w:szCs w:val="24"/>
                    </w:rPr>
                    <w:t>KP</w:t>
                  </w:r>
                  <w:r w:rsidR="00830068" w:rsidRPr="00E45842">
                    <w:rPr>
                      <w:rFonts w:ascii="Times New Roman" w:hAnsi="Times New Roman" w:cs="Times New Roman"/>
                      <w:sz w:val="24"/>
                      <w:szCs w:val="24"/>
                    </w:rPr>
                    <w:t xml:space="preserve"> iecietības programmas ietvaros atbrīvo no naudas soda un samazina naudas sodu, </w:t>
                  </w:r>
                  <w:r w:rsidR="00577271" w:rsidRPr="00E45842">
                    <w:rPr>
                      <w:rFonts w:ascii="Times New Roman" w:hAnsi="Times New Roman" w:cs="Times New Roman"/>
                      <w:sz w:val="24"/>
                      <w:szCs w:val="24"/>
                    </w:rPr>
                    <w:t>kā arī prasības iec</w:t>
                  </w:r>
                  <w:r w:rsidR="00245E19" w:rsidRPr="00E45842">
                    <w:rPr>
                      <w:rFonts w:ascii="Times New Roman" w:hAnsi="Times New Roman" w:cs="Times New Roman"/>
                      <w:sz w:val="24"/>
                      <w:szCs w:val="24"/>
                    </w:rPr>
                    <w:t>ietības programmas dalībniekiem, Noteikumu</w:t>
                  </w:r>
                  <w:r w:rsidR="00830068" w:rsidRPr="00E45842">
                    <w:rPr>
                      <w:rFonts w:ascii="Times New Roman" w:eastAsia="Times New Roman" w:hAnsi="Times New Roman" w:cs="Times New Roman"/>
                      <w:bCs/>
                      <w:sz w:val="24"/>
                      <w:szCs w:val="24"/>
                      <w:lang w:eastAsia="lv-LV"/>
                    </w:rPr>
                    <w:t xml:space="preserve"> esoš</w:t>
                  </w:r>
                  <w:r w:rsidR="00245E19" w:rsidRPr="00E45842">
                    <w:rPr>
                      <w:rFonts w:ascii="Times New Roman" w:eastAsia="Times New Roman" w:hAnsi="Times New Roman" w:cs="Times New Roman"/>
                      <w:bCs/>
                      <w:sz w:val="24"/>
                      <w:szCs w:val="24"/>
                      <w:lang w:eastAsia="lv-LV"/>
                    </w:rPr>
                    <w:t>aj</w:t>
                  </w:r>
                  <w:r w:rsidR="00830068" w:rsidRPr="00E45842">
                    <w:rPr>
                      <w:rFonts w:ascii="Times New Roman" w:eastAsia="Times New Roman" w:hAnsi="Times New Roman" w:cs="Times New Roman"/>
                      <w:bCs/>
                      <w:sz w:val="24"/>
                      <w:szCs w:val="24"/>
                      <w:lang w:eastAsia="lv-LV"/>
                    </w:rPr>
                    <w:t>ā redakcijā jāizdara atsevišķi grozījumi</w:t>
                  </w:r>
                  <w:r w:rsidR="00577271" w:rsidRPr="00E45842">
                    <w:rPr>
                      <w:rFonts w:ascii="Times New Roman" w:eastAsia="Times New Roman" w:hAnsi="Times New Roman" w:cs="Times New Roman"/>
                      <w:bCs/>
                      <w:sz w:val="24"/>
                      <w:szCs w:val="24"/>
                      <w:lang w:eastAsia="lv-LV"/>
                    </w:rPr>
                    <w:t>:</w:t>
                  </w:r>
                </w:p>
                <w:p w14:paraId="6ED645D3" w14:textId="7254F53B" w:rsidR="00FA6E27" w:rsidRDefault="00445D14" w:rsidP="007D292A">
                  <w:pPr>
                    <w:pStyle w:val="ListParagraph"/>
                    <w:numPr>
                      <w:ilvl w:val="0"/>
                      <w:numId w:val="4"/>
                    </w:numPr>
                    <w:spacing w:after="0" w:line="240" w:lineRule="auto"/>
                    <w:ind w:right="57"/>
                    <w:jc w:val="both"/>
                    <w:rPr>
                      <w:rFonts w:ascii="Times New Roman" w:hAnsi="Times New Roman"/>
                      <w:bCs/>
                      <w:sz w:val="24"/>
                      <w:szCs w:val="24"/>
                      <w:lang w:eastAsia="lv-LV"/>
                    </w:rPr>
                  </w:pPr>
                  <w:r>
                    <w:rPr>
                      <w:rFonts w:ascii="Times New Roman" w:hAnsi="Times New Roman"/>
                      <w:bCs/>
                      <w:sz w:val="24"/>
                      <w:szCs w:val="24"/>
                      <w:lang w:eastAsia="lv-LV"/>
                    </w:rPr>
                    <w:lastRenderedPageBreak/>
                    <w:t>p</w:t>
                  </w:r>
                  <w:r w:rsidR="00FA6E27" w:rsidRPr="00E45842">
                    <w:rPr>
                      <w:rFonts w:ascii="Times New Roman" w:hAnsi="Times New Roman"/>
                      <w:bCs/>
                      <w:sz w:val="24"/>
                      <w:szCs w:val="24"/>
                      <w:lang w:eastAsia="lv-LV"/>
                    </w:rPr>
                    <w:t xml:space="preserve">apildinot norādi, uz kāda likuma pamata </w:t>
                  </w:r>
                  <w:r>
                    <w:rPr>
                      <w:rFonts w:ascii="Times New Roman" w:hAnsi="Times New Roman"/>
                      <w:bCs/>
                      <w:sz w:val="24"/>
                      <w:szCs w:val="24"/>
                      <w:lang w:eastAsia="lv-LV"/>
                    </w:rPr>
                    <w:t>N</w:t>
                  </w:r>
                  <w:r w:rsidR="00FA6E27" w:rsidRPr="00E45842">
                    <w:rPr>
                      <w:rFonts w:ascii="Times New Roman" w:hAnsi="Times New Roman"/>
                      <w:bCs/>
                      <w:sz w:val="24"/>
                      <w:szCs w:val="24"/>
                      <w:lang w:eastAsia="lv-LV"/>
                    </w:rPr>
                    <w:t xml:space="preserve">oteikumi izdoti ar atsauci uz KL </w:t>
                  </w:r>
                  <w:r w:rsidR="00FA6E27" w:rsidRPr="00E45842">
                    <w:rPr>
                      <w:rFonts w:ascii="Times New Roman" w:hAnsi="Times New Roman"/>
                      <w:bCs/>
                      <w:iCs/>
                      <w:sz w:val="24"/>
                      <w:szCs w:val="24"/>
                    </w:rPr>
                    <w:t>12.</w:t>
                  </w:r>
                  <w:r w:rsidR="00FA6E27" w:rsidRPr="00E45842">
                    <w:rPr>
                      <w:rFonts w:ascii="Times New Roman" w:hAnsi="Times New Roman"/>
                      <w:bCs/>
                      <w:iCs/>
                      <w:sz w:val="24"/>
                      <w:szCs w:val="24"/>
                      <w:vertAlign w:val="superscript"/>
                    </w:rPr>
                    <w:t>1</w:t>
                  </w:r>
                  <w:r w:rsidR="00FA6E27" w:rsidRPr="00E45842">
                    <w:rPr>
                      <w:rFonts w:ascii="Times New Roman" w:hAnsi="Times New Roman"/>
                      <w:bCs/>
                      <w:iCs/>
                      <w:sz w:val="24"/>
                      <w:szCs w:val="24"/>
                    </w:rPr>
                    <w:t xml:space="preserve"> pantu</w:t>
                  </w:r>
                  <w:r w:rsidR="00533CFB" w:rsidRPr="00E45842">
                    <w:rPr>
                      <w:rFonts w:ascii="Times New Roman" w:hAnsi="Times New Roman"/>
                      <w:bCs/>
                      <w:iCs/>
                      <w:sz w:val="24"/>
                      <w:szCs w:val="24"/>
                    </w:rPr>
                    <w:t>, kā arī precizējot Noteikumu 1.punktā esošo noteikumu regulējuma uzskaitījumu;</w:t>
                  </w:r>
                  <w:r w:rsidR="00FA6E27" w:rsidRPr="00E45842">
                    <w:rPr>
                      <w:rFonts w:ascii="Times New Roman" w:hAnsi="Times New Roman"/>
                      <w:bCs/>
                      <w:sz w:val="24"/>
                      <w:szCs w:val="24"/>
                      <w:lang w:eastAsia="lv-LV"/>
                    </w:rPr>
                    <w:t xml:space="preserve"> </w:t>
                  </w:r>
                </w:p>
                <w:p w14:paraId="0AA2FD1D" w14:textId="2AD07BBB" w:rsidR="001B1CA1" w:rsidRPr="00B954E6" w:rsidRDefault="00245E19" w:rsidP="007D292A">
                  <w:pPr>
                    <w:pStyle w:val="ListParagraph"/>
                    <w:numPr>
                      <w:ilvl w:val="0"/>
                      <w:numId w:val="4"/>
                    </w:numPr>
                    <w:spacing w:after="0" w:line="240" w:lineRule="auto"/>
                    <w:ind w:right="57"/>
                    <w:jc w:val="both"/>
                    <w:rPr>
                      <w:rFonts w:ascii="Times New Roman" w:eastAsiaTheme="minorHAnsi" w:hAnsi="Times New Roman"/>
                      <w:sz w:val="24"/>
                      <w:szCs w:val="24"/>
                    </w:rPr>
                  </w:pPr>
                  <w:r w:rsidRPr="00B954E6">
                    <w:rPr>
                      <w:rFonts w:ascii="Times New Roman" w:hAnsi="Times New Roman"/>
                      <w:bCs/>
                      <w:sz w:val="24"/>
                      <w:szCs w:val="24"/>
                      <w:lang w:eastAsia="lv-LV"/>
                    </w:rPr>
                    <w:t xml:space="preserve">Noteikumu </w:t>
                  </w:r>
                  <w:r w:rsidR="00577271" w:rsidRPr="00B954E6">
                    <w:rPr>
                      <w:rFonts w:ascii="Times New Roman" w:hAnsi="Times New Roman"/>
                      <w:bCs/>
                      <w:sz w:val="24"/>
                      <w:szCs w:val="24"/>
                      <w:lang w:eastAsia="lv-LV"/>
                    </w:rPr>
                    <w:t>27.</w:t>
                  </w:r>
                  <w:r w:rsidR="007B2D70" w:rsidRPr="00B954E6">
                    <w:rPr>
                      <w:rFonts w:ascii="Times New Roman" w:hAnsi="Times New Roman"/>
                      <w:bCs/>
                      <w:sz w:val="24"/>
                      <w:szCs w:val="24"/>
                      <w:lang w:eastAsia="lv-LV"/>
                    </w:rPr>
                    <w:t xml:space="preserve"> </w:t>
                  </w:r>
                  <w:r w:rsidR="00165127" w:rsidRPr="00B954E6">
                    <w:rPr>
                      <w:rFonts w:ascii="Times New Roman" w:hAnsi="Times New Roman"/>
                      <w:bCs/>
                      <w:sz w:val="24"/>
                      <w:szCs w:val="24"/>
                      <w:lang w:eastAsia="lv-LV"/>
                    </w:rPr>
                    <w:t>un 28.</w:t>
                  </w:r>
                  <w:r w:rsidR="00577271" w:rsidRPr="00B954E6">
                    <w:rPr>
                      <w:rFonts w:ascii="Times New Roman" w:hAnsi="Times New Roman"/>
                      <w:bCs/>
                      <w:sz w:val="24"/>
                      <w:szCs w:val="24"/>
                      <w:lang w:eastAsia="lv-LV"/>
                    </w:rPr>
                    <w:t>punktā</w:t>
                  </w:r>
                  <w:r w:rsidR="00165127" w:rsidRPr="00B954E6">
                    <w:rPr>
                      <w:rFonts w:ascii="Times New Roman" w:hAnsi="Times New Roman"/>
                      <w:bCs/>
                      <w:sz w:val="24"/>
                      <w:szCs w:val="24"/>
                      <w:lang w:eastAsia="lv-LV"/>
                    </w:rPr>
                    <w:t xml:space="preserve"> (jaunajā redakcijā)</w:t>
                  </w:r>
                  <w:r w:rsidR="007B2D70" w:rsidRPr="00B954E6">
                    <w:rPr>
                      <w:rFonts w:ascii="Times New Roman" w:hAnsi="Times New Roman"/>
                      <w:bCs/>
                      <w:sz w:val="24"/>
                      <w:szCs w:val="24"/>
                      <w:lang w:eastAsia="lv-LV"/>
                    </w:rPr>
                    <w:t>,</w:t>
                  </w:r>
                  <w:r w:rsidR="00577271" w:rsidRPr="00B954E6">
                    <w:rPr>
                      <w:rFonts w:ascii="Times New Roman" w:hAnsi="Times New Roman"/>
                      <w:bCs/>
                      <w:sz w:val="24"/>
                      <w:szCs w:val="24"/>
                      <w:lang w:eastAsia="lv-LV"/>
                    </w:rPr>
                    <w:t xml:space="preserve"> precizējot </w:t>
                  </w:r>
                  <w:r w:rsidRPr="00B954E6">
                    <w:rPr>
                      <w:rFonts w:ascii="Times New Roman" w:hAnsi="Times New Roman"/>
                      <w:bCs/>
                      <w:sz w:val="24"/>
                      <w:szCs w:val="24"/>
                      <w:lang w:eastAsia="lv-LV"/>
                    </w:rPr>
                    <w:t>iecietības programmas pieteikuma iesniegšanas kārtību</w:t>
                  </w:r>
                  <w:r w:rsidR="00FA6E27" w:rsidRPr="00B954E6">
                    <w:rPr>
                      <w:rFonts w:ascii="Times New Roman" w:hAnsi="Times New Roman"/>
                      <w:bCs/>
                      <w:sz w:val="24"/>
                      <w:szCs w:val="24"/>
                      <w:lang w:eastAsia="lv-LV"/>
                    </w:rPr>
                    <w:t>, tai skaitā, paredzot iespējamajam iecietības pieteikuma iesniedzējam tiesības iepriekš anonīmi konsultēties Konkurences padomē</w:t>
                  </w:r>
                  <w:r w:rsidR="0057717D" w:rsidRPr="00B954E6">
                    <w:rPr>
                      <w:rFonts w:ascii="Times New Roman" w:hAnsi="Times New Roman"/>
                      <w:bCs/>
                      <w:sz w:val="24"/>
                      <w:szCs w:val="24"/>
                      <w:lang w:eastAsia="lv-LV"/>
                    </w:rPr>
                    <w:t xml:space="preserve">. </w:t>
                  </w:r>
                  <w:r w:rsidR="00FD5BDF" w:rsidRPr="00B954E6">
                    <w:rPr>
                      <w:rFonts w:ascii="Times New Roman" w:hAnsi="Times New Roman"/>
                      <w:bCs/>
                      <w:sz w:val="24"/>
                      <w:szCs w:val="24"/>
                      <w:lang w:eastAsia="lv-LV"/>
                    </w:rPr>
                    <w:t xml:space="preserve">Konsultācijas ir attiecināmas uz jebkuriem jautājumiem, kas skar iecietības pieteikuma iesniegšanu, piemēram, </w:t>
                  </w:r>
                  <w:r w:rsidR="0057717D" w:rsidRPr="00B954E6">
                    <w:rPr>
                      <w:rFonts w:ascii="Times New Roman" w:hAnsi="Times New Roman"/>
                      <w:bCs/>
                      <w:sz w:val="24"/>
                      <w:szCs w:val="24"/>
                      <w:lang w:eastAsia="lv-LV"/>
                    </w:rPr>
                    <w:t xml:space="preserve">par </w:t>
                  </w:r>
                  <w:r w:rsidR="00B954E6">
                    <w:rPr>
                      <w:rFonts w:ascii="Times New Roman" w:hAnsi="Times New Roman"/>
                      <w:bCs/>
                      <w:sz w:val="24"/>
                      <w:szCs w:val="24"/>
                      <w:lang w:eastAsia="lv-LV"/>
                    </w:rPr>
                    <w:t>pieteikumā norādāmo</w:t>
                  </w:r>
                  <w:r w:rsidR="0057717D" w:rsidRPr="00B954E6">
                    <w:rPr>
                      <w:rFonts w:ascii="Times New Roman" w:hAnsi="Times New Roman"/>
                      <w:bCs/>
                      <w:sz w:val="24"/>
                      <w:szCs w:val="24"/>
                      <w:lang w:eastAsia="lv-LV"/>
                    </w:rPr>
                    <w:t xml:space="preserve"> informāciju,</w:t>
                  </w:r>
                  <w:r w:rsidR="00B954E6">
                    <w:rPr>
                      <w:rFonts w:ascii="Times New Roman" w:hAnsi="Times New Roman"/>
                      <w:bCs/>
                      <w:sz w:val="24"/>
                      <w:szCs w:val="24"/>
                      <w:lang w:eastAsia="lv-LV"/>
                    </w:rPr>
                    <w:t xml:space="preserve"> pievienojamajiem dokumentiem, atbrīvojuma no naudas soda vai naudas so</w:t>
                  </w:r>
                  <w:r w:rsidR="00D242A2">
                    <w:rPr>
                      <w:rFonts w:ascii="Times New Roman" w:hAnsi="Times New Roman"/>
                      <w:bCs/>
                      <w:sz w:val="24"/>
                      <w:szCs w:val="24"/>
                      <w:lang w:eastAsia="lv-LV"/>
                    </w:rPr>
                    <w:t>da</w:t>
                  </w:r>
                  <w:r w:rsidR="00B954E6">
                    <w:rPr>
                      <w:rFonts w:ascii="Times New Roman" w:hAnsi="Times New Roman"/>
                      <w:bCs/>
                      <w:sz w:val="24"/>
                      <w:szCs w:val="24"/>
                      <w:lang w:eastAsia="lv-LV"/>
                    </w:rPr>
                    <w:t xml:space="preserve"> samazināšanas kārtību un tiesību normu</w:t>
                  </w:r>
                  <w:r w:rsidR="0057717D" w:rsidRPr="00B954E6">
                    <w:rPr>
                      <w:rFonts w:ascii="Times New Roman" w:hAnsi="Times New Roman"/>
                      <w:bCs/>
                      <w:sz w:val="24"/>
                      <w:szCs w:val="24"/>
                      <w:lang w:eastAsia="lv-LV"/>
                    </w:rPr>
                    <w:t xml:space="preserve"> piemērošanas aspektiem. Konsultējoties par pieteikuma iesniegšanu, tirgus dal</w:t>
                  </w:r>
                  <w:r w:rsidR="00B954E6">
                    <w:rPr>
                      <w:rFonts w:ascii="Times New Roman" w:hAnsi="Times New Roman"/>
                      <w:bCs/>
                      <w:sz w:val="24"/>
                      <w:szCs w:val="24"/>
                      <w:lang w:eastAsia="lv-LV"/>
                    </w:rPr>
                    <w:t>ībnieka pārstāvis</w:t>
                  </w:r>
                  <w:r w:rsidR="0057717D" w:rsidRPr="00B954E6">
                    <w:rPr>
                      <w:rFonts w:ascii="Times New Roman" w:hAnsi="Times New Roman"/>
                      <w:bCs/>
                      <w:sz w:val="24"/>
                      <w:szCs w:val="24"/>
                      <w:lang w:eastAsia="lv-LV"/>
                    </w:rPr>
                    <w:t xml:space="preserve"> var neatklāt savu identitāti. </w:t>
                  </w:r>
                </w:p>
                <w:p w14:paraId="1643884D" w14:textId="5A315DE5" w:rsidR="00245E19" w:rsidRDefault="00445D14" w:rsidP="007D292A">
                  <w:pPr>
                    <w:pStyle w:val="ListParagraph"/>
                    <w:numPr>
                      <w:ilvl w:val="0"/>
                      <w:numId w:val="4"/>
                    </w:numPr>
                    <w:spacing w:after="0" w:line="240" w:lineRule="auto"/>
                    <w:ind w:right="57"/>
                    <w:jc w:val="both"/>
                    <w:rPr>
                      <w:rFonts w:ascii="Times New Roman" w:hAnsi="Times New Roman"/>
                      <w:bCs/>
                      <w:sz w:val="24"/>
                      <w:szCs w:val="24"/>
                      <w:lang w:eastAsia="lv-LV"/>
                    </w:rPr>
                  </w:pPr>
                  <w:r>
                    <w:rPr>
                      <w:rFonts w:ascii="Times New Roman" w:hAnsi="Times New Roman"/>
                      <w:bCs/>
                      <w:sz w:val="24"/>
                      <w:szCs w:val="24"/>
                      <w:lang w:eastAsia="lv-LV"/>
                    </w:rPr>
                    <w:t>p</w:t>
                  </w:r>
                  <w:r w:rsidR="00245E19" w:rsidRPr="00E45842">
                    <w:rPr>
                      <w:rFonts w:ascii="Times New Roman" w:hAnsi="Times New Roman"/>
                      <w:bCs/>
                      <w:sz w:val="24"/>
                      <w:szCs w:val="24"/>
                      <w:lang w:eastAsia="lv-LV"/>
                    </w:rPr>
                    <w:t>apildinot Noteikumus ar 32.</w:t>
                  </w:r>
                  <w:r w:rsidR="00245E19" w:rsidRPr="00E45842">
                    <w:rPr>
                      <w:rFonts w:ascii="Times New Roman" w:hAnsi="Times New Roman"/>
                      <w:bCs/>
                      <w:sz w:val="24"/>
                      <w:szCs w:val="24"/>
                      <w:vertAlign w:val="superscript"/>
                      <w:lang w:eastAsia="lv-LV"/>
                    </w:rPr>
                    <w:t>1</w:t>
                  </w:r>
                  <w:r w:rsidR="00245E19" w:rsidRPr="00E45842">
                    <w:rPr>
                      <w:rFonts w:ascii="Times New Roman" w:hAnsi="Times New Roman"/>
                      <w:bCs/>
                      <w:sz w:val="24"/>
                      <w:szCs w:val="24"/>
                      <w:lang w:eastAsia="lv-LV"/>
                    </w:rPr>
                    <w:t xml:space="preserve"> punktu, kas paredz naudas soda samazinājumu 50% apmērā karteļa dalībniekam, kas iesniedzis KP pierādījumus par citu karteļa vienošanās aizlieguma pārkāpumu</w:t>
                  </w:r>
                  <w:r w:rsidR="00BD3111">
                    <w:rPr>
                      <w:rFonts w:ascii="Times New Roman" w:hAnsi="Times New Roman"/>
                      <w:bCs/>
                      <w:sz w:val="24"/>
                      <w:szCs w:val="24"/>
                      <w:lang w:eastAsia="lv-LV"/>
                    </w:rPr>
                    <w:t xml:space="preserve"> un kuru KP atbrīvo no naudas soda par šo karteļa vienošanās aizlieguma pārkāpumu</w:t>
                  </w:r>
                  <w:r w:rsidR="00245E19" w:rsidRPr="00E45842">
                    <w:rPr>
                      <w:rFonts w:ascii="Times New Roman" w:hAnsi="Times New Roman"/>
                      <w:bCs/>
                      <w:sz w:val="24"/>
                      <w:szCs w:val="24"/>
                      <w:lang w:eastAsia="lv-LV"/>
                    </w:rPr>
                    <w:t>;</w:t>
                  </w:r>
                </w:p>
                <w:p w14:paraId="1D0D106A" w14:textId="0E555CC8" w:rsidR="007B2D70" w:rsidRPr="00E45842" w:rsidRDefault="00445D14" w:rsidP="007D292A">
                  <w:pPr>
                    <w:pStyle w:val="ListParagraph"/>
                    <w:numPr>
                      <w:ilvl w:val="0"/>
                      <w:numId w:val="4"/>
                    </w:numPr>
                    <w:spacing w:after="0" w:line="240" w:lineRule="auto"/>
                    <w:ind w:right="57"/>
                    <w:jc w:val="both"/>
                    <w:rPr>
                      <w:rFonts w:ascii="Times New Roman" w:hAnsi="Times New Roman"/>
                      <w:bCs/>
                      <w:sz w:val="24"/>
                      <w:szCs w:val="24"/>
                      <w:lang w:eastAsia="lv-LV"/>
                    </w:rPr>
                  </w:pPr>
                  <w:r>
                    <w:rPr>
                      <w:rFonts w:ascii="Times New Roman" w:hAnsi="Times New Roman"/>
                      <w:bCs/>
                      <w:sz w:val="24"/>
                      <w:szCs w:val="24"/>
                      <w:lang w:eastAsia="lv-LV"/>
                    </w:rPr>
                    <w:t>p</w:t>
                  </w:r>
                  <w:r w:rsidR="007B2D70" w:rsidRPr="00E45842">
                    <w:rPr>
                      <w:rFonts w:ascii="Times New Roman" w:hAnsi="Times New Roman"/>
                      <w:bCs/>
                      <w:sz w:val="24"/>
                      <w:szCs w:val="24"/>
                      <w:lang w:eastAsia="lv-LV"/>
                    </w:rPr>
                    <w:t>recizējot terminus atbilstoši Konkurences likumā lietotajiem (14</w:t>
                  </w:r>
                  <w:r w:rsidR="0057717D">
                    <w:rPr>
                      <w:rFonts w:ascii="Times New Roman" w:hAnsi="Times New Roman"/>
                      <w:bCs/>
                      <w:sz w:val="24"/>
                      <w:szCs w:val="24"/>
                      <w:lang w:eastAsia="lv-LV"/>
                    </w:rPr>
                    <w:t>., 26., un 45.punkts</w:t>
                  </w:r>
                  <w:r w:rsidR="007B2D70" w:rsidRPr="00E45842">
                    <w:rPr>
                      <w:rFonts w:ascii="Times New Roman" w:hAnsi="Times New Roman"/>
                      <w:bCs/>
                      <w:sz w:val="24"/>
                      <w:szCs w:val="24"/>
                      <w:lang w:eastAsia="lv-LV"/>
                    </w:rPr>
                    <w:t xml:space="preserve">, </w:t>
                  </w:r>
                  <w:r w:rsidR="007B2D70" w:rsidRPr="00E45842">
                    <w:rPr>
                      <w:rFonts w:ascii="Times New Roman" w:hAnsi="Times New Roman"/>
                      <w:bCs/>
                      <w:sz w:val="24"/>
                      <w:szCs w:val="24"/>
                    </w:rPr>
                    <w:t>30.1.3., 30.2. un 30.3.5.apakšpunkts);</w:t>
                  </w:r>
                </w:p>
                <w:p w14:paraId="7667CBCE" w14:textId="50A613E0" w:rsidR="00245E19" w:rsidRPr="00E45842" w:rsidRDefault="004753AF" w:rsidP="007D292A">
                  <w:pPr>
                    <w:pStyle w:val="ListParagraph"/>
                    <w:numPr>
                      <w:ilvl w:val="0"/>
                      <w:numId w:val="4"/>
                    </w:numPr>
                    <w:spacing w:after="0" w:line="240" w:lineRule="auto"/>
                    <w:ind w:right="57"/>
                    <w:jc w:val="both"/>
                    <w:rPr>
                      <w:rFonts w:ascii="Times New Roman" w:hAnsi="Times New Roman"/>
                      <w:bCs/>
                      <w:sz w:val="24"/>
                      <w:szCs w:val="24"/>
                      <w:lang w:eastAsia="lv-LV"/>
                    </w:rPr>
                  </w:pPr>
                  <w:r w:rsidRPr="004753AF">
                    <w:rPr>
                      <w:rFonts w:ascii="Times New Roman" w:hAnsi="Times New Roman"/>
                      <w:spacing w:val="2"/>
                      <w:sz w:val="24"/>
                      <w:szCs w:val="24"/>
                    </w:rPr>
                    <w:t>izsakot Noteikumu 28. punktu jaunā redakcijā un svītrojot 44., 45. punktu</w:t>
                  </w:r>
                  <w:r w:rsidR="00055FD7" w:rsidRPr="00E45842">
                    <w:rPr>
                      <w:rFonts w:ascii="Times New Roman" w:hAnsi="Times New Roman"/>
                      <w:bCs/>
                      <w:sz w:val="24"/>
                      <w:szCs w:val="24"/>
                      <w:lang w:eastAsia="lv-LV"/>
                    </w:rPr>
                    <w:t xml:space="preserve">, lai novērstu tiesību normu dublēšanos, jo šīs normas ietvertas KL </w:t>
                  </w:r>
                  <w:r w:rsidR="00055FD7" w:rsidRPr="00E45842">
                    <w:rPr>
                      <w:rFonts w:ascii="Times New Roman" w:hAnsi="Times New Roman"/>
                      <w:bCs/>
                      <w:iCs/>
                      <w:sz w:val="24"/>
                      <w:szCs w:val="24"/>
                    </w:rPr>
                    <w:t>12.</w:t>
                  </w:r>
                  <w:r w:rsidR="00055FD7" w:rsidRPr="00E45842">
                    <w:rPr>
                      <w:rFonts w:ascii="Times New Roman" w:hAnsi="Times New Roman"/>
                      <w:bCs/>
                      <w:iCs/>
                      <w:sz w:val="24"/>
                      <w:szCs w:val="24"/>
                      <w:vertAlign w:val="superscript"/>
                    </w:rPr>
                    <w:t>1</w:t>
                  </w:r>
                  <w:r w:rsidR="00055FD7" w:rsidRPr="00E45842">
                    <w:rPr>
                      <w:rFonts w:ascii="Times New Roman" w:hAnsi="Times New Roman"/>
                      <w:bCs/>
                      <w:iCs/>
                      <w:sz w:val="24"/>
                      <w:szCs w:val="24"/>
                    </w:rPr>
                    <w:t xml:space="preserve"> pant</w:t>
                  </w:r>
                  <w:r w:rsidR="007B2D70" w:rsidRPr="00E45842">
                    <w:rPr>
                      <w:rFonts w:ascii="Times New Roman" w:hAnsi="Times New Roman"/>
                      <w:bCs/>
                      <w:iCs/>
                      <w:sz w:val="24"/>
                      <w:szCs w:val="24"/>
                    </w:rPr>
                    <w:t>a ceturtajā un sestajā daļā;</w:t>
                  </w:r>
                </w:p>
                <w:p w14:paraId="2E062AD6" w14:textId="2464B9E1" w:rsidR="007B2D70" w:rsidRPr="00D242A2" w:rsidRDefault="00445D14" w:rsidP="007D292A">
                  <w:pPr>
                    <w:pStyle w:val="ListParagraph"/>
                    <w:numPr>
                      <w:ilvl w:val="0"/>
                      <w:numId w:val="4"/>
                    </w:numPr>
                    <w:spacing w:after="0" w:line="240" w:lineRule="auto"/>
                    <w:ind w:right="57"/>
                    <w:jc w:val="both"/>
                    <w:rPr>
                      <w:rFonts w:ascii="Times New Roman" w:hAnsi="Times New Roman"/>
                      <w:bCs/>
                      <w:sz w:val="24"/>
                      <w:szCs w:val="24"/>
                      <w:lang w:eastAsia="lv-LV"/>
                    </w:rPr>
                  </w:pPr>
                  <w:r>
                    <w:rPr>
                      <w:rFonts w:ascii="Times New Roman" w:hAnsi="Times New Roman"/>
                      <w:bCs/>
                      <w:iCs/>
                      <w:sz w:val="24"/>
                      <w:szCs w:val="24"/>
                    </w:rPr>
                    <w:t>a</w:t>
                  </w:r>
                  <w:r w:rsidR="007B2D70" w:rsidRPr="00E45842">
                    <w:rPr>
                      <w:rFonts w:ascii="Times New Roman" w:hAnsi="Times New Roman"/>
                      <w:bCs/>
                      <w:iCs/>
                      <w:sz w:val="24"/>
                      <w:szCs w:val="24"/>
                    </w:rPr>
                    <w:t>tbilstoši Eiropas konkurences tīkla izstrādātaja</w:t>
                  </w:r>
                  <w:r>
                    <w:rPr>
                      <w:rFonts w:ascii="Times New Roman" w:hAnsi="Times New Roman"/>
                      <w:bCs/>
                      <w:iCs/>
                      <w:sz w:val="24"/>
                      <w:szCs w:val="24"/>
                    </w:rPr>
                    <w:t>m</w:t>
                  </w:r>
                  <w:r w:rsidR="007B2D70" w:rsidRPr="00E45842">
                    <w:rPr>
                      <w:rFonts w:ascii="Times New Roman" w:hAnsi="Times New Roman"/>
                      <w:bCs/>
                      <w:iCs/>
                      <w:sz w:val="24"/>
                      <w:szCs w:val="24"/>
                    </w:rPr>
                    <w:t xml:space="preserve"> iecietības programma</w:t>
                  </w:r>
                  <w:r w:rsidR="00495F31" w:rsidRPr="00E45842">
                    <w:rPr>
                      <w:rFonts w:ascii="Times New Roman" w:hAnsi="Times New Roman"/>
                      <w:bCs/>
                      <w:iCs/>
                      <w:sz w:val="24"/>
                      <w:szCs w:val="24"/>
                    </w:rPr>
                    <w:t>s paraugam</w:t>
                  </w:r>
                  <w:r w:rsidR="007B2D70" w:rsidRPr="00E45842">
                    <w:rPr>
                      <w:rFonts w:ascii="Times New Roman" w:hAnsi="Times New Roman"/>
                      <w:bCs/>
                      <w:iCs/>
                      <w:sz w:val="24"/>
                      <w:szCs w:val="24"/>
                    </w:rPr>
                    <w:t xml:space="preserve"> </w:t>
                  </w:r>
                  <w:r w:rsidR="00495F31" w:rsidRPr="00E45842">
                    <w:rPr>
                      <w:rFonts w:ascii="Times New Roman" w:hAnsi="Times New Roman"/>
                      <w:bCs/>
                      <w:iCs/>
                      <w:sz w:val="24"/>
                      <w:szCs w:val="24"/>
                    </w:rPr>
                    <w:t xml:space="preserve">(ECN </w:t>
                  </w:r>
                  <w:proofErr w:type="spellStart"/>
                  <w:r w:rsidR="00495F31" w:rsidRPr="00E45842">
                    <w:rPr>
                      <w:rFonts w:ascii="Times New Roman" w:hAnsi="Times New Roman"/>
                      <w:bCs/>
                      <w:iCs/>
                      <w:sz w:val="24"/>
                      <w:szCs w:val="24"/>
                    </w:rPr>
                    <w:t>Model</w:t>
                  </w:r>
                  <w:proofErr w:type="spellEnd"/>
                  <w:r w:rsidR="00495F31" w:rsidRPr="00E45842">
                    <w:rPr>
                      <w:rFonts w:ascii="Times New Roman" w:hAnsi="Times New Roman"/>
                      <w:bCs/>
                      <w:iCs/>
                      <w:sz w:val="24"/>
                      <w:szCs w:val="24"/>
                    </w:rPr>
                    <w:t xml:space="preserve"> </w:t>
                  </w:r>
                  <w:proofErr w:type="spellStart"/>
                  <w:r w:rsidR="00495F31" w:rsidRPr="00E45842">
                    <w:rPr>
                      <w:rFonts w:ascii="Times New Roman" w:hAnsi="Times New Roman"/>
                      <w:bCs/>
                      <w:iCs/>
                      <w:sz w:val="24"/>
                      <w:szCs w:val="24"/>
                    </w:rPr>
                    <w:t>Lenience</w:t>
                  </w:r>
                  <w:proofErr w:type="spellEnd"/>
                  <w:r w:rsidR="00495F31" w:rsidRPr="00E45842">
                    <w:rPr>
                      <w:rFonts w:ascii="Times New Roman" w:hAnsi="Times New Roman"/>
                      <w:bCs/>
                      <w:iCs/>
                      <w:sz w:val="24"/>
                      <w:szCs w:val="24"/>
                    </w:rPr>
                    <w:t xml:space="preserve"> </w:t>
                  </w:r>
                  <w:proofErr w:type="spellStart"/>
                  <w:r w:rsidR="00495F31" w:rsidRPr="00E45842">
                    <w:rPr>
                      <w:rFonts w:ascii="Times New Roman" w:hAnsi="Times New Roman"/>
                      <w:bCs/>
                      <w:iCs/>
                      <w:sz w:val="24"/>
                      <w:szCs w:val="24"/>
                    </w:rPr>
                    <w:t>programme</w:t>
                  </w:r>
                  <w:proofErr w:type="spellEnd"/>
                  <w:r w:rsidR="00495F31" w:rsidRPr="00E45842">
                    <w:rPr>
                      <w:rFonts w:ascii="Times New Roman" w:hAnsi="Times New Roman"/>
                      <w:bCs/>
                      <w:iCs/>
                      <w:sz w:val="24"/>
                      <w:szCs w:val="24"/>
                    </w:rPr>
                    <w:t xml:space="preserve">) </w:t>
                  </w:r>
                  <w:r w:rsidR="007B2D70" w:rsidRPr="00E45842">
                    <w:rPr>
                      <w:rFonts w:ascii="Times New Roman" w:hAnsi="Times New Roman"/>
                      <w:bCs/>
                      <w:iCs/>
                      <w:sz w:val="24"/>
                      <w:szCs w:val="24"/>
                    </w:rPr>
                    <w:t>papildin</w:t>
                  </w:r>
                  <w:r>
                    <w:rPr>
                      <w:rFonts w:ascii="Times New Roman" w:hAnsi="Times New Roman"/>
                      <w:bCs/>
                      <w:iCs/>
                      <w:sz w:val="24"/>
                      <w:szCs w:val="24"/>
                    </w:rPr>
                    <w:t>o</w:t>
                  </w:r>
                  <w:r w:rsidR="007B2D70" w:rsidRPr="00E45842">
                    <w:rPr>
                      <w:rFonts w:ascii="Times New Roman" w:hAnsi="Times New Roman"/>
                      <w:bCs/>
                      <w:iCs/>
                      <w:sz w:val="24"/>
                      <w:szCs w:val="24"/>
                    </w:rPr>
                    <w:t>t iesniedzamo informāciju ar norādēm par citās Eiropas Savienības dalībvalstīs vai citās valstīs iesniegtaj</w:t>
                  </w:r>
                  <w:r>
                    <w:rPr>
                      <w:rFonts w:ascii="Times New Roman" w:hAnsi="Times New Roman"/>
                      <w:bCs/>
                      <w:iCs/>
                      <w:sz w:val="24"/>
                      <w:szCs w:val="24"/>
                    </w:rPr>
                    <w:t>ie</w:t>
                  </w:r>
                  <w:r w:rsidR="007B2D70" w:rsidRPr="00E45842">
                    <w:rPr>
                      <w:rFonts w:ascii="Times New Roman" w:hAnsi="Times New Roman"/>
                      <w:bCs/>
                      <w:iCs/>
                      <w:sz w:val="24"/>
                      <w:szCs w:val="24"/>
                    </w:rPr>
                    <w:t>m vai iesniegt plānotaj</w:t>
                  </w:r>
                  <w:r>
                    <w:rPr>
                      <w:rFonts w:ascii="Times New Roman" w:hAnsi="Times New Roman"/>
                      <w:bCs/>
                      <w:iCs/>
                      <w:sz w:val="24"/>
                      <w:szCs w:val="24"/>
                    </w:rPr>
                    <w:t>ie</w:t>
                  </w:r>
                  <w:r w:rsidR="007B2D70" w:rsidRPr="00E45842">
                    <w:rPr>
                      <w:rFonts w:ascii="Times New Roman" w:hAnsi="Times New Roman"/>
                      <w:bCs/>
                      <w:iCs/>
                      <w:sz w:val="24"/>
                      <w:szCs w:val="24"/>
                    </w:rPr>
                    <w:t>m iecietības pieteikum</w:t>
                  </w:r>
                  <w:r>
                    <w:rPr>
                      <w:rFonts w:ascii="Times New Roman" w:hAnsi="Times New Roman"/>
                      <w:bCs/>
                      <w:iCs/>
                      <w:sz w:val="24"/>
                      <w:szCs w:val="24"/>
                    </w:rPr>
                    <w:t>iem</w:t>
                  </w:r>
                  <w:r w:rsidR="00495F31" w:rsidRPr="00E45842">
                    <w:rPr>
                      <w:rFonts w:ascii="Times New Roman" w:hAnsi="Times New Roman"/>
                      <w:bCs/>
                      <w:iCs/>
                      <w:sz w:val="24"/>
                      <w:szCs w:val="24"/>
                    </w:rPr>
                    <w:t>, kā ar</w:t>
                  </w:r>
                  <w:r w:rsidR="00E45842" w:rsidRPr="00E45842">
                    <w:rPr>
                      <w:rFonts w:ascii="Times New Roman" w:hAnsi="Times New Roman"/>
                      <w:bCs/>
                      <w:iCs/>
                      <w:sz w:val="24"/>
                      <w:szCs w:val="24"/>
                    </w:rPr>
                    <w:t xml:space="preserve">ī </w:t>
                  </w:r>
                  <w:r>
                    <w:rPr>
                      <w:rFonts w:ascii="Times New Roman" w:hAnsi="Times New Roman"/>
                      <w:bCs/>
                      <w:iCs/>
                      <w:sz w:val="24"/>
                      <w:szCs w:val="24"/>
                    </w:rPr>
                    <w:t>ar</w:t>
                  </w:r>
                  <w:r w:rsidR="00E45842" w:rsidRPr="00E45842">
                    <w:rPr>
                      <w:rFonts w:ascii="Times New Roman" w:hAnsi="Times New Roman"/>
                      <w:bCs/>
                      <w:iCs/>
                      <w:sz w:val="24"/>
                      <w:szCs w:val="24"/>
                    </w:rPr>
                    <w:t xml:space="preserve"> to, ka iesniegtajai </w:t>
                  </w:r>
                  <w:proofErr w:type="spellStart"/>
                  <w:r w:rsidR="00E45842" w:rsidRPr="00E45842">
                    <w:rPr>
                      <w:rFonts w:ascii="Times New Roman" w:hAnsi="Times New Roman"/>
                      <w:bCs/>
                      <w:iCs/>
                      <w:sz w:val="24"/>
                      <w:szCs w:val="24"/>
                    </w:rPr>
                    <w:t>i</w:t>
                  </w:r>
                  <w:r w:rsidR="00495F31" w:rsidRPr="00E45842">
                    <w:rPr>
                      <w:rFonts w:ascii="Times New Roman" w:hAnsi="Times New Roman"/>
                      <w:bCs/>
                      <w:iCs/>
                      <w:sz w:val="24"/>
                      <w:szCs w:val="24"/>
                    </w:rPr>
                    <w:t>normācijai</w:t>
                  </w:r>
                  <w:proofErr w:type="spellEnd"/>
                  <w:r w:rsidR="00495F31" w:rsidRPr="00E45842">
                    <w:rPr>
                      <w:rFonts w:ascii="Times New Roman" w:hAnsi="Times New Roman"/>
                      <w:bCs/>
                      <w:iCs/>
                      <w:sz w:val="24"/>
                      <w:szCs w:val="24"/>
                    </w:rPr>
                    <w:t xml:space="preserve"> pie pieteikuma par naudas soda samazinājumu būtiski jāpapildina Konkurences padomes rīcībā esoš</w:t>
                  </w:r>
                  <w:r>
                    <w:rPr>
                      <w:rFonts w:ascii="Times New Roman" w:hAnsi="Times New Roman"/>
                      <w:bCs/>
                      <w:iCs/>
                      <w:sz w:val="24"/>
                      <w:szCs w:val="24"/>
                    </w:rPr>
                    <w:t>ā</w:t>
                  </w:r>
                  <w:r w:rsidR="00495F31" w:rsidRPr="00E45842">
                    <w:rPr>
                      <w:rFonts w:ascii="Times New Roman" w:hAnsi="Times New Roman"/>
                      <w:bCs/>
                      <w:iCs/>
                      <w:sz w:val="24"/>
                      <w:szCs w:val="24"/>
                    </w:rPr>
                    <w:t xml:space="preserve"> informācij</w:t>
                  </w:r>
                  <w:r>
                    <w:rPr>
                      <w:rFonts w:ascii="Times New Roman" w:hAnsi="Times New Roman"/>
                      <w:bCs/>
                      <w:iCs/>
                      <w:sz w:val="24"/>
                      <w:szCs w:val="24"/>
                    </w:rPr>
                    <w:t>a</w:t>
                  </w:r>
                  <w:r w:rsidR="00FA6E27" w:rsidRPr="00E45842">
                    <w:rPr>
                      <w:rFonts w:ascii="Times New Roman" w:hAnsi="Times New Roman"/>
                      <w:bCs/>
                      <w:iCs/>
                      <w:sz w:val="24"/>
                      <w:szCs w:val="24"/>
                    </w:rPr>
                    <w:t>;</w:t>
                  </w:r>
                </w:p>
                <w:p w14:paraId="731C18AF" w14:textId="3B17C492" w:rsidR="001B1CA1" w:rsidRPr="007D292A" w:rsidRDefault="001B1CA1" w:rsidP="00456854">
                  <w:pPr>
                    <w:pStyle w:val="ListParagraph"/>
                    <w:numPr>
                      <w:ilvl w:val="0"/>
                      <w:numId w:val="4"/>
                    </w:numPr>
                    <w:spacing w:after="0" w:line="240" w:lineRule="auto"/>
                    <w:ind w:right="57"/>
                    <w:jc w:val="both"/>
                    <w:rPr>
                      <w:rFonts w:ascii="Times New Roman" w:hAnsi="Times New Roman"/>
                      <w:bCs/>
                      <w:sz w:val="24"/>
                      <w:szCs w:val="24"/>
                      <w:lang w:eastAsia="lv-LV"/>
                    </w:rPr>
                  </w:pPr>
                  <w:r w:rsidRPr="007D292A">
                    <w:rPr>
                      <w:rFonts w:ascii="Times New Roman" w:hAnsi="Times New Roman"/>
                      <w:bCs/>
                      <w:sz w:val="24"/>
                      <w:szCs w:val="24"/>
                      <w:lang w:eastAsia="lv-LV"/>
                    </w:rPr>
                    <w:t xml:space="preserve">Noteikumu </w:t>
                  </w:r>
                  <w:r w:rsidRPr="007D292A">
                    <w:rPr>
                      <w:rFonts w:ascii="Times New Roman" w:hAnsi="Times New Roman"/>
                      <w:bCs/>
                      <w:sz w:val="24"/>
                      <w:szCs w:val="24"/>
                    </w:rPr>
                    <w:t>30.1.2.apakšpunktā precizēta terminoloģija</w:t>
                  </w:r>
                  <w:r w:rsidR="00D242A2" w:rsidRPr="007D292A">
                    <w:rPr>
                      <w:rFonts w:ascii="Times New Roman" w:hAnsi="Times New Roman"/>
                      <w:bCs/>
                      <w:sz w:val="24"/>
                      <w:szCs w:val="24"/>
                    </w:rPr>
                    <w:t xml:space="preserve"> –</w:t>
                  </w:r>
                  <w:r w:rsidR="007D292A" w:rsidRPr="007D292A">
                    <w:rPr>
                      <w:rFonts w:ascii="Times New Roman" w:hAnsi="Times New Roman"/>
                      <w:bCs/>
                      <w:sz w:val="24"/>
                      <w:szCs w:val="24"/>
                    </w:rPr>
                    <w:t xml:space="preserve"> </w:t>
                  </w:r>
                  <w:r w:rsidRPr="007D292A">
                    <w:rPr>
                      <w:rFonts w:ascii="Times New Roman" w:hAnsi="Times New Roman"/>
                      <w:bCs/>
                      <w:sz w:val="24"/>
                      <w:szCs w:val="24"/>
                    </w:rPr>
                    <w:t xml:space="preserve">“konkrētās preces tirgi” aizstāti ar vārdiem “ietekmētās preces tirgi”. Tādā veidā </w:t>
                  </w:r>
                  <w:r w:rsidR="00D242A2" w:rsidRPr="007D292A">
                    <w:rPr>
                      <w:rFonts w:ascii="Times New Roman" w:hAnsi="Times New Roman"/>
                      <w:bCs/>
                      <w:sz w:val="24"/>
                      <w:szCs w:val="24"/>
                    </w:rPr>
                    <w:t xml:space="preserve">tiek </w:t>
                  </w:r>
                  <w:r w:rsidRPr="007D292A">
                    <w:rPr>
                      <w:rFonts w:ascii="Times New Roman" w:hAnsi="Times New Roman"/>
                      <w:bCs/>
                      <w:sz w:val="24"/>
                      <w:szCs w:val="24"/>
                    </w:rPr>
                    <w:t>samazin</w:t>
                  </w:r>
                  <w:r w:rsidR="00D242A2" w:rsidRPr="007D292A">
                    <w:rPr>
                      <w:rFonts w:ascii="Times New Roman" w:hAnsi="Times New Roman"/>
                      <w:bCs/>
                      <w:sz w:val="24"/>
                      <w:szCs w:val="24"/>
                    </w:rPr>
                    <w:t>āts</w:t>
                  </w:r>
                  <w:r w:rsidRPr="007D292A">
                    <w:rPr>
                      <w:rFonts w:ascii="Times New Roman" w:hAnsi="Times New Roman"/>
                      <w:bCs/>
                      <w:sz w:val="24"/>
                      <w:szCs w:val="24"/>
                    </w:rPr>
                    <w:t xml:space="preserve"> un precizē</w:t>
                  </w:r>
                  <w:r w:rsidR="00D242A2" w:rsidRPr="007D292A">
                    <w:rPr>
                      <w:rFonts w:ascii="Times New Roman" w:hAnsi="Times New Roman"/>
                      <w:bCs/>
                      <w:sz w:val="24"/>
                      <w:szCs w:val="24"/>
                    </w:rPr>
                    <w:t>ts</w:t>
                  </w:r>
                  <w:r w:rsidRPr="007D292A">
                    <w:rPr>
                      <w:rFonts w:ascii="Times New Roman" w:hAnsi="Times New Roman"/>
                      <w:bCs/>
                      <w:sz w:val="24"/>
                      <w:szCs w:val="24"/>
                    </w:rPr>
                    <w:t xml:space="preserve"> Konkurences padomei sniedzamās informācijas apjom</w:t>
                  </w:r>
                  <w:r w:rsidR="00D242A2" w:rsidRPr="007D292A">
                    <w:rPr>
                      <w:rFonts w:ascii="Times New Roman" w:hAnsi="Times New Roman"/>
                      <w:bCs/>
                      <w:sz w:val="24"/>
                      <w:szCs w:val="24"/>
                    </w:rPr>
                    <w:t>s. P</w:t>
                  </w:r>
                  <w:r w:rsidRPr="007D292A">
                    <w:rPr>
                      <w:rFonts w:ascii="Times New Roman" w:hAnsi="Times New Roman"/>
                      <w:bCs/>
                      <w:sz w:val="24"/>
                      <w:szCs w:val="24"/>
                    </w:rPr>
                    <w:t xml:space="preserve">roti, tirgus dalībniekam ir jāsniedz informācija tikai par tirgiem, kurus </w:t>
                  </w:r>
                  <w:proofErr w:type="spellStart"/>
                  <w:r w:rsidRPr="007D292A">
                    <w:rPr>
                      <w:rFonts w:ascii="Times New Roman" w:hAnsi="Times New Roman"/>
                      <w:bCs/>
                      <w:sz w:val="24"/>
                      <w:szCs w:val="24"/>
                    </w:rPr>
                    <w:t>skārusi</w:t>
                  </w:r>
                  <w:proofErr w:type="spellEnd"/>
                  <w:r w:rsidRPr="007D292A">
                    <w:rPr>
                      <w:rFonts w:ascii="Times New Roman" w:hAnsi="Times New Roman"/>
                      <w:bCs/>
                      <w:sz w:val="24"/>
                      <w:szCs w:val="24"/>
                    </w:rPr>
                    <w:t xml:space="preserve"> aizliegta vienošanās un kas tika ietekmēti aizliegtas vienošanās gaitā – “ietekmētās preces tirgi”. </w:t>
                  </w:r>
                </w:p>
                <w:p w14:paraId="01AB138E" w14:textId="019F608D" w:rsidR="00790102" w:rsidRPr="00E45842" w:rsidRDefault="00464CC1" w:rsidP="00E45842">
                  <w:pPr>
                    <w:ind w:right="57"/>
                    <w:jc w:val="both"/>
                    <w:rPr>
                      <w:rFonts w:ascii="Times New Roman" w:hAnsi="Times New Roman" w:cs="Times New Roman"/>
                      <w:bCs/>
                      <w:iCs/>
                    </w:rPr>
                  </w:pPr>
                  <w:r w:rsidRPr="00E45842">
                    <w:rPr>
                      <w:rFonts w:ascii="Times New Roman" w:hAnsi="Times New Roman" w:cs="Times New Roman"/>
                      <w:bCs/>
                      <w:sz w:val="24"/>
                      <w:szCs w:val="24"/>
                      <w:lang w:eastAsia="lv-LV"/>
                    </w:rPr>
                    <w:t>Vienlaikus</w:t>
                  </w:r>
                  <w:r w:rsidR="00FF2ECB" w:rsidRPr="00E45842">
                    <w:rPr>
                      <w:rFonts w:ascii="Times New Roman" w:hAnsi="Times New Roman" w:cs="Times New Roman"/>
                      <w:bCs/>
                      <w:sz w:val="24"/>
                      <w:szCs w:val="24"/>
                      <w:lang w:eastAsia="lv-LV"/>
                    </w:rPr>
                    <w:t xml:space="preserve">, </w:t>
                  </w:r>
                  <w:r w:rsidR="008843B5" w:rsidRPr="00E45842">
                    <w:rPr>
                      <w:rFonts w:ascii="Times New Roman" w:hAnsi="Times New Roman" w:cs="Times New Roman"/>
                      <w:bCs/>
                      <w:sz w:val="24"/>
                      <w:szCs w:val="24"/>
                      <w:lang w:eastAsia="lv-LV"/>
                    </w:rPr>
                    <w:t>precizēts</w:t>
                  </w:r>
                  <w:r w:rsidR="00FF2ECB" w:rsidRPr="00E45842">
                    <w:rPr>
                      <w:rFonts w:ascii="Times New Roman" w:hAnsi="Times New Roman" w:cs="Times New Roman"/>
                      <w:bCs/>
                      <w:sz w:val="24"/>
                      <w:szCs w:val="24"/>
                      <w:lang w:eastAsia="lv-LV"/>
                    </w:rPr>
                    <w:t xml:space="preserve"> </w:t>
                  </w:r>
                  <w:r w:rsidR="008843B5" w:rsidRPr="00E45842">
                    <w:rPr>
                      <w:rFonts w:ascii="Times New Roman" w:hAnsi="Times New Roman" w:cs="Times New Roman"/>
                      <w:bCs/>
                      <w:sz w:val="24"/>
                      <w:szCs w:val="24"/>
                      <w:lang w:eastAsia="lv-LV"/>
                    </w:rPr>
                    <w:t xml:space="preserve">Noteikumu </w:t>
                  </w:r>
                  <w:r w:rsidR="00FF2ECB" w:rsidRPr="00E45842">
                    <w:rPr>
                      <w:rFonts w:ascii="Times New Roman" w:hAnsi="Times New Roman" w:cs="Times New Roman"/>
                      <w:bCs/>
                      <w:sz w:val="24"/>
                      <w:szCs w:val="24"/>
                      <w:lang w:eastAsia="lv-LV"/>
                    </w:rPr>
                    <w:t>22.1.5.</w:t>
                  </w:r>
                  <w:r w:rsidR="00A317BA" w:rsidRPr="00E45842">
                    <w:rPr>
                      <w:rFonts w:ascii="Times New Roman" w:hAnsi="Times New Roman" w:cs="Times New Roman"/>
                      <w:bCs/>
                      <w:sz w:val="24"/>
                      <w:szCs w:val="24"/>
                      <w:lang w:eastAsia="lv-LV"/>
                    </w:rPr>
                    <w:t xml:space="preserve"> </w:t>
                  </w:r>
                  <w:r w:rsidR="00424954" w:rsidRPr="00E45842">
                    <w:rPr>
                      <w:rFonts w:ascii="Times New Roman" w:hAnsi="Times New Roman" w:cs="Times New Roman"/>
                      <w:bCs/>
                      <w:sz w:val="24"/>
                      <w:szCs w:val="24"/>
                      <w:lang w:eastAsia="lv-LV"/>
                    </w:rPr>
                    <w:t>apakš</w:t>
                  </w:r>
                  <w:r w:rsidR="00A317BA" w:rsidRPr="00E45842">
                    <w:rPr>
                      <w:rFonts w:ascii="Times New Roman" w:hAnsi="Times New Roman" w:cs="Times New Roman"/>
                      <w:bCs/>
                      <w:sz w:val="24"/>
                      <w:szCs w:val="24"/>
                      <w:lang w:eastAsia="lv-LV"/>
                    </w:rPr>
                    <w:t>punkt</w:t>
                  </w:r>
                  <w:r w:rsidR="008843B5" w:rsidRPr="00E45842">
                    <w:rPr>
                      <w:rFonts w:ascii="Times New Roman" w:hAnsi="Times New Roman" w:cs="Times New Roman"/>
                      <w:bCs/>
                      <w:sz w:val="24"/>
                      <w:szCs w:val="24"/>
                      <w:lang w:eastAsia="lv-LV"/>
                    </w:rPr>
                    <w:t>ā</w:t>
                  </w:r>
                  <w:r w:rsidR="00A317BA" w:rsidRPr="00E45842">
                    <w:rPr>
                      <w:rFonts w:ascii="Times New Roman" w:hAnsi="Times New Roman" w:cs="Times New Roman"/>
                      <w:bCs/>
                      <w:sz w:val="24"/>
                      <w:szCs w:val="24"/>
                      <w:lang w:eastAsia="lv-LV"/>
                    </w:rPr>
                    <w:t xml:space="preserve"> </w:t>
                  </w:r>
                  <w:r w:rsidR="008843B5" w:rsidRPr="00E45842">
                    <w:rPr>
                      <w:rFonts w:ascii="Times New Roman" w:hAnsi="Times New Roman" w:cs="Times New Roman"/>
                      <w:bCs/>
                      <w:sz w:val="24"/>
                      <w:szCs w:val="24"/>
                      <w:lang w:eastAsia="lv-LV"/>
                    </w:rPr>
                    <w:t>noteiktais</w:t>
                  </w:r>
                  <w:r w:rsidR="00A317BA" w:rsidRPr="00E45842">
                    <w:rPr>
                      <w:rFonts w:ascii="Times New Roman" w:hAnsi="Times New Roman" w:cs="Times New Roman"/>
                      <w:bCs/>
                      <w:sz w:val="24"/>
                      <w:szCs w:val="24"/>
                      <w:lang w:eastAsia="lv-LV"/>
                    </w:rPr>
                    <w:t xml:space="preserve"> atbild</w:t>
                  </w:r>
                  <w:r w:rsidRPr="00E45842">
                    <w:rPr>
                      <w:rFonts w:ascii="Times New Roman" w:hAnsi="Times New Roman" w:cs="Times New Roman"/>
                      <w:bCs/>
                      <w:sz w:val="24"/>
                      <w:szCs w:val="24"/>
                      <w:lang w:eastAsia="lv-LV"/>
                    </w:rPr>
                    <w:t>ību</w:t>
                  </w:r>
                  <w:r w:rsidR="008843B5" w:rsidRPr="00E45842">
                    <w:rPr>
                      <w:rFonts w:ascii="Times New Roman" w:hAnsi="Times New Roman" w:cs="Times New Roman"/>
                      <w:bCs/>
                      <w:sz w:val="24"/>
                      <w:szCs w:val="24"/>
                      <w:lang w:eastAsia="lv-LV"/>
                    </w:rPr>
                    <w:t xml:space="preserve"> mīkstinošais</w:t>
                  </w:r>
                  <w:r w:rsidR="00A317BA" w:rsidRPr="00E45842">
                    <w:rPr>
                      <w:rFonts w:ascii="Times New Roman" w:hAnsi="Times New Roman" w:cs="Times New Roman"/>
                      <w:bCs/>
                      <w:sz w:val="24"/>
                      <w:szCs w:val="24"/>
                      <w:lang w:eastAsia="lv-LV"/>
                    </w:rPr>
                    <w:t xml:space="preserve"> apstākli</w:t>
                  </w:r>
                  <w:r w:rsidR="008843B5" w:rsidRPr="00E45842">
                    <w:rPr>
                      <w:rFonts w:ascii="Times New Roman" w:hAnsi="Times New Roman" w:cs="Times New Roman"/>
                      <w:bCs/>
                      <w:sz w:val="24"/>
                      <w:szCs w:val="24"/>
                      <w:lang w:eastAsia="lv-LV"/>
                    </w:rPr>
                    <w:t>s</w:t>
                  </w:r>
                  <w:r w:rsidR="00A317BA" w:rsidRPr="00E45842">
                    <w:rPr>
                      <w:rFonts w:ascii="Times New Roman" w:hAnsi="Times New Roman" w:cs="Times New Roman"/>
                      <w:bCs/>
                      <w:sz w:val="24"/>
                      <w:szCs w:val="24"/>
                      <w:lang w:eastAsia="lv-LV"/>
                    </w:rPr>
                    <w:t xml:space="preserve"> – tirgus dalībnieks,</w:t>
                  </w:r>
                  <w:r w:rsidR="0057717D">
                    <w:rPr>
                      <w:rFonts w:ascii="Times New Roman" w:hAnsi="Times New Roman" w:cs="Times New Roman"/>
                      <w:bCs/>
                      <w:sz w:val="24"/>
                      <w:szCs w:val="24"/>
                      <w:lang w:eastAsia="lv-LV"/>
                    </w:rPr>
                    <w:t xml:space="preserve"> kas</w:t>
                  </w:r>
                  <w:r w:rsidR="00A317BA" w:rsidRPr="00E45842">
                    <w:rPr>
                      <w:rFonts w:ascii="Times New Roman" w:hAnsi="Times New Roman" w:cs="Times New Roman"/>
                      <w:bCs/>
                      <w:sz w:val="24"/>
                      <w:szCs w:val="24"/>
                      <w:lang w:eastAsia="lv-LV"/>
                    </w:rPr>
                    <w:t xml:space="preserve"> noslēdz</w:t>
                  </w:r>
                  <w:r w:rsidR="0057717D">
                    <w:rPr>
                      <w:rFonts w:ascii="Times New Roman" w:hAnsi="Times New Roman" w:cs="Times New Roman"/>
                      <w:bCs/>
                      <w:sz w:val="24"/>
                      <w:szCs w:val="24"/>
                      <w:lang w:eastAsia="lv-LV"/>
                    </w:rPr>
                    <w:t>is</w:t>
                  </w:r>
                  <w:r w:rsidR="00A317BA" w:rsidRPr="00E45842">
                    <w:rPr>
                      <w:rFonts w:ascii="Times New Roman" w:hAnsi="Times New Roman" w:cs="Times New Roman"/>
                      <w:bCs/>
                      <w:sz w:val="24"/>
                      <w:szCs w:val="24"/>
                      <w:lang w:eastAsia="lv-LV"/>
                    </w:rPr>
                    <w:t xml:space="preserve"> izlīgumu par strīda izšķiršanu</w:t>
                  </w:r>
                  <w:r w:rsidR="0057717D">
                    <w:rPr>
                      <w:rFonts w:ascii="Times New Roman" w:hAnsi="Times New Roman" w:cs="Times New Roman"/>
                      <w:bCs/>
                      <w:sz w:val="24"/>
                      <w:szCs w:val="24"/>
                      <w:lang w:eastAsia="lv-LV"/>
                    </w:rPr>
                    <w:t xml:space="preserve"> un</w:t>
                  </w:r>
                  <w:r w:rsidR="00A317BA" w:rsidRPr="00E45842">
                    <w:rPr>
                      <w:rFonts w:ascii="Times New Roman" w:hAnsi="Times New Roman" w:cs="Times New Roman"/>
                      <w:bCs/>
                      <w:sz w:val="24"/>
                      <w:szCs w:val="24"/>
                      <w:lang w:eastAsia="lv-LV"/>
                    </w:rPr>
                    <w:t xml:space="preserve"> atlīdzinājis zaudējumus, ko radījis izdarītais pārk</w:t>
                  </w:r>
                  <w:r w:rsidR="001200D0" w:rsidRPr="00E45842">
                    <w:rPr>
                      <w:rFonts w:ascii="Times New Roman" w:hAnsi="Times New Roman" w:cs="Times New Roman"/>
                      <w:bCs/>
                      <w:sz w:val="24"/>
                      <w:szCs w:val="24"/>
                      <w:lang w:eastAsia="lv-LV"/>
                    </w:rPr>
                    <w:t xml:space="preserve">āpums. </w:t>
                  </w:r>
                  <w:r w:rsidRPr="00E45842">
                    <w:rPr>
                      <w:rFonts w:ascii="Times New Roman" w:hAnsi="Times New Roman" w:cs="Times New Roman"/>
                      <w:bCs/>
                      <w:sz w:val="24"/>
                      <w:szCs w:val="24"/>
                      <w:lang w:eastAsia="lv-LV"/>
                    </w:rPr>
                    <w:t>Attiecīgā ties</w:t>
                  </w:r>
                  <w:r w:rsidR="00D368E7" w:rsidRPr="00E45842">
                    <w:rPr>
                      <w:rFonts w:ascii="Times New Roman" w:hAnsi="Times New Roman" w:cs="Times New Roman"/>
                      <w:bCs/>
                      <w:sz w:val="24"/>
                      <w:szCs w:val="24"/>
                      <w:lang w:eastAsia="lv-LV"/>
                    </w:rPr>
                    <w:t xml:space="preserve">ību norma izriet no </w:t>
                  </w:r>
                  <w:r w:rsidRPr="00E45842">
                    <w:rPr>
                      <w:rFonts w:ascii="Times New Roman" w:hAnsi="Times New Roman" w:cs="Times New Roman"/>
                      <w:sz w:val="24"/>
                      <w:szCs w:val="24"/>
                    </w:rPr>
                    <w:t xml:space="preserve">Eiropas Parlamenta un Padomes 2014.gada 26.novembra direktīvas 2014/104/ES </w:t>
                  </w:r>
                  <w:r w:rsidR="008843B5" w:rsidRPr="00E45842">
                    <w:rPr>
                      <w:rFonts w:ascii="Times New Roman" w:hAnsi="Times New Roman" w:cs="Times New Roman"/>
                      <w:i/>
                      <w:sz w:val="24"/>
                      <w:szCs w:val="24"/>
                    </w:rPr>
                    <w:t xml:space="preserve">par atsevišķiem noteikumiem, kuri valstu tiesībās reglamentē zaudējumu atlīdzināšanas prasības </w:t>
                  </w:r>
                  <w:r w:rsidR="008843B5" w:rsidRPr="00E45842">
                    <w:rPr>
                      <w:rFonts w:ascii="Times New Roman" w:hAnsi="Times New Roman" w:cs="Times New Roman"/>
                      <w:i/>
                      <w:sz w:val="24"/>
                      <w:szCs w:val="24"/>
                    </w:rPr>
                    <w:lastRenderedPageBreak/>
                    <w:t xml:space="preserve">par dalībvalstīm un Eiropas Savienības konkurences tiesību pārkāpumiem </w:t>
                  </w:r>
                  <w:r w:rsidR="008843B5" w:rsidRPr="00E45842">
                    <w:rPr>
                      <w:rFonts w:ascii="Times New Roman" w:hAnsi="Times New Roman" w:cs="Times New Roman"/>
                      <w:sz w:val="24"/>
                      <w:szCs w:val="24"/>
                    </w:rPr>
                    <w:t>18.panta trešās daļas.</w:t>
                  </w:r>
                </w:p>
              </w:tc>
            </w:tr>
            <w:tr w:rsidR="0057037A" w:rsidRPr="002F5130" w14:paraId="0FC36326" w14:textId="77777777" w:rsidTr="007D292A">
              <w:trPr>
                <w:trHeight w:val="465"/>
                <w:tblCellSpacing w:w="15" w:type="dxa"/>
              </w:trPr>
              <w:tc>
                <w:tcPr>
                  <w:tcW w:w="236" w:type="pct"/>
                  <w:hideMark/>
                </w:tcPr>
                <w:p w14:paraId="4ABA74B8" w14:textId="27267FF5"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3.</w:t>
                  </w:r>
                </w:p>
              </w:tc>
              <w:tc>
                <w:tcPr>
                  <w:tcW w:w="1313" w:type="pct"/>
                  <w:hideMark/>
                </w:tcPr>
                <w:p w14:paraId="5A79C924" w14:textId="727EB14A" w:rsidR="00A97E7D" w:rsidRPr="002F5130" w:rsidRDefault="00A97E7D" w:rsidP="008B232C">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Projekta izstrādē iesaistītās institūcijas</w:t>
                  </w:r>
                </w:p>
              </w:tc>
              <w:tc>
                <w:tcPr>
                  <w:tcW w:w="3386" w:type="pct"/>
                  <w:hideMark/>
                </w:tcPr>
                <w:p w14:paraId="0D26421F" w14:textId="6DC4356E" w:rsidR="00A97E7D" w:rsidRPr="002F5130" w:rsidRDefault="00636FD1" w:rsidP="00544C0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Ekonomikas ministrija, </w:t>
                  </w:r>
                  <w:r w:rsidR="00153344" w:rsidRPr="002F5130">
                    <w:rPr>
                      <w:rFonts w:ascii="Times New Roman" w:eastAsia="Times New Roman" w:hAnsi="Times New Roman" w:cs="Times New Roman"/>
                      <w:sz w:val="24"/>
                      <w:szCs w:val="24"/>
                      <w:lang w:eastAsia="lv-LV"/>
                    </w:rPr>
                    <w:t>Konkurences padome</w:t>
                  </w:r>
                </w:p>
              </w:tc>
            </w:tr>
            <w:tr w:rsidR="0057037A" w:rsidRPr="002F5130" w14:paraId="0EE3967E" w14:textId="77777777" w:rsidTr="007D292A">
              <w:trPr>
                <w:tblCellSpacing w:w="15" w:type="dxa"/>
              </w:trPr>
              <w:tc>
                <w:tcPr>
                  <w:tcW w:w="236" w:type="pct"/>
                  <w:hideMark/>
                </w:tcPr>
                <w:p w14:paraId="55BF7202" w14:textId="77777777"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313" w:type="pct"/>
                  <w:hideMark/>
                </w:tcPr>
                <w:p w14:paraId="2C85A253"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386" w:type="pct"/>
                  <w:hideMark/>
                </w:tcPr>
                <w:p w14:paraId="2ECD23CF" w14:textId="39364841" w:rsidR="00A97E7D" w:rsidRPr="002F5130" w:rsidRDefault="008B232C" w:rsidP="008B232C">
                  <w:pPr>
                    <w:pStyle w:val="Normal1"/>
                    <w:jc w:val="both"/>
                    <w:rPr>
                      <w:rFonts w:ascii="Times New Roman" w:hAnsi="Times New Roman"/>
                      <w:sz w:val="24"/>
                      <w:szCs w:val="24"/>
                    </w:rPr>
                  </w:pPr>
                  <w:r w:rsidRPr="002F5130">
                    <w:rPr>
                      <w:rFonts w:ascii="Times New Roman" w:hAnsi="Times New Roman"/>
                      <w:sz w:val="24"/>
                      <w:szCs w:val="24"/>
                    </w:rPr>
                    <w:t>Nav</w:t>
                  </w:r>
                </w:p>
              </w:tc>
            </w:tr>
          </w:tbl>
          <w:p w14:paraId="4C110E87" w14:textId="45BB1915" w:rsidR="00A97E7D" w:rsidRDefault="00A97E7D" w:rsidP="00544C0B">
            <w:pPr>
              <w:rPr>
                <w:rFonts w:ascii="Times New Roman" w:eastAsia="Times New Roman" w:hAnsi="Times New Roman" w:cs="Times New Roman"/>
                <w:sz w:val="24"/>
                <w:szCs w:val="24"/>
                <w:lang w:eastAsia="lv-LV"/>
              </w:rPr>
            </w:pPr>
          </w:p>
          <w:p w14:paraId="488D6899" w14:textId="77777777" w:rsidR="002B42F8" w:rsidRDefault="002B42F8" w:rsidP="00544C0B">
            <w:pPr>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99"/>
              <w:gridCol w:w="2845"/>
              <w:gridCol w:w="5911"/>
            </w:tblGrid>
            <w:tr w:rsidR="0057037A" w:rsidRPr="002F5130" w14:paraId="23DEDB04" w14:textId="77777777" w:rsidTr="0036293E">
              <w:trPr>
                <w:trHeight w:val="555"/>
                <w:tblCellSpacing w:w="15" w:type="dxa"/>
              </w:trPr>
              <w:tc>
                <w:tcPr>
                  <w:tcW w:w="4968" w:type="pct"/>
                  <w:gridSpan w:val="3"/>
                  <w:vAlign w:val="center"/>
                  <w:hideMark/>
                </w:tcPr>
                <w:p w14:paraId="45673812" w14:textId="77777777"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037A" w:rsidRPr="002F5130" w14:paraId="2F469FD7" w14:textId="77777777" w:rsidTr="007D292A">
              <w:trPr>
                <w:trHeight w:val="465"/>
                <w:tblCellSpacing w:w="15" w:type="dxa"/>
              </w:trPr>
              <w:tc>
                <w:tcPr>
                  <w:tcW w:w="247" w:type="pct"/>
                  <w:hideMark/>
                </w:tcPr>
                <w:p w14:paraId="3784DF14"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531" w:type="pct"/>
                  <w:hideMark/>
                </w:tcPr>
                <w:p w14:paraId="7F6EC5B3"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Sabiedrības </w:t>
                  </w:r>
                  <w:proofErr w:type="spellStart"/>
                  <w:r w:rsidRPr="002F5130">
                    <w:rPr>
                      <w:rFonts w:ascii="Times New Roman" w:eastAsia="Times New Roman" w:hAnsi="Times New Roman" w:cs="Times New Roman"/>
                      <w:sz w:val="24"/>
                      <w:szCs w:val="24"/>
                      <w:lang w:eastAsia="lv-LV"/>
                    </w:rPr>
                    <w:t>mērķgrupas</w:t>
                  </w:r>
                  <w:proofErr w:type="spellEnd"/>
                  <w:r w:rsidRPr="002F5130">
                    <w:rPr>
                      <w:rFonts w:ascii="Times New Roman" w:eastAsia="Times New Roman" w:hAnsi="Times New Roman" w:cs="Times New Roman"/>
                      <w:sz w:val="24"/>
                      <w:szCs w:val="24"/>
                      <w:lang w:eastAsia="lv-LV"/>
                    </w:rPr>
                    <w:t>, kuras tiesiskais regulējums ietekmē vai varētu ietekmēt</w:t>
                  </w:r>
                </w:p>
              </w:tc>
              <w:tc>
                <w:tcPr>
                  <w:tcW w:w="3157" w:type="pct"/>
                  <w:hideMark/>
                </w:tcPr>
                <w:p w14:paraId="57A35026" w14:textId="4932FEAE" w:rsidR="00A97E7D" w:rsidRPr="002F5130" w:rsidRDefault="00437761" w:rsidP="004A3E5A">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 xml:space="preserve">Noteikumu projektā ietvertās normas attiecas uz </w:t>
                  </w:r>
                  <w:r w:rsidR="004A3E5A">
                    <w:rPr>
                      <w:rFonts w:ascii="Times New Roman" w:hAnsi="Times New Roman" w:cs="Times New Roman"/>
                      <w:iCs/>
                      <w:sz w:val="24"/>
                      <w:szCs w:val="24"/>
                    </w:rPr>
                    <w:t>tirgus dalībniekiem</w:t>
                  </w:r>
                  <w:r w:rsidRPr="002F5130">
                    <w:rPr>
                      <w:rFonts w:ascii="Times New Roman" w:hAnsi="Times New Roman" w:cs="Times New Roman"/>
                      <w:iCs/>
                      <w:sz w:val="24"/>
                      <w:szCs w:val="24"/>
                    </w:rPr>
                    <w:t xml:space="preserve">, </w:t>
                  </w:r>
                  <w:r w:rsidR="004A3E5A">
                    <w:rPr>
                      <w:rFonts w:ascii="Times New Roman" w:hAnsi="Times New Roman" w:cs="Times New Roman"/>
                      <w:iCs/>
                      <w:sz w:val="24"/>
                      <w:szCs w:val="24"/>
                    </w:rPr>
                    <w:t xml:space="preserve">attiecībā uz </w:t>
                  </w:r>
                  <w:r w:rsidRPr="002F5130">
                    <w:rPr>
                      <w:rFonts w:ascii="Times New Roman" w:hAnsi="Times New Roman" w:cs="Times New Roman"/>
                      <w:iCs/>
                      <w:sz w:val="24"/>
                      <w:szCs w:val="24"/>
                    </w:rPr>
                    <w:t xml:space="preserve">kuriem </w:t>
                  </w:r>
                  <w:r w:rsidR="004A3E5A">
                    <w:rPr>
                      <w:rFonts w:ascii="Times New Roman" w:hAnsi="Times New Roman" w:cs="Times New Roman"/>
                      <w:iCs/>
                      <w:sz w:val="24"/>
                      <w:szCs w:val="24"/>
                    </w:rPr>
                    <w:t>Konkurences padome pieņem lēmumu</w:t>
                  </w:r>
                  <w:r w:rsidR="009552CA">
                    <w:rPr>
                      <w:rFonts w:ascii="Times New Roman" w:hAnsi="Times New Roman" w:cs="Times New Roman"/>
                      <w:iCs/>
                      <w:sz w:val="24"/>
                      <w:szCs w:val="24"/>
                    </w:rPr>
                    <w:t>s</w:t>
                  </w:r>
                  <w:r w:rsidR="004A3E5A">
                    <w:rPr>
                      <w:rFonts w:ascii="Times New Roman" w:hAnsi="Times New Roman" w:cs="Times New Roman"/>
                      <w:iCs/>
                      <w:sz w:val="24"/>
                      <w:szCs w:val="24"/>
                    </w:rPr>
                    <w:t xml:space="preserve"> par naudas soda </w:t>
                  </w:r>
                  <w:r w:rsidR="004A3E5A" w:rsidRPr="00473ECF">
                    <w:rPr>
                      <w:rFonts w:ascii="Times New Roman" w:hAnsi="Times New Roman" w:cs="Times New Roman"/>
                      <w:iCs/>
                      <w:sz w:val="24"/>
                      <w:szCs w:val="24"/>
                    </w:rPr>
                    <w:t>uzlik</w:t>
                  </w:r>
                  <w:r w:rsidR="00473ECF" w:rsidRPr="00473ECF">
                    <w:rPr>
                      <w:rFonts w:ascii="Times New Roman" w:hAnsi="Times New Roman" w:cs="Times New Roman"/>
                      <w:iCs/>
                      <w:sz w:val="24"/>
                      <w:szCs w:val="24"/>
                    </w:rPr>
                    <w:t xml:space="preserve">šanu vai </w:t>
                  </w:r>
                  <w:r w:rsidR="00473ECF" w:rsidRPr="00473ECF">
                    <w:rPr>
                      <w:rFonts w:ascii="Times New Roman" w:hAnsi="Times New Roman" w:cs="Times New Roman"/>
                      <w:sz w:val="24"/>
                      <w:szCs w:val="24"/>
                    </w:rPr>
                    <w:t>iecietības programmas ietvaros atbrīvo no naudas soda un samazina naudas sodu</w:t>
                  </w:r>
                  <w:r w:rsidR="00473ECF">
                    <w:rPr>
                      <w:rFonts w:ascii="Times New Roman" w:hAnsi="Times New Roman" w:cs="Times New Roman"/>
                      <w:sz w:val="24"/>
                      <w:szCs w:val="24"/>
                    </w:rPr>
                    <w:t>.</w:t>
                  </w:r>
                </w:p>
              </w:tc>
            </w:tr>
            <w:tr w:rsidR="0057037A" w:rsidRPr="002F5130" w14:paraId="53E7E011" w14:textId="77777777" w:rsidTr="007D292A">
              <w:trPr>
                <w:trHeight w:val="510"/>
                <w:tblCellSpacing w:w="15" w:type="dxa"/>
              </w:trPr>
              <w:tc>
                <w:tcPr>
                  <w:tcW w:w="247" w:type="pct"/>
                  <w:hideMark/>
                </w:tcPr>
                <w:p w14:paraId="436ED35F"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531" w:type="pct"/>
                  <w:hideMark/>
                </w:tcPr>
                <w:p w14:paraId="0DAFBC4E"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Tiesiskā regulējuma ietekme uz tautsaimniecību un administratīvo slogu</w:t>
                  </w:r>
                </w:p>
              </w:tc>
              <w:tc>
                <w:tcPr>
                  <w:tcW w:w="3157" w:type="pct"/>
                  <w:hideMark/>
                </w:tcPr>
                <w:p w14:paraId="29D7B92E" w14:textId="38C0F5C9" w:rsidR="00A45217" w:rsidRPr="002F5130" w:rsidRDefault="00DE4B04" w:rsidP="00F46E5E">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Projekts šo jomu neskar</w:t>
                  </w:r>
                </w:p>
              </w:tc>
            </w:tr>
            <w:tr w:rsidR="0057037A" w:rsidRPr="002F5130" w14:paraId="0CE5EC06" w14:textId="77777777" w:rsidTr="007D292A">
              <w:trPr>
                <w:trHeight w:val="510"/>
                <w:tblCellSpacing w:w="15" w:type="dxa"/>
              </w:trPr>
              <w:tc>
                <w:tcPr>
                  <w:tcW w:w="247" w:type="pct"/>
                  <w:hideMark/>
                </w:tcPr>
                <w:p w14:paraId="018BDB86"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1531" w:type="pct"/>
                  <w:hideMark/>
                </w:tcPr>
                <w:p w14:paraId="6D715402"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Administratīvo izmaksu monetārs novērtējums</w:t>
                  </w:r>
                </w:p>
              </w:tc>
              <w:tc>
                <w:tcPr>
                  <w:tcW w:w="3157" w:type="pct"/>
                  <w:hideMark/>
                </w:tcPr>
                <w:p w14:paraId="32A8B2F3" w14:textId="5DA1F669" w:rsidR="00171D2E" w:rsidRPr="002F5130" w:rsidRDefault="00DE4B04" w:rsidP="005F2931">
                  <w:pPr>
                    <w:pStyle w:val="naiskr"/>
                    <w:spacing w:before="0" w:after="80"/>
                    <w:ind w:left="57" w:right="57"/>
                    <w:jc w:val="both"/>
                    <w:rPr>
                      <w:iCs/>
                    </w:rPr>
                  </w:pPr>
                  <w:r w:rsidRPr="002F5130">
                    <w:rPr>
                      <w:iCs/>
                    </w:rPr>
                    <w:t>Projekts šo jomu neskar</w:t>
                  </w:r>
                </w:p>
              </w:tc>
            </w:tr>
            <w:tr w:rsidR="0057037A" w:rsidRPr="002F5130" w14:paraId="2292874A" w14:textId="77777777" w:rsidTr="007D292A">
              <w:trPr>
                <w:trHeight w:val="345"/>
                <w:tblCellSpacing w:w="15" w:type="dxa"/>
              </w:trPr>
              <w:tc>
                <w:tcPr>
                  <w:tcW w:w="247" w:type="pct"/>
                  <w:hideMark/>
                </w:tcPr>
                <w:p w14:paraId="6B9C4A30" w14:textId="4D27EBE2"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531" w:type="pct"/>
                  <w:hideMark/>
                </w:tcPr>
                <w:p w14:paraId="65D7137D"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157" w:type="pct"/>
                  <w:hideMark/>
                </w:tcPr>
                <w:p w14:paraId="140518BB" w14:textId="01644F42" w:rsidR="00A97E7D" w:rsidRPr="002F5130" w:rsidRDefault="007522CA" w:rsidP="008B232C">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14:paraId="447564F5" w14:textId="0A947375" w:rsidR="00A97E7D" w:rsidRDefault="00A97E7D" w:rsidP="003D6887">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w:t>
            </w:r>
          </w:p>
          <w:p w14:paraId="18FF8836" w14:textId="77777777" w:rsidR="002B42F8" w:rsidRDefault="002B42F8" w:rsidP="003D6887">
            <w:pPr>
              <w:rPr>
                <w:rFonts w:ascii="Times New Roman" w:eastAsia="Times New Roman" w:hAnsi="Times New Roman" w:cs="Times New Roman"/>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33"/>
              <w:gridCol w:w="2760"/>
              <w:gridCol w:w="6025"/>
            </w:tblGrid>
            <w:tr w:rsidR="00424954" w:rsidRPr="00900140" w14:paraId="738E71CF" w14:textId="77777777" w:rsidTr="00CC2BA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DD08515" w14:textId="77777777" w:rsidR="00424954" w:rsidRPr="00900140" w:rsidRDefault="00424954" w:rsidP="00424954">
                  <w:pPr>
                    <w:ind w:firstLine="300"/>
                    <w:jc w:val="center"/>
                    <w:rPr>
                      <w:rFonts w:ascii="Times New Roman" w:eastAsia="Times New Roman" w:hAnsi="Times New Roman"/>
                      <w:b/>
                      <w:bCs/>
                      <w:sz w:val="24"/>
                      <w:szCs w:val="24"/>
                      <w:lang w:eastAsia="lv-LV"/>
                    </w:rPr>
                  </w:pPr>
                  <w:r w:rsidRPr="00900140">
                    <w:rPr>
                      <w:rFonts w:ascii="Times New Roman" w:eastAsia="Times New Roman" w:hAnsi="Times New Roman"/>
                      <w:b/>
                      <w:bCs/>
                      <w:sz w:val="24"/>
                      <w:szCs w:val="24"/>
                      <w:lang w:eastAsia="lv-LV"/>
                    </w:rPr>
                    <w:t>V. Tiesību akta projekta atbilstība Latvijas Republikas starptautiskajām saistībām</w:t>
                  </w:r>
                </w:p>
              </w:tc>
            </w:tr>
            <w:tr w:rsidR="00424954" w:rsidRPr="00900140" w14:paraId="38C111C3" w14:textId="77777777" w:rsidTr="007D292A">
              <w:tc>
                <w:tcPr>
                  <w:tcW w:w="235" w:type="pct"/>
                  <w:tcBorders>
                    <w:top w:val="outset" w:sz="6" w:space="0" w:color="414142"/>
                    <w:left w:val="outset" w:sz="6" w:space="0" w:color="414142"/>
                    <w:bottom w:val="outset" w:sz="6" w:space="0" w:color="414142"/>
                    <w:right w:val="outset" w:sz="6" w:space="0" w:color="414142"/>
                  </w:tcBorders>
                  <w:hideMark/>
                </w:tcPr>
                <w:p w14:paraId="3AB103B7" w14:textId="77777777" w:rsidR="00424954" w:rsidRPr="00900140" w:rsidRDefault="00424954" w:rsidP="00424954">
                  <w:pPr>
                    <w:jc w:val="both"/>
                    <w:rPr>
                      <w:rFonts w:ascii="Times New Roman" w:eastAsia="Times New Roman" w:hAnsi="Times New Roman"/>
                      <w:sz w:val="24"/>
                      <w:szCs w:val="24"/>
                      <w:lang w:eastAsia="lv-LV"/>
                    </w:rPr>
                  </w:pPr>
                  <w:r w:rsidRPr="00900140">
                    <w:rPr>
                      <w:rFonts w:ascii="Times New Roman" w:eastAsia="Times New Roman" w:hAnsi="Times New Roman"/>
                      <w:sz w:val="24"/>
                      <w:szCs w:val="24"/>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14:paraId="33E86483" w14:textId="77777777" w:rsidR="00424954" w:rsidRPr="00900140" w:rsidRDefault="00424954" w:rsidP="00424954">
                  <w:pPr>
                    <w:jc w:val="both"/>
                    <w:rPr>
                      <w:rFonts w:ascii="Times New Roman" w:eastAsia="Times New Roman" w:hAnsi="Times New Roman"/>
                      <w:sz w:val="24"/>
                      <w:szCs w:val="24"/>
                      <w:lang w:eastAsia="lv-LV"/>
                    </w:rPr>
                  </w:pPr>
                  <w:r w:rsidRPr="00900140">
                    <w:rPr>
                      <w:rFonts w:ascii="Times New Roman" w:eastAsia="Times New Roman" w:hAnsi="Times New Roman"/>
                      <w:sz w:val="24"/>
                      <w:szCs w:val="24"/>
                      <w:lang w:eastAsia="lv-LV"/>
                    </w:rPr>
                    <w:t>Saistības pret Eiropas Savienību</w:t>
                  </w:r>
                </w:p>
              </w:tc>
              <w:tc>
                <w:tcPr>
                  <w:tcW w:w="3268" w:type="pct"/>
                  <w:tcBorders>
                    <w:top w:val="outset" w:sz="6" w:space="0" w:color="414142"/>
                    <w:left w:val="outset" w:sz="6" w:space="0" w:color="414142"/>
                    <w:bottom w:val="outset" w:sz="6" w:space="0" w:color="414142"/>
                    <w:right w:val="outset" w:sz="6" w:space="0" w:color="414142"/>
                  </w:tcBorders>
                  <w:hideMark/>
                </w:tcPr>
                <w:p w14:paraId="7564D80B" w14:textId="35BE1152" w:rsidR="00424954" w:rsidRPr="00900140" w:rsidRDefault="00424954" w:rsidP="00424954">
                  <w:pPr>
                    <w:jc w:val="both"/>
                    <w:rPr>
                      <w:rFonts w:ascii="Times New Roman" w:eastAsia="Times New Roman" w:hAnsi="Times New Roman"/>
                      <w:sz w:val="24"/>
                      <w:szCs w:val="24"/>
                      <w:lang w:eastAsia="lv-LV"/>
                    </w:rPr>
                  </w:pPr>
                  <w:r w:rsidRPr="00900140">
                    <w:rPr>
                      <w:rFonts w:ascii="Times New Roman" w:eastAsia="Times New Roman" w:hAnsi="Times New Roman"/>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r w:rsidRPr="00900140">
                    <w:rPr>
                      <w:rFonts w:ascii="Times New Roman" w:eastAsia="Times New Roman" w:hAnsi="Times New Roman"/>
                      <w:bCs/>
                      <w:sz w:val="24"/>
                      <w:szCs w:val="24"/>
                      <w:lang w:eastAsia="lv-LV"/>
                    </w:rPr>
                    <w:t xml:space="preserve">. Saskaņā ar </w:t>
                  </w:r>
                  <w:r w:rsidRPr="00900140">
                    <w:rPr>
                      <w:rFonts w:ascii="Times New Roman" w:eastAsia="Times New Roman" w:hAnsi="Times New Roman"/>
                      <w:sz w:val="24"/>
                      <w:szCs w:val="24"/>
                      <w:lang w:eastAsia="lv-LV"/>
                    </w:rPr>
                    <w:t>Direktīvas 2014/104/ES</w:t>
                  </w:r>
                  <w:r w:rsidRPr="00900140">
                    <w:rPr>
                      <w:rFonts w:ascii="Times New Roman" w:eastAsia="Times New Roman" w:hAnsi="Times New Roman"/>
                      <w:bCs/>
                      <w:sz w:val="24"/>
                      <w:szCs w:val="24"/>
                      <w:lang w:eastAsia="lv-LV"/>
                    </w:rPr>
                    <w:t xml:space="preserve"> 27.pantu tās ieviešanas termiņš ir 2016.gada 27.decembris</w:t>
                  </w:r>
                  <w:r w:rsidR="007D292A">
                    <w:rPr>
                      <w:rFonts w:ascii="Times New Roman" w:eastAsia="Times New Roman" w:hAnsi="Times New Roman"/>
                      <w:bCs/>
                      <w:sz w:val="24"/>
                      <w:szCs w:val="24"/>
                      <w:lang w:eastAsia="lv-LV"/>
                    </w:rPr>
                    <w:t>.</w:t>
                  </w:r>
                </w:p>
              </w:tc>
            </w:tr>
            <w:tr w:rsidR="00424954" w:rsidRPr="00900140" w14:paraId="0805245D" w14:textId="77777777" w:rsidTr="007D292A">
              <w:tc>
                <w:tcPr>
                  <w:tcW w:w="235" w:type="pct"/>
                  <w:tcBorders>
                    <w:top w:val="outset" w:sz="6" w:space="0" w:color="414142"/>
                    <w:left w:val="outset" w:sz="6" w:space="0" w:color="414142"/>
                    <w:bottom w:val="outset" w:sz="6" w:space="0" w:color="414142"/>
                    <w:right w:val="outset" w:sz="6" w:space="0" w:color="414142"/>
                  </w:tcBorders>
                  <w:hideMark/>
                </w:tcPr>
                <w:p w14:paraId="61D331BE" w14:textId="77777777" w:rsidR="00424954" w:rsidRPr="00900140" w:rsidRDefault="00424954" w:rsidP="00424954">
                  <w:pPr>
                    <w:jc w:val="both"/>
                    <w:rPr>
                      <w:rFonts w:ascii="Times New Roman" w:eastAsia="Times New Roman" w:hAnsi="Times New Roman"/>
                      <w:sz w:val="24"/>
                      <w:szCs w:val="24"/>
                      <w:lang w:eastAsia="lv-LV"/>
                    </w:rPr>
                  </w:pPr>
                  <w:r w:rsidRPr="00900140">
                    <w:rPr>
                      <w:rFonts w:ascii="Times New Roman" w:eastAsia="Times New Roman" w:hAnsi="Times New Roman"/>
                      <w:sz w:val="24"/>
                      <w:szCs w:val="24"/>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14:paraId="7E281FEF" w14:textId="77777777" w:rsidR="00424954" w:rsidRPr="00900140" w:rsidRDefault="00424954" w:rsidP="00424954">
                  <w:pPr>
                    <w:jc w:val="both"/>
                    <w:rPr>
                      <w:rFonts w:ascii="Times New Roman" w:eastAsia="Times New Roman" w:hAnsi="Times New Roman"/>
                      <w:sz w:val="24"/>
                      <w:szCs w:val="24"/>
                      <w:lang w:eastAsia="lv-LV"/>
                    </w:rPr>
                  </w:pPr>
                  <w:r w:rsidRPr="00900140">
                    <w:rPr>
                      <w:rFonts w:ascii="Times New Roman" w:eastAsia="Times New Roman" w:hAnsi="Times New Roman"/>
                      <w:sz w:val="24"/>
                      <w:szCs w:val="24"/>
                      <w:lang w:eastAsia="lv-LV"/>
                    </w:rPr>
                    <w:t>Citas starptautiskās saistības</w:t>
                  </w:r>
                </w:p>
              </w:tc>
              <w:tc>
                <w:tcPr>
                  <w:tcW w:w="3268" w:type="pct"/>
                  <w:tcBorders>
                    <w:top w:val="outset" w:sz="6" w:space="0" w:color="414142"/>
                    <w:left w:val="outset" w:sz="6" w:space="0" w:color="414142"/>
                    <w:bottom w:val="outset" w:sz="6" w:space="0" w:color="414142"/>
                    <w:right w:val="outset" w:sz="6" w:space="0" w:color="414142"/>
                  </w:tcBorders>
                  <w:hideMark/>
                </w:tcPr>
                <w:p w14:paraId="645E12D3" w14:textId="77777777" w:rsidR="00424954" w:rsidRPr="00900140" w:rsidRDefault="00424954" w:rsidP="00424954">
                  <w:pPr>
                    <w:ind w:firstLine="14"/>
                    <w:jc w:val="both"/>
                    <w:rPr>
                      <w:rFonts w:ascii="Times New Roman" w:hAnsi="Times New Roman"/>
                      <w:sz w:val="24"/>
                      <w:szCs w:val="24"/>
                      <w:lang w:eastAsia="lv-LV"/>
                    </w:rPr>
                  </w:pPr>
                  <w:r w:rsidRPr="00900140">
                    <w:rPr>
                      <w:rFonts w:ascii="Times New Roman" w:hAnsi="Times New Roman"/>
                      <w:sz w:val="24"/>
                      <w:szCs w:val="24"/>
                      <w:lang w:eastAsia="lv-LV"/>
                    </w:rPr>
                    <w:t>Projekts šo jomu neskar</w:t>
                  </w:r>
                </w:p>
              </w:tc>
            </w:tr>
            <w:tr w:rsidR="00424954" w:rsidRPr="00900140" w14:paraId="43284C5A" w14:textId="77777777" w:rsidTr="007D292A">
              <w:tc>
                <w:tcPr>
                  <w:tcW w:w="235" w:type="pct"/>
                  <w:tcBorders>
                    <w:top w:val="outset" w:sz="6" w:space="0" w:color="414142"/>
                    <w:left w:val="outset" w:sz="6" w:space="0" w:color="414142"/>
                    <w:bottom w:val="outset" w:sz="6" w:space="0" w:color="414142"/>
                    <w:right w:val="outset" w:sz="6" w:space="0" w:color="414142"/>
                  </w:tcBorders>
                  <w:hideMark/>
                </w:tcPr>
                <w:p w14:paraId="4850B2FD" w14:textId="77777777" w:rsidR="00424954" w:rsidRPr="00900140" w:rsidRDefault="00424954" w:rsidP="00424954">
                  <w:pPr>
                    <w:jc w:val="both"/>
                    <w:rPr>
                      <w:rFonts w:ascii="Times New Roman" w:eastAsia="Times New Roman" w:hAnsi="Times New Roman"/>
                      <w:sz w:val="24"/>
                      <w:szCs w:val="24"/>
                      <w:lang w:eastAsia="lv-LV"/>
                    </w:rPr>
                  </w:pPr>
                  <w:r w:rsidRPr="00900140">
                    <w:rPr>
                      <w:rFonts w:ascii="Times New Roman" w:eastAsia="Times New Roman" w:hAnsi="Times New Roman"/>
                      <w:sz w:val="24"/>
                      <w:szCs w:val="24"/>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14:paraId="5AEF7E62" w14:textId="77777777" w:rsidR="00424954" w:rsidRPr="00900140" w:rsidRDefault="00424954" w:rsidP="00424954">
                  <w:pPr>
                    <w:jc w:val="both"/>
                    <w:rPr>
                      <w:rFonts w:ascii="Times New Roman" w:eastAsia="Times New Roman" w:hAnsi="Times New Roman"/>
                      <w:sz w:val="24"/>
                      <w:szCs w:val="24"/>
                      <w:lang w:eastAsia="lv-LV"/>
                    </w:rPr>
                  </w:pPr>
                  <w:r w:rsidRPr="00900140">
                    <w:rPr>
                      <w:rFonts w:ascii="Times New Roman" w:eastAsia="Times New Roman" w:hAnsi="Times New Roman"/>
                      <w:sz w:val="24"/>
                      <w:szCs w:val="24"/>
                      <w:lang w:eastAsia="lv-LV"/>
                    </w:rPr>
                    <w:t>Cita informācija</w:t>
                  </w:r>
                </w:p>
              </w:tc>
              <w:tc>
                <w:tcPr>
                  <w:tcW w:w="3268" w:type="pct"/>
                  <w:tcBorders>
                    <w:top w:val="outset" w:sz="6" w:space="0" w:color="414142"/>
                    <w:left w:val="outset" w:sz="6" w:space="0" w:color="414142"/>
                    <w:bottom w:val="outset" w:sz="6" w:space="0" w:color="414142"/>
                    <w:right w:val="outset" w:sz="6" w:space="0" w:color="414142"/>
                  </w:tcBorders>
                  <w:hideMark/>
                </w:tcPr>
                <w:p w14:paraId="30D053B6" w14:textId="77777777" w:rsidR="00424954" w:rsidRPr="00900140" w:rsidRDefault="00424954" w:rsidP="00424954">
                  <w:pPr>
                    <w:ind w:firstLine="14"/>
                    <w:jc w:val="both"/>
                    <w:rPr>
                      <w:rFonts w:ascii="Times New Roman" w:eastAsia="Times New Roman" w:hAnsi="Times New Roman"/>
                      <w:sz w:val="24"/>
                      <w:szCs w:val="24"/>
                      <w:lang w:eastAsia="lv-LV"/>
                    </w:rPr>
                  </w:pPr>
                  <w:r>
                    <w:rPr>
                      <w:rFonts w:ascii="Times New Roman" w:hAnsi="Times New Roman"/>
                      <w:sz w:val="24"/>
                      <w:szCs w:val="24"/>
                      <w:lang w:eastAsia="lv-LV"/>
                    </w:rPr>
                    <w:t>Nav</w:t>
                  </w:r>
                </w:p>
              </w:tc>
            </w:tr>
          </w:tbl>
          <w:p w14:paraId="7C05ED5C" w14:textId="77777777" w:rsidR="00424954" w:rsidRDefault="00424954" w:rsidP="00424954"/>
          <w:p w14:paraId="1E193831" w14:textId="77777777" w:rsidR="002B42F8" w:rsidRDefault="002B42F8" w:rsidP="00424954"/>
          <w:tbl>
            <w:tblPr>
              <w:tblW w:w="4983"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014"/>
              <w:gridCol w:w="3300"/>
              <w:gridCol w:w="2011"/>
              <w:gridCol w:w="1893"/>
            </w:tblGrid>
            <w:tr w:rsidR="00424954" w:rsidRPr="00900140" w14:paraId="5850CCFA" w14:textId="77777777" w:rsidTr="00CC2BA9">
              <w:trPr>
                <w:cantSplit/>
                <w:trHeight w:val="523"/>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0A6FEC5E" w14:textId="77777777" w:rsidR="00424954" w:rsidRPr="00900140" w:rsidRDefault="00424954" w:rsidP="00424954">
                  <w:pPr>
                    <w:ind w:left="57"/>
                    <w:jc w:val="center"/>
                    <w:rPr>
                      <w:rFonts w:ascii="Times New Roman" w:hAnsi="Times New Roman"/>
                      <w:b/>
                      <w:sz w:val="24"/>
                      <w:szCs w:val="24"/>
                      <w:lang w:eastAsia="lv-LV"/>
                    </w:rPr>
                  </w:pPr>
                </w:p>
                <w:p w14:paraId="02CB9510" w14:textId="77777777" w:rsidR="00424954" w:rsidRPr="00900140" w:rsidRDefault="00424954" w:rsidP="00424954">
                  <w:pPr>
                    <w:jc w:val="center"/>
                    <w:rPr>
                      <w:rFonts w:ascii="Times New Roman" w:hAnsi="Times New Roman"/>
                      <w:b/>
                      <w:sz w:val="24"/>
                      <w:szCs w:val="24"/>
                      <w:lang w:eastAsia="lv-LV"/>
                    </w:rPr>
                  </w:pPr>
                  <w:r w:rsidRPr="00900140">
                    <w:rPr>
                      <w:rFonts w:ascii="Times New Roman" w:hAnsi="Times New Roman"/>
                      <w:b/>
                      <w:sz w:val="24"/>
                      <w:szCs w:val="24"/>
                      <w:lang w:eastAsia="lv-LV"/>
                    </w:rPr>
                    <w:t>1.tabula</w:t>
                  </w:r>
                </w:p>
                <w:p w14:paraId="57224228" w14:textId="77777777" w:rsidR="00424954" w:rsidRPr="00900140" w:rsidRDefault="00424954" w:rsidP="00424954">
                  <w:pPr>
                    <w:ind w:left="57"/>
                    <w:jc w:val="center"/>
                    <w:rPr>
                      <w:rFonts w:ascii="Times New Roman" w:hAnsi="Times New Roman"/>
                      <w:b/>
                      <w:sz w:val="24"/>
                      <w:szCs w:val="24"/>
                      <w:lang w:eastAsia="lv-LV"/>
                    </w:rPr>
                  </w:pPr>
                  <w:r w:rsidRPr="00900140">
                    <w:rPr>
                      <w:rFonts w:ascii="Times New Roman" w:hAnsi="Times New Roman"/>
                      <w:b/>
                      <w:sz w:val="24"/>
                      <w:szCs w:val="24"/>
                      <w:lang w:eastAsia="lv-LV"/>
                    </w:rPr>
                    <w:t>Tiesību akta projekta atbilstība ES tiesību aktiem</w:t>
                  </w:r>
                </w:p>
              </w:tc>
            </w:tr>
            <w:tr w:rsidR="00424954" w:rsidRPr="00900140" w14:paraId="5D62FD4A" w14:textId="77777777" w:rsidTr="00CC2BA9">
              <w:trPr>
                <w:cantSplit/>
              </w:trPr>
              <w:tc>
                <w:tcPr>
                  <w:tcW w:w="1092"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ED47880" w14:textId="77777777" w:rsidR="00424954" w:rsidRPr="00900140" w:rsidRDefault="00424954" w:rsidP="00424954">
                  <w:pPr>
                    <w:ind w:left="57"/>
                    <w:jc w:val="both"/>
                    <w:rPr>
                      <w:rFonts w:ascii="Times New Roman" w:hAnsi="Times New Roman"/>
                      <w:sz w:val="24"/>
                      <w:szCs w:val="24"/>
                      <w:lang w:eastAsia="lv-LV"/>
                    </w:rPr>
                  </w:pPr>
                  <w:r w:rsidRPr="00900140">
                    <w:rPr>
                      <w:rFonts w:ascii="Times New Roman" w:hAnsi="Times New Roman"/>
                      <w:sz w:val="24"/>
                      <w:szCs w:val="24"/>
                      <w:lang w:eastAsia="lv-LV"/>
                    </w:rPr>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81F8CA2" w14:textId="77777777" w:rsidR="00424954" w:rsidRPr="00900140" w:rsidRDefault="00424954" w:rsidP="00424954">
                  <w:pPr>
                    <w:ind w:left="57"/>
                    <w:jc w:val="both"/>
                    <w:rPr>
                      <w:rFonts w:ascii="Times New Roman" w:hAnsi="Times New Roman"/>
                      <w:sz w:val="24"/>
                      <w:szCs w:val="24"/>
                      <w:lang w:eastAsia="lv-LV"/>
                    </w:rPr>
                  </w:pPr>
                  <w:r w:rsidRPr="00900140">
                    <w:rPr>
                      <w:rFonts w:ascii="Times New Roman" w:eastAsia="Times New Roman" w:hAnsi="Times New Roman"/>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p>
              </w:tc>
            </w:tr>
            <w:tr w:rsidR="00424954" w:rsidRPr="00900140" w14:paraId="7811F81E" w14:textId="77777777" w:rsidTr="00CC2BA9">
              <w:trPr>
                <w:cantSplit/>
              </w:trPr>
              <w:tc>
                <w:tcPr>
                  <w:tcW w:w="1092"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99BE2F0" w14:textId="77777777" w:rsidR="00424954" w:rsidRPr="00900140" w:rsidRDefault="00424954" w:rsidP="00424954">
                  <w:pPr>
                    <w:ind w:left="57"/>
                    <w:jc w:val="center"/>
                    <w:rPr>
                      <w:rFonts w:ascii="Times New Roman" w:hAnsi="Times New Roman"/>
                      <w:sz w:val="24"/>
                      <w:szCs w:val="24"/>
                      <w:lang w:eastAsia="lv-LV"/>
                    </w:rPr>
                  </w:pPr>
                  <w:r w:rsidRPr="00900140">
                    <w:rPr>
                      <w:rFonts w:ascii="Times New Roman" w:hAnsi="Times New Roman"/>
                      <w:sz w:val="24"/>
                      <w:szCs w:val="24"/>
                      <w:lang w:eastAsia="lv-LV"/>
                    </w:rPr>
                    <w:t>A</w:t>
                  </w:r>
                </w:p>
              </w:tc>
              <w:tc>
                <w:tcPr>
                  <w:tcW w:w="1790"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C5DEFF9" w14:textId="77777777" w:rsidR="00424954" w:rsidRPr="00900140" w:rsidRDefault="00424954" w:rsidP="00424954">
                  <w:pPr>
                    <w:ind w:left="57"/>
                    <w:jc w:val="center"/>
                    <w:rPr>
                      <w:rFonts w:ascii="Times New Roman" w:hAnsi="Times New Roman"/>
                      <w:sz w:val="24"/>
                      <w:szCs w:val="24"/>
                      <w:lang w:eastAsia="lv-LV"/>
                    </w:rPr>
                  </w:pPr>
                  <w:r w:rsidRPr="00900140">
                    <w:rPr>
                      <w:rFonts w:ascii="Times New Roman" w:hAnsi="Times New Roman"/>
                      <w:sz w:val="24"/>
                      <w:szCs w:val="24"/>
                      <w:lang w:eastAsia="lv-LV"/>
                    </w:rPr>
                    <w:t>B</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ACBF4AE" w14:textId="77777777" w:rsidR="00424954" w:rsidRPr="00900140" w:rsidRDefault="00424954" w:rsidP="00424954">
                  <w:pPr>
                    <w:ind w:left="57"/>
                    <w:jc w:val="center"/>
                    <w:rPr>
                      <w:rFonts w:ascii="Times New Roman" w:hAnsi="Times New Roman"/>
                      <w:sz w:val="24"/>
                      <w:szCs w:val="24"/>
                      <w:lang w:eastAsia="lv-LV"/>
                    </w:rPr>
                  </w:pPr>
                  <w:r w:rsidRPr="00900140">
                    <w:rPr>
                      <w:rFonts w:ascii="Times New Roman" w:hAnsi="Times New Roman"/>
                      <w:sz w:val="24"/>
                      <w:szCs w:val="24"/>
                      <w:lang w:eastAsia="lv-LV"/>
                    </w:rPr>
                    <w:t>C</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6D768D27" w14:textId="77777777" w:rsidR="00424954" w:rsidRPr="00900140" w:rsidRDefault="00424954" w:rsidP="00424954">
                  <w:pPr>
                    <w:ind w:left="57"/>
                    <w:jc w:val="center"/>
                    <w:rPr>
                      <w:rFonts w:ascii="Times New Roman" w:hAnsi="Times New Roman"/>
                      <w:sz w:val="24"/>
                      <w:szCs w:val="24"/>
                      <w:lang w:eastAsia="lv-LV"/>
                    </w:rPr>
                  </w:pPr>
                  <w:r w:rsidRPr="00900140">
                    <w:rPr>
                      <w:rFonts w:ascii="Times New Roman" w:hAnsi="Times New Roman"/>
                      <w:sz w:val="24"/>
                      <w:szCs w:val="24"/>
                      <w:lang w:eastAsia="lv-LV"/>
                    </w:rPr>
                    <w:t>D</w:t>
                  </w:r>
                </w:p>
              </w:tc>
            </w:tr>
            <w:tr w:rsidR="00424954" w:rsidRPr="00900140" w14:paraId="2C4DEE43" w14:textId="77777777" w:rsidTr="00CC2BA9">
              <w:trPr>
                <w:cantSplit/>
                <w:trHeight w:val="6820"/>
              </w:trPr>
              <w:tc>
                <w:tcPr>
                  <w:tcW w:w="1092"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46886EA" w14:textId="77777777" w:rsidR="00424954" w:rsidRPr="002B42F8" w:rsidRDefault="00424954" w:rsidP="00424954">
                  <w:pPr>
                    <w:jc w:val="both"/>
                    <w:rPr>
                      <w:rFonts w:ascii="Times New Roman" w:hAnsi="Times New Roman"/>
                      <w:spacing w:val="-3"/>
                      <w:sz w:val="24"/>
                      <w:szCs w:val="24"/>
                      <w:lang w:eastAsia="lv-LV"/>
                    </w:rPr>
                  </w:pPr>
                  <w:r w:rsidRPr="002B42F8">
                    <w:rPr>
                      <w:rFonts w:ascii="Times New Roman" w:hAnsi="Times New Roman"/>
                      <w:spacing w:val="-3"/>
                      <w:sz w:val="24"/>
                      <w:szCs w:val="24"/>
                      <w:lang w:eastAsia="lv-LV"/>
                    </w:rPr>
                    <w:lastRenderedPageBreak/>
                    <w:t>Attiecīgā ES tiesību akta panta numurs (uzskaitot katru tiesību akta vienību – pantu, daļu, punktu, apakšpunktu)</w:t>
                  </w:r>
                </w:p>
              </w:tc>
              <w:tc>
                <w:tcPr>
                  <w:tcW w:w="1790"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90CAE21" w14:textId="77777777" w:rsidR="00424954" w:rsidRPr="002B42F8" w:rsidRDefault="00424954" w:rsidP="00424954">
                  <w:pPr>
                    <w:jc w:val="both"/>
                    <w:rPr>
                      <w:rFonts w:ascii="Times New Roman" w:hAnsi="Times New Roman"/>
                      <w:spacing w:val="-3"/>
                      <w:sz w:val="24"/>
                      <w:szCs w:val="24"/>
                      <w:lang w:eastAsia="lv-LV"/>
                    </w:rPr>
                  </w:pPr>
                  <w:r w:rsidRPr="002B42F8">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2B42F8">
                      <w:rPr>
                        <w:rFonts w:ascii="Times New Roman" w:hAnsi="Times New Roman"/>
                        <w:spacing w:val="-3"/>
                        <w:sz w:val="24"/>
                        <w:szCs w:val="24"/>
                        <w:lang w:eastAsia="lv-LV"/>
                      </w:rPr>
                      <w:t>akts</w:t>
                    </w:r>
                  </w:smartTag>
                  <w:r w:rsidRPr="002B42F8">
                    <w:rPr>
                      <w:rFonts w:ascii="Times New Roman" w:hAnsi="Times New Roman"/>
                      <w:spacing w:val="-3"/>
                      <w:sz w:val="24"/>
                      <w:szCs w:val="24"/>
                      <w:lang w:eastAsia="lv-LV"/>
                    </w:rPr>
                    <w:t>, kur attiecīgā ES tiesību akta vienība pārņemta vai ieviesta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680E9C7" w14:textId="77777777" w:rsidR="00424954" w:rsidRPr="002B42F8" w:rsidRDefault="00424954" w:rsidP="00424954">
                  <w:pPr>
                    <w:jc w:val="both"/>
                    <w:rPr>
                      <w:rFonts w:ascii="Times New Roman" w:hAnsi="Times New Roman"/>
                      <w:spacing w:val="-3"/>
                      <w:sz w:val="24"/>
                      <w:szCs w:val="24"/>
                      <w:lang w:eastAsia="lv-LV"/>
                    </w:rPr>
                  </w:pPr>
                  <w:r w:rsidRPr="002B42F8">
                    <w:rPr>
                      <w:rFonts w:ascii="Times New Roman" w:hAnsi="Times New Roman"/>
                      <w:spacing w:val="-3"/>
                      <w:sz w:val="24"/>
                      <w:szCs w:val="24"/>
                      <w:lang w:eastAsia="lv-LV"/>
                    </w:rPr>
                    <w:t>Informācija par to, vai šīs tabulas A ailē minētās ES tiesību akta vienības tiek pārņemtas vai ieviestas pilnībā vai daļēji.</w:t>
                  </w:r>
                </w:p>
                <w:p w14:paraId="6A953D33" w14:textId="77777777" w:rsidR="00424954" w:rsidRPr="002B42F8" w:rsidRDefault="00424954" w:rsidP="00424954">
                  <w:pPr>
                    <w:ind w:left="57"/>
                    <w:jc w:val="both"/>
                    <w:rPr>
                      <w:rFonts w:ascii="Times New Roman" w:hAnsi="Times New Roman"/>
                      <w:spacing w:val="-3"/>
                      <w:sz w:val="24"/>
                      <w:szCs w:val="24"/>
                      <w:lang w:eastAsia="lv-LV"/>
                    </w:rPr>
                  </w:pPr>
                  <w:r w:rsidRPr="002B42F8">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A59B96C" w14:textId="77777777" w:rsidR="00424954" w:rsidRPr="002B42F8" w:rsidRDefault="00424954" w:rsidP="00424954">
                  <w:pPr>
                    <w:ind w:left="57"/>
                    <w:jc w:val="both"/>
                    <w:rPr>
                      <w:rFonts w:ascii="Times New Roman" w:hAnsi="Times New Roman"/>
                      <w:spacing w:val="-3"/>
                      <w:sz w:val="24"/>
                      <w:szCs w:val="24"/>
                      <w:lang w:eastAsia="lv-LV"/>
                    </w:rPr>
                  </w:pPr>
                  <w:r w:rsidRPr="002B42F8">
                    <w:rPr>
                      <w:rFonts w:ascii="Times New Roman" w:hAnsi="Times New Roman"/>
                      <w:spacing w:val="-3"/>
                      <w:sz w:val="24"/>
                      <w:szCs w:val="24"/>
                      <w:lang w:eastAsia="lv-LV"/>
                    </w:rPr>
                    <w:t>Norāda institūciju, kas ir atbildīga par šo saistību izpildi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F2B53A7" w14:textId="77777777" w:rsidR="00424954" w:rsidRPr="002B42F8" w:rsidRDefault="00424954" w:rsidP="00424954">
                  <w:pPr>
                    <w:jc w:val="both"/>
                    <w:rPr>
                      <w:rFonts w:ascii="Times New Roman" w:hAnsi="Times New Roman"/>
                      <w:sz w:val="24"/>
                      <w:szCs w:val="24"/>
                      <w:lang w:eastAsia="lv-LV"/>
                    </w:rPr>
                  </w:pPr>
                  <w:r w:rsidRPr="002B42F8">
                    <w:rPr>
                      <w:rFonts w:ascii="Times New Roman" w:hAnsi="Times New Roman"/>
                      <w:spacing w:val="-3"/>
                      <w:sz w:val="24"/>
                      <w:szCs w:val="24"/>
                      <w:lang w:eastAsia="lv-LV"/>
                    </w:rPr>
                    <w:t xml:space="preserve">Informācija par to, vai šīs </w:t>
                  </w:r>
                  <w:r w:rsidRPr="002B42F8">
                    <w:rPr>
                      <w:rFonts w:ascii="Times New Roman" w:hAnsi="Times New Roman"/>
                      <w:sz w:val="24"/>
                      <w:szCs w:val="24"/>
                      <w:lang w:eastAsia="lv-LV"/>
                    </w:rPr>
                    <w:t>tabulas B ailē minētās projekta vienības paredz stingrākas prasības nekā šīs tabulas A ailē minētās ES tiesību akta vienības.</w:t>
                  </w:r>
                </w:p>
                <w:p w14:paraId="1C350B68" w14:textId="77777777" w:rsidR="00424954" w:rsidRPr="002B42F8" w:rsidRDefault="00424954" w:rsidP="00424954">
                  <w:pPr>
                    <w:ind w:left="57"/>
                    <w:jc w:val="both"/>
                    <w:rPr>
                      <w:rFonts w:ascii="Times New Roman" w:hAnsi="Times New Roman"/>
                      <w:sz w:val="24"/>
                      <w:szCs w:val="24"/>
                      <w:lang w:eastAsia="lv-LV"/>
                    </w:rPr>
                  </w:pPr>
                  <w:r w:rsidRPr="002B42F8">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2B42F8">
                      <w:rPr>
                        <w:rFonts w:ascii="Times New Roman" w:hAnsi="Times New Roman"/>
                        <w:sz w:val="24"/>
                        <w:szCs w:val="24"/>
                        <w:lang w:eastAsia="lv-LV"/>
                      </w:rPr>
                      <w:t>akts</w:t>
                    </w:r>
                  </w:smartTag>
                  <w:r w:rsidRPr="002B42F8">
                    <w:rPr>
                      <w:rFonts w:ascii="Times New Roman" w:hAnsi="Times New Roman"/>
                      <w:sz w:val="24"/>
                      <w:szCs w:val="24"/>
                      <w:lang w:eastAsia="lv-LV"/>
                    </w:rPr>
                    <w:t>, norāda pamatojumu un samērīgumu.</w:t>
                  </w:r>
                </w:p>
                <w:p w14:paraId="3A03512D" w14:textId="77777777" w:rsidR="00424954" w:rsidRPr="002B42F8" w:rsidRDefault="00424954" w:rsidP="00424954">
                  <w:pPr>
                    <w:ind w:left="57"/>
                    <w:jc w:val="both"/>
                    <w:rPr>
                      <w:rFonts w:ascii="Times New Roman" w:hAnsi="Times New Roman"/>
                      <w:spacing w:val="-3"/>
                      <w:sz w:val="24"/>
                      <w:szCs w:val="24"/>
                      <w:lang w:eastAsia="lv-LV"/>
                    </w:rPr>
                  </w:pPr>
                  <w:r w:rsidRPr="002B42F8">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2B42F8">
                    <w:rPr>
                      <w:rFonts w:ascii="Times New Roman" w:hAnsi="Times New Roman"/>
                      <w:spacing w:val="-3"/>
                      <w:sz w:val="24"/>
                      <w:szCs w:val="24"/>
                      <w:lang w:eastAsia="lv-LV"/>
                    </w:rPr>
                    <w:t xml:space="preserve"> noteikšanas, nekā paredzēts attiecīgajos ES tiesību aktos</w:t>
                  </w:r>
                </w:p>
              </w:tc>
            </w:tr>
            <w:tr w:rsidR="00424954" w:rsidRPr="00900140" w14:paraId="59CA0912" w14:textId="77777777" w:rsidTr="00CC2BA9">
              <w:trPr>
                <w:cantSplit/>
                <w:trHeight w:val="1092"/>
              </w:trPr>
              <w:tc>
                <w:tcPr>
                  <w:tcW w:w="1092"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4BA3BAF" w14:textId="64EE1CC4" w:rsidR="00424954" w:rsidRPr="002B42F8" w:rsidRDefault="00424954" w:rsidP="00AD515B">
                  <w:pPr>
                    <w:jc w:val="both"/>
                    <w:rPr>
                      <w:rFonts w:ascii="Times New Roman" w:hAnsi="Times New Roman"/>
                      <w:spacing w:val="-3"/>
                      <w:sz w:val="24"/>
                      <w:szCs w:val="24"/>
                      <w:highlight w:val="yellow"/>
                      <w:lang w:eastAsia="lv-LV"/>
                    </w:rPr>
                  </w:pPr>
                  <w:r w:rsidRPr="002B42F8">
                    <w:rPr>
                      <w:rFonts w:ascii="Times New Roman" w:hAnsi="Times New Roman"/>
                      <w:spacing w:val="-3"/>
                      <w:sz w:val="24"/>
                      <w:szCs w:val="24"/>
                      <w:lang w:eastAsia="lv-LV"/>
                    </w:rPr>
                    <w:t>18.panta 3.</w:t>
                  </w:r>
                  <w:r w:rsidR="00AD515B">
                    <w:rPr>
                      <w:rFonts w:ascii="Times New Roman" w:hAnsi="Times New Roman"/>
                      <w:spacing w:val="-3"/>
                      <w:sz w:val="24"/>
                      <w:szCs w:val="24"/>
                      <w:lang w:eastAsia="lv-LV"/>
                    </w:rPr>
                    <w:t>punkts</w:t>
                  </w:r>
                </w:p>
              </w:tc>
              <w:tc>
                <w:tcPr>
                  <w:tcW w:w="1790"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37907D05" w14:textId="77777777" w:rsidR="00424954" w:rsidRPr="002B42F8" w:rsidRDefault="00424954" w:rsidP="00424954">
                  <w:pPr>
                    <w:jc w:val="both"/>
                    <w:rPr>
                      <w:rFonts w:ascii="Times New Roman" w:hAnsi="Times New Roman"/>
                      <w:spacing w:val="-3"/>
                      <w:sz w:val="24"/>
                      <w:szCs w:val="24"/>
                      <w:lang w:eastAsia="lv-LV"/>
                    </w:rPr>
                  </w:pPr>
                  <w:r w:rsidRPr="002B42F8">
                    <w:rPr>
                      <w:rFonts w:ascii="Times New Roman" w:hAnsi="Times New Roman"/>
                      <w:spacing w:val="-3"/>
                      <w:sz w:val="24"/>
                      <w:szCs w:val="24"/>
                      <w:lang w:eastAsia="lv-LV"/>
                    </w:rPr>
                    <w:t>Noteikumu projektā paredzētais 22.1.5.apakšpunkts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3D18F77E" w14:textId="77777777" w:rsidR="00424954" w:rsidRPr="002B42F8" w:rsidRDefault="00424954" w:rsidP="00424954">
                  <w:pPr>
                    <w:jc w:val="both"/>
                    <w:rPr>
                      <w:rFonts w:ascii="Times New Roman" w:hAnsi="Times New Roman"/>
                      <w:spacing w:val="-3"/>
                      <w:sz w:val="24"/>
                      <w:szCs w:val="24"/>
                      <w:lang w:eastAsia="lv-LV"/>
                    </w:rPr>
                  </w:pPr>
                  <w:r w:rsidRPr="002B42F8">
                    <w:rPr>
                      <w:rFonts w:ascii="Times New Roman" w:hAnsi="Times New Roman"/>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01DB6BFA" w14:textId="77777777" w:rsidR="00424954" w:rsidRPr="002B42F8" w:rsidRDefault="00424954" w:rsidP="00424954">
                  <w:pPr>
                    <w:jc w:val="both"/>
                    <w:rPr>
                      <w:rFonts w:ascii="Times New Roman" w:hAnsi="Times New Roman"/>
                      <w:spacing w:val="-3"/>
                      <w:sz w:val="24"/>
                      <w:szCs w:val="24"/>
                      <w:lang w:eastAsia="lv-LV"/>
                    </w:rPr>
                  </w:pPr>
                  <w:r w:rsidRPr="002B42F8">
                    <w:rPr>
                      <w:rFonts w:ascii="Times New Roman" w:hAnsi="Times New Roman"/>
                      <w:sz w:val="24"/>
                      <w:szCs w:val="24"/>
                      <w:lang w:eastAsia="lv-LV"/>
                    </w:rPr>
                    <w:t>Neparedz stingrākas prasības.</w:t>
                  </w:r>
                </w:p>
              </w:tc>
            </w:tr>
            <w:tr w:rsidR="00424954" w:rsidRPr="00900140" w14:paraId="5211F012" w14:textId="77777777" w:rsidTr="00CC2BA9">
              <w:trPr>
                <w:cantSplit/>
                <w:trHeight w:val="360"/>
              </w:trPr>
              <w:tc>
                <w:tcPr>
                  <w:tcW w:w="1092"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36CADAAC" w14:textId="77777777" w:rsidR="00424954" w:rsidRPr="00900140" w:rsidRDefault="00424954" w:rsidP="00424954">
                  <w:pPr>
                    <w:shd w:val="clear" w:color="auto" w:fill="FFFFFF"/>
                    <w:ind w:left="57"/>
                    <w:rPr>
                      <w:rFonts w:ascii="Times New Roman" w:eastAsia="Times New Roman" w:hAnsi="Times New Roman" w:cs="Times New Roman"/>
                      <w:color w:val="000000"/>
                      <w:sz w:val="24"/>
                      <w:szCs w:val="24"/>
                      <w:lang w:eastAsia="lv-LV"/>
                    </w:rPr>
                  </w:pPr>
                  <w:r w:rsidRPr="00900140">
                    <w:rPr>
                      <w:rFonts w:ascii="Times New Roman" w:eastAsia="Times New Roman" w:hAnsi="Times New Roman" w:cs="Times New Roman"/>
                      <w:color w:val="000000"/>
                      <w:spacing w:val="-3"/>
                      <w:sz w:val="24"/>
                      <w:szCs w:val="24"/>
                      <w:lang w:eastAsia="lv-LV"/>
                    </w:rPr>
                    <w:t>Kā ir izmantota ES tiesību aktā paredzētā rīcības brīvība dalībvalstij pārņemt vai ieviest noteiktas ES tiesību akta normas?</w:t>
                  </w:r>
                </w:p>
                <w:p w14:paraId="1F33CEE1" w14:textId="77777777" w:rsidR="00424954" w:rsidRPr="00900140" w:rsidRDefault="00424954" w:rsidP="00424954">
                  <w:pPr>
                    <w:shd w:val="clear" w:color="auto" w:fill="FFFFFF"/>
                    <w:ind w:left="57"/>
                    <w:rPr>
                      <w:rFonts w:ascii="Times New Roman" w:hAnsi="Times New Roman"/>
                      <w:spacing w:val="-4"/>
                      <w:sz w:val="24"/>
                      <w:szCs w:val="24"/>
                      <w:lang w:eastAsia="lv-LV"/>
                    </w:rPr>
                  </w:pPr>
                  <w:r w:rsidRPr="00900140">
                    <w:rPr>
                      <w:rFonts w:ascii="Times New Roman" w:eastAsia="Times New Roman" w:hAnsi="Times New Roman" w:cs="Times New Roman"/>
                      <w:color w:val="000000"/>
                      <w:spacing w:val="-3"/>
                      <w:sz w:val="24"/>
                      <w:szCs w:val="24"/>
                      <w:lang w:eastAsia="lv-LV"/>
                    </w:rPr>
                    <w:t>Kādēļ?</w:t>
                  </w:r>
                </w:p>
              </w:tc>
              <w:tc>
                <w:tcPr>
                  <w:tcW w:w="3908"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35A7F543" w14:textId="33EEFC84" w:rsidR="00A27E42" w:rsidRPr="00216080" w:rsidRDefault="00A27E42" w:rsidP="00424954">
                  <w:pPr>
                    <w:jc w:val="both"/>
                    <w:rPr>
                      <w:rFonts w:ascii="Times New Roman" w:hAnsi="Times New Roman" w:cs="Times New Roman"/>
                      <w:spacing w:val="2"/>
                      <w:sz w:val="24"/>
                      <w:szCs w:val="24"/>
                    </w:rPr>
                  </w:pPr>
                  <w:r w:rsidRPr="00AD515B">
                    <w:rPr>
                      <w:rFonts w:ascii="Times New Roman" w:hAnsi="Times New Roman" w:cs="Times New Roman"/>
                      <w:spacing w:val="2"/>
                      <w:sz w:val="24"/>
                      <w:szCs w:val="24"/>
                    </w:rPr>
                    <w:t xml:space="preserve">Direktīvas 18. panta 3. punktā ir norādīts, ka “konkurences iestāde var uzskatīt, </w:t>
                  </w:r>
                  <w:r w:rsidRPr="00EC7BFA">
                    <w:rPr>
                      <w:rFonts w:ascii="Times New Roman" w:hAnsi="Times New Roman" w:cs="Times New Roman"/>
                      <w:spacing w:val="2"/>
                      <w:sz w:val="24"/>
                      <w:szCs w:val="24"/>
                    </w:rPr>
                    <w:t>ka atlīdzinājums, kas samaksāts pēc strīda izšķiršanas vienošanās ceļā un pirms tās lēmuma par naudas soda uzlikšanu, ir kaitējumu mazinošs faktor</w:t>
                  </w:r>
                  <w:r w:rsidR="00AD515B" w:rsidRPr="00EC7BFA">
                    <w:rPr>
                      <w:rFonts w:ascii="Times New Roman" w:hAnsi="Times New Roman" w:cs="Times New Roman"/>
                      <w:spacing w:val="2"/>
                      <w:sz w:val="24"/>
                      <w:szCs w:val="24"/>
                    </w:rPr>
                    <w:t>s”.</w:t>
                  </w:r>
                  <w:r w:rsidR="00AD515B" w:rsidRPr="00216080">
                    <w:rPr>
                      <w:rFonts w:ascii="Times New Roman" w:hAnsi="Times New Roman" w:cs="Times New Roman"/>
                      <w:spacing w:val="2"/>
                      <w:sz w:val="24"/>
                      <w:szCs w:val="24"/>
                    </w:rPr>
                    <w:t xml:space="preserve"> </w:t>
                  </w:r>
                </w:p>
                <w:p w14:paraId="219451C6" w14:textId="0DB5E831" w:rsidR="00AD515B" w:rsidRPr="00900140" w:rsidRDefault="00AD515B" w:rsidP="00216080">
                  <w:pPr>
                    <w:jc w:val="both"/>
                    <w:rPr>
                      <w:rFonts w:ascii="Times New Roman" w:hAnsi="Times New Roman"/>
                      <w:sz w:val="24"/>
                      <w:szCs w:val="24"/>
                      <w:lang w:eastAsia="lv-LV"/>
                    </w:rPr>
                  </w:pPr>
                  <w:r w:rsidRPr="00216080">
                    <w:rPr>
                      <w:rFonts w:ascii="Times New Roman" w:hAnsi="Times New Roman" w:cs="Times New Roman"/>
                      <w:spacing w:val="2"/>
                      <w:sz w:val="24"/>
                      <w:szCs w:val="24"/>
                    </w:rPr>
                    <w:t xml:space="preserve">Lai veicinātu konkurences tiesību pārkāpumu strīdu izšķiršanu vienošanās ceļā, </w:t>
                  </w:r>
                  <w:r w:rsidR="00216080">
                    <w:rPr>
                      <w:rFonts w:ascii="Times New Roman" w:hAnsi="Times New Roman" w:cs="Times New Roman"/>
                      <w:spacing w:val="2"/>
                      <w:sz w:val="24"/>
                      <w:szCs w:val="24"/>
                    </w:rPr>
                    <w:t xml:space="preserve">arī </w:t>
                  </w:r>
                  <w:r w:rsidRPr="00216080">
                    <w:rPr>
                      <w:rFonts w:ascii="Times New Roman" w:hAnsi="Times New Roman" w:cs="Times New Roman"/>
                      <w:spacing w:val="2"/>
                      <w:sz w:val="24"/>
                      <w:szCs w:val="24"/>
                    </w:rPr>
                    <w:t>Noteikumu projekt</w:t>
                  </w:r>
                  <w:r w:rsidR="00216080">
                    <w:rPr>
                      <w:rFonts w:ascii="Times New Roman" w:hAnsi="Times New Roman" w:cs="Times New Roman"/>
                      <w:spacing w:val="2"/>
                      <w:sz w:val="24"/>
                      <w:szCs w:val="24"/>
                    </w:rPr>
                    <w:t xml:space="preserve">a 22.1.5.apakšpunktā </w:t>
                  </w:r>
                  <w:r w:rsidRPr="00216080">
                    <w:rPr>
                      <w:rFonts w:ascii="Times New Roman" w:hAnsi="Times New Roman" w:cs="Times New Roman"/>
                      <w:spacing w:val="2"/>
                      <w:sz w:val="24"/>
                      <w:szCs w:val="24"/>
                    </w:rPr>
                    <w:t xml:space="preserve">ir paredzēts noteikt, ka KP, nosakot kopējo naudas soda apmēru par </w:t>
                  </w:r>
                  <w:r w:rsidR="00EC7BFA" w:rsidRPr="00216080">
                    <w:rPr>
                      <w:rFonts w:ascii="Times New Roman" w:hAnsi="Times New Roman" w:cs="Times New Roman"/>
                      <w:spacing w:val="2"/>
                      <w:sz w:val="24"/>
                      <w:szCs w:val="24"/>
                    </w:rPr>
                    <w:t>konstatēto</w:t>
                  </w:r>
                  <w:r w:rsidRPr="00216080">
                    <w:rPr>
                      <w:rFonts w:ascii="Times New Roman" w:hAnsi="Times New Roman" w:cs="Times New Roman"/>
                      <w:spacing w:val="2"/>
                      <w:sz w:val="24"/>
                      <w:szCs w:val="24"/>
                    </w:rPr>
                    <w:t xml:space="preserve"> konkurences tiesību pārkāpumu, var samazināt </w:t>
                  </w:r>
                  <w:r w:rsidR="00EC7BFA" w:rsidRPr="00216080">
                    <w:rPr>
                      <w:rFonts w:ascii="Times New Roman" w:hAnsi="Times New Roman" w:cs="Times New Roman"/>
                      <w:spacing w:val="2"/>
                      <w:sz w:val="24"/>
                      <w:szCs w:val="24"/>
                    </w:rPr>
                    <w:t>tā apmēru</w:t>
                  </w:r>
                  <w:r w:rsidR="00216080">
                    <w:rPr>
                      <w:rFonts w:ascii="Times New Roman" w:hAnsi="Times New Roman" w:cs="Times New Roman"/>
                      <w:spacing w:val="2"/>
                      <w:sz w:val="24"/>
                      <w:szCs w:val="24"/>
                    </w:rPr>
                    <w:t>,</w:t>
                  </w:r>
                  <w:r w:rsidRPr="00216080">
                    <w:rPr>
                      <w:rFonts w:ascii="Times New Roman" w:hAnsi="Times New Roman" w:cs="Times New Roman"/>
                      <w:spacing w:val="2"/>
                      <w:sz w:val="24"/>
                      <w:szCs w:val="24"/>
                    </w:rPr>
                    <w:t xml:space="preserve"> ja </w:t>
                  </w:r>
                  <w:r w:rsidRPr="00EC7BFA">
                    <w:rPr>
                      <w:rFonts w:ascii="Times New Roman" w:hAnsi="Times New Roman" w:cs="Times New Roman"/>
                      <w:bCs/>
                      <w:sz w:val="24"/>
                      <w:szCs w:val="24"/>
                    </w:rPr>
                    <w:t>tirgus dalībnieks</w:t>
                  </w:r>
                  <w:r w:rsidR="00EC7BFA" w:rsidRPr="00EC7BFA">
                    <w:rPr>
                      <w:rFonts w:ascii="Times New Roman" w:hAnsi="Times New Roman" w:cs="Times New Roman"/>
                      <w:bCs/>
                      <w:sz w:val="24"/>
                      <w:szCs w:val="24"/>
                    </w:rPr>
                    <w:t xml:space="preserve"> ir</w:t>
                  </w:r>
                  <w:r w:rsidRPr="00EC7BFA">
                    <w:rPr>
                      <w:rFonts w:ascii="Times New Roman" w:hAnsi="Times New Roman" w:cs="Times New Roman"/>
                      <w:bCs/>
                      <w:sz w:val="24"/>
                      <w:szCs w:val="24"/>
                    </w:rPr>
                    <w:t xml:space="preserve"> noslēdzis izlīgumu </w:t>
                  </w:r>
                  <w:r w:rsidR="00EC7BFA" w:rsidRPr="00EC7BFA">
                    <w:rPr>
                      <w:rFonts w:ascii="Times New Roman" w:hAnsi="Times New Roman" w:cs="Times New Roman"/>
                      <w:bCs/>
                      <w:sz w:val="24"/>
                      <w:szCs w:val="24"/>
                    </w:rPr>
                    <w:t xml:space="preserve">ar cietušo pusi </w:t>
                  </w:r>
                  <w:r w:rsidRPr="00EC7BFA">
                    <w:rPr>
                      <w:rFonts w:ascii="Times New Roman" w:hAnsi="Times New Roman" w:cs="Times New Roman"/>
                      <w:bCs/>
                      <w:sz w:val="24"/>
                      <w:szCs w:val="24"/>
                    </w:rPr>
                    <w:t>par strīda izšķiršanu un atlīdzinājis zaudējumus, ko radījis izdarītais pārkāpums</w:t>
                  </w:r>
                  <w:r w:rsidR="00EC7BFA" w:rsidRPr="00EC7BFA">
                    <w:rPr>
                      <w:rFonts w:ascii="Times New Roman" w:hAnsi="Times New Roman" w:cs="Times New Roman"/>
                      <w:bCs/>
                      <w:sz w:val="24"/>
                      <w:szCs w:val="24"/>
                    </w:rPr>
                    <w:t>.</w:t>
                  </w:r>
                  <w:r w:rsidRPr="00EC7BFA">
                    <w:rPr>
                      <w:rFonts w:ascii="Times New Roman" w:hAnsi="Times New Roman" w:cs="Times New Roman"/>
                      <w:spacing w:val="2"/>
                      <w:sz w:val="24"/>
                      <w:szCs w:val="24"/>
                    </w:rPr>
                    <w:t xml:space="preserve"> </w:t>
                  </w:r>
                </w:p>
              </w:tc>
            </w:tr>
            <w:tr w:rsidR="00424954" w:rsidRPr="00900140" w14:paraId="53D49A26" w14:textId="77777777" w:rsidTr="00CC2BA9">
              <w:trPr>
                <w:cantSplit/>
                <w:trHeight w:val="360"/>
              </w:trPr>
              <w:tc>
                <w:tcPr>
                  <w:tcW w:w="1092"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533C5E6" w14:textId="77777777" w:rsidR="00424954" w:rsidRPr="00900140" w:rsidRDefault="00424954" w:rsidP="00424954">
                  <w:pPr>
                    <w:jc w:val="both"/>
                    <w:rPr>
                      <w:rFonts w:ascii="Times New Roman" w:hAnsi="Times New Roman"/>
                      <w:sz w:val="24"/>
                      <w:szCs w:val="24"/>
                      <w:lang w:eastAsia="lv-LV"/>
                    </w:rPr>
                  </w:pPr>
                  <w:r w:rsidRPr="00900140">
                    <w:rPr>
                      <w:rFonts w:ascii="Times New Roman" w:hAnsi="Times New Roman"/>
                      <w:spacing w:val="-4"/>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E3BB67B" w14:textId="77777777" w:rsidR="00424954" w:rsidRPr="00900140" w:rsidRDefault="00424954" w:rsidP="00424954">
                  <w:pPr>
                    <w:jc w:val="both"/>
                    <w:rPr>
                      <w:rFonts w:ascii="Times New Roman" w:hAnsi="Times New Roman"/>
                      <w:sz w:val="24"/>
                      <w:szCs w:val="24"/>
                      <w:lang w:eastAsia="lv-LV"/>
                    </w:rPr>
                  </w:pPr>
                  <w:r>
                    <w:rPr>
                      <w:rFonts w:ascii="Times New Roman" w:hAnsi="Times New Roman"/>
                      <w:sz w:val="24"/>
                      <w:szCs w:val="24"/>
                      <w:lang w:eastAsia="lv-LV"/>
                    </w:rPr>
                    <w:t>Projekts šo jomu nekar</w:t>
                  </w:r>
                </w:p>
              </w:tc>
            </w:tr>
            <w:tr w:rsidR="00424954" w:rsidRPr="00900140" w14:paraId="1241C7ED" w14:textId="77777777" w:rsidTr="00CC2BA9">
              <w:trPr>
                <w:cantSplit/>
                <w:trHeight w:val="679"/>
              </w:trPr>
              <w:tc>
                <w:tcPr>
                  <w:tcW w:w="1092"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E2A7B40" w14:textId="77777777" w:rsidR="00424954" w:rsidRPr="00900140" w:rsidRDefault="00424954" w:rsidP="00424954">
                  <w:pPr>
                    <w:jc w:val="both"/>
                    <w:rPr>
                      <w:rFonts w:ascii="Times New Roman" w:hAnsi="Times New Roman"/>
                      <w:sz w:val="24"/>
                      <w:szCs w:val="24"/>
                      <w:lang w:eastAsia="lv-LV"/>
                    </w:rPr>
                  </w:pPr>
                  <w:r w:rsidRPr="00900140">
                    <w:rPr>
                      <w:rFonts w:ascii="Times New Roman" w:hAnsi="Times New Roman"/>
                      <w:sz w:val="24"/>
                      <w:szCs w:val="24"/>
                      <w:lang w:eastAsia="lv-LV"/>
                    </w:rPr>
                    <w:t xml:space="preserve">Cita </w:t>
                  </w:r>
                  <w:r w:rsidRPr="00900140">
                    <w:rPr>
                      <w:rFonts w:ascii="Times New Roman" w:hAnsi="Times New Roman"/>
                      <w:spacing w:val="-4"/>
                      <w:sz w:val="24"/>
                      <w:szCs w:val="24"/>
                      <w:lang w:eastAsia="lv-LV"/>
                    </w:rPr>
                    <w:t>informācija</w:t>
                  </w:r>
                </w:p>
              </w:tc>
              <w:tc>
                <w:tcPr>
                  <w:tcW w:w="3908"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EC6F8C0" w14:textId="25CC8F70" w:rsidR="00424954" w:rsidRPr="00900140" w:rsidRDefault="00424954" w:rsidP="00E45842">
                  <w:pPr>
                    <w:tabs>
                      <w:tab w:val="left" w:pos="993"/>
                    </w:tabs>
                    <w:contextualSpacing/>
                    <w:jc w:val="both"/>
                    <w:rPr>
                      <w:rFonts w:ascii="Times New Roman" w:eastAsia="Times New Roman" w:hAnsi="Times New Roman"/>
                      <w:bCs/>
                      <w:sz w:val="24"/>
                      <w:szCs w:val="24"/>
                    </w:rPr>
                  </w:pPr>
                  <w:r w:rsidRPr="00900140">
                    <w:rPr>
                      <w:rFonts w:ascii="Times New Roman" w:eastAsia="Times New Roman" w:hAnsi="Times New Roman"/>
                      <w:bCs/>
                      <w:sz w:val="24"/>
                      <w:szCs w:val="24"/>
                    </w:rPr>
                    <w:t>Saskaņā ar Direktīvas 2014/104/ES 27. pantu tās ieviešanas termiņš ir 2016.gada 27.decembris. Par direktīvas ieviešanu atbildīga ir Ekonomikas ministrija.</w:t>
                  </w:r>
                  <w:r w:rsidR="00E45842">
                    <w:rPr>
                      <w:rFonts w:ascii="Times New Roman" w:eastAsia="Times New Roman" w:hAnsi="Times New Roman"/>
                      <w:bCs/>
                      <w:sz w:val="24"/>
                      <w:szCs w:val="24"/>
                    </w:rPr>
                    <w:t xml:space="preserve"> Pārējās Direktīvas normas paredzētas pārņemt ar likumprojektu “Grozījumi Konkurences likumā” (VSS- 441) un “Grozījumi Civilprocesa likumā”.</w:t>
                  </w:r>
                </w:p>
              </w:tc>
            </w:tr>
          </w:tbl>
          <w:p w14:paraId="5458CD80" w14:textId="77777777" w:rsidR="00424954" w:rsidRDefault="00424954" w:rsidP="003D6887">
            <w:pPr>
              <w:rPr>
                <w:rFonts w:ascii="Times New Roman" w:eastAsia="Times New Roman" w:hAnsi="Times New Roman" w:cs="Times New Roman"/>
                <w:sz w:val="24"/>
                <w:szCs w:val="24"/>
                <w:lang w:eastAsia="lv-LV"/>
              </w:rPr>
            </w:pPr>
          </w:p>
          <w:p w14:paraId="49AFA7DC" w14:textId="77777777" w:rsidR="002B42F8" w:rsidRPr="002F5130" w:rsidRDefault="002B42F8" w:rsidP="003D6887">
            <w:pPr>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4097"/>
              <w:gridCol w:w="4642"/>
            </w:tblGrid>
            <w:tr w:rsidR="0057037A" w:rsidRPr="002F5130" w14:paraId="609EEC58" w14:textId="77777777" w:rsidTr="00157C48">
              <w:trPr>
                <w:trHeight w:val="375"/>
                <w:tblCellSpacing w:w="15" w:type="dxa"/>
                <w:jc w:val="center"/>
              </w:trPr>
              <w:tc>
                <w:tcPr>
                  <w:tcW w:w="4968" w:type="pct"/>
                  <w:gridSpan w:val="3"/>
                  <w:vAlign w:val="center"/>
                  <w:hideMark/>
                </w:tcPr>
                <w:p w14:paraId="66AEF2A1" w14:textId="77777777"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VII. Tiesību akta projekta izpildes nodrošināšana un tās ietekme uz institūcijām</w:t>
                  </w:r>
                </w:p>
              </w:tc>
            </w:tr>
            <w:tr w:rsidR="0057037A" w:rsidRPr="002F5130" w14:paraId="47F8FDC2" w14:textId="77777777" w:rsidTr="00A06342">
              <w:trPr>
                <w:trHeight w:val="285"/>
                <w:tblCellSpacing w:w="15" w:type="dxa"/>
                <w:jc w:val="center"/>
              </w:trPr>
              <w:tc>
                <w:tcPr>
                  <w:tcW w:w="256" w:type="pct"/>
                  <w:hideMark/>
                </w:tcPr>
                <w:p w14:paraId="4BDDCE59"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2212" w:type="pct"/>
                  <w:hideMark/>
                </w:tcPr>
                <w:p w14:paraId="5DCAD6EF" w14:textId="16750122" w:rsidR="00A97E7D" w:rsidRPr="002F5130" w:rsidRDefault="00A97E7D" w:rsidP="00655F9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Projekta izpildē iesaistītās institūcijas</w:t>
                  </w:r>
                </w:p>
              </w:tc>
              <w:tc>
                <w:tcPr>
                  <w:tcW w:w="2468" w:type="pct"/>
                  <w:hideMark/>
                </w:tcPr>
                <w:p w14:paraId="49A487C2" w14:textId="77777777" w:rsidR="000E56D8" w:rsidRPr="002F5130" w:rsidRDefault="001029C4" w:rsidP="00544C0B">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Konkurences padome</w:t>
                  </w:r>
                </w:p>
              </w:tc>
            </w:tr>
            <w:tr w:rsidR="0057037A" w:rsidRPr="002F5130" w14:paraId="5E256C62" w14:textId="77777777" w:rsidTr="00157C48">
              <w:trPr>
                <w:trHeight w:val="450"/>
                <w:tblCellSpacing w:w="15" w:type="dxa"/>
                <w:jc w:val="center"/>
              </w:trPr>
              <w:tc>
                <w:tcPr>
                  <w:tcW w:w="256" w:type="pct"/>
                  <w:hideMark/>
                </w:tcPr>
                <w:p w14:paraId="362BE4FA"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2212" w:type="pct"/>
                  <w:hideMark/>
                </w:tcPr>
                <w:p w14:paraId="4CFC1B11"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Projekta izpildes ietekme uz pārvaldes funkcijām un institucionālo struktūru. </w:t>
                  </w:r>
                </w:p>
                <w:p w14:paraId="7EA7499E"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68" w:type="pct"/>
                  <w:hideMark/>
                </w:tcPr>
                <w:p w14:paraId="50E0E105" w14:textId="25205779" w:rsidR="00A97E7D" w:rsidRPr="002F5130" w:rsidRDefault="00372D28" w:rsidP="003D6887">
                  <w:pPr>
                    <w:pStyle w:val="naisf"/>
                    <w:spacing w:before="0" w:after="0"/>
                    <w:ind w:left="57" w:right="57" w:firstLine="0"/>
                  </w:pPr>
                  <w:r w:rsidRPr="002F5130">
                    <w:rPr>
                      <w:iCs/>
                    </w:rPr>
                    <w:t xml:space="preserve">Projekts neietekmē </w:t>
                  </w:r>
                  <w:r w:rsidRPr="002F5130">
                    <w:t xml:space="preserve">pārvaldes institucionālo struktūru. Jaunas institūcijas netiek izveidotas, likvidētas vai reorganizētas, kā arī </w:t>
                  </w:r>
                  <w:r w:rsidR="003D6887">
                    <w:t>noteikumu projekts</w:t>
                  </w:r>
                  <w:r w:rsidRPr="002F5130">
                    <w:t xml:space="preserve"> neietekmē institūciju cilvēkresursus.</w:t>
                  </w:r>
                </w:p>
              </w:tc>
            </w:tr>
            <w:tr w:rsidR="0057037A" w:rsidRPr="002F5130" w14:paraId="6DE19EDC" w14:textId="77777777" w:rsidTr="00A06342">
              <w:trPr>
                <w:trHeight w:val="240"/>
                <w:tblCellSpacing w:w="15" w:type="dxa"/>
                <w:jc w:val="center"/>
              </w:trPr>
              <w:tc>
                <w:tcPr>
                  <w:tcW w:w="256" w:type="pct"/>
                  <w:hideMark/>
                </w:tcPr>
                <w:p w14:paraId="5CBBD732"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2212" w:type="pct"/>
                  <w:hideMark/>
                </w:tcPr>
                <w:p w14:paraId="2D3B9313" w14:textId="77777777"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2468" w:type="pct"/>
                  <w:hideMark/>
                </w:tcPr>
                <w:p w14:paraId="618607AF" w14:textId="77777777" w:rsidR="00A97E7D" w:rsidRPr="002F5130" w:rsidRDefault="0005443F" w:rsidP="0005443F">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14:paraId="03985968" w14:textId="77777777" w:rsidR="00A97E7D" w:rsidRPr="002F5130" w:rsidRDefault="00A97E7D" w:rsidP="00544C0B">
            <w:pPr>
              <w:rPr>
                <w:rFonts w:ascii="Times New Roman" w:eastAsia="Times New Roman" w:hAnsi="Times New Roman" w:cs="Times New Roman"/>
                <w:sz w:val="24"/>
                <w:szCs w:val="24"/>
                <w:lang w:eastAsia="lv-LV"/>
              </w:rPr>
            </w:pPr>
          </w:p>
        </w:tc>
      </w:tr>
    </w:tbl>
    <w:p w14:paraId="5C8004E3" w14:textId="77777777" w:rsidR="00A97E7D" w:rsidRPr="002F5130" w:rsidRDefault="00A97E7D" w:rsidP="00A97E7D">
      <w:pPr>
        <w:rPr>
          <w:rFonts w:ascii="Times New Roman" w:hAnsi="Times New Roman" w:cs="Times New Roman"/>
          <w:sz w:val="28"/>
          <w:szCs w:val="28"/>
        </w:rPr>
      </w:pPr>
    </w:p>
    <w:p w14:paraId="0135727A" w14:textId="300E534F" w:rsidR="00F46E5E" w:rsidRPr="00F46E5E" w:rsidRDefault="00F46E5E" w:rsidP="00A97E7D">
      <w:pPr>
        <w:tabs>
          <w:tab w:val="left" w:pos="990"/>
        </w:tabs>
        <w:rPr>
          <w:rFonts w:ascii="Times New Roman" w:eastAsia="Times New Roman" w:hAnsi="Times New Roman" w:cs="Times New Roman"/>
          <w:sz w:val="28"/>
          <w:szCs w:val="28"/>
          <w:lang w:eastAsia="lv-LV"/>
        </w:rPr>
      </w:pPr>
      <w:r w:rsidRPr="00F46E5E">
        <w:rPr>
          <w:rFonts w:ascii="Times New Roman" w:hAnsi="Times New Roman" w:cs="Times New Roman"/>
          <w:i/>
          <w:iCs/>
          <w:sz w:val="28"/>
          <w:szCs w:val="28"/>
        </w:rPr>
        <w:t>Anotācijas III, IV</w:t>
      </w:r>
      <w:r w:rsidR="00424954">
        <w:rPr>
          <w:rFonts w:ascii="Times New Roman" w:hAnsi="Times New Roman" w:cs="Times New Roman"/>
          <w:i/>
          <w:iCs/>
          <w:sz w:val="28"/>
          <w:szCs w:val="28"/>
        </w:rPr>
        <w:t xml:space="preserve"> </w:t>
      </w:r>
      <w:r w:rsidR="009552CA" w:rsidRPr="00F46E5E">
        <w:rPr>
          <w:rFonts w:ascii="Times New Roman" w:hAnsi="Times New Roman" w:cs="Times New Roman"/>
          <w:i/>
          <w:iCs/>
          <w:sz w:val="28"/>
          <w:szCs w:val="28"/>
        </w:rPr>
        <w:t xml:space="preserve">un </w:t>
      </w:r>
      <w:r w:rsidR="009552CA" w:rsidRPr="009552CA">
        <w:rPr>
          <w:rFonts w:ascii="Times New Roman" w:hAnsi="Times New Roman" w:cs="Times New Roman"/>
          <w:i/>
          <w:iCs/>
          <w:sz w:val="28"/>
          <w:szCs w:val="28"/>
        </w:rPr>
        <w:t>VI sadaļa</w:t>
      </w:r>
      <w:r w:rsidR="009552CA" w:rsidRPr="00F46E5E">
        <w:rPr>
          <w:rFonts w:ascii="Times New Roman" w:hAnsi="Times New Roman" w:cs="Times New Roman"/>
          <w:i/>
          <w:iCs/>
          <w:sz w:val="28"/>
          <w:szCs w:val="28"/>
        </w:rPr>
        <w:t xml:space="preserve"> </w:t>
      </w:r>
      <w:r w:rsidRPr="00F46E5E">
        <w:rPr>
          <w:rFonts w:ascii="Times New Roman" w:hAnsi="Times New Roman" w:cs="Times New Roman"/>
          <w:i/>
          <w:iCs/>
          <w:sz w:val="28"/>
          <w:szCs w:val="28"/>
        </w:rPr>
        <w:t>– projekts šīs jomas neskar.</w:t>
      </w:r>
    </w:p>
    <w:p w14:paraId="7A7553A9" w14:textId="77777777" w:rsidR="00F46E5E" w:rsidRDefault="00F46E5E" w:rsidP="00A97E7D">
      <w:pPr>
        <w:tabs>
          <w:tab w:val="left" w:pos="990"/>
        </w:tabs>
        <w:rPr>
          <w:rFonts w:ascii="Times New Roman" w:eastAsia="Times New Roman" w:hAnsi="Times New Roman" w:cs="Times New Roman"/>
          <w:sz w:val="28"/>
          <w:szCs w:val="28"/>
          <w:lang w:eastAsia="lv-LV"/>
        </w:rPr>
      </w:pPr>
    </w:p>
    <w:p w14:paraId="649D84E0" w14:textId="77777777" w:rsidR="00213EED" w:rsidRPr="00213EED" w:rsidRDefault="00213EED" w:rsidP="00213EED">
      <w:pPr>
        <w:pStyle w:val="Footer"/>
        <w:tabs>
          <w:tab w:val="clear" w:pos="4153"/>
          <w:tab w:val="clear" w:pos="8306"/>
        </w:tabs>
        <w:rPr>
          <w:rFonts w:ascii="Times New Roman" w:hAnsi="Times New Roman" w:cs="Times New Roman"/>
          <w:bCs/>
          <w:iCs/>
          <w:sz w:val="28"/>
          <w:szCs w:val="28"/>
        </w:rPr>
      </w:pPr>
      <w:r w:rsidRPr="00213EED">
        <w:rPr>
          <w:rFonts w:ascii="Times New Roman" w:hAnsi="Times New Roman" w:cs="Times New Roman"/>
          <w:bCs/>
          <w:iCs/>
          <w:sz w:val="28"/>
          <w:szCs w:val="28"/>
        </w:rPr>
        <w:t>Ministru prezidenta biedrs,</w:t>
      </w:r>
    </w:p>
    <w:p w14:paraId="6EB2EFA3" w14:textId="6717C89D" w:rsidR="00A97E7D" w:rsidRPr="002F5130" w:rsidRDefault="00213EED" w:rsidP="00213EED">
      <w:pPr>
        <w:tabs>
          <w:tab w:val="left" w:pos="990"/>
        </w:tabs>
        <w:rPr>
          <w:rFonts w:ascii="Times New Roman" w:hAnsi="Times New Roman" w:cs="Times New Roman"/>
          <w:bCs/>
          <w:iCs/>
          <w:sz w:val="28"/>
          <w:szCs w:val="28"/>
        </w:rPr>
      </w:pPr>
      <w:r w:rsidRPr="00213EED">
        <w:rPr>
          <w:rFonts w:ascii="Times New Roman" w:hAnsi="Times New Roman" w:cs="Times New Roman"/>
          <w:bCs/>
          <w:iCs/>
          <w:sz w:val="28"/>
          <w:szCs w:val="28"/>
        </w:rPr>
        <w:t>ekonomikas ministrs</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sidR="00A97E7D" w:rsidRPr="002F5130">
        <w:rPr>
          <w:rFonts w:ascii="Times New Roman" w:hAnsi="Times New Roman" w:cs="Times New Roman"/>
          <w:bCs/>
          <w:iCs/>
          <w:sz w:val="28"/>
          <w:szCs w:val="28"/>
        </w:rPr>
        <w:tab/>
      </w:r>
      <w:proofErr w:type="spellStart"/>
      <w:r w:rsidR="004F6D92">
        <w:rPr>
          <w:rFonts w:ascii="Times New Roman" w:hAnsi="Times New Roman" w:cs="Times New Roman"/>
          <w:bCs/>
          <w:iCs/>
          <w:sz w:val="28"/>
          <w:szCs w:val="28"/>
        </w:rPr>
        <w:t>A.Ašeradens</w:t>
      </w:r>
      <w:proofErr w:type="spellEnd"/>
    </w:p>
    <w:p w14:paraId="61A037E0" w14:textId="77777777" w:rsidR="00A97E7D" w:rsidRPr="002F5130" w:rsidRDefault="00A97E7D" w:rsidP="006F1333">
      <w:pPr>
        <w:tabs>
          <w:tab w:val="left" w:pos="6521"/>
        </w:tabs>
        <w:rPr>
          <w:rFonts w:ascii="Times New Roman" w:hAnsi="Times New Roman" w:cs="Times New Roman"/>
          <w:bCs/>
          <w:iCs/>
          <w:sz w:val="28"/>
          <w:szCs w:val="28"/>
        </w:rPr>
      </w:pPr>
    </w:p>
    <w:p w14:paraId="5A8C695C" w14:textId="17313968" w:rsidR="00A97E7D" w:rsidRPr="002F5130" w:rsidRDefault="00E6401D" w:rsidP="006F1333">
      <w:pPr>
        <w:tabs>
          <w:tab w:val="left" w:pos="6521"/>
        </w:tabs>
        <w:rPr>
          <w:rFonts w:ascii="Times New Roman" w:hAnsi="Times New Roman" w:cs="Times New Roman"/>
          <w:bCs/>
          <w:iCs/>
          <w:sz w:val="28"/>
          <w:szCs w:val="28"/>
        </w:rPr>
      </w:pPr>
      <w:r w:rsidRPr="002F5130">
        <w:rPr>
          <w:rFonts w:ascii="Times New Roman" w:hAnsi="Times New Roman" w:cs="Times New Roman"/>
          <w:bCs/>
          <w:iCs/>
          <w:sz w:val="28"/>
          <w:szCs w:val="28"/>
        </w:rPr>
        <w:t>Vīza:</w:t>
      </w:r>
    </w:p>
    <w:p w14:paraId="57B2D838" w14:textId="11040AB2" w:rsidR="00A97E7D" w:rsidRPr="002F5130" w:rsidRDefault="00274E2C" w:rsidP="006F1333">
      <w:pPr>
        <w:tabs>
          <w:tab w:val="left" w:pos="6521"/>
        </w:tabs>
        <w:rPr>
          <w:rFonts w:ascii="Times New Roman" w:hAnsi="Times New Roman" w:cs="Times New Roman"/>
          <w:bCs/>
          <w:iCs/>
          <w:sz w:val="28"/>
          <w:szCs w:val="28"/>
        </w:rPr>
      </w:pPr>
      <w:r>
        <w:rPr>
          <w:rFonts w:ascii="Times New Roman" w:hAnsi="Times New Roman" w:cs="Times New Roman"/>
          <w:bCs/>
          <w:iCs/>
          <w:sz w:val="28"/>
          <w:szCs w:val="28"/>
        </w:rPr>
        <w:t>Valsts se</w:t>
      </w:r>
      <w:bookmarkStart w:id="0" w:name="_GoBack"/>
      <w:bookmarkEnd w:id="0"/>
      <w:r>
        <w:rPr>
          <w:rFonts w:ascii="Times New Roman" w:hAnsi="Times New Roman" w:cs="Times New Roman"/>
          <w:bCs/>
          <w:iCs/>
          <w:sz w:val="28"/>
          <w:szCs w:val="28"/>
        </w:rPr>
        <w:t>kretārs</w:t>
      </w:r>
      <w:r>
        <w:rPr>
          <w:rFonts w:ascii="Times New Roman" w:hAnsi="Times New Roman" w:cs="Times New Roman"/>
          <w:bCs/>
          <w:iCs/>
          <w:sz w:val="28"/>
          <w:szCs w:val="28"/>
        </w:rPr>
        <w:tab/>
      </w:r>
      <w:proofErr w:type="spellStart"/>
      <w:r>
        <w:rPr>
          <w:rFonts w:ascii="Times New Roman" w:hAnsi="Times New Roman" w:cs="Times New Roman"/>
          <w:bCs/>
          <w:iCs/>
          <w:sz w:val="28"/>
          <w:szCs w:val="28"/>
        </w:rPr>
        <w:t>J.Stinka</w:t>
      </w:r>
      <w:proofErr w:type="spellEnd"/>
    </w:p>
    <w:p w14:paraId="031DC878" w14:textId="77777777" w:rsidR="00A97E7D" w:rsidRPr="002F5130" w:rsidRDefault="00A97E7D" w:rsidP="00A97E7D">
      <w:pPr>
        <w:tabs>
          <w:tab w:val="left" w:pos="990"/>
        </w:tabs>
        <w:rPr>
          <w:rFonts w:ascii="Times New Roman" w:eastAsia="Times New Roman" w:hAnsi="Times New Roman" w:cs="Times New Roman"/>
          <w:sz w:val="26"/>
          <w:szCs w:val="26"/>
          <w:lang w:eastAsia="lv-LV"/>
        </w:rPr>
      </w:pPr>
    </w:p>
    <w:p w14:paraId="0EF37AEC" w14:textId="505A448B" w:rsidR="002B42F8" w:rsidRPr="002B42F8" w:rsidRDefault="002B42F8" w:rsidP="002B42F8">
      <w:pPr>
        <w:rPr>
          <w:rFonts w:ascii="Times New Roman" w:hAnsi="Times New Roman" w:cs="Times New Roman"/>
          <w:sz w:val="20"/>
          <w:szCs w:val="20"/>
        </w:rPr>
      </w:pPr>
      <w:r w:rsidRPr="002B42F8">
        <w:rPr>
          <w:rFonts w:ascii="Times New Roman" w:hAnsi="Times New Roman" w:cs="Times New Roman"/>
          <w:sz w:val="20"/>
          <w:szCs w:val="20"/>
        </w:rPr>
        <w:t>2</w:t>
      </w:r>
      <w:r w:rsidR="00D242A2">
        <w:rPr>
          <w:rFonts w:ascii="Times New Roman" w:hAnsi="Times New Roman" w:cs="Times New Roman"/>
          <w:sz w:val="20"/>
          <w:szCs w:val="20"/>
        </w:rPr>
        <w:t>6</w:t>
      </w:r>
      <w:r w:rsidRPr="002B42F8">
        <w:rPr>
          <w:rFonts w:ascii="Times New Roman" w:hAnsi="Times New Roman" w:cs="Times New Roman"/>
          <w:sz w:val="20"/>
          <w:szCs w:val="20"/>
        </w:rPr>
        <w:t>.0</w:t>
      </w:r>
      <w:r w:rsidR="00356187">
        <w:rPr>
          <w:rFonts w:ascii="Times New Roman" w:hAnsi="Times New Roman" w:cs="Times New Roman"/>
          <w:sz w:val="20"/>
          <w:szCs w:val="20"/>
        </w:rPr>
        <w:t>7</w:t>
      </w:r>
      <w:r w:rsidRPr="002B42F8">
        <w:rPr>
          <w:rFonts w:ascii="Times New Roman" w:hAnsi="Times New Roman" w:cs="Times New Roman"/>
          <w:sz w:val="20"/>
          <w:szCs w:val="20"/>
        </w:rPr>
        <w:t>.2016. 13:40</w:t>
      </w:r>
    </w:p>
    <w:p w14:paraId="2DBF7771" w14:textId="77777777" w:rsidR="002B42F8" w:rsidRPr="002B42F8" w:rsidRDefault="002B42F8" w:rsidP="002B42F8">
      <w:pPr>
        <w:rPr>
          <w:rFonts w:ascii="Times New Roman" w:hAnsi="Times New Roman" w:cs="Times New Roman"/>
          <w:sz w:val="20"/>
          <w:szCs w:val="20"/>
        </w:rPr>
      </w:pPr>
      <w:r w:rsidRPr="002B42F8">
        <w:rPr>
          <w:rFonts w:ascii="Times New Roman" w:hAnsi="Times New Roman" w:cs="Times New Roman"/>
          <w:sz w:val="20"/>
          <w:szCs w:val="20"/>
        </w:rPr>
        <w:fldChar w:fldCharType="begin"/>
      </w:r>
      <w:r w:rsidRPr="002B42F8">
        <w:rPr>
          <w:rFonts w:ascii="Times New Roman" w:hAnsi="Times New Roman" w:cs="Times New Roman"/>
          <w:sz w:val="20"/>
          <w:szCs w:val="20"/>
        </w:rPr>
        <w:instrText xml:space="preserve"> NUMWORDS   \* MERGEFORMAT </w:instrText>
      </w:r>
      <w:r w:rsidRPr="002B42F8">
        <w:rPr>
          <w:rFonts w:ascii="Times New Roman" w:hAnsi="Times New Roman" w:cs="Times New Roman"/>
          <w:sz w:val="20"/>
          <w:szCs w:val="20"/>
        </w:rPr>
        <w:fldChar w:fldCharType="separate"/>
      </w:r>
      <w:r w:rsidR="00213EED">
        <w:rPr>
          <w:rFonts w:ascii="Times New Roman" w:hAnsi="Times New Roman" w:cs="Times New Roman"/>
          <w:noProof/>
          <w:sz w:val="20"/>
          <w:szCs w:val="20"/>
        </w:rPr>
        <w:t>1309</w:t>
      </w:r>
      <w:r w:rsidRPr="002B42F8">
        <w:rPr>
          <w:rFonts w:ascii="Times New Roman" w:hAnsi="Times New Roman" w:cs="Times New Roman"/>
          <w:sz w:val="20"/>
          <w:szCs w:val="20"/>
        </w:rPr>
        <w:fldChar w:fldCharType="end"/>
      </w:r>
    </w:p>
    <w:p w14:paraId="5EE49A24" w14:textId="77777777" w:rsidR="002B42F8" w:rsidRPr="002B42F8" w:rsidRDefault="002B42F8" w:rsidP="002B42F8">
      <w:pPr>
        <w:rPr>
          <w:rFonts w:ascii="Times New Roman" w:hAnsi="Times New Roman" w:cs="Times New Roman"/>
          <w:sz w:val="20"/>
          <w:szCs w:val="20"/>
        </w:rPr>
      </w:pPr>
      <w:proofErr w:type="spellStart"/>
      <w:r w:rsidRPr="002B42F8">
        <w:rPr>
          <w:rFonts w:ascii="Times New Roman" w:hAnsi="Times New Roman" w:cs="Times New Roman"/>
          <w:sz w:val="20"/>
          <w:szCs w:val="20"/>
        </w:rPr>
        <w:t>A.Apsītis</w:t>
      </w:r>
      <w:proofErr w:type="spellEnd"/>
      <w:r w:rsidRPr="002B42F8">
        <w:rPr>
          <w:rFonts w:ascii="Times New Roman" w:hAnsi="Times New Roman" w:cs="Times New Roman"/>
          <w:sz w:val="20"/>
          <w:szCs w:val="20"/>
        </w:rPr>
        <w:t>, 67365225</w:t>
      </w:r>
    </w:p>
    <w:p w14:paraId="02AF6398" w14:textId="02FA36EA" w:rsidR="002B42F8" w:rsidRDefault="002B42F8" w:rsidP="002B42F8">
      <w:pPr>
        <w:rPr>
          <w:rFonts w:ascii="Times New Roman" w:hAnsi="Times New Roman" w:cs="Times New Roman"/>
          <w:sz w:val="20"/>
          <w:szCs w:val="20"/>
        </w:rPr>
      </w:pPr>
      <w:r w:rsidRPr="002B42F8">
        <w:rPr>
          <w:rStyle w:val="Hyperlink"/>
          <w:rFonts w:ascii="Times New Roman" w:hAnsi="Times New Roman" w:cs="Times New Roman"/>
          <w:sz w:val="20"/>
          <w:szCs w:val="20"/>
        </w:rPr>
        <w:t>Antis.Apsitis@kp.gov.lv</w:t>
      </w:r>
    </w:p>
    <w:p w14:paraId="2555FD5F" w14:textId="77777777" w:rsidR="002B42F8" w:rsidRPr="002B42F8" w:rsidRDefault="002B42F8" w:rsidP="002B42F8">
      <w:pPr>
        <w:rPr>
          <w:rFonts w:ascii="Times New Roman" w:hAnsi="Times New Roman" w:cs="Times New Roman"/>
          <w:sz w:val="20"/>
          <w:szCs w:val="20"/>
        </w:rPr>
      </w:pPr>
      <w:proofErr w:type="spellStart"/>
      <w:r w:rsidRPr="002B42F8">
        <w:rPr>
          <w:rFonts w:ascii="Times New Roman" w:hAnsi="Times New Roman" w:cs="Times New Roman"/>
          <w:sz w:val="20"/>
          <w:szCs w:val="20"/>
        </w:rPr>
        <w:t>I.Eglītis</w:t>
      </w:r>
      <w:proofErr w:type="spellEnd"/>
      <w:r w:rsidRPr="002B42F8">
        <w:rPr>
          <w:rFonts w:ascii="Times New Roman" w:hAnsi="Times New Roman" w:cs="Times New Roman"/>
          <w:sz w:val="20"/>
          <w:szCs w:val="20"/>
        </w:rPr>
        <w:t>, 67013236</w:t>
      </w:r>
    </w:p>
    <w:p w14:paraId="7F482D01" w14:textId="38D1EF6A" w:rsidR="002B42F8" w:rsidRPr="0057037A" w:rsidRDefault="00213EED" w:rsidP="007D3EB1">
      <w:pPr>
        <w:rPr>
          <w:rFonts w:ascii="Times New Roman" w:hAnsi="Times New Roman" w:cs="Times New Roman"/>
          <w:sz w:val="20"/>
          <w:szCs w:val="20"/>
        </w:rPr>
      </w:pPr>
      <w:hyperlink r:id="rId24" w:history="1">
        <w:r w:rsidR="002B42F8" w:rsidRPr="002B42F8">
          <w:rPr>
            <w:rStyle w:val="Hyperlink"/>
            <w:rFonts w:ascii="Times New Roman" w:hAnsi="Times New Roman" w:cs="Times New Roman"/>
            <w:sz w:val="20"/>
            <w:szCs w:val="20"/>
          </w:rPr>
          <w:t>Intars.Eglitis@em.gov.lv</w:t>
        </w:r>
      </w:hyperlink>
    </w:p>
    <w:sectPr w:rsidR="002B42F8" w:rsidRPr="0057037A" w:rsidSect="00157C48">
      <w:headerReference w:type="default" r:id="rId25"/>
      <w:footerReference w:type="default" r:id="rId26"/>
      <w:footerReference w:type="first" r:id="rId2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AB251" w14:textId="77777777" w:rsidR="00943974" w:rsidRDefault="00943974" w:rsidP="00B26F44">
      <w:r>
        <w:separator/>
      </w:r>
    </w:p>
  </w:endnote>
  <w:endnote w:type="continuationSeparator" w:id="0">
    <w:p w14:paraId="65F27BA8" w14:textId="77777777" w:rsidR="00943974" w:rsidRDefault="00943974"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2AE9" w14:textId="56E2CF96" w:rsidR="00936525" w:rsidRPr="00936525" w:rsidRDefault="004F6D92" w:rsidP="00936525">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2832BB">
      <w:rPr>
        <w:rFonts w:ascii="Times New Roman" w:hAnsi="Times New Roman" w:cs="Times New Roman"/>
        <w:noProof/>
        <w:sz w:val="20"/>
        <w:szCs w:val="20"/>
      </w:rPr>
      <w:t>2</w:t>
    </w:r>
    <w:r w:rsidR="00D242A2">
      <w:rPr>
        <w:rFonts w:ascii="Times New Roman" w:hAnsi="Times New Roman" w:cs="Times New Roman"/>
        <w:noProof/>
        <w:sz w:val="20"/>
        <w:szCs w:val="20"/>
      </w:rPr>
      <w:t>6</w:t>
    </w:r>
    <w:r>
      <w:rPr>
        <w:rFonts w:ascii="Times New Roman" w:hAnsi="Times New Roman" w:cs="Times New Roman"/>
        <w:noProof/>
        <w:sz w:val="20"/>
        <w:szCs w:val="20"/>
      </w:rPr>
      <w:t>0</w:t>
    </w:r>
    <w:r w:rsidR="00356187">
      <w:rPr>
        <w:rFonts w:ascii="Times New Roman" w:hAnsi="Times New Roman" w:cs="Times New Roman"/>
        <w:noProof/>
        <w:sz w:val="20"/>
        <w:szCs w:val="20"/>
      </w:rPr>
      <w:t>7</w:t>
    </w:r>
    <w:r>
      <w:rPr>
        <w:rFonts w:ascii="Times New Roman" w:hAnsi="Times New Roman" w:cs="Times New Roman"/>
        <w:noProof/>
        <w:sz w:val="20"/>
        <w:szCs w:val="20"/>
      </w:rPr>
      <w:t>16_naudas sods</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sidRPr="00366439">
      <w:rPr>
        <w:rFonts w:ascii="Times New Roman" w:eastAsia="Times New Roman" w:hAnsi="Times New Roman" w:cs="Times New Roman"/>
        <w:bCs/>
        <w:sz w:val="20"/>
        <w:szCs w:val="20"/>
        <w:lang w:eastAsia="lv-LV"/>
      </w:rPr>
      <w:t>Ministru kabineta noteikumu projekta „Grozījumi Ministru kabineta 2016.gada 29.marta noteikumos Nr.179 “Kārtība, kādā nosakāms naudas sods par </w:t>
    </w:r>
    <w:hyperlink r:id="rId1" w:tgtFrame="_blank" w:history="1">
      <w:r w:rsidRPr="00366439">
        <w:rPr>
          <w:rFonts w:ascii="Times New Roman" w:eastAsia="Times New Roman" w:hAnsi="Times New Roman" w:cs="Times New Roman"/>
          <w:bCs/>
          <w:sz w:val="20"/>
          <w:szCs w:val="20"/>
          <w:lang w:eastAsia="lv-LV"/>
        </w:rPr>
        <w:t>Konkurences likuma</w:t>
      </w:r>
    </w:hyperlink>
    <w:r w:rsidRPr="00366439">
      <w:rPr>
        <w:rFonts w:ascii="Times New Roman" w:eastAsia="Times New Roman" w:hAnsi="Times New Roman" w:cs="Times New Roman"/>
        <w:bCs/>
        <w:sz w:val="20"/>
        <w:szCs w:val="20"/>
        <w:lang w:eastAsia="lv-LV"/>
      </w:rPr>
      <w:t> </w:t>
    </w:r>
    <w:hyperlink r:id="rId2" w:anchor="p11" w:tgtFrame="_blank" w:history="1">
      <w:r w:rsidRPr="00366439">
        <w:rPr>
          <w:rFonts w:ascii="Times New Roman" w:eastAsia="Times New Roman" w:hAnsi="Times New Roman" w:cs="Times New Roman"/>
          <w:bCs/>
          <w:sz w:val="20"/>
          <w:szCs w:val="20"/>
          <w:lang w:eastAsia="lv-LV"/>
        </w:rPr>
        <w:t>11. panta</w:t>
      </w:r>
    </w:hyperlink>
    <w:r w:rsidRPr="00366439">
      <w:rPr>
        <w:rFonts w:ascii="Times New Roman" w:eastAsia="Times New Roman" w:hAnsi="Times New Roman" w:cs="Times New Roman"/>
        <w:bCs/>
        <w:sz w:val="20"/>
        <w:szCs w:val="20"/>
        <w:lang w:eastAsia="lv-LV"/>
      </w:rPr>
      <w:t> pirmajā daļā un </w:t>
    </w:r>
    <w:hyperlink r:id="rId3" w:anchor="p13" w:tgtFrame="_blank" w:history="1">
      <w:r w:rsidRPr="00366439">
        <w:rPr>
          <w:rFonts w:ascii="Times New Roman" w:eastAsia="Times New Roman" w:hAnsi="Times New Roman" w:cs="Times New Roman"/>
          <w:bCs/>
          <w:sz w:val="20"/>
          <w:szCs w:val="20"/>
          <w:lang w:eastAsia="lv-LV"/>
        </w:rPr>
        <w:t>13. pantā</w:t>
      </w:r>
    </w:hyperlink>
    <w:r w:rsidRPr="00366439">
      <w:rPr>
        <w:rFonts w:ascii="Times New Roman" w:eastAsia="Times New Roman" w:hAnsi="Times New Roman" w:cs="Times New Roman"/>
        <w:bCs/>
        <w:sz w:val="20"/>
        <w:szCs w:val="20"/>
        <w:lang w:eastAsia="lv-LV"/>
      </w:rPr>
      <w:t> un </w:t>
    </w:r>
    <w:hyperlink r:id="rId4" w:tgtFrame="_blank" w:history="1">
      <w:r w:rsidRPr="00366439">
        <w:rPr>
          <w:rFonts w:ascii="Times New Roman" w:eastAsia="Times New Roman" w:hAnsi="Times New Roman" w:cs="Times New Roman"/>
          <w:bCs/>
          <w:sz w:val="20"/>
          <w:szCs w:val="20"/>
          <w:lang w:eastAsia="lv-LV"/>
        </w:rPr>
        <w:t>Negodīgas mazumtirdzniecības prakses aizlieguma likuma</w:t>
      </w:r>
    </w:hyperlink>
    <w:r w:rsidRPr="00366439">
      <w:rPr>
        <w:rFonts w:ascii="Times New Roman" w:eastAsia="Times New Roman" w:hAnsi="Times New Roman" w:cs="Times New Roman"/>
        <w:bCs/>
        <w:sz w:val="20"/>
        <w:szCs w:val="20"/>
        <w:lang w:eastAsia="lv-LV"/>
      </w:rPr>
      <w:t> </w:t>
    </w:r>
    <w:hyperlink r:id="rId5" w:anchor="p5" w:tgtFrame="_blank" w:history="1">
      <w:r w:rsidRPr="00366439">
        <w:rPr>
          <w:rFonts w:ascii="Times New Roman" w:eastAsia="Times New Roman" w:hAnsi="Times New Roman" w:cs="Times New Roman"/>
          <w:bCs/>
          <w:sz w:val="20"/>
          <w:szCs w:val="20"/>
          <w:lang w:eastAsia="lv-LV"/>
        </w:rPr>
        <w:t>5.</w:t>
      </w:r>
    </w:hyperlink>
    <w:r w:rsidRPr="00366439">
      <w:rPr>
        <w:rFonts w:ascii="Times New Roman" w:eastAsia="Times New Roman" w:hAnsi="Times New Roman" w:cs="Times New Roman"/>
        <w:bCs/>
        <w:sz w:val="20"/>
        <w:szCs w:val="20"/>
        <w:lang w:eastAsia="lv-LV"/>
      </w:rPr>
      <w:t>, </w:t>
    </w:r>
    <w:hyperlink r:id="rId6" w:anchor="p6" w:tgtFrame="_blank" w:history="1">
      <w:r w:rsidRPr="00366439">
        <w:rPr>
          <w:rFonts w:ascii="Times New Roman" w:eastAsia="Times New Roman" w:hAnsi="Times New Roman" w:cs="Times New Roman"/>
          <w:bCs/>
          <w:sz w:val="20"/>
          <w:szCs w:val="20"/>
          <w:lang w:eastAsia="lv-LV"/>
        </w:rPr>
        <w:t>6.</w:t>
      </w:r>
    </w:hyperlink>
    <w:r w:rsidRPr="00366439">
      <w:rPr>
        <w:rFonts w:ascii="Times New Roman" w:eastAsia="Times New Roman" w:hAnsi="Times New Roman" w:cs="Times New Roman"/>
        <w:bCs/>
        <w:sz w:val="20"/>
        <w:szCs w:val="20"/>
        <w:lang w:eastAsia="lv-LV"/>
      </w:rPr>
      <w:t>, </w:t>
    </w:r>
    <w:hyperlink r:id="rId7" w:anchor="p7" w:tgtFrame="_blank" w:history="1">
      <w:r w:rsidRPr="00366439">
        <w:rPr>
          <w:rFonts w:ascii="Times New Roman" w:eastAsia="Times New Roman" w:hAnsi="Times New Roman" w:cs="Times New Roman"/>
          <w:bCs/>
          <w:sz w:val="20"/>
          <w:szCs w:val="20"/>
          <w:lang w:eastAsia="lv-LV"/>
        </w:rPr>
        <w:t>7.</w:t>
      </w:r>
    </w:hyperlink>
    <w:r w:rsidRPr="00366439">
      <w:rPr>
        <w:rFonts w:ascii="Times New Roman" w:eastAsia="Times New Roman" w:hAnsi="Times New Roman" w:cs="Times New Roman"/>
        <w:bCs/>
        <w:sz w:val="20"/>
        <w:szCs w:val="20"/>
        <w:lang w:eastAsia="lv-LV"/>
      </w:rPr>
      <w:t>un </w:t>
    </w:r>
    <w:hyperlink r:id="rId8" w:anchor="p8" w:tgtFrame="_blank" w:history="1">
      <w:r w:rsidRPr="00366439">
        <w:rPr>
          <w:rFonts w:ascii="Times New Roman" w:eastAsia="Times New Roman" w:hAnsi="Times New Roman" w:cs="Times New Roman"/>
          <w:bCs/>
          <w:sz w:val="20"/>
          <w:szCs w:val="20"/>
          <w:lang w:eastAsia="lv-LV"/>
        </w:rPr>
        <w:t>8. pantā</w:t>
      </w:r>
    </w:hyperlink>
    <w:r w:rsidRPr="00366439">
      <w:rPr>
        <w:rFonts w:ascii="Times New Roman" w:eastAsia="Times New Roman" w:hAnsi="Times New Roman" w:cs="Times New Roman"/>
        <w:bCs/>
        <w:sz w:val="20"/>
        <w:szCs w:val="20"/>
        <w:lang w:eastAsia="lv-LV"/>
      </w:rPr>
      <w:t> paredzētajiem pārkāpumiem””</w:t>
    </w:r>
    <w:r>
      <w:rPr>
        <w:rFonts w:ascii="Times New Roman" w:eastAsia="Times New Roman" w:hAnsi="Times New Roman" w:cs="Times New Roman"/>
        <w:bCs/>
        <w:sz w:val="20"/>
        <w:szCs w:val="20"/>
        <w:lang w:eastAsia="lv-LV"/>
      </w:rPr>
      <w:t xml:space="preserve"> </w:t>
    </w:r>
    <w:r w:rsidRPr="00366439">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3AA6" w14:textId="10F1FE5B" w:rsidR="00E224EC" w:rsidRPr="00366439" w:rsidRDefault="00F46E5E" w:rsidP="00366439">
    <w:pPr>
      <w:jc w:val="both"/>
      <w:outlineLvl w:val="2"/>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2832BB">
      <w:rPr>
        <w:rFonts w:ascii="Times New Roman" w:hAnsi="Times New Roman" w:cs="Times New Roman"/>
        <w:noProof/>
        <w:sz w:val="20"/>
        <w:szCs w:val="20"/>
      </w:rPr>
      <w:t>2</w:t>
    </w:r>
    <w:r w:rsidR="00D242A2">
      <w:rPr>
        <w:rFonts w:ascii="Times New Roman" w:hAnsi="Times New Roman" w:cs="Times New Roman"/>
        <w:noProof/>
        <w:sz w:val="20"/>
        <w:szCs w:val="20"/>
      </w:rPr>
      <w:t>6</w:t>
    </w:r>
    <w:r w:rsidR="00366439">
      <w:rPr>
        <w:rFonts w:ascii="Times New Roman" w:hAnsi="Times New Roman" w:cs="Times New Roman"/>
        <w:noProof/>
        <w:sz w:val="20"/>
        <w:szCs w:val="20"/>
      </w:rPr>
      <w:t>0</w:t>
    </w:r>
    <w:r w:rsidR="00356187">
      <w:rPr>
        <w:rFonts w:ascii="Times New Roman" w:hAnsi="Times New Roman" w:cs="Times New Roman"/>
        <w:noProof/>
        <w:sz w:val="20"/>
        <w:szCs w:val="20"/>
      </w:rPr>
      <w:t>7</w:t>
    </w:r>
    <w:r w:rsidR="00366439">
      <w:rPr>
        <w:rFonts w:ascii="Times New Roman" w:hAnsi="Times New Roman" w:cs="Times New Roman"/>
        <w:noProof/>
        <w:sz w:val="20"/>
        <w:szCs w:val="20"/>
      </w:rPr>
      <w:t>16</w:t>
    </w:r>
    <w:r>
      <w:rPr>
        <w:rFonts w:ascii="Times New Roman" w:hAnsi="Times New Roman" w:cs="Times New Roman"/>
        <w:noProof/>
        <w:sz w:val="20"/>
        <w:szCs w:val="20"/>
      </w:rPr>
      <w:t>_naudas sods</w:t>
    </w:r>
    <w:r>
      <w:rPr>
        <w:rFonts w:ascii="Times New Roman" w:hAnsi="Times New Roman" w:cs="Times New Roman"/>
        <w:sz w:val="20"/>
        <w:szCs w:val="20"/>
      </w:rPr>
      <w:fldChar w:fldCharType="end"/>
    </w:r>
    <w:r w:rsidR="00E224EC">
      <w:rPr>
        <w:rFonts w:ascii="Times New Roman" w:hAnsi="Times New Roman" w:cs="Times New Roman"/>
        <w:sz w:val="20"/>
        <w:szCs w:val="20"/>
      </w:rPr>
      <w:t>;</w:t>
    </w:r>
    <w:r w:rsidR="00E224EC" w:rsidRPr="004D45F5">
      <w:rPr>
        <w:rFonts w:ascii="Times New Roman" w:hAnsi="Times New Roman" w:cs="Times New Roman"/>
        <w:sz w:val="20"/>
        <w:szCs w:val="20"/>
      </w:rPr>
      <w:t xml:space="preserve"> </w:t>
    </w:r>
    <w:r w:rsidR="00366439" w:rsidRPr="00366439">
      <w:rPr>
        <w:rFonts w:ascii="Times New Roman" w:eastAsia="Times New Roman" w:hAnsi="Times New Roman" w:cs="Times New Roman"/>
        <w:bCs/>
        <w:sz w:val="20"/>
        <w:szCs w:val="20"/>
        <w:lang w:eastAsia="lv-LV"/>
      </w:rPr>
      <w:t>Ministru kabineta noteikumu projekta „Grozījumi Ministru kabineta 2016.gada 29.marta noteikumos Nr.179 “Kārtība, kādā nosakāms naudas sods par </w:t>
    </w:r>
    <w:hyperlink r:id="rId1" w:tgtFrame="_blank" w:history="1">
      <w:r w:rsidR="00366439" w:rsidRPr="00366439">
        <w:rPr>
          <w:rFonts w:ascii="Times New Roman" w:eastAsia="Times New Roman" w:hAnsi="Times New Roman" w:cs="Times New Roman"/>
          <w:bCs/>
          <w:sz w:val="20"/>
          <w:szCs w:val="20"/>
          <w:lang w:eastAsia="lv-LV"/>
        </w:rPr>
        <w:t>Konkurences likuma</w:t>
      </w:r>
    </w:hyperlink>
    <w:r w:rsidR="00366439" w:rsidRPr="00366439">
      <w:rPr>
        <w:rFonts w:ascii="Times New Roman" w:eastAsia="Times New Roman" w:hAnsi="Times New Roman" w:cs="Times New Roman"/>
        <w:bCs/>
        <w:sz w:val="20"/>
        <w:szCs w:val="20"/>
        <w:lang w:eastAsia="lv-LV"/>
      </w:rPr>
      <w:t> </w:t>
    </w:r>
    <w:hyperlink r:id="rId2" w:anchor="p11" w:tgtFrame="_blank" w:history="1">
      <w:r w:rsidR="00366439" w:rsidRPr="00366439">
        <w:rPr>
          <w:rFonts w:ascii="Times New Roman" w:eastAsia="Times New Roman" w:hAnsi="Times New Roman" w:cs="Times New Roman"/>
          <w:bCs/>
          <w:sz w:val="20"/>
          <w:szCs w:val="20"/>
          <w:lang w:eastAsia="lv-LV"/>
        </w:rPr>
        <w:t>11. panta</w:t>
      </w:r>
    </w:hyperlink>
    <w:r w:rsidR="00366439" w:rsidRPr="00366439">
      <w:rPr>
        <w:rFonts w:ascii="Times New Roman" w:eastAsia="Times New Roman" w:hAnsi="Times New Roman" w:cs="Times New Roman"/>
        <w:bCs/>
        <w:sz w:val="20"/>
        <w:szCs w:val="20"/>
        <w:lang w:eastAsia="lv-LV"/>
      </w:rPr>
      <w:t> pirmajā daļā un </w:t>
    </w:r>
    <w:hyperlink r:id="rId3" w:anchor="p13" w:tgtFrame="_blank" w:history="1">
      <w:r w:rsidR="00366439" w:rsidRPr="00366439">
        <w:rPr>
          <w:rFonts w:ascii="Times New Roman" w:eastAsia="Times New Roman" w:hAnsi="Times New Roman" w:cs="Times New Roman"/>
          <w:bCs/>
          <w:sz w:val="20"/>
          <w:szCs w:val="20"/>
          <w:lang w:eastAsia="lv-LV"/>
        </w:rPr>
        <w:t>13. pantā</w:t>
      </w:r>
    </w:hyperlink>
    <w:r w:rsidR="00366439" w:rsidRPr="00366439">
      <w:rPr>
        <w:rFonts w:ascii="Times New Roman" w:eastAsia="Times New Roman" w:hAnsi="Times New Roman" w:cs="Times New Roman"/>
        <w:bCs/>
        <w:sz w:val="20"/>
        <w:szCs w:val="20"/>
        <w:lang w:eastAsia="lv-LV"/>
      </w:rPr>
      <w:t> un </w:t>
    </w:r>
    <w:hyperlink r:id="rId4" w:tgtFrame="_blank" w:history="1">
      <w:r w:rsidR="00366439" w:rsidRPr="00366439">
        <w:rPr>
          <w:rFonts w:ascii="Times New Roman" w:eastAsia="Times New Roman" w:hAnsi="Times New Roman" w:cs="Times New Roman"/>
          <w:bCs/>
          <w:sz w:val="20"/>
          <w:szCs w:val="20"/>
          <w:lang w:eastAsia="lv-LV"/>
        </w:rPr>
        <w:t>Negodīgas mazumtirdzniecības prakses aizlieguma likuma</w:t>
      </w:r>
    </w:hyperlink>
    <w:r w:rsidR="00366439" w:rsidRPr="00366439">
      <w:rPr>
        <w:rFonts w:ascii="Times New Roman" w:eastAsia="Times New Roman" w:hAnsi="Times New Roman" w:cs="Times New Roman"/>
        <w:bCs/>
        <w:sz w:val="20"/>
        <w:szCs w:val="20"/>
        <w:lang w:eastAsia="lv-LV"/>
      </w:rPr>
      <w:t> </w:t>
    </w:r>
    <w:hyperlink r:id="rId5" w:anchor="p5" w:tgtFrame="_blank" w:history="1">
      <w:r w:rsidR="00366439" w:rsidRPr="00366439">
        <w:rPr>
          <w:rFonts w:ascii="Times New Roman" w:eastAsia="Times New Roman" w:hAnsi="Times New Roman" w:cs="Times New Roman"/>
          <w:bCs/>
          <w:sz w:val="20"/>
          <w:szCs w:val="20"/>
          <w:lang w:eastAsia="lv-LV"/>
        </w:rPr>
        <w:t>5.</w:t>
      </w:r>
    </w:hyperlink>
    <w:r w:rsidR="00366439" w:rsidRPr="00366439">
      <w:rPr>
        <w:rFonts w:ascii="Times New Roman" w:eastAsia="Times New Roman" w:hAnsi="Times New Roman" w:cs="Times New Roman"/>
        <w:bCs/>
        <w:sz w:val="20"/>
        <w:szCs w:val="20"/>
        <w:lang w:eastAsia="lv-LV"/>
      </w:rPr>
      <w:t>, </w:t>
    </w:r>
    <w:hyperlink r:id="rId6" w:anchor="p6" w:tgtFrame="_blank" w:history="1">
      <w:r w:rsidR="00366439" w:rsidRPr="00366439">
        <w:rPr>
          <w:rFonts w:ascii="Times New Roman" w:eastAsia="Times New Roman" w:hAnsi="Times New Roman" w:cs="Times New Roman"/>
          <w:bCs/>
          <w:sz w:val="20"/>
          <w:szCs w:val="20"/>
          <w:lang w:eastAsia="lv-LV"/>
        </w:rPr>
        <w:t>6.</w:t>
      </w:r>
    </w:hyperlink>
    <w:r w:rsidR="00366439" w:rsidRPr="00366439">
      <w:rPr>
        <w:rFonts w:ascii="Times New Roman" w:eastAsia="Times New Roman" w:hAnsi="Times New Roman" w:cs="Times New Roman"/>
        <w:bCs/>
        <w:sz w:val="20"/>
        <w:szCs w:val="20"/>
        <w:lang w:eastAsia="lv-LV"/>
      </w:rPr>
      <w:t>, </w:t>
    </w:r>
    <w:hyperlink r:id="rId7" w:anchor="p7" w:tgtFrame="_blank" w:history="1">
      <w:r w:rsidR="00366439" w:rsidRPr="00366439">
        <w:rPr>
          <w:rFonts w:ascii="Times New Roman" w:eastAsia="Times New Roman" w:hAnsi="Times New Roman" w:cs="Times New Roman"/>
          <w:bCs/>
          <w:sz w:val="20"/>
          <w:szCs w:val="20"/>
          <w:lang w:eastAsia="lv-LV"/>
        </w:rPr>
        <w:t>7.</w:t>
      </w:r>
    </w:hyperlink>
    <w:r w:rsidR="00366439" w:rsidRPr="00366439">
      <w:rPr>
        <w:rFonts w:ascii="Times New Roman" w:eastAsia="Times New Roman" w:hAnsi="Times New Roman" w:cs="Times New Roman"/>
        <w:bCs/>
        <w:sz w:val="20"/>
        <w:szCs w:val="20"/>
        <w:lang w:eastAsia="lv-LV"/>
      </w:rPr>
      <w:t>un </w:t>
    </w:r>
    <w:hyperlink r:id="rId8" w:anchor="p8" w:tgtFrame="_blank" w:history="1">
      <w:r w:rsidR="00366439" w:rsidRPr="00366439">
        <w:rPr>
          <w:rFonts w:ascii="Times New Roman" w:eastAsia="Times New Roman" w:hAnsi="Times New Roman" w:cs="Times New Roman"/>
          <w:bCs/>
          <w:sz w:val="20"/>
          <w:szCs w:val="20"/>
          <w:lang w:eastAsia="lv-LV"/>
        </w:rPr>
        <w:t>8. pantā</w:t>
      </w:r>
    </w:hyperlink>
    <w:r w:rsidR="00366439" w:rsidRPr="00366439">
      <w:rPr>
        <w:rFonts w:ascii="Times New Roman" w:eastAsia="Times New Roman" w:hAnsi="Times New Roman" w:cs="Times New Roman"/>
        <w:bCs/>
        <w:sz w:val="20"/>
        <w:szCs w:val="20"/>
        <w:lang w:eastAsia="lv-LV"/>
      </w:rPr>
      <w:t> paredzētajiem pārkāpumiem””</w:t>
    </w:r>
    <w:r w:rsidR="00366439">
      <w:rPr>
        <w:rFonts w:ascii="Times New Roman" w:eastAsia="Times New Roman" w:hAnsi="Times New Roman" w:cs="Times New Roman"/>
        <w:bCs/>
        <w:sz w:val="20"/>
        <w:szCs w:val="20"/>
        <w:lang w:eastAsia="lv-LV"/>
      </w:rPr>
      <w:t xml:space="preserve"> </w:t>
    </w:r>
    <w:r w:rsidR="00366439" w:rsidRPr="00366439">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B254E" w14:textId="77777777" w:rsidR="00943974" w:rsidRDefault="00943974" w:rsidP="00B26F44">
      <w:r>
        <w:separator/>
      </w:r>
    </w:p>
  </w:footnote>
  <w:footnote w:type="continuationSeparator" w:id="0">
    <w:p w14:paraId="2E033946" w14:textId="77777777" w:rsidR="00943974" w:rsidRDefault="00943974" w:rsidP="00B2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4131036"/>
      <w:docPartObj>
        <w:docPartGallery w:val="Page Numbers (Top of Page)"/>
        <w:docPartUnique/>
      </w:docPartObj>
    </w:sdtPr>
    <w:sdtEndPr>
      <w:rPr>
        <w:noProof/>
      </w:rPr>
    </w:sdtEndPr>
    <w:sdtContent>
      <w:p w14:paraId="4A4DF19C" w14:textId="77777777" w:rsidR="00E46B2B" w:rsidRPr="00524EEC" w:rsidRDefault="00CE13B2">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213EED">
          <w:rPr>
            <w:rFonts w:ascii="Times New Roman" w:hAnsi="Times New Roman" w:cs="Times New Roman"/>
            <w:noProof/>
          </w:rPr>
          <w:t>4</w:t>
        </w:r>
        <w:r w:rsidRPr="00524E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1463D1"/>
    <w:multiLevelType w:val="hybridMultilevel"/>
    <w:tmpl w:val="17349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BA1F74"/>
    <w:multiLevelType w:val="hybridMultilevel"/>
    <w:tmpl w:val="D7684B34"/>
    <w:lvl w:ilvl="0" w:tplc="04260011">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7A433DE6"/>
    <w:multiLevelType w:val="hybridMultilevel"/>
    <w:tmpl w:val="C396EBC8"/>
    <w:lvl w:ilvl="0" w:tplc="A59CCD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D"/>
    <w:rsid w:val="00012631"/>
    <w:rsid w:val="000154CD"/>
    <w:rsid w:val="000259E4"/>
    <w:rsid w:val="000379CC"/>
    <w:rsid w:val="0004351C"/>
    <w:rsid w:val="0004392C"/>
    <w:rsid w:val="000470EF"/>
    <w:rsid w:val="0005443F"/>
    <w:rsid w:val="00055FD7"/>
    <w:rsid w:val="0006132A"/>
    <w:rsid w:val="00062482"/>
    <w:rsid w:val="00062C03"/>
    <w:rsid w:val="00067432"/>
    <w:rsid w:val="000728B9"/>
    <w:rsid w:val="00077045"/>
    <w:rsid w:val="000B19A0"/>
    <w:rsid w:val="000C09E9"/>
    <w:rsid w:val="000D1047"/>
    <w:rsid w:val="000D24AD"/>
    <w:rsid w:val="000D3D58"/>
    <w:rsid w:val="000D73CF"/>
    <w:rsid w:val="000E56D8"/>
    <w:rsid w:val="001029C4"/>
    <w:rsid w:val="001059A6"/>
    <w:rsid w:val="00106524"/>
    <w:rsid w:val="001200D0"/>
    <w:rsid w:val="00122392"/>
    <w:rsid w:val="00125EFD"/>
    <w:rsid w:val="00126C60"/>
    <w:rsid w:val="00132761"/>
    <w:rsid w:val="0014112E"/>
    <w:rsid w:val="001428F2"/>
    <w:rsid w:val="00145083"/>
    <w:rsid w:val="00146E31"/>
    <w:rsid w:val="00147934"/>
    <w:rsid w:val="00153344"/>
    <w:rsid w:val="00156115"/>
    <w:rsid w:val="00157C48"/>
    <w:rsid w:val="00165127"/>
    <w:rsid w:val="001668E9"/>
    <w:rsid w:val="00171D2E"/>
    <w:rsid w:val="00173E09"/>
    <w:rsid w:val="00176DE8"/>
    <w:rsid w:val="00181139"/>
    <w:rsid w:val="00191462"/>
    <w:rsid w:val="00197DBD"/>
    <w:rsid w:val="001B1CA1"/>
    <w:rsid w:val="001C5E54"/>
    <w:rsid w:val="001C7201"/>
    <w:rsid w:val="001D075C"/>
    <w:rsid w:val="001D6A7E"/>
    <w:rsid w:val="001E36A9"/>
    <w:rsid w:val="001F0B83"/>
    <w:rsid w:val="001F1083"/>
    <w:rsid w:val="001F3764"/>
    <w:rsid w:val="002015E4"/>
    <w:rsid w:val="00205784"/>
    <w:rsid w:val="002105DD"/>
    <w:rsid w:val="00213EED"/>
    <w:rsid w:val="00216080"/>
    <w:rsid w:val="00222214"/>
    <w:rsid w:val="0022316C"/>
    <w:rsid w:val="002271D9"/>
    <w:rsid w:val="0023195D"/>
    <w:rsid w:val="002360C3"/>
    <w:rsid w:val="002411F3"/>
    <w:rsid w:val="00245E19"/>
    <w:rsid w:val="00251EC1"/>
    <w:rsid w:val="00255160"/>
    <w:rsid w:val="00255B63"/>
    <w:rsid w:val="00262D5B"/>
    <w:rsid w:val="00273068"/>
    <w:rsid w:val="00274E2C"/>
    <w:rsid w:val="00275F2F"/>
    <w:rsid w:val="002832BB"/>
    <w:rsid w:val="002836F7"/>
    <w:rsid w:val="00291CF9"/>
    <w:rsid w:val="00296609"/>
    <w:rsid w:val="002A2C2C"/>
    <w:rsid w:val="002A4188"/>
    <w:rsid w:val="002A77EB"/>
    <w:rsid w:val="002B42F8"/>
    <w:rsid w:val="002B7A4D"/>
    <w:rsid w:val="002C19DE"/>
    <w:rsid w:val="002D25A1"/>
    <w:rsid w:val="002E4EE1"/>
    <w:rsid w:val="002E7535"/>
    <w:rsid w:val="002F1BBE"/>
    <w:rsid w:val="002F2899"/>
    <w:rsid w:val="002F5130"/>
    <w:rsid w:val="002F6037"/>
    <w:rsid w:val="003026D5"/>
    <w:rsid w:val="0031172D"/>
    <w:rsid w:val="003204EB"/>
    <w:rsid w:val="003419A1"/>
    <w:rsid w:val="003430F3"/>
    <w:rsid w:val="003548A1"/>
    <w:rsid w:val="00356187"/>
    <w:rsid w:val="00357EA0"/>
    <w:rsid w:val="0036293E"/>
    <w:rsid w:val="00366439"/>
    <w:rsid w:val="00372D28"/>
    <w:rsid w:val="00391979"/>
    <w:rsid w:val="0039574D"/>
    <w:rsid w:val="003968ED"/>
    <w:rsid w:val="003A1E0B"/>
    <w:rsid w:val="003A778A"/>
    <w:rsid w:val="003B011D"/>
    <w:rsid w:val="003B14F5"/>
    <w:rsid w:val="003B15A0"/>
    <w:rsid w:val="003B19C8"/>
    <w:rsid w:val="003B633E"/>
    <w:rsid w:val="003C0443"/>
    <w:rsid w:val="003D6887"/>
    <w:rsid w:val="003E0314"/>
    <w:rsid w:val="003E2936"/>
    <w:rsid w:val="003E2C8E"/>
    <w:rsid w:val="00402566"/>
    <w:rsid w:val="00402B4D"/>
    <w:rsid w:val="00413DDF"/>
    <w:rsid w:val="00424954"/>
    <w:rsid w:val="00437761"/>
    <w:rsid w:val="0044465B"/>
    <w:rsid w:val="00445D14"/>
    <w:rsid w:val="00461447"/>
    <w:rsid w:val="00464CC1"/>
    <w:rsid w:val="00465154"/>
    <w:rsid w:val="00467ECC"/>
    <w:rsid w:val="0047073D"/>
    <w:rsid w:val="004730F5"/>
    <w:rsid w:val="00473ECF"/>
    <w:rsid w:val="004753AF"/>
    <w:rsid w:val="004777B4"/>
    <w:rsid w:val="0048231E"/>
    <w:rsid w:val="00482537"/>
    <w:rsid w:val="00482D05"/>
    <w:rsid w:val="0049117A"/>
    <w:rsid w:val="00495F31"/>
    <w:rsid w:val="004A3E5A"/>
    <w:rsid w:val="004A6903"/>
    <w:rsid w:val="004B15C6"/>
    <w:rsid w:val="004B4851"/>
    <w:rsid w:val="004E53F9"/>
    <w:rsid w:val="004E5F93"/>
    <w:rsid w:val="004F48CA"/>
    <w:rsid w:val="004F6D92"/>
    <w:rsid w:val="005052F3"/>
    <w:rsid w:val="00510A3F"/>
    <w:rsid w:val="00524EEC"/>
    <w:rsid w:val="00527B8F"/>
    <w:rsid w:val="005302BC"/>
    <w:rsid w:val="00533CFB"/>
    <w:rsid w:val="00540925"/>
    <w:rsid w:val="00541AAD"/>
    <w:rsid w:val="00545566"/>
    <w:rsid w:val="00567B74"/>
    <w:rsid w:val="0057037A"/>
    <w:rsid w:val="0057091C"/>
    <w:rsid w:val="005748DE"/>
    <w:rsid w:val="0057717D"/>
    <w:rsid w:val="00577271"/>
    <w:rsid w:val="0058056C"/>
    <w:rsid w:val="00583B9D"/>
    <w:rsid w:val="00585B79"/>
    <w:rsid w:val="00597096"/>
    <w:rsid w:val="00597346"/>
    <w:rsid w:val="005A550D"/>
    <w:rsid w:val="005A5876"/>
    <w:rsid w:val="005B4287"/>
    <w:rsid w:val="005C5482"/>
    <w:rsid w:val="005D41EB"/>
    <w:rsid w:val="005E56BC"/>
    <w:rsid w:val="005F0609"/>
    <w:rsid w:val="005F2931"/>
    <w:rsid w:val="005F67C3"/>
    <w:rsid w:val="00600996"/>
    <w:rsid w:val="00602027"/>
    <w:rsid w:val="00602ED3"/>
    <w:rsid w:val="00605F43"/>
    <w:rsid w:val="006061A4"/>
    <w:rsid w:val="00607564"/>
    <w:rsid w:val="00612492"/>
    <w:rsid w:val="00614E13"/>
    <w:rsid w:val="00620A33"/>
    <w:rsid w:val="00622352"/>
    <w:rsid w:val="006242BA"/>
    <w:rsid w:val="00627830"/>
    <w:rsid w:val="006339C2"/>
    <w:rsid w:val="00636FD1"/>
    <w:rsid w:val="00642796"/>
    <w:rsid w:val="00643C5E"/>
    <w:rsid w:val="00655F9B"/>
    <w:rsid w:val="00690A49"/>
    <w:rsid w:val="00693974"/>
    <w:rsid w:val="00693D49"/>
    <w:rsid w:val="00695ABC"/>
    <w:rsid w:val="006974B4"/>
    <w:rsid w:val="006A7A29"/>
    <w:rsid w:val="006C07EF"/>
    <w:rsid w:val="006D0E11"/>
    <w:rsid w:val="006F099F"/>
    <w:rsid w:val="006F1333"/>
    <w:rsid w:val="006F524C"/>
    <w:rsid w:val="006F6F21"/>
    <w:rsid w:val="00720700"/>
    <w:rsid w:val="00720F5F"/>
    <w:rsid w:val="007304A3"/>
    <w:rsid w:val="00735BBA"/>
    <w:rsid w:val="00742222"/>
    <w:rsid w:val="007427BA"/>
    <w:rsid w:val="00747602"/>
    <w:rsid w:val="007522CA"/>
    <w:rsid w:val="00764007"/>
    <w:rsid w:val="00773C1B"/>
    <w:rsid w:val="007742F1"/>
    <w:rsid w:val="0077794B"/>
    <w:rsid w:val="0078432A"/>
    <w:rsid w:val="00786A66"/>
    <w:rsid w:val="00790102"/>
    <w:rsid w:val="0079262E"/>
    <w:rsid w:val="00794971"/>
    <w:rsid w:val="007A5BB9"/>
    <w:rsid w:val="007B2D70"/>
    <w:rsid w:val="007B34C1"/>
    <w:rsid w:val="007B6714"/>
    <w:rsid w:val="007B7FFB"/>
    <w:rsid w:val="007C13DF"/>
    <w:rsid w:val="007D292A"/>
    <w:rsid w:val="007D3EB1"/>
    <w:rsid w:val="007D5C8B"/>
    <w:rsid w:val="007E25D9"/>
    <w:rsid w:val="007F0E9F"/>
    <w:rsid w:val="007F28DC"/>
    <w:rsid w:val="007F3755"/>
    <w:rsid w:val="007F6F49"/>
    <w:rsid w:val="007F7756"/>
    <w:rsid w:val="00803DFD"/>
    <w:rsid w:val="00814EF8"/>
    <w:rsid w:val="00815AD4"/>
    <w:rsid w:val="00817CB4"/>
    <w:rsid w:val="00822678"/>
    <w:rsid w:val="00823BFB"/>
    <w:rsid w:val="00824022"/>
    <w:rsid w:val="00830068"/>
    <w:rsid w:val="008328A3"/>
    <w:rsid w:val="008352D3"/>
    <w:rsid w:val="00843AEF"/>
    <w:rsid w:val="008545E7"/>
    <w:rsid w:val="00870DFF"/>
    <w:rsid w:val="00874519"/>
    <w:rsid w:val="008763D1"/>
    <w:rsid w:val="008837F5"/>
    <w:rsid w:val="008843B5"/>
    <w:rsid w:val="00892A5C"/>
    <w:rsid w:val="00894183"/>
    <w:rsid w:val="008A5F62"/>
    <w:rsid w:val="008B232C"/>
    <w:rsid w:val="008C0618"/>
    <w:rsid w:val="008C0646"/>
    <w:rsid w:val="008E4FE6"/>
    <w:rsid w:val="008F42E1"/>
    <w:rsid w:val="008F6841"/>
    <w:rsid w:val="0090491D"/>
    <w:rsid w:val="009066AA"/>
    <w:rsid w:val="00914352"/>
    <w:rsid w:val="009157BB"/>
    <w:rsid w:val="00915EF6"/>
    <w:rsid w:val="00917FA0"/>
    <w:rsid w:val="00924641"/>
    <w:rsid w:val="009409E5"/>
    <w:rsid w:val="00942DB1"/>
    <w:rsid w:val="00943974"/>
    <w:rsid w:val="009552CA"/>
    <w:rsid w:val="00964628"/>
    <w:rsid w:val="00965D62"/>
    <w:rsid w:val="00966BCC"/>
    <w:rsid w:val="009827CA"/>
    <w:rsid w:val="00995A0B"/>
    <w:rsid w:val="009A3A27"/>
    <w:rsid w:val="009B60AB"/>
    <w:rsid w:val="009B70A1"/>
    <w:rsid w:val="00A03D9D"/>
    <w:rsid w:val="00A06342"/>
    <w:rsid w:val="00A069D7"/>
    <w:rsid w:val="00A06F27"/>
    <w:rsid w:val="00A27E42"/>
    <w:rsid w:val="00A317BA"/>
    <w:rsid w:val="00A32144"/>
    <w:rsid w:val="00A44FC3"/>
    <w:rsid w:val="00A45217"/>
    <w:rsid w:val="00A51CE3"/>
    <w:rsid w:val="00A535F7"/>
    <w:rsid w:val="00A55C07"/>
    <w:rsid w:val="00A853C5"/>
    <w:rsid w:val="00A85C82"/>
    <w:rsid w:val="00A86745"/>
    <w:rsid w:val="00A90492"/>
    <w:rsid w:val="00A9750D"/>
    <w:rsid w:val="00A97E7D"/>
    <w:rsid w:val="00AA109D"/>
    <w:rsid w:val="00AA4283"/>
    <w:rsid w:val="00AA5F88"/>
    <w:rsid w:val="00AC1DC1"/>
    <w:rsid w:val="00AD515B"/>
    <w:rsid w:val="00AD53A0"/>
    <w:rsid w:val="00AE0705"/>
    <w:rsid w:val="00AE1893"/>
    <w:rsid w:val="00AE516B"/>
    <w:rsid w:val="00B04358"/>
    <w:rsid w:val="00B131BD"/>
    <w:rsid w:val="00B26F44"/>
    <w:rsid w:val="00B27C79"/>
    <w:rsid w:val="00B405A1"/>
    <w:rsid w:val="00B50475"/>
    <w:rsid w:val="00B56ABC"/>
    <w:rsid w:val="00B84E73"/>
    <w:rsid w:val="00B954E6"/>
    <w:rsid w:val="00BA4FFA"/>
    <w:rsid w:val="00BC0505"/>
    <w:rsid w:val="00BC4097"/>
    <w:rsid w:val="00BC6AC3"/>
    <w:rsid w:val="00BD3111"/>
    <w:rsid w:val="00BE2189"/>
    <w:rsid w:val="00BF034B"/>
    <w:rsid w:val="00BF4D2C"/>
    <w:rsid w:val="00BF77C7"/>
    <w:rsid w:val="00C253EA"/>
    <w:rsid w:val="00C26904"/>
    <w:rsid w:val="00C370E7"/>
    <w:rsid w:val="00C37325"/>
    <w:rsid w:val="00C56256"/>
    <w:rsid w:val="00C75DB8"/>
    <w:rsid w:val="00C83E3B"/>
    <w:rsid w:val="00C87146"/>
    <w:rsid w:val="00C93299"/>
    <w:rsid w:val="00C95F0D"/>
    <w:rsid w:val="00CA4F21"/>
    <w:rsid w:val="00CB0A64"/>
    <w:rsid w:val="00CC65A4"/>
    <w:rsid w:val="00CD3D06"/>
    <w:rsid w:val="00CE13B2"/>
    <w:rsid w:val="00CF00F0"/>
    <w:rsid w:val="00CF7DB5"/>
    <w:rsid w:val="00D242A2"/>
    <w:rsid w:val="00D26A21"/>
    <w:rsid w:val="00D35C9E"/>
    <w:rsid w:val="00D368E7"/>
    <w:rsid w:val="00D65CB4"/>
    <w:rsid w:val="00D74E57"/>
    <w:rsid w:val="00D80591"/>
    <w:rsid w:val="00D828C1"/>
    <w:rsid w:val="00D90F58"/>
    <w:rsid w:val="00D910F5"/>
    <w:rsid w:val="00D92B7B"/>
    <w:rsid w:val="00D97336"/>
    <w:rsid w:val="00DA025B"/>
    <w:rsid w:val="00DA124D"/>
    <w:rsid w:val="00DA42E0"/>
    <w:rsid w:val="00DB2251"/>
    <w:rsid w:val="00DB64B3"/>
    <w:rsid w:val="00DB6908"/>
    <w:rsid w:val="00DC58E6"/>
    <w:rsid w:val="00DE2A92"/>
    <w:rsid w:val="00DE4B04"/>
    <w:rsid w:val="00DE5BB7"/>
    <w:rsid w:val="00DF0623"/>
    <w:rsid w:val="00E078EA"/>
    <w:rsid w:val="00E07F49"/>
    <w:rsid w:val="00E10A54"/>
    <w:rsid w:val="00E20B9E"/>
    <w:rsid w:val="00E224EC"/>
    <w:rsid w:val="00E231C1"/>
    <w:rsid w:val="00E3212C"/>
    <w:rsid w:val="00E45842"/>
    <w:rsid w:val="00E45ED3"/>
    <w:rsid w:val="00E631CD"/>
    <w:rsid w:val="00E6401D"/>
    <w:rsid w:val="00E81C37"/>
    <w:rsid w:val="00E95C3F"/>
    <w:rsid w:val="00EA044F"/>
    <w:rsid w:val="00EB334E"/>
    <w:rsid w:val="00EC32EB"/>
    <w:rsid w:val="00EC5680"/>
    <w:rsid w:val="00EC7BFA"/>
    <w:rsid w:val="00ED1705"/>
    <w:rsid w:val="00ED3ED0"/>
    <w:rsid w:val="00EE310C"/>
    <w:rsid w:val="00F04B5F"/>
    <w:rsid w:val="00F155FB"/>
    <w:rsid w:val="00F17FD2"/>
    <w:rsid w:val="00F25825"/>
    <w:rsid w:val="00F25D24"/>
    <w:rsid w:val="00F30288"/>
    <w:rsid w:val="00F36AF5"/>
    <w:rsid w:val="00F4353B"/>
    <w:rsid w:val="00F46E5E"/>
    <w:rsid w:val="00F77C49"/>
    <w:rsid w:val="00F8521B"/>
    <w:rsid w:val="00FA1DF3"/>
    <w:rsid w:val="00FA6E27"/>
    <w:rsid w:val="00FB21B7"/>
    <w:rsid w:val="00FC639C"/>
    <w:rsid w:val="00FD3A3B"/>
    <w:rsid w:val="00FD5BDF"/>
    <w:rsid w:val="00FD5FE1"/>
    <w:rsid w:val="00FE4BE0"/>
    <w:rsid w:val="00FF2ECB"/>
    <w:rsid w:val="00FF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61B84360"/>
  <w15:docId w15:val="{31191D68-2F53-4503-AA21-642EB68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nhideWhenUsed/>
    <w:rsid w:val="00B26F44"/>
    <w:pPr>
      <w:tabs>
        <w:tab w:val="center" w:pos="4153"/>
        <w:tab w:val="right" w:pos="8306"/>
      </w:tabs>
    </w:pPr>
  </w:style>
  <w:style w:type="character" w:customStyle="1" w:styleId="FooterChar">
    <w:name w:val="Footer Char"/>
    <w:basedOn w:val="DefaultParagraphFont"/>
    <w:link w:val="Footer"/>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FootnoteText">
    <w:name w:val="footnote text"/>
    <w:basedOn w:val="Normal"/>
    <w:link w:val="FootnoteTextChar"/>
    <w:uiPriority w:val="99"/>
    <w:semiHidden/>
    <w:unhideWhenUsed/>
    <w:rsid w:val="00735BBA"/>
    <w:rPr>
      <w:sz w:val="20"/>
      <w:szCs w:val="20"/>
    </w:rPr>
  </w:style>
  <w:style w:type="character" w:customStyle="1" w:styleId="FootnoteTextChar">
    <w:name w:val="Footnote Text Char"/>
    <w:basedOn w:val="DefaultParagraphFont"/>
    <w:link w:val="FootnoteText"/>
    <w:uiPriority w:val="99"/>
    <w:semiHidden/>
    <w:rsid w:val="00735BBA"/>
    <w:rPr>
      <w:sz w:val="20"/>
      <w:szCs w:val="20"/>
    </w:rPr>
  </w:style>
  <w:style w:type="paragraph" w:customStyle="1" w:styleId="Default">
    <w:name w:val="Default"/>
    <w:rsid w:val="005F0609"/>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430F3"/>
    <w:pPr>
      <w:spacing w:after="200" w:line="276" w:lineRule="auto"/>
      <w:ind w:left="720"/>
      <w:contextualSpacing/>
    </w:pPr>
    <w:rPr>
      <w:rFonts w:ascii="Calibri" w:eastAsia="Times New Roman" w:hAnsi="Calibri" w:cs="Times New Roman"/>
    </w:rPr>
  </w:style>
  <w:style w:type="paragraph" w:customStyle="1" w:styleId="tv2131">
    <w:name w:val="tv2131"/>
    <w:basedOn w:val="Normal"/>
    <w:rsid w:val="00567B74"/>
    <w:pPr>
      <w:spacing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576865065">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 w:id="1721712150">
      <w:bodyDiv w:val="1"/>
      <w:marLeft w:val="0"/>
      <w:marRight w:val="0"/>
      <w:marTop w:val="0"/>
      <w:marBottom w:val="0"/>
      <w:divBdr>
        <w:top w:val="none" w:sz="0" w:space="0" w:color="auto"/>
        <w:left w:val="none" w:sz="0" w:space="0" w:color="auto"/>
        <w:bottom w:val="none" w:sz="0" w:space="0" w:color="auto"/>
        <w:right w:val="none" w:sz="0" w:space="0" w:color="auto"/>
      </w:divBdr>
      <w:divsChild>
        <w:div w:id="1696156680">
          <w:marLeft w:val="0"/>
          <w:marRight w:val="0"/>
          <w:marTop w:val="0"/>
          <w:marBottom w:val="0"/>
          <w:divBdr>
            <w:top w:val="none" w:sz="0" w:space="0" w:color="auto"/>
            <w:left w:val="none" w:sz="0" w:space="0" w:color="auto"/>
            <w:bottom w:val="none" w:sz="0" w:space="0" w:color="auto"/>
            <w:right w:val="none" w:sz="0" w:space="0" w:color="auto"/>
          </w:divBdr>
          <w:divsChild>
            <w:div w:id="1793010597">
              <w:marLeft w:val="0"/>
              <w:marRight w:val="0"/>
              <w:marTop w:val="0"/>
              <w:marBottom w:val="0"/>
              <w:divBdr>
                <w:top w:val="none" w:sz="0" w:space="0" w:color="auto"/>
                <w:left w:val="none" w:sz="0" w:space="0" w:color="auto"/>
                <w:bottom w:val="none" w:sz="0" w:space="0" w:color="auto"/>
                <w:right w:val="none" w:sz="0" w:space="0" w:color="auto"/>
              </w:divBdr>
              <w:divsChild>
                <w:div w:id="840127170">
                  <w:marLeft w:val="0"/>
                  <w:marRight w:val="0"/>
                  <w:marTop w:val="0"/>
                  <w:marBottom w:val="0"/>
                  <w:divBdr>
                    <w:top w:val="none" w:sz="0" w:space="0" w:color="auto"/>
                    <w:left w:val="none" w:sz="0" w:space="0" w:color="auto"/>
                    <w:bottom w:val="none" w:sz="0" w:space="0" w:color="auto"/>
                    <w:right w:val="none" w:sz="0" w:space="0" w:color="auto"/>
                  </w:divBdr>
                  <w:divsChild>
                    <w:div w:id="14296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54890-konkurences-likums" TargetMode="External"/><Relationship Id="rId13" Type="http://schemas.openxmlformats.org/officeDocument/2006/relationships/hyperlink" Target="http://m.likumi.lv/ta/id/274415-negodigas-mazumtirdzniecibas-prakses-aizlieguma-likums" TargetMode="External"/><Relationship Id="rId18" Type="http://schemas.openxmlformats.org/officeDocument/2006/relationships/hyperlink" Target="http://m.likumi.lv/ta/id/54890-konkurences-liku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likumi.lv/ta/id/274415-negodigas-mazumtirdzniecibas-prakses-aizlieguma-likums" TargetMode="External"/><Relationship Id="rId7" Type="http://schemas.openxmlformats.org/officeDocument/2006/relationships/endnotes" Target="endnotes.xml"/><Relationship Id="rId12" Type="http://schemas.openxmlformats.org/officeDocument/2006/relationships/hyperlink" Target="http://m.likumi.lv/ta/id/274415-negodigas-mazumtirdzniecibas-prakses-aizlieguma-likums" TargetMode="External"/><Relationship Id="rId17" Type="http://schemas.openxmlformats.org/officeDocument/2006/relationships/hyperlink" Target="http://m.likumi.lv/ta/id/54890-konkurences-liku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likumi.lv/ta/id/54890-konkurences-likums" TargetMode="External"/><Relationship Id="rId20" Type="http://schemas.openxmlformats.org/officeDocument/2006/relationships/hyperlink" Target="http://m.likumi.lv/ta/id/274415-negodigas-mazumtirdzniecibas-prakses-aizlieguma-liku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274415-negodigas-mazumtirdzniecibas-prakses-aizlieguma-likums" TargetMode="External"/><Relationship Id="rId24" Type="http://schemas.openxmlformats.org/officeDocument/2006/relationships/hyperlink" Target="mailto:Intars.Eglitis@em.gov.lv" TargetMode="External"/><Relationship Id="rId5" Type="http://schemas.openxmlformats.org/officeDocument/2006/relationships/webSettings" Target="webSettings.xml"/><Relationship Id="rId15" Type="http://schemas.openxmlformats.org/officeDocument/2006/relationships/hyperlink" Target="http://m.likumi.lv/ta/id/274415-negodigas-mazumtirdzniecibas-prakses-aizlieguma-likums" TargetMode="External"/><Relationship Id="rId23" Type="http://schemas.openxmlformats.org/officeDocument/2006/relationships/hyperlink" Target="http://m.likumi.lv/ta/id/274415-negodigas-mazumtirdzniecibas-prakses-aizlieguma-likums" TargetMode="External"/><Relationship Id="rId28" Type="http://schemas.openxmlformats.org/officeDocument/2006/relationships/fontTable" Target="fontTable.xml"/><Relationship Id="rId10" Type="http://schemas.openxmlformats.org/officeDocument/2006/relationships/hyperlink" Target="http://m.likumi.lv/ta/id/54890-konkurences-likums" TargetMode="External"/><Relationship Id="rId19" Type="http://schemas.openxmlformats.org/officeDocument/2006/relationships/hyperlink" Target="http://m.likumi.lv/ta/id/274415-negodigas-mazumtirdzniecibas-prakses-aizlieguma-likums" TargetMode="External"/><Relationship Id="rId4" Type="http://schemas.openxmlformats.org/officeDocument/2006/relationships/settings" Target="settings.xml"/><Relationship Id="rId9" Type="http://schemas.openxmlformats.org/officeDocument/2006/relationships/hyperlink" Target="http://m.likumi.lv/ta/id/54890-konkurences-likums" TargetMode="External"/><Relationship Id="rId14" Type="http://schemas.openxmlformats.org/officeDocument/2006/relationships/hyperlink" Target="http://m.likumi.lv/ta/id/274415-negodigas-mazumtirdzniecibas-prakses-aizlieguma-likums" TargetMode="External"/><Relationship Id="rId22" Type="http://schemas.openxmlformats.org/officeDocument/2006/relationships/hyperlink" Target="http://m.likumi.lv/ta/id/274415-negodigas-mazumtirdzniecibas-prakses-aizlieguma-likum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m.likumi.lv/ta/id/274415-negodigas-mazumtirdzniecibas-prakses-aizlieguma-likums" TargetMode="External"/><Relationship Id="rId3" Type="http://schemas.openxmlformats.org/officeDocument/2006/relationships/hyperlink" Target="http://m.likumi.lv/ta/id/54890-konkurences-likums" TargetMode="External"/><Relationship Id="rId7" Type="http://schemas.openxmlformats.org/officeDocument/2006/relationships/hyperlink" Target="http://m.likumi.lv/ta/id/274415-negodigas-mazumtirdzniecibas-prakses-aizlieguma-likums" TargetMode="External"/><Relationship Id="rId2" Type="http://schemas.openxmlformats.org/officeDocument/2006/relationships/hyperlink" Target="http://m.likumi.lv/ta/id/54890-konkurences-likums" TargetMode="External"/><Relationship Id="rId1" Type="http://schemas.openxmlformats.org/officeDocument/2006/relationships/hyperlink" Target="http://m.likumi.lv/ta/id/54890-konkurences-likums" TargetMode="External"/><Relationship Id="rId6" Type="http://schemas.openxmlformats.org/officeDocument/2006/relationships/hyperlink" Target="http://m.likumi.lv/ta/id/274415-negodigas-mazumtirdzniecibas-prakses-aizlieguma-likums" TargetMode="External"/><Relationship Id="rId5" Type="http://schemas.openxmlformats.org/officeDocument/2006/relationships/hyperlink" Target="http://m.likumi.lv/ta/id/274415-negodigas-mazumtirdzniecibas-prakses-aizlieguma-likums" TargetMode="External"/><Relationship Id="rId4" Type="http://schemas.openxmlformats.org/officeDocument/2006/relationships/hyperlink" Target="http://m.likumi.lv/ta/id/274415-negodigas-mazumtirdzniecibas-prakses-aizlieguma-likum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m.likumi.lv/ta/id/274415-negodigas-mazumtirdzniecibas-prakses-aizlieguma-likums" TargetMode="External"/><Relationship Id="rId3" Type="http://schemas.openxmlformats.org/officeDocument/2006/relationships/hyperlink" Target="http://m.likumi.lv/ta/id/54890-konkurences-likums" TargetMode="External"/><Relationship Id="rId7" Type="http://schemas.openxmlformats.org/officeDocument/2006/relationships/hyperlink" Target="http://m.likumi.lv/ta/id/274415-negodigas-mazumtirdzniecibas-prakses-aizlieguma-likums" TargetMode="External"/><Relationship Id="rId2" Type="http://schemas.openxmlformats.org/officeDocument/2006/relationships/hyperlink" Target="http://m.likumi.lv/ta/id/54890-konkurences-likums" TargetMode="External"/><Relationship Id="rId1" Type="http://schemas.openxmlformats.org/officeDocument/2006/relationships/hyperlink" Target="http://m.likumi.lv/ta/id/54890-konkurences-likums" TargetMode="External"/><Relationship Id="rId6" Type="http://schemas.openxmlformats.org/officeDocument/2006/relationships/hyperlink" Target="http://m.likumi.lv/ta/id/274415-negodigas-mazumtirdzniecibas-prakses-aizlieguma-likums" TargetMode="External"/><Relationship Id="rId5" Type="http://schemas.openxmlformats.org/officeDocument/2006/relationships/hyperlink" Target="http://m.likumi.lv/ta/id/274415-negodigas-mazumtirdzniecibas-prakses-aizlieguma-likums" TargetMode="External"/><Relationship Id="rId4" Type="http://schemas.openxmlformats.org/officeDocument/2006/relationships/hyperlink" Target="http://m.likumi.lv/ta/id/274415-negodigas-mazumtirdzniecibas-prakses-aizliegum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4B59-2CBC-4D57-9758-9BEA002F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10639</Characters>
  <Application>Microsoft Office Word</Application>
  <DocSecurity>0</DocSecurity>
  <Lines>394</Lines>
  <Paragraphs>132</Paragraphs>
  <ScaleCrop>false</ScaleCrop>
  <HeadingPairs>
    <vt:vector size="2" baseType="variant">
      <vt:variant>
        <vt:lpstr>Title</vt:lpstr>
      </vt:variant>
      <vt:variant>
        <vt:i4>1</vt:i4>
      </vt:variant>
    </vt:vector>
  </HeadingPairs>
  <TitlesOfParts>
    <vt:vector size="1" baseType="lpstr">
      <vt:lpstr>Grozījumi Ministru kabineta 2008.gada 29.septembra noteikumos Nr.796 “Kārtība, kādā nosakāms naudas sods par Konkurences likuma 11.panta pirmajā daļā un 13.pantā paredzētajiem pārkāpumiem”</vt:lpstr>
    </vt:vector>
  </TitlesOfParts>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29.marta noteikumos Nr.179 “Kārtība, kādā nosakāms naudas sods par Konkurences likuma 11. panta pirmajā daļā un 13. pantā un Negodīgas mazumtirdzniecības prakses aizlieguma likuma 5., 6., 7.un 8. pantā paredzētajiem pārkāpumiem”</dc:title>
  <dc:creator>Antis Apsītis</dc:creator>
  <cp:keywords>Ministru kabineta noteikumu projekts</cp:keywords>
  <cp:lastModifiedBy>Intars Eglītis</cp:lastModifiedBy>
  <cp:revision>4</cp:revision>
  <cp:lastPrinted>2015-01-08T08:17:00Z</cp:lastPrinted>
  <dcterms:created xsi:type="dcterms:W3CDTF">2016-07-26T11:32:00Z</dcterms:created>
  <dcterms:modified xsi:type="dcterms:W3CDTF">2016-07-26T12:36:00Z</dcterms:modified>
  <cp:contentStatus/>
</cp:coreProperties>
</file>