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707DE" w14:textId="77777777" w:rsidR="00F77AD2" w:rsidRPr="00967857" w:rsidRDefault="00F77AD2" w:rsidP="00F77AD2">
      <w:pPr>
        <w:spacing w:after="0" w:line="240" w:lineRule="auto"/>
        <w:jc w:val="right"/>
        <w:rPr>
          <w:rFonts w:cs="Times New Roman"/>
          <w:sz w:val="28"/>
          <w:szCs w:val="28"/>
        </w:rPr>
      </w:pPr>
      <w:r w:rsidRPr="00967857">
        <w:rPr>
          <w:rFonts w:cs="Times New Roman"/>
          <w:sz w:val="28"/>
          <w:szCs w:val="28"/>
        </w:rPr>
        <w:t xml:space="preserve">(Ministru kabineta </w:t>
      </w:r>
    </w:p>
    <w:p w14:paraId="5465BA0C" w14:textId="77777777" w:rsidR="00F77AD2" w:rsidRPr="00967857" w:rsidRDefault="00F77AD2" w:rsidP="00F77AD2">
      <w:pPr>
        <w:spacing w:after="0" w:line="240" w:lineRule="auto"/>
        <w:jc w:val="right"/>
        <w:rPr>
          <w:rFonts w:cs="Times New Roman"/>
          <w:sz w:val="28"/>
          <w:szCs w:val="28"/>
        </w:rPr>
      </w:pPr>
      <w:r w:rsidRPr="00967857">
        <w:rPr>
          <w:rFonts w:cs="Times New Roman"/>
          <w:sz w:val="28"/>
          <w:szCs w:val="28"/>
        </w:rPr>
        <w:t>201</w:t>
      </w:r>
      <w:r>
        <w:rPr>
          <w:rFonts w:cs="Times New Roman"/>
          <w:sz w:val="28"/>
          <w:szCs w:val="28"/>
        </w:rPr>
        <w:t>6</w:t>
      </w:r>
      <w:r w:rsidRPr="00967857">
        <w:rPr>
          <w:rFonts w:cs="Times New Roman"/>
          <w:sz w:val="28"/>
          <w:szCs w:val="28"/>
        </w:rPr>
        <w:t>.</w:t>
      </w:r>
      <w:r>
        <w:rPr>
          <w:rFonts w:cs="Times New Roman"/>
          <w:sz w:val="28"/>
          <w:szCs w:val="28"/>
        </w:rPr>
        <w:t> </w:t>
      </w:r>
      <w:r w:rsidRPr="00967857">
        <w:rPr>
          <w:rFonts w:cs="Times New Roman"/>
          <w:sz w:val="28"/>
          <w:szCs w:val="28"/>
        </w:rPr>
        <w:t>gada</w:t>
      </w:r>
      <w:r>
        <w:rPr>
          <w:rFonts w:cs="Times New Roman"/>
          <w:sz w:val="28"/>
          <w:szCs w:val="28"/>
        </w:rPr>
        <w:t>                             </w:t>
      </w:r>
    </w:p>
    <w:p w14:paraId="5D9F3580" w14:textId="77777777" w:rsidR="00F77AD2" w:rsidRDefault="00F77AD2" w:rsidP="00F77AD2">
      <w:pPr>
        <w:spacing w:after="0" w:line="240" w:lineRule="auto"/>
        <w:jc w:val="right"/>
        <w:rPr>
          <w:rFonts w:cs="Times New Roman"/>
          <w:sz w:val="28"/>
          <w:szCs w:val="28"/>
        </w:rPr>
      </w:pPr>
      <w:r w:rsidRPr="00967857">
        <w:rPr>
          <w:rFonts w:cs="Times New Roman"/>
          <w:sz w:val="28"/>
          <w:szCs w:val="28"/>
        </w:rPr>
        <w:t>rīkojums Nr.</w:t>
      </w:r>
      <w:r>
        <w:rPr>
          <w:rFonts w:cs="Times New Roman"/>
          <w:sz w:val="28"/>
          <w:szCs w:val="28"/>
        </w:rPr>
        <w:t>         </w:t>
      </w:r>
      <w:r w:rsidRPr="00967857">
        <w:rPr>
          <w:rFonts w:cs="Times New Roman"/>
          <w:sz w:val="28"/>
          <w:szCs w:val="28"/>
        </w:rPr>
        <w:t>)</w:t>
      </w:r>
    </w:p>
    <w:p w14:paraId="3FD452DB" w14:textId="77777777" w:rsidR="00F77AD2" w:rsidRDefault="00F77AD2" w:rsidP="00F77AD2">
      <w:pPr>
        <w:spacing w:after="0" w:line="240" w:lineRule="auto"/>
        <w:jc w:val="right"/>
        <w:rPr>
          <w:rFonts w:cs="Times New Roman"/>
          <w:sz w:val="28"/>
          <w:szCs w:val="28"/>
        </w:rPr>
      </w:pPr>
    </w:p>
    <w:p w14:paraId="4F7B6FDA" w14:textId="77777777" w:rsidR="00F77AD2" w:rsidRDefault="00F77AD2" w:rsidP="00F77AD2">
      <w:pPr>
        <w:spacing w:after="0" w:line="240" w:lineRule="auto"/>
        <w:jc w:val="right"/>
        <w:rPr>
          <w:rFonts w:cs="Times New Roman"/>
          <w:sz w:val="28"/>
          <w:szCs w:val="28"/>
        </w:rPr>
      </w:pPr>
    </w:p>
    <w:p w14:paraId="4D7EE54C" w14:textId="77777777" w:rsidR="00F77AD2" w:rsidRDefault="00F77AD2" w:rsidP="00F77AD2">
      <w:pPr>
        <w:spacing w:after="0" w:line="240" w:lineRule="auto"/>
        <w:jc w:val="right"/>
        <w:rPr>
          <w:rFonts w:cs="Times New Roman"/>
          <w:sz w:val="28"/>
          <w:szCs w:val="28"/>
        </w:rPr>
      </w:pPr>
    </w:p>
    <w:p w14:paraId="182F6C0E" w14:textId="77777777" w:rsidR="00F77AD2" w:rsidRDefault="00F77AD2" w:rsidP="00F77AD2">
      <w:pPr>
        <w:spacing w:after="0" w:line="240" w:lineRule="auto"/>
        <w:jc w:val="right"/>
        <w:rPr>
          <w:rFonts w:cs="Times New Roman"/>
          <w:sz w:val="28"/>
          <w:szCs w:val="28"/>
        </w:rPr>
      </w:pPr>
    </w:p>
    <w:p w14:paraId="6E510796" w14:textId="77777777" w:rsidR="00F77AD2" w:rsidRDefault="00F77AD2" w:rsidP="00F77AD2">
      <w:pPr>
        <w:spacing w:after="0" w:line="240" w:lineRule="auto"/>
        <w:jc w:val="right"/>
        <w:rPr>
          <w:rFonts w:cs="Times New Roman"/>
          <w:sz w:val="28"/>
          <w:szCs w:val="28"/>
        </w:rPr>
      </w:pPr>
    </w:p>
    <w:p w14:paraId="359CEFAB" w14:textId="77777777" w:rsidR="00F77AD2" w:rsidRDefault="00F77AD2" w:rsidP="00F77AD2">
      <w:pPr>
        <w:spacing w:after="0" w:line="240" w:lineRule="auto"/>
        <w:jc w:val="right"/>
        <w:rPr>
          <w:rFonts w:cs="Times New Roman"/>
          <w:sz w:val="28"/>
          <w:szCs w:val="28"/>
        </w:rPr>
      </w:pPr>
    </w:p>
    <w:p w14:paraId="60A3356E" w14:textId="77777777" w:rsidR="00F77AD2" w:rsidRDefault="00F77AD2" w:rsidP="00F77AD2">
      <w:pPr>
        <w:spacing w:after="0" w:line="240" w:lineRule="auto"/>
        <w:jc w:val="right"/>
        <w:rPr>
          <w:rFonts w:cs="Times New Roman"/>
          <w:sz w:val="28"/>
          <w:szCs w:val="28"/>
        </w:rPr>
      </w:pPr>
    </w:p>
    <w:p w14:paraId="7045B3A5" w14:textId="77777777" w:rsidR="00F77AD2" w:rsidRDefault="00F77AD2" w:rsidP="00F77AD2">
      <w:pPr>
        <w:spacing w:after="0" w:line="240" w:lineRule="auto"/>
        <w:jc w:val="right"/>
        <w:rPr>
          <w:rFonts w:cs="Times New Roman"/>
          <w:sz w:val="28"/>
          <w:szCs w:val="28"/>
        </w:rPr>
      </w:pPr>
    </w:p>
    <w:p w14:paraId="3D09B65B" w14:textId="77777777" w:rsidR="00F77AD2" w:rsidRDefault="00F77AD2" w:rsidP="00F77AD2">
      <w:pPr>
        <w:spacing w:after="0" w:line="240" w:lineRule="auto"/>
        <w:jc w:val="right"/>
        <w:rPr>
          <w:rFonts w:cs="Times New Roman"/>
          <w:sz w:val="28"/>
          <w:szCs w:val="28"/>
        </w:rPr>
      </w:pPr>
    </w:p>
    <w:p w14:paraId="38A58CD0" w14:textId="77777777" w:rsidR="00F77AD2" w:rsidRDefault="00F77AD2" w:rsidP="00F77AD2">
      <w:pPr>
        <w:spacing w:after="0" w:line="240" w:lineRule="auto"/>
        <w:jc w:val="right"/>
        <w:rPr>
          <w:rFonts w:cs="Times New Roman"/>
          <w:sz w:val="28"/>
          <w:szCs w:val="28"/>
        </w:rPr>
      </w:pPr>
    </w:p>
    <w:p w14:paraId="4217D38A" w14:textId="77777777" w:rsidR="00F77AD2" w:rsidRDefault="00F77AD2" w:rsidP="00F77AD2">
      <w:pPr>
        <w:spacing w:after="0" w:line="240" w:lineRule="auto"/>
        <w:jc w:val="right"/>
        <w:rPr>
          <w:rFonts w:cs="Times New Roman"/>
          <w:sz w:val="28"/>
          <w:szCs w:val="28"/>
        </w:rPr>
      </w:pPr>
    </w:p>
    <w:p w14:paraId="271B3604" w14:textId="77777777" w:rsidR="00F77AD2" w:rsidRDefault="00F77AD2" w:rsidP="00F77AD2">
      <w:pPr>
        <w:spacing w:after="0" w:line="240" w:lineRule="auto"/>
        <w:jc w:val="right"/>
        <w:rPr>
          <w:rFonts w:cs="Times New Roman"/>
          <w:sz w:val="28"/>
          <w:szCs w:val="28"/>
        </w:rPr>
      </w:pPr>
    </w:p>
    <w:p w14:paraId="59F40BF9" w14:textId="77777777" w:rsidR="00F77AD2" w:rsidRDefault="00F77AD2" w:rsidP="00F77AD2">
      <w:pPr>
        <w:spacing w:after="0" w:line="240" w:lineRule="auto"/>
        <w:jc w:val="right"/>
        <w:rPr>
          <w:rFonts w:cs="Times New Roman"/>
          <w:sz w:val="28"/>
          <w:szCs w:val="28"/>
        </w:rPr>
      </w:pPr>
    </w:p>
    <w:p w14:paraId="027C251B" w14:textId="77777777" w:rsidR="00F77AD2" w:rsidRPr="00967857" w:rsidRDefault="00F77AD2" w:rsidP="00F77AD2">
      <w:pPr>
        <w:spacing w:after="0" w:line="240" w:lineRule="auto"/>
        <w:jc w:val="right"/>
        <w:rPr>
          <w:rFonts w:cs="Times New Roman"/>
          <w:sz w:val="28"/>
          <w:szCs w:val="28"/>
        </w:rPr>
      </w:pPr>
    </w:p>
    <w:p w14:paraId="6FA82185" w14:textId="77777777" w:rsidR="00F77AD2" w:rsidRPr="00A27211" w:rsidRDefault="00F77AD2" w:rsidP="00F77AD2">
      <w:pPr>
        <w:spacing w:after="0" w:line="240" w:lineRule="auto"/>
        <w:jc w:val="center"/>
        <w:rPr>
          <w:rFonts w:cs="Times New Roman"/>
          <w:b/>
          <w:sz w:val="28"/>
          <w:szCs w:val="28"/>
        </w:rPr>
      </w:pPr>
      <w:r w:rsidRPr="00A27211">
        <w:rPr>
          <w:rFonts w:cs="Times New Roman"/>
          <w:b/>
          <w:sz w:val="28"/>
          <w:szCs w:val="28"/>
        </w:rPr>
        <w:t xml:space="preserve">Kompleksi pasākumi elektroenerģijas tirgus attīstībai </w:t>
      </w:r>
    </w:p>
    <w:p w14:paraId="201AEBAC" w14:textId="77777777" w:rsidR="00F77AD2" w:rsidRPr="00A27211" w:rsidRDefault="00F77AD2" w:rsidP="00F77AD2">
      <w:pPr>
        <w:spacing w:after="0" w:line="240" w:lineRule="auto"/>
        <w:jc w:val="center"/>
        <w:rPr>
          <w:rFonts w:cs="Times New Roman"/>
          <w:b/>
          <w:sz w:val="28"/>
          <w:szCs w:val="28"/>
        </w:rPr>
      </w:pPr>
      <w:r w:rsidRPr="00A27211">
        <w:rPr>
          <w:rFonts w:cs="Times New Roman"/>
          <w:b/>
          <w:sz w:val="28"/>
          <w:szCs w:val="28"/>
        </w:rPr>
        <w:t>KONCEPTUĀL</w:t>
      </w:r>
      <w:r>
        <w:rPr>
          <w:rFonts w:cs="Times New Roman"/>
          <w:b/>
          <w:sz w:val="28"/>
          <w:szCs w:val="28"/>
        </w:rPr>
        <w:t>S</w:t>
      </w:r>
      <w:r w:rsidRPr="00A27211">
        <w:rPr>
          <w:rFonts w:cs="Times New Roman"/>
          <w:b/>
          <w:sz w:val="28"/>
          <w:szCs w:val="28"/>
        </w:rPr>
        <w:t xml:space="preserve"> ZIŅOJUMS</w:t>
      </w:r>
    </w:p>
    <w:p w14:paraId="43CFF5BC" w14:textId="77777777" w:rsidR="00F77AD2" w:rsidRDefault="00F77AD2" w:rsidP="00F77AD2">
      <w:r>
        <w:br w:type="page"/>
      </w:r>
    </w:p>
    <w:p w14:paraId="1C12F561" w14:textId="77777777" w:rsidR="00F77AD2" w:rsidRPr="005E2AC5" w:rsidRDefault="00F77AD2" w:rsidP="005E2AC5">
      <w:pPr>
        <w:rPr>
          <w:b/>
          <w:sz w:val="32"/>
        </w:rPr>
      </w:pPr>
      <w:bookmarkStart w:id="0" w:name="_Toc426714072"/>
      <w:bookmarkStart w:id="1" w:name="_Toc427913360"/>
      <w:bookmarkStart w:id="2" w:name="_Toc427913500"/>
      <w:bookmarkStart w:id="3" w:name="_Toc427913564"/>
      <w:bookmarkStart w:id="4" w:name="_Toc428188922"/>
      <w:bookmarkStart w:id="5" w:name="_Toc457488839"/>
      <w:r w:rsidRPr="005E2AC5">
        <w:rPr>
          <w:b/>
          <w:sz w:val="32"/>
        </w:rPr>
        <w:lastRenderedPageBreak/>
        <w:t>Saturs</w:t>
      </w:r>
      <w:bookmarkEnd w:id="0"/>
      <w:bookmarkEnd w:id="1"/>
      <w:bookmarkEnd w:id="2"/>
      <w:bookmarkEnd w:id="3"/>
      <w:bookmarkEnd w:id="4"/>
      <w:bookmarkEnd w:id="5"/>
    </w:p>
    <w:sdt>
      <w:sdtPr>
        <w:id w:val="-1224445518"/>
        <w:docPartObj>
          <w:docPartGallery w:val="Table of Contents"/>
          <w:docPartUnique/>
        </w:docPartObj>
      </w:sdtPr>
      <w:sdtEndPr>
        <w:rPr>
          <w:b/>
          <w:bCs/>
          <w:noProof/>
        </w:rPr>
      </w:sdtEndPr>
      <w:sdtContent>
        <w:p w14:paraId="7563BDDB" w14:textId="77777777" w:rsidR="009E5A85" w:rsidRPr="009E5A85" w:rsidRDefault="00EA3C17">
          <w:pPr>
            <w:pStyle w:val="TOC1"/>
            <w:tabs>
              <w:tab w:val="right" w:leader="dot" w:pos="8296"/>
            </w:tabs>
            <w:rPr>
              <w:rFonts w:asciiTheme="minorHAnsi" w:hAnsiTheme="minorHAnsi"/>
              <w:noProof/>
              <w:sz w:val="22"/>
              <w:lang w:eastAsia="lv-LV"/>
            </w:rPr>
          </w:pPr>
          <w:r w:rsidRPr="009E5A85">
            <w:rPr>
              <w:rFonts w:eastAsiaTheme="majorEastAsia" w:cstheme="majorBidi"/>
              <w:color w:val="2E74B5" w:themeColor="accent1" w:themeShade="BF"/>
              <w:sz w:val="28"/>
              <w:szCs w:val="28"/>
              <w:lang w:val="en-US"/>
            </w:rPr>
            <w:fldChar w:fldCharType="begin"/>
          </w:r>
          <w:r w:rsidRPr="009E5A85">
            <w:rPr>
              <w:sz w:val="28"/>
              <w:szCs w:val="28"/>
            </w:rPr>
            <w:instrText xml:space="preserve"> TOC \o "1-3" \h \z \u </w:instrText>
          </w:r>
          <w:r w:rsidRPr="009E5A85">
            <w:rPr>
              <w:rFonts w:eastAsiaTheme="majorEastAsia" w:cstheme="majorBidi"/>
              <w:color w:val="2E74B5" w:themeColor="accent1" w:themeShade="BF"/>
              <w:sz w:val="28"/>
              <w:szCs w:val="28"/>
              <w:lang w:val="en-US"/>
            </w:rPr>
            <w:fldChar w:fldCharType="separate"/>
          </w:r>
          <w:hyperlink w:anchor="_Toc459890611" w:history="1">
            <w:r w:rsidR="009E5A85" w:rsidRPr="009E5A85">
              <w:rPr>
                <w:rStyle w:val="Hyperlink"/>
                <w:noProof/>
              </w:rPr>
              <w:t>Konceptuālā ziņojuma satura kopsavilkums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_Toc459890611 \h </w:instrText>
            </w:r>
            <w:r w:rsidR="009E5A85" w:rsidRPr="009E5A85">
              <w:rPr>
                <w:noProof/>
                <w:webHidden/>
              </w:rPr>
            </w:r>
            <w:r w:rsidR="009E5A85" w:rsidRPr="009E5A85">
              <w:rPr>
                <w:noProof/>
                <w:webHidden/>
              </w:rPr>
              <w:fldChar w:fldCharType="separate"/>
            </w:r>
            <w:r w:rsidR="009E5A85" w:rsidRPr="009E5A85">
              <w:rPr>
                <w:noProof/>
                <w:webHidden/>
              </w:rPr>
              <w:t>3</w:t>
            </w:r>
            <w:r w:rsidR="009E5A85" w:rsidRPr="009E5A85">
              <w:rPr>
                <w:noProof/>
                <w:webHidden/>
              </w:rPr>
              <w:fldChar w:fldCharType="end"/>
            </w:r>
          </w:hyperlink>
        </w:p>
        <w:p w14:paraId="0E775FA4" w14:textId="77777777" w:rsidR="009E5A85" w:rsidRPr="009E5A85" w:rsidRDefault="00381BBF">
          <w:pPr>
            <w:pStyle w:val="TOC1"/>
            <w:tabs>
              <w:tab w:val="left" w:pos="480"/>
              <w:tab w:val="right" w:leader="dot" w:pos="8296"/>
            </w:tabs>
            <w:rPr>
              <w:rFonts w:asciiTheme="minorHAnsi" w:hAnsiTheme="minorHAnsi"/>
              <w:noProof/>
              <w:sz w:val="22"/>
              <w:lang w:eastAsia="lv-LV"/>
            </w:rPr>
          </w:pPr>
          <w:hyperlink w:anchor="_Toc459890612" w:history="1">
            <w:r w:rsidR="009E5A85" w:rsidRPr="009E5A85">
              <w:rPr>
                <w:rStyle w:val="Hyperlink"/>
                <w:noProof/>
              </w:rPr>
              <w:t>1.</w:t>
            </w:r>
            <w:r w:rsidR="009E5A85" w:rsidRPr="009E5A85">
              <w:rPr>
                <w:rFonts w:asciiTheme="minorHAnsi" w:hAnsiTheme="minorHAnsi"/>
                <w:noProof/>
                <w:sz w:val="22"/>
                <w:lang w:eastAsia="lv-LV"/>
              </w:rPr>
              <w:tab/>
            </w:r>
            <w:r w:rsidR="009E5A85" w:rsidRPr="009E5A85">
              <w:rPr>
                <w:rStyle w:val="Hyperlink"/>
                <w:noProof/>
              </w:rPr>
              <w:t>Atbalsts elektroenerģijas sektorā</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_Toc459890612 \h </w:instrText>
            </w:r>
            <w:r w:rsidR="009E5A85" w:rsidRPr="009E5A85">
              <w:rPr>
                <w:noProof/>
                <w:webHidden/>
              </w:rPr>
            </w:r>
            <w:r w:rsidR="009E5A85" w:rsidRPr="009E5A85">
              <w:rPr>
                <w:noProof/>
                <w:webHidden/>
              </w:rPr>
              <w:fldChar w:fldCharType="separate"/>
            </w:r>
            <w:r w:rsidR="009E5A85" w:rsidRPr="009E5A85">
              <w:rPr>
                <w:noProof/>
                <w:webHidden/>
              </w:rPr>
              <w:t>8</w:t>
            </w:r>
            <w:r w:rsidR="009E5A85" w:rsidRPr="009E5A85">
              <w:rPr>
                <w:noProof/>
                <w:webHidden/>
              </w:rPr>
              <w:fldChar w:fldCharType="end"/>
            </w:r>
          </w:hyperlink>
        </w:p>
        <w:p w14:paraId="149CCB68" w14:textId="77777777" w:rsidR="009E5A85" w:rsidRPr="009E5A85" w:rsidRDefault="00381BBF">
          <w:pPr>
            <w:pStyle w:val="TOC2"/>
            <w:tabs>
              <w:tab w:val="left" w:pos="880"/>
              <w:tab w:val="right" w:leader="dot" w:pos="8296"/>
            </w:tabs>
            <w:rPr>
              <w:rFonts w:asciiTheme="minorHAnsi" w:hAnsiTheme="minorHAnsi"/>
              <w:noProof/>
              <w:sz w:val="22"/>
              <w:lang w:eastAsia="lv-LV"/>
            </w:rPr>
          </w:pPr>
          <w:hyperlink w:anchor="_Toc459890613" w:history="1">
            <w:r w:rsidR="009E5A85" w:rsidRPr="009E5A85">
              <w:rPr>
                <w:rStyle w:val="Hyperlink"/>
                <w:rFonts w:cs="Times New Roman"/>
                <w:noProof/>
              </w:rPr>
              <w:t>1.1.</w:t>
            </w:r>
            <w:r w:rsidR="009E5A85" w:rsidRPr="009E5A85">
              <w:rPr>
                <w:rFonts w:asciiTheme="minorHAnsi" w:hAnsiTheme="minorHAnsi"/>
                <w:noProof/>
                <w:sz w:val="22"/>
                <w:lang w:eastAsia="lv-LV"/>
              </w:rPr>
              <w:tab/>
            </w:r>
            <w:r w:rsidR="009E5A85" w:rsidRPr="009E5A85">
              <w:rPr>
                <w:rStyle w:val="Hyperlink"/>
                <w:rFonts w:cs="Times New Roman"/>
                <w:noProof/>
              </w:rPr>
              <w:t>Atbalsts elektroenerģijas ražošanai un obligātā iepirkuma komponente</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_Toc459890613 \h </w:instrText>
            </w:r>
            <w:r w:rsidR="009E5A85" w:rsidRPr="009E5A85">
              <w:rPr>
                <w:noProof/>
                <w:webHidden/>
              </w:rPr>
            </w:r>
            <w:r w:rsidR="009E5A85" w:rsidRPr="009E5A85">
              <w:rPr>
                <w:noProof/>
                <w:webHidden/>
              </w:rPr>
              <w:fldChar w:fldCharType="separate"/>
            </w:r>
            <w:r w:rsidR="009E5A85" w:rsidRPr="009E5A85">
              <w:rPr>
                <w:noProof/>
                <w:webHidden/>
              </w:rPr>
              <w:t>8</w:t>
            </w:r>
            <w:r w:rsidR="009E5A85" w:rsidRPr="009E5A85">
              <w:rPr>
                <w:noProof/>
                <w:webHidden/>
              </w:rPr>
              <w:fldChar w:fldCharType="end"/>
            </w:r>
          </w:hyperlink>
        </w:p>
        <w:p w14:paraId="5E340A6E" w14:textId="77777777" w:rsidR="009E5A85" w:rsidRPr="009E5A85" w:rsidRDefault="00381BBF">
          <w:pPr>
            <w:pStyle w:val="TOC2"/>
            <w:tabs>
              <w:tab w:val="left" w:pos="880"/>
              <w:tab w:val="right" w:leader="dot" w:pos="8296"/>
            </w:tabs>
            <w:rPr>
              <w:rFonts w:asciiTheme="minorHAnsi" w:hAnsiTheme="minorHAnsi"/>
              <w:noProof/>
              <w:sz w:val="22"/>
              <w:lang w:eastAsia="lv-LV"/>
            </w:rPr>
          </w:pPr>
          <w:hyperlink w:anchor="_Toc459890614" w:history="1">
            <w:r w:rsidR="009E5A85" w:rsidRPr="009E5A85">
              <w:rPr>
                <w:rStyle w:val="Hyperlink"/>
                <w:rFonts w:cs="Times New Roman"/>
                <w:noProof/>
              </w:rPr>
              <w:t>1.2.</w:t>
            </w:r>
            <w:r w:rsidR="009E5A85" w:rsidRPr="009E5A85">
              <w:rPr>
                <w:rFonts w:asciiTheme="minorHAnsi" w:hAnsiTheme="minorHAnsi"/>
                <w:noProof/>
                <w:sz w:val="22"/>
                <w:lang w:eastAsia="lv-LV"/>
              </w:rPr>
              <w:tab/>
            </w:r>
            <w:r w:rsidR="009E5A85" w:rsidRPr="009E5A85">
              <w:rPr>
                <w:rStyle w:val="Hyperlink"/>
                <w:rFonts w:cs="Times New Roman"/>
                <w:noProof/>
              </w:rPr>
              <w:t>Atbalsts elektroenerģijas lietotājiem OIK mazināšanai</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_Toc459890614 \h </w:instrText>
            </w:r>
            <w:r w:rsidR="009E5A85" w:rsidRPr="009E5A85">
              <w:rPr>
                <w:noProof/>
                <w:webHidden/>
              </w:rPr>
            </w:r>
            <w:r w:rsidR="009E5A85" w:rsidRPr="009E5A85">
              <w:rPr>
                <w:noProof/>
                <w:webHidden/>
              </w:rPr>
              <w:fldChar w:fldCharType="separate"/>
            </w:r>
            <w:r w:rsidR="009E5A85" w:rsidRPr="009E5A85">
              <w:rPr>
                <w:noProof/>
                <w:webHidden/>
              </w:rPr>
              <w:t>12</w:t>
            </w:r>
            <w:r w:rsidR="009E5A85" w:rsidRPr="009E5A85">
              <w:rPr>
                <w:noProof/>
                <w:webHidden/>
              </w:rPr>
              <w:fldChar w:fldCharType="end"/>
            </w:r>
          </w:hyperlink>
        </w:p>
        <w:p w14:paraId="0D80F9E7" w14:textId="77777777" w:rsidR="009E5A85" w:rsidRPr="009E5A85" w:rsidRDefault="00381BBF">
          <w:pPr>
            <w:pStyle w:val="TOC2"/>
            <w:tabs>
              <w:tab w:val="left" w:pos="880"/>
              <w:tab w:val="right" w:leader="dot" w:pos="8296"/>
            </w:tabs>
            <w:rPr>
              <w:rFonts w:asciiTheme="minorHAnsi" w:hAnsiTheme="minorHAnsi"/>
              <w:noProof/>
              <w:sz w:val="22"/>
              <w:lang w:eastAsia="lv-LV"/>
            </w:rPr>
          </w:pPr>
          <w:hyperlink w:anchor="_Toc459890615" w:history="1">
            <w:r w:rsidR="009E5A85" w:rsidRPr="009E5A85">
              <w:rPr>
                <w:rStyle w:val="Hyperlink"/>
                <w:rFonts w:cs="Times New Roman"/>
                <w:noProof/>
              </w:rPr>
              <w:t>1.3.</w:t>
            </w:r>
            <w:r w:rsidR="009E5A85" w:rsidRPr="009E5A85">
              <w:rPr>
                <w:rFonts w:asciiTheme="minorHAnsi" w:hAnsiTheme="minorHAnsi"/>
                <w:noProof/>
                <w:sz w:val="22"/>
                <w:lang w:eastAsia="lv-LV"/>
              </w:rPr>
              <w:tab/>
            </w:r>
            <w:r w:rsidR="009E5A85" w:rsidRPr="009E5A85">
              <w:rPr>
                <w:rStyle w:val="Hyperlink"/>
                <w:rFonts w:cs="Times New Roman"/>
                <w:noProof/>
              </w:rPr>
              <w:t>Atbalsts energoietilpīgiem apstrādes rūpniecības uzņēmumiem</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_Toc459890615 \h </w:instrText>
            </w:r>
            <w:r w:rsidR="009E5A85" w:rsidRPr="009E5A85">
              <w:rPr>
                <w:noProof/>
                <w:webHidden/>
              </w:rPr>
            </w:r>
            <w:r w:rsidR="009E5A85" w:rsidRPr="009E5A85">
              <w:rPr>
                <w:noProof/>
                <w:webHidden/>
              </w:rPr>
              <w:fldChar w:fldCharType="separate"/>
            </w:r>
            <w:r w:rsidR="009E5A85" w:rsidRPr="009E5A85">
              <w:rPr>
                <w:noProof/>
                <w:webHidden/>
              </w:rPr>
              <w:t>14</w:t>
            </w:r>
            <w:r w:rsidR="009E5A85" w:rsidRPr="009E5A85">
              <w:rPr>
                <w:noProof/>
                <w:webHidden/>
              </w:rPr>
              <w:fldChar w:fldCharType="end"/>
            </w:r>
          </w:hyperlink>
        </w:p>
        <w:p w14:paraId="27FFC186" w14:textId="77777777" w:rsidR="009E5A85" w:rsidRPr="009E5A85" w:rsidRDefault="00381BBF">
          <w:pPr>
            <w:pStyle w:val="TOC2"/>
            <w:tabs>
              <w:tab w:val="left" w:pos="880"/>
              <w:tab w:val="right" w:leader="dot" w:pos="8296"/>
            </w:tabs>
            <w:rPr>
              <w:rFonts w:asciiTheme="minorHAnsi" w:hAnsiTheme="minorHAnsi"/>
              <w:noProof/>
              <w:sz w:val="22"/>
              <w:lang w:eastAsia="lv-LV"/>
            </w:rPr>
          </w:pPr>
          <w:hyperlink w:anchor="_Toc459890616" w:history="1">
            <w:r w:rsidR="009E5A85" w:rsidRPr="009E5A85">
              <w:rPr>
                <w:rStyle w:val="Hyperlink"/>
                <w:rFonts w:cs="Times New Roman"/>
                <w:noProof/>
              </w:rPr>
              <w:t>1.4.</w:t>
            </w:r>
            <w:r w:rsidR="009E5A85" w:rsidRPr="009E5A85">
              <w:rPr>
                <w:rFonts w:asciiTheme="minorHAnsi" w:hAnsiTheme="minorHAnsi"/>
                <w:noProof/>
                <w:sz w:val="22"/>
                <w:lang w:eastAsia="lv-LV"/>
              </w:rPr>
              <w:tab/>
            </w:r>
            <w:r w:rsidR="009E5A85" w:rsidRPr="009E5A85">
              <w:rPr>
                <w:rStyle w:val="Hyperlink"/>
                <w:rFonts w:cs="Times New Roman"/>
                <w:noProof/>
              </w:rPr>
              <w:t>Atbalsts aizsargātajiem lietotājiem</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_Toc459890616 \h </w:instrText>
            </w:r>
            <w:r w:rsidR="009E5A85" w:rsidRPr="009E5A85">
              <w:rPr>
                <w:noProof/>
                <w:webHidden/>
              </w:rPr>
            </w:r>
            <w:r w:rsidR="009E5A85" w:rsidRPr="009E5A85">
              <w:rPr>
                <w:noProof/>
                <w:webHidden/>
              </w:rPr>
              <w:fldChar w:fldCharType="separate"/>
            </w:r>
            <w:r w:rsidR="009E5A85" w:rsidRPr="009E5A85">
              <w:rPr>
                <w:noProof/>
                <w:webHidden/>
              </w:rPr>
              <w:t>16</w:t>
            </w:r>
            <w:r w:rsidR="009E5A85" w:rsidRPr="009E5A85">
              <w:rPr>
                <w:noProof/>
                <w:webHidden/>
              </w:rPr>
              <w:fldChar w:fldCharType="end"/>
            </w:r>
          </w:hyperlink>
        </w:p>
        <w:p w14:paraId="19B00AC6" w14:textId="77777777" w:rsidR="009E5A85" w:rsidRPr="009E5A85" w:rsidRDefault="00381BBF">
          <w:pPr>
            <w:pStyle w:val="TOC1"/>
            <w:tabs>
              <w:tab w:val="left" w:pos="480"/>
              <w:tab w:val="right" w:leader="dot" w:pos="8296"/>
            </w:tabs>
            <w:rPr>
              <w:rFonts w:asciiTheme="minorHAnsi" w:hAnsiTheme="minorHAnsi"/>
              <w:noProof/>
              <w:sz w:val="22"/>
              <w:lang w:eastAsia="lv-LV"/>
            </w:rPr>
          </w:pPr>
          <w:hyperlink w:anchor="_Toc459890617" w:history="1">
            <w:r w:rsidR="009E5A85" w:rsidRPr="009E5A85">
              <w:rPr>
                <w:rStyle w:val="Hyperlink"/>
                <w:noProof/>
              </w:rPr>
              <w:t>2.</w:t>
            </w:r>
            <w:r w:rsidR="009E5A85" w:rsidRPr="009E5A85">
              <w:rPr>
                <w:rFonts w:asciiTheme="minorHAnsi" w:hAnsiTheme="minorHAnsi"/>
                <w:noProof/>
                <w:sz w:val="22"/>
                <w:lang w:eastAsia="lv-LV"/>
              </w:rPr>
              <w:tab/>
            </w:r>
            <w:r w:rsidR="009E5A85" w:rsidRPr="009E5A85">
              <w:rPr>
                <w:rStyle w:val="Hyperlink"/>
                <w:noProof/>
              </w:rPr>
              <w:t>Līdzekļi atbalsta finansēšanai</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_Toc459890617 \h </w:instrText>
            </w:r>
            <w:r w:rsidR="009E5A85" w:rsidRPr="009E5A85">
              <w:rPr>
                <w:noProof/>
                <w:webHidden/>
              </w:rPr>
            </w:r>
            <w:r w:rsidR="009E5A85" w:rsidRPr="009E5A85">
              <w:rPr>
                <w:noProof/>
                <w:webHidden/>
              </w:rPr>
              <w:fldChar w:fldCharType="separate"/>
            </w:r>
            <w:r w:rsidR="009E5A85" w:rsidRPr="009E5A85">
              <w:rPr>
                <w:noProof/>
                <w:webHidden/>
              </w:rPr>
              <w:t>19</w:t>
            </w:r>
            <w:r w:rsidR="009E5A85" w:rsidRPr="009E5A85">
              <w:rPr>
                <w:noProof/>
                <w:webHidden/>
              </w:rPr>
              <w:fldChar w:fldCharType="end"/>
            </w:r>
          </w:hyperlink>
        </w:p>
        <w:p w14:paraId="119A0049" w14:textId="77777777" w:rsidR="009E5A85" w:rsidRPr="009E5A85" w:rsidRDefault="00381BBF">
          <w:pPr>
            <w:pStyle w:val="TOC2"/>
            <w:tabs>
              <w:tab w:val="left" w:pos="880"/>
              <w:tab w:val="right" w:leader="dot" w:pos="8296"/>
            </w:tabs>
            <w:rPr>
              <w:rFonts w:asciiTheme="minorHAnsi" w:hAnsiTheme="minorHAnsi"/>
              <w:noProof/>
              <w:sz w:val="22"/>
              <w:lang w:eastAsia="lv-LV"/>
            </w:rPr>
          </w:pPr>
          <w:hyperlink w:anchor="_Toc459890618" w:history="1">
            <w:r w:rsidR="009E5A85" w:rsidRPr="009E5A85">
              <w:rPr>
                <w:rStyle w:val="Hyperlink"/>
                <w:rFonts w:cs="Times New Roman"/>
                <w:noProof/>
              </w:rPr>
              <w:t>2.1.</w:t>
            </w:r>
            <w:r w:rsidR="009E5A85" w:rsidRPr="009E5A85">
              <w:rPr>
                <w:rFonts w:asciiTheme="minorHAnsi" w:hAnsiTheme="minorHAnsi"/>
                <w:noProof/>
                <w:sz w:val="22"/>
                <w:lang w:eastAsia="lv-LV"/>
              </w:rPr>
              <w:tab/>
            </w:r>
            <w:r w:rsidR="009E5A85" w:rsidRPr="009E5A85">
              <w:rPr>
                <w:rStyle w:val="Hyperlink"/>
                <w:rFonts w:cs="Times New Roman"/>
                <w:noProof/>
              </w:rPr>
              <w:t>AS “Latvenergo” darbības izvērtējums un hipotētisku jaudas maksājumu regulējuma izmaiņu ietekme</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_Toc459890618 \h </w:instrText>
            </w:r>
            <w:r w:rsidR="009E5A85" w:rsidRPr="009E5A85">
              <w:rPr>
                <w:noProof/>
                <w:webHidden/>
              </w:rPr>
            </w:r>
            <w:r w:rsidR="009E5A85" w:rsidRPr="009E5A85">
              <w:rPr>
                <w:noProof/>
                <w:webHidden/>
              </w:rPr>
              <w:fldChar w:fldCharType="separate"/>
            </w:r>
            <w:r w:rsidR="009E5A85" w:rsidRPr="009E5A85">
              <w:rPr>
                <w:noProof/>
                <w:webHidden/>
              </w:rPr>
              <w:t>19</w:t>
            </w:r>
            <w:r w:rsidR="009E5A85" w:rsidRPr="009E5A85">
              <w:rPr>
                <w:noProof/>
                <w:webHidden/>
              </w:rPr>
              <w:fldChar w:fldCharType="end"/>
            </w:r>
          </w:hyperlink>
        </w:p>
        <w:p w14:paraId="5C09A664" w14:textId="77777777" w:rsidR="009E5A85" w:rsidRPr="009E5A85" w:rsidRDefault="00381BBF">
          <w:pPr>
            <w:pStyle w:val="TOC3"/>
            <w:tabs>
              <w:tab w:val="left" w:pos="1320"/>
              <w:tab w:val="right" w:leader="dot" w:pos="8296"/>
            </w:tabs>
            <w:rPr>
              <w:rFonts w:asciiTheme="minorHAnsi" w:hAnsiTheme="minorHAnsi"/>
              <w:noProof/>
              <w:sz w:val="22"/>
              <w:lang w:eastAsia="lv-LV"/>
            </w:rPr>
          </w:pPr>
          <w:hyperlink w:anchor="_Toc459890619" w:history="1">
            <w:r w:rsidR="009E5A85" w:rsidRPr="009E5A85">
              <w:rPr>
                <w:rStyle w:val="Hyperlink"/>
                <w:rFonts w:cs="Times New Roman"/>
                <w:noProof/>
              </w:rPr>
              <w:t>2.1.1.</w:t>
            </w:r>
            <w:r w:rsidR="009E5A85" w:rsidRPr="009E5A85">
              <w:rPr>
                <w:rFonts w:asciiTheme="minorHAnsi" w:hAnsiTheme="minorHAnsi"/>
                <w:noProof/>
                <w:sz w:val="22"/>
                <w:lang w:eastAsia="lv-LV"/>
              </w:rPr>
              <w:tab/>
            </w:r>
            <w:r w:rsidR="009E5A85" w:rsidRPr="009E5A85">
              <w:rPr>
                <w:rStyle w:val="Hyperlink"/>
                <w:rFonts w:cs="Times New Roman"/>
                <w:noProof/>
              </w:rPr>
              <w:t>AS “Latvenergo” darbības izvērtējums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_Toc459890619 \h </w:instrText>
            </w:r>
            <w:r w:rsidR="009E5A85" w:rsidRPr="009E5A85">
              <w:rPr>
                <w:noProof/>
                <w:webHidden/>
              </w:rPr>
            </w:r>
            <w:r w:rsidR="009E5A85" w:rsidRPr="009E5A85">
              <w:rPr>
                <w:noProof/>
                <w:webHidden/>
              </w:rPr>
              <w:fldChar w:fldCharType="separate"/>
            </w:r>
            <w:r w:rsidR="009E5A85" w:rsidRPr="009E5A85">
              <w:rPr>
                <w:noProof/>
                <w:webHidden/>
              </w:rPr>
              <w:t>19</w:t>
            </w:r>
            <w:r w:rsidR="009E5A85" w:rsidRPr="009E5A85">
              <w:rPr>
                <w:noProof/>
                <w:webHidden/>
              </w:rPr>
              <w:fldChar w:fldCharType="end"/>
            </w:r>
          </w:hyperlink>
        </w:p>
        <w:p w14:paraId="79413B2B" w14:textId="77777777" w:rsidR="009E5A85" w:rsidRPr="009E5A85" w:rsidRDefault="00381BBF">
          <w:pPr>
            <w:pStyle w:val="TOC3"/>
            <w:tabs>
              <w:tab w:val="left" w:pos="1320"/>
              <w:tab w:val="right" w:leader="dot" w:pos="8296"/>
            </w:tabs>
            <w:rPr>
              <w:rFonts w:asciiTheme="minorHAnsi" w:hAnsiTheme="minorHAnsi"/>
              <w:noProof/>
              <w:sz w:val="22"/>
              <w:lang w:eastAsia="lv-LV"/>
            </w:rPr>
          </w:pPr>
          <w:hyperlink w:anchor="_Toc459890620" w:history="1">
            <w:r w:rsidR="009E5A85" w:rsidRPr="009E5A85">
              <w:rPr>
                <w:rStyle w:val="Hyperlink"/>
                <w:rFonts w:cs="Times New Roman"/>
                <w:noProof/>
              </w:rPr>
              <w:t>2.1.2.</w:t>
            </w:r>
            <w:r w:rsidR="009E5A85" w:rsidRPr="009E5A85">
              <w:rPr>
                <w:rFonts w:asciiTheme="minorHAnsi" w:hAnsiTheme="minorHAnsi"/>
                <w:noProof/>
                <w:sz w:val="22"/>
                <w:lang w:eastAsia="lv-LV"/>
              </w:rPr>
              <w:tab/>
            </w:r>
            <w:r w:rsidR="009E5A85" w:rsidRPr="009E5A85">
              <w:rPr>
                <w:rStyle w:val="Hyperlink"/>
                <w:rFonts w:cs="Times New Roman"/>
                <w:noProof/>
              </w:rPr>
              <w:t>Minimālā darba stundu skaita ierobežojuma atcelšana dabasgāzes koģenerācijas elektrostacijām, kuras saņem jaudas maksājumu</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_Toc459890620 \h </w:instrText>
            </w:r>
            <w:r w:rsidR="009E5A85" w:rsidRPr="009E5A85">
              <w:rPr>
                <w:noProof/>
                <w:webHidden/>
              </w:rPr>
            </w:r>
            <w:r w:rsidR="009E5A85" w:rsidRPr="009E5A85">
              <w:rPr>
                <w:noProof/>
                <w:webHidden/>
              </w:rPr>
              <w:fldChar w:fldCharType="separate"/>
            </w:r>
            <w:r w:rsidR="009E5A85" w:rsidRPr="009E5A85">
              <w:rPr>
                <w:noProof/>
                <w:webHidden/>
              </w:rPr>
              <w:t>19</w:t>
            </w:r>
            <w:r w:rsidR="009E5A85" w:rsidRPr="009E5A85">
              <w:rPr>
                <w:noProof/>
                <w:webHidden/>
              </w:rPr>
              <w:fldChar w:fldCharType="end"/>
            </w:r>
          </w:hyperlink>
        </w:p>
        <w:p w14:paraId="5687CF97" w14:textId="77777777" w:rsidR="009E5A85" w:rsidRPr="009E5A85" w:rsidRDefault="00381BBF">
          <w:pPr>
            <w:pStyle w:val="TOC3"/>
            <w:tabs>
              <w:tab w:val="left" w:pos="1320"/>
              <w:tab w:val="right" w:leader="dot" w:pos="8296"/>
            </w:tabs>
            <w:rPr>
              <w:rFonts w:asciiTheme="minorHAnsi" w:hAnsiTheme="minorHAnsi"/>
              <w:noProof/>
              <w:sz w:val="22"/>
              <w:lang w:eastAsia="lv-LV"/>
            </w:rPr>
          </w:pPr>
          <w:hyperlink w:anchor="_Toc459890621" w:history="1">
            <w:r w:rsidR="009E5A85" w:rsidRPr="009E5A85">
              <w:rPr>
                <w:rStyle w:val="Hyperlink"/>
                <w:rFonts w:cs="Times New Roman"/>
                <w:noProof/>
              </w:rPr>
              <w:t>2.1.3.</w:t>
            </w:r>
            <w:r w:rsidR="009E5A85" w:rsidRPr="009E5A85">
              <w:rPr>
                <w:rFonts w:asciiTheme="minorHAnsi" w:hAnsiTheme="minorHAnsi"/>
                <w:noProof/>
                <w:sz w:val="22"/>
                <w:lang w:eastAsia="lv-LV"/>
              </w:rPr>
              <w:tab/>
            </w:r>
            <w:r w:rsidR="009E5A85" w:rsidRPr="009E5A85">
              <w:rPr>
                <w:rStyle w:val="Hyperlink"/>
                <w:rFonts w:cs="Times New Roman"/>
                <w:noProof/>
              </w:rPr>
              <w:t>Dabasgāzes koģenerācijas elektrostaciju ar uzstādīto elektrisko jaudu virs 100 MW atbalsta ietekme uz elektroenerģijas tirgu</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_Toc459890621 \h </w:instrText>
            </w:r>
            <w:r w:rsidR="009E5A85" w:rsidRPr="009E5A85">
              <w:rPr>
                <w:noProof/>
                <w:webHidden/>
              </w:rPr>
            </w:r>
            <w:r w:rsidR="009E5A85" w:rsidRPr="009E5A85">
              <w:rPr>
                <w:noProof/>
                <w:webHidden/>
              </w:rPr>
              <w:fldChar w:fldCharType="separate"/>
            </w:r>
            <w:r w:rsidR="009E5A85" w:rsidRPr="009E5A85">
              <w:rPr>
                <w:noProof/>
                <w:webHidden/>
              </w:rPr>
              <w:t>20</w:t>
            </w:r>
            <w:r w:rsidR="009E5A85" w:rsidRPr="009E5A85">
              <w:rPr>
                <w:noProof/>
                <w:webHidden/>
              </w:rPr>
              <w:fldChar w:fldCharType="end"/>
            </w:r>
          </w:hyperlink>
        </w:p>
        <w:p w14:paraId="3333AE25" w14:textId="77777777" w:rsidR="009E5A85" w:rsidRPr="009E5A85" w:rsidRDefault="00381BBF">
          <w:pPr>
            <w:pStyle w:val="TOC2"/>
            <w:tabs>
              <w:tab w:val="left" w:pos="880"/>
              <w:tab w:val="right" w:leader="dot" w:pos="8296"/>
            </w:tabs>
            <w:rPr>
              <w:rFonts w:asciiTheme="minorHAnsi" w:hAnsiTheme="minorHAnsi"/>
              <w:noProof/>
              <w:sz w:val="22"/>
              <w:lang w:eastAsia="lv-LV"/>
            </w:rPr>
          </w:pPr>
          <w:hyperlink w:anchor="_Toc459890622" w:history="1">
            <w:r w:rsidR="009E5A85" w:rsidRPr="009E5A85">
              <w:rPr>
                <w:rStyle w:val="Hyperlink"/>
                <w:rFonts w:cs="Times New Roman"/>
                <w:noProof/>
              </w:rPr>
              <w:t>2.2.</w:t>
            </w:r>
            <w:r w:rsidR="009E5A85" w:rsidRPr="009E5A85">
              <w:rPr>
                <w:rFonts w:asciiTheme="minorHAnsi" w:hAnsiTheme="minorHAnsi"/>
                <w:noProof/>
                <w:sz w:val="22"/>
                <w:lang w:eastAsia="lv-LV"/>
              </w:rPr>
              <w:tab/>
            </w:r>
            <w:r w:rsidR="009E5A85" w:rsidRPr="009E5A85">
              <w:rPr>
                <w:rStyle w:val="Hyperlink"/>
                <w:rFonts w:cs="Times New Roman"/>
                <w:noProof/>
              </w:rPr>
              <w:t>Nodokļu ieņēmumi</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_Toc459890622 \h </w:instrText>
            </w:r>
            <w:r w:rsidR="009E5A85" w:rsidRPr="009E5A85">
              <w:rPr>
                <w:noProof/>
                <w:webHidden/>
              </w:rPr>
            </w:r>
            <w:r w:rsidR="009E5A85" w:rsidRPr="009E5A85">
              <w:rPr>
                <w:noProof/>
                <w:webHidden/>
              </w:rPr>
              <w:fldChar w:fldCharType="separate"/>
            </w:r>
            <w:r w:rsidR="009E5A85" w:rsidRPr="009E5A85">
              <w:rPr>
                <w:noProof/>
                <w:webHidden/>
              </w:rPr>
              <w:t>21</w:t>
            </w:r>
            <w:r w:rsidR="009E5A85" w:rsidRPr="009E5A85">
              <w:rPr>
                <w:noProof/>
                <w:webHidden/>
              </w:rPr>
              <w:fldChar w:fldCharType="end"/>
            </w:r>
          </w:hyperlink>
        </w:p>
        <w:p w14:paraId="60AC968F" w14:textId="77777777" w:rsidR="009E5A85" w:rsidRPr="009E5A85" w:rsidRDefault="00381BBF">
          <w:pPr>
            <w:pStyle w:val="TOC3"/>
            <w:tabs>
              <w:tab w:val="left" w:pos="1320"/>
              <w:tab w:val="right" w:leader="dot" w:pos="8296"/>
            </w:tabs>
            <w:rPr>
              <w:rFonts w:asciiTheme="minorHAnsi" w:hAnsiTheme="minorHAnsi"/>
              <w:noProof/>
              <w:sz w:val="22"/>
              <w:lang w:eastAsia="lv-LV"/>
            </w:rPr>
          </w:pPr>
          <w:hyperlink w:anchor="_Toc459890623" w:history="1">
            <w:r w:rsidR="009E5A85" w:rsidRPr="009E5A85">
              <w:rPr>
                <w:rStyle w:val="Hyperlink"/>
                <w:rFonts w:cs="Times New Roman"/>
                <w:noProof/>
              </w:rPr>
              <w:t>2.2.1.</w:t>
            </w:r>
            <w:r w:rsidR="009E5A85" w:rsidRPr="009E5A85">
              <w:rPr>
                <w:rFonts w:asciiTheme="minorHAnsi" w:hAnsiTheme="minorHAnsi"/>
                <w:noProof/>
                <w:sz w:val="22"/>
                <w:lang w:eastAsia="lv-LV"/>
              </w:rPr>
              <w:tab/>
            </w:r>
            <w:r w:rsidR="009E5A85" w:rsidRPr="009E5A85">
              <w:rPr>
                <w:rStyle w:val="Hyperlink"/>
                <w:rFonts w:cs="Times New Roman"/>
                <w:noProof/>
              </w:rPr>
              <w:t>Subsidētās elektroenerģijas nodoklis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_Toc459890623 \h </w:instrText>
            </w:r>
            <w:r w:rsidR="009E5A85" w:rsidRPr="009E5A85">
              <w:rPr>
                <w:noProof/>
                <w:webHidden/>
              </w:rPr>
            </w:r>
            <w:r w:rsidR="009E5A85" w:rsidRPr="009E5A85">
              <w:rPr>
                <w:noProof/>
                <w:webHidden/>
              </w:rPr>
              <w:fldChar w:fldCharType="separate"/>
            </w:r>
            <w:r w:rsidR="009E5A85" w:rsidRPr="009E5A85">
              <w:rPr>
                <w:noProof/>
                <w:webHidden/>
              </w:rPr>
              <w:t>21</w:t>
            </w:r>
            <w:r w:rsidR="009E5A85" w:rsidRPr="009E5A85">
              <w:rPr>
                <w:noProof/>
                <w:webHidden/>
              </w:rPr>
              <w:fldChar w:fldCharType="end"/>
            </w:r>
          </w:hyperlink>
        </w:p>
        <w:p w14:paraId="5818D2F9" w14:textId="77777777" w:rsidR="009E5A85" w:rsidRPr="009E5A85" w:rsidRDefault="00381BBF">
          <w:pPr>
            <w:pStyle w:val="TOC3"/>
            <w:tabs>
              <w:tab w:val="left" w:pos="1320"/>
              <w:tab w:val="right" w:leader="dot" w:pos="8296"/>
            </w:tabs>
            <w:rPr>
              <w:rFonts w:asciiTheme="minorHAnsi" w:hAnsiTheme="minorHAnsi"/>
              <w:noProof/>
              <w:sz w:val="22"/>
              <w:lang w:eastAsia="lv-LV"/>
            </w:rPr>
          </w:pPr>
          <w:hyperlink w:anchor="_Toc459890624" w:history="1">
            <w:r w:rsidR="009E5A85" w:rsidRPr="009E5A85">
              <w:rPr>
                <w:rStyle w:val="Hyperlink"/>
                <w:rFonts w:cs="Times New Roman"/>
                <w:noProof/>
              </w:rPr>
              <w:t>2.2.2.</w:t>
            </w:r>
            <w:r w:rsidR="009E5A85" w:rsidRPr="009E5A85">
              <w:rPr>
                <w:rFonts w:asciiTheme="minorHAnsi" w:hAnsiTheme="minorHAnsi"/>
                <w:noProof/>
                <w:sz w:val="22"/>
                <w:lang w:eastAsia="lv-LV"/>
              </w:rPr>
              <w:tab/>
            </w:r>
            <w:r w:rsidR="009E5A85" w:rsidRPr="009E5A85">
              <w:rPr>
                <w:rStyle w:val="Hyperlink"/>
                <w:rFonts w:cs="Times New Roman"/>
                <w:noProof/>
              </w:rPr>
              <w:t>Elektroenerģijas nodoklis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_Toc459890624 \h </w:instrText>
            </w:r>
            <w:r w:rsidR="009E5A85" w:rsidRPr="009E5A85">
              <w:rPr>
                <w:noProof/>
                <w:webHidden/>
              </w:rPr>
            </w:r>
            <w:r w:rsidR="009E5A85" w:rsidRPr="009E5A85">
              <w:rPr>
                <w:noProof/>
                <w:webHidden/>
              </w:rPr>
              <w:fldChar w:fldCharType="separate"/>
            </w:r>
            <w:r w:rsidR="009E5A85" w:rsidRPr="009E5A85">
              <w:rPr>
                <w:noProof/>
                <w:webHidden/>
              </w:rPr>
              <w:t>24</w:t>
            </w:r>
            <w:r w:rsidR="009E5A85" w:rsidRPr="009E5A85">
              <w:rPr>
                <w:noProof/>
                <w:webHidden/>
              </w:rPr>
              <w:fldChar w:fldCharType="end"/>
            </w:r>
          </w:hyperlink>
        </w:p>
        <w:p w14:paraId="4B62914B" w14:textId="77777777" w:rsidR="009E5A85" w:rsidRPr="009E5A85" w:rsidRDefault="00381BBF">
          <w:pPr>
            <w:pStyle w:val="TOC1"/>
            <w:tabs>
              <w:tab w:val="left" w:pos="480"/>
              <w:tab w:val="right" w:leader="dot" w:pos="8296"/>
            </w:tabs>
            <w:rPr>
              <w:rFonts w:asciiTheme="minorHAnsi" w:hAnsiTheme="minorHAnsi"/>
              <w:noProof/>
              <w:sz w:val="22"/>
              <w:lang w:eastAsia="lv-LV"/>
            </w:rPr>
          </w:pPr>
          <w:hyperlink w:anchor="_Toc459890625" w:history="1">
            <w:r w:rsidR="009E5A85" w:rsidRPr="009E5A85">
              <w:rPr>
                <w:rStyle w:val="Hyperlink"/>
                <w:noProof/>
              </w:rPr>
              <w:t>3.</w:t>
            </w:r>
            <w:r w:rsidR="009E5A85" w:rsidRPr="009E5A85">
              <w:rPr>
                <w:rFonts w:asciiTheme="minorHAnsi" w:hAnsiTheme="minorHAnsi"/>
                <w:noProof/>
                <w:sz w:val="22"/>
                <w:lang w:eastAsia="lv-LV"/>
              </w:rPr>
              <w:tab/>
            </w:r>
            <w:r w:rsidR="009E5A85" w:rsidRPr="009E5A85">
              <w:rPr>
                <w:rStyle w:val="Hyperlink"/>
                <w:noProof/>
              </w:rPr>
              <w:t>OIK maksājumu diferencēšana pēc sistēmas tarifu parauga</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_Toc459890625 \h </w:instrText>
            </w:r>
            <w:r w:rsidR="009E5A85" w:rsidRPr="009E5A85">
              <w:rPr>
                <w:noProof/>
                <w:webHidden/>
              </w:rPr>
            </w:r>
            <w:r w:rsidR="009E5A85" w:rsidRPr="009E5A85">
              <w:rPr>
                <w:noProof/>
                <w:webHidden/>
              </w:rPr>
              <w:fldChar w:fldCharType="separate"/>
            </w:r>
            <w:r w:rsidR="009E5A85" w:rsidRPr="009E5A85">
              <w:rPr>
                <w:noProof/>
                <w:webHidden/>
              </w:rPr>
              <w:t>26</w:t>
            </w:r>
            <w:r w:rsidR="009E5A85" w:rsidRPr="009E5A85">
              <w:rPr>
                <w:noProof/>
                <w:webHidden/>
              </w:rPr>
              <w:fldChar w:fldCharType="end"/>
            </w:r>
          </w:hyperlink>
        </w:p>
        <w:p w14:paraId="1F6CC73C" w14:textId="77777777" w:rsidR="009E5A85" w:rsidRPr="009E5A85" w:rsidRDefault="00381BBF">
          <w:pPr>
            <w:pStyle w:val="TOC1"/>
            <w:tabs>
              <w:tab w:val="left" w:pos="480"/>
              <w:tab w:val="right" w:leader="dot" w:pos="8296"/>
            </w:tabs>
            <w:rPr>
              <w:rFonts w:asciiTheme="minorHAnsi" w:hAnsiTheme="minorHAnsi"/>
              <w:noProof/>
              <w:sz w:val="22"/>
              <w:lang w:eastAsia="lv-LV"/>
            </w:rPr>
          </w:pPr>
          <w:hyperlink w:anchor="_Toc459890626" w:history="1">
            <w:r w:rsidR="009E5A85" w:rsidRPr="009E5A85">
              <w:rPr>
                <w:rStyle w:val="Hyperlink"/>
                <w:noProof/>
              </w:rPr>
              <w:t>4.</w:t>
            </w:r>
            <w:r w:rsidR="009E5A85" w:rsidRPr="009E5A85">
              <w:rPr>
                <w:rFonts w:asciiTheme="minorHAnsi" w:hAnsiTheme="minorHAnsi"/>
                <w:noProof/>
                <w:sz w:val="22"/>
                <w:lang w:eastAsia="lv-LV"/>
              </w:rPr>
              <w:tab/>
            </w:r>
            <w:r w:rsidR="009E5A85" w:rsidRPr="009E5A85">
              <w:rPr>
                <w:rStyle w:val="Hyperlink"/>
                <w:noProof/>
              </w:rPr>
              <w:t>Risinājumi</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_Toc459890626 \h </w:instrText>
            </w:r>
            <w:r w:rsidR="009E5A85" w:rsidRPr="009E5A85">
              <w:rPr>
                <w:noProof/>
                <w:webHidden/>
              </w:rPr>
            </w:r>
            <w:r w:rsidR="009E5A85" w:rsidRPr="009E5A85">
              <w:rPr>
                <w:noProof/>
                <w:webHidden/>
              </w:rPr>
              <w:fldChar w:fldCharType="separate"/>
            </w:r>
            <w:r w:rsidR="009E5A85" w:rsidRPr="009E5A85">
              <w:rPr>
                <w:noProof/>
                <w:webHidden/>
              </w:rPr>
              <w:t>32</w:t>
            </w:r>
            <w:r w:rsidR="009E5A85" w:rsidRPr="009E5A85">
              <w:rPr>
                <w:noProof/>
                <w:webHidden/>
              </w:rPr>
              <w:fldChar w:fldCharType="end"/>
            </w:r>
          </w:hyperlink>
        </w:p>
        <w:p w14:paraId="2B240C3C" w14:textId="77777777" w:rsidR="009E5A85" w:rsidRPr="009E5A85" w:rsidRDefault="00381BBF">
          <w:pPr>
            <w:pStyle w:val="TOC2"/>
            <w:tabs>
              <w:tab w:val="right" w:leader="dot" w:pos="8296"/>
            </w:tabs>
            <w:rPr>
              <w:rFonts w:asciiTheme="minorHAnsi" w:hAnsiTheme="minorHAnsi"/>
              <w:noProof/>
              <w:sz w:val="22"/>
              <w:lang w:eastAsia="lv-LV"/>
            </w:rPr>
          </w:pPr>
          <w:hyperlink w:anchor="_Toc459890627" w:history="1">
            <w:r w:rsidR="009E5A85" w:rsidRPr="009E5A85">
              <w:rPr>
                <w:rStyle w:val="Hyperlink"/>
                <w:rFonts w:cs="Times New Roman"/>
                <w:noProof/>
              </w:rPr>
              <w:t>1.risinājums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_Toc459890627 \h </w:instrText>
            </w:r>
            <w:r w:rsidR="009E5A85" w:rsidRPr="009E5A85">
              <w:rPr>
                <w:noProof/>
                <w:webHidden/>
              </w:rPr>
            </w:r>
            <w:r w:rsidR="009E5A85" w:rsidRPr="009E5A85">
              <w:rPr>
                <w:noProof/>
                <w:webHidden/>
              </w:rPr>
              <w:fldChar w:fldCharType="separate"/>
            </w:r>
            <w:r w:rsidR="009E5A85" w:rsidRPr="009E5A85">
              <w:rPr>
                <w:noProof/>
                <w:webHidden/>
              </w:rPr>
              <w:t>32</w:t>
            </w:r>
            <w:r w:rsidR="009E5A85" w:rsidRPr="009E5A85">
              <w:rPr>
                <w:noProof/>
                <w:webHidden/>
              </w:rPr>
              <w:fldChar w:fldCharType="end"/>
            </w:r>
          </w:hyperlink>
        </w:p>
        <w:p w14:paraId="20F61F8F" w14:textId="77777777" w:rsidR="009E5A85" w:rsidRPr="009E5A85" w:rsidRDefault="00381BBF">
          <w:pPr>
            <w:pStyle w:val="TOC2"/>
            <w:tabs>
              <w:tab w:val="right" w:leader="dot" w:pos="8296"/>
            </w:tabs>
            <w:rPr>
              <w:rFonts w:asciiTheme="minorHAnsi" w:hAnsiTheme="minorHAnsi"/>
              <w:noProof/>
              <w:sz w:val="22"/>
              <w:lang w:eastAsia="lv-LV"/>
            </w:rPr>
          </w:pPr>
          <w:hyperlink w:anchor="_Toc459890628" w:history="1">
            <w:r w:rsidR="009E5A85" w:rsidRPr="009E5A85">
              <w:rPr>
                <w:rStyle w:val="Hyperlink"/>
                <w:rFonts w:cs="Times New Roman"/>
                <w:noProof/>
              </w:rPr>
              <w:t>2.risinājums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_Toc459890628 \h </w:instrText>
            </w:r>
            <w:r w:rsidR="009E5A85" w:rsidRPr="009E5A85">
              <w:rPr>
                <w:noProof/>
                <w:webHidden/>
              </w:rPr>
            </w:r>
            <w:r w:rsidR="009E5A85" w:rsidRPr="009E5A85">
              <w:rPr>
                <w:noProof/>
                <w:webHidden/>
              </w:rPr>
              <w:fldChar w:fldCharType="separate"/>
            </w:r>
            <w:r w:rsidR="009E5A85" w:rsidRPr="009E5A85">
              <w:rPr>
                <w:noProof/>
                <w:webHidden/>
              </w:rPr>
              <w:t>34</w:t>
            </w:r>
            <w:r w:rsidR="009E5A85" w:rsidRPr="009E5A85">
              <w:rPr>
                <w:noProof/>
                <w:webHidden/>
              </w:rPr>
              <w:fldChar w:fldCharType="end"/>
            </w:r>
          </w:hyperlink>
        </w:p>
        <w:p w14:paraId="1D25688C" w14:textId="77777777" w:rsidR="009E5A85" w:rsidRPr="009E5A85" w:rsidRDefault="00381BBF">
          <w:pPr>
            <w:pStyle w:val="TOC2"/>
            <w:tabs>
              <w:tab w:val="right" w:leader="dot" w:pos="8296"/>
            </w:tabs>
            <w:rPr>
              <w:rFonts w:asciiTheme="minorHAnsi" w:hAnsiTheme="minorHAnsi"/>
              <w:noProof/>
              <w:sz w:val="22"/>
              <w:lang w:eastAsia="lv-LV"/>
            </w:rPr>
          </w:pPr>
          <w:hyperlink w:anchor="_Toc459890629" w:history="1">
            <w:r w:rsidR="009E5A85" w:rsidRPr="009E5A85">
              <w:rPr>
                <w:rStyle w:val="Hyperlink"/>
                <w:rFonts w:cs="Times New Roman"/>
                <w:noProof/>
              </w:rPr>
              <w:t>3.risinājums</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_Toc459890629 \h </w:instrText>
            </w:r>
            <w:r w:rsidR="009E5A85" w:rsidRPr="009E5A85">
              <w:rPr>
                <w:noProof/>
                <w:webHidden/>
              </w:rPr>
            </w:r>
            <w:r w:rsidR="009E5A85" w:rsidRPr="009E5A85">
              <w:rPr>
                <w:noProof/>
                <w:webHidden/>
              </w:rPr>
              <w:fldChar w:fldCharType="separate"/>
            </w:r>
            <w:r w:rsidR="009E5A85" w:rsidRPr="009E5A85">
              <w:rPr>
                <w:noProof/>
                <w:webHidden/>
              </w:rPr>
              <w:t>35</w:t>
            </w:r>
            <w:r w:rsidR="009E5A85" w:rsidRPr="009E5A85">
              <w:rPr>
                <w:noProof/>
                <w:webHidden/>
              </w:rPr>
              <w:fldChar w:fldCharType="end"/>
            </w:r>
          </w:hyperlink>
        </w:p>
        <w:p w14:paraId="3F289428" w14:textId="77777777" w:rsidR="009E5A85" w:rsidRPr="009E5A85" w:rsidRDefault="00381BBF">
          <w:pPr>
            <w:pStyle w:val="TOC2"/>
            <w:tabs>
              <w:tab w:val="right" w:leader="dot" w:pos="8296"/>
            </w:tabs>
            <w:rPr>
              <w:rFonts w:asciiTheme="minorHAnsi" w:hAnsiTheme="minorHAnsi"/>
              <w:noProof/>
              <w:sz w:val="22"/>
              <w:lang w:eastAsia="lv-LV"/>
            </w:rPr>
          </w:pPr>
          <w:hyperlink w:anchor="_Toc459890630" w:history="1">
            <w:r w:rsidR="009E5A85" w:rsidRPr="009E5A85">
              <w:rPr>
                <w:rStyle w:val="Hyperlink"/>
                <w:rFonts w:cs="Times New Roman"/>
                <w:noProof/>
              </w:rPr>
              <w:t>Risinājumu ietekme uz elektroenerģijas lietotāju ikmēneša izmaksām</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_Toc459890630 \h </w:instrText>
            </w:r>
            <w:r w:rsidR="009E5A85" w:rsidRPr="009E5A85">
              <w:rPr>
                <w:noProof/>
                <w:webHidden/>
              </w:rPr>
            </w:r>
            <w:r w:rsidR="009E5A85" w:rsidRPr="009E5A85">
              <w:rPr>
                <w:noProof/>
                <w:webHidden/>
              </w:rPr>
              <w:fldChar w:fldCharType="separate"/>
            </w:r>
            <w:r w:rsidR="009E5A85" w:rsidRPr="009E5A85">
              <w:rPr>
                <w:noProof/>
                <w:webHidden/>
              </w:rPr>
              <w:t>38</w:t>
            </w:r>
            <w:r w:rsidR="009E5A85" w:rsidRPr="009E5A85">
              <w:rPr>
                <w:noProof/>
                <w:webHidden/>
              </w:rPr>
              <w:fldChar w:fldCharType="end"/>
            </w:r>
          </w:hyperlink>
        </w:p>
        <w:p w14:paraId="12C89F72" w14:textId="77777777" w:rsidR="009E5A85" w:rsidRPr="009E5A85" w:rsidRDefault="00381BBF">
          <w:pPr>
            <w:pStyle w:val="TOC1"/>
            <w:tabs>
              <w:tab w:val="left" w:pos="480"/>
              <w:tab w:val="right" w:leader="dot" w:pos="8296"/>
            </w:tabs>
            <w:rPr>
              <w:rFonts w:asciiTheme="minorHAnsi" w:hAnsiTheme="minorHAnsi"/>
              <w:noProof/>
              <w:sz w:val="22"/>
              <w:lang w:eastAsia="lv-LV"/>
            </w:rPr>
          </w:pPr>
          <w:hyperlink w:anchor="_Toc459890631" w:history="1">
            <w:r w:rsidR="009E5A85" w:rsidRPr="009E5A85">
              <w:rPr>
                <w:rStyle w:val="Hyperlink"/>
                <w:noProof/>
              </w:rPr>
              <w:t>5.</w:t>
            </w:r>
            <w:r w:rsidR="009E5A85" w:rsidRPr="009E5A85">
              <w:rPr>
                <w:rFonts w:asciiTheme="minorHAnsi" w:hAnsiTheme="minorHAnsi"/>
                <w:noProof/>
                <w:sz w:val="22"/>
                <w:lang w:eastAsia="lv-LV"/>
              </w:rPr>
              <w:tab/>
            </w:r>
            <w:r w:rsidR="009E5A85" w:rsidRPr="009E5A85">
              <w:rPr>
                <w:rStyle w:val="Hyperlink"/>
                <w:noProof/>
              </w:rPr>
              <w:t>Secinājumi</w:t>
            </w:r>
            <w:r w:rsidR="009E5A85" w:rsidRPr="009E5A85">
              <w:rPr>
                <w:noProof/>
                <w:webHidden/>
              </w:rPr>
              <w:tab/>
            </w:r>
            <w:r w:rsidR="009E5A85" w:rsidRPr="009E5A85">
              <w:rPr>
                <w:noProof/>
                <w:webHidden/>
              </w:rPr>
              <w:fldChar w:fldCharType="begin"/>
            </w:r>
            <w:r w:rsidR="009E5A85" w:rsidRPr="009E5A85">
              <w:rPr>
                <w:noProof/>
                <w:webHidden/>
              </w:rPr>
              <w:instrText xml:space="preserve"> PAGEREF _Toc459890631 \h </w:instrText>
            </w:r>
            <w:r w:rsidR="009E5A85" w:rsidRPr="009E5A85">
              <w:rPr>
                <w:noProof/>
                <w:webHidden/>
              </w:rPr>
            </w:r>
            <w:r w:rsidR="009E5A85" w:rsidRPr="009E5A85">
              <w:rPr>
                <w:noProof/>
                <w:webHidden/>
              </w:rPr>
              <w:fldChar w:fldCharType="separate"/>
            </w:r>
            <w:r w:rsidR="009E5A85" w:rsidRPr="009E5A85">
              <w:rPr>
                <w:noProof/>
                <w:webHidden/>
              </w:rPr>
              <w:t>39</w:t>
            </w:r>
            <w:r w:rsidR="009E5A85" w:rsidRPr="009E5A85">
              <w:rPr>
                <w:noProof/>
                <w:webHidden/>
              </w:rPr>
              <w:fldChar w:fldCharType="end"/>
            </w:r>
          </w:hyperlink>
        </w:p>
        <w:p w14:paraId="0733AA71" w14:textId="2C6B69E9" w:rsidR="00F77AD2" w:rsidRPr="00005005" w:rsidRDefault="00EA3C17" w:rsidP="00005005">
          <w:r w:rsidRPr="009E5A85">
            <w:rPr>
              <w:bCs/>
              <w:noProof/>
              <w:sz w:val="28"/>
              <w:szCs w:val="28"/>
            </w:rPr>
            <w:fldChar w:fldCharType="end"/>
          </w:r>
        </w:p>
      </w:sdtContent>
    </w:sdt>
    <w:p w14:paraId="641E6187" w14:textId="74139F2E" w:rsidR="00F77AD2" w:rsidRPr="00536C60" w:rsidRDefault="004C0C97" w:rsidP="00F77AD2">
      <w:pPr>
        <w:pStyle w:val="Heading1"/>
        <w:pageBreakBefore/>
      </w:pPr>
      <w:bookmarkStart w:id="6" w:name="_Toc459890611"/>
      <w:r>
        <w:lastRenderedPageBreak/>
        <w:t xml:space="preserve">Konceptuālā ziņojuma </w:t>
      </w:r>
      <w:r w:rsidR="00BB5EDC">
        <w:t xml:space="preserve">satura </w:t>
      </w:r>
      <w:r>
        <w:t>kopsavilkums</w:t>
      </w:r>
      <w:bookmarkEnd w:id="6"/>
    </w:p>
    <w:p w14:paraId="7C9065E2" w14:textId="77777777" w:rsidR="00F17D10" w:rsidRDefault="00F17D10" w:rsidP="00F17D10">
      <w:pPr>
        <w:spacing w:line="100" w:lineRule="atLeast"/>
        <w:ind w:firstLine="567"/>
        <w:rPr>
          <w:sz w:val="28"/>
        </w:rPr>
      </w:pPr>
      <w:r w:rsidRPr="00F17D10">
        <w:rPr>
          <w:sz w:val="28"/>
        </w:rPr>
        <w:t xml:space="preserve">Konceptuālais ziņojums </w:t>
      </w:r>
      <w:r>
        <w:rPr>
          <w:sz w:val="28"/>
        </w:rPr>
        <w:t>“</w:t>
      </w:r>
      <w:r w:rsidRPr="00F17D10">
        <w:rPr>
          <w:sz w:val="28"/>
        </w:rPr>
        <w:t>Kompleksi pasākumi elektroenerģijas tirgus attīstībai</w:t>
      </w:r>
      <w:r>
        <w:rPr>
          <w:sz w:val="28"/>
        </w:rPr>
        <w:t>”</w:t>
      </w:r>
      <w:r w:rsidRPr="00F17D10">
        <w:rPr>
          <w:sz w:val="28"/>
        </w:rPr>
        <w:t xml:space="preserve"> (turpmāk - </w:t>
      </w:r>
      <w:r>
        <w:rPr>
          <w:sz w:val="28"/>
        </w:rPr>
        <w:t>k</w:t>
      </w:r>
      <w:r w:rsidRPr="00F17D10">
        <w:rPr>
          <w:sz w:val="28"/>
        </w:rPr>
        <w:t>onceptuālais ziņojums) sagatavots, lai risinātu aktuālās problēmas elektroenerģijas tirgū, vienlaikus risinot jautājumus saistībā ar 201</w:t>
      </w:r>
      <w:r>
        <w:rPr>
          <w:sz w:val="28"/>
        </w:rPr>
        <w:t>7</w:t>
      </w:r>
      <w:r w:rsidRPr="00F17D10">
        <w:rPr>
          <w:sz w:val="28"/>
        </w:rPr>
        <w:t>. gada valsts budžetu un valsts budžeta ietvaru 201</w:t>
      </w:r>
      <w:r>
        <w:rPr>
          <w:sz w:val="28"/>
        </w:rPr>
        <w:t>7</w:t>
      </w:r>
      <w:r w:rsidRPr="00F17D10">
        <w:rPr>
          <w:sz w:val="28"/>
        </w:rPr>
        <w:t>.-201</w:t>
      </w:r>
      <w:r>
        <w:rPr>
          <w:sz w:val="28"/>
        </w:rPr>
        <w:t>9</w:t>
      </w:r>
      <w:r w:rsidRPr="00F17D10">
        <w:rPr>
          <w:sz w:val="28"/>
        </w:rPr>
        <w:t>. gadam.</w:t>
      </w:r>
    </w:p>
    <w:p w14:paraId="4AA19A3E" w14:textId="2B59E443" w:rsidR="00EA027A" w:rsidRDefault="00F77AD2" w:rsidP="00F17D10">
      <w:pPr>
        <w:spacing w:line="100" w:lineRule="atLeast"/>
        <w:ind w:firstLine="567"/>
        <w:rPr>
          <w:sz w:val="28"/>
          <w:szCs w:val="28"/>
        </w:rPr>
      </w:pPr>
      <w:r w:rsidRPr="00F17D10">
        <w:rPr>
          <w:sz w:val="28"/>
        </w:rPr>
        <w:t xml:space="preserve">Vienlaikus ar </w:t>
      </w:r>
      <w:r w:rsidR="00F17D10">
        <w:rPr>
          <w:sz w:val="28"/>
        </w:rPr>
        <w:t>konceptuālo</w:t>
      </w:r>
      <w:r w:rsidRPr="00F17D10">
        <w:rPr>
          <w:sz w:val="28"/>
        </w:rPr>
        <w:t xml:space="preserve"> ziņojumu tiek izpildīts Ministru kabineta </w:t>
      </w:r>
      <w:r w:rsidR="00F17D10" w:rsidRPr="00F17D10">
        <w:rPr>
          <w:sz w:val="28"/>
        </w:rPr>
        <w:t>2015. gada 17. septembra rīkojumā Nr. 567 “Par konceptuālo ziņojumu “Kompleksi pasākumi elektroenerģijas tirgus attīstībai” 5. punktā Ekonomikas ministrijai uzdotais uzdevums</w:t>
      </w:r>
      <w:r w:rsidR="00EA027A" w:rsidRPr="00F17D10">
        <w:rPr>
          <w:sz w:val="28"/>
        </w:rPr>
        <w:t xml:space="preserve">, analizējot </w:t>
      </w:r>
      <w:r w:rsidR="00F17D10" w:rsidRPr="00F17D10">
        <w:rPr>
          <w:sz w:val="28"/>
        </w:rPr>
        <w:t>AS “Latvenergo” darbības rezultātus par 2015. </w:t>
      </w:r>
      <w:r w:rsidR="00EA027A" w:rsidRPr="00F17D10">
        <w:rPr>
          <w:sz w:val="28"/>
        </w:rPr>
        <w:t>gada pārskata gadu, iesniegt Ministru kabinetā priekšlikumus par subsidētās elektroenerģijas nodokļa likmju paaugstināšanu apliekamajiem ienākumiem no obligātā iepirkuma</w:t>
      </w:r>
      <w:r w:rsidR="00E52784">
        <w:rPr>
          <w:sz w:val="28"/>
        </w:rPr>
        <w:t xml:space="preserve"> (turpmāk - OI)</w:t>
      </w:r>
      <w:r w:rsidR="00EA027A" w:rsidRPr="00F17D10">
        <w:rPr>
          <w:sz w:val="28"/>
        </w:rPr>
        <w:t xml:space="preserve"> ietvaros pārdotās elektroenerģijas no fosilajiem energoresursiem vai garantētās maksas par uzstādīto elektrisko jaudu koģenerācijas iekārtām, kurās tiek izmantoti fosilie energoresursi, nodrošinot, ka valsts budžeta programmas </w:t>
      </w:r>
      <w:r w:rsidR="00F17D10" w:rsidRPr="00F17D10">
        <w:rPr>
          <w:sz w:val="28"/>
        </w:rPr>
        <w:t>“</w:t>
      </w:r>
      <w:r w:rsidR="00EA027A" w:rsidRPr="00F17D10">
        <w:rPr>
          <w:sz w:val="28"/>
        </w:rPr>
        <w:t>Elektro</w:t>
      </w:r>
      <w:r w:rsidR="00F17D10" w:rsidRPr="00F17D10">
        <w:rPr>
          <w:sz w:val="28"/>
        </w:rPr>
        <w:t>enerģijas lietotāju atbalsts”</w:t>
      </w:r>
      <w:r w:rsidR="00EA027A" w:rsidRPr="00F17D10">
        <w:rPr>
          <w:sz w:val="28"/>
        </w:rPr>
        <w:t xml:space="preserve"> finansējumam solidāri tiek izmantoti subsidētās elektroenerģijas nodokļa ieņēmumi un </w:t>
      </w:r>
      <w:r w:rsidR="00F17D10" w:rsidRPr="00F17D10">
        <w:rPr>
          <w:sz w:val="28"/>
        </w:rPr>
        <w:t>AS</w:t>
      </w:r>
      <w:r w:rsidR="00EA027A" w:rsidRPr="00F17D10">
        <w:rPr>
          <w:sz w:val="28"/>
        </w:rPr>
        <w:t xml:space="preserve"> </w:t>
      </w:r>
      <w:r w:rsidR="00F17D10" w:rsidRPr="00F17D10">
        <w:rPr>
          <w:sz w:val="28"/>
        </w:rPr>
        <w:t>“</w:t>
      </w:r>
      <w:r w:rsidR="00EA027A" w:rsidRPr="00F17D10">
        <w:rPr>
          <w:sz w:val="28"/>
        </w:rPr>
        <w:t>Latvenergo</w:t>
      </w:r>
      <w:r w:rsidR="00F17D10" w:rsidRPr="00F17D10">
        <w:rPr>
          <w:sz w:val="28"/>
        </w:rPr>
        <w:t>”</w:t>
      </w:r>
      <w:r w:rsidR="00EA027A" w:rsidRPr="00F17D10">
        <w:rPr>
          <w:sz w:val="28"/>
        </w:rPr>
        <w:t xml:space="preserve"> dividendes</w:t>
      </w:r>
      <w:r w:rsidR="004C0C97">
        <w:rPr>
          <w:sz w:val="28"/>
        </w:rPr>
        <w:t>,</w:t>
      </w:r>
      <w:r w:rsidR="00F82132">
        <w:rPr>
          <w:sz w:val="28"/>
        </w:rPr>
        <w:t xml:space="preserve"> kā arī </w:t>
      </w:r>
      <w:r w:rsidR="00F82132" w:rsidRPr="00F17D10">
        <w:rPr>
          <w:sz w:val="28"/>
        </w:rPr>
        <w:t>Ministru kabineta 201</w:t>
      </w:r>
      <w:r w:rsidR="00F82132">
        <w:rPr>
          <w:sz w:val="28"/>
        </w:rPr>
        <w:t>6</w:t>
      </w:r>
      <w:r w:rsidR="00F82132" w:rsidRPr="00F17D10">
        <w:rPr>
          <w:sz w:val="28"/>
        </w:rPr>
        <w:t xml:space="preserve">. gada </w:t>
      </w:r>
      <w:r w:rsidR="00110E6C">
        <w:rPr>
          <w:sz w:val="28"/>
        </w:rPr>
        <w:t>2</w:t>
      </w:r>
      <w:r w:rsidR="00F82132" w:rsidRPr="00F17D10">
        <w:rPr>
          <w:sz w:val="28"/>
        </w:rPr>
        <w:t>. </w:t>
      </w:r>
      <w:r w:rsidR="00110E6C">
        <w:rPr>
          <w:sz w:val="28"/>
        </w:rPr>
        <w:t>august</w:t>
      </w:r>
      <w:r w:rsidR="00F82132" w:rsidRPr="00F17D10">
        <w:rPr>
          <w:sz w:val="28"/>
        </w:rPr>
        <w:t xml:space="preserve">a </w:t>
      </w:r>
      <w:r w:rsidR="00F82132">
        <w:rPr>
          <w:sz w:val="28"/>
        </w:rPr>
        <w:t xml:space="preserve">protokola Nr. 38. </w:t>
      </w:r>
      <w:r w:rsidR="00F82132">
        <w:rPr>
          <w:sz w:val="28"/>
          <w:szCs w:val="28"/>
        </w:rPr>
        <w:t>49.§</w:t>
      </w:r>
      <w:r w:rsidR="00F82132" w:rsidRPr="006A448A">
        <w:rPr>
          <w:sz w:val="28"/>
          <w:szCs w:val="28"/>
        </w:rPr>
        <w:t xml:space="preserve"> 1</w:t>
      </w:r>
      <w:r w:rsidR="00F82132">
        <w:rPr>
          <w:sz w:val="28"/>
          <w:szCs w:val="28"/>
        </w:rPr>
        <w:t>3</w:t>
      </w:r>
      <w:r w:rsidR="00F82132" w:rsidRPr="006A448A">
        <w:rPr>
          <w:sz w:val="28"/>
          <w:szCs w:val="28"/>
        </w:rPr>
        <w:t>.</w:t>
      </w:r>
      <w:r w:rsidR="00110E6C">
        <w:rPr>
          <w:sz w:val="28"/>
          <w:szCs w:val="28"/>
        </w:rPr>
        <w:t> </w:t>
      </w:r>
      <w:r w:rsidR="00F82132" w:rsidRPr="006A448A">
        <w:rPr>
          <w:sz w:val="28"/>
          <w:szCs w:val="28"/>
        </w:rPr>
        <w:t>punkts</w:t>
      </w:r>
      <w:r w:rsidR="00F82132">
        <w:rPr>
          <w:sz w:val="28"/>
          <w:szCs w:val="28"/>
        </w:rPr>
        <w:t xml:space="preserve">, kas paredz </w:t>
      </w:r>
      <w:r w:rsidR="00F82132" w:rsidRPr="00F82132">
        <w:rPr>
          <w:sz w:val="28"/>
          <w:szCs w:val="28"/>
        </w:rPr>
        <w:t>Ekonomikas ministrijai iesniegt Ministru kabinetā informatīvo ziņojumu par plānoto izdevumu apjomu un resursu to segšanai obligātās iepirkumu komponentes līmeņa saglabāšanai noteiktajā līmenī, ja netiek turpināta Subsidētās elektroenerģijas nodokļa piemērošana. Ja netiek piedāvāts alternatīvais risinājums attiecīgi jāsamazina dotācijas obligātās iepirkumu komponentes līmeņa saglabāšanai noteiktajā apmērā par fiskālās ietekmes apmēru subsidētās elektroenerģijas nodokļa atcelšanai 2018.gadā un 2019.gadā attiecīgi -30 milj. EUR un -7 milj. EUR.</w:t>
      </w:r>
    </w:p>
    <w:p w14:paraId="5222BD4D" w14:textId="77777777" w:rsidR="001531E7" w:rsidRPr="001531E7" w:rsidRDefault="001531E7" w:rsidP="001531E7">
      <w:pPr>
        <w:spacing w:after="0" w:line="240" w:lineRule="auto"/>
        <w:ind w:firstLine="720"/>
        <w:rPr>
          <w:rFonts w:eastAsiaTheme="minorHAnsi" w:cs="Times New Roman"/>
          <w:b/>
          <w:sz w:val="28"/>
          <w:szCs w:val="28"/>
        </w:rPr>
      </w:pPr>
      <w:r w:rsidRPr="001531E7">
        <w:rPr>
          <w:rFonts w:eastAsiaTheme="minorHAnsi" w:cs="Times New Roman"/>
          <w:b/>
          <w:sz w:val="28"/>
          <w:szCs w:val="28"/>
        </w:rPr>
        <w:t>Atbalsts elektroenerģijas ražošanai un obligātā iepirkuma komponente, atbalsts energoietilpīgajiem apstrādes rūpniecības uzņēmumiem</w:t>
      </w:r>
    </w:p>
    <w:p w14:paraId="704FBDAA" w14:textId="6C6F0B55"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 xml:space="preserve">2016. gada 22. jūnijā stājās spēkā grozījumi </w:t>
      </w:r>
      <w:hyperlink r:id="rId8" w:tgtFrame="_blank" w:history="1">
        <w:r w:rsidRPr="001531E7">
          <w:rPr>
            <w:rFonts w:eastAsiaTheme="minorHAnsi" w:cs="Times New Roman"/>
            <w:sz w:val="28"/>
            <w:szCs w:val="28"/>
          </w:rPr>
          <w:t>Elektroenerģijas tirgus likumā</w:t>
        </w:r>
      </w:hyperlink>
      <w:r w:rsidRPr="001531E7">
        <w:rPr>
          <w:rFonts w:eastAsiaTheme="minorHAnsi" w:cs="Times New Roman"/>
          <w:sz w:val="28"/>
          <w:szCs w:val="28"/>
        </w:rPr>
        <w:t xml:space="preserve">, kas cita starpā paredz elektroenerģijas ražotājiem nepiešķirt jaunas tiesības pārdot saražoto elektroenerģiju </w:t>
      </w:r>
      <w:r w:rsidR="00381BBF">
        <w:rPr>
          <w:rFonts w:eastAsiaTheme="minorHAnsi" w:cs="Times New Roman"/>
          <w:sz w:val="28"/>
          <w:szCs w:val="28"/>
        </w:rPr>
        <w:t>OI</w:t>
      </w:r>
      <w:r w:rsidRPr="001531E7">
        <w:rPr>
          <w:rFonts w:eastAsiaTheme="minorHAnsi" w:cs="Times New Roman"/>
          <w:sz w:val="28"/>
          <w:szCs w:val="28"/>
        </w:rPr>
        <w:t xml:space="preserve"> ietvaros, kā arī saņemt garantēto maksu par uzstādīto elektrisko jaudu. </w:t>
      </w:r>
    </w:p>
    <w:p w14:paraId="3E2C165F"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Līdz 2018. gadam plānots izstrādāt jaunu, izmaksu efektīvu atbalsta mehānismu, kas atbilstu sabiedrības interesēm un veicinātu konkurētspējīgas enerģijas ražošanu no atjaunojamajiem energoresursiem (turpmāk – AER).</w:t>
      </w:r>
    </w:p>
    <w:p w14:paraId="3C631ED7"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lastRenderedPageBreak/>
        <w:t>Pamatojoties uz Ministru kabineta 2013.gada 13.augusta sēdes protokola Nr.44 156.§ 7.punktu, tika sagatavots un 2013. gada 17.decembrī uzsākts pirms-paziņojuma process ar Eiropas Komisiju (turpmāk –EK) valsts atbalsta lietas SA.37970 (2013/PN) - Atbalsts enerģijas ražotājiem ietvaros. Ņemot vērā valsts atbalsta nosacījumus un notikušās formālās un neformālās konsultācijas ar EK, 2015.gada 22.septembrī tika uzsākts paziņojuma process valsts atbalsta lietas SA.43140 (2015/NN) - Atbalsts elektroenerģijas ražotājiem ietvaros.</w:t>
      </w:r>
    </w:p>
    <w:p w14:paraId="41A30043"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 xml:space="preserve">Ņemot vērā EK norādīto nepieciešamību Latvijai ieviest mehānismu </w:t>
      </w:r>
      <w:proofErr w:type="spellStart"/>
      <w:r w:rsidRPr="001531E7">
        <w:rPr>
          <w:rFonts w:eastAsiaTheme="minorHAnsi" w:cs="Times New Roman"/>
          <w:sz w:val="28"/>
          <w:szCs w:val="28"/>
        </w:rPr>
        <w:t>pārkompensācijas</w:t>
      </w:r>
      <w:proofErr w:type="spellEnd"/>
      <w:r w:rsidRPr="001531E7">
        <w:rPr>
          <w:rFonts w:eastAsiaTheme="minorHAnsi" w:cs="Times New Roman"/>
          <w:sz w:val="28"/>
          <w:szCs w:val="28"/>
        </w:rPr>
        <w:t xml:space="preserve"> konstatēšanai un novēršanai, lai saņemtu EK lēmumu par atbalsta pasākuma atbilstību Eiropas Savienības (turpmāk – ES) iekšējam tirgum, 2016. gada 5. jūlijā tika pieņemti grozījumi Ministru kabineta noteikumos, kas regulē šī atbalsta sniegšanas apmēru. Minētie grozījumi paredz novērst </w:t>
      </w:r>
      <w:proofErr w:type="spellStart"/>
      <w:r w:rsidRPr="001531E7">
        <w:rPr>
          <w:rFonts w:eastAsiaTheme="minorHAnsi" w:cs="Times New Roman"/>
          <w:sz w:val="28"/>
          <w:szCs w:val="28"/>
        </w:rPr>
        <w:t>pārsubsidācijas</w:t>
      </w:r>
      <w:proofErr w:type="spellEnd"/>
      <w:r w:rsidRPr="001531E7">
        <w:rPr>
          <w:rFonts w:eastAsiaTheme="minorHAnsi" w:cs="Times New Roman"/>
          <w:sz w:val="28"/>
          <w:szCs w:val="28"/>
        </w:rPr>
        <w:t xml:space="preserve"> risku, izmantojot iekšējās peļņas normas (turpmāk – IRR) aprēķinu un nosakot, ka projektu IRR atbalsta perioda beigās nepārsniedz 9%.</w:t>
      </w:r>
    </w:p>
    <w:p w14:paraId="254DE23C"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 xml:space="preserve">Ja </w:t>
      </w:r>
      <w:proofErr w:type="spellStart"/>
      <w:r w:rsidRPr="001531E7">
        <w:rPr>
          <w:rFonts w:eastAsiaTheme="minorHAnsi" w:cs="Times New Roman"/>
          <w:sz w:val="28"/>
          <w:szCs w:val="28"/>
        </w:rPr>
        <w:t>pārkompensācijas</w:t>
      </w:r>
      <w:proofErr w:type="spellEnd"/>
      <w:r w:rsidRPr="001531E7">
        <w:rPr>
          <w:rFonts w:eastAsiaTheme="minorHAnsi" w:cs="Times New Roman"/>
          <w:sz w:val="28"/>
          <w:szCs w:val="28"/>
        </w:rPr>
        <w:t xml:space="preserve"> novēršanas mehānisms netiktu ieviests, tad saskaņā ar EK procedūrām attiecībā uz nelikumīgi izsniegtu valsts atbalstu tiktu ierosināta pārkāpuma procedūra pret Latviju. Par izstrādāto </w:t>
      </w:r>
      <w:proofErr w:type="spellStart"/>
      <w:r w:rsidRPr="001531E7">
        <w:rPr>
          <w:rFonts w:eastAsiaTheme="minorHAnsi" w:cs="Times New Roman"/>
          <w:sz w:val="28"/>
          <w:szCs w:val="28"/>
        </w:rPr>
        <w:t>pārkompensācijas</w:t>
      </w:r>
      <w:proofErr w:type="spellEnd"/>
      <w:r w:rsidRPr="001531E7">
        <w:rPr>
          <w:rFonts w:eastAsiaTheme="minorHAnsi" w:cs="Times New Roman"/>
          <w:sz w:val="28"/>
          <w:szCs w:val="28"/>
        </w:rPr>
        <w:t xml:space="preserve"> novēršanas mehānismu ir informēta EK un tiek gaidīts EK lēmums par atbalsta pasākuma saskaņojumu.</w:t>
      </w:r>
    </w:p>
    <w:p w14:paraId="37ECCDBF" w14:textId="77777777" w:rsidR="001531E7" w:rsidRPr="001531E7" w:rsidRDefault="001531E7" w:rsidP="001531E7">
      <w:pPr>
        <w:spacing w:after="0" w:line="240" w:lineRule="auto"/>
        <w:ind w:firstLine="720"/>
        <w:rPr>
          <w:rFonts w:eastAsiaTheme="minorHAnsi" w:cs="Times New Roman"/>
          <w:bCs/>
          <w:color w:val="000000" w:themeColor="text1"/>
          <w:sz w:val="28"/>
          <w:szCs w:val="28"/>
        </w:rPr>
      </w:pPr>
      <w:r w:rsidRPr="001531E7">
        <w:rPr>
          <w:rFonts w:eastAsiaTheme="minorHAnsi" w:cs="Times New Roman"/>
          <w:sz w:val="28"/>
          <w:szCs w:val="28"/>
        </w:rPr>
        <w:t>Ķīmijas, kokapstrādes un būvmateriālus ražojošajiem energoietilpīgiem uzņēmumiem obligātās iepirkuma komponentes (turpmāk - OIK) saglabāšana 26,79 EUR/</w:t>
      </w:r>
      <w:proofErr w:type="spellStart"/>
      <w:r w:rsidRPr="001531E7">
        <w:rPr>
          <w:rFonts w:eastAsiaTheme="minorHAnsi" w:cs="Times New Roman"/>
          <w:sz w:val="28"/>
          <w:szCs w:val="28"/>
        </w:rPr>
        <w:t>MWh</w:t>
      </w:r>
      <w:proofErr w:type="spellEnd"/>
      <w:r w:rsidRPr="001531E7">
        <w:rPr>
          <w:rFonts w:eastAsiaTheme="minorHAnsi" w:cs="Times New Roman"/>
          <w:sz w:val="28"/>
          <w:szCs w:val="28"/>
        </w:rPr>
        <w:t xml:space="preserve"> līmenī nav pietiekama to konkurētspējas nodrošināšanai. </w:t>
      </w:r>
      <w:r w:rsidRPr="001531E7">
        <w:rPr>
          <w:rFonts w:eastAsiaTheme="minorHAnsi" w:cs="Times New Roman"/>
          <w:bCs/>
          <w:color w:val="000000" w:themeColor="text1"/>
          <w:sz w:val="28"/>
          <w:szCs w:val="28"/>
        </w:rPr>
        <w:t>Lai mazinātu OIK pieauguma negatīvo efektu uz komersantiem, kas savu pamatdarbību ir izvērsuši energoietilpīgajās nozarēs, tika pieņemti</w:t>
      </w:r>
      <w:r w:rsidRPr="001531E7">
        <w:rPr>
          <w:rFonts w:eastAsiaTheme="minorHAnsi" w:cs="Times New Roman"/>
          <w:sz w:val="22"/>
        </w:rPr>
        <w:t xml:space="preserve"> </w:t>
      </w:r>
      <w:r w:rsidRPr="001531E7">
        <w:rPr>
          <w:rFonts w:eastAsiaTheme="minorHAnsi" w:cs="Times New Roman"/>
          <w:bCs/>
          <w:color w:val="000000" w:themeColor="text1"/>
          <w:sz w:val="28"/>
          <w:szCs w:val="28"/>
        </w:rPr>
        <w:t>Ministru kabineta 2015. gada 14. jūlija noteikumi Nr. 395 „Kārtība, kādā energoietilpīgi apstrādes rūpniecības uzņēmumi iegūst tiesības uz samazinātu līdzdalību obligātā iepirkuma komponentes maksājumam” (turpmāk – MK noteikumi Nr. 395), kuri apstrādes rūpniecības komersantiem paredz tiesības kvalificēties samazinātajam OIK līdzdalības maksājumam.</w:t>
      </w:r>
    </w:p>
    <w:p w14:paraId="129DE9D6" w14:textId="77777777" w:rsidR="001531E7" w:rsidRPr="001531E7" w:rsidRDefault="001531E7" w:rsidP="001531E7">
      <w:pPr>
        <w:spacing w:after="0" w:line="240" w:lineRule="auto"/>
        <w:ind w:firstLine="720"/>
        <w:rPr>
          <w:rFonts w:eastAsiaTheme="minorHAnsi" w:cs="Times New Roman"/>
          <w:bCs/>
          <w:color w:val="000000" w:themeColor="text1"/>
          <w:sz w:val="28"/>
          <w:szCs w:val="28"/>
        </w:rPr>
      </w:pPr>
      <w:r w:rsidRPr="001531E7">
        <w:rPr>
          <w:rFonts w:eastAsiaTheme="minorHAnsi" w:cs="Times New Roman"/>
          <w:sz w:val="28"/>
          <w:szCs w:val="28"/>
        </w:rPr>
        <w:t>Minētā atbalsta, ko EK izvērtēs tikai pēc atbalsta lietas SA.43140 (2015/NN) - Atbalsts elektroenerģijas ražotājiem saskaņošanas,</w:t>
      </w:r>
      <w:r w:rsidRPr="001531E7">
        <w:rPr>
          <w:rFonts w:eastAsiaTheme="minorHAnsi" w:cs="Times New Roman"/>
          <w:bCs/>
          <w:color w:val="000000" w:themeColor="text1"/>
          <w:sz w:val="28"/>
          <w:szCs w:val="28"/>
        </w:rPr>
        <w:t xml:space="preserve"> sniegšanai nepieciešams saņemt EK saskaņojumu. MK noteikumi Nr. 395 stāsies spēkā tikai pēc EK lēmuma saņemšanas par saderību ar ES iekšējo tirgu. </w:t>
      </w:r>
    </w:p>
    <w:p w14:paraId="4F207B3A" w14:textId="77777777" w:rsidR="001531E7" w:rsidRPr="001531E7" w:rsidRDefault="001531E7" w:rsidP="001531E7">
      <w:pPr>
        <w:spacing w:after="0" w:line="240" w:lineRule="auto"/>
        <w:ind w:firstLine="720"/>
        <w:rPr>
          <w:rFonts w:eastAsiaTheme="minorHAnsi" w:cs="Times New Roman"/>
          <w:sz w:val="28"/>
          <w:szCs w:val="28"/>
        </w:rPr>
      </w:pPr>
    </w:p>
    <w:p w14:paraId="2C243AA9" w14:textId="77777777" w:rsidR="001531E7" w:rsidRPr="001531E7" w:rsidRDefault="001531E7" w:rsidP="001531E7">
      <w:pPr>
        <w:spacing w:after="0" w:line="240" w:lineRule="auto"/>
        <w:ind w:firstLine="720"/>
        <w:contextualSpacing/>
        <w:rPr>
          <w:rFonts w:eastAsiaTheme="minorHAnsi" w:cs="Times New Roman"/>
          <w:b/>
          <w:sz w:val="28"/>
          <w:szCs w:val="28"/>
        </w:rPr>
      </w:pPr>
      <w:r w:rsidRPr="001531E7">
        <w:rPr>
          <w:rFonts w:eastAsiaTheme="minorHAnsi" w:cs="Times New Roman"/>
          <w:b/>
          <w:sz w:val="28"/>
          <w:szCs w:val="28"/>
        </w:rPr>
        <w:t xml:space="preserve">TEC atbalsta </w:t>
      </w:r>
      <w:proofErr w:type="spellStart"/>
      <w:r w:rsidRPr="001531E7">
        <w:rPr>
          <w:rFonts w:eastAsiaTheme="minorHAnsi" w:cs="Times New Roman"/>
          <w:b/>
          <w:sz w:val="28"/>
          <w:szCs w:val="28"/>
        </w:rPr>
        <w:t>izvērtējums</w:t>
      </w:r>
      <w:proofErr w:type="spellEnd"/>
    </w:p>
    <w:p w14:paraId="4D9E2CB9" w14:textId="7396010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Lielākais īpatsvars jaudas maksas</w:t>
      </w:r>
      <w:r w:rsidR="00972550">
        <w:rPr>
          <w:rFonts w:eastAsiaTheme="minorHAnsi" w:cs="Times New Roman"/>
          <w:sz w:val="28"/>
          <w:szCs w:val="28"/>
        </w:rPr>
        <w:t xml:space="preserve"> OIK daļā rodas no atbalsta</w:t>
      </w:r>
      <w:r w:rsidRPr="001531E7">
        <w:rPr>
          <w:rFonts w:eastAsiaTheme="minorHAnsi" w:cs="Times New Roman"/>
          <w:sz w:val="28"/>
          <w:szCs w:val="28"/>
        </w:rPr>
        <w:t xml:space="preserve"> dabasgāzes koģenerācijas elektrostacijām, kuras saņem atbalstu jaudas maksājumu veidā (2015. gadā 42%).</w:t>
      </w:r>
    </w:p>
    <w:p w14:paraId="4826872E"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 xml:space="preserve">Atbalstītās dabasgāzes koģenerācijas elektrostacijas ar uzstādīto elektrisko jaudu virs 100 MW šobrīd nodrošina bāzes jaudu reģionā, kā arī </w:t>
      </w:r>
      <w:r w:rsidRPr="001531E7">
        <w:rPr>
          <w:rFonts w:eastAsiaTheme="minorHAnsi" w:cs="Times New Roman"/>
          <w:sz w:val="28"/>
          <w:szCs w:val="28"/>
        </w:rPr>
        <w:lastRenderedPageBreak/>
        <w:t xml:space="preserve">šo staciju darbība nodrošina elektroenerģijas tirgus cenu stabilizēšanu elektroenerģijas biržas </w:t>
      </w:r>
      <w:r w:rsidRPr="001531E7">
        <w:rPr>
          <w:rFonts w:eastAsiaTheme="minorHAnsi" w:cs="Times New Roman"/>
          <w:i/>
          <w:sz w:val="28"/>
          <w:szCs w:val="28"/>
        </w:rPr>
        <w:t xml:space="preserve">Nord </w:t>
      </w:r>
      <w:proofErr w:type="spellStart"/>
      <w:r w:rsidRPr="001531E7">
        <w:rPr>
          <w:rFonts w:eastAsiaTheme="minorHAnsi" w:cs="Times New Roman"/>
          <w:i/>
          <w:sz w:val="28"/>
          <w:szCs w:val="28"/>
        </w:rPr>
        <w:t>Pool</w:t>
      </w:r>
      <w:proofErr w:type="spellEnd"/>
      <w:r w:rsidRPr="001531E7">
        <w:rPr>
          <w:rFonts w:eastAsiaTheme="minorHAnsi" w:cs="Times New Roman"/>
          <w:i/>
          <w:sz w:val="28"/>
          <w:szCs w:val="28"/>
        </w:rPr>
        <w:t xml:space="preserve"> </w:t>
      </w:r>
      <w:proofErr w:type="spellStart"/>
      <w:r w:rsidRPr="001531E7">
        <w:rPr>
          <w:rFonts w:eastAsiaTheme="minorHAnsi" w:cs="Times New Roman"/>
          <w:i/>
          <w:sz w:val="28"/>
          <w:szCs w:val="28"/>
        </w:rPr>
        <w:t>Spot</w:t>
      </w:r>
      <w:proofErr w:type="spellEnd"/>
      <w:r w:rsidRPr="001531E7">
        <w:rPr>
          <w:rFonts w:eastAsiaTheme="minorHAnsi" w:cs="Times New Roman"/>
          <w:sz w:val="28"/>
          <w:szCs w:val="28"/>
        </w:rPr>
        <w:t xml:space="preserve"> Latvijas cenu zonā, tā novēršot elektroenerģijas cenu strauju pieauguma risku. </w:t>
      </w:r>
    </w:p>
    <w:p w14:paraId="091CBE9D" w14:textId="433F19C1" w:rsidR="001531E7" w:rsidRPr="001531E7" w:rsidRDefault="001531E7" w:rsidP="001531E7">
      <w:pPr>
        <w:spacing w:after="0" w:line="240" w:lineRule="auto"/>
        <w:ind w:firstLine="720"/>
        <w:rPr>
          <w:rFonts w:eastAsiaTheme="minorHAnsi" w:cs="Times New Roman"/>
          <w:color w:val="000000"/>
          <w:sz w:val="28"/>
          <w:szCs w:val="28"/>
        </w:rPr>
      </w:pPr>
      <w:r w:rsidRPr="001531E7">
        <w:rPr>
          <w:rFonts w:eastAsiaTheme="minorHAnsi" w:cs="Times New Roman"/>
          <w:sz w:val="28"/>
          <w:szCs w:val="28"/>
        </w:rPr>
        <w:t xml:space="preserve">Ņemot vērā minēto, </w:t>
      </w:r>
      <w:r w:rsidRPr="001531E7">
        <w:rPr>
          <w:rFonts w:eastAsiaTheme="minorHAnsi" w:cs="Times New Roman"/>
          <w:color w:val="000000"/>
          <w:sz w:val="28"/>
          <w:szCs w:val="28"/>
        </w:rPr>
        <w:t xml:space="preserve">Ekonomikas ministrija </w:t>
      </w:r>
      <w:r w:rsidRPr="001531E7">
        <w:rPr>
          <w:rFonts w:eastAsiaTheme="minorHAnsi" w:cs="Times New Roman"/>
          <w:sz w:val="28"/>
          <w:szCs w:val="28"/>
        </w:rPr>
        <w:t xml:space="preserve">pēc </w:t>
      </w:r>
      <w:r w:rsidRPr="001531E7">
        <w:rPr>
          <w:rFonts w:eastAsiaTheme="minorHAnsi" w:cs="Times New Roman"/>
          <w:color w:val="000000"/>
          <w:sz w:val="28"/>
          <w:szCs w:val="28"/>
        </w:rPr>
        <w:t xml:space="preserve">Pārvades sistēmas operatora 2016. gada ikgadējā novērtējuma ziņojuma 2017. gadā plāno sagatavot </w:t>
      </w:r>
      <w:proofErr w:type="spellStart"/>
      <w:r w:rsidR="00972550">
        <w:rPr>
          <w:rFonts w:eastAsiaTheme="minorHAnsi" w:cs="Times New Roman"/>
          <w:color w:val="000000"/>
          <w:sz w:val="28"/>
          <w:szCs w:val="28"/>
        </w:rPr>
        <w:t>izvērtējumu</w:t>
      </w:r>
      <w:proofErr w:type="spellEnd"/>
      <w:r w:rsidR="00972550">
        <w:rPr>
          <w:rFonts w:eastAsiaTheme="minorHAnsi" w:cs="Times New Roman"/>
          <w:color w:val="000000"/>
          <w:sz w:val="28"/>
          <w:szCs w:val="28"/>
        </w:rPr>
        <w:t xml:space="preserve"> un iesniegt Ministru kabinetā </w:t>
      </w:r>
      <w:r w:rsidRPr="001531E7">
        <w:rPr>
          <w:rFonts w:eastAsiaTheme="minorHAnsi" w:cs="Times New Roman"/>
          <w:color w:val="000000"/>
          <w:sz w:val="28"/>
          <w:szCs w:val="28"/>
        </w:rPr>
        <w:t>informatīvo ziņojumu par elektroenerģijas cenu un to ietekmējošajiem faktoriem, kurā cita starpā tiks izvērtēta dabasgāzes koģenerācijas elektrostaciju ar uzstādīto elekt</w:t>
      </w:r>
      <w:r w:rsidR="00537808">
        <w:rPr>
          <w:rFonts w:eastAsiaTheme="minorHAnsi" w:cs="Times New Roman"/>
          <w:color w:val="000000"/>
          <w:sz w:val="28"/>
          <w:szCs w:val="28"/>
        </w:rPr>
        <w:t>risko jaudu virs 100 MW atbalsts</w:t>
      </w:r>
      <w:r w:rsidRPr="001531E7">
        <w:rPr>
          <w:rFonts w:eastAsiaTheme="minorHAnsi" w:cs="Times New Roman"/>
          <w:color w:val="000000"/>
          <w:sz w:val="28"/>
          <w:szCs w:val="28"/>
        </w:rPr>
        <w:t xml:space="preserve"> </w:t>
      </w:r>
      <w:r w:rsidR="00B02E16">
        <w:rPr>
          <w:rFonts w:eastAsiaTheme="minorHAnsi" w:cs="Times New Roman"/>
          <w:color w:val="000000"/>
          <w:sz w:val="28"/>
          <w:szCs w:val="28"/>
        </w:rPr>
        <w:t>samērīgums un atbilstība kopējām valsts interesēm</w:t>
      </w:r>
      <w:r w:rsidRPr="001531E7">
        <w:rPr>
          <w:rFonts w:eastAsiaTheme="minorHAnsi" w:cs="Times New Roman"/>
          <w:color w:val="000000"/>
          <w:sz w:val="28"/>
          <w:szCs w:val="28"/>
        </w:rPr>
        <w:t>.</w:t>
      </w:r>
    </w:p>
    <w:p w14:paraId="2EC94AC7" w14:textId="77777777" w:rsidR="001531E7" w:rsidRPr="001531E7" w:rsidRDefault="001531E7" w:rsidP="001531E7">
      <w:pPr>
        <w:spacing w:after="0" w:line="240" w:lineRule="auto"/>
        <w:ind w:firstLine="720"/>
        <w:rPr>
          <w:rFonts w:eastAsiaTheme="minorHAnsi" w:cs="Times New Roman"/>
          <w:sz w:val="28"/>
          <w:szCs w:val="28"/>
        </w:rPr>
      </w:pPr>
    </w:p>
    <w:p w14:paraId="7B46818A" w14:textId="4D034739" w:rsidR="001531E7" w:rsidRPr="001531E7" w:rsidRDefault="001531E7" w:rsidP="001531E7">
      <w:pPr>
        <w:spacing w:after="0" w:line="240" w:lineRule="auto"/>
        <w:ind w:firstLine="720"/>
        <w:rPr>
          <w:rFonts w:eastAsiaTheme="minorHAnsi" w:cs="Times New Roman"/>
          <w:b/>
          <w:sz w:val="28"/>
          <w:szCs w:val="28"/>
        </w:rPr>
      </w:pPr>
      <w:r w:rsidRPr="001531E7">
        <w:rPr>
          <w:rFonts w:eastAsiaTheme="minorHAnsi" w:cs="Times New Roman"/>
          <w:b/>
          <w:sz w:val="28"/>
          <w:szCs w:val="28"/>
        </w:rPr>
        <w:t xml:space="preserve">Subsidētā elektroenerģijas nodokļa </w:t>
      </w:r>
      <w:r w:rsidR="00B02E16">
        <w:rPr>
          <w:rFonts w:eastAsiaTheme="minorHAnsi" w:cs="Times New Roman"/>
          <w:b/>
          <w:sz w:val="28"/>
          <w:szCs w:val="28"/>
        </w:rPr>
        <w:t xml:space="preserve">piemērošanas termiņa </w:t>
      </w:r>
      <w:r w:rsidRPr="001531E7">
        <w:rPr>
          <w:rFonts w:eastAsiaTheme="minorHAnsi" w:cs="Times New Roman"/>
          <w:b/>
          <w:sz w:val="28"/>
          <w:szCs w:val="28"/>
        </w:rPr>
        <w:t>pagarināšana</w:t>
      </w:r>
    </w:p>
    <w:p w14:paraId="0E51C217" w14:textId="66CBE1C5"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Atbilstoši Subsidētās elektroenerģijas nodokļa likumam subsidēto elektroenerģijas nodokli (turpmāk – SEN) ir paredzēts piemērot ienākumiem, kas gūti līdz 2017. gada 31. decembrim. Tāpat Subsidētās elektroenerģijas nodokļa likums paredz SEN pārskatīšanu vai izbeigšanu gadījumā, ja tiek panākts OI ietvaros izmaksājamo subsīdiju apjoma samazinājums. Ņemot vērā, ka ar pieņemtajiem grozījumiem Ministru kabineta 2009.gada 10.marta noteikumos Nr.221 “Noteikumi par elektroenerģijas ražošanu un cenu noteikšanu, ražojot elektroenerģiju koģenerācijā” (turpmāk – MK noteikumi Nr.221) un 2010.gada 16.marta noteikumos Nr.262 “Noteikumi par elektroenerģijas ražošanu, izmantojot atjaunojamos energoresursus, un cenu noteikšanas kārtību” (turpmāk – MK noteikumi Nr.262) tiek novērst</w:t>
      </w:r>
      <w:r w:rsidR="00B02E16">
        <w:rPr>
          <w:rFonts w:eastAsiaTheme="minorHAnsi" w:cs="Times New Roman"/>
          <w:sz w:val="28"/>
          <w:szCs w:val="28"/>
        </w:rPr>
        <w:t>s</w:t>
      </w:r>
      <w:r w:rsidRPr="001531E7">
        <w:rPr>
          <w:rFonts w:eastAsiaTheme="minorHAnsi" w:cs="Times New Roman"/>
          <w:sz w:val="28"/>
          <w:szCs w:val="28"/>
        </w:rPr>
        <w:t xml:space="preserve"> </w:t>
      </w:r>
      <w:proofErr w:type="spellStart"/>
      <w:r w:rsidRPr="001531E7">
        <w:rPr>
          <w:rFonts w:eastAsiaTheme="minorHAnsi" w:cs="Times New Roman"/>
          <w:sz w:val="28"/>
          <w:szCs w:val="28"/>
        </w:rPr>
        <w:t>pārkompensācija</w:t>
      </w:r>
      <w:r w:rsidR="00B02E16">
        <w:rPr>
          <w:rFonts w:eastAsiaTheme="minorHAnsi" w:cs="Times New Roman"/>
          <w:sz w:val="28"/>
          <w:szCs w:val="28"/>
        </w:rPr>
        <w:t>s</w:t>
      </w:r>
      <w:proofErr w:type="spellEnd"/>
      <w:r w:rsidR="00B02E16">
        <w:rPr>
          <w:rFonts w:eastAsiaTheme="minorHAnsi" w:cs="Times New Roman"/>
          <w:sz w:val="28"/>
          <w:szCs w:val="28"/>
        </w:rPr>
        <w:t xml:space="preserve"> risks</w:t>
      </w:r>
      <w:r w:rsidRPr="001531E7">
        <w:rPr>
          <w:rFonts w:eastAsiaTheme="minorHAnsi" w:cs="Times New Roman"/>
          <w:sz w:val="28"/>
          <w:szCs w:val="28"/>
        </w:rPr>
        <w:t xml:space="preserve"> un turpinot SEN piemērošanu pēc 2017. gada 31. decembra var tikt aizskarta komersantu tiesiskā paļāvība uz SEN pārtraukšanu saistībā ar OI ietvaros izmaksājamo subsīdiju apjoma samazināšanu, nav atbalstāma SEN piemērošana pēc 2017. gada 31. decembra.</w:t>
      </w:r>
    </w:p>
    <w:p w14:paraId="718FAFF0" w14:textId="77777777" w:rsidR="001531E7" w:rsidRPr="001531E7" w:rsidRDefault="001531E7" w:rsidP="001531E7">
      <w:pPr>
        <w:spacing w:after="0" w:line="240" w:lineRule="auto"/>
        <w:ind w:firstLine="720"/>
        <w:rPr>
          <w:rFonts w:eastAsiaTheme="minorHAnsi" w:cs="Times New Roman"/>
          <w:sz w:val="28"/>
          <w:szCs w:val="28"/>
        </w:rPr>
      </w:pPr>
    </w:p>
    <w:p w14:paraId="305D843F" w14:textId="77777777" w:rsidR="001531E7" w:rsidRPr="001531E7" w:rsidRDefault="001531E7" w:rsidP="001531E7">
      <w:pPr>
        <w:spacing w:after="0" w:line="240" w:lineRule="auto"/>
        <w:ind w:firstLine="720"/>
        <w:rPr>
          <w:rFonts w:eastAsiaTheme="minorHAnsi" w:cs="Times New Roman"/>
          <w:b/>
          <w:sz w:val="28"/>
          <w:szCs w:val="28"/>
        </w:rPr>
      </w:pPr>
      <w:r w:rsidRPr="001531E7">
        <w:rPr>
          <w:rFonts w:eastAsiaTheme="minorHAnsi" w:cs="Times New Roman"/>
          <w:b/>
          <w:sz w:val="28"/>
          <w:szCs w:val="28"/>
        </w:rPr>
        <w:t xml:space="preserve">Elektroenerģijas nodoklis </w:t>
      </w:r>
    </w:p>
    <w:p w14:paraId="4082FE3A" w14:textId="5F9D3E80"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 xml:space="preserve">Izvērtējot Elektroenerģijas nodokļa likuma (turpmāk – ENL) 6.panta pirmajā daļā paredzētās nodokļa atlaides, ir konstatējams, ka elektroenerģijas tirgotāji 2016. gadā ievērojami vairāk izmanto ENL 6.panta pirmajā daļā paredzēto atbrīvojumu, tostarp iesniedzot izcelsmes apliecinājumus, kas pamato, ka piegādātā elektroenerģija ir saražota no AER citā Eiropas Ekonomikas zonas dalībvalstī. Taču šī enerģija nevar tikt ieskaitīta Latvijai ar 2009.gada 23.aprīļa Eiropas Parlamenta un Padomes Direktīvu 2009/28/EK par atjaunojamo energoresursu izmantošanas veicināšanu un ar ko groza un sekojoši atceļ Direktīvas 2001/77/EK un 2003/30/EK noteiktā AER īpatsvara kopējā enerģijas </w:t>
      </w:r>
      <w:proofErr w:type="spellStart"/>
      <w:r w:rsidRPr="001531E7">
        <w:rPr>
          <w:rFonts w:eastAsiaTheme="minorHAnsi" w:cs="Times New Roman"/>
          <w:sz w:val="28"/>
          <w:szCs w:val="28"/>
        </w:rPr>
        <w:t>galapatēriņā</w:t>
      </w:r>
      <w:proofErr w:type="spellEnd"/>
      <w:r w:rsidRPr="001531E7">
        <w:rPr>
          <w:rFonts w:eastAsiaTheme="minorHAnsi" w:cs="Times New Roman"/>
          <w:sz w:val="28"/>
          <w:szCs w:val="28"/>
        </w:rPr>
        <w:t xml:space="preserve"> mērķa izpildē. </w:t>
      </w:r>
    </w:p>
    <w:p w14:paraId="7C5FC8D0"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lastRenderedPageBreak/>
        <w:t>Ņemot vērā minēto, tiek rosināts elektroenerģijas nodokļa atbrīvojumu, kas ir noteikti ENL 6. panta pirmajā daļā, atcelšanu. Atbrīvojuma atcelšana ļaus palielināt valsts budžeta ieņēmumus un novirzīt papildu līdzekļus OIK saglabāšanai 26,79 EUR/</w:t>
      </w:r>
      <w:proofErr w:type="spellStart"/>
      <w:r w:rsidRPr="001531E7">
        <w:rPr>
          <w:rFonts w:eastAsiaTheme="minorHAnsi" w:cs="Times New Roman"/>
          <w:sz w:val="28"/>
          <w:szCs w:val="28"/>
        </w:rPr>
        <w:t>MWh</w:t>
      </w:r>
      <w:proofErr w:type="spellEnd"/>
      <w:r w:rsidRPr="001531E7">
        <w:rPr>
          <w:rFonts w:eastAsiaTheme="minorHAnsi" w:cs="Times New Roman"/>
          <w:sz w:val="28"/>
          <w:szCs w:val="28"/>
        </w:rPr>
        <w:t xml:space="preserve"> līmenī. </w:t>
      </w:r>
    </w:p>
    <w:p w14:paraId="01A7DA4A" w14:textId="77777777" w:rsidR="001531E7" w:rsidRPr="001531E7" w:rsidRDefault="001531E7" w:rsidP="001531E7">
      <w:pPr>
        <w:spacing w:after="0" w:line="240" w:lineRule="auto"/>
        <w:ind w:firstLine="720"/>
        <w:rPr>
          <w:rFonts w:eastAsiaTheme="minorHAnsi" w:cs="Times New Roman"/>
          <w:sz w:val="28"/>
          <w:szCs w:val="28"/>
        </w:rPr>
      </w:pPr>
    </w:p>
    <w:p w14:paraId="1F6DECC7" w14:textId="77777777" w:rsidR="001531E7" w:rsidRPr="001531E7" w:rsidRDefault="001531E7" w:rsidP="001531E7">
      <w:pPr>
        <w:spacing w:after="0" w:line="240" w:lineRule="auto"/>
        <w:ind w:firstLine="720"/>
        <w:rPr>
          <w:rFonts w:eastAsiaTheme="minorHAnsi" w:cs="Times New Roman"/>
          <w:b/>
          <w:sz w:val="28"/>
          <w:szCs w:val="28"/>
        </w:rPr>
      </w:pPr>
      <w:r w:rsidRPr="001531E7">
        <w:rPr>
          <w:rFonts w:eastAsiaTheme="minorHAnsi" w:cs="Times New Roman"/>
          <w:b/>
          <w:sz w:val="28"/>
          <w:szCs w:val="28"/>
        </w:rPr>
        <w:t>OIK maksājumu diferencēšana pēc sistēmas tarifu parauga</w:t>
      </w:r>
    </w:p>
    <w:p w14:paraId="31ED9F5A" w14:textId="05108B59" w:rsidR="001531E7" w:rsidRPr="001531E7" w:rsidRDefault="001531E7" w:rsidP="001531E7">
      <w:pPr>
        <w:spacing w:after="0" w:line="240" w:lineRule="auto"/>
        <w:ind w:firstLine="720"/>
        <w:rPr>
          <w:rFonts w:eastAsiaTheme="minorHAnsi" w:cs="Times New Roman"/>
          <w:sz w:val="28"/>
        </w:rPr>
      </w:pPr>
      <w:r w:rsidRPr="001531E7">
        <w:rPr>
          <w:rFonts w:eastAsiaTheme="minorHAnsi" w:cs="Times New Roman"/>
          <w:sz w:val="28"/>
        </w:rPr>
        <w:t xml:space="preserve">Esošā obligāto papildu izmaksu sadalīšana proporcionāli elektroenerģijas </w:t>
      </w:r>
      <w:proofErr w:type="spellStart"/>
      <w:r w:rsidRPr="001531E7">
        <w:rPr>
          <w:rFonts w:eastAsiaTheme="minorHAnsi" w:cs="Times New Roman"/>
          <w:sz w:val="28"/>
        </w:rPr>
        <w:t>galapatēriņam</w:t>
      </w:r>
      <w:proofErr w:type="spellEnd"/>
      <w:r w:rsidRPr="001531E7">
        <w:rPr>
          <w:rFonts w:eastAsiaTheme="minorHAnsi" w:cs="Times New Roman"/>
          <w:sz w:val="28"/>
        </w:rPr>
        <w:t xml:space="preserve"> nav pierādījusi sevi kā efektīvākais risinājums izmaksu sadalīšanā. Visas kompensējamās jaudas maksas par elektrostacijā uzstādīto elektrisko jaudu un OI izmaksas nosacīti var iedalīt divās daļās:</w:t>
      </w:r>
    </w:p>
    <w:p w14:paraId="04071B69" w14:textId="77777777" w:rsidR="001531E7" w:rsidRPr="001531E7" w:rsidRDefault="001531E7" w:rsidP="001531E7">
      <w:pPr>
        <w:spacing w:after="0" w:line="240" w:lineRule="auto"/>
        <w:ind w:firstLine="720"/>
        <w:rPr>
          <w:rFonts w:eastAsiaTheme="minorHAnsi" w:cs="Times New Roman"/>
          <w:sz w:val="28"/>
        </w:rPr>
      </w:pPr>
      <w:r w:rsidRPr="001531E7">
        <w:rPr>
          <w:rFonts w:eastAsiaTheme="minorHAnsi" w:cs="Times New Roman"/>
          <w:sz w:val="28"/>
        </w:rPr>
        <w:t>1)</w:t>
      </w:r>
      <w:r w:rsidRPr="001531E7">
        <w:rPr>
          <w:rFonts w:eastAsiaTheme="minorHAnsi" w:cs="Times New Roman"/>
          <w:sz w:val="28"/>
        </w:rPr>
        <w:tab/>
        <w:t xml:space="preserve">mainīgās izmaksas, kas rodas OI rezultātā, lai nodrošinātu noteiktu daļu AER enerģijas </w:t>
      </w:r>
      <w:proofErr w:type="spellStart"/>
      <w:r w:rsidRPr="001531E7">
        <w:rPr>
          <w:rFonts w:eastAsiaTheme="minorHAnsi" w:cs="Times New Roman"/>
          <w:sz w:val="28"/>
        </w:rPr>
        <w:t>galapatēriņā</w:t>
      </w:r>
      <w:proofErr w:type="spellEnd"/>
      <w:r w:rsidRPr="001531E7">
        <w:rPr>
          <w:rFonts w:eastAsiaTheme="minorHAnsi" w:cs="Times New Roman"/>
          <w:sz w:val="28"/>
        </w:rPr>
        <w:t xml:space="preserve">. Tās ir atkarīgas no OI ietvaros iepirktā elektroenerģijas apjoma; </w:t>
      </w:r>
    </w:p>
    <w:p w14:paraId="1FB34B36" w14:textId="77777777" w:rsidR="001531E7" w:rsidRPr="001531E7" w:rsidRDefault="001531E7" w:rsidP="001531E7">
      <w:pPr>
        <w:spacing w:after="0" w:line="240" w:lineRule="auto"/>
        <w:ind w:firstLine="720"/>
        <w:rPr>
          <w:rFonts w:eastAsiaTheme="minorHAnsi" w:cs="Times New Roman"/>
          <w:sz w:val="28"/>
        </w:rPr>
      </w:pPr>
      <w:r w:rsidRPr="001531E7">
        <w:rPr>
          <w:rFonts w:eastAsiaTheme="minorHAnsi" w:cs="Times New Roman"/>
          <w:sz w:val="28"/>
        </w:rPr>
        <w:t>2)</w:t>
      </w:r>
      <w:r w:rsidRPr="001531E7">
        <w:rPr>
          <w:rFonts w:eastAsiaTheme="minorHAnsi" w:cs="Times New Roman"/>
          <w:sz w:val="28"/>
        </w:rPr>
        <w:tab/>
        <w:t xml:space="preserve">fiksētās izmaksas par jaudu, kuras ik gadu ir konstantas un sedz lielu jaudu koģenerācijas staciju investīciju izmaksas. </w:t>
      </w:r>
    </w:p>
    <w:p w14:paraId="3C5915B5" w14:textId="701AF880" w:rsidR="001531E7" w:rsidRPr="001531E7" w:rsidRDefault="001531E7" w:rsidP="001531E7">
      <w:pPr>
        <w:spacing w:after="0" w:line="240" w:lineRule="auto"/>
        <w:ind w:firstLine="720"/>
        <w:rPr>
          <w:rFonts w:eastAsiaTheme="minorHAnsi" w:cs="Times New Roman"/>
          <w:sz w:val="28"/>
        </w:rPr>
      </w:pPr>
      <w:r w:rsidRPr="001531E7">
        <w:rPr>
          <w:rFonts w:eastAsiaTheme="minorHAnsi" w:cs="Times New Roman"/>
          <w:sz w:val="28"/>
        </w:rPr>
        <w:t>Ņemot vērā divējādo izmaksu dabu, efektīvākais risinājums to segšanai būtu piemērot analoģiskus principus</w:t>
      </w:r>
      <w:r w:rsidR="00B02E16">
        <w:rPr>
          <w:rFonts w:eastAsiaTheme="minorHAnsi" w:cs="Times New Roman"/>
          <w:sz w:val="28"/>
        </w:rPr>
        <w:t xml:space="preserve"> kā tas tiek piemērots AS “Sadales tīkls” tarifiem</w:t>
      </w:r>
      <w:r w:rsidRPr="001531E7">
        <w:rPr>
          <w:rFonts w:eastAsiaTheme="minorHAnsi" w:cs="Times New Roman"/>
          <w:sz w:val="28"/>
        </w:rPr>
        <w:t xml:space="preserve"> – izmaksas, kas rodas no jaudas maksājumiem koģenerācijas elektrostacijām, būtu lietderīgi attiecināt uz galalietotājiem proporcionāli to pieprasītajai jaudai sistēmā, savukārt izmaksas par OI ietvaros iepirkto elektroenerģiju – sadalīt proporcionāli elektroenerģijas </w:t>
      </w:r>
      <w:proofErr w:type="spellStart"/>
      <w:r w:rsidRPr="001531E7">
        <w:rPr>
          <w:rFonts w:eastAsiaTheme="minorHAnsi" w:cs="Times New Roman"/>
          <w:sz w:val="28"/>
        </w:rPr>
        <w:t>galapatēriņam</w:t>
      </w:r>
      <w:proofErr w:type="spellEnd"/>
      <w:r w:rsidRPr="001531E7">
        <w:rPr>
          <w:rFonts w:eastAsiaTheme="minorHAnsi" w:cs="Times New Roman"/>
          <w:sz w:val="28"/>
        </w:rPr>
        <w:t>.</w:t>
      </w:r>
      <w:r w:rsidR="00B02E16">
        <w:rPr>
          <w:rFonts w:eastAsiaTheme="minorHAnsi" w:cs="Times New Roman"/>
          <w:sz w:val="28"/>
        </w:rPr>
        <w:t xml:space="preserve"> </w:t>
      </w:r>
      <w:r w:rsidRPr="001531E7">
        <w:rPr>
          <w:rFonts w:eastAsiaTheme="minorHAnsi" w:cs="Times New Roman"/>
          <w:sz w:val="28"/>
        </w:rPr>
        <w:t>OIK maksājumu diferencēšanas gadījumā dotācija tiktu attiecināta OIK mainīgajai daļai, nodrošinot valsts budžeta dotācijas nediskriminējošu sadali visiem lietotājiem, proporcionāli patēriņam, tieši tādā pašā veidā, kā tas notiek pašlaik, neradot valsts atbalsta interpretācijas riskus.</w:t>
      </w:r>
    </w:p>
    <w:p w14:paraId="40A29858" w14:textId="77777777" w:rsidR="001531E7" w:rsidRPr="001531E7" w:rsidRDefault="001531E7" w:rsidP="001531E7">
      <w:pPr>
        <w:spacing w:after="0" w:line="240" w:lineRule="auto"/>
        <w:ind w:firstLine="720"/>
        <w:rPr>
          <w:rFonts w:eastAsiaTheme="minorHAnsi" w:cs="Times New Roman"/>
          <w:sz w:val="28"/>
        </w:rPr>
      </w:pPr>
      <w:r w:rsidRPr="001531E7">
        <w:rPr>
          <w:rFonts w:eastAsiaTheme="minorHAnsi" w:cs="Times New Roman"/>
          <w:sz w:val="28"/>
        </w:rPr>
        <w:t xml:space="preserve">Šāda OIK diferencēšana radītu situāciju, ka efektīvi noslogotiem </w:t>
      </w:r>
      <w:proofErr w:type="spellStart"/>
      <w:r w:rsidRPr="001531E7">
        <w:rPr>
          <w:rFonts w:eastAsiaTheme="minorHAnsi" w:cs="Times New Roman"/>
          <w:sz w:val="28"/>
        </w:rPr>
        <w:t>pieslēgumiem</w:t>
      </w:r>
      <w:proofErr w:type="spellEnd"/>
      <w:r w:rsidRPr="001531E7">
        <w:rPr>
          <w:rFonts w:eastAsiaTheme="minorHAnsi" w:cs="Times New Roman"/>
          <w:sz w:val="28"/>
        </w:rPr>
        <w:t xml:space="preserve"> OIK maksājumu slogs samazinātos, savukārt mazāk efektīviem </w:t>
      </w:r>
      <w:proofErr w:type="spellStart"/>
      <w:r w:rsidRPr="001531E7">
        <w:rPr>
          <w:rFonts w:eastAsiaTheme="minorHAnsi" w:cs="Times New Roman"/>
          <w:sz w:val="28"/>
        </w:rPr>
        <w:t>pieslēgumiem</w:t>
      </w:r>
      <w:proofErr w:type="spellEnd"/>
      <w:r w:rsidRPr="001531E7">
        <w:rPr>
          <w:rFonts w:eastAsiaTheme="minorHAnsi" w:cs="Times New Roman"/>
          <w:sz w:val="28"/>
        </w:rPr>
        <w:t xml:space="preserve"> – palielinātos. </w:t>
      </w:r>
    </w:p>
    <w:p w14:paraId="38BB4EC5" w14:textId="77777777" w:rsidR="001531E7" w:rsidRPr="001531E7" w:rsidRDefault="001531E7" w:rsidP="001531E7">
      <w:pPr>
        <w:spacing w:after="0" w:line="240" w:lineRule="auto"/>
        <w:ind w:firstLine="720"/>
        <w:rPr>
          <w:rFonts w:eastAsiaTheme="minorHAnsi" w:cs="Times New Roman"/>
          <w:sz w:val="28"/>
        </w:rPr>
      </w:pPr>
      <w:r w:rsidRPr="001531E7">
        <w:rPr>
          <w:rFonts w:eastAsiaTheme="minorHAnsi" w:cs="Times New Roman"/>
          <w:sz w:val="28"/>
        </w:rPr>
        <w:t xml:space="preserve">OIK maksājumu diferencēšanas gadījumā tiek prognozēts, ka rēķins par elektroenerģiju neizmainīsies vai samazināsies aptuveni 2/3 no mājsaimniecību </w:t>
      </w:r>
      <w:proofErr w:type="spellStart"/>
      <w:r w:rsidRPr="001531E7">
        <w:rPr>
          <w:rFonts w:eastAsiaTheme="minorHAnsi" w:cs="Times New Roman"/>
          <w:sz w:val="28"/>
        </w:rPr>
        <w:t>pieslēgumiem</w:t>
      </w:r>
      <w:proofErr w:type="spellEnd"/>
      <w:r w:rsidRPr="001531E7">
        <w:rPr>
          <w:rFonts w:eastAsiaTheme="minorHAnsi" w:cs="Times New Roman"/>
          <w:sz w:val="28"/>
        </w:rPr>
        <w:t xml:space="preserve">, savukārt aptuveni 1/3 no visiem klientu </w:t>
      </w:r>
      <w:proofErr w:type="spellStart"/>
      <w:r w:rsidRPr="001531E7">
        <w:rPr>
          <w:rFonts w:eastAsiaTheme="minorHAnsi" w:cs="Times New Roman"/>
          <w:sz w:val="28"/>
        </w:rPr>
        <w:t>pieslēgumiem</w:t>
      </w:r>
      <w:proofErr w:type="spellEnd"/>
      <w:r w:rsidRPr="001531E7">
        <w:rPr>
          <w:rFonts w:eastAsiaTheme="minorHAnsi" w:cs="Times New Roman"/>
          <w:sz w:val="28"/>
        </w:rPr>
        <w:t xml:space="preserve"> kopējais rēķins par elektroenerģiju palielināsies. Sagaidāms, ka šāda mehānisma ieviešana veicinās ekonomisko izaugsmi un nodrošinās apstrādes rūpniecības konkurētspēju ilgtermiņā, veicinot OIK ietekmes mazināšanu uz apstrādes rūpniecības mainīgajām ražošanas izmaksām.</w:t>
      </w:r>
    </w:p>
    <w:p w14:paraId="4A779A7C" w14:textId="77777777" w:rsidR="001531E7" w:rsidRPr="001531E7" w:rsidRDefault="001531E7" w:rsidP="001531E7">
      <w:pPr>
        <w:spacing w:after="0" w:line="240" w:lineRule="auto"/>
        <w:ind w:firstLine="720"/>
        <w:rPr>
          <w:rFonts w:eastAsiaTheme="minorHAnsi" w:cs="Times New Roman"/>
          <w:sz w:val="28"/>
          <w:szCs w:val="28"/>
        </w:rPr>
      </w:pPr>
    </w:p>
    <w:p w14:paraId="696E6FB8" w14:textId="77777777" w:rsidR="001531E7" w:rsidRPr="001531E7" w:rsidRDefault="001531E7" w:rsidP="001531E7">
      <w:pPr>
        <w:spacing w:after="0" w:line="240" w:lineRule="auto"/>
        <w:ind w:firstLine="720"/>
        <w:rPr>
          <w:rFonts w:eastAsiaTheme="minorHAnsi" w:cs="Times New Roman"/>
          <w:b/>
          <w:sz w:val="28"/>
          <w:szCs w:val="28"/>
        </w:rPr>
      </w:pPr>
      <w:r w:rsidRPr="001531E7">
        <w:rPr>
          <w:rFonts w:eastAsiaTheme="minorHAnsi" w:cs="Times New Roman"/>
          <w:b/>
          <w:sz w:val="28"/>
          <w:szCs w:val="28"/>
        </w:rPr>
        <w:t>Valsts budžeta ieņēmumu un izdevumu prognoze</w:t>
      </w:r>
    </w:p>
    <w:p w14:paraId="1DD91C75"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 xml:space="preserve">Konceptuālajā ziņojumā ir sagatavoti 3 varianti ar risinājumiem un attiecīgajiem priekšlikumiem 2017. gada budžetam un 2017.-2019. gada budžeta ietvaram. </w:t>
      </w:r>
    </w:p>
    <w:p w14:paraId="2D25802F"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lastRenderedPageBreak/>
        <w:t>Pirmais risinājums paredz, ka 2019. gada budžetā netiek paredzēti līdzekļi valsts budžeta dotācijai, lai nodrošinātu OIK līmeņa noturēšanu 26,79EUR/</w:t>
      </w:r>
      <w:proofErr w:type="spellStart"/>
      <w:r w:rsidRPr="001531E7">
        <w:rPr>
          <w:rFonts w:eastAsiaTheme="minorHAnsi" w:cs="Times New Roman"/>
          <w:sz w:val="28"/>
          <w:szCs w:val="28"/>
        </w:rPr>
        <w:t>MWh</w:t>
      </w:r>
      <w:proofErr w:type="spellEnd"/>
      <w:r w:rsidRPr="001531E7">
        <w:rPr>
          <w:rFonts w:eastAsiaTheme="minorHAnsi" w:cs="Times New Roman"/>
          <w:sz w:val="28"/>
          <w:szCs w:val="28"/>
        </w:rPr>
        <w:t xml:space="preserve"> līmenī. Šādā gadījumā valsts budžets saglabā iespējas gūt papildus ieņēmumus no Elektroenerģijas nodokļa atlaižu izmaiņām 4,7milj.euro apmērā, kā arī novirzīt AS “Latvenergo” dividendes gandrīz 82 milj. </w:t>
      </w:r>
      <w:proofErr w:type="spellStart"/>
      <w:r w:rsidRPr="001531E7">
        <w:rPr>
          <w:rFonts w:eastAsiaTheme="minorHAnsi" w:cs="Times New Roman"/>
          <w:sz w:val="28"/>
          <w:szCs w:val="28"/>
        </w:rPr>
        <w:t>euro</w:t>
      </w:r>
      <w:proofErr w:type="spellEnd"/>
      <w:r w:rsidRPr="001531E7">
        <w:rPr>
          <w:rFonts w:eastAsiaTheme="minorHAnsi" w:cs="Times New Roman"/>
          <w:sz w:val="28"/>
          <w:szCs w:val="28"/>
        </w:rPr>
        <w:t xml:space="preserve"> citu politikas mērķu īstenošanai. Šajā gadījumā no 2019. gada 1. aprīļa OIK līmenis būtu 40,43 EUR/</w:t>
      </w:r>
      <w:proofErr w:type="spellStart"/>
      <w:r w:rsidRPr="001531E7">
        <w:rPr>
          <w:rFonts w:eastAsiaTheme="minorHAnsi" w:cs="Times New Roman"/>
          <w:sz w:val="28"/>
          <w:szCs w:val="28"/>
        </w:rPr>
        <w:t>MWh</w:t>
      </w:r>
      <w:proofErr w:type="spellEnd"/>
      <w:r w:rsidRPr="001531E7">
        <w:rPr>
          <w:rFonts w:eastAsiaTheme="minorHAnsi" w:cs="Times New Roman"/>
          <w:sz w:val="28"/>
          <w:szCs w:val="28"/>
        </w:rPr>
        <w:t>.</w:t>
      </w:r>
    </w:p>
    <w:p w14:paraId="12B35016"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Otrais risinājums paredz elektroenerģijas nodokļa atbrīvojumu, kas ir noteikti ENL 6. panta pirmajā daļā, atcelšanu no 2017. gada 1. janvāra un esošo SEN likmju saglabāšanu un piemērošanu līdz 2017. gada 31. decembrim.</w:t>
      </w:r>
    </w:p>
    <w:p w14:paraId="04141AA3" w14:textId="2E73A4D2"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Šī risinājuma rezultātā OIK līdz 2020. gada 31. martam tiek saglabāts 26,79 EUR/</w:t>
      </w:r>
      <w:proofErr w:type="spellStart"/>
      <w:r w:rsidRPr="001531E7">
        <w:rPr>
          <w:rFonts w:eastAsiaTheme="minorHAnsi" w:cs="Times New Roman"/>
          <w:sz w:val="28"/>
          <w:szCs w:val="28"/>
        </w:rPr>
        <w:t>MWh</w:t>
      </w:r>
      <w:proofErr w:type="spellEnd"/>
      <w:r w:rsidRPr="001531E7">
        <w:rPr>
          <w:rFonts w:eastAsiaTheme="minorHAnsi" w:cs="Times New Roman"/>
          <w:sz w:val="28"/>
          <w:szCs w:val="28"/>
        </w:rPr>
        <w:t xml:space="preserve"> apmērā.</w:t>
      </w:r>
    </w:p>
    <w:p w14:paraId="124E8D00" w14:textId="77777777" w:rsidR="001531E7" w:rsidRPr="001531E7" w:rsidRDefault="001531E7" w:rsidP="001531E7">
      <w:pPr>
        <w:spacing w:after="0" w:line="240" w:lineRule="auto"/>
        <w:ind w:firstLine="720"/>
        <w:rPr>
          <w:rFonts w:eastAsiaTheme="minorHAnsi" w:cs="Times New Roman"/>
          <w:sz w:val="28"/>
          <w:szCs w:val="28"/>
        </w:rPr>
      </w:pPr>
      <w:r w:rsidRPr="001531E7">
        <w:rPr>
          <w:rFonts w:eastAsiaTheme="minorHAnsi" w:cs="Times New Roman"/>
          <w:sz w:val="28"/>
          <w:szCs w:val="28"/>
        </w:rPr>
        <w:t>Trešais risinājums paredz elektroenerģijas nodokļa atbrīvojumu, kas ir noteikti ENL 6. panta pirmajā daļā, atcelšanu no 2017. gada 1. janvāra un esošo SEN likmju saglabāšanu un piemērošanu līdz 2017. gada 31. decembrim, papildinot to ar OIK diferencēšanu.</w:t>
      </w:r>
    </w:p>
    <w:p w14:paraId="66D9220D" w14:textId="2586CA7B" w:rsidR="001531E7" w:rsidRPr="00F17D10" w:rsidRDefault="001531E7" w:rsidP="001531E7">
      <w:pPr>
        <w:spacing w:line="100" w:lineRule="atLeast"/>
        <w:ind w:firstLine="567"/>
        <w:rPr>
          <w:sz w:val="28"/>
        </w:rPr>
      </w:pPr>
      <w:r w:rsidRPr="001531E7">
        <w:rPr>
          <w:rFonts w:eastAsiaTheme="minorHAnsi" w:cs="Times New Roman"/>
          <w:sz w:val="28"/>
          <w:szCs w:val="28"/>
        </w:rPr>
        <w:t>Kā optimāls risinājums no valsts budžeta un OIK sistēmas sakārtošanas skatu punkta tiek piedāvāts trešais risinājums, kurš veicina OIK sistēmas sakārtošanu, tautsaimniecības izaugsmi un ilgtermiņā samazina nepieciešamo valsts budžeta finansējumu elektroenerģijas lietotāju atbalstam.</w:t>
      </w:r>
    </w:p>
    <w:p w14:paraId="34A72234" w14:textId="77777777" w:rsidR="00BA5AD4" w:rsidRDefault="00BA5AD4">
      <w:pPr>
        <w:spacing w:line="259" w:lineRule="auto"/>
        <w:jc w:val="left"/>
        <w:rPr>
          <w:highlight w:val="red"/>
        </w:rPr>
      </w:pPr>
      <w:r>
        <w:rPr>
          <w:highlight w:val="red"/>
        </w:rPr>
        <w:br w:type="page"/>
      </w:r>
    </w:p>
    <w:p w14:paraId="0AD7EB07" w14:textId="77777777" w:rsidR="00F77AD2" w:rsidRDefault="00F77AD2" w:rsidP="00F77AD2">
      <w:pPr>
        <w:pStyle w:val="Heading1"/>
        <w:numPr>
          <w:ilvl w:val="0"/>
          <w:numId w:val="1"/>
        </w:numPr>
        <w:spacing w:after="120" w:line="276" w:lineRule="auto"/>
        <w:ind w:left="357" w:hanging="357"/>
      </w:pPr>
      <w:bookmarkStart w:id="7" w:name="_Toc459890612"/>
      <w:r>
        <w:lastRenderedPageBreak/>
        <w:t>Atbalsts elektroenerģijas sektorā</w:t>
      </w:r>
      <w:bookmarkEnd w:id="7"/>
    </w:p>
    <w:p w14:paraId="18601F9F" w14:textId="77777777" w:rsidR="00F77AD2" w:rsidRPr="00F45744" w:rsidRDefault="00F77AD2" w:rsidP="00F45744">
      <w:pPr>
        <w:pStyle w:val="Heading2"/>
        <w:numPr>
          <w:ilvl w:val="1"/>
          <w:numId w:val="1"/>
        </w:numPr>
        <w:spacing w:line="240" w:lineRule="auto"/>
        <w:ind w:left="0" w:firstLine="0"/>
        <w:rPr>
          <w:rFonts w:ascii="Times New Roman" w:hAnsi="Times New Roman" w:cs="Times New Roman"/>
          <w:b/>
          <w:color w:val="auto"/>
          <w:sz w:val="32"/>
          <w:szCs w:val="28"/>
        </w:rPr>
      </w:pPr>
      <w:bookmarkStart w:id="8" w:name="_Toc428188925"/>
      <w:bookmarkStart w:id="9" w:name="_Toc459890613"/>
      <w:r w:rsidRPr="00F45744">
        <w:rPr>
          <w:rFonts w:ascii="Times New Roman" w:hAnsi="Times New Roman" w:cs="Times New Roman"/>
          <w:b/>
          <w:color w:val="auto"/>
          <w:sz w:val="32"/>
          <w:szCs w:val="28"/>
        </w:rPr>
        <w:t>Atbalsts elektroenerģijas ražošanai</w:t>
      </w:r>
      <w:bookmarkEnd w:id="8"/>
      <w:r w:rsidRPr="00F45744">
        <w:rPr>
          <w:rFonts w:ascii="Times New Roman" w:hAnsi="Times New Roman" w:cs="Times New Roman"/>
          <w:b/>
          <w:color w:val="auto"/>
          <w:sz w:val="32"/>
          <w:szCs w:val="28"/>
        </w:rPr>
        <w:t xml:space="preserve"> un obligātā iepirkuma komponente</w:t>
      </w:r>
      <w:bookmarkEnd w:id="9"/>
    </w:p>
    <w:p w14:paraId="3AA9D374" w14:textId="1D151B0E" w:rsidR="00F77AD2" w:rsidRDefault="00F77AD2" w:rsidP="00F77AD2">
      <w:pPr>
        <w:spacing w:before="120" w:after="0" w:line="240" w:lineRule="auto"/>
        <w:ind w:firstLine="851"/>
        <w:rPr>
          <w:sz w:val="28"/>
          <w:szCs w:val="28"/>
        </w:rPr>
      </w:pPr>
      <w:r w:rsidRPr="00F77AD2">
        <w:rPr>
          <w:sz w:val="28"/>
          <w:szCs w:val="28"/>
        </w:rPr>
        <w:t xml:space="preserve">Lai veicinātu elektroenerģijas ražošanu no </w:t>
      </w:r>
      <w:r w:rsidR="00381BBF">
        <w:rPr>
          <w:sz w:val="28"/>
          <w:szCs w:val="28"/>
        </w:rPr>
        <w:t>AER</w:t>
      </w:r>
      <w:r>
        <w:rPr>
          <w:sz w:val="28"/>
          <w:szCs w:val="28"/>
        </w:rPr>
        <w:t xml:space="preserve"> un augstas efektivitātes koģenerācijā</w:t>
      </w:r>
      <w:r w:rsidRPr="00F77AD2">
        <w:rPr>
          <w:sz w:val="28"/>
          <w:szCs w:val="28"/>
        </w:rPr>
        <w:t xml:space="preserve">, </w:t>
      </w:r>
      <w:r>
        <w:rPr>
          <w:sz w:val="28"/>
          <w:szCs w:val="28"/>
        </w:rPr>
        <w:t xml:space="preserve">Latvijā kā atbalsta instruments </w:t>
      </w:r>
      <w:r w:rsidRPr="00F77AD2">
        <w:rPr>
          <w:sz w:val="28"/>
          <w:szCs w:val="28"/>
        </w:rPr>
        <w:t>tiek izmantots elektroenerģijas OI</w:t>
      </w:r>
      <w:r>
        <w:rPr>
          <w:sz w:val="28"/>
          <w:szCs w:val="28"/>
        </w:rPr>
        <w:t xml:space="preserve"> un jaudas maksa par elektrostacijā uzstādīto elektrisko jaudu</w:t>
      </w:r>
      <w:r w:rsidRPr="00F77AD2">
        <w:rPr>
          <w:sz w:val="28"/>
          <w:szCs w:val="28"/>
        </w:rPr>
        <w:t>.</w:t>
      </w:r>
    </w:p>
    <w:p w14:paraId="2021E7ED" w14:textId="77777777" w:rsidR="00D25E09" w:rsidRPr="00F77AD2" w:rsidRDefault="00D25E09" w:rsidP="00F77AD2">
      <w:pPr>
        <w:spacing w:before="120" w:after="0" w:line="240" w:lineRule="auto"/>
        <w:ind w:firstLine="851"/>
        <w:rPr>
          <w:sz w:val="28"/>
          <w:szCs w:val="28"/>
        </w:rPr>
      </w:pPr>
      <w:r>
        <w:rPr>
          <w:sz w:val="28"/>
          <w:szCs w:val="28"/>
        </w:rPr>
        <w:t xml:space="preserve">Papildu izmaksas, kas rodas atbalsta sniegšanas rezultātā, </w:t>
      </w:r>
      <w:r w:rsidR="0042216C" w:rsidRPr="0042216C">
        <w:rPr>
          <w:sz w:val="28"/>
          <w:szCs w:val="28"/>
        </w:rPr>
        <w:t>sedz visi Latvijas elektroenerģijas galalietotāji proporcionāli savam elektroenerģijas patēriņam</w:t>
      </w:r>
      <w:r w:rsidR="0042216C">
        <w:rPr>
          <w:sz w:val="28"/>
          <w:szCs w:val="28"/>
        </w:rPr>
        <w:t>, maksājot obligātā iepirkuma komponent</w:t>
      </w:r>
      <w:r w:rsidR="008C29E0">
        <w:rPr>
          <w:sz w:val="28"/>
          <w:szCs w:val="28"/>
        </w:rPr>
        <w:t>i</w:t>
      </w:r>
      <w:r w:rsidR="0042216C">
        <w:rPr>
          <w:sz w:val="28"/>
          <w:szCs w:val="28"/>
        </w:rPr>
        <w:t xml:space="preserve"> (turpmāk – OIK)</w:t>
      </w:r>
      <w:r w:rsidR="008C29E0">
        <w:rPr>
          <w:sz w:val="28"/>
          <w:szCs w:val="28"/>
        </w:rPr>
        <w:t xml:space="preserve">, kas papildus elektroenerģijas tirgus cenai, sadales/pārvades tarifam un pievienotās vērtības nodoklim </w:t>
      </w:r>
      <w:r w:rsidR="00F83C30">
        <w:rPr>
          <w:sz w:val="28"/>
          <w:szCs w:val="28"/>
        </w:rPr>
        <w:t>(turpmāk – PVN)</w:t>
      </w:r>
      <w:r w:rsidR="008C29E0">
        <w:rPr>
          <w:sz w:val="28"/>
          <w:szCs w:val="28"/>
        </w:rPr>
        <w:t xml:space="preserve"> tiek iekļauta elektroenerģijas gala cenā.</w:t>
      </w:r>
    </w:p>
    <w:p w14:paraId="4FCB4052" w14:textId="77777777" w:rsidR="00F77AD2" w:rsidRDefault="0042216C" w:rsidP="00F77AD2">
      <w:pPr>
        <w:spacing w:before="120" w:after="0" w:line="240" w:lineRule="auto"/>
        <w:ind w:firstLine="851"/>
        <w:rPr>
          <w:sz w:val="28"/>
          <w:szCs w:val="28"/>
        </w:rPr>
      </w:pPr>
      <w:r>
        <w:rPr>
          <w:sz w:val="28"/>
          <w:szCs w:val="28"/>
        </w:rPr>
        <w:t>OIK</w:t>
      </w:r>
      <w:r w:rsidR="00F77AD2" w:rsidRPr="00F77AD2">
        <w:rPr>
          <w:sz w:val="28"/>
          <w:szCs w:val="28"/>
        </w:rPr>
        <w:t xml:space="preserve"> ir atkarīga no iepriekšējā gadā OI ietvaros iepirktās elektroenerģijas daudzuma un tās iepirkuma cenas.</w:t>
      </w:r>
      <w:r w:rsidR="00123689">
        <w:rPr>
          <w:sz w:val="28"/>
          <w:szCs w:val="28"/>
        </w:rPr>
        <w:t xml:space="preserve"> </w:t>
      </w:r>
      <w:r>
        <w:rPr>
          <w:sz w:val="28"/>
          <w:szCs w:val="28"/>
        </w:rPr>
        <w:t>OIK apmēru ietekmē dabasgāzes cena, elektroenerģijas cena biržā un elektroenerģijas patēriņš. P</w:t>
      </w:r>
      <w:r w:rsidR="00F77AD2" w:rsidRPr="00F77AD2">
        <w:rPr>
          <w:sz w:val="28"/>
          <w:szCs w:val="28"/>
        </w:rPr>
        <w:t>ieaugot dabasgāzes cenai, pieaug arī OIK maksājumi. Turpretim, pieaugot</w:t>
      </w:r>
      <w:r>
        <w:rPr>
          <w:sz w:val="28"/>
          <w:szCs w:val="28"/>
        </w:rPr>
        <w:t xml:space="preserve"> elektroenerģijas cenai biržā vai</w:t>
      </w:r>
      <w:r w:rsidR="00F77AD2" w:rsidRPr="00F77AD2">
        <w:rPr>
          <w:sz w:val="28"/>
          <w:szCs w:val="28"/>
        </w:rPr>
        <w:t xml:space="preserve"> elektroenerģijas patēriņa apjomam, OIK </w:t>
      </w:r>
      <w:r>
        <w:rPr>
          <w:sz w:val="28"/>
          <w:szCs w:val="28"/>
        </w:rPr>
        <w:t>samazinās.</w:t>
      </w:r>
      <w:r w:rsidR="008C29E0">
        <w:rPr>
          <w:sz w:val="28"/>
          <w:szCs w:val="28"/>
        </w:rPr>
        <w:t xml:space="preserve"> </w:t>
      </w:r>
      <w:r w:rsidR="00123689" w:rsidRPr="00123689">
        <w:rPr>
          <w:sz w:val="28"/>
          <w:szCs w:val="28"/>
        </w:rPr>
        <w:t xml:space="preserve">OI ietvaros iepirktais elektroenerģijas apjoms un atbalsta izmaksas </w:t>
      </w:r>
      <w:r w:rsidR="00123689">
        <w:rPr>
          <w:sz w:val="28"/>
          <w:szCs w:val="28"/>
        </w:rPr>
        <w:t>2014. un 2015. gadā apkopots 1. tabulā.</w:t>
      </w:r>
    </w:p>
    <w:p w14:paraId="436F5FBB" w14:textId="77777777" w:rsidR="004B6F52" w:rsidRPr="009E280D" w:rsidRDefault="004B6F52" w:rsidP="004B6F52">
      <w:pPr>
        <w:pStyle w:val="Caption"/>
        <w:keepNext/>
        <w:jc w:val="right"/>
        <w:rPr>
          <w:rFonts w:ascii="Times New Roman" w:hAnsi="Times New Roman"/>
          <w:sz w:val="24"/>
          <w:szCs w:val="24"/>
        </w:rPr>
      </w:pPr>
      <w:r>
        <w:rPr>
          <w:rFonts w:ascii="Times New Roman" w:hAnsi="Times New Roman"/>
          <w:sz w:val="24"/>
          <w:szCs w:val="24"/>
        </w:rPr>
        <w:t>1. t</w:t>
      </w:r>
      <w:r w:rsidRPr="009E280D">
        <w:rPr>
          <w:rFonts w:ascii="Times New Roman" w:hAnsi="Times New Roman"/>
          <w:sz w:val="24"/>
          <w:szCs w:val="24"/>
        </w:rPr>
        <w:t>abula</w:t>
      </w:r>
    </w:p>
    <w:p w14:paraId="22B86FE3" w14:textId="77777777" w:rsidR="004B6F52" w:rsidRDefault="004B6F52" w:rsidP="004B6F52">
      <w:pPr>
        <w:pStyle w:val="Caption"/>
        <w:keepNext/>
        <w:jc w:val="center"/>
        <w:rPr>
          <w:rFonts w:ascii="Times New Roman" w:hAnsi="Times New Roman"/>
          <w:sz w:val="24"/>
          <w:szCs w:val="24"/>
        </w:rPr>
      </w:pPr>
      <w:r>
        <w:rPr>
          <w:rFonts w:ascii="Times New Roman" w:hAnsi="Times New Roman"/>
          <w:sz w:val="24"/>
          <w:szCs w:val="24"/>
        </w:rPr>
        <w:t>OI ietvaros i</w:t>
      </w:r>
      <w:r w:rsidRPr="009973B2">
        <w:rPr>
          <w:rFonts w:ascii="Times New Roman" w:hAnsi="Times New Roman"/>
          <w:sz w:val="24"/>
          <w:szCs w:val="24"/>
        </w:rPr>
        <w:t xml:space="preserve">epirktais elektroenerģijas apjoms </w:t>
      </w:r>
      <w:r>
        <w:rPr>
          <w:rFonts w:ascii="Times New Roman" w:hAnsi="Times New Roman"/>
          <w:sz w:val="24"/>
          <w:szCs w:val="24"/>
        </w:rPr>
        <w:t>un atbalsta izmaksas</w:t>
      </w:r>
    </w:p>
    <w:tbl>
      <w:tblPr>
        <w:tblW w:w="8222" w:type="dxa"/>
        <w:jc w:val="center"/>
        <w:tblLayout w:type="fixed"/>
        <w:tblCellMar>
          <w:left w:w="0" w:type="dxa"/>
          <w:right w:w="0" w:type="dxa"/>
        </w:tblCellMar>
        <w:tblLook w:val="04A0" w:firstRow="1" w:lastRow="0" w:firstColumn="1" w:lastColumn="0" w:noHBand="0" w:noVBand="1"/>
      </w:tblPr>
      <w:tblGrid>
        <w:gridCol w:w="1560"/>
        <w:gridCol w:w="850"/>
        <w:gridCol w:w="566"/>
        <w:gridCol w:w="710"/>
        <w:gridCol w:w="425"/>
        <w:gridCol w:w="709"/>
        <w:gridCol w:w="426"/>
        <w:gridCol w:w="566"/>
        <w:gridCol w:w="426"/>
        <w:gridCol w:w="567"/>
        <w:gridCol w:w="425"/>
        <w:gridCol w:w="567"/>
        <w:gridCol w:w="425"/>
      </w:tblGrid>
      <w:tr w:rsidR="004B6F52" w:rsidRPr="00A164E6" w14:paraId="51148AF0" w14:textId="77777777" w:rsidTr="004B6F52">
        <w:trPr>
          <w:trHeight w:val="113"/>
          <w:jc w:val="center"/>
        </w:trPr>
        <w:tc>
          <w:tcPr>
            <w:tcW w:w="1560" w:type="dxa"/>
            <w:vMerge w:val="restart"/>
            <w:tcBorders>
              <w:top w:val="nil"/>
              <w:left w:val="nil"/>
              <w:bottom w:val="single" w:sz="8" w:space="0" w:color="auto"/>
              <w:right w:val="single" w:sz="4" w:space="0" w:color="auto"/>
            </w:tcBorders>
            <w:tcMar>
              <w:top w:w="0" w:type="dxa"/>
              <w:left w:w="108" w:type="dxa"/>
              <w:bottom w:w="0" w:type="dxa"/>
              <w:right w:w="108" w:type="dxa"/>
            </w:tcMar>
          </w:tcPr>
          <w:p w14:paraId="18A920F9" w14:textId="77777777" w:rsidR="004B6F52" w:rsidRPr="00A164E6" w:rsidRDefault="004B6F52" w:rsidP="00672566">
            <w:pPr>
              <w:spacing w:after="0" w:line="240" w:lineRule="auto"/>
              <w:rPr>
                <w:rFonts w:cs="Times New Roman"/>
                <w:b/>
                <w:color w:val="000000"/>
                <w:sz w:val="20"/>
                <w:szCs w:val="24"/>
              </w:rPr>
            </w:pPr>
          </w:p>
        </w:tc>
        <w:tc>
          <w:tcPr>
            <w:tcW w:w="25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62AB34" w14:textId="77777777" w:rsidR="004B6F52" w:rsidRPr="00A164E6" w:rsidRDefault="004B6F52" w:rsidP="00672566">
            <w:pPr>
              <w:spacing w:after="0" w:line="240" w:lineRule="auto"/>
              <w:jc w:val="center"/>
              <w:rPr>
                <w:rFonts w:cs="Times New Roman"/>
                <w:b/>
                <w:bCs/>
                <w:color w:val="000000"/>
                <w:sz w:val="20"/>
                <w:szCs w:val="24"/>
              </w:rPr>
            </w:pPr>
            <w:r w:rsidRPr="00A164E6">
              <w:rPr>
                <w:rFonts w:cs="Times New Roman"/>
                <w:b/>
                <w:color w:val="000000"/>
                <w:sz w:val="20"/>
                <w:szCs w:val="24"/>
              </w:rPr>
              <w:t>Iepirktais elektroenerģijas apjoms</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034EACF5" w14:textId="77777777" w:rsidR="004B6F52" w:rsidRPr="00A164E6" w:rsidRDefault="004B6F52" w:rsidP="00672566">
            <w:pPr>
              <w:spacing w:after="0" w:line="240" w:lineRule="auto"/>
              <w:jc w:val="center"/>
              <w:rPr>
                <w:rFonts w:cs="Times New Roman"/>
                <w:b/>
                <w:bCs/>
                <w:color w:val="000000"/>
                <w:sz w:val="20"/>
                <w:szCs w:val="24"/>
              </w:rPr>
            </w:pPr>
            <w:r w:rsidRPr="00A164E6">
              <w:rPr>
                <w:rFonts w:cs="Times New Roman"/>
                <w:b/>
                <w:bCs/>
                <w:color w:val="000000"/>
                <w:sz w:val="20"/>
                <w:szCs w:val="24"/>
              </w:rPr>
              <w:t>Ražotājiem izmaksātais atbalsts</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C4DD5EB" w14:textId="77777777" w:rsidR="004B6F52" w:rsidRPr="00A164E6" w:rsidRDefault="004B6F52" w:rsidP="00672566">
            <w:pPr>
              <w:spacing w:after="0" w:line="240" w:lineRule="auto"/>
              <w:jc w:val="center"/>
              <w:rPr>
                <w:rFonts w:cs="Times New Roman"/>
                <w:b/>
                <w:bCs/>
                <w:color w:val="000000"/>
                <w:sz w:val="20"/>
                <w:szCs w:val="24"/>
              </w:rPr>
            </w:pPr>
            <w:r w:rsidRPr="00A164E6">
              <w:rPr>
                <w:rFonts w:cs="Times New Roman"/>
                <w:b/>
                <w:bCs/>
                <w:color w:val="000000"/>
                <w:sz w:val="20"/>
                <w:szCs w:val="24"/>
              </w:rPr>
              <w:t>Atbalsta apjoms virs tirgus cenas,</w:t>
            </w:r>
            <w:r w:rsidRPr="00A164E6">
              <w:rPr>
                <w:rFonts w:cs="Times New Roman"/>
                <w:b/>
                <w:bCs/>
                <w:color w:val="000000"/>
                <w:sz w:val="20"/>
                <w:szCs w:val="24"/>
              </w:rPr>
              <w:br/>
              <w:t>milj. EUR</w:t>
            </w:r>
          </w:p>
        </w:tc>
      </w:tr>
      <w:tr w:rsidR="004B6F52" w:rsidRPr="00A164E6" w14:paraId="44DD2AF4" w14:textId="77777777" w:rsidTr="004B6F52">
        <w:trPr>
          <w:trHeight w:val="113"/>
          <w:jc w:val="center"/>
        </w:trPr>
        <w:tc>
          <w:tcPr>
            <w:tcW w:w="1560" w:type="dxa"/>
            <w:vMerge/>
            <w:tcBorders>
              <w:top w:val="nil"/>
              <w:left w:val="nil"/>
              <w:bottom w:val="single" w:sz="4" w:space="0" w:color="auto"/>
              <w:right w:val="single" w:sz="4" w:space="0" w:color="auto"/>
            </w:tcBorders>
            <w:vAlign w:val="center"/>
          </w:tcPr>
          <w:p w14:paraId="1C22FF9E" w14:textId="77777777" w:rsidR="004B6F52" w:rsidRPr="00A164E6" w:rsidRDefault="004B6F52" w:rsidP="00672566">
            <w:pPr>
              <w:spacing w:after="0" w:line="240" w:lineRule="auto"/>
              <w:rPr>
                <w:rFonts w:cs="Times New Roman"/>
                <w:b/>
                <w:color w:val="000000"/>
                <w:sz w:val="20"/>
                <w:szCs w:val="24"/>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50F7E"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2014</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0E200601"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2015</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7D9314CC"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2014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E91DE68"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2015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0DFED8"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2014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CF66DBF"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2015</w:t>
            </w:r>
          </w:p>
        </w:tc>
      </w:tr>
      <w:tr w:rsidR="004B6F52" w:rsidRPr="00A164E6" w14:paraId="485C34B8" w14:textId="77777777" w:rsidTr="004B6F52">
        <w:trPr>
          <w:trHeight w:val="113"/>
          <w:jc w:val="center"/>
        </w:trPr>
        <w:tc>
          <w:tcPr>
            <w:tcW w:w="1560" w:type="dxa"/>
            <w:vMerge/>
            <w:tcBorders>
              <w:top w:val="nil"/>
              <w:left w:val="nil"/>
              <w:bottom w:val="single" w:sz="4" w:space="0" w:color="auto"/>
              <w:right w:val="single" w:sz="4" w:space="0" w:color="auto"/>
            </w:tcBorders>
            <w:vAlign w:val="center"/>
            <w:hideMark/>
          </w:tcPr>
          <w:p w14:paraId="73C5A223" w14:textId="77777777" w:rsidR="004B6F52" w:rsidRPr="00A164E6" w:rsidRDefault="004B6F52" w:rsidP="00672566">
            <w:pPr>
              <w:spacing w:after="0" w:line="240" w:lineRule="auto"/>
              <w:rPr>
                <w:rFonts w:cs="Times New Roman"/>
                <w:b/>
                <w:color w:val="000000"/>
                <w:sz w:val="20"/>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A0E33" w14:textId="77777777" w:rsidR="004B6F52" w:rsidRPr="004B6F52" w:rsidRDefault="004B6F52" w:rsidP="00672566">
            <w:pPr>
              <w:spacing w:after="0" w:line="240" w:lineRule="auto"/>
              <w:jc w:val="center"/>
              <w:rPr>
                <w:rFonts w:cs="Times New Roman"/>
                <w:b/>
                <w:color w:val="000000"/>
                <w:sz w:val="20"/>
                <w:szCs w:val="20"/>
              </w:rPr>
            </w:pPr>
            <w:proofErr w:type="spellStart"/>
            <w:r w:rsidRPr="004B6F52">
              <w:rPr>
                <w:rFonts w:cs="Times New Roman"/>
                <w:b/>
                <w:color w:val="000000"/>
                <w:sz w:val="20"/>
                <w:szCs w:val="20"/>
              </w:rPr>
              <w:t>GWh</w:t>
            </w:r>
            <w:proofErr w:type="spellEnd"/>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FB389"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w:t>
            </w:r>
          </w:p>
        </w:tc>
        <w:tc>
          <w:tcPr>
            <w:tcW w:w="710" w:type="dxa"/>
            <w:tcBorders>
              <w:top w:val="single" w:sz="4" w:space="0" w:color="auto"/>
              <w:left w:val="single" w:sz="4" w:space="0" w:color="auto"/>
              <w:bottom w:val="single" w:sz="4" w:space="0" w:color="auto"/>
              <w:right w:val="single" w:sz="4" w:space="0" w:color="auto"/>
            </w:tcBorders>
            <w:vAlign w:val="center"/>
          </w:tcPr>
          <w:p w14:paraId="2E077619" w14:textId="77777777" w:rsidR="004B6F52" w:rsidRPr="004B6F52" w:rsidRDefault="004B6F52" w:rsidP="00672566">
            <w:pPr>
              <w:spacing w:after="0" w:line="240" w:lineRule="auto"/>
              <w:jc w:val="center"/>
              <w:rPr>
                <w:rFonts w:cs="Times New Roman"/>
                <w:b/>
                <w:color w:val="000000"/>
                <w:sz w:val="20"/>
                <w:szCs w:val="20"/>
              </w:rPr>
            </w:pPr>
            <w:proofErr w:type="spellStart"/>
            <w:r w:rsidRPr="004B6F52">
              <w:rPr>
                <w:rFonts w:cs="Times New Roman"/>
                <w:b/>
                <w:color w:val="000000"/>
                <w:sz w:val="20"/>
                <w:szCs w:val="20"/>
              </w:rPr>
              <w:t>GWh</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6F4A6310"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3C74FAE"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milj. EUR</w:t>
            </w:r>
          </w:p>
        </w:tc>
        <w:tc>
          <w:tcPr>
            <w:tcW w:w="426" w:type="dxa"/>
            <w:tcBorders>
              <w:top w:val="single" w:sz="4" w:space="0" w:color="auto"/>
              <w:left w:val="single" w:sz="4" w:space="0" w:color="auto"/>
              <w:bottom w:val="single" w:sz="4" w:space="0" w:color="auto"/>
              <w:right w:val="single" w:sz="4" w:space="0" w:color="auto"/>
            </w:tcBorders>
            <w:vAlign w:val="center"/>
          </w:tcPr>
          <w:p w14:paraId="60488B38"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A11C859"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milj. EUR</w:t>
            </w:r>
          </w:p>
        </w:tc>
        <w:tc>
          <w:tcPr>
            <w:tcW w:w="426" w:type="dxa"/>
            <w:tcBorders>
              <w:top w:val="single" w:sz="4" w:space="0" w:color="auto"/>
              <w:left w:val="single" w:sz="4" w:space="0" w:color="auto"/>
              <w:bottom w:val="single" w:sz="4" w:space="0" w:color="auto"/>
              <w:right w:val="single" w:sz="4" w:space="0" w:color="auto"/>
            </w:tcBorders>
            <w:vAlign w:val="center"/>
          </w:tcPr>
          <w:p w14:paraId="773FD279"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67A6B7C"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milj. EUR</w:t>
            </w:r>
          </w:p>
        </w:tc>
        <w:tc>
          <w:tcPr>
            <w:tcW w:w="425" w:type="dxa"/>
            <w:tcBorders>
              <w:top w:val="single" w:sz="4" w:space="0" w:color="auto"/>
              <w:left w:val="single" w:sz="4" w:space="0" w:color="auto"/>
              <w:bottom w:val="single" w:sz="4" w:space="0" w:color="auto"/>
              <w:right w:val="single" w:sz="4" w:space="0" w:color="auto"/>
            </w:tcBorders>
            <w:vAlign w:val="center"/>
          </w:tcPr>
          <w:p w14:paraId="017A53E2"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CF0C4CA"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milj. EUR</w:t>
            </w:r>
          </w:p>
        </w:tc>
        <w:tc>
          <w:tcPr>
            <w:tcW w:w="425" w:type="dxa"/>
            <w:tcBorders>
              <w:top w:val="single" w:sz="4" w:space="0" w:color="auto"/>
              <w:left w:val="single" w:sz="4" w:space="0" w:color="auto"/>
              <w:bottom w:val="single" w:sz="4" w:space="0" w:color="auto"/>
              <w:right w:val="single" w:sz="4" w:space="0" w:color="auto"/>
            </w:tcBorders>
            <w:vAlign w:val="center"/>
          </w:tcPr>
          <w:p w14:paraId="4BBA625C"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w:t>
            </w:r>
          </w:p>
        </w:tc>
      </w:tr>
      <w:tr w:rsidR="004B6F52" w:rsidRPr="00A164E6" w14:paraId="6A711DF6" w14:textId="77777777" w:rsidTr="004B6F52">
        <w:trPr>
          <w:trHeight w:val="189"/>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F53C2" w14:textId="77777777" w:rsidR="004B6F52" w:rsidRPr="00A164E6" w:rsidRDefault="004B6F52" w:rsidP="00672566">
            <w:pPr>
              <w:spacing w:after="0" w:line="240" w:lineRule="auto"/>
              <w:jc w:val="left"/>
              <w:rPr>
                <w:rFonts w:cs="Times New Roman"/>
                <w:color w:val="000000"/>
                <w:sz w:val="20"/>
                <w:szCs w:val="24"/>
              </w:rPr>
            </w:pPr>
            <w:r w:rsidRPr="00A164E6">
              <w:rPr>
                <w:rFonts w:cs="Times New Roman"/>
                <w:color w:val="000000"/>
                <w:sz w:val="20"/>
                <w:szCs w:val="24"/>
              </w:rPr>
              <w:t>OI no AER</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CF5F2"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685,3</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40ECA"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53,4</w:t>
            </w:r>
          </w:p>
        </w:tc>
        <w:tc>
          <w:tcPr>
            <w:tcW w:w="710" w:type="dxa"/>
            <w:tcBorders>
              <w:top w:val="single" w:sz="4" w:space="0" w:color="auto"/>
              <w:left w:val="single" w:sz="4" w:space="0" w:color="auto"/>
              <w:bottom w:val="single" w:sz="4" w:space="0" w:color="auto"/>
              <w:right w:val="single" w:sz="4" w:space="0" w:color="auto"/>
            </w:tcBorders>
            <w:vAlign w:val="center"/>
          </w:tcPr>
          <w:p w14:paraId="6E885F54"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798,1</w:t>
            </w:r>
          </w:p>
        </w:tc>
        <w:tc>
          <w:tcPr>
            <w:tcW w:w="425" w:type="dxa"/>
            <w:tcBorders>
              <w:top w:val="single" w:sz="4" w:space="0" w:color="auto"/>
              <w:left w:val="single" w:sz="4" w:space="0" w:color="auto"/>
              <w:bottom w:val="single" w:sz="4" w:space="0" w:color="auto"/>
              <w:right w:val="single" w:sz="4" w:space="0" w:color="auto"/>
            </w:tcBorders>
            <w:vAlign w:val="center"/>
          </w:tcPr>
          <w:p w14:paraId="00BE14C7"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51,8</w:t>
            </w:r>
          </w:p>
        </w:tc>
        <w:tc>
          <w:tcPr>
            <w:tcW w:w="709" w:type="dxa"/>
            <w:tcBorders>
              <w:top w:val="single" w:sz="4" w:space="0" w:color="auto"/>
              <w:left w:val="single" w:sz="4" w:space="0" w:color="auto"/>
              <w:bottom w:val="single" w:sz="4" w:space="0" w:color="auto"/>
              <w:right w:val="single" w:sz="4" w:space="0" w:color="auto"/>
            </w:tcBorders>
            <w:vAlign w:val="center"/>
          </w:tcPr>
          <w:p w14:paraId="172FC221"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116,7</w:t>
            </w:r>
          </w:p>
        </w:tc>
        <w:tc>
          <w:tcPr>
            <w:tcW w:w="426" w:type="dxa"/>
            <w:tcBorders>
              <w:top w:val="single" w:sz="4" w:space="0" w:color="auto"/>
              <w:left w:val="single" w:sz="4" w:space="0" w:color="auto"/>
              <w:bottom w:val="single" w:sz="4" w:space="0" w:color="auto"/>
              <w:right w:val="single" w:sz="4" w:space="0" w:color="auto"/>
            </w:tcBorders>
            <w:vAlign w:val="center"/>
          </w:tcPr>
          <w:p w14:paraId="1E37296F"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37,8</w:t>
            </w:r>
          </w:p>
        </w:tc>
        <w:tc>
          <w:tcPr>
            <w:tcW w:w="566" w:type="dxa"/>
            <w:tcBorders>
              <w:top w:val="single" w:sz="4" w:space="0" w:color="auto"/>
              <w:left w:val="single" w:sz="4" w:space="0" w:color="auto"/>
              <w:bottom w:val="single" w:sz="4" w:space="0" w:color="auto"/>
              <w:right w:val="single" w:sz="4" w:space="0" w:color="auto"/>
            </w:tcBorders>
            <w:vAlign w:val="center"/>
          </w:tcPr>
          <w:p w14:paraId="453D4434"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127,3</w:t>
            </w:r>
          </w:p>
        </w:tc>
        <w:tc>
          <w:tcPr>
            <w:tcW w:w="426" w:type="dxa"/>
            <w:tcBorders>
              <w:top w:val="single" w:sz="4" w:space="0" w:color="auto"/>
              <w:left w:val="single" w:sz="4" w:space="0" w:color="auto"/>
              <w:bottom w:val="single" w:sz="4" w:space="0" w:color="auto"/>
              <w:right w:val="single" w:sz="4" w:space="0" w:color="auto"/>
            </w:tcBorders>
            <w:vAlign w:val="center"/>
          </w:tcPr>
          <w:p w14:paraId="5A6E5BEA"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40,5</w:t>
            </w:r>
          </w:p>
        </w:tc>
        <w:tc>
          <w:tcPr>
            <w:tcW w:w="567" w:type="dxa"/>
            <w:tcBorders>
              <w:top w:val="single" w:sz="4" w:space="0" w:color="auto"/>
              <w:left w:val="single" w:sz="4" w:space="0" w:color="auto"/>
              <w:bottom w:val="single" w:sz="4" w:space="0" w:color="auto"/>
              <w:right w:val="single" w:sz="4" w:space="0" w:color="auto"/>
            </w:tcBorders>
            <w:vAlign w:val="center"/>
          </w:tcPr>
          <w:p w14:paraId="56C8FA12"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83,1</w:t>
            </w:r>
          </w:p>
        </w:tc>
        <w:tc>
          <w:tcPr>
            <w:tcW w:w="425" w:type="dxa"/>
            <w:tcBorders>
              <w:top w:val="single" w:sz="4" w:space="0" w:color="auto"/>
              <w:left w:val="single" w:sz="4" w:space="0" w:color="auto"/>
              <w:bottom w:val="single" w:sz="4" w:space="0" w:color="auto"/>
              <w:right w:val="single" w:sz="4" w:space="0" w:color="auto"/>
            </w:tcBorders>
            <w:vAlign w:val="center"/>
          </w:tcPr>
          <w:p w14:paraId="772E6B1D"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33,8</w:t>
            </w:r>
          </w:p>
        </w:tc>
        <w:tc>
          <w:tcPr>
            <w:tcW w:w="567" w:type="dxa"/>
            <w:tcBorders>
              <w:top w:val="single" w:sz="4" w:space="0" w:color="auto"/>
              <w:left w:val="single" w:sz="4" w:space="0" w:color="auto"/>
              <w:bottom w:val="single" w:sz="4" w:space="0" w:color="auto"/>
              <w:right w:val="single" w:sz="4" w:space="0" w:color="auto"/>
            </w:tcBorders>
            <w:vAlign w:val="center"/>
          </w:tcPr>
          <w:p w14:paraId="4AD02AED"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94,5</w:t>
            </w:r>
          </w:p>
        </w:tc>
        <w:tc>
          <w:tcPr>
            <w:tcW w:w="425" w:type="dxa"/>
            <w:tcBorders>
              <w:top w:val="single" w:sz="4" w:space="0" w:color="auto"/>
              <w:left w:val="single" w:sz="4" w:space="0" w:color="auto"/>
              <w:bottom w:val="single" w:sz="4" w:space="0" w:color="auto"/>
              <w:right w:val="single" w:sz="4" w:space="0" w:color="auto"/>
            </w:tcBorders>
            <w:vAlign w:val="center"/>
          </w:tcPr>
          <w:p w14:paraId="2F0B9573"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37,1</w:t>
            </w:r>
          </w:p>
        </w:tc>
      </w:tr>
      <w:tr w:rsidR="004B6F52" w:rsidRPr="00A164E6" w14:paraId="3D37DDCE"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7679F" w14:textId="77777777" w:rsidR="004B6F52" w:rsidRPr="00A164E6" w:rsidRDefault="004B6F52" w:rsidP="00672566">
            <w:pPr>
              <w:spacing w:after="0" w:line="240" w:lineRule="auto"/>
              <w:jc w:val="right"/>
              <w:rPr>
                <w:rFonts w:cs="Times New Roman"/>
                <w:color w:val="000000"/>
                <w:sz w:val="20"/>
                <w:szCs w:val="24"/>
              </w:rPr>
            </w:pPr>
            <w:r w:rsidRPr="00A164E6">
              <w:rPr>
                <w:rFonts w:cs="Times New Roman"/>
                <w:i/>
                <w:iCs/>
                <w:color w:val="000000"/>
                <w:sz w:val="20"/>
                <w:szCs w:val="24"/>
              </w:rPr>
              <w:t>Biogāzes elektrostacijas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EFEE7"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bCs/>
                <w:i/>
                <w:color w:val="000000"/>
                <w:sz w:val="20"/>
                <w:szCs w:val="20"/>
              </w:rPr>
              <w:t>335,5</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5A9FB"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26,1</w:t>
            </w:r>
          </w:p>
        </w:tc>
        <w:tc>
          <w:tcPr>
            <w:tcW w:w="710" w:type="dxa"/>
            <w:tcBorders>
              <w:top w:val="single" w:sz="4" w:space="0" w:color="auto"/>
              <w:left w:val="single" w:sz="4" w:space="0" w:color="auto"/>
              <w:bottom w:val="single" w:sz="4" w:space="0" w:color="auto"/>
              <w:right w:val="single" w:sz="4" w:space="0" w:color="auto"/>
            </w:tcBorders>
            <w:vAlign w:val="center"/>
          </w:tcPr>
          <w:p w14:paraId="01C6AF4B"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374,9</w:t>
            </w:r>
          </w:p>
        </w:tc>
        <w:tc>
          <w:tcPr>
            <w:tcW w:w="425" w:type="dxa"/>
            <w:tcBorders>
              <w:top w:val="single" w:sz="4" w:space="0" w:color="auto"/>
              <w:left w:val="single" w:sz="4" w:space="0" w:color="auto"/>
              <w:bottom w:val="single" w:sz="4" w:space="0" w:color="auto"/>
              <w:right w:val="single" w:sz="4" w:space="0" w:color="auto"/>
            </w:tcBorders>
            <w:vAlign w:val="center"/>
          </w:tcPr>
          <w:p w14:paraId="3E3F910F"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24,3</w:t>
            </w:r>
          </w:p>
        </w:tc>
        <w:tc>
          <w:tcPr>
            <w:tcW w:w="709" w:type="dxa"/>
            <w:tcBorders>
              <w:top w:val="single" w:sz="4" w:space="0" w:color="auto"/>
              <w:left w:val="single" w:sz="4" w:space="0" w:color="auto"/>
              <w:bottom w:val="single" w:sz="4" w:space="0" w:color="auto"/>
              <w:right w:val="single" w:sz="4" w:space="0" w:color="auto"/>
            </w:tcBorders>
            <w:vAlign w:val="center"/>
          </w:tcPr>
          <w:p w14:paraId="27ACCADD"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62,4</w:t>
            </w:r>
          </w:p>
        </w:tc>
        <w:tc>
          <w:tcPr>
            <w:tcW w:w="426" w:type="dxa"/>
            <w:tcBorders>
              <w:top w:val="single" w:sz="4" w:space="0" w:color="auto"/>
              <w:left w:val="single" w:sz="4" w:space="0" w:color="auto"/>
              <w:bottom w:val="single" w:sz="4" w:space="0" w:color="auto"/>
              <w:right w:val="single" w:sz="4" w:space="0" w:color="auto"/>
            </w:tcBorders>
            <w:vAlign w:val="center"/>
          </w:tcPr>
          <w:p w14:paraId="2AEF45AC"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20,2</w:t>
            </w:r>
          </w:p>
        </w:tc>
        <w:tc>
          <w:tcPr>
            <w:tcW w:w="566" w:type="dxa"/>
            <w:tcBorders>
              <w:top w:val="single" w:sz="4" w:space="0" w:color="auto"/>
              <w:left w:val="single" w:sz="4" w:space="0" w:color="auto"/>
              <w:bottom w:val="single" w:sz="4" w:space="0" w:color="auto"/>
              <w:right w:val="single" w:sz="4" w:space="0" w:color="auto"/>
            </w:tcBorders>
            <w:vAlign w:val="center"/>
          </w:tcPr>
          <w:p w14:paraId="3850929B"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66,1</w:t>
            </w:r>
          </w:p>
        </w:tc>
        <w:tc>
          <w:tcPr>
            <w:tcW w:w="426" w:type="dxa"/>
            <w:tcBorders>
              <w:top w:val="single" w:sz="4" w:space="0" w:color="auto"/>
              <w:left w:val="single" w:sz="4" w:space="0" w:color="auto"/>
              <w:bottom w:val="single" w:sz="4" w:space="0" w:color="auto"/>
              <w:right w:val="single" w:sz="4" w:space="0" w:color="auto"/>
            </w:tcBorders>
            <w:vAlign w:val="center"/>
          </w:tcPr>
          <w:p w14:paraId="061503DA"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21,1</w:t>
            </w:r>
          </w:p>
        </w:tc>
        <w:tc>
          <w:tcPr>
            <w:tcW w:w="567" w:type="dxa"/>
            <w:tcBorders>
              <w:top w:val="single" w:sz="4" w:space="0" w:color="auto"/>
              <w:left w:val="single" w:sz="4" w:space="0" w:color="auto"/>
              <w:bottom w:val="single" w:sz="4" w:space="0" w:color="auto"/>
              <w:right w:val="single" w:sz="4" w:space="0" w:color="auto"/>
            </w:tcBorders>
            <w:vAlign w:val="center"/>
          </w:tcPr>
          <w:p w14:paraId="6F4176DE"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45,6</w:t>
            </w:r>
          </w:p>
        </w:tc>
        <w:tc>
          <w:tcPr>
            <w:tcW w:w="425" w:type="dxa"/>
            <w:tcBorders>
              <w:top w:val="single" w:sz="4" w:space="0" w:color="auto"/>
              <w:left w:val="single" w:sz="4" w:space="0" w:color="auto"/>
              <w:bottom w:val="single" w:sz="4" w:space="0" w:color="auto"/>
              <w:right w:val="single" w:sz="4" w:space="0" w:color="auto"/>
            </w:tcBorders>
            <w:vAlign w:val="center"/>
          </w:tcPr>
          <w:p w14:paraId="3D7A1716"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18,6</w:t>
            </w:r>
          </w:p>
        </w:tc>
        <w:tc>
          <w:tcPr>
            <w:tcW w:w="567" w:type="dxa"/>
            <w:tcBorders>
              <w:top w:val="single" w:sz="4" w:space="0" w:color="auto"/>
              <w:left w:val="single" w:sz="4" w:space="0" w:color="auto"/>
              <w:bottom w:val="single" w:sz="4" w:space="0" w:color="auto"/>
              <w:right w:val="single" w:sz="4" w:space="0" w:color="auto"/>
            </w:tcBorders>
            <w:vAlign w:val="center"/>
          </w:tcPr>
          <w:p w14:paraId="0FD48B53"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50,4</w:t>
            </w:r>
          </w:p>
        </w:tc>
        <w:tc>
          <w:tcPr>
            <w:tcW w:w="425" w:type="dxa"/>
            <w:tcBorders>
              <w:top w:val="single" w:sz="4" w:space="0" w:color="auto"/>
              <w:left w:val="single" w:sz="4" w:space="0" w:color="auto"/>
              <w:bottom w:val="single" w:sz="4" w:space="0" w:color="auto"/>
              <w:right w:val="single" w:sz="4" w:space="0" w:color="auto"/>
            </w:tcBorders>
            <w:vAlign w:val="center"/>
          </w:tcPr>
          <w:p w14:paraId="67F1AAF1"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19,8</w:t>
            </w:r>
          </w:p>
        </w:tc>
      </w:tr>
      <w:tr w:rsidR="004B6F52" w:rsidRPr="00A164E6" w14:paraId="5EAA4F34"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50426" w14:textId="77777777" w:rsidR="004B6F52" w:rsidRPr="00A164E6" w:rsidRDefault="004B6F52" w:rsidP="00672566">
            <w:pPr>
              <w:spacing w:after="0" w:line="240" w:lineRule="auto"/>
              <w:jc w:val="right"/>
              <w:rPr>
                <w:rFonts w:cs="Times New Roman"/>
                <w:color w:val="000000"/>
                <w:sz w:val="20"/>
                <w:szCs w:val="24"/>
              </w:rPr>
            </w:pPr>
            <w:r w:rsidRPr="00A164E6">
              <w:rPr>
                <w:rFonts w:cs="Times New Roman"/>
                <w:i/>
                <w:iCs/>
                <w:color w:val="000000"/>
                <w:sz w:val="20"/>
                <w:szCs w:val="24"/>
              </w:rPr>
              <w:t>Biomasas elektrostacijas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CF741"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bCs/>
                <w:i/>
                <w:color w:val="000000"/>
                <w:sz w:val="20"/>
                <w:szCs w:val="20"/>
              </w:rPr>
              <w:t>195,3</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63D19"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15,2</w:t>
            </w:r>
          </w:p>
        </w:tc>
        <w:tc>
          <w:tcPr>
            <w:tcW w:w="710" w:type="dxa"/>
            <w:tcBorders>
              <w:top w:val="single" w:sz="4" w:space="0" w:color="auto"/>
              <w:left w:val="single" w:sz="4" w:space="0" w:color="auto"/>
              <w:bottom w:val="single" w:sz="4" w:space="0" w:color="auto"/>
              <w:right w:val="single" w:sz="4" w:space="0" w:color="auto"/>
            </w:tcBorders>
            <w:vAlign w:val="center"/>
          </w:tcPr>
          <w:p w14:paraId="5A42C2AB"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269,7</w:t>
            </w:r>
          </w:p>
        </w:tc>
        <w:tc>
          <w:tcPr>
            <w:tcW w:w="425" w:type="dxa"/>
            <w:tcBorders>
              <w:top w:val="single" w:sz="4" w:space="0" w:color="auto"/>
              <w:left w:val="single" w:sz="4" w:space="0" w:color="auto"/>
              <w:bottom w:val="single" w:sz="4" w:space="0" w:color="auto"/>
              <w:right w:val="single" w:sz="4" w:space="0" w:color="auto"/>
            </w:tcBorders>
            <w:vAlign w:val="center"/>
          </w:tcPr>
          <w:p w14:paraId="4E330B1D"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17,5</w:t>
            </w:r>
          </w:p>
        </w:tc>
        <w:tc>
          <w:tcPr>
            <w:tcW w:w="709" w:type="dxa"/>
            <w:tcBorders>
              <w:top w:val="single" w:sz="4" w:space="0" w:color="auto"/>
              <w:left w:val="single" w:sz="4" w:space="0" w:color="auto"/>
              <w:bottom w:val="single" w:sz="4" w:space="0" w:color="auto"/>
              <w:right w:val="single" w:sz="4" w:space="0" w:color="auto"/>
            </w:tcBorders>
            <w:vAlign w:val="center"/>
          </w:tcPr>
          <w:p w14:paraId="173E2E15"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32,9</w:t>
            </w:r>
          </w:p>
        </w:tc>
        <w:tc>
          <w:tcPr>
            <w:tcW w:w="426" w:type="dxa"/>
            <w:tcBorders>
              <w:top w:val="single" w:sz="4" w:space="0" w:color="auto"/>
              <w:left w:val="single" w:sz="4" w:space="0" w:color="auto"/>
              <w:bottom w:val="single" w:sz="4" w:space="0" w:color="auto"/>
              <w:right w:val="single" w:sz="4" w:space="0" w:color="auto"/>
            </w:tcBorders>
            <w:vAlign w:val="center"/>
          </w:tcPr>
          <w:p w14:paraId="477A873D"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10,7</w:t>
            </w:r>
          </w:p>
        </w:tc>
        <w:tc>
          <w:tcPr>
            <w:tcW w:w="566" w:type="dxa"/>
            <w:tcBorders>
              <w:top w:val="single" w:sz="4" w:space="0" w:color="auto"/>
              <w:left w:val="single" w:sz="4" w:space="0" w:color="auto"/>
              <w:bottom w:val="single" w:sz="4" w:space="0" w:color="auto"/>
              <w:right w:val="single" w:sz="4" w:space="0" w:color="auto"/>
            </w:tcBorders>
            <w:vAlign w:val="center"/>
          </w:tcPr>
          <w:p w14:paraId="42A2FE0F"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39,9</w:t>
            </w:r>
          </w:p>
        </w:tc>
        <w:tc>
          <w:tcPr>
            <w:tcW w:w="426" w:type="dxa"/>
            <w:tcBorders>
              <w:top w:val="single" w:sz="4" w:space="0" w:color="auto"/>
              <w:left w:val="single" w:sz="4" w:space="0" w:color="auto"/>
              <w:bottom w:val="single" w:sz="4" w:space="0" w:color="auto"/>
              <w:right w:val="single" w:sz="4" w:space="0" w:color="auto"/>
            </w:tcBorders>
            <w:vAlign w:val="center"/>
          </w:tcPr>
          <w:p w14:paraId="01F9698F"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12,7</w:t>
            </w:r>
          </w:p>
        </w:tc>
        <w:tc>
          <w:tcPr>
            <w:tcW w:w="567" w:type="dxa"/>
            <w:tcBorders>
              <w:top w:val="single" w:sz="4" w:space="0" w:color="auto"/>
              <w:left w:val="single" w:sz="4" w:space="0" w:color="auto"/>
              <w:bottom w:val="single" w:sz="4" w:space="0" w:color="auto"/>
              <w:right w:val="single" w:sz="4" w:space="0" w:color="auto"/>
            </w:tcBorders>
            <w:vAlign w:val="center"/>
          </w:tcPr>
          <w:p w14:paraId="585339D6"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23,2</w:t>
            </w:r>
          </w:p>
        </w:tc>
        <w:tc>
          <w:tcPr>
            <w:tcW w:w="425" w:type="dxa"/>
            <w:tcBorders>
              <w:top w:val="single" w:sz="4" w:space="0" w:color="auto"/>
              <w:left w:val="single" w:sz="4" w:space="0" w:color="auto"/>
              <w:bottom w:val="single" w:sz="4" w:space="0" w:color="auto"/>
              <w:right w:val="single" w:sz="4" w:space="0" w:color="auto"/>
            </w:tcBorders>
            <w:vAlign w:val="center"/>
          </w:tcPr>
          <w:p w14:paraId="0BDEAB01"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9,4</w:t>
            </w:r>
          </w:p>
        </w:tc>
        <w:tc>
          <w:tcPr>
            <w:tcW w:w="567" w:type="dxa"/>
            <w:tcBorders>
              <w:top w:val="single" w:sz="4" w:space="0" w:color="auto"/>
              <w:left w:val="single" w:sz="4" w:space="0" w:color="auto"/>
              <w:bottom w:val="single" w:sz="4" w:space="0" w:color="auto"/>
              <w:right w:val="single" w:sz="4" w:space="0" w:color="auto"/>
            </w:tcBorders>
            <w:vAlign w:val="center"/>
          </w:tcPr>
          <w:p w14:paraId="7852EAD3"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28,6</w:t>
            </w:r>
          </w:p>
        </w:tc>
        <w:tc>
          <w:tcPr>
            <w:tcW w:w="425" w:type="dxa"/>
            <w:tcBorders>
              <w:top w:val="single" w:sz="4" w:space="0" w:color="auto"/>
              <w:left w:val="single" w:sz="4" w:space="0" w:color="auto"/>
              <w:bottom w:val="single" w:sz="4" w:space="0" w:color="auto"/>
              <w:right w:val="single" w:sz="4" w:space="0" w:color="auto"/>
            </w:tcBorders>
            <w:vAlign w:val="center"/>
          </w:tcPr>
          <w:p w14:paraId="200799F7"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11,2</w:t>
            </w:r>
          </w:p>
        </w:tc>
      </w:tr>
      <w:tr w:rsidR="004B6F52" w:rsidRPr="00A164E6" w14:paraId="5274A869"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D59C1" w14:textId="77777777" w:rsidR="004B6F52" w:rsidRPr="00A164E6" w:rsidRDefault="004B6F52" w:rsidP="00672566">
            <w:pPr>
              <w:spacing w:after="0" w:line="240" w:lineRule="auto"/>
              <w:jc w:val="right"/>
              <w:rPr>
                <w:rFonts w:cs="Times New Roman"/>
                <w:color w:val="000000"/>
                <w:sz w:val="20"/>
                <w:szCs w:val="24"/>
              </w:rPr>
            </w:pPr>
            <w:r w:rsidRPr="00A164E6">
              <w:rPr>
                <w:rFonts w:cs="Times New Roman"/>
                <w:i/>
                <w:iCs/>
                <w:color w:val="000000"/>
                <w:sz w:val="20"/>
                <w:szCs w:val="24"/>
              </w:rPr>
              <w:t>Vēja elektrostacijas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590F1E"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bCs/>
                <w:i/>
                <w:color w:val="000000"/>
                <w:sz w:val="20"/>
                <w:szCs w:val="20"/>
              </w:rPr>
              <w:t>87,8</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5A8C0"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6,8</w:t>
            </w:r>
          </w:p>
        </w:tc>
        <w:tc>
          <w:tcPr>
            <w:tcW w:w="710" w:type="dxa"/>
            <w:tcBorders>
              <w:top w:val="single" w:sz="4" w:space="0" w:color="auto"/>
              <w:left w:val="single" w:sz="4" w:space="0" w:color="auto"/>
              <w:bottom w:val="single" w:sz="4" w:space="0" w:color="auto"/>
              <w:right w:val="single" w:sz="4" w:space="0" w:color="auto"/>
            </w:tcBorders>
            <w:vAlign w:val="center"/>
          </w:tcPr>
          <w:p w14:paraId="10477FBB"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90,2</w:t>
            </w:r>
          </w:p>
        </w:tc>
        <w:tc>
          <w:tcPr>
            <w:tcW w:w="425" w:type="dxa"/>
            <w:tcBorders>
              <w:top w:val="single" w:sz="4" w:space="0" w:color="auto"/>
              <w:left w:val="single" w:sz="4" w:space="0" w:color="auto"/>
              <w:bottom w:val="single" w:sz="4" w:space="0" w:color="auto"/>
              <w:right w:val="single" w:sz="4" w:space="0" w:color="auto"/>
            </w:tcBorders>
            <w:vAlign w:val="center"/>
          </w:tcPr>
          <w:p w14:paraId="21FBE255"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5,9</w:t>
            </w:r>
          </w:p>
        </w:tc>
        <w:tc>
          <w:tcPr>
            <w:tcW w:w="709" w:type="dxa"/>
            <w:tcBorders>
              <w:top w:val="single" w:sz="4" w:space="0" w:color="auto"/>
              <w:left w:val="single" w:sz="4" w:space="0" w:color="auto"/>
              <w:bottom w:val="single" w:sz="4" w:space="0" w:color="auto"/>
              <w:right w:val="single" w:sz="4" w:space="0" w:color="auto"/>
            </w:tcBorders>
            <w:vAlign w:val="center"/>
          </w:tcPr>
          <w:p w14:paraId="57268F99"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9,4</w:t>
            </w:r>
          </w:p>
        </w:tc>
        <w:tc>
          <w:tcPr>
            <w:tcW w:w="426" w:type="dxa"/>
            <w:tcBorders>
              <w:top w:val="single" w:sz="4" w:space="0" w:color="auto"/>
              <w:left w:val="single" w:sz="4" w:space="0" w:color="auto"/>
              <w:bottom w:val="single" w:sz="4" w:space="0" w:color="auto"/>
              <w:right w:val="single" w:sz="4" w:space="0" w:color="auto"/>
            </w:tcBorders>
            <w:vAlign w:val="center"/>
          </w:tcPr>
          <w:p w14:paraId="7D5FCDAD"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3,0</w:t>
            </w:r>
          </w:p>
        </w:tc>
        <w:tc>
          <w:tcPr>
            <w:tcW w:w="566" w:type="dxa"/>
            <w:tcBorders>
              <w:top w:val="single" w:sz="4" w:space="0" w:color="auto"/>
              <w:left w:val="single" w:sz="4" w:space="0" w:color="auto"/>
              <w:bottom w:val="single" w:sz="4" w:space="0" w:color="auto"/>
              <w:right w:val="single" w:sz="4" w:space="0" w:color="auto"/>
            </w:tcBorders>
            <w:vAlign w:val="center"/>
          </w:tcPr>
          <w:p w14:paraId="5F6251AB"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9,8</w:t>
            </w:r>
          </w:p>
        </w:tc>
        <w:tc>
          <w:tcPr>
            <w:tcW w:w="426" w:type="dxa"/>
            <w:tcBorders>
              <w:top w:val="single" w:sz="4" w:space="0" w:color="auto"/>
              <w:left w:val="single" w:sz="4" w:space="0" w:color="auto"/>
              <w:bottom w:val="single" w:sz="4" w:space="0" w:color="auto"/>
              <w:right w:val="single" w:sz="4" w:space="0" w:color="auto"/>
            </w:tcBorders>
            <w:vAlign w:val="center"/>
          </w:tcPr>
          <w:p w14:paraId="59E3F5A5"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3,1</w:t>
            </w:r>
          </w:p>
        </w:tc>
        <w:tc>
          <w:tcPr>
            <w:tcW w:w="567" w:type="dxa"/>
            <w:tcBorders>
              <w:top w:val="single" w:sz="4" w:space="0" w:color="auto"/>
              <w:left w:val="single" w:sz="4" w:space="0" w:color="auto"/>
              <w:bottom w:val="single" w:sz="4" w:space="0" w:color="auto"/>
              <w:right w:val="single" w:sz="4" w:space="0" w:color="auto"/>
            </w:tcBorders>
            <w:vAlign w:val="center"/>
          </w:tcPr>
          <w:p w14:paraId="1953A3B2"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vAlign w:val="center"/>
          </w:tcPr>
          <w:p w14:paraId="38BB9498"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14:paraId="0F405626"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6,4</w:t>
            </w:r>
          </w:p>
        </w:tc>
        <w:tc>
          <w:tcPr>
            <w:tcW w:w="425" w:type="dxa"/>
            <w:tcBorders>
              <w:top w:val="single" w:sz="4" w:space="0" w:color="auto"/>
              <w:left w:val="single" w:sz="4" w:space="0" w:color="auto"/>
              <w:bottom w:val="single" w:sz="4" w:space="0" w:color="auto"/>
              <w:right w:val="single" w:sz="4" w:space="0" w:color="auto"/>
            </w:tcBorders>
            <w:vAlign w:val="center"/>
          </w:tcPr>
          <w:p w14:paraId="3235BBDC"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2,5</w:t>
            </w:r>
          </w:p>
        </w:tc>
      </w:tr>
      <w:tr w:rsidR="004B6F52" w:rsidRPr="00A164E6" w14:paraId="10FB3C3B"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D948A" w14:textId="77777777" w:rsidR="004B6F52" w:rsidRPr="00A164E6" w:rsidRDefault="004B6F52" w:rsidP="00672566">
            <w:pPr>
              <w:spacing w:after="0" w:line="240" w:lineRule="auto"/>
              <w:jc w:val="right"/>
              <w:rPr>
                <w:rFonts w:cs="Times New Roman"/>
                <w:color w:val="000000"/>
                <w:sz w:val="20"/>
                <w:szCs w:val="24"/>
              </w:rPr>
            </w:pPr>
            <w:r>
              <w:rPr>
                <w:rFonts w:cs="Times New Roman"/>
                <w:i/>
                <w:iCs/>
                <w:color w:val="000000"/>
                <w:sz w:val="20"/>
                <w:szCs w:val="24"/>
              </w:rPr>
              <w:t xml:space="preserve">Mazās </w:t>
            </w:r>
            <w:r w:rsidRPr="00A164E6">
              <w:rPr>
                <w:rFonts w:cs="Times New Roman"/>
                <w:i/>
                <w:iCs/>
                <w:color w:val="000000"/>
                <w:sz w:val="20"/>
                <w:szCs w:val="24"/>
              </w:rPr>
              <w:t>H</w:t>
            </w:r>
            <w:r>
              <w:rPr>
                <w:rFonts w:cs="Times New Roman"/>
                <w:i/>
                <w:iCs/>
                <w:color w:val="000000"/>
                <w:sz w:val="20"/>
                <w:szCs w:val="24"/>
              </w:rPr>
              <w:t>ES</w:t>
            </w:r>
            <w:r w:rsidRPr="00A164E6">
              <w:rPr>
                <w:rFonts w:cs="Times New Roman"/>
                <w:i/>
                <w:iCs/>
                <w:color w:val="000000"/>
                <w:sz w:val="20"/>
                <w:szCs w:val="24"/>
              </w:rPr>
              <w:t xml:space="preserve"> (līdz 5 MW)</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E86E83"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bCs/>
                <w:i/>
                <w:color w:val="000000"/>
                <w:sz w:val="20"/>
                <w:szCs w:val="20"/>
              </w:rPr>
              <w:t>66,6</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48582"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5,2</w:t>
            </w:r>
          </w:p>
        </w:tc>
        <w:tc>
          <w:tcPr>
            <w:tcW w:w="710" w:type="dxa"/>
            <w:tcBorders>
              <w:top w:val="single" w:sz="4" w:space="0" w:color="auto"/>
              <w:left w:val="single" w:sz="4" w:space="0" w:color="auto"/>
              <w:bottom w:val="single" w:sz="4" w:space="0" w:color="auto"/>
              <w:right w:val="single" w:sz="4" w:space="0" w:color="auto"/>
            </w:tcBorders>
            <w:vAlign w:val="center"/>
          </w:tcPr>
          <w:p w14:paraId="42E2B7F9"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63,3</w:t>
            </w:r>
          </w:p>
        </w:tc>
        <w:tc>
          <w:tcPr>
            <w:tcW w:w="425" w:type="dxa"/>
            <w:tcBorders>
              <w:top w:val="single" w:sz="4" w:space="0" w:color="auto"/>
              <w:left w:val="single" w:sz="4" w:space="0" w:color="auto"/>
              <w:bottom w:val="single" w:sz="4" w:space="0" w:color="auto"/>
              <w:right w:val="single" w:sz="4" w:space="0" w:color="auto"/>
            </w:tcBorders>
            <w:vAlign w:val="center"/>
          </w:tcPr>
          <w:p w14:paraId="0EB8AD18"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4,1</w:t>
            </w:r>
          </w:p>
        </w:tc>
        <w:tc>
          <w:tcPr>
            <w:tcW w:w="709" w:type="dxa"/>
            <w:tcBorders>
              <w:top w:val="single" w:sz="4" w:space="0" w:color="auto"/>
              <w:left w:val="single" w:sz="4" w:space="0" w:color="auto"/>
              <w:bottom w:val="single" w:sz="4" w:space="0" w:color="auto"/>
              <w:right w:val="single" w:sz="4" w:space="0" w:color="auto"/>
            </w:tcBorders>
            <w:vAlign w:val="center"/>
          </w:tcPr>
          <w:p w14:paraId="5DD518D4"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12,0</w:t>
            </w:r>
          </w:p>
        </w:tc>
        <w:tc>
          <w:tcPr>
            <w:tcW w:w="426" w:type="dxa"/>
            <w:tcBorders>
              <w:top w:val="single" w:sz="4" w:space="0" w:color="auto"/>
              <w:left w:val="single" w:sz="4" w:space="0" w:color="auto"/>
              <w:bottom w:val="single" w:sz="4" w:space="0" w:color="auto"/>
              <w:right w:val="single" w:sz="4" w:space="0" w:color="auto"/>
            </w:tcBorders>
            <w:vAlign w:val="center"/>
          </w:tcPr>
          <w:p w14:paraId="5326762C"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3,9</w:t>
            </w:r>
          </w:p>
        </w:tc>
        <w:tc>
          <w:tcPr>
            <w:tcW w:w="566" w:type="dxa"/>
            <w:tcBorders>
              <w:top w:val="single" w:sz="4" w:space="0" w:color="auto"/>
              <w:left w:val="single" w:sz="4" w:space="0" w:color="auto"/>
              <w:bottom w:val="single" w:sz="4" w:space="0" w:color="auto"/>
              <w:right w:val="single" w:sz="4" w:space="0" w:color="auto"/>
            </w:tcBorders>
            <w:vAlign w:val="center"/>
          </w:tcPr>
          <w:p w14:paraId="05906B2D"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11,4</w:t>
            </w:r>
          </w:p>
        </w:tc>
        <w:tc>
          <w:tcPr>
            <w:tcW w:w="426" w:type="dxa"/>
            <w:tcBorders>
              <w:top w:val="single" w:sz="4" w:space="0" w:color="auto"/>
              <w:left w:val="single" w:sz="4" w:space="0" w:color="auto"/>
              <w:bottom w:val="single" w:sz="4" w:space="0" w:color="auto"/>
              <w:right w:val="single" w:sz="4" w:space="0" w:color="auto"/>
            </w:tcBorders>
            <w:vAlign w:val="center"/>
          </w:tcPr>
          <w:p w14:paraId="106C5420" w14:textId="77777777" w:rsidR="004B6F52" w:rsidRPr="004B6F52" w:rsidRDefault="004B6F52" w:rsidP="00672566">
            <w:pPr>
              <w:spacing w:after="0" w:line="240" w:lineRule="auto"/>
              <w:jc w:val="center"/>
              <w:rPr>
                <w:rFonts w:cs="Times New Roman"/>
                <w:i/>
                <w:color w:val="000000"/>
                <w:sz w:val="20"/>
                <w:szCs w:val="20"/>
              </w:rPr>
            </w:pPr>
            <w:r w:rsidRPr="004B6F52">
              <w:rPr>
                <w:rFonts w:cs="Times New Roman"/>
                <w:i/>
                <w:color w:val="000000"/>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14:paraId="26E3FAA3"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8,83</w:t>
            </w:r>
          </w:p>
        </w:tc>
        <w:tc>
          <w:tcPr>
            <w:tcW w:w="425" w:type="dxa"/>
            <w:tcBorders>
              <w:top w:val="single" w:sz="4" w:space="0" w:color="auto"/>
              <w:left w:val="single" w:sz="4" w:space="0" w:color="auto"/>
              <w:bottom w:val="single" w:sz="4" w:space="0" w:color="auto"/>
              <w:right w:val="single" w:sz="4" w:space="0" w:color="auto"/>
            </w:tcBorders>
            <w:vAlign w:val="center"/>
          </w:tcPr>
          <w:p w14:paraId="1312FCBC"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14:paraId="5A7670A4" w14:textId="77777777" w:rsidR="004B6F52" w:rsidRPr="004B6F52" w:rsidRDefault="004B6F52" w:rsidP="00672566">
            <w:pPr>
              <w:spacing w:after="0" w:line="240" w:lineRule="auto"/>
              <w:jc w:val="center"/>
              <w:rPr>
                <w:rFonts w:cs="Times New Roman"/>
                <w:bCs/>
                <w:i/>
                <w:color w:val="000000"/>
                <w:sz w:val="20"/>
                <w:szCs w:val="20"/>
              </w:rPr>
            </w:pPr>
            <w:r w:rsidRPr="004B6F52">
              <w:rPr>
                <w:rFonts w:cs="Times New Roman"/>
                <w:bCs/>
                <w:i/>
                <w:color w:val="000000"/>
                <w:sz w:val="20"/>
                <w:szCs w:val="20"/>
              </w:rPr>
              <w:t>9,0</w:t>
            </w:r>
          </w:p>
        </w:tc>
        <w:tc>
          <w:tcPr>
            <w:tcW w:w="425" w:type="dxa"/>
            <w:tcBorders>
              <w:top w:val="single" w:sz="4" w:space="0" w:color="auto"/>
              <w:left w:val="single" w:sz="4" w:space="0" w:color="auto"/>
              <w:bottom w:val="single" w:sz="4" w:space="0" w:color="auto"/>
              <w:right w:val="single" w:sz="4" w:space="0" w:color="auto"/>
            </w:tcBorders>
            <w:vAlign w:val="center"/>
          </w:tcPr>
          <w:p w14:paraId="0CCC3433"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3,5</w:t>
            </w:r>
          </w:p>
        </w:tc>
      </w:tr>
      <w:tr w:rsidR="004B6F52" w:rsidRPr="00A164E6" w14:paraId="27C2A253"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263A6" w14:textId="77777777" w:rsidR="004B6F52" w:rsidRPr="00A164E6" w:rsidRDefault="004B6F52" w:rsidP="00672566">
            <w:pPr>
              <w:spacing w:after="0" w:line="240" w:lineRule="auto"/>
              <w:jc w:val="left"/>
              <w:rPr>
                <w:rFonts w:cs="Times New Roman"/>
                <w:i/>
                <w:iCs/>
                <w:color w:val="000000"/>
                <w:sz w:val="20"/>
                <w:szCs w:val="24"/>
              </w:rPr>
            </w:pPr>
            <w:r w:rsidRPr="00A164E6">
              <w:rPr>
                <w:rFonts w:cs="Times New Roman"/>
                <w:color w:val="000000"/>
                <w:sz w:val="20"/>
                <w:szCs w:val="24"/>
              </w:rPr>
              <w:t>OI no fosilajām koģenerācijas stacijām</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5A455"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598,3</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E2039"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46,6</w:t>
            </w:r>
          </w:p>
        </w:tc>
        <w:tc>
          <w:tcPr>
            <w:tcW w:w="710" w:type="dxa"/>
            <w:tcBorders>
              <w:top w:val="single" w:sz="4" w:space="0" w:color="auto"/>
              <w:left w:val="single" w:sz="4" w:space="0" w:color="auto"/>
              <w:bottom w:val="single" w:sz="4" w:space="0" w:color="auto"/>
              <w:right w:val="single" w:sz="4" w:space="0" w:color="auto"/>
            </w:tcBorders>
            <w:vAlign w:val="center"/>
          </w:tcPr>
          <w:p w14:paraId="3F17389F"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color w:val="000000"/>
                <w:sz w:val="20"/>
                <w:szCs w:val="20"/>
              </w:rPr>
              <w:t>628,7</w:t>
            </w:r>
          </w:p>
        </w:tc>
        <w:tc>
          <w:tcPr>
            <w:tcW w:w="425" w:type="dxa"/>
            <w:tcBorders>
              <w:top w:val="single" w:sz="4" w:space="0" w:color="auto"/>
              <w:left w:val="single" w:sz="4" w:space="0" w:color="auto"/>
              <w:bottom w:val="single" w:sz="4" w:space="0" w:color="auto"/>
              <w:right w:val="single" w:sz="4" w:space="0" w:color="auto"/>
            </w:tcBorders>
            <w:vAlign w:val="center"/>
          </w:tcPr>
          <w:p w14:paraId="78E406CC"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40,8</w:t>
            </w:r>
          </w:p>
        </w:tc>
        <w:tc>
          <w:tcPr>
            <w:tcW w:w="709" w:type="dxa"/>
            <w:tcBorders>
              <w:top w:val="single" w:sz="4" w:space="0" w:color="auto"/>
              <w:left w:val="single" w:sz="4" w:space="0" w:color="auto"/>
              <w:bottom w:val="single" w:sz="4" w:space="0" w:color="auto"/>
              <w:right w:val="single" w:sz="4" w:space="0" w:color="auto"/>
            </w:tcBorders>
            <w:vAlign w:val="center"/>
          </w:tcPr>
          <w:p w14:paraId="5EE5B48C"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79,2</w:t>
            </w:r>
          </w:p>
        </w:tc>
        <w:tc>
          <w:tcPr>
            <w:tcW w:w="426" w:type="dxa"/>
            <w:tcBorders>
              <w:top w:val="single" w:sz="4" w:space="0" w:color="auto"/>
              <w:left w:val="single" w:sz="4" w:space="0" w:color="auto"/>
              <w:bottom w:val="single" w:sz="4" w:space="0" w:color="auto"/>
              <w:right w:val="single" w:sz="4" w:space="0" w:color="auto"/>
            </w:tcBorders>
            <w:vAlign w:val="center"/>
          </w:tcPr>
          <w:p w14:paraId="2D4C4331"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25,6</w:t>
            </w:r>
          </w:p>
        </w:tc>
        <w:tc>
          <w:tcPr>
            <w:tcW w:w="566" w:type="dxa"/>
            <w:tcBorders>
              <w:top w:val="single" w:sz="4" w:space="0" w:color="auto"/>
              <w:left w:val="single" w:sz="4" w:space="0" w:color="auto"/>
              <w:bottom w:val="single" w:sz="4" w:space="0" w:color="auto"/>
              <w:right w:val="single" w:sz="4" w:space="0" w:color="auto"/>
            </w:tcBorders>
            <w:vAlign w:val="center"/>
          </w:tcPr>
          <w:p w14:paraId="61BA6A98"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73,7</w:t>
            </w:r>
          </w:p>
        </w:tc>
        <w:tc>
          <w:tcPr>
            <w:tcW w:w="426" w:type="dxa"/>
            <w:tcBorders>
              <w:top w:val="single" w:sz="4" w:space="0" w:color="auto"/>
              <w:left w:val="single" w:sz="4" w:space="0" w:color="auto"/>
              <w:bottom w:val="single" w:sz="4" w:space="0" w:color="auto"/>
              <w:right w:val="single" w:sz="4" w:space="0" w:color="auto"/>
            </w:tcBorders>
            <w:vAlign w:val="center"/>
          </w:tcPr>
          <w:p w14:paraId="4798211C"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23,5</w:t>
            </w:r>
          </w:p>
        </w:tc>
        <w:tc>
          <w:tcPr>
            <w:tcW w:w="567" w:type="dxa"/>
            <w:tcBorders>
              <w:top w:val="single" w:sz="4" w:space="0" w:color="auto"/>
              <w:left w:val="single" w:sz="4" w:space="0" w:color="auto"/>
              <w:bottom w:val="single" w:sz="4" w:space="0" w:color="auto"/>
              <w:right w:val="single" w:sz="4" w:space="0" w:color="auto"/>
            </w:tcBorders>
            <w:vAlign w:val="center"/>
          </w:tcPr>
          <w:p w14:paraId="323B0B7C"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bCs/>
                <w:color w:val="000000"/>
                <w:sz w:val="20"/>
                <w:szCs w:val="20"/>
              </w:rPr>
              <w:t>49,7</w:t>
            </w:r>
          </w:p>
        </w:tc>
        <w:tc>
          <w:tcPr>
            <w:tcW w:w="425" w:type="dxa"/>
            <w:tcBorders>
              <w:top w:val="single" w:sz="4" w:space="0" w:color="auto"/>
              <w:left w:val="single" w:sz="4" w:space="0" w:color="auto"/>
              <w:bottom w:val="single" w:sz="4" w:space="0" w:color="auto"/>
              <w:right w:val="single" w:sz="4" w:space="0" w:color="auto"/>
            </w:tcBorders>
            <w:vAlign w:val="center"/>
          </w:tcPr>
          <w:p w14:paraId="1E34657F"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20,2</w:t>
            </w:r>
          </w:p>
        </w:tc>
        <w:tc>
          <w:tcPr>
            <w:tcW w:w="567" w:type="dxa"/>
            <w:tcBorders>
              <w:top w:val="single" w:sz="4" w:space="0" w:color="auto"/>
              <w:left w:val="single" w:sz="4" w:space="0" w:color="auto"/>
              <w:bottom w:val="single" w:sz="4" w:space="0" w:color="auto"/>
              <w:right w:val="single" w:sz="4" w:space="0" w:color="auto"/>
            </w:tcBorders>
            <w:vAlign w:val="center"/>
          </w:tcPr>
          <w:p w14:paraId="5B267D9F"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47,5</w:t>
            </w:r>
          </w:p>
        </w:tc>
        <w:tc>
          <w:tcPr>
            <w:tcW w:w="425" w:type="dxa"/>
            <w:tcBorders>
              <w:top w:val="single" w:sz="4" w:space="0" w:color="auto"/>
              <w:left w:val="single" w:sz="4" w:space="0" w:color="auto"/>
              <w:bottom w:val="single" w:sz="4" w:space="0" w:color="auto"/>
              <w:right w:val="single" w:sz="4" w:space="0" w:color="auto"/>
            </w:tcBorders>
            <w:vAlign w:val="center"/>
          </w:tcPr>
          <w:p w14:paraId="6EAE1759"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18,6</w:t>
            </w:r>
          </w:p>
        </w:tc>
      </w:tr>
      <w:tr w:rsidR="004B6F52" w:rsidRPr="00A164E6" w14:paraId="19BB23A5"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A20B1" w14:textId="77777777" w:rsidR="004B6F52" w:rsidRPr="00A164E6" w:rsidRDefault="004B6F52" w:rsidP="00672566">
            <w:pPr>
              <w:spacing w:after="0" w:line="240" w:lineRule="auto"/>
              <w:jc w:val="left"/>
              <w:rPr>
                <w:rFonts w:cs="Times New Roman"/>
                <w:color w:val="000000"/>
                <w:sz w:val="20"/>
                <w:szCs w:val="24"/>
              </w:rPr>
            </w:pPr>
            <w:r w:rsidRPr="00A164E6">
              <w:rPr>
                <w:rFonts w:cs="Times New Roman"/>
                <w:color w:val="000000"/>
                <w:sz w:val="20"/>
                <w:szCs w:val="24"/>
              </w:rPr>
              <w:t>Jaudas maksa (AER)</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51EA2"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n/a</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152243"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n/a</w:t>
            </w:r>
          </w:p>
        </w:tc>
        <w:tc>
          <w:tcPr>
            <w:tcW w:w="710" w:type="dxa"/>
            <w:tcBorders>
              <w:top w:val="single" w:sz="4" w:space="0" w:color="auto"/>
              <w:left w:val="single" w:sz="4" w:space="0" w:color="auto"/>
              <w:bottom w:val="single" w:sz="4" w:space="0" w:color="auto"/>
              <w:right w:val="single" w:sz="4" w:space="0" w:color="auto"/>
            </w:tcBorders>
            <w:vAlign w:val="center"/>
          </w:tcPr>
          <w:p w14:paraId="77D05674"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color w:val="000000"/>
                <w:sz w:val="20"/>
                <w:szCs w:val="20"/>
              </w:rPr>
              <w:t>n/a</w:t>
            </w:r>
          </w:p>
        </w:tc>
        <w:tc>
          <w:tcPr>
            <w:tcW w:w="425" w:type="dxa"/>
            <w:tcBorders>
              <w:top w:val="single" w:sz="4" w:space="0" w:color="auto"/>
              <w:left w:val="single" w:sz="4" w:space="0" w:color="auto"/>
              <w:bottom w:val="single" w:sz="4" w:space="0" w:color="auto"/>
              <w:right w:val="single" w:sz="4" w:space="0" w:color="auto"/>
            </w:tcBorders>
            <w:vAlign w:val="center"/>
          </w:tcPr>
          <w:p w14:paraId="0E91927C"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color w:val="000000"/>
                <w:sz w:val="20"/>
                <w:szCs w:val="20"/>
              </w:rPr>
              <w:t>n/a</w:t>
            </w:r>
          </w:p>
        </w:tc>
        <w:tc>
          <w:tcPr>
            <w:tcW w:w="709" w:type="dxa"/>
            <w:tcBorders>
              <w:top w:val="single" w:sz="4" w:space="0" w:color="auto"/>
              <w:left w:val="single" w:sz="4" w:space="0" w:color="auto"/>
              <w:bottom w:val="single" w:sz="4" w:space="0" w:color="auto"/>
              <w:right w:val="single" w:sz="4" w:space="0" w:color="auto"/>
            </w:tcBorders>
            <w:vAlign w:val="center"/>
          </w:tcPr>
          <w:p w14:paraId="01AD59B8"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vAlign w:val="center"/>
          </w:tcPr>
          <w:p w14:paraId="7257A3EF"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1,7</w:t>
            </w:r>
          </w:p>
        </w:tc>
        <w:tc>
          <w:tcPr>
            <w:tcW w:w="566" w:type="dxa"/>
            <w:tcBorders>
              <w:top w:val="single" w:sz="4" w:space="0" w:color="auto"/>
              <w:left w:val="single" w:sz="4" w:space="0" w:color="auto"/>
              <w:bottom w:val="single" w:sz="4" w:space="0" w:color="auto"/>
              <w:right w:val="single" w:sz="4" w:space="0" w:color="auto"/>
            </w:tcBorders>
            <w:vAlign w:val="center"/>
          </w:tcPr>
          <w:p w14:paraId="2738FB98"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vAlign w:val="center"/>
          </w:tcPr>
          <w:p w14:paraId="5018B2AF"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14:paraId="5E8BD3D1"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bCs/>
                <w:color w:val="000000"/>
                <w:sz w:val="20"/>
                <w:szCs w:val="20"/>
              </w:rPr>
              <w:t>5,2</w:t>
            </w:r>
          </w:p>
        </w:tc>
        <w:tc>
          <w:tcPr>
            <w:tcW w:w="425" w:type="dxa"/>
            <w:tcBorders>
              <w:top w:val="single" w:sz="4" w:space="0" w:color="auto"/>
              <w:left w:val="single" w:sz="4" w:space="0" w:color="auto"/>
              <w:bottom w:val="single" w:sz="4" w:space="0" w:color="auto"/>
              <w:right w:val="single" w:sz="4" w:space="0" w:color="auto"/>
            </w:tcBorders>
            <w:vAlign w:val="center"/>
          </w:tcPr>
          <w:p w14:paraId="3549D683"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14:paraId="6CB73468"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5,2</w:t>
            </w:r>
          </w:p>
        </w:tc>
        <w:tc>
          <w:tcPr>
            <w:tcW w:w="425" w:type="dxa"/>
            <w:tcBorders>
              <w:top w:val="single" w:sz="4" w:space="0" w:color="auto"/>
              <w:left w:val="single" w:sz="4" w:space="0" w:color="auto"/>
              <w:bottom w:val="single" w:sz="4" w:space="0" w:color="auto"/>
              <w:right w:val="single" w:sz="4" w:space="0" w:color="auto"/>
            </w:tcBorders>
            <w:vAlign w:val="center"/>
          </w:tcPr>
          <w:p w14:paraId="4B626B4C"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2,0</w:t>
            </w:r>
          </w:p>
        </w:tc>
      </w:tr>
      <w:tr w:rsidR="004B6F52" w:rsidRPr="00A164E6" w14:paraId="42206EE4"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32D09" w14:textId="77777777" w:rsidR="004B6F52" w:rsidRPr="00A164E6" w:rsidRDefault="004B6F52" w:rsidP="00672566">
            <w:pPr>
              <w:spacing w:after="0" w:line="240" w:lineRule="auto"/>
              <w:jc w:val="left"/>
              <w:rPr>
                <w:rFonts w:cs="Times New Roman"/>
                <w:color w:val="000000"/>
                <w:sz w:val="20"/>
                <w:szCs w:val="24"/>
              </w:rPr>
            </w:pPr>
            <w:r w:rsidRPr="00A164E6">
              <w:rPr>
                <w:rFonts w:cs="Times New Roman"/>
                <w:color w:val="000000"/>
                <w:sz w:val="20"/>
                <w:szCs w:val="24"/>
              </w:rPr>
              <w:t>Jaudas maksa (fosilās koģenerācijas stacijas)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37FAD"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n/a</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5B551"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n/a</w:t>
            </w:r>
          </w:p>
        </w:tc>
        <w:tc>
          <w:tcPr>
            <w:tcW w:w="710" w:type="dxa"/>
            <w:tcBorders>
              <w:top w:val="single" w:sz="4" w:space="0" w:color="auto"/>
              <w:left w:val="single" w:sz="4" w:space="0" w:color="auto"/>
              <w:bottom w:val="single" w:sz="4" w:space="0" w:color="auto"/>
              <w:right w:val="single" w:sz="4" w:space="0" w:color="auto"/>
            </w:tcBorders>
            <w:vAlign w:val="center"/>
          </w:tcPr>
          <w:p w14:paraId="76B99102"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color w:val="000000"/>
                <w:sz w:val="20"/>
                <w:szCs w:val="20"/>
              </w:rPr>
              <w:t>n/a</w:t>
            </w:r>
          </w:p>
        </w:tc>
        <w:tc>
          <w:tcPr>
            <w:tcW w:w="425" w:type="dxa"/>
            <w:tcBorders>
              <w:top w:val="single" w:sz="4" w:space="0" w:color="auto"/>
              <w:left w:val="single" w:sz="4" w:space="0" w:color="auto"/>
              <w:bottom w:val="single" w:sz="4" w:space="0" w:color="auto"/>
              <w:right w:val="single" w:sz="4" w:space="0" w:color="auto"/>
            </w:tcBorders>
            <w:vAlign w:val="center"/>
          </w:tcPr>
          <w:p w14:paraId="47FCE1FD"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color w:val="000000"/>
                <w:sz w:val="20"/>
                <w:szCs w:val="20"/>
              </w:rPr>
              <w:t>n/a</w:t>
            </w:r>
          </w:p>
        </w:tc>
        <w:tc>
          <w:tcPr>
            <w:tcW w:w="709" w:type="dxa"/>
            <w:tcBorders>
              <w:top w:val="single" w:sz="4" w:space="0" w:color="auto"/>
              <w:left w:val="single" w:sz="4" w:space="0" w:color="auto"/>
              <w:bottom w:val="single" w:sz="4" w:space="0" w:color="auto"/>
              <w:right w:val="single" w:sz="4" w:space="0" w:color="auto"/>
            </w:tcBorders>
            <w:vAlign w:val="center"/>
          </w:tcPr>
          <w:p w14:paraId="4B768A7D"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107,8</w:t>
            </w:r>
          </w:p>
        </w:tc>
        <w:tc>
          <w:tcPr>
            <w:tcW w:w="426" w:type="dxa"/>
            <w:tcBorders>
              <w:top w:val="single" w:sz="4" w:space="0" w:color="auto"/>
              <w:left w:val="single" w:sz="4" w:space="0" w:color="auto"/>
              <w:bottom w:val="single" w:sz="4" w:space="0" w:color="auto"/>
              <w:right w:val="single" w:sz="4" w:space="0" w:color="auto"/>
            </w:tcBorders>
            <w:vAlign w:val="center"/>
          </w:tcPr>
          <w:p w14:paraId="1DABC69D"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34,9</w:t>
            </w:r>
          </w:p>
        </w:tc>
        <w:tc>
          <w:tcPr>
            <w:tcW w:w="566" w:type="dxa"/>
            <w:tcBorders>
              <w:top w:val="single" w:sz="4" w:space="0" w:color="auto"/>
              <w:left w:val="single" w:sz="4" w:space="0" w:color="auto"/>
              <w:bottom w:val="single" w:sz="4" w:space="0" w:color="auto"/>
              <w:right w:val="single" w:sz="4" w:space="0" w:color="auto"/>
            </w:tcBorders>
            <w:vAlign w:val="center"/>
          </w:tcPr>
          <w:p w14:paraId="61EF2969"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107,8</w:t>
            </w:r>
          </w:p>
        </w:tc>
        <w:tc>
          <w:tcPr>
            <w:tcW w:w="426" w:type="dxa"/>
            <w:tcBorders>
              <w:top w:val="single" w:sz="4" w:space="0" w:color="auto"/>
              <w:left w:val="single" w:sz="4" w:space="0" w:color="auto"/>
              <w:bottom w:val="single" w:sz="4" w:space="0" w:color="auto"/>
              <w:right w:val="single" w:sz="4" w:space="0" w:color="auto"/>
            </w:tcBorders>
            <w:vAlign w:val="center"/>
          </w:tcPr>
          <w:p w14:paraId="2F1479B6"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34,3</w:t>
            </w:r>
          </w:p>
        </w:tc>
        <w:tc>
          <w:tcPr>
            <w:tcW w:w="567" w:type="dxa"/>
            <w:tcBorders>
              <w:top w:val="single" w:sz="4" w:space="0" w:color="auto"/>
              <w:left w:val="single" w:sz="4" w:space="0" w:color="auto"/>
              <w:bottom w:val="single" w:sz="4" w:space="0" w:color="auto"/>
              <w:right w:val="single" w:sz="4" w:space="0" w:color="auto"/>
            </w:tcBorders>
            <w:vAlign w:val="center"/>
          </w:tcPr>
          <w:p w14:paraId="3F8E096B"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bCs/>
                <w:color w:val="000000"/>
                <w:sz w:val="20"/>
                <w:szCs w:val="20"/>
              </w:rPr>
              <w:t>107,8</w:t>
            </w:r>
          </w:p>
        </w:tc>
        <w:tc>
          <w:tcPr>
            <w:tcW w:w="425" w:type="dxa"/>
            <w:tcBorders>
              <w:top w:val="single" w:sz="4" w:space="0" w:color="auto"/>
              <w:left w:val="single" w:sz="4" w:space="0" w:color="auto"/>
              <w:bottom w:val="single" w:sz="4" w:space="0" w:color="auto"/>
              <w:right w:val="single" w:sz="4" w:space="0" w:color="auto"/>
            </w:tcBorders>
            <w:vAlign w:val="center"/>
          </w:tcPr>
          <w:p w14:paraId="470C2098"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43,9</w:t>
            </w:r>
          </w:p>
        </w:tc>
        <w:tc>
          <w:tcPr>
            <w:tcW w:w="567" w:type="dxa"/>
            <w:tcBorders>
              <w:top w:val="single" w:sz="4" w:space="0" w:color="auto"/>
              <w:left w:val="single" w:sz="4" w:space="0" w:color="auto"/>
              <w:bottom w:val="single" w:sz="4" w:space="0" w:color="auto"/>
              <w:right w:val="single" w:sz="4" w:space="0" w:color="auto"/>
            </w:tcBorders>
            <w:vAlign w:val="center"/>
          </w:tcPr>
          <w:p w14:paraId="374B2F13" w14:textId="77777777" w:rsidR="004B6F52" w:rsidRPr="004B6F52" w:rsidRDefault="004B6F52" w:rsidP="00672566">
            <w:pPr>
              <w:spacing w:after="0" w:line="240" w:lineRule="auto"/>
              <w:jc w:val="center"/>
              <w:rPr>
                <w:rFonts w:cs="Times New Roman"/>
                <w:bCs/>
                <w:color w:val="000000"/>
                <w:sz w:val="20"/>
                <w:szCs w:val="20"/>
              </w:rPr>
            </w:pPr>
            <w:r w:rsidRPr="004B6F52">
              <w:rPr>
                <w:rFonts w:cs="Times New Roman"/>
                <w:bCs/>
                <w:color w:val="000000"/>
                <w:sz w:val="20"/>
                <w:szCs w:val="20"/>
              </w:rPr>
              <w:t>107,8</w:t>
            </w:r>
          </w:p>
        </w:tc>
        <w:tc>
          <w:tcPr>
            <w:tcW w:w="425" w:type="dxa"/>
            <w:tcBorders>
              <w:top w:val="single" w:sz="4" w:space="0" w:color="auto"/>
              <w:left w:val="single" w:sz="4" w:space="0" w:color="auto"/>
              <w:bottom w:val="single" w:sz="4" w:space="0" w:color="auto"/>
              <w:right w:val="single" w:sz="4" w:space="0" w:color="auto"/>
            </w:tcBorders>
            <w:vAlign w:val="center"/>
          </w:tcPr>
          <w:p w14:paraId="5A59CD28" w14:textId="77777777" w:rsidR="004B6F52" w:rsidRPr="004B6F52" w:rsidRDefault="004B6F52" w:rsidP="00672566">
            <w:pPr>
              <w:spacing w:after="0" w:line="240" w:lineRule="auto"/>
              <w:jc w:val="center"/>
              <w:rPr>
                <w:rFonts w:cs="Times New Roman"/>
                <w:color w:val="000000"/>
                <w:sz w:val="20"/>
                <w:szCs w:val="20"/>
              </w:rPr>
            </w:pPr>
            <w:r w:rsidRPr="004B6F52">
              <w:rPr>
                <w:rFonts w:cs="Times New Roman"/>
                <w:color w:val="000000"/>
                <w:sz w:val="20"/>
                <w:szCs w:val="20"/>
              </w:rPr>
              <w:t>42,3</w:t>
            </w:r>
          </w:p>
        </w:tc>
      </w:tr>
      <w:tr w:rsidR="004B6F52" w:rsidRPr="00A164E6" w14:paraId="4E1F5978" w14:textId="77777777" w:rsidTr="004B6F52">
        <w:trPr>
          <w:trHeight w:val="113"/>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B083A" w14:textId="77777777" w:rsidR="004B6F52" w:rsidRPr="00A164E6" w:rsidRDefault="004B6F52" w:rsidP="00672566">
            <w:pPr>
              <w:spacing w:after="0" w:line="240" w:lineRule="auto"/>
              <w:jc w:val="center"/>
              <w:rPr>
                <w:rFonts w:cs="Times New Roman"/>
                <w:b/>
                <w:bCs/>
                <w:color w:val="000000"/>
                <w:sz w:val="20"/>
                <w:szCs w:val="24"/>
              </w:rPr>
            </w:pPr>
            <w:r w:rsidRPr="00A164E6">
              <w:rPr>
                <w:rFonts w:cs="Times New Roman"/>
                <w:b/>
                <w:bCs/>
                <w:color w:val="000000"/>
                <w:sz w:val="20"/>
                <w:szCs w:val="24"/>
              </w:rPr>
              <w:t>Kopā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878C62"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1283,6</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217A6B"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100</w:t>
            </w:r>
          </w:p>
        </w:tc>
        <w:tc>
          <w:tcPr>
            <w:tcW w:w="710" w:type="dxa"/>
            <w:tcBorders>
              <w:top w:val="single" w:sz="4" w:space="0" w:color="auto"/>
              <w:left w:val="single" w:sz="4" w:space="0" w:color="auto"/>
              <w:bottom w:val="single" w:sz="4" w:space="0" w:color="auto"/>
              <w:right w:val="single" w:sz="4" w:space="0" w:color="auto"/>
            </w:tcBorders>
            <w:vAlign w:val="center"/>
          </w:tcPr>
          <w:p w14:paraId="14624D84"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1539,8</w:t>
            </w:r>
          </w:p>
        </w:tc>
        <w:tc>
          <w:tcPr>
            <w:tcW w:w="425" w:type="dxa"/>
            <w:tcBorders>
              <w:top w:val="single" w:sz="4" w:space="0" w:color="auto"/>
              <w:left w:val="single" w:sz="4" w:space="0" w:color="auto"/>
              <w:bottom w:val="single" w:sz="4" w:space="0" w:color="auto"/>
              <w:right w:val="single" w:sz="4" w:space="0" w:color="auto"/>
            </w:tcBorders>
            <w:vAlign w:val="center"/>
          </w:tcPr>
          <w:p w14:paraId="1A447122"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EB4F753"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308,90</w:t>
            </w:r>
          </w:p>
        </w:tc>
        <w:tc>
          <w:tcPr>
            <w:tcW w:w="426" w:type="dxa"/>
            <w:tcBorders>
              <w:top w:val="single" w:sz="4" w:space="0" w:color="auto"/>
              <w:left w:val="single" w:sz="4" w:space="0" w:color="auto"/>
              <w:bottom w:val="single" w:sz="4" w:space="0" w:color="auto"/>
              <w:right w:val="single" w:sz="4" w:space="0" w:color="auto"/>
            </w:tcBorders>
            <w:vAlign w:val="center"/>
          </w:tcPr>
          <w:p w14:paraId="0F80FA0E"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100</w:t>
            </w:r>
          </w:p>
        </w:tc>
        <w:tc>
          <w:tcPr>
            <w:tcW w:w="566" w:type="dxa"/>
            <w:tcBorders>
              <w:top w:val="single" w:sz="4" w:space="0" w:color="auto"/>
              <w:left w:val="single" w:sz="4" w:space="0" w:color="auto"/>
              <w:bottom w:val="single" w:sz="4" w:space="0" w:color="auto"/>
              <w:right w:val="single" w:sz="4" w:space="0" w:color="auto"/>
            </w:tcBorders>
            <w:vAlign w:val="center"/>
          </w:tcPr>
          <w:p w14:paraId="6205A8D3"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314,0</w:t>
            </w:r>
          </w:p>
        </w:tc>
        <w:tc>
          <w:tcPr>
            <w:tcW w:w="426" w:type="dxa"/>
            <w:tcBorders>
              <w:top w:val="single" w:sz="4" w:space="0" w:color="auto"/>
              <w:left w:val="single" w:sz="4" w:space="0" w:color="auto"/>
              <w:bottom w:val="single" w:sz="4" w:space="0" w:color="auto"/>
              <w:right w:val="single" w:sz="4" w:space="0" w:color="auto"/>
            </w:tcBorders>
            <w:vAlign w:val="center"/>
          </w:tcPr>
          <w:p w14:paraId="0E2A9A45"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14:paraId="136D06F6"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245,7</w:t>
            </w:r>
          </w:p>
        </w:tc>
        <w:tc>
          <w:tcPr>
            <w:tcW w:w="425" w:type="dxa"/>
            <w:tcBorders>
              <w:top w:val="single" w:sz="4" w:space="0" w:color="auto"/>
              <w:left w:val="single" w:sz="4" w:space="0" w:color="auto"/>
              <w:bottom w:val="single" w:sz="4" w:space="0" w:color="auto"/>
              <w:right w:val="single" w:sz="4" w:space="0" w:color="auto"/>
            </w:tcBorders>
            <w:vAlign w:val="center"/>
          </w:tcPr>
          <w:p w14:paraId="58B0C031"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14:paraId="0FC9F3D1" w14:textId="77777777" w:rsidR="004B6F52" w:rsidRPr="004B6F52" w:rsidRDefault="004B6F52" w:rsidP="00672566">
            <w:pPr>
              <w:spacing w:after="0" w:line="240" w:lineRule="auto"/>
              <w:jc w:val="center"/>
              <w:rPr>
                <w:rFonts w:cs="Times New Roman"/>
                <w:b/>
                <w:bCs/>
                <w:color w:val="000000"/>
                <w:sz w:val="20"/>
                <w:szCs w:val="20"/>
              </w:rPr>
            </w:pPr>
            <w:r w:rsidRPr="004B6F52">
              <w:rPr>
                <w:rFonts w:cs="Times New Roman"/>
                <w:b/>
                <w:bCs/>
                <w:color w:val="000000"/>
                <w:sz w:val="20"/>
                <w:szCs w:val="20"/>
              </w:rPr>
              <w:t>254,9</w:t>
            </w:r>
          </w:p>
        </w:tc>
        <w:tc>
          <w:tcPr>
            <w:tcW w:w="425" w:type="dxa"/>
            <w:tcBorders>
              <w:top w:val="single" w:sz="4" w:space="0" w:color="auto"/>
              <w:left w:val="single" w:sz="4" w:space="0" w:color="auto"/>
              <w:bottom w:val="single" w:sz="4" w:space="0" w:color="auto"/>
              <w:right w:val="single" w:sz="4" w:space="0" w:color="auto"/>
            </w:tcBorders>
            <w:vAlign w:val="center"/>
          </w:tcPr>
          <w:p w14:paraId="519B4E80" w14:textId="77777777" w:rsidR="004B6F52" w:rsidRPr="004B6F52" w:rsidRDefault="004B6F52" w:rsidP="00672566">
            <w:pPr>
              <w:spacing w:after="0" w:line="240" w:lineRule="auto"/>
              <w:jc w:val="center"/>
              <w:rPr>
                <w:rFonts w:cs="Times New Roman"/>
                <w:b/>
                <w:color w:val="000000"/>
                <w:sz w:val="20"/>
                <w:szCs w:val="20"/>
              </w:rPr>
            </w:pPr>
            <w:r w:rsidRPr="004B6F52">
              <w:rPr>
                <w:rFonts w:cs="Times New Roman"/>
                <w:b/>
                <w:color w:val="000000"/>
                <w:sz w:val="20"/>
                <w:szCs w:val="20"/>
              </w:rPr>
              <w:t>100</w:t>
            </w:r>
          </w:p>
        </w:tc>
      </w:tr>
    </w:tbl>
    <w:p w14:paraId="23B829AF" w14:textId="77777777" w:rsidR="004B6F52" w:rsidRPr="00A164E6" w:rsidRDefault="004B6F52" w:rsidP="004B6F52">
      <w:pPr>
        <w:pStyle w:val="BodyText"/>
        <w:ind w:firstLine="851"/>
        <w:jc w:val="both"/>
        <w:rPr>
          <w:b/>
          <w:i w:val="0"/>
          <w:color w:val="000000"/>
          <w:sz w:val="28"/>
          <w:szCs w:val="28"/>
        </w:rPr>
      </w:pPr>
    </w:p>
    <w:p w14:paraId="6B23F749" w14:textId="77777777" w:rsidR="00514EC3" w:rsidRPr="00AC5FC4" w:rsidRDefault="008A006D" w:rsidP="00514EC3">
      <w:pPr>
        <w:pStyle w:val="BodyText"/>
        <w:ind w:firstLine="851"/>
        <w:jc w:val="both"/>
        <w:rPr>
          <w:i w:val="0"/>
          <w:color w:val="000000"/>
          <w:sz w:val="28"/>
          <w:szCs w:val="28"/>
        </w:rPr>
      </w:pPr>
      <w:r>
        <w:rPr>
          <w:i w:val="0"/>
          <w:color w:val="000000"/>
          <w:sz w:val="28"/>
          <w:szCs w:val="28"/>
        </w:rPr>
        <w:t xml:space="preserve">Līdz ar to ir precizēta OIK prognoze (skat. 1. att.). Salīdzinot </w:t>
      </w:r>
      <w:r w:rsidR="00514EC3" w:rsidRPr="00AC5FC4">
        <w:rPr>
          <w:i w:val="0"/>
          <w:color w:val="000000"/>
          <w:sz w:val="28"/>
          <w:szCs w:val="28"/>
        </w:rPr>
        <w:t xml:space="preserve">ar 2015.gada prognozēm, ir mainījušies </w:t>
      </w:r>
      <w:r>
        <w:rPr>
          <w:i w:val="0"/>
          <w:color w:val="000000"/>
          <w:sz w:val="28"/>
          <w:szCs w:val="28"/>
        </w:rPr>
        <w:t xml:space="preserve">šādi </w:t>
      </w:r>
      <w:r w:rsidR="00514EC3" w:rsidRPr="00AC5FC4">
        <w:rPr>
          <w:i w:val="0"/>
          <w:color w:val="000000"/>
          <w:sz w:val="28"/>
          <w:szCs w:val="28"/>
        </w:rPr>
        <w:t xml:space="preserve">pieņēmumi: </w:t>
      </w:r>
    </w:p>
    <w:p w14:paraId="5DD2AE1E" w14:textId="77777777" w:rsidR="00514EC3" w:rsidRPr="00AC5FC4" w:rsidRDefault="00514EC3" w:rsidP="00672566">
      <w:pPr>
        <w:pStyle w:val="BodyText2"/>
        <w:spacing w:before="120" w:after="120"/>
        <w:ind w:firstLine="567"/>
        <w:rPr>
          <w:color w:val="000000"/>
          <w:sz w:val="28"/>
          <w:szCs w:val="28"/>
        </w:rPr>
      </w:pPr>
      <w:r w:rsidRPr="00AC5FC4">
        <w:rPr>
          <w:color w:val="000000"/>
          <w:sz w:val="28"/>
          <w:szCs w:val="28"/>
        </w:rPr>
        <w:t xml:space="preserve">1) </w:t>
      </w:r>
      <w:r w:rsidRPr="00AC5FC4">
        <w:rPr>
          <w:i/>
          <w:color w:val="000000"/>
          <w:sz w:val="28"/>
          <w:szCs w:val="28"/>
        </w:rPr>
        <w:t>mazāks elektroenerģijas patēriņa pieaugums</w:t>
      </w:r>
      <w:r w:rsidRPr="00AC5FC4">
        <w:rPr>
          <w:color w:val="000000"/>
          <w:sz w:val="28"/>
          <w:szCs w:val="28"/>
        </w:rPr>
        <w:t>;</w:t>
      </w:r>
    </w:p>
    <w:p w14:paraId="766EA5D0" w14:textId="77777777" w:rsidR="0048150D" w:rsidRPr="00AC5FC4" w:rsidRDefault="0048150D" w:rsidP="0048150D">
      <w:pPr>
        <w:pStyle w:val="BodyText2"/>
        <w:spacing w:after="120"/>
        <w:ind w:firstLine="567"/>
        <w:rPr>
          <w:i/>
          <w:color w:val="000000"/>
          <w:sz w:val="28"/>
          <w:szCs w:val="28"/>
        </w:rPr>
      </w:pPr>
      <w:r>
        <w:rPr>
          <w:color w:val="000000"/>
          <w:sz w:val="28"/>
          <w:szCs w:val="28"/>
        </w:rPr>
        <w:t xml:space="preserve">Izvērtējot iepriekšējo gadu elektroenerģijas patēriņa pieauguma tendenci, kā arī ņemot vērā </w:t>
      </w:r>
      <w:r w:rsidRPr="0048150D">
        <w:rPr>
          <w:color w:val="000000"/>
          <w:sz w:val="28"/>
          <w:szCs w:val="28"/>
        </w:rPr>
        <w:t>Pārvades sistēmas operatora</w:t>
      </w:r>
      <w:r>
        <w:rPr>
          <w:color w:val="000000"/>
          <w:sz w:val="28"/>
          <w:szCs w:val="28"/>
        </w:rPr>
        <w:t xml:space="preserve"> 2015. gada </w:t>
      </w:r>
      <w:r w:rsidRPr="0048150D">
        <w:rPr>
          <w:color w:val="000000"/>
          <w:sz w:val="28"/>
          <w:szCs w:val="28"/>
        </w:rPr>
        <w:t>ikgadēj</w:t>
      </w:r>
      <w:r>
        <w:rPr>
          <w:color w:val="000000"/>
          <w:sz w:val="28"/>
          <w:szCs w:val="28"/>
        </w:rPr>
        <w:t>ā</w:t>
      </w:r>
      <w:r w:rsidRPr="0048150D">
        <w:rPr>
          <w:color w:val="000000"/>
          <w:sz w:val="28"/>
          <w:szCs w:val="28"/>
        </w:rPr>
        <w:t xml:space="preserve"> novērtējuma</w:t>
      </w:r>
      <w:r>
        <w:rPr>
          <w:color w:val="000000"/>
          <w:sz w:val="28"/>
          <w:szCs w:val="28"/>
        </w:rPr>
        <w:t xml:space="preserve"> </w:t>
      </w:r>
      <w:r w:rsidRPr="0048150D">
        <w:rPr>
          <w:color w:val="000000"/>
          <w:sz w:val="28"/>
          <w:szCs w:val="28"/>
        </w:rPr>
        <w:t>ziņojum</w:t>
      </w:r>
      <w:r>
        <w:rPr>
          <w:color w:val="000000"/>
          <w:sz w:val="28"/>
          <w:szCs w:val="28"/>
        </w:rPr>
        <w:t>a elektroenerģijas patēriņa prognožu konservatīvo scenāriju, tika atjaunotas e</w:t>
      </w:r>
      <w:r w:rsidRPr="0048150D">
        <w:rPr>
          <w:color w:val="000000"/>
          <w:sz w:val="28"/>
          <w:szCs w:val="28"/>
        </w:rPr>
        <w:t>lektroenerģijas patēriņa prognozes</w:t>
      </w:r>
      <w:r w:rsidR="008177C7">
        <w:rPr>
          <w:color w:val="000000"/>
          <w:sz w:val="28"/>
          <w:szCs w:val="28"/>
        </w:rPr>
        <w:t>,</w:t>
      </w:r>
      <w:r>
        <w:rPr>
          <w:color w:val="000000"/>
          <w:sz w:val="28"/>
          <w:szCs w:val="28"/>
        </w:rPr>
        <w:t xml:space="preserve"> pieņemot, ka ikgadējais elektroenerģijas patēriņa pieaugums būs aptuveni 0,6 % gadā </w:t>
      </w:r>
      <w:r w:rsidRPr="00AC5FC4">
        <w:rPr>
          <w:color w:val="000000"/>
          <w:sz w:val="28"/>
          <w:szCs w:val="28"/>
        </w:rPr>
        <w:t>(skat. </w:t>
      </w:r>
      <w:r>
        <w:rPr>
          <w:color w:val="000000"/>
          <w:sz w:val="28"/>
          <w:szCs w:val="28"/>
        </w:rPr>
        <w:t>2</w:t>
      </w:r>
      <w:r w:rsidRPr="00AC5FC4">
        <w:rPr>
          <w:color w:val="000000"/>
          <w:sz w:val="28"/>
          <w:szCs w:val="28"/>
        </w:rPr>
        <w:t>.tab.)</w:t>
      </w:r>
      <w:r>
        <w:rPr>
          <w:color w:val="000000"/>
          <w:sz w:val="28"/>
          <w:szCs w:val="28"/>
        </w:rPr>
        <w:t>.</w:t>
      </w:r>
    </w:p>
    <w:p w14:paraId="0DDC1281" w14:textId="77777777" w:rsidR="00514EC3" w:rsidRDefault="00514EC3" w:rsidP="00514EC3">
      <w:pPr>
        <w:pStyle w:val="BodyText2"/>
        <w:spacing w:after="120"/>
        <w:ind w:firstLine="567"/>
        <w:rPr>
          <w:color w:val="000000"/>
          <w:sz w:val="28"/>
          <w:szCs w:val="28"/>
        </w:rPr>
      </w:pPr>
      <w:r w:rsidRPr="00AC5FC4">
        <w:rPr>
          <w:sz w:val="28"/>
          <w:szCs w:val="28"/>
        </w:rPr>
        <w:t>Samazinoties</w:t>
      </w:r>
      <w:r w:rsidRPr="00AC5FC4">
        <w:rPr>
          <w:color w:val="000000"/>
          <w:sz w:val="28"/>
          <w:szCs w:val="28"/>
        </w:rPr>
        <w:t xml:space="preserve"> elektroenerģijas </w:t>
      </w:r>
      <w:proofErr w:type="spellStart"/>
      <w:r w:rsidRPr="00AC5FC4">
        <w:rPr>
          <w:color w:val="000000"/>
          <w:sz w:val="28"/>
          <w:szCs w:val="28"/>
        </w:rPr>
        <w:t>galapatēriņam</w:t>
      </w:r>
      <w:proofErr w:type="spellEnd"/>
      <w:r w:rsidRPr="00AC5FC4">
        <w:rPr>
          <w:color w:val="000000"/>
          <w:sz w:val="28"/>
          <w:szCs w:val="28"/>
        </w:rPr>
        <w:t>, samazinās arī elektroenerģijas apjoms, uz kuru izmaksas tiek dalītas (OIK palielinās), un otrādi – palielinoties gala patēriņam, samazinās OIK.</w:t>
      </w:r>
    </w:p>
    <w:p w14:paraId="4EBE8EBE" w14:textId="77777777" w:rsidR="00514EC3" w:rsidRPr="00AC5FC4" w:rsidRDefault="00594A21" w:rsidP="00514EC3">
      <w:pPr>
        <w:pStyle w:val="Caption"/>
        <w:keepNext/>
        <w:jc w:val="right"/>
        <w:rPr>
          <w:rFonts w:ascii="Times New Roman" w:hAnsi="Times New Roman"/>
          <w:sz w:val="24"/>
          <w:szCs w:val="24"/>
        </w:rPr>
      </w:pPr>
      <w:r>
        <w:rPr>
          <w:rFonts w:ascii="Times New Roman" w:hAnsi="Times New Roman"/>
          <w:sz w:val="24"/>
          <w:szCs w:val="24"/>
        </w:rPr>
        <w:t>2</w:t>
      </w:r>
      <w:r w:rsidR="00514EC3" w:rsidRPr="00AC5FC4">
        <w:rPr>
          <w:rFonts w:ascii="Times New Roman" w:hAnsi="Times New Roman"/>
          <w:sz w:val="24"/>
          <w:szCs w:val="24"/>
        </w:rPr>
        <w:t>. tabula</w:t>
      </w:r>
    </w:p>
    <w:p w14:paraId="7F76EB7B" w14:textId="77777777" w:rsidR="00514EC3" w:rsidRPr="00AC5FC4" w:rsidRDefault="00514EC3" w:rsidP="00514EC3">
      <w:pPr>
        <w:pStyle w:val="Caption"/>
        <w:keepNext/>
        <w:jc w:val="center"/>
        <w:rPr>
          <w:rFonts w:ascii="Times New Roman" w:hAnsi="Times New Roman"/>
          <w:sz w:val="24"/>
          <w:szCs w:val="24"/>
        </w:rPr>
      </w:pPr>
      <w:r w:rsidRPr="00AC5FC4">
        <w:rPr>
          <w:rFonts w:ascii="Times New Roman" w:hAnsi="Times New Roman"/>
          <w:sz w:val="24"/>
          <w:szCs w:val="24"/>
        </w:rPr>
        <w:t>Elektroenerģijas patēriņa prognozes</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47"/>
        <w:gridCol w:w="992"/>
        <w:gridCol w:w="992"/>
        <w:gridCol w:w="992"/>
        <w:gridCol w:w="992"/>
        <w:gridCol w:w="993"/>
        <w:gridCol w:w="993"/>
      </w:tblGrid>
      <w:tr w:rsidR="00496AD2" w:rsidRPr="00AC5FC4" w14:paraId="773CEA6F" w14:textId="77777777" w:rsidTr="00496AD2">
        <w:trPr>
          <w:trHeight w:val="333"/>
          <w:jc w:val="center"/>
        </w:trPr>
        <w:tc>
          <w:tcPr>
            <w:tcW w:w="2547" w:type="dxa"/>
            <w:shd w:val="clear" w:color="auto" w:fill="auto"/>
            <w:hideMark/>
          </w:tcPr>
          <w:p w14:paraId="1034D36F" w14:textId="77777777" w:rsidR="00496AD2" w:rsidRPr="00AC5FC4" w:rsidRDefault="00496AD2" w:rsidP="00890BA4">
            <w:pPr>
              <w:spacing w:after="0" w:line="240" w:lineRule="auto"/>
              <w:jc w:val="center"/>
              <w:rPr>
                <w:rFonts w:eastAsia="Times New Roman" w:cs="Times New Roman"/>
                <w:color w:val="000000"/>
                <w:szCs w:val="28"/>
                <w:lang w:eastAsia="lv-LV"/>
              </w:rPr>
            </w:pPr>
          </w:p>
        </w:tc>
        <w:tc>
          <w:tcPr>
            <w:tcW w:w="992" w:type="dxa"/>
            <w:shd w:val="clear" w:color="auto" w:fill="auto"/>
            <w:vAlign w:val="center"/>
            <w:hideMark/>
          </w:tcPr>
          <w:p w14:paraId="55A005A4" w14:textId="77777777" w:rsidR="00496AD2" w:rsidRPr="00AC5FC4" w:rsidRDefault="00496AD2" w:rsidP="00890BA4">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2015</w:t>
            </w:r>
          </w:p>
        </w:tc>
        <w:tc>
          <w:tcPr>
            <w:tcW w:w="992" w:type="dxa"/>
            <w:shd w:val="clear" w:color="auto" w:fill="auto"/>
            <w:vAlign w:val="center"/>
            <w:hideMark/>
          </w:tcPr>
          <w:p w14:paraId="770546E2" w14:textId="77777777" w:rsidR="00496AD2" w:rsidRPr="00AC5FC4" w:rsidRDefault="00496AD2" w:rsidP="00890BA4">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2016</w:t>
            </w:r>
          </w:p>
        </w:tc>
        <w:tc>
          <w:tcPr>
            <w:tcW w:w="992" w:type="dxa"/>
            <w:shd w:val="clear" w:color="auto" w:fill="auto"/>
            <w:vAlign w:val="center"/>
            <w:hideMark/>
          </w:tcPr>
          <w:p w14:paraId="207D31EE" w14:textId="77777777" w:rsidR="00496AD2" w:rsidRPr="00AC5FC4" w:rsidRDefault="00496AD2" w:rsidP="00890BA4">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2017</w:t>
            </w:r>
          </w:p>
        </w:tc>
        <w:tc>
          <w:tcPr>
            <w:tcW w:w="992" w:type="dxa"/>
            <w:shd w:val="clear" w:color="auto" w:fill="auto"/>
            <w:vAlign w:val="center"/>
            <w:hideMark/>
          </w:tcPr>
          <w:p w14:paraId="7DF14B9A" w14:textId="77777777" w:rsidR="00496AD2" w:rsidRPr="00AC5FC4" w:rsidRDefault="00496AD2" w:rsidP="00890BA4">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2018</w:t>
            </w:r>
          </w:p>
        </w:tc>
        <w:tc>
          <w:tcPr>
            <w:tcW w:w="993" w:type="dxa"/>
            <w:tcBorders>
              <w:bottom w:val="single" w:sz="4" w:space="0" w:color="auto"/>
            </w:tcBorders>
            <w:vAlign w:val="center"/>
          </w:tcPr>
          <w:p w14:paraId="2CEE527A" w14:textId="77777777" w:rsidR="00496AD2" w:rsidRPr="00AC5FC4" w:rsidRDefault="00496AD2" w:rsidP="00890BA4">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2019</w:t>
            </w:r>
          </w:p>
        </w:tc>
        <w:tc>
          <w:tcPr>
            <w:tcW w:w="993" w:type="dxa"/>
            <w:tcBorders>
              <w:bottom w:val="single" w:sz="4" w:space="0" w:color="auto"/>
            </w:tcBorders>
          </w:tcPr>
          <w:p w14:paraId="4DDECBCA" w14:textId="77777777" w:rsidR="00496AD2" w:rsidRPr="00AC5FC4" w:rsidRDefault="00496AD2" w:rsidP="00890BA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2020</w:t>
            </w:r>
          </w:p>
        </w:tc>
      </w:tr>
      <w:tr w:rsidR="00496AD2" w:rsidRPr="00AC5FC4" w14:paraId="36450960" w14:textId="77777777" w:rsidTr="00496AD2">
        <w:trPr>
          <w:trHeight w:val="268"/>
          <w:jc w:val="center"/>
        </w:trPr>
        <w:tc>
          <w:tcPr>
            <w:tcW w:w="2547" w:type="dxa"/>
            <w:shd w:val="clear" w:color="auto" w:fill="auto"/>
            <w:vAlign w:val="center"/>
            <w:hideMark/>
          </w:tcPr>
          <w:p w14:paraId="76FA8D4C" w14:textId="77777777" w:rsidR="00496AD2" w:rsidRPr="00AC5FC4" w:rsidRDefault="00496AD2" w:rsidP="00514EC3">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 xml:space="preserve">2015.g. prognoze, </w:t>
            </w:r>
            <w:proofErr w:type="spellStart"/>
            <w:r w:rsidRPr="00AC5FC4">
              <w:rPr>
                <w:rFonts w:eastAsia="Times New Roman" w:cs="Times New Roman"/>
                <w:color w:val="000000"/>
                <w:szCs w:val="28"/>
                <w:lang w:eastAsia="lv-LV"/>
              </w:rPr>
              <w:t>GWh</w:t>
            </w:r>
            <w:proofErr w:type="spellEnd"/>
          </w:p>
        </w:tc>
        <w:tc>
          <w:tcPr>
            <w:tcW w:w="992" w:type="dxa"/>
            <w:shd w:val="clear" w:color="auto" w:fill="auto"/>
            <w:vAlign w:val="center"/>
            <w:hideMark/>
          </w:tcPr>
          <w:p w14:paraId="050B88E2" w14:textId="77777777" w:rsidR="00496AD2" w:rsidRPr="004E7A07" w:rsidRDefault="00496AD2" w:rsidP="00491FF1">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6705</w:t>
            </w:r>
          </w:p>
        </w:tc>
        <w:tc>
          <w:tcPr>
            <w:tcW w:w="992" w:type="dxa"/>
            <w:shd w:val="clear" w:color="auto" w:fill="auto"/>
            <w:vAlign w:val="center"/>
            <w:hideMark/>
          </w:tcPr>
          <w:p w14:paraId="268F0BB6" w14:textId="77777777" w:rsidR="00496AD2" w:rsidRPr="004E7A07" w:rsidRDefault="00496AD2" w:rsidP="00491FF1">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6798</w:t>
            </w:r>
          </w:p>
        </w:tc>
        <w:tc>
          <w:tcPr>
            <w:tcW w:w="992" w:type="dxa"/>
            <w:shd w:val="clear" w:color="auto" w:fill="auto"/>
            <w:vAlign w:val="center"/>
            <w:hideMark/>
          </w:tcPr>
          <w:p w14:paraId="58C11524" w14:textId="77777777" w:rsidR="00496AD2" w:rsidRPr="004E7A07" w:rsidRDefault="00496AD2" w:rsidP="00491FF1">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6881</w:t>
            </w:r>
          </w:p>
        </w:tc>
        <w:tc>
          <w:tcPr>
            <w:tcW w:w="992" w:type="dxa"/>
            <w:shd w:val="clear" w:color="auto" w:fill="auto"/>
            <w:vAlign w:val="center"/>
            <w:hideMark/>
          </w:tcPr>
          <w:p w14:paraId="0254DF9F" w14:textId="77777777" w:rsidR="00496AD2" w:rsidRPr="004E7A07" w:rsidRDefault="00496AD2" w:rsidP="00491FF1">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6965</w:t>
            </w:r>
          </w:p>
        </w:tc>
        <w:tc>
          <w:tcPr>
            <w:tcW w:w="993" w:type="dxa"/>
            <w:shd w:val="clear" w:color="auto" w:fill="auto"/>
            <w:vAlign w:val="center"/>
          </w:tcPr>
          <w:p w14:paraId="0D138C90" w14:textId="77777777" w:rsidR="00496AD2" w:rsidRPr="004E7A07" w:rsidRDefault="00496AD2" w:rsidP="00514EC3">
            <w:pPr>
              <w:spacing w:after="0" w:line="240" w:lineRule="auto"/>
              <w:jc w:val="center"/>
              <w:rPr>
                <w:rFonts w:eastAsia="Times New Roman" w:cs="Times New Roman"/>
                <w:i/>
                <w:color w:val="000000"/>
                <w:szCs w:val="28"/>
                <w:lang w:eastAsia="lv-LV"/>
              </w:rPr>
            </w:pPr>
            <w:r w:rsidRPr="004E7A07">
              <w:rPr>
                <w:rFonts w:eastAsia="Times New Roman" w:cs="Times New Roman"/>
                <w:i/>
                <w:color w:val="000000"/>
                <w:szCs w:val="28"/>
                <w:lang w:eastAsia="lv-LV"/>
              </w:rPr>
              <w:t>NA</w:t>
            </w:r>
          </w:p>
        </w:tc>
        <w:tc>
          <w:tcPr>
            <w:tcW w:w="993" w:type="dxa"/>
          </w:tcPr>
          <w:p w14:paraId="420433D3" w14:textId="77777777" w:rsidR="00496AD2" w:rsidRPr="004E7A07" w:rsidRDefault="00496AD2" w:rsidP="00514EC3">
            <w:pPr>
              <w:spacing w:after="0" w:line="240" w:lineRule="auto"/>
              <w:jc w:val="center"/>
              <w:rPr>
                <w:rFonts w:eastAsia="Times New Roman" w:cs="Times New Roman"/>
                <w:i/>
                <w:color w:val="000000"/>
                <w:szCs w:val="28"/>
                <w:lang w:eastAsia="lv-LV"/>
              </w:rPr>
            </w:pPr>
            <w:r w:rsidRPr="004E7A07">
              <w:rPr>
                <w:rFonts w:eastAsia="Times New Roman" w:cs="Times New Roman"/>
                <w:i/>
                <w:color w:val="000000"/>
                <w:szCs w:val="28"/>
                <w:lang w:eastAsia="lv-LV"/>
              </w:rPr>
              <w:t>NA</w:t>
            </w:r>
          </w:p>
        </w:tc>
      </w:tr>
      <w:tr w:rsidR="00496AD2" w:rsidRPr="00AC5FC4" w14:paraId="5C87A247" w14:textId="77777777" w:rsidTr="00496AD2">
        <w:trPr>
          <w:trHeight w:val="271"/>
          <w:jc w:val="center"/>
        </w:trPr>
        <w:tc>
          <w:tcPr>
            <w:tcW w:w="2547" w:type="dxa"/>
            <w:shd w:val="clear" w:color="auto" w:fill="auto"/>
            <w:vAlign w:val="center"/>
          </w:tcPr>
          <w:p w14:paraId="1185695E" w14:textId="77777777" w:rsidR="00496AD2" w:rsidRPr="00AC5FC4" w:rsidRDefault="00496AD2" w:rsidP="00890BA4">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 xml:space="preserve">2016.g prognoze, </w:t>
            </w:r>
            <w:proofErr w:type="spellStart"/>
            <w:r w:rsidRPr="00AC5FC4">
              <w:rPr>
                <w:rFonts w:eastAsia="Times New Roman" w:cs="Times New Roman"/>
                <w:color w:val="000000"/>
                <w:szCs w:val="28"/>
                <w:lang w:eastAsia="lv-LV"/>
              </w:rPr>
              <w:t>GWh</w:t>
            </w:r>
            <w:proofErr w:type="spellEnd"/>
          </w:p>
        </w:tc>
        <w:tc>
          <w:tcPr>
            <w:tcW w:w="992" w:type="dxa"/>
            <w:shd w:val="clear" w:color="auto" w:fill="auto"/>
            <w:vAlign w:val="center"/>
          </w:tcPr>
          <w:p w14:paraId="4627E52F" w14:textId="77777777" w:rsidR="00496AD2" w:rsidRPr="004E7A07" w:rsidRDefault="00496AD2" w:rsidP="00491FF1">
            <w:pPr>
              <w:spacing w:after="0" w:line="240" w:lineRule="auto"/>
              <w:jc w:val="center"/>
              <w:rPr>
                <w:rFonts w:eastAsia="Times New Roman" w:cs="Times New Roman"/>
                <w:i/>
                <w:color w:val="000000"/>
                <w:szCs w:val="28"/>
                <w:lang w:eastAsia="lv-LV"/>
              </w:rPr>
            </w:pPr>
            <w:r w:rsidRPr="004E7A07">
              <w:rPr>
                <w:rFonts w:eastAsia="Times New Roman" w:cs="Times New Roman"/>
                <w:color w:val="000000"/>
                <w:szCs w:val="28"/>
                <w:lang w:eastAsia="lv-LV"/>
              </w:rPr>
              <w:t>6667</w:t>
            </w:r>
            <w:r w:rsidRPr="004E7A07">
              <w:rPr>
                <w:rFonts w:eastAsia="Times New Roman" w:cs="Times New Roman"/>
                <w:color w:val="000000"/>
                <w:sz w:val="20"/>
                <w:szCs w:val="28"/>
                <w:lang w:eastAsia="lv-LV"/>
              </w:rPr>
              <w:t>*</w:t>
            </w:r>
          </w:p>
        </w:tc>
        <w:tc>
          <w:tcPr>
            <w:tcW w:w="992" w:type="dxa"/>
            <w:shd w:val="clear" w:color="auto" w:fill="auto"/>
            <w:vAlign w:val="center"/>
          </w:tcPr>
          <w:p w14:paraId="03901219" w14:textId="77777777" w:rsidR="00496AD2" w:rsidRPr="004E7A07" w:rsidRDefault="0048150D" w:rsidP="0048150D">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67</w:t>
            </w:r>
            <w:r>
              <w:rPr>
                <w:rFonts w:eastAsia="Times New Roman" w:cs="Times New Roman"/>
                <w:color w:val="000000"/>
                <w:szCs w:val="28"/>
                <w:lang w:eastAsia="lv-LV"/>
              </w:rPr>
              <w:t>07</w:t>
            </w:r>
          </w:p>
        </w:tc>
        <w:tc>
          <w:tcPr>
            <w:tcW w:w="992" w:type="dxa"/>
            <w:shd w:val="clear" w:color="auto" w:fill="auto"/>
            <w:vAlign w:val="center"/>
          </w:tcPr>
          <w:p w14:paraId="4912EA46" w14:textId="77777777" w:rsidR="00496AD2" w:rsidRPr="004E7A07" w:rsidRDefault="0048150D" w:rsidP="0048150D">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w:t>
            </w:r>
            <w:r>
              <w:rPr>
                <w:rFonts w:eastAsia="Times New Roman" w:cs="Times New Roman"/>
                <w:color w:val="000000"/>
                <w:szCs w:val="28"/>
                <w:lang w:eastAsia="lv-LV"/>
              </w:rPr>
              <w:t>747</w:t>
            </w:r>
          </w:p>
        </w:tc>
        <w:tc>
          <w:tcPr>
            <w:tcW w:w="992" w:type="dxa"/>
            <w:shd w:val="clear" w:color="auto" w:fill="auto"/>
            <w:vAlign w:val="center"/>
          </w:tcPr>
          <w:p w14:paraId="75B26B2C" w14:textId="77777777" w:rsidR="00496AD2" w:rsidRPr="004E7A07" w:rsidRDefault="0048150D" w:rsidP="0048150D">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w:t>
            </w:r>
            <w:r>
              <w:rPr>
                <w:rFonts w:eastAsia="Times New Roman" w:cs="Times New Roman"/>
                <w:color w:val="000000"/>
                <w:szCs w:val="28"/>
                <w:lang w:eastAsia="lv-LV"/>
              </w:rPr>
              <w:t>788</w:t>
            </w:r>
          </w:p>
        </w:tc>
        <w:tc>
          <w:tcPr>
            <w:tcW w:w="993" w:type="dxa"/>
            <w:shd w:val="clear" w:color="auto" w:fill="auto"/>
            <w:vAlign w:val="center"/>
          </w:tcPr>
          <w:p w14:paraId="58C67ED4" w14:textId="77777777" w:rsidR="00496AD2" w:rsidRPr="004E7A07" w:rsidRDefault="0048150D" w:rsidP="0048150D">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w:t>
            </w:r>
            <w:r>
              <w:rPr>
                <w:rFonts w:eastAsia="Times New Roman" w:cs="Times New Roman"/>
                <w:color w:val="000000"/>
                <w:szCs w:val="28"/>
                <w:lang w:eastAsia="lv-LV"/>
              </w:rPr>
              <w:t>828</w:t>
            </w:r>
          </w:p>
        </w:tc>
        <w:tc>
          <w:tcPr>
            <w:tcW w:w="993" w:type="dxa"/>
          </w:tcPr>
          <w:p w14:paraId="51FC70FE" w14:textId="77777777" w:rsidR="00496AD2" w:rsidRPr="004E7A07" w:rsidRDefault="0048150D" w:rsidP="00491FF1">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6869</w:t>
            </w:r>
          </w:p>
        </w:tc>
      </w:tr>
    </w:tbl>
    <w:p w14:paraId="5A696E1C" w14:textId="77777777" w:rsidR="00514EC3" w:rsidRDefault="00491FF1" w:rsidP="00514EC3">
      <w:pPr>
        <w:pStyle w:val="Caption"/>
        <w:keepNext/>
        <w:jc w:val="left"/>
        <w:rPr>
          <w:rFonts w:ascii="Times New Roman" w:hAnsi="Times New Roman"/>
          <w:b w:val="0"/>
          <w:sz w:val="20"/>
          <w:szCs w:val="24"/>
        </w:rPr>
      </w:pPr>
      <w:r w:rsidRPr="00AC5FC4">
        <w:rPr>
          <w:rFonts w:ascii="Times New Roman" w:hAnsi="Times New Roman"/>
          <w:b w:val="0"/>
          <w:bCs w:val="0"/>
          <w:sz w:val="22"/>
          <w:szCs w:val="24"/>
        </w:rPr>
        <w:t xml:space="preserve">     </w:t>
      </w:r>
      <w:r w:rsidRPr="00AC5FC4">
        <w:rPr>
          <w:rFonts w:ascii="Times New Roman" w:hAnsi="Times New Roman"/>
          <w:b w:val="0"/>
          <w:bCs w:val="0"/>
          <w:sz w:val="20"/>
          <w:szCs w:val="24"/>
        </w:rPr>
        <w:t xml:space="preserve">  </w:t>
      </w:r>
      <w:r w:rsidR="00514EC3" w:rsidRPr="00AC5FC4">
        <w:rPr>
          <w:rFonts w:ascii="Times New Roman" w:hAnsi="Times New Roman"/>
          <w:b w:val="0"/>
          <w:bCs w:val="0"/>
          <w:sz w:val="20"/>
          <w:szCs w:val="24"/>
        </w:rPr>
        <w:t>*</w:t>
      </w:r>
      <w:r w:rsidR="00514EC3" w:rsidRPr="00AC5FC4">
        <w:rPr>
          <w:rFonts w:ascii="Times New Roman" w:hAnsi="Times New Roman"/>
          <w:b w:val="0"/>
          <w:sz w:val="20"/>
          <w:szCs w:val="24"/>
        </w:rPr>
        <w:t xml:space="preserve"> faktiskā vērtība</w:t>
      </w:r>
    </w:p>
    <w:p w14:paraId="19B20CBA" w14:textId="77777777" w:rsidR="00514EC3" w:rsidRDefault="00514EC3" w:rsidP="00244A2C">
      <w:pPr>
        <w:pStyle w:val="BodyText2"/>
        <w:spacing w:before="240" w:after="120"/>
        <w:ind w:firstLine="567"/>
        <w:rPr>
          <w:i/>
          <w:color w:val="000000"/>
          <w:sz w:val="28"/>
          <w:szCs w:val="28"/>
        </w:rPr>
      </w:pPr>
      <w:r w:rsidRPr="00611BA4">
        <w:rPr>
          <w:color w:val="000000"/>
          <w:sz w:val="28"/>
          <w:szCs w:val="28"/>
        </w:rPr>
        <w:t>2)</w:t>
      </w:r>
      <w:r>
        <w:rPr>
          <w:i/>
          <w:color w:val="000000"/>
          <w:sz w:val="28"/>
          <w:szCs w:val="28"/>
        </w:rPr>
        <w:t xml:space="preserve"> zemāka elektroenerģijas tirgus cenas </w:t>
      </w:r>
      <w:r w:rsidRPr="00285983">
        <w:rPr>
          <w:color w:val="000000"/>
          <w:sz w:val="28"/>
          <w:szCs w:val="28"/>
        </w:rPr>
        <w:t xml:space="preserve">(skat. </w:t>
      </w:r>
      <w:r w:rsidR="00594A21">
        <w:rPr>
          <w:color w:val="000000"/>
          <w:sz w:val="28"/>
          <w:szCs w:val="28"/>
        </w:rPr>
        <w:t>3</w:t>
      </w:r>
      <w:r w:rsidRPr="00285983">
        <w:rPr>
          <w:color w:val="000000"/>
          <w:sz w:val="28"/>
          <w:szCs w:val="28"/>
        </w:rPr>
        <w:t>.tab.);</w:t>
      </w:r>
    </w:p>
    <w:p w14:paraId="5E9F0C44" w14:textId="77777777" w:rsidR="00514EC3" w:rsidRDefault="00514EC3" w:rsidP="00514EC3">
      <w:pPr>
        <w:pStyle w:val="BodyText2"/>
        <w:spacing w:after="120"/>
        <w:ind w:firstLine="567"/>
        <w:rPr>
          <w:sz w:val="28"/>
          <w:szCs w:val="28"/>
        </w:rPr>
      </w:pPr>
      <w:r w:rsidRPr="00D67152">
        <w:rPr>
          <w:sz w:val="28"/>
          <w:szCs w:val="28"/>
        </w:rPr>
        <w:t>Elekt</w:t>
      </w:r>
      <w:r>
        <w:rPr>
          <w:sz w:val="28"/>
          <w:szCs w:val="28"/>
        </w:rPr>
        <w:t>roenerģijas</w:t>
      </w:r>
      <w:r w:rsidRPr="00D67152">
        <w:rPr>
          <w:sz w:val="28"/>
          <w:szCs w:val="28"/>
        </w:rPr>
        <w:t xml:space="preserve"> tirgus cenas samazināšanās reģionā </w:t>
      </w:r>
      <w:r w:rsidRPr="00681F2E">
        <w:rPr>
          <w:sz w:val="28"/>
          <w:szCs w:val="28"/>
        </w:rPr>
        <w:t>salīdzinājumā ar 2015.gad</w:t>
      </w:r>
      <w:r w:rsidR="00F50A47">
        <w:rPr>
          <w:sz w:val="28"/>
          <w:szCs w:val="28"/>
        </w:rPr>
        <w:t>a prognozēm</w:t>
      </w:r>
      <w:r w:rsidRPr="00681F2E">
        <w:rPr>
          <w:sz w:val="28"/>
          <w:szCs w:val="28"/>
        </w:rPr>
        <w:t>, kā rezultātā iepirktās elektroenerģijas</w:t>
      </w:r>
      <w:r w:rsidRPr="00D67152">
        <w:rPr>
          <w:sz w:val="28"/>
          <w:szCs w:val="28"/>
        </w:rPr>
        <w:t xml:space="preserve"> tirgus vērtība kļūst zemāka, bet </w:t>
      </w:r>
      <w:r>
        <w:rPr>
          <w:sz w:val="28"/>
          <w:szCs w:val="28"/>
        </w:rPr>
        <w:t>atbalsta apjoms</w:t>
      </w:r>
      <w:r w:rsidRPr="00D67152">
        <w:rPr>
          <w:sz w:val="28"/>
          <w:szCs w:val="28"/>
        </w:rPr>
        <w:t xml:space="preserve"> attiecīgi lielāks.</w:t>
      </w:r>
    </w:p>
    <w:p w14:paraId="16A67E99" w14:textId="77777777" w:rsidR="00514EC3" w:rsidRPr="009E280D" w:rsidRDefault="00594A21" w:rsidP="00514EC3">
      <w:pPr>
        <w:pStyle w:val="Caption"/>
        <w:keepNext/>
        <w:jc w:val="right"/>
        <w:rPr>
          <w:rFonts w:ascii="Times New Roman" w:hAnsi="Times New Roman"/>
          <w:sz w:val="24"/>
          <w:szCs w:val="24"/>
        </w:rPr>
      </w:pPr>
      <w:r>
        <w:rPr>
          <w:rFonts w:ascii="Times New Roman" w:hAnsi="Times New Roman"/>
          <w:sz w:val="24"/>
          <w:szCs w:val="24"/>
        </w:rPr>
        <w:t>3</w:t>
      </w:r>
      <w:r w:rsidR="00514EC3">
        <w:rPr>
          <w:rFonts w:ascii="Times New Roman" w:hAnsi="Times New Roman"/>
          <w:sz w:val="24"/>
          <w:szCs w:val="24"/>
        </w:rPr>
        <w:t>. t</w:t>
      </w:r>
      <w:r w:rsidR="00514EC3" w:rsidRPr="009E280D">
        <w:rPr>
          <w:rFonts w:ascii="Times New Roman" w:hAnsi="Times New Roman"/>
          <w:sz w:val="24"/>
          <w:szCs w:val="24"/>
        </w:rPr>
        <w:t>abula</w:t>
      </w:r>
    </w:p>
    <w:p w14:paraId="0C536AA8" w14:textId="77777777" w:rsidR="00514EC3" w:rsidRDefault="00514EC3" w:rsidP="00514EC3">
      <w:pPr>
        <w:pStyle w:val="Caption"/>
        <w:keepNext/>
        <w:jc w:val="center"/>
        <w:rPr>
          <w:rFonts w:ascii="Times New Roman" w:hAnsi="Times New Roman"/>
          <w:sz w:val="24"/>
          <w:szCs w:val="24"/>
        </w:rPr>
      </w:pPr>
      <w:r>
        <w:rPr>
          <w:rFonts w:ascii="Times New Roman" w:hAnsi="Times New Roman"/>
          <w:sz w:val="24"/>
          <w:szCs w:val="24"/>
        </w:rPr>
        <w:t>Elektroenerģijas tirgus cenas prognoze</w:t>
      </w:r>
      <w:r w:rsidR="00491FF1">
        <w:rPr>
          <w:rFonts w:ascii="Times New Roman" w:hAnsi="Times New Roman"/>
          <w:sz w:val="24"/>
          <w:szCs w:val="24"/>
        </w:rPr>
        <w:t>s</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256"/>
        <w:gridCol w:w="871"/>
        <w:gridCol w:w="872"/>
        <w:gridCol w:w="872"/>
        <w:gridCol w:w="872"/>
        <w:gridCol w:w="872"/>
        <w:gridCol w:w="872"/>
      </w:tblGrid>
      <w:tr w:rsidR="00496AD2" w:rsidRPr="00611BA4" w14:paraId="1668BDA2" w14:textId="77777777" w:rsidTr="00496AD2">
        <w:trPr>
          <w:trHeight w:val="333"/>
          <w:jc w:val="center"/>
        </w:trPr>
        <w:tc>
          <w:tcPr>
            <w:tcW w:w="3256" w:type="dxa"/>
            <w:shd w:val="clear" w:color="auto" w:fill="auto"/>
            <w:hideMark/>
          </w:tcPr>
          <w:p w14:paraId="772F75E9" w14:textId="77777777" w:rsidR="00496AD2" w:rsidRPr="00611BA4" w:rsidRDefault="00496AD2" w:rsidP="00890BA4">
            <w:pPr>
              <w:spacing w:after="0" w:line="240" w:lineRule="auto"/>
              <w:jc w:val="center"/>
              <w:rPr>
                <w:rFonts w:eastAsia="Times New Roman" w:cs="Times New Roman"/>
                <w:color w:val="000000"/>
                <w:szCs w:val="28"/>
                <w:lang w:eastAsia="lv-LV"/>
              </w:rPr>
            </w:pPr>
          </w:p>
        </w:tc>
        <w:tc>
          <w:tcPr>
            <w:tcW w:w="871" w:type="dxa"/>
            <w:shd w:val="clear" w:color="auto" w:fill="auto"/>
            <w:vAlign w:val="center"/>
            <w:hideMark/>
          </w:tcPr>
          <w:p w14:paraId="72CB6566" w14:textId="77777777" w:rsidR="00496AD2" w:rsidRPr="00611BA4" w:rsidRDefault="00496AD2"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2015</w:t>
            </w:r>
          </w:p>
        </w:tc>
        <w:tc>
          <w:tcPr>
            <w:tcW w:w="872" w:type="dxa"/>
            <w:shd w:val="clear" w:color="auto" w:fill="auto"/>
            <w:vAlign w:val="center"/>
            <w:hideMark/>
          </w:tcPr>
          <w:p w14:paraId="7FFE00B2" w14:textId="77777777" w:rsidR="00496AD2" w:rsidRPr="00611BA4" w:rsidRDefault="00496AD2"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2016</w:t>
            </w:r>
          </w:p>
        </w:tc>
        <w:tc>
          <w:tcPr>
            <w:tcW w:w="872" w:type="dxa"/>
            <w:shd w:val="clear" w:color="auto" w:fill="auto"/>
            <w:vAlign w:val="center"/>
            <w:hideMark/>
          </w:tcPr>
          <w:p w14:paraId="4E6DBC9A" w14:textId="77777777" w:rsidR="00496AD2" w:rsidRPr="00611BA4" w:rsidRDefault="00496AD2"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2017</w:t>
            </w:r>
          </w:p>
        </w:tc>
        <w:tc>
          <w:tcPr>
            <w:tcW w:w="872" w:type="dxa"/>
            <w:shd w:val="clear" w:color="auto" w:fill="auto"/>
            <w:vAlign w:val="center"/>
            <w:hideMark/>
          </w:tcPr>
          <w:p w14:paraId="62E9373C" w14:textId="77777777" w:rsidR="00496AD2" w:rsidRPr="00611BA4" w:rsidRDefault="00496AD2"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2018</w:t>
            </w:r>
          </w:p>
        </w:tc>
        <w:tc>
          <w:tcPr>
            <w:tcW w:w="872" w:type="dxa"/>
            <w:tcBorders>
              <w:bottom w:val="single" w:sz="4" w:space="0" w:color="auto"/>
            </w:tcBorders>
            <w:vAlign w:val="center"/>
          </w:tcPr>
          <w:p w14:paraId="27F8EA17" w14:textId="77777777" w:rsidR="00496AD2" w:rsidRPr="00611BA4" w:rsidRDefault="00496AD2" w:rsidP="00890BA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2019</w:t>
            </w:r>
          </w:p>
        </w:tc>
        <w:tc>
          <w:tcPr>
            <w:tcW w:w="872" w:type="dxa"/>
            <w:tcBorders>
              <w:bottom w:val="single" w:sz="4" w:space="0" w:color="auto"/>
            </w:tcBorders>
          </w:tcPr>
          <w:p w14:paraId="13394069" w14:textId="77777777" w:rsidR="00496AD2" w:rsidRDefault="00496AD2" w:rsidP="00890BA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2020</w:t>
            </w:r>
          </w:p>
        </w:tc>
      </w:tr>
      <w:tr w:rsidR="00496AD2" w:rsidRPr="00634C37" w14:paraId="75323B9D" w14:textId="77777777" w:rsidTr="00496AD2">
        <w:trPr>
          <w:trHeight w:val="268"/>
          <w:jc w:val="center"/>
        </w:trPr>
        <w:tc>
          <w:tcPr>
            <w:tcW w:w="3256" w:type="dxa"/>
            <w:shd w:val="clear" w:color="auto" w:fill="auto"/>
            <w:vAlign w:val="center"/>
            <w:hideMark/>
          </w:tcPr>
          <w:p w14:paraId="4B3FC040"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rPr>
                <w:rFonts w:eastAsia="Times New Roman" w:cs="Times New Roman"/>
                <w:color w:val="000000"/>
                <w:szCs w:val="28"/>
                <w:lang w:eastAsia="lv-LV"/>
              </w:rPr>
              <w:t xml:space="preserve">2015.g. prognoze, </w:t>
            </w:r>
            <w:r w:rsidRPr="00F50A47">
              <w:t>EUR/</w:t>
            </w:r>
            <w:proofErr w:type="spellStart"/>
            <w:r w:rsidRPr="00F50A47">
              <w:t>MWh</w:t>
            </w:r>
            <w:proofErr w:type="spellEnd"/>
          </w:p>
        </w:tc>
        <w:tc>
          <w:tcPr>
            <w:tcW w:w="871" w:type="dxa"/>
            <w:shd w:val="clear" w:color="auto" w:fill="auto"/>
            <w:vAlign w:val="center"/>
            <w:hideMark/>
          </w:tcPr>
          <w:p w14:paraId="67BF2D44"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43,26</w:t>
            </w:r>
          </w:p>
        </w:tc>
        <w:tc>
          <w:tcPr>
            <w:tcW w:w="872" w:type="dxa"/>
            <w:shd w:val="clear" w:color="auto" w:fill="auto"/>
            <w:vAlign w:val="center"/>
            <w:hideMark/>
          </w:tcPr>
          <w:p w14:paraId="2C3877A0"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39,93</w:t>
            </w:r>
          </w:p>
        </w:tc>
        <w:tc>
          <w:tcPr>
            <w:tcW w:w="872" w:type="dxa"/>
            <w:shd w:val="clear" w:color="auto" w:fill="auto"/>
            <w:vAlign w:val="center"/>
            <w:hideMark/>
          </w:tcPr>
          <w:p w14:paraId="0D51FA83"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40,41</w:t>
            </w:r>
          </w:p>
        </w:tc>
        <w:tc>
          <w:tcPr>
            <w:tcW w:w="872" w:type="dxa"/>
            <w:shd w:val="clear" w:color="auto" w:fill="auto"/>
            <w:vAlign w:val="center"/>
            <w:hideMark/>
          </w:tcPr>
          <w:p w14:paraId="1D042EB6"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40,8</w:t>
            </w:r>
          </w:p>
        </w:tc>
        <w:tc>
          <w:tcPr>
            <w:tcW w:w="872" w:type="dxa"/>
            <w:shd w:val="clear" w:color="auto" w:fill="auto"/>
            <w:vAlign w:val="center"/>
          </w:tcPr>
          <w:p w14:paraId="4480BBA8" w14:textId="77777777" w:rsidR="00496AD2" w:rsidRPr="00F50A47" w:rsidRDefault="00496AD2" w:rsidP="00491FF1">
            <w:pPr>
              <w:spacing w:after="0" w:line="240" w:lineRule="auto"/>
              <w:jc w:val="center"/>
              <w:rPr>
                <w:rFonts w:eastAsia="Times New Roman" w:cs="Times New Roman"/>
                <w:i/>
                <w:color w:val="000000"/>
                <w:szCs w:val="28"/>
                <w:lang w:eastAsia="lv-LV"/>
              </w:rPr>
            </w:pPr>
            <w:r w:rsidRPr="00F50A47">
              <w:rPr>
                <w:rFonts w:eastAsia="Times New Roman" w:cs="Times New Roman"/>
                <w:i/>
                <w:color w:val="000000"/>
                <w:szCs w:val="28"/>
                <w:lang w:eastAsia="lv-LV"/>
              </w:rPr>
              <w:t>NA</w:t>
            </w:r>
          </w:p>
        </w:tc>
        <w:tc>
          <w:tcPr>
            <w:tcW w:w="872" w:type="dxa"/>
          </w:tcPr>
          <w:p w14:paraId="19ABF712" w14:textId="77777777" w:rsidR="00496AD2" w:rsidRPr="00F50A47" w:rsidRDefault="00496AD2" w:rsidP="00491FF1">
            <w:pPr>
              <w:spacing w:after="0" w:line="240" w:lineRule="auto"/>
              <w:jc w:val="center"/>
              <w:rPr>
                <w:rFonts w:eastAsia="Times New Roman" w:cs="Times New Roman"/>
                <w:i/>
                <w:color w:val="000000"/>
                <w:szCs w:val="28"/>
                <w:lang w:eastAsia="lv-LV"/>
              </w:rPr>
            </w:pPr>
            <w:r w:rsidRPr="004E7A07">
              <w:rPr>
                <w:rFonts w:eastAsia="Times New Roman" w:cs="Times New Roman"/>
                <w:i/>
                <w:color w:val="000000"/>
                <w:szCs w:val="28"/>
                <w:lang w:eastAsia="lv-LV"/>
              </w:rPr>
              <w:t>NA</w:t>
            </w:r>
          </w:p>
        </w:tc>
      </w:tr>
      <w:tr w:rsidR="00496AD2" w:rsidRPr="00491FF1" w14:paraId="28B85253" w14:textId="77777777" w:rsidTr="00496AD2">
        <w:trPr>
          <w:trHeight w:val="271"/>
          <w:jc w:val="center"/>
        </w:trPr>
        <w:tc>
          <w:tcPr>
            <w:tcW w:w="3256" w:type="dxa"/>
            <w:shd w:val="clear" w:color="auto" w:fill="auto"/>
            <w:vAlign w:val="center"/>
          </w:tcPr>
          <w:p w14:paraId="2325DA37"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rPr>
                <w:rFonts w:eastAsia="Times New Roman" w:cs="Times New Roman"/>
                <w:color w:val="000000"/>
                <w:szCs w:val="28"/>
                <w:lang w:eastAsia="lv-LV"/>
              </w:rPr>
              <w:t xml:space="preserve">2016.g prognoze, </w:t>
            </w:r>
            <w:r w:rsidRPr="00F50A47">
              <w:t>EUR/</w:t>
            </w:r>
            <w:proofErr w:type="spellStart"/>
            <w:r w:rsidRPr="00F50A47">
              <w:t>MWh</w:t>
            </w:r>
            <w:proofErr w:type="spellEnd"/>
          </w:p>
        </w:tc>
        <w:tc>
          <w:tcPr>
            <w:tcW w:w="871" w:type="dxa"/>
            <w:shd w:val="clear" w:color="auto" w:fill="auto"/>
            <w:vAlign w:val="center"/>
          </w:tcPr>
          <w:p w14:paraId="7E314445" w14:textId="77777777" w:rsidR="00496AD2" w:rsidRPr="00F50A47" w:rsidRDefault="00496AD2" w:rsidP="00F50A47">
            <w:pPr>
              <w:spacing w:after="0" w:line="240" w:lineRule="auto"/>
              <w:jc w:val="center"/>
              <w:rPr>
                <w:rFonts w:eastAsia="Times New Roman" w:cs="Times New Roman"/>
                <w:i/>
                <w:color w:val="000000"/>
                <w:szCs w:val="28"/>
                <w:lang w:eastAsia="lv-LV"/>
              </w:rPr>
            </w:pPr>
            <w:r w:rsidRPr="00F50A47">
              <w:t>41,37</w:t>
            </w:r>
            <w:r w:rsidRPr="00F50A47">
              <w:rPr>
                <w:sz w:val="20"/>
              </w:rPr>
              <w:t>*</w:t>
            </w:r>
          </w:p>
        </w:tc>
        <w:tc>
          <w:tcPr>
            <w:tcW w:w="872" w:type="dxa"/>
            <w:shd w:val="clear" w:color="auto" w:fill="auto"/>
            <w:vAlign w:val="center"/>
          </w:tcPr>
          <w:p w14:paraId="43151888" w14:textId="77777777" w:rsidR="00496AD2" w:rsidRPr="00F50A47" w:rsidRDefault="00496AD2" w:rsidP="00F50A47">
            <w:pPr>
              <w:spacing w:after="0" w:line="240" w:lineRule="auto"/>
              <w:jc w:val="center"/>
              <w:rPr>
                <w:rFonts w:eastAsia="Times New Roman" w:cs="Times New Roman"/>
                <w:color w:val="000000"/>
                <w:szCs w:val="28"/>
                <w:lang w:eastAsia="lv-LV"/>
              </w:rPr>
            </w:pPr>
            <w:r w:rsidRPr="00F50A47">
              <w:t>37,68</w:t>
            </w:r>
          </w:p>
        </w:tc>
        <w:tc>
          <w:tcPr>
            <w:tcW w:w="872" w:type="dxa"/>
            <w:shd w:val="clear" w:color="auto" w:fill="auto"/>
            <w:vAlign w:val="center"/>
          </w:tcPr>
          <w:p w14:paraId="1B5AF0DA"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38,02</w:t>
            </w:r>
          </w:p>
        </w:tc>
        <w:tc>
          <w:tcPr>
            <w:tcW w:w="872" w:type="dxa"/>
            <w:shd w:val="clear" w:color="auto" w:fill="auto"/>
            <w:vAlign w:val="center"/>
          </w:tcPr>
          <w:p w14:paraId="0AD68DB3"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37,44</w:t>
            </w:r>
          </w:p>
        </w:tc>
        <w:tc>
          <w:tcPr>
            <w:tcW w:w="872" w:type="dxa"/>
            <w:shd w:val="clear" w:color="auto" w:fill="auto"/>
            <w:vAlign w:val="center"/>
          </w:tcPr>
          <w:p w14:paraId="6406CFD6" w14:textId="77777777" w:rsidR="00496AD2" w:rsidRPr="00F50A47" w:rsidRDefault="00496AD2" w:rsidP="00491FF1">
            <w:pPr>
              <w:spacing w:after="0" w:line="240" w:lineRule="auto"/>
              <w:jc w:val="center"/>
              <w:rPr>
                <w:rFonts w:eastAsia="Times New Roman" w:cs="Times New Roman"/>
                <w:color w:val="000000"/>
                <w:szCs w:val="28"/>
                <w:lang w:eastAsia="lv-LV"/>
              </w:rPr>
            </w:pPr>
            <w:r w:rsidRPr="00F50A47">
              <w:t>36,25</w:t>
            </w:r>
          </w:p>
        </w:tc>
        <w:tc>
          <w:tcPr>
            <w:tcW w:w="872" w:type="dxa"/>
          </w:tcPr>
          <w:p w14:paraId="74602D57" w14:textId="77777777" w:rsidR="00496AD2" w:rsidRPr="00F50A47" w:rsidRDefault="00496AD2" w:rsidP="00491FF1">
            <w:pPr>
              <w:spacing w:after="0" w:line="240" w:lineRule="auto"/>
              <w:jc w:val="center"/>
            </w:pPr>
            <w:r>
              <w:t>36,74</w:t>
            </w:r>
          </w:p>
        </w:tc>
      </w:tr>
    </w:tbl>
    <w:p w14:paraId="423B0D66" w14:textId="77777777" w:rsidR="002317CE" w:rsidRPr="00491FF1" w:rsidRDefault="002317CE" w:rsidP="002317CE">
      <w:pPr>
        <w:pStyle w:val="Caption"/>
        <w:keepNext/>
        <w:jc w:val="left"/>
        <w:rPr>
          <w:rFonts w:ascii="Times New Roman" w:hAnsi="Times New Roman"/>
          <w:b w:val="0"/>
          <w:sz w:val="20"/>
          <w:szCs w:val="24"/>
        </w:rPr>
      </w:pPr>
      <w:r w:rsidRPr="00491FF1">
        <w:rPr>
          <w:rFonts w:ascii="Times New Roman" w:hAnsi="Times New Roman"/>
          <w:b w:val="0"/>
          <w:bCs w:val="0"/>
          <w:sz w:val="22"/>
          <w:szCs w:val="24"/>
        </w:rPr>
        <w:t xml:space="preserve">     </w:t>
      </w:r>
      <w:r w:rsidRPr="00491FF1">
        <w:rPr>
          <w:rFonts w:ascii="Times New Roman" w:hAnsi="Times New Roman"/>
          <w:b w:val="0"/>
          <w:bCs w:val="0"/>
          <w:sz w:val="20"/>
          <w:szCs w:val="24"/>
        </w:rPr>
        <w:t xml:space="preserve">  *</w:t>
      </w:r>
      <w:r w:rsidRPr="00491FF1">
        <w:rPr>
          <w:rFonts w:ascii="Times New Roman" w:hAnsi="Times New Roman"/>
          <w:b w:val="0"/>
          <w:sz w:val="20"/>
          <w:szCs w:val="24"/>
        </w:rPr>
        <w:t xml:space="preserve"> faktiskā vērtība</w:t>
      </w:r>
    </w:p>
    <w:p w14:paraId="6E7DD453" w14:textId="77777777" w:rsidR="002317CE" w:rsidRDefault="002317CE" w:rsidP="00AC5FC4">
      <w:pPr>
        <w:spacing w:before="120" w:after="0" w:line="240" w:lineRule="auto"/>
        <w:ind w:firstLine="851"/>
        <w:rPr>
          <w:sz w:val="28"/>
          <w:szCs w:val="28"/>
        </w:rPr>
      </w:pPr>
      <w:r>
        <w:rPr>
          <w:sz w:val="28"/>
          <w:szCs w:val="28"/>
        </w:rPr>
        <w:t xml:space="preserve">Tā kā </w:t>
      </w:r>
      <w:r w:rsidRPr="00F77AD2">
        <w:rPr>
          <w:sz w:val="28"/>
          <w:szCs w:val="28"/>
        </w:rPr>
        <w:t>OI</w:t>
      </w:r>
      <w:r>
        <w:rPr>
          <w:sz w:val="28"/>
          <w:szCs w:val="28"/>
        </w:rPr>
        <w:t xml:space="preserve"> un jaudas maksa par elektrostacijā uzstādīto elektrisko jaudu</w:t>
      </w:r>
      <w:r w:rsidRPr="0052276D">
        <w:rPr>
          <w:sz w:val="28"/>
          <w:szCs w:val="28"/>
        </w:rPr>
        <w:t xml:space="preserve"> </w:t>
      </w:r>
      <w:r>
        <w:rPr>
          <w:sz w:val="28"/>
          <w:szCs w:val="28"/>
        </w:rPr>
        <w:t>ir uzskatāmi par valsts atbalstu, ir jāņem vērā</w:t>
      </w:r>
      <w:r w:rsidRPr="0052276D">
        <w:rPr>
          <w:sz w:val="28"/>
          <w:szCs w:val="28"/>
        </w:rPr>
        <w:t xml:space="preserve"> nosacījum</w:t>
      </w:r>
      <w:r>
        <w:rPr>
          <w:sz w:val="28"/>
          <w:szCs w:val="28"/>
        </w:rPr>
        <w:t>i</w:t>
      </w:r>
      <w:r w:rsidRPr="0052276D">
        <w:rPr>
          <w:sz w:val="28"/>
          <w:szCs w:val="28"/>
        </w:rPr>
        <w:t>, atbilstoši kuriem atbalstu enerģētikas un vides jomā var uzskatīt par saderīgu ar iekšē</w:t>
      </w:r>
      <w:r>
        <w:rPr>
          <w:sz w:val="28"/>
          <w:szCs w:val="28"/>
        </w:rPr>
        <w:t xml:space="preserve">jo tirgu saskaņā ar Līguma par </w:t>
      </w:r>
      <w:r w:rsidRPr="0052276D">
        <w:rPr>
          <w:sz w:val="28"/>
          <w:szCs w:val="28"/>
        </w:rPr>
        <w:t>Eiropas Savienības darbību 107.</w:t>
      </w:r>
      <w:r>
        <w:rPr>
          <w:sz w:val="28"/>
          <w:szCs w:val="28"/>
        </w:rPr>
        <w:t>panta 3.punkta c) apakšpunktam.</w:t>
      </w:r>
    </w:p>
    <w:p w14:paraId="6C475EEC" w14:textId="3ED1A9F3" w:rsidR="002317CE" w:rsidRPr="0052276D" w:rsidRDefault="002317CE" w:rsidP="002317CE">
      <w:pPr>
        <w:spacing w:before="120" w:after="0" w:line="240" w:lineRule="auto"/>
        <w:ind w:firstLine="851"/>
        <w:rPr>
          <w:sz w:val="28"/>
          <w:szCs w:val="28"/>
        </w:rPr>
      </w:pPr>
      <w:r w:rsidRPr="0052276D">
        <w:rPr>
          <w:sz w:val="28"/>
          <w:szCs w:val="28"/>
        </w:rPr>
        <w:t xml:space="preserve">Pamatojoties uz Ministru kabineta 2013.gada 13.augusta sēdes protokola Nr.44 156.§ 7.punktu, tika sagatavots un 2013. gada 17.decembrī uzsākts pirms-paziņojuma process ar </w:t>
      </w:r>
      <w:r w:rsidR="00381BBF">
        <w:rPr>
          <w:sz w:val="28"/>
          <w:szCs w:val="28"/>
        </w:rPr>
        <w:t>EK</w:t>
      </w:r>
      <w:r w:rsidRPr="0052276D">
        <w:rPr>
          <w:sz w:val="28"/>
          <w:szCs w:val="28"/>
        </w:rPr>
        <w:t xml:space="preserve"> valsts atbalsta lietas SA.37970 (2013/PN) - </w:t>
      </w:r>
      <w:r w:rsidRPr="0052276D">
        <w:rPr>
          <w:i/>
          <w:sz w:val="28"/>
          <w:szCs w:val="28"/>
        </w:rPr>
        <w:t>Atbalsts enerģijas ražotājiem</w:t>
      </w:r>
      <w:r w:rsidRPr="0052276D">
        <w:rPr>
          <w:sz w:val="28"/>
          <w:szCs w:val="28"/>
        </w:rPr>
        <w:t xml:space="preserve"> ietvaros. Ņemot vērā valsts atbalsta nosacījumus un notikušās formālās un neformālās konsultācijas ar </w:t>
      </w:r>
      <w:r w:rsidRPr="0052276D">
        <w:rPr>
          <w:sz w:val="28"/>
          <w:szCs w:val="28"/>
        </w:rPr>
        <w:lastRenderedPageBreak/>
        <w:t xml:space="preserve">EK, 2015.gada 22.septembrī tika uzsākts paziņojuma process valsts atbalsta lietas SA.43140 (2015/NN) - </w:t>
      </w:r>
      <w:r w:rsidRPr="0052276D">
        <w:rPr>
          <w:i/>
          <w:sz w:val="28"/>
          <w:szCs w:val="28"/>
        </w:rPr>
        <w:t>Atbalsts elektroenerģijas ražotājiem</w:t>
      </w:r>
      <w:r>
        <w:rPr>
          <w:sz w:val="28"/>
          <w:szCs w:val="28"/>
        </w:rPr>
        <w:t xml:space="preserve"> ietvaros.</w:t>
      </w:r>
    </w:p>
    <w:p w14:paraId="09117DCC" w14:textId="1BB5B3C5" w:rsidR="002317CE" w:rsidRPr="0052276D" w:rsidRDefault="002317CE" w:rsidP="002317CE">
      <w:pPr>
        <w:spacing w:before="120" w:after="0" w:line="240" w:lineRule="auto"/>
        <w:ind w:firstLine="851"/>
        <w:rPr>
          <w:sz w:val="28"/>
          <w:szCs w:val="28"/>
        </w:rPr>
      </w:pPr>
      <w:r>
        <w:rPr>
          <w:sz w:val="28"/>
          <w:szCs w:val="28"/>
        </w:rPr>
        <w:t xml:space="preserve">Ņemot vērā </w:t>
      </w:r>
      <w:r w:rsidRPr="0052276D">
        <w:rPr>
          <w:sz w:val="28"/>
          <w:szCs w:val="28"/>
        </w:rPr>
        <w:t xml:space="preserve">EK </w:t>
      </w:r>
      <w:r>
        <w:rPr>
          <w:sz w:val="28"/>
          <w:szCs w:val="28"/>
        </w:rPr>
        <w:t xml:space="preserve">norādīto </w:t>
      </w:r>
      <w:r w:rsidRPr="004A1899">
        <w:rPr>
          <w:sz w:val="28"/>
          <w:szCs w:val="28"/>
        </w:rPr>
        <w:t xml:space="preserve">nepieciešamību Latvijai ieviest mehānismu </w:t>
      </w:r>
      <w:proofErr w:type="spellStart"/>
      <w:r w:rsidRPr="004A1899">
        <w:rPr>
          <w:sz w:val="28"/>
          <w:szCs w:val="28"/>
        </w:rPr>
        <w:t>pārkompensācijas</w:t>
      </w:r>
      <w:proofErr w:type="spellEnd"/>
      <w:r w:rsidRPr="004A1899">
        <w:rPr>
          <w:sz w:val="28"/>
          <w:szCs w:val="28"/>
        </w:rPr>
        <w:t xml:space="preserve"> konstatēšanai un novēršanai</w:t>
      </w:r>
      <w:r>
        <w:rPr>
          <w:rStyle w:val="FootnoteReference"/>
          <w:sz w:val="28"/>
          <w:szCs w:val="28"/>
        </w:rPr>
        <w:footnoteReference w:id="2"/>
      </w:r>
      <w:r w:rsidRPr="004A1899">
        <w:rPr>
          <w:sz w:val="28"/>
          <w:szCs w:val="28"/>
        </w:rPr>
        <w:t xml:space="preserve">, lai saņemtu EK lēmumu par atbalsta pasākuma atbilstību </w:t>
      </w:r>
      <w:r w:rsidR="00381BBF">
        <w:rPr>
          <w:sz w:val="28"/>
          <w:szCs w:val="28"/>
        </w:rPr>
        <w:t>ES</w:t>
      </w:r>
      <w:r w:rsidRPr="004A1899">
        <w:rPr>
          <w:sz w:val="28"/>
          <w:szCs w:val="28"/>
        </w:rPr>
        <w:t xml:space="preserve"> iekšējam tirgum, </w:t>
      </w:r>
      <w:r w:rsidR="00F45744">
        <w:rPr>
          <w:sz w:val="28"/>
          <w:szCs w:val="28"/>
        </w:rPr>
        <w:t>2016. </w:t>
      </w:r>
      <w:r w:rsidR="00F45744" w:rsidRPr="00F45744">
        <w:rPr>
          <w:sz w:val="28"/>
          <w:szCs w:val="28"/>
        </w:rPr>
        <w:t>gada 5.</w:t>
      </w:r>
      <w:r w:rsidR="00F45744">
        <w:rPr>
          <w:sz w:val="28"/>
          <w:szCs w:val="28"/>
        </w:rPr>
        <w:t> jūlijā</w:t>
      </w:r>
      <w:r w:rsidR="00F45744" w:rsidRPr="00F45744">
        <w:rPr>
          <w:sz w:val="28"/>
          <w:szCs w:val="28"/>
        </w:rPr>
        <w:t xml:space="preserve"> </w:t>
      </w:r>
      <w:r w:rsidRPr="004A1899">
        <w:rPr>
          <w:sz w:val="28"/>
          <w:szCs w:val="28"/>
        </w:rPr>
        <w:t xml:space="preserve">tika </w:t>
      </w:r>
      <w:r w:rsidR="00F45744">
        <w:rPr>
          <w:sz w:val="28"/>
          <w:szCs w:val="28"/>
        </w:rPr>
        <w:t>pieņemti</w:t>
      </w:r>
      <w:r w:rsidRPr="004A1899">
        <w:rPr>
          <w:sz w:val="28"/>
          <w:szCs w:val="28"/>
        </w:rPr>
        <w:t xml:space="preserve"> grozījumi Ministru kabineta 2009.gada 10.marta noteikumos Nr.221 “Noteikumi par elektroenerģijas ražošanu un cenu noteikšanu, ražojot elektroenerģiju koģenerācijā” (turpmāk – MK noteikumi Nr.221) un 2010.gada 16.marta noteikumos Nr.262 “Noteikumi par elektroenerģijas ražošanu, izmantojot atjaunojamos energoresursus, un cenu noteikšanas kārtību” (turpmāk – MK noteikumi Nr.262</w:t>
      </w:r>
      <w:r>
        <w:rPr>
          <w:sz w:val="28"/>
          <w:szCs w:val="28"/>
        </w:rPr>
        <w:t>)</w:t>
      </w:r>
      <w:r>
        <w:rPr>
          <w:rStyle w:val="FootnoteReference"/>
          <w:sz w:val="28"/>
          <w:szCs w:val="28"/>
        </w:rPr>
        <w:footnoteReference w:id="3"/>
      </w:r>
      <w:r>
        <w:rPr>
          <w:sz w:val="28"/>
          <w:szCs w:val="28"/>
        </w:rPr>
        <w:t>.</w:t>
      </w:r>
      <w:r w:rsidR="00AC5FC4" w:rsidRPr="00AC5FC4">
        <w:rPr>
          <w:sz w:val="28"/>
          <w:szCs w:val="28"/>
        </w:rPr>
        <w:t xml:space="preserve"> </w:t>
      </w:r>
      <w:r w:rsidR="00AC5FC4">
        <w:rPr>
          <w:sz w:val="28"/>
          <w:szCs w:val="28"/>
        </w:rPr>
        <w:t xml:space="preserve">Minētie grozījumi paredz novērst </w:t>
      </w:r>
      <w:proofErr w:type="spellStart"/>
      <w:r w:rsidR="00AC5FC4">
        <w:rPr>
          <w:sz w:val="28"/>
          <w:szCs w:val="28"/>
        </w:rPr>
        <w:t>pārsubsidācijas</w:t>
      </w:r>
      <w:proofErr w:type="spellEnd"/>
      <w:r w:rsidR="00AC5FC4">
        <w:rPr>
          <w:sz w:val="28"/>
          <w:szCs w:val="28"/>
        </w:rPr>
        <w:t xml:space="preserve"> risku, izmantojot </w:t>
      </w:r>
      <w:r w:rsidR="00381BBF">
        <w:rPr>
          <w:sz w:val="28"/>
          <w:szCs w:val="28"/>
        </w:rPr>
        <w:t>IRR</w:t>
      </w:r>
      <w:r w:rsidR="00AC5FC4">
        <w:rPr>
          <w:sz w:val="28"/>
          <w:szCs w:val="28"/>
        </w:rPr>
        <w:t xml:space="preserve"> aprēķinu un nosakot, ka projektu IRR atbalsta perioda beigās nepārsniedz 9%.</w:t>
      </w:r>
    </w:p>
    <w:p w14:paraId="7F13AA89" w14:textId="77777777" w:rsidR="002317CE" w:rsidRPr="0052276D" w:rsidRDefault="002317CE" w:rsidP="002317CE">
      <w:pPr>
        <w:spacing w:before="120" w:after="0" w:line="240" w:lineRule="auto"/>
        <w:ind w:firstLine="851"/>
        <w:rPr>
          <w:sz w:val="28"/>
          <w:szCs w:val="28"/>
        </w:rPr>
      </w:pPr>
      <w:r>
        <w:rPr>
          <w:sz w:val="28"/>
          <w:szCs w:val="28"/>
        </w:rPr>
        <w:t>J</w:t>
      </w:r>
      <w:r w:rsidRPr="0052276D">
        <w:rPr>
          <w:sz w:val="28"/>
          <w:szCs w:val="28"/>
        </w:rPr>
        <w:t xml:space="preserve">a </w:t>
      </w:r>
      <w:proofErr w:type="spellStart"/>
      <w:r>
        <w:rPr>
          <w:sz w:val="28"/>
          <w:szCs w:val="28"/>
        </w:rPr>
        <w:t>pārkompensācijas</w:t>
      </w:r>
      <w:proofErr w:type="spellEnd"/>
      <w:r>
        <w:rPr>
          <w:sz w:val="28"/>
          <w:szCs w:val="28"/>
        </w:rPr>
        <w:t xml:space="preserve"> novēršanas </w:t>
      </w:r>
      <w:r w:rsidR="003A20FC">
        <w:rPr>
          <w:sz w:val="28"/>
          <w:szCs w:val="28"/>
        </w:rPr>
        <w:t xml:space="preserve">mehānisms </w:t>
      </w:r>
      <w:r>
        <w:rPr>
          <w:sz w:val="28"/>
          <w:szCs w:val="28"/>
        </w:rPr>
        <w:t>netiktu ieviests</w:t>
      </w:r>
      <w:r w:rsidRPr="0052276D">
        <w:rPr>
          <w:sz w:val="28"/>
          <w:szCs w:val="28"/>
        </w:rPr>
        <w:t>, tad saskaņā ar EK procedūrām attiecībā uz nelikumīgi izsniegtu valsts atbalstu ti</w:t>
      </w:r>
      <w:r w:rsidR="00620947">
        <w:rPr>
          <w:sz w:val="28"/>
          <w:szCs w:val="28"/>
        </w:rPr>
        <w:t>ktu</w:t>
      </w:r>
      <w:r w:rsidRPr="0052276D">
        <w:rPr>
          <w:sz w:val="28"/>
          <w:szCs w:val="28"/>
        </w:rPr>
        <w:t xml:space="preserve"> ierosināta </w:t>
      </w:r>
      <w:r w:rsidR="003A20FC">
        <w:rPr>
          <w:sz w:val="28"/>
          <w:szCs w:val="28"/>
        </w:rPr>
        <w:t xml:space="preserve">pārkāpuma procedūra </w:t>
      </w:r>
      <w:r w:rsidRPr="0052276D">
        <w:rPr>
          <w:sz w:val="28"/>
          <w:szCs w:val="28"/>
        </w:rPr>
        <w:t xml:space="preserve">pret Latviju. Tās rezultātā komersantam būtu jāatmaksā piešķirtais finansējums, ko komersants saņēmis </w:t>
      </w:r>
      <w:r w:rsidR="00E52784">
        <w:rPr>
          <w:sz w:val="28"/>
          <w:szCs w:val="28"/>
        </w:rPr>
        <w:t>OI</w:t>
      </w:r>
      <w:r w:rsidRPr="0052276D">
        <w:rPr>
          <w:sz w:val="28"/>
          <w:szCs w:val="28"/>
        </w:rPr>
        <w:t xml:space="preserve"> ietvaros vai garantētās maksas par uzstādīto elektrisko jaudu, un</w:t>
      </w:r>
      <w:r w:rsidR="00E52784">
        <w:rPr>
          <w:sz w:val="28"/>
          <w:szCs w:val="28"/>
        </w:rPr>
        <w:t>,</w:t>
      </w:r>
      <w:r w:rsidRPr="0052276D">
        <w:rPr>
          <w:sz w:val="28"/>
          <w:szCs w:val="28"/>
        </w:rPr>
        <w:t xml:space="preserve"> kas pārsniedz starpību starp elektroenerģijas ražošanas izmaksām un elektroenerģijas tirgus cenu, no pirmās izmaksātā atbalsta dienas, kopā ar attiecīgajā laika periodā uzkrātajiem soda procentiem. </w:t>
      </w:r>
    </w:p>
    <w:p w14:paraId="30824926" w14:textId="3F12A162" w:rsidR="00620947" w:rsidRDefault="00F77AD2" w:rsidP="00620947">
      <w:pPr>
        <w:spacing w:before="120" w:after="0" w:line="240" w:lineRule="auto"/>
        <w:ind w:firstLine="851"/>
        <w:rPr>
          <w:sz w:val="28"/>
          <w:szCs w:val="28"/>
        </w:rPr>
      </w:pPr>
      <w:r>
        <w:rPr>
          <w:sz w:val="28"/>
          <w:szCs w:val="28"/>
        </w:rPr>
        <w:t>Vienlaikus, n</w:t>
      </w:r>
      <w:r w:rsidRPr="00634C37">
        <w:rPr>
          <w:sz w:val="28"/>
          <w:szCs w:val="28"/>
        </w:rPr>
        <w:t xml:space="preserve">olūkā nodrošināt </w:t>
      </w:r>
      <w:r>
        <w:rPr>
          <w:sz w:val="28"/>
          <w:szCs w:val="28"/>
        </w:rPr>
        <w:t xml:space="preserve">elektroenerģijas </w:t>
      </w:r>
      <w:r w:rsidR="005811A8">
        <w:rPr>
          <w:sz w:val="28"/>
          <w:szCs w:val="28"/>
        </w:rPr>
        <w:t>OI</w:t>
      </w:r>
      <w:r w:rsidRPr="00B41312">
        <w:rPr>
          <w:sz w:val="28"/>
          <w:szCs w:val="28"/>
        </w:rPr>
        <w:t xml:space="preserve"> cenas</w:t>
      </w:r>
      <w:r w:rsidRPr="00634C37">
        <w:rPr>
          <w:sz w:val="28"/>
          <w:szCs w:val="28"/>
        </w:rPr>
        <w:t xml:space="preserve"> līme</w:t>
      </w:r>
      <w:r>
        <w:rPr>
          <w:sz w:val="28"/>
          <w:szCs w:val="28"/>
        </w:rPr>
        <w:t>nī</w:t>
      </w:r>
      <w:r w:rsidRPr="00634C37">
        <w:rPr>
          <w:sz w:val="28"/>
          <w:szCs w:val="28"/>
        </w:rPr>
        <w:t>, kas nepieciešams atbalstīto elektrostaciju darbības nodrošināšanai, dabasgāzes tirdzniecības tarifa krituma rezultātā</w:t>
      </w:r>
      <w:r>
        <w:rPr>
          <w:sz w:val="28"/>
          <w:szCs w:val="28"/>
        </w:rPr>
        <w:t xml:space="preserve">, grozījumu </w:t>
      </w:r>
      <w:r w:rsidR="00620947" w:rsidRPr="004A1899">
        <w:rPr>
          <w:sz w:val="28"/>
          <w:szCs w:val="28"/>
        </w:rPr>
        <w:t>MK noteikum</w:t>
      </w:r>
      <w:r w:rsidR="00620947">
        <w:rPr>
          <w:sz w:val="28"/>
          <w:szCs w:val="28"/>
        </w:rPr>
        <w:t xml:space="preserve">os </w:t>
      </w:r>
      <w:r w:rsidR="00620947" w:rsidRPr="004A1899">
        <w:rPr>
          <w:sz w:val="28"/>
          <w:szCs w:val="28"/>
        </w:rPr>
        <w:t>Nr.221</w:t>
      </w:r>
      <w:r w:rsidR="00620947">
        <w:rPr>
          <w:sz w:val="28"/>
          <w:szCs w:val="28"/>
        </w:rPr>
        <w:t xml:space="preserve"> un </w:t>
      </w:r>
      <w:r w:rsidR="00620947" w:rsidRPr="004A1899">
        <w:rPr>
          <w:sz w:val="28"/>
          <w:szCs w:val="28"/>
        </w:rPr>
        <w:t>MK noteikum</w:t>
      </w:r>
      <w:r w:rsidR="008177C7">
        <w:rPr>
          <w:sz w:val="28"/>
          <w:szCs w:val="28"/>
        </w:rPr>
        <w:t>os</w:t>
      </w:r>
      <w:r w:rsidR="00620947" w:rsidRPr="004A1899">
        <w:rPr>
          <w:sz w:val="28"/>
          <w:szCs w:val="28"/>
        </w:rPr>
        <w:t xml:space="preserve"> Nr.2</w:t>
      </w:r>
      <w:r w:rsidR="00620947">
        <w:rPr>
          <w:sz w:val="28"/>
          <w:szCs w:val="28"/>
        </w:rPr>
        <w:t>6</w:t>
      </w:r>
      <w:r w:rsidR="00620947" w:rsidRPr="004A1899">
        <w:rPr>
          <w:sz w:val="28"/>
          <w:szCs w:val="28"/>
        </w:rPr>
        <w:t>2</w:t>
      </w:r>
      <w:r w:rsidR="00620947">
        <w:rPr>
          <w:sz w:val="28"/>
          <w:szCs w:val="28"/>
        </w:rPr>
        <w:t xml:space="preserve"> </w:t>
      </w:r>
      <w:r>
        <w:rPr>
          <w:sz w:val="28"/>
          <w:szCs w:val="28"/>
        </w:rPr>
        <w:t>ietvaros</w:t>
      </w:r>
      <w:r w:rsidR="005811A8">
        <w:rPr>
          <w:sz w:val="28"/>
          <w:szCs w:val="28"/>
        </w:rPr>
        <w:t xml:space="preserve"> elektrostacijām, kuras izmanto AER,</w:t>
      </w:r>
      <w:r>
        <w:rPr>
          <w:sz w:val="28"/>
          <w:szCs w:val="28"/>
        </w:rPr>
        <w:t xml:space="preserve"> </w:t>
      </w:r>
      <w:r w:rsidR="005811A8">
        <w:rPr>
          <w:sz w:val="28"/>
          <w:szCs w:val="28"/>
        </w:rPr>
        <w:t>tika</w:t>
      </w:r>
      <w:r w:rsidRPr="00634C37">
        <w:rPr>
          <w:sz w:val="28"/>
          <w:szCs w:val="28"/>
        </w:rPr>
        <w:t xml:space="preserve"> fiksēt</w:t>
      </w:r>
      <w:r w:rsidR="005811A8">
        <w:rPr>
          <w:sz w:val="28"/>
          <w:szCs w:val="28"/>
        </w:rPr>
        <w:t>a</w:t>
      </w:r>
      <w:r w:rsidRPr="00634C37">
        <w:rPr>
          <w:sz w:val="28"/>
          <w:szCs w:val="28"/>
        </w:rPr>
        <w:t xml:space="preserve"> elektroenerģijas </w:t>
      </w:r>
      <w:r w:rsidR="00E52784">
        <w:rPr>
          <w:sz w:val="28"/>
          <w:szCs w:val="28"/>
        </w:rPr>
        <w:t>OI</w:t>
      </w:r>
      <w:r w:rsidRPr="00634C37">
        <w:rPr>
          <w:sz w:val="28"/>
          <w:szCs w:val="28"/>
        </w:rPr>
        <w:t xml:space="preserve"> cenas noteikšanas formulās iekļaut</w:t>
      </w:r>
      <w:r w:rsidR="00BD32C9">
        <w:rPr>
          <w:sz w:val="28"/>
          <w:szCs w:val="28"/>
        </w:rPr>
        <w:t>ā</w:t>
      </w:r>
      <w:r w:rsidRPr="00634C37">
        <w:rPr>
          <w:sz w:val="28"/>
          <w:szCs w:val="28"/>
        </w:rPr>
        <w:t xml:space="preserve"> dabasgāzes tirdzniecības cen</w:t>
      </w:r>
      <w:r w:rsidRPr="00B41312">
        <w:rPr>
          <w:sz w:val="28"/>
          <w:szCs w:val="28"/>
        </w:rPr>
        <w:t>as komponent</w:t>
      </w:r>
      <w:r w:rsidR="00BD32C9">
        <w:rPr>
          <w:sz w:val="28"/>
          <w:szCs w:val="28"/>
        </w:rPr>
        <w:t>e</w:t>
      </w:r>
      <w:r w:rsidRPr="00634C37">
        <w:rPr>
          <w:sz w:val="28"/>
          <w:szCs w:val="28"/>
        </w:rPr>
        <w:t>, fiksējot to 234,77</w:t>
      </w:r>
      <w:r>
        <w:rPr>
          <w:sz w:val="28"/>
          <w:szCs w:val="28"/>
        </w:rPr>
        <w:t> EUR</w:t>
      </w:r>
      <w:r w:rsidR="00AC5FC4">
        <w:rPr>
          <w:sz w:val="28"/>
          <w:szCs w:val="28"/>
        </w:rPr>
        <w:t>/tūkst.</w:t>
      </w:r>
      <w:r w:rsidRPr="00634C37">
        <w:rPr>
          <w:sz w:val="28"/>
          <w:szCs w:val="28"/>
        </w:rPr>
        <w:t>n.m</w:t>
      </w:r>
      <w:r w:rsidRPr="00AC5FC4">
        <w:rPr>
          <w:sz w:val="28"/>
          <w:szCs w:val="28"/>
          <w:vertAlign w:val="superscript"/>
        </w:rPr>
        <w:t>3</w:t>
      </w:r>
      <w:r>
        <w:rPr>
          <w:sz w:val="28"/>
          <w:szCs w:val="28"/>
        </w:rPr>
        <w:t xml:space="preserve"> apmērā.</w:t>
      </w:r>
    </w:p>
    <w:p w14:paraId="113D088E" w14:textId="1C46CD3B" w:rsidR="00620947" w:rsidRDefault="00620947" w:rsidP="00620947">
      <w:pPr>
        <w:spacing w:before="120" w:after="0" w:line="240" w:lineRule="auto"/>
        <w:ind w:firstLine="851"/>
        <w:rPr>
          <w:sz w:val="28"/>
          <w:szCs w:val="28"/>
        </w:rPr>
      </w:pPr>
      <w:r>
        <w:rPr>
          <w:sz w:val="28"/>
          <w:szCs w:val="28"/>
        </w:rPr>
        <w:t xml:space="preserve">Minētie grozījumi </w:t>
      </w:r>
      <w:r w:rsidR="00244CAE">
        <w:rPr>
          <w:sz w:val="28"/>
          <w:szCs w:val="28"/>
        </w:rPr>
        <w:t xml:space="preserve">stāsies </w:t>
      </w:r>
      <w:r w:rsidR="003A20FC">
        <w:rPr>
          <w:sz w:val="28"/>
          <w:szCs w:val="28"/>
        </w:rPr>
        <w:t xml:space="preserve">spēkā </w:t>
      </w:r>
      <w:r w:rsidR="008A006D" w:rsidRPr="008A006D">
        <w:rPr>
          <w:sz w:val="28"/>
          <w:szCs w:val="28"/>
        </w:rPr>
        <w:t xml:space="preserve">nākamā kalendāra mēneša pirmajā datumā pēc dienas, kad </w:t>
      </w:r>
      <w:r w:rsidR="00F83C30">
        <w:rPr>
          <w:sz w:val="28"/>
          <w:szCs w:val="28"/>
        </w:rPr>
        <w:t>EK</w:t>
      </w:r>
      <w:r w:rsidR="003A20FC">
        <w:rPr>
          <w:sz w:val="28"/>
          <w:szCs w:val="28"/>
        </w:rPr>
        <w:t xml:space="preserve"> būs</w:t>
      </w:r>
      <w:r w:rsidR="008A006D" w:rsidRPr="008A006D">
        <w:rPr>
          <w:sz w:val="28"/>
          <w:szCs w:val="28"/>
        </w:rPr>
        <w:t xml:space="preserve"> pieņēmusi lēmumu par valsts atbalsta nosacījumu atbilstību </w:t>
      </w:r>
      <w:r w:rsidR="00F83C30">
        <w:rPr>
          <w:sz w:val="28"/>
          <w:szCs w:val="28"/>
        </w:rPr>
        <w:t>ES</w:t>
      </w:r>
      <w:r w:rsidR="008A006D" w:rsidRPr="008A006D">
        <w:rPr>
          <w:sz w:val="28"/>
          <w:szCs w:val="28"/>
        </w:rPr>
        <w:t xml:space="preserve"> iekšējā tirgus nosacījumiem atbalsta lietas SA. 43140 (2015/NN) </w:t>
      </w:r>
      <w:r w:rsidR="008177C7">
        <w:rPr>
          <w:sz w:val="28"/>
          <w:szCs w:val="28"/>
        </w:rPr>
        <w:t>“</w:t>
      </w:r>
      <w:r w:rsidR="008A006D" w:rsidRPr="008A006D">
        <w:rPr>
          <w:sz w:val="28"/>
          <w:szCs w:val="28"/>
        </w:rPr>
        <w:t>Atbalsts elektroenerģijas ražotājiem</w:t>
      </w:r>
      <w:r w:rsidR="008177C7">
        <w:rPr>
          <w:sz w:val="28"/>
          <w:szCs w:val="28"/>
        </w:rPr>
        <w:t>”</w:t>
      </w:r>
      <w:r w:rsidR="008A006D" w:rsidRPr="008A006D">
        <w:rPr>
          <w:sz w:val="28"/>
          <w:szCs w:val="28"/>
        </w:rPr>
        <w:t xml:space="preserve"> ietvaros.</w:t>
      </w:r>
      <w:r w:rsidR="008A006D">
        <w:rPr>
          <w:sz w:val="28"/>
          <w:szCs w:val="28"/>
        </w:rPr>
        <w:t xml:space="preserve"> Līdz ar to nav precīzi paredzams faktiskais grozījumu spēkā stāšanās termiņš un </w:t>
      </w:r>
      <w:r w:rsidR="008A006D">
        <w:rPr>
          <w:sz w:val="28"/>
          <w:szCs w:val="28"/>
        </w:rPr>
        <w:lastRenderedPageBreak/>
        <w:t>tas ietekmē OI prognozes 2016. gadā un OIK prognozes 2017. gadā. Šī ietekme atspoguļota 4. tabulā. Turpmākajos aprēķinos pieņemts, ka grozījumi stāsies spēkā 2016. gada 1.</w:t>
      </w:r>
      <w:r w:rsidR="00E52784">
        <w:rPr>
          <w:sz w:val="28"/>
          <w:szCs w:val="28"/>
        </w:rPr>
        <w:t> </w:t>
      </w:r>
      <w:r w:rsidR="008A006D">
        <w:rPr>
          <w:sz w:val="28"/>
          <w:szCs w:val="28"/>
        </w:rPr>
        <w:t>oktobrī.</w:t>
      </w:r>
    </w:p>
    <w:p w14:paraId="4D2C7125" w14:textId="67BBAACF" w:rsidR="00072722" w:rsidRDefault="00072722" w:rsidP="00620947">
      <w:pPr>
        <w:spacing w:before="120" w:after="0" w:line="240" w:lineRule="auto"/>
        <w:ind w:firstLine="851"/>
        <w:rPr>
          <w:sz w:val="28"/>
          <w:szCs w:val="28"/>
        </w:rPr>
      </w:pPr>
      <w:r>
        <w:rPr>
          <w:sz w:val="28"/>
          <w:szCs w:val="28"/>
        </w:rPr>
        <w:t xml:space="preserve">Ņemot vērā, ka EK lēmums </w:t>
      </w:r>
      <w:r w:rsidRPr="00072722">
        <w:rPr>
          <w:sz w:val="28"/>
          <w:szCs w:val="28"/>
        </w:rPr>
        <w:t>atbals</w:t>
      </w:r>
      <w:r>
        <w:rPr>
          <w:sz w:val="28"/>
          <w:szCs w:val="28"/>
        </w:rPr>
        <w:t>ta lietas Nr. SA. 43140 (2015/NN) “</w:t>
      </w:r>
      <w:r w:rsidRPr="00072722">
        <w:rPr>
          <w:sz w:val="28"/>
          <w:szCs w:val="28"/>
        </w:rPr>
        <w:t>Atbalsts elektroenerģijas ražotājiem”</w:t>
      </w:r>
      <w:r>
        <w:rPr>
          <w:sz w:val="28"/>
          <w:szCs w:val="28"/>
        </w:rPr>
        <w:t xml:space="preserve"> ietvaros vēl nav pieņemts, ir turpināms </w:t>
      </w:r>
      <w:r w:rsidRPr="00F17D10">
        <w:rPr>
          <w:sz w:val="28"/>
        </w:rPr>
        <w:t>Ministru kabineta 2</w:t>
      </w:r>
      <w:r>
        <w:rPr>
          <w:sz w:val="28"/>
        </w:rPr>
        <w:t>015. gada 17. septembra rīkojuma</w:t>
      </w:r>
      <w:r w:rsidRPr="00F17D10">
        <w:rPr>
          <w:sz w:val="28"/>
        </w:rPr>
        <w:t xml:space="preserve"> Nr. 567 “Par konceptuālo ziņojumu “Kompleksi pasākumi elektroenerģijas tirgus attīstībai”</w:t>
      </w:r>
      <w:r>
        <w:rPr>
          <w:sz w:val="28"/>
        </w:rPr>
        <w:t xml:space="preserve"> 3.punktā dotais uzdevums - </w:t>
      </w:r>
      <w:r w:rsidRPr="00072722">
        <w:rPr>
          <w:sz w:val="28"/>
        </w:rPr>
        <w:t xml:space="preserve">Ekonomikas ministrijai triju mēnešu laikā pēc tam, kad saņemts </w:t>
      </w:r>
      <w:r>
        <w:rPr>
          <w:sz w:val="28"/>
        </w:rPr>
        <w:t>EK</w:t>
      </w:r>
      <w:r w:rsidRPr="00072722">
        <w:rPr>
          <w:sz w:val="28"/>
        </w:rPr>
        <w:t xml:space="preserve"> lēmums valsts atbalsta lietā Nr. SA. 37970</w:t>
      </w:r>
      <w:r>
        <w:rPr>
          <w:sz w:val="28"/>
        </w:rPr>
        <w:t xml:space="preserve"> (pašreizējais lietas numurs -</w:t>
      </w:r>
      <w:r w:rsidRPr="00072722">
        <w:rPr>
          <w:sz w:val="28"/>
          <w:szCs w:val="28"/>
        </w:rPr>
        <w:t xml:space="preserve"> </w:t>
      </w:r>
      <w:r>
        <w:rPr>
          <w:sz w:val="28"/>
          <w:szCs w:val="28"/>
        </w:rPr>
        <w:t>SA. 43140 (2015/NN))</w:t>
      </w:r>
      <w:r w:rsidRPr="00072722">
        <w:rPr>
          <w:sz w:val="28"/>
        </w:rPr>
        <w:t>, iesniegt Ministru kabinetā ziņojumu par priekšlikumiem subsidētās elektroenerģijas nodokļa piemērošanai un tā likmēm no 2017. gada un turpmāk, atsevišķu elektroenerģijas ražošanas atbalsta formulu pārskatīšanai un paredzamiem grozījumiem normatīvajā regulējumā.</w:t>
      </w:r>
    </w:p>
    <w:p w14:paraId="6D7DE994" w14:textId="77777777" w:rsidR="008A006D" w:rsidRPr="004E7A07" w:rsidRDefault="008A006D" w:rsidP="008A006D">
      <w:pPr>
        <w:pStyle w:val="Caption"/>
        <w:keepNext/>
        <w:jc w:val="right"/>
        <w:rPr>
          <w:rFonts w:ascii="Times New Roman" w:hAnsi="Times New Roman"/>
          <w:sz w:val="24"/>
          <w:szCs w:val="24"/>
        </w:rPr>
      </w:pPr>
      <w:r w:rsidRPr="004E7A07">
        <w:rPr>
          <w:rFonts w:ascii="Times New Roman" w:hAnsi="Times New Roman"/>
          <w:sz w:val="24"/>
          <w:szCs w:val="24"/>
        </w:rPr>
        <w:t>4. tabula</w:t>
      </w:r>
    </w:p>
    <w:p w14:paraId="1276C33C" w14:textId="77777777" w:rsidR="008A006D" w:rsidRPr="004E7A07" w:rsidRDefault="004E7A07" w:rsidP="008A006D">
      <w:pPr>
        <w:pStyle w:val="Caption"/>
        <w:keepNext/>
        <w:jc w:val="center"/>
        <w:rPr>
          <w:rFonts w:ascii="Times New Roman" w:hAnsi="Times New Roman"/>
          <w:sz w:val="24"/>
          <w:szCs w:val="24"/>
        </w:rPr>
      </w:pPr>
      <w:r>
        <w:rPr>
          <w:rFonts w:ascii="Times New Roman" w:hAnsi="Times New Roman"/>
          <w:sz w:val="24"/>
          <w:szCs w:val="24"/>
        </w:rPr>
        <w:t>Grozījumu spēkā stāšanās datuma ietekme uz OIK</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681"/>
        <w:gridCol w:w="1134"/>
        <w:gridCol w:w="1134"/>
        <w:gridCol w:w="1134"/>
        <w:gridCol w:w="1134"/>
      </w:tblGrid>
      <w:tr w:rsidR="004E7A07" w:rsidRPr="004E7A07" w14:paraId="110FC4F0" w14:textId="77777777" w:rsidTr="00496AD2">
        <w:trPr>
          <w:trHeight w:val="333"/>
          <w:jc w:val="center"/>
        </w:trPr>
        <w:tc>
          <w:tcPr>
            <w:tcW w:w="3681" w:type="dxa"/>
            <w:shd w:val="clear" w:color="auto" w:fill="auto"/>
            <w:vAlign w:val="center"/>
            <w:hideMark/>
          </w:tcPr>
          <w:p w14:paraId="712CA0FF" w14:textId="77777777" w:rsidR="004E7A07" w:rsidRPr="00496AD2" w:rsidRDefault="004E7A07" w:rsidP="00496AD2">
            <w:pPr>
              <w:spacing w:after="0" w:line="240" w:lineRule="auto"/>
              <w:jc w:val="center"/>
              <w:rPr>
                <w:rFonts w:eastAsia="Times New Roman" w:cs="Times New Roman"/>
                <w:color w:val="000000"/>
                <w:szCs w:val="24"/>
                <w:lang w:eastAsia="lv-LV"/>
              </w:rPr>
            </w:pPr>
            <w:r w:rsidRPr="00496AD2">
              <w:rPr>
                <w:rFonts w:eastAsia="Times New Roman" w:cs="Times New Roman"/>
                <w:color w:val="000000"/>
                <w:szCs w:val="24"/>
                <w:lang w:eastAsia="lv-LV"/>
              </w:rPr>
              <w:t>Grozījumu spēkā stāšanās datums</w:t>
            </w:r>
          </w:p>
        </w:tc>
        <w:tc>
          <w:tcPr>
            <w:tcW w:w="1134" w:type="dxa"/>
            <w:shd w:val="clear" w:color="auto" w:fill="A5A5A5" w:themeFill="accent3"/>
            <w:vAlign w:val="center"/>
            <w:hideMark/>
          </w:tcPr>
          <w:p w14:paraId="58294C6C" w14:textId="77777777" w:rsidR="004E7A07" w:rsidRPr="00496AD2" w:rsidRDefault="004E7A07" w:rsidP="00496AD2">
            <w:pPr>
              <w:spacing w:after="0" w:line="240" w:lineRule="auto"/>
              <w:jc w:val="center"/>
              <w:rPr>
                <w:rFonts w:eastAsia="Times New Roman" w:cs="Times New Roman"/>
                <w:color w:val="000000"/>
                <w:szCs w:val="24"/>
                <w:lang w:eastAsia="lv-LV"/>
              </w:rPr>
            </w:pPr>
            <w:r w:rsidRPr="00496AD2">
              <w:rPr>
                <w:rFonts w:eastAsia="Times New Roman" w:cs="Times New Roman"/>
                <w:color w:val="000000"/>
                <w:szCs w:val="24"/>
                <w:lang w:eastAsia="lv-LV"/>
              </w:rPr>
              <w:t>01.10.</w:t>
            </w:r>
            <w:r w:rsidR="00496AD2">
              <w:rPr>
                <w:rFonts w:eastAsia="Times New Roman" w:cs="Times New Roman"/>
                <w:color w:val="000000"/>
                <w:szCs w:val="24"/>
                <w:lang w:eastAsia="lv-LV"/>
              </w:rPr>
              <w:br/>
            </w:r>
            <w:r w:rsidRPr="00496AD2">
              <w:rPr>
                <w:rFonts w:eastAsia="Times New Roman" w:cs="Times New Roman"/>
                <w:color w:val="000000"/>
                <w:szCs w:val="24"/>
                <w:lang w:eastAsia="lv-LV"/>
              </w:rPr>
              <w:t>2016.</w:t>
            </w:r>
          </w:p>
        </w:tc>
        <w:tc>
          <w:tcPr>
            <w:tcW w:w="1134" w:type="dxa"/>
            <w:shd w:val="clear" w:color="auto" w:fill="auto"/>
            <w:vAlign w:val="center"/>
            <w:hideMark/>
          </w:tcPr>
          <w:p w14:paraId="4365B9C1" w14:textId="77777777" w:rsidR="004E7A07" w:rsidRPr="00496AD2" w:rsidRDefault="004E7A07" w:rsidP="00496AD2">
            <w:pPr>
              <w:spacing w:after="0" w:line="240" w:lineRule="auto"/>
              <w:jc w:val="center"/>
              <w:rPr>
                <w:rFonts w:eastAsia="Times New Roman" w:cs="Times New Roman"/>
                <w:color w:val="000000"/>
                <w:szCs w:val="24"/>
                <w:lang w:eastAsia="lv-LV"/>
              </w:rPr>
            </w:pPr>
            <w:r w:rsidRPr="00496AD2">
              <w:rPr>
                <w:rFonts w:eastAsia="Times New Roman" w:cs="Times New Roman"/>
                <w:color w:val="000000"/>
                <w:szCs w:val="24"/>
                <w:lang w:eastAsia="lv-LV"/>
              </w:rPr>
              <w:t>01.11.</w:t>
            </w:r>
            <w:r w:rsidR="00496AD2">
              <w:rPr>
                <w:rFonts w:eastAsia="Times New Roman" w:cs="Times New Roman"/>
                <w:color w:val="000000"/>
                <w:szCs w:val="24"/>
                <w:lang w:eastAsia="lv-LV"/>
              </w:rPr>
              <w:br/>
            </w:r>
            <w:r w:rsidRPr="00496AD2">
              <w:rPr>
                <w:rFonts w:eastAsia="Times New Roman" w:cs="Times New Roman"/>
                <w:color w:val="000000"/>
                <w:szCs w:val="24"/>
                <w:lang w:eastAsia="lv-LV"/>
              </w:rPr>
              <w:t>2016.</w:t>
            </w:r>
          </w:p>
        </w:tc>
        <w:tc>
          <w:tcPr>
            <w:tcW w:w="1134" w:type="dxa"/>
            <w:shd w:val="clear" w:color="auto" w:fill="auto"/>
            <w:vAlign w:val="center"/>
            <w:hideMark/>
          </w:tcPr>
          <w:p w14:paraId="3093F7E2" w14:textId="77777777" w:rsidR="004E7A07" w:rsidRPr="00496AD2" w:rsidRDefault="004E7A07" w:rsidP="00496AD2">
            <w:pPr>
              <w:spacing w:after="0" w:line="240" w:lineRule="auto"/>
              <w:jc w:val="center"/>
              <w:rPr>
                <w:rFonts w:eastAsia="Times New Roman" w:cs="Times New Roman"/>
                <w:color w:val="000000"/>
                <w:szCs w:val="24"/>
                <w:lang w:eastAsia="lv-LV"/>
              </w:rPr>
            </w:pPr>
            <w:r w:rsidRPr="00496AD2">
              <w:rPr>
                <w:rFonts w:eastAsia="Times New Roman" w:cs="Times New Roman"/>
                <w:color w:val="000000"/>
                <w:szCs w:val="24"/>
                <w:lang w:eastAsia="lv-LV"/>
              </w:rPr>
              <w:t>01.12.</w:t>
            </w:r>
            <w:r w:rsidR="00496AD2">
              <w:rPr>
                <w:rFonts w:eastAsia="Times New Roman" w:cs="Times New Roman"/>
                <w:color w:val="000000"/>
                <w:szCs w:val="24"/>
                <w:lang w:eastAsia="lv-LV"/>
              </w:rPr>
              <w:br/>
            </w:r>
            <w:r w:rsidRPr="00496AD2">
              <w:rPr>
                <w:rFonts w:eastAsia="Times New Roman" w:cs="Times New Roman"/>
                <w:color w:val="000000"/>
                <w:szCs w:val="24"/>
                <w:lang w:eastAsia="lv-LV"/>
              </w:rPr>
              <w:t>2016.</w:t>
            </w:r>
          </w:p>
        </w:tc>
        <w:tc>
          <w:tcPr>
            <w:tcW w:w="1134" w:type="dxa"/>
            <w:shd w:val="clear" w:color="auto" w:fill="auto"/>
            <w:vAlign w:val="center"/>
            <w:hideMark/>
          </w:tcPr>
          <w:p w14:paraId="3799599E" w14:textId="77777777" w:rsidR="004E7A07" w:rsidRPr="00496AD2" w:rsidRDefault="004E7A07" w:rsidP="00496AD2">
            <w:pPr>
              <w:spacing w:after="0" w:line="240" w:lineRule="auto"/>
              <w:jc w:val="center"/>
              <w:rPr>
                <w:rFonts w:eastAsia="Times New Roman" w:cs="Times New Roman"/>
                <w:color w:val="000000"/>
                <w:szCs w:val="24"/>
                <w:lang w:eastAsia="lv-LV"/>
              </w:rPr>
            </w:pPr>
            <w:r w:rsidRPr="00496AD2">
              <w:rPr>
                <w:rFonts w:eastAsia="Times New Roman" w:cs="Times New Roman"/>
                <w:color w:val="000000"/>
                <w:szCs w:val="24"/>
                <w:lang w:eastAsia="lv-LV"/>
              </w:rPr>
              <w:t>01.01.</w:t>
            </w:r>
            <w:r w:rsidR="00496AD2">
              <w:rPr>
                <w:rFonts w:eastAsia="Times New Roman" w:cs="Times New Roman"/>
                <w:color w:val="000000"/>
                <w:szCs w:val="24"/>
                <w:lang w:eastAsia="lv-LV"/>
              </w:rPr>
              <w:br/>
            </w:r>
            <w:r w:rsidRPr="00496AD2">
              <w:rPr>
                <w:rFonts w:eastAsia="Times New Roman" w:cs="Times New Roman"/>
                <w:color w:val="000000"/>
                <w:szCs w:val="24"/>
                <w:lang w:eastAsia="lv-LV"/>
              </w:rPr>
              <w:t>2017.</w:t>
            </w:r>
          </w:p>
        </w:tc>
      </w:tr>
      <w:tr w:rsidR="00496AD2" w:rsidRPr="004E7A07" w14:paraId="2915F3EE" w14:textId="77777777" w:rsidTr="00496AD2">
        <w:trPr>
          <w:trHeight w:val="699"/>
          <w:jc w:val="center"/>
        </w:trPr>
        <w:tc>
          <w:tcPr>
            <w:tcW w:w="3681" w:type="dxa"/>
            <w:shd w:val="clear" w:color="auto" w:fill="auto"/>
            <w:vAlign w:val="center"/>
          </w:tcPr>
          <w:p w14:paraId="2502EA0E" w14:textId="77777777" w:rsidR="00496AD2" w:rsidRPr="004E7A07" w:rsidRDefault="00496AD2" w:rsidP="00496AD2">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Kopējās OI un garantētas maksas par uzstādīto jaudu izmaksas</w:t>
            </w:r>
            <w:r w:rsidRPr="004E7A07">
              <w:rPr>
                <w:rFonts w:eastAsia="Times New Roman" w:cs="Times New Roman"/>
                <w:color w:val="000000"/>
                <w:szCs w:val="24"/>
                <w:lang w:eastAsia="lv-LV"/>
              </w:rPr>
              <w:t xml:space="preserve"> 2016.g.,</w:t>
            </w:r>
            <w:r>
              <w:rPr>
                <w:rFonts w:eastAsia="Times New Roman" w:cs="Times New Roman"/>
                <w:color w:val="000000"/>
                <w:szCs w:val="24"/>
                <w:lang w:eastAsia="lv-LV"/>
              </w:rPr>
              <w:t xml:space="preserve"> </w:t>
            </w:r>
            <w:r w:rsidRPr="004E7A07">
              <w:rPr>
                <w:rFonts w:eastAsia="Times New Roman" w:cs="Times New Roman"/>
                <w:color w:val="000000"/>
                <w:szCs w:val="24"/>
                <w:lang w:eastAsia="lv-LV"/>
              </w:rPr>
              <w:t>tūkst.</w:t>
            </w:r>
            <w:r>
              <w:rPr>
                <w:rFonts w:eastAsia="Times New Roman" w:cs="Times New Roman"/>
                <w:color w:val="000000"/>
                <w:szCs w:val="24"/>
                <w:lang w:eastAsia="lv-LV"/>
              </w:rPr>
              <w:t> </w:t>
            </w:r>
            <w:r w:rsidRPr="004E7A07">
              <w:rPr>
                <w:szCs w:val="24"/>
              </w:rPr>
              <w:t>EUR</w:t>
            </w:r>
          </w:p>
        </w:tc>
        <w:tc>
          <w:tcPr>
            <w:tcW w:w="1134" w:type="dxa"/>
            <w:shd w:val="clear" w:color="auto" w:fill="A5A5A5" w:themeFill="accent3"/>
            <w:vAlign w:val="center"/>
          </w:tcPr>
          <w:p w14:paraId="7BD9DDC5" w14:textId="77777777" w:rsidR="00496AD2" w:rsidRPr="004E7A07" w:rsidRDefault="00496AD2" w:rsidP="00496AD2">
            <w:pPr>
              <w:spacing w:after="0" w:line="240" w:lineRule="auto"/>
              <w:jc w:val="center"/>
              <w:rPr>
                <w:rFonts w:eastAsia="Times New Roman" w:cs="Times New Roman"/>
                <w:color w:val="000000"/>
                <w:szCs w:val="24"/>
                <w:lang w:eastAsia="lv-LV"/>
              </w:rPr>
            </w:pPr>
            <w:r w:rsidRPr="00496AD2">
              <w:t>294</w:t>
            </w:r>
            <w:r>
              <w:t> </w:t>
            </w:r>
            <w:r w:rsidRPr="00496AD2">
              <w:t>922</w:t>
            </w:r>
          </w:p>
        </w:tc>
        <w:tc>
          <w:tcPr>
            <w:tcW w:w="1134" w:type="dxa"/>
            <w:shd w:val="clear" w:color="auto" w:fill="auto"/>
            <w:vAlign w:val="center"/>
          </w:tcPr>
          <w:p w14:paraId="701DC1BB" w14:textId="77777777" w:rsidR="00496AD2" w:rsidRPr="004E7A07" w:rsidRDefault="00496AD2" w:rsidP="00496AD2">
            <w:pPr>
              <w:spacing w:after="0" w:line="240" w:lineRule="auto"/>
              <w:jc w:val="center"/>
              <w:rPr>
                <w:rFonts w:eastAsia="Times New Roman" w:cs="Times New Roman"/>
                <w:color w:val="000000"/>
                <w:szCs w:val="24"/>
                <w:lang w:eastAsia="lv-LV"/>
              </w:rPr>
            </w:pPr>
            <w:r w:rsidRPr="0068187E">
              <w:t>293</w:t>
            </w:r>
            <w:r>
              <w:t> </w:t>
            </w:r>
            <w:r w:rsidRPr="0068187E">
              <w:t>300</w:t>
            </w:r>
          </w:p>
        </w:tc>
        <w:tc>
          <w:tcPr>
            <w:tcW w:w="1134" w:type="dxa"/>
            <w:shd w:val="clear" w:color="auto" w:fill="auto"/>
            <w:vAlign w:val="center"/>
          </w:tcPr>
          <w:p w14:paraId="409E03D1" w14:textId="77777777" w:rsidR="00496AD2" w:rsidRPr="004E7A07" w:rsidRDefault="00496AD2" w:rsidP="00496AD2">
            <w:pPr>
              <w:spacing w:after="0" w:line="240" w:lineRule="auto"/>
              <w:jc w:val="center"/>
              <w:rPr>
                <w:rFonts w:eastAsia="Times New Roman" w:cs="Times New Roman"/>
                <w:color w:val="000000"/>
                <w:szCs w:val="24"/>
                <w:lang w:eastAsia="lv-LV"/>
              </w:rPr>
            </w:pPr>
            <w:r w:rsidRPr="00314069">
              <w:t>291</w:t>
            </w:r>
            <w:r>
              <w:t> </w:t>
            </w:r>
            <w:r w:rsidRPr="00314069">
              <w:t>466</w:t>
            </w:r>
          </w:p>
        </w:tc>
        <w:tc>
          <w:tcPr>
            <w:tcW w:w="1134" w:type="dxa"/>
            <w:shd w:val="clear" w:color="auto" w:fill="auto"/>
            <w:vAlign w:val="center"/>
          </w:tcPr>
          <w:p w14:paraId="09053D86" w14:textId="77777777" w:rsidR="00496AD2" w:rsidRPr="004E7A07" w:rsidRDefault="00496AD2" w:rsidP="00496AD2">
            <w:pPr>
              <w:spacing w:after="0" w:line="240" w:lineRule="auto"/>
              <w:jc w:val="center"/>
              <w:rPr>
                <w:rFonts w:eastAsia="Times New Roman" w:cs="Times New Roman"/>
                <w:color w:val="000000"/>
                <w:szCs w:val="24"/>
                <w:lang w:eastAsia="lv-LV"/>
              </w:rPr>
            </w:pPr>
            <w:r w:rsidRPr="001E6B7F">
              <w:t>290</w:t>
            </w:r>
            <w:r>
              <w:t> </w:t>
            </w:r>
            <w:r w:rsidRPr="001E6B7F">
              <w:t>010</w:t>
            </w:r>
          </w:p>
        </w:tc>
      </w:tr>
      <w:tr w:rsidR="00496AD2" w:rsidRPr="004E7A07" w14:paraId="64F644C1" w14:textId="77777777" w:rsidTr="00496AD2">
        <w:trPr>
          <w:trHeight w:val="699"/>
          <w:jc w:val="center"/>
        </w:trPr>
        <w:tc>
          <w:tcPr>
            <w:tcW w:w="3681" w:type="dxa"/>
            <w:shd w:val="clear" w:color="auto" w:fill="auto"/>
            <w:vAlign w:val="center"/>
            <w:hideMark/>
          </w:tcPr>
          <w:p w14:paraId="4A3BB86B" w14:textId="77777777" w:rsidR="00496AD2" w:rsidRPr="004E7A07" w:rsidRDefault="00496AD2" w:rsidP="00496AD2">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Atbalsts virs tirgus cenas</w:t>
            </w:r>
            <w:r w:rsidRPr="004E7A07">
              <w:rPr>
                <w:rFonts w:eastAsia="Times New Roman" w:cs="Times New Roman"/>
                <w:color w:val="000000"/>
                <w:szCs w:val="24"/>
                <w:lang w:eastAsia="lv-LV"/>
              </w:rPr>
              <w:t xml:space="preserve"> 2016.g.,</w:t>
            </w:r>
            <w:r>
              <w:rPr>
                <w:rFonts w:eastAsia="Times New Roman" w:cs="Times New Roman"/>
                <w:color w:val="000000"/>
                <w:szCs w:val="24"/>
                <w:lang w:eastAsia="lv-LV"/>
              </w:rPr>
              <w:t xml:space="preserve"> </w:t>
            </w:r>
            <w:r w:rsidRPr="004E7A07">
              <w:rPr>
                <w:rFonts w:eastAsia="Times New Roman" w:cs="Times New Roman"/>
                <w:color w:val="000000"/>
                <w:szCs w:val="24"/>
                <w:lang w:eastAsia="lv-LV"/>
              </w:rPr>
              <w:t>tūkst.</w:t>
            </w:r>
            <w:r>
              <w:rPr>
                <w:rFonts w:eastAsia="Times New Roman" w:cs="Times New Roman"/>
                <w:color w:val="000000"/>
                <w:szCs w:val="24"/>
                <w:lang w:eastAsia="lv-LV"/>
              </w:rPr>
              <w:t> </w:t>
            </w:r>
            <w:r w:rsidRPr="004E7A07">
              <w:rPr>
                <w:szCs w:val="24"/>
              </w:rPr>
              <w:t>EUR</w:t>
            </w:r>
          </w:p>
        </w:tc>
        <w:tc>
          <w:tcPr>
            <w:tcW w:w="1134" w:type="dxa"/>
            <w:shd w:val="clear" w:color="auto" w:fill="A5A5A5" w:themeFill="accent3"/>
            <w:vAlign w:val="center"/>
          </w:tcPr>
          <w:p w14:paraId="701EBB3B" w14:textId="77777777" w:rsidR="00496AD2" w:rsidRPr="004E7A07" w:rsidRDefault="00496AD2" w:rsidP="00496AD2">
            <w:pPr>
              <w:spacing w:after="0" w:line="240" w:lineRule="auto"/>
              <w:jc w:val="center"/>
              <w:rPr>
                <w:rFonts w:eastAsia="Times New Roman" w:cs="Times New Roman"/>
                <w:color w:val="000000"/>
                <w:szCs w:val="24"/>
                <w:lang w:eastAsia="lv-LV"/>
              </w:rPr>
            </w:pPr>
            <w:r w:rsidRPr="007575C1">
              <w:t>238</w:t>
            </w:r>
            <w:r>
              <w:t> </w:t>
            </w:r>
            <w:r w:rsidRPr="007575C1">
              <w:t>446</w:t>
            </w:r>
          </w:p>
        </w:tc>
        <w:tc>
          <w:tcPr>
            <w:tcW w:w="1134" w:type="dxa"/>
            <w:shd w:val="clear" w:color="auto" w:fill="auto"/>
            <w:vAlign w:val="center"/>
          </w:tcPr>
          <w:p w14:paraId="6601C8E2" w14:textId="77777777" w:rsidR="00496AD2" w:rsidRPr="004E7A07" w:rsidRDefault="00496AD2" w:rsidP="00496AD2">
            <w:pPr>
              <w:spacing w:after="0" w:line="240" w:lineRule="auto"/>
              <w:jc w:val="center"/>
              <w:rPr>
                <w:rFonts w:eastAsia="Times New Roman" w:cs="Times New Roman"/>
                <w:color w:val="000000"/>
                <w:szCs w:val="24"/>
                <w:lang w:eastAsia="lv-LV"/>
              </w:rPr>
            </w:pPr>
            <w:r w:rsidRPr="0068187E">
              <w:t>236</w:t>
            </w:r>
            <w:r>
              <w:t> </w:t>
            </w:r>
            <w:r w:rsidRPr="0068187E">
              <w:t>823</w:t>
            </w:r>
          </w:p>
        </w:tc>
        <w:tc>
          <w:tcPr>
            <w:tcW w:w="1134" w:type="dxa"/>
            <w:shd w:val="clear" w:color="auto" w:fill="auto"/>
            <w:vAlign w:val="center"/>
          </w:tcPr>
          <w:p w14:paraId="6D846914" w14:textId="77777777" w:rsidR="00496AD2" w:rsidRPr="004E7A07" w:rsidRDefault="00496AD2" w:rsidP="00496AD2">
            <w:pPr>
              <w:spacing w:after="0" w:line="240" w:lineRule="auto"/>
              <w:jc w:val="center"/>
              <w:rPr>
                <w:rFonts w:eastAsia="Times New Roman" w:cs="Times New Roman"/>
                <w:color w:val="000000"/>
                <w:szCs w:val="24"/>
                <w:lang w:eastAsia="lv-LV"/>
              </w:rPr>
            </w:pPr>
            <w:r w:rsidRPr="00314069">
              <w:t>234</w:t>
            </w:r>
            <w:r>
              <w:t> </w:t>
            </w:r>
            <w:r w:rsidRPr="00314069">
              <w:t>990</w:t>
            </w:r>
          </w:p>
        </w:tc>
        <w:tc>
          <w:tcPr>
            <w:tcW w:w="1134" w:type="dxa"/>
            <w:shd w:val="clear" w:color="auto" w:fill="auto"/>
            <w:vAlign w:val="center"/>
          </w:tcPr>
          <w:p w14:paraId="0BC02273" w14:textId="77777777" w:rsidR="00496AD2" w:rsidRPr="004E7A07" w:rsidRDefault="00496AD2" w:rsidP="00496AD2">
            <w:pPr>
              <w:spacing w:after="0" w:line="240" w:lineRule="auto"/>
              <w:jc w:val="center"/>
              <w:rPr>
                <w:rFonts w:eastAsia="Times New Roman" w:cs="Times New Roman"/>
                <w:color w:val="000000"/>
                <w:szCs w:val="24"/>
                <w:lang w:eastAsia="lv-LV"/>
              </w:rPr>
            </w:pPr>
            <w:r w:rsidRPr="001E6B7F">
              <w:t>233</w:t>
            </w:r>
            <w:r>
              <w:t> </w:t>
            </w:r>
            <w:r w:rsidRPr="001E6B7F">
              <w:t>533</w:t>
            </w:r>
          </w:p>
        </w:tc>
      </w:tr>
      <w:tr w:rsidR="00496AD2" w:rsidRPr="004E7A07" w14:paraId="28BF6EB3" w14:textId="77777777" w:rsidTr="00496AD2">
        <w:trPr>
          <w:trHeight w:val="271"/>
          <w:jc w:val="center"/>
        </w:trPr>
        <w:tc>
          <w:tcPr>
            <w:tcW w:w="3681" w:type="dxa"/>
            <w:shd w:val="clear" w:color="auto" w:fill="auto"/>
            <w:vAlign w:val="center"/>
          </w:tcPr>
          <w:p w14:paraId="56B89C0B" w14:textId="633C1837" w:rsidR="00496AD2" w:rsidRPr="004E7A07" w:rsidRDefault="00496AD2" w:rsidP="00496AD2">
            <w:pPr>
              <w:spacing w:after="0" w:line="240" w:lineRule="auto"/>
              <w:jc w:val="center"/>
              <w:rPr>
                <w:rFonts w:eastAsia="Times New Roman" w:cs="Times New Roman"/>
                <w:color w:val="000000"/>
                <w:szCs w:val="24"/>
                <w:lang w:eastAsia="lv-LV"/>
              </w:rPr>
            </w:pPr>
            <w:r w:rsidRPr="004E7A07">
              <w:rPr>
                <w:rFonts w:eastAsia="Times New Roman" w:cs="Times New Roman"/>
                <w:color w:val="000000"/>
                <w:szCs w:val="24"/>
                <w:lang w:eastAsia="lv-LV"/>
              </w:rPr>
              <w:t xml:space="preserve">2017.g. OIK prognoze, </w:t>
            </w:r>
            <w:r w:rsidRPr="004E7A07">
              <w:rPr>
                <w:szCs w:val="24"/>
              </w:rPr>
              <w:t>EUR/</w:t>
            </w:r>
            <w:proofErr w:type="spellStart"/>
            <w:r w:rsidRPr="004E7A07">
              <w:rPr>
                <w:szCs w:val="24"/>
              </w:rPr>
              <w:t>MWh</w:t>
            </w:r>
            <w:proofErr w:type="spellEnd"/>
          </w:p>
        </w:tc>
        <w:tc>
          <w:tcPr>
            <w:tcW w:w="1134" w:type="dxa"/>
            <w:shd w:val="clear" w:color="auto" w:fill="A5A5A5" w:themeFill="accent3"/>
            <w:vAlign w:val="center"/>
          </w:tcPr>
          <w:p w14:paraId="03473C79" w14:textId="77777777" w:rsidR="00496AD2" w:rsidRPr="004E7A07" w:rsidRDefault="00496AD2" w:rsidP="00496AD2">
            <w:pPr>
              <w:spacing w:after="0" w:line="240" w:lineRule="auto"/>
              <w:jc w:val="center"/>
              <w:rPr>
                <w:rFonts w:eastAsia="Times New Roman" w:cs="Times New Roman"/>
                <w:i/>
                <w:color w:val="000000"/>
                <w:szCs w:val="24"/>
                <w:lang w:eastAsia="lv-LV"/>
              </w:rPr>
            </w:pPr>
            <w:r w:rsidRPr="007575C1">
              <w:t>36,61</w:t>
            </w:r>
          </w:p>
        </w:tc>
        <w:tc>
          <w:tcPr>
            <w:tcW w:w="1134" w:type="dxa"/>
            <w:shd w:val="clear" w:color="auto" w:fill="auto"/>
            <w:vAlign w:val="center"/>
          </w:tcPr>
          <w:p w14:paraId="5EE7A5B4" w14:textId="77777777" w:rsidR="00496AD2" w:rsidRPr="004E7A07" w:rsidRDefault="00496AD2" w:rsidP="00496AD2">
            <w:pPr>
              <w:spacing w:after="0" w:line="240" w:lineRule="auto"/>
              <w:jc w:val="center"/>
              <w:rPr>
                <w:rFonts w:eastAsia="Times New Roman" w:cs="Times New Roman"/>
                <w:color w:val="000000"/>
                <w:szCs w:val="24"/>
                <w:lang w:eastAsia="lv-LV"/>
              </w:rPr>
            </w:pPr>
            <w:r w:rsidRPr="0068187E">
              <w:t>36,37</w:t>
            </w:r>
          </w:p>
        </w:tc>
        <w:tc>
          <w:tcPr>
            <w:tcW w:w="1134" w:type="dxa"/>
            <w:shd w:val="clear" w:color="auto" w:fill="auto"/>
            <w:vAlign w:val="center"/>
          </w:tcPr>
          <w:p w14:paraId="77CCC9A0" w14:textId="77777777" w:rsidR="00496AD2" w:rsidRPr="004E7A07" w:rsidRDefault="00496AD2" w:rsidP="00496AD2">
            <w:pPr>
              <w:spacing w:after="0" w:line="240" w:lineRule="auto"/>
              <w:jc w:val="center"/>
              <w:rPr>
                <w:rFonts w:eastAsia="Times New Roman" w:cs="Times New Roman"/>
                <w:color w:val="000000"/>
                <w:szCs w:val="24"/>
                <w:lang w:eastAsia="lv-LV"/>
              </w:rPr>
            </w:pPr>
            <w:r w:rsidRPr="00314069">
              <w:t>36,10</w:t>
            </w:r>
          </w:p>
        </w:tc>
        <w:tc>
          <w:tcPr>
            <w:tcW w:w="1134" w:type="dxa"/>
            <w:shd w:val="clear" w:color="auto" w:fill="auto"/>
            <w:vAlign w:val="center"/>
          </w:tcPr>
          <w:p w14:paraId="065FEACD" w14:textId="77777777" w:rsidR="00496AD2" w:rsidRPr="004E7A07" w:rsidRDefault="00496AD2" w:rsidP="00496AD2">
            <w:pPr>
              <w:spacing w:after="0" w:line="240" w:lineRule="auto"/>
              <w:jc w:val="center"/>
              <w:rPr>
                <w:rFonts w:eastAsia="Times New Roman" w:cs="Times New Roman"/>
                <w:color w:val="000000"/>
                <w:szCs w:val="24"/>
                <w:lang w:eastAsia="lv-LV"/>
              </w:rPr>
            </w:pPr>
            <w:r w:rsidRPr="001E6B7F">
              <w:t>35,88</w:t>
            </w:r>
          </w:p>
        </w:tc>
      </w:tr>
    </w:tbl>
    <w:p w14:paraId="530693A8" w14:textId="77777777" w:rsidR="00F45744" w:rsidRDefault="00F45744" w:rsidP="00F77AD2">
      <w:pPr>
        <w:spacing w:before="120" w:after="0" w:line="240" w:lineRule="auto"/>
        <w:ind w:firstLine="851"/>
        <w:rPr>
          <w:sz w:val="28"/>
          <w:szCs w:val="28"/>
        </w:rPr>
      </w:pPr>
    </w:p>
    <w:p w14:paraId="3E5B6A93" w14:textId="1379D046" w:rsidR="00F77AD2" w:rsidRDefault="00F77AD2" w:rsidP="00F77AD2">
      <w:pPr>
        <w:spacing w:before="120" w:after="0" w:line="240" w:lineRule="auto"/>
        <w:ind w:firstLine="851"/>
        <w:rPr>
          <w:sz w:val="28"/>
          <w:szCs w:val="28"/>
        </w:rPr>
      </w:pPr>
      <w:r>
        <w:rPr>
          <w:sz w:val="28"/>
          <w:szCs w:val="28"/>
        </w:rPr>
        <w:t>Līdztekus tam, jāatzīmē, ka 2016.</w:t>
      </w:r>
      <w:r w:rsidR="00E52784">
        <w:rPr>
          <w:sz w:val="28"/>
          <w:szCs w:val="28"/>
        </w:rPr>
        <w:t> </w:t>
      </w:r>
      <w:r>
        <w:rPr>
          <w:sz w:val="28"/>
          <w:szCs w:val="28"/>
        </w:rPr>
        <w:t xml:space="preserve">gada </w:t>
      </w:r>
      <w:r w:rsidR="00BD32C9">
        <w:rPr>
          <w:sz w:val="28"/>
          <w:szCs w:val="28"/>
        </w:rPr>
        <w:t>22.</w:t>
      </w:r>
      <w:r w:rsidR="00E52784">
        <w:rPr>
          <w:sz w:val="28"/>
          <w:szCs w:val="28"/>
        </w:rPr>
        <w:t> </w:t>
      </w:r>
      <w:r w:rsidR="00BD32C9">
        <w:rPr>
          <w:sz w:val="28"/>
          <w:szCs w:val="28"/>
        </w:rPr>
        <w:t>jūnijā</w:t>
      </w:r>
      <w:r>
        <w:rPr>
          <w:sz w:val="28"/>
          <w:szCs w:val="28"/>
        </w:rPr>
        <w:t xml:space="preserve"> </w:t>
      </w:r>
      <w:r w:rsidR="00BD32C9">
        <w:rPr>
          <w:sz w:val="28"/>
          <w:szCs w:val="28"/>
        </w:rPr>
        <w:t xml:space="preserve">stājās </w:t>
      </w:r>
      <w:r>
        <w:rPr>
          <w:sz w:val="28"/>
          <w:szCs w:val="28"/>
        </w:rPr>
        <w:t xml:space="preserve">spēkā grozījumi </w:t>
      </w:r>
      <w:hyperlink r:id="rId9" w:tgtFrame="_blank" w:history="1">
        <w:r w:rsidRPr="0068008C">
          <w:rPr>
            <w:sz w:val="28"/>
            <w:szCs w:val="28"/>
          </w:rPr>
          <w:t>Elektroenerģijas tirgus likumā</w:t>
        </w:r>
      </w:hyperlink>
      <w:r>
        <w:rPr>
          <w:sz w:val="28"/>
          <w:szCs w:val="28"/>
        </w:rPr>
        <w:t xml:space="preserve">, kas cita starpā paredz elektroenerģijas ražotājiem nepiešķirt jaunas tiesības pārdot saražoto elektroenerģiju </w:t>
      </w:r>
      <w:r w:rsidR="00E52784">
        <w:rPr>
          <w:sz w:val="28"/>
          <w:szCs w:val="28"/>
        </w:rPr>
        <w:t>OI</w:t>
      </w:r>
      <w:r>
        <w:rPr>
          <w:sz w:val="28"/>
          <w:szCs w:val="28"/>
        </w:rPr>
        <w:t xml:space="preserve"> ietvaros, kā arī saņemt </w:t>
      </w:r>
      <w:r w:rsidR="008177C7">
        <w:rPr>
          <w:sz w:val="28"/>
          <w:szCs w:val="28"/>
        </w:rPr>
        <w:t xml:space="preserve">garantēto </w:t>
      </w:r>
      <w:r>
        <w:rPr>
          <w:sz w:val="28"/>
          <w:szCs w:val="28"/>
        </w:rPr>
        <w:t>maks</w:t>
      </w:r>
      <w:r w:rsidR="00BD32C9">
        <w:rPr>
          <w:sz w:val="28"/>
          <w:szCs w:val="28"/>
        </w:rPr>
        <w:t>u</w:t>
      </w:r>
      <w:r>
        <w:rPr>
          <w:sz w:val="28"/>
          <w:szCs w:val="28"/>
        </w:rPr>
        <w:t xml:space="preserve"> par </w:t>
      </w:r>
      <w:r w:rsidR="008177C7">
        <w:rPr>
          <w:sz w:val="28"/>
          <w:szCs w:val="28"/>
        </w:rPr>
        <w:t xml:space="preserve">uzstādīto elektrisko </w:t>
      </w:r>
      <w:r>
        <w:rPr>
          <w:sz w:val="28"/>
          <w:szCs w:val="28"/>
        </w:rPr>
        <w:t>jaudu. Tā vietā līdz 2018.</w:t>
      </w:r>
      <w:r w:rsidR="00E52784">
        <w:rPr>
          <w:sz w:val="28"/>
          <w:szCs w:val="28"/>
        </w:rPr>
        <w:t> </w:t>
      </w:r>
      <w:r>
        <w:rPr>
          <w:sz w:val="28"/>
          <w:szCs w:val="28"/>
        </w:rPr>
        <w:t xml:space="preserve">gadam plānots izstrādāt un </w:t>
      </w:r>
      <w:r w:rsidR="00BD32C9">
        <w:rPr>
          <w:sz w:val="28"/>
          <w:szCs w:val="28"/>
        </w:rPr>
        <w:t>no</w:t>
      </w:r>
      <w:r>
        <w:rPr>
          <w:sz w:val="28"/>
          <w:szCs w:val="28"/>
        </w:rPr>
        <w:t xml:space="preserve"> 2020.</w:t>
      </w:r>
      <w:r w:rsidR="00E52784">
        <w:rPr>
          <w:sz w:val="28"/>
          <w:szCs w:val="28"/>
        </w:rPr>
        <w:t> </w:t>
      </w:r>
      <w:r>
        <w:rPr>
          <w:sz w:val="28"/>
          <w:szCs w:val="28"/>
        </w:rPr>
        <w:t>gad</w:t>
      </w:r>
      <w:r w:rsidR="00BD32C9">
        <w:rPr>
          <w:sz w:val="28"/>
          <w:szCs w:val="28"/>
        </w:rPr>
        <w:t>a</w:t>
      </w:r>
      <w:r>
        <w:rPr>
          <w:sz w:val="28"/>
          <w:szCs w:val="28"/>
        </w:rPr>
        <w:t xml:space="preserve"> piemērot jaunu, izmaksu efektīvu atbalsta mehānismu, kas atbilstu sabiedrības interesēm un veicinātu konkurētspējīgas enerģijas ražošanu no </w:t>
      </w:r>
      <w:r w:rsidR="00E52784">
        <w:rPr>
          <w:sz w:val="28"/>
          <w:szCs w:val="28"/>
        </w:rPr>
        <w:t>AER</w:t>
      </w:r>
      <w:r>
        <w:rPr>
          <w:rStyle w:val="FootnoteReference"/>
          <w:sz w:val="28"/>
          <w:szCs w:val="28"/>
        </w:rPr>
        <w:footnoteReference w:id="4"/>
      </w:r>
      <w:r>
        <w:rPr>
          <w:sz w:val="28"/>
          <w:szCs w:val="28"/>
        </w:rPr>
        <w:t>.</w:t>
      </w:r>
    </w:p>
    <w:p w14:paraId="54145B5F" w14:textId="77777777" w:rsidR="00496AD2" w:rsidRDefault="008A006D" w:rsidP="008A006D">
      <w:pPr>
        <w:pStyle w:val="BodyText2"/>
        <w:ind w:firstLine="851"/>
        <w:rPr>
          <w:sz w:val="28"/>
          <w:szCs w:val="28"/>
        </w:rPr>
      </w:pPr>
      <w:r w:rsidRPr="00D67152">
        <w:rPr>
          <w:sz w:val="28"/>
          <w:szCs w:val="28"/>
        </w:rPr>
        <w:t xml:space="preserve">OIK </w:t>
      </w:r>
      <w:r>
        <w:rPr>
          <w:sz w:val="28"/>
          <w:szCs w:val="28"/>
        </w:rPr>
        <w:t>izmaiņas</w:t>
      </w:r>
      <w:r w:rsidRPr="00D67152">
        <w:rPr>
          <w:sz w:val="28"/>
          <w:szCs w:val="28"/>
        </w:rPr>
        <w:t xml:space="preserve"> pa gadiem </w:t>
      </w:r>
      <w:r>
        <w:rPr>
          <w:sz w:val="28"/>
          <w:szCs w:val="28"/>
        </w:rPr>
        <w:t>bez dotācijas no valsts budžeta s</w:t>
      </w:r>
      <w:r w:rsidRPr="00D67152">
        <w:rPr>
          <w:sz w:val="28"/>
          <w:szCs w:val="28"/>
        </w:rPr>
        <w:t>askaņā ar publiskā tirgotāja prognozēm</w:t>
      </w:r>
      <w:r>
        <w:rPr>
          <w:sz w:val="28"/>
          <w:szCs w:val="28"/>
        </w:rPr>
        <w:t xml:space="preserve"> atspoguļotas 1.attēlā. </w:t>
      </w:r>
    </w:p>
    <w:p w14:paraId="2C0240C7" w14:textId="77777777" w:rsidR="00244A2C" w:rsidRPr="00244A2C" w:rsidRDefault="00244A2C" w:rsidP="008A006D">
      <w:pPr>
        <w:pStyle w:val="BodyText2"/>
        <w:ind w:firstLine="851"/>
        <w:rPr>
          <w:sz w:val="18"/>
          <w:szCs w:val="28"/>
        </w:rPr>
      </w:pPr>
    </w:p>
    <w:p w14:paraId="6D7BD008" w14:textId="77777777" w:rsidR="00496AD2" w:rsidRDefault="00045F0A" w:rsidP="00496AD2">
      <w:pPr>
        <w:pStyle w:val="BodyText2"/>
        <w:jc w:val="center"/>
        <w:rPr>
          <w:sz w:val="28"/>
          <w:szCs w:val="28"/>
        </w:rPr>
      </w:pPr>
      <w:r>
        <w:rPr>
          <w:noProof/>
          <w:sz w:val="28"/>
          <w:szCs w:val="28"/>
        </w:rPr>
        <w:lastRenderedPageBreak/>
        <w:drawing>
          <wp:inline distT="0" distB="0" distL="0" distR="0" wp14:anchorId="6013F26B" wp14:editId="7847EBBA">
            <wp:extent cx="4904435" cy="321613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8030" cy="3231610"/>
                    </a:xfrm>
                    <a:prstGeom prst="rect">
                      <a:avLst/>
                    </a:prstGeom>
                    <a:noFill/>
                  </pic:spPr>
                </pic:pic>
              </a:graphicData>
            </a:graphic>
          </wp:inline>
        </w:drawing>
      </w:r>
    </w:p>
    <w:p w14:paraId="41E8B685" w14:textId="77777777" w:rsidR="00496AD2" w:rsidRDefault="00496AD2" w:rsidP="00726A55">
      <w:pPr>
        <w:pStyle w:val="BodyText2"/>
        <w:jc w:val="left"/>
        <w:rPr>
          <w:szCs w:val="24"/>
        </w:rPr>
      </w:pPr>
      <w:r>
        <w:rPr>
          <w:b/>
          <w:szCs w:val="24"/>
        </w:rPr>
        <w:t>1</w:t>
      </w:r>
      <w:r w:rsidRPr="00D67152">
        <w:rPr>
          <w:b/>
          <w:szCs w:val="24"/>
        </w:rPr>
        <w:t xml:space="preserve">.attēls. </w:t>
      </w:r>
      <w:r>
        <w:rPr>
          <w:b/>
          <w:szCs w:val="24"/>
        </w:rPr>
        <w:t xml:space="preserve">Faktiskā </w:t>
      </w:r>
      <w:r w:rsidRPr="00D67152">
        <w:rPr>
          <w:b/>
          <w:szCs w:val="24"/>
        </w:rPr>
        <w:t>OIK</w:t>
      </w:r>
      <w:r>
        <w:rPr>
          <w:b/>
          <w:szCs w:val="24"/>
        </w:rPr>
        <w:t xml:space="preserve"> un tās</w:t>
      </w:r>
      <w:r w:rsidRPr="00D67152">
        <w:rPr>
          <w:b/>
          <w:szCs w:val="24"/>
        </w:rPr>
        <w:t xml:space="preserve"> prognoze (EUR/</w:t>
      </w:r>
      <w:proofErr w:type="spellStart"/>
      <w:r w:rsidRPr="00D67152">
        <w:rPr>
          <w:b/>
          <w:szCs w:val="24"/>
        </w:rPr>
        <w:t>MWh</w:t>
      </w:r>
      <w:proofErr w:type="spellEnd"/>
      <w:r w:rsidRPr="00D67152">
        <w:rPr>
          <w:b/>
          <w:szCs w:val="24"/>
        </w:rPr>
        <w:t>)</w:t>
      </w:r>
      <w:r>
        <w:rPr>
          <w:b/>
          <w:szCs w:val="24"/>
        </w:rPr>
        <w:t xml:space="preserve"> </w:t>
      </w:r>
      <w:r>
        <w:rPr>
          <w:b/>
          <w:szCs w:val="24"/>
        </w:rPr>
        <w:br/>
      </w:r>
    </w:p>
    <w:p w14:paraId="17AEF0A6" w14:textId="77777777" w:rsidR="00496AD2" w:rsidRDefault="00496AD2" w:rsidP="008A006D">
      <w:pPr>
        <w:pStyle w:val="BodyText2"/>
        <w:ind w:firstLine="851"/>
        <w:rPr>
          <w:sz w:val="28"/>
          <w:szCs w:val="28"/>
        </w:rPr>
      </w:pPr>
    </w:p>
    <w:p w14:paraId="2D52CC19" w14:textId="77777777" w:rsidR="004B0104" w:rsidRDefault="008A006D" w:rsidP="008A006D">
      <w:pPr>
        <w:pStyle w:val="BodyText2"/>
        <w:ind w:firstLine="851"/>
        <w:rPr>
          <w:sz w:val="28"/>
          <w:szCs w:val="28"/>
        </w:rPr>
      </w:pPr>
      <w:r>
        <w:rPr>
          <w:sz w:val="28"/>
          <w:szCs w:val="28"/>
        </w:rPr>
        <w:t xml:space="preserve">Saskaņā ar prognozēm OIK </w:t>
      </w:r>
      <w:r w:rsidRPr="00E23E14">
        <w:rPr>
          <w:sz w:val="28"/>
          <w:szCs w:val="28"/>
        </w:rPr>
        <w:t xml:space="preserve">savu </w:t>
      </w:r>
      <w:r>
        <w:rPr>
          <w:sz w:val="28"/>
          <w:szCs w:val="28"/>
        </w:rPr>
        <w:t xml:space="preserve">dabīgo </w:t>
      </w:r>
      <w:r w:rsidRPr="00E23E14">
        <w:rPr>
          <w:sz w:val="28"/>
          <w:szCs w:val="28"/>
        </w:rPr>
        <w:t>maksimumu sasniegs 20</w:t>
      </w:r>
      <w:r w:rsidR="00943F29">
        <w:rPr>
          <w:sz w:val="28"/>
          <w:szCs w:val="28"/>
        </w:rPr>
        <w:t>20</w:t>
      </w:r>
      <w:r w:rsidRPr="00E23E14">
        <w:rPr>
          <w:sz w:val="28"/>
          <w:szCs w:val="28"/>
        </w:rPr>
        <w:t>.</w:t>
      </w:r>
      <w:r w:rsidR="00E52784">
        <w:rPr>
          <w:sz w:val="28"/>
          <w:szCs w:val="28"/>
        </w:rPr>
        <w:t> </w:t>
      </w:r>
      <w:r w:rsidRPr="00E23E14">
        <w:rPr>
          <w:sz w:val="28"/>
          <w:szCs w:val="28"/>
        </w:rPr>
        <w:t>gadā</w:t>
      </w:r>
      <w:r>
        <w:rPr>
          <w:sz w:val="28"/>
          <w:szCs w:val="28"/>
        </w:rPr>
        <w:t>, pēc kā pakāpeniski</w:t>
      </w:r>
      <w:r w:rsidRPr="00E23E14">
        <w:rPr>
          <w:sz w:val="28"/>
          <w:szCs w:val="28"/>
        </w:rPr>
        <w:t xml:space="preserve"> sāks samazināties</w:t>
      </w:r>
      <w:r>
        <w:rPr>
          <w:sz w:val="28"/>
          <w:szCs w:val="28"/>
        </w:rPr>
        <w:t xml:space="preserve">. </w:t>
      </w:r>
      <w:r w:rsidR="004B0104">
        <w:rPr>
          <w:sz w:val="28"/>
          <w:szCs w:val="28"/>
        </w:rPr>
        <w:t>Lai arī ekspluatācijā nav nodotas un spēkā esošas elektroenerģijas OI tiesības ir 24 biomasas koģenerācijas stacijām</w:t>
      </w:r>
      <w:r w:rsidR="004B0104" w:rsidRPr="00486E2A">
        <w:rPr>
          <w:sz w:val="28"/>
          <w:szCs w:val="28"/>
        </w:rPr>
        <w:t xml:space="preserve"> ar </w:t>
      </w:r>
      <w:r w:rsidR="004B0104">
        <w:rPr>
          <w:sz w:val="28"/>
          <w:szCs w:val="28"/>
        </w:rPr>
        <w:t>plānoto uzstādīto jaudu 62</w:t>
      </w:r>
      <w:r w:rsidR="00943F29">
        <w:rPr>
          <w:sz w:val="28"/>
          <w:szCs w:val="28"/>
        </w:rPr>
        <w:t> </w:t>
      </w:r>
      <w:r w:rsidR="004B0104">
        <w:rPr>
          <w:sz w:val="28"/>
          <w:szCs w:val="28"/>
        </w:rPr>
        <w:t xml:space="preserve">MW, </w:t>
      </w:r>
      <w:r w:rsidR="004B0104" w:rsidRPr="00486E2A">
        <w:rPr>
          <w:sz w:val="28"/>
          <w:szCs w:val="28"/>
        </w:rPr>
        <w:t>1</w:t>
      </w:r>
      <w:r w:rsidR="004B0104">
        <w:rPr>
          <w:sz w:val="28"/>
          <w:szCs w:val="28"/>
        </w:rPr>
        <w:t>6 biogāzes koģenerācijas stacijām</w:t>
      </w:r>
      <w:r w:rsidR="004B0104" w:rsidRPr="00486E2A">
        <w:rPr>
          <w:sz w:val="28"/>
          <w:szCs w:val="28"/>
        </w:rPr>
        <w:t xml:space="preserve"> ar p</w:t>
      </w:r>
      <w:r w:rsidR="004B0104">
        <w:rPr>
          <w:sz w:val="28"/>
          <w:szCs w:val="28"/>
        </w:rPr>
        <w:t>lānoto</w:t>
      </w:r>
      <w:r w:rsidR="004B0104" w:rsidRPr="00486E2A">
        <w:rPr>
          <w:sz w:val="28"/>
          <w:szCs w:val="28"/>
        </w:rPr>
        <w:t xml:space="preserve"> </w:t>
      </w:r>
      <w:r w:rsidR="004B0104">
        <w:rPr>
          <w:sz w:val="28"/>
          <w:szCs w:val="28"/>
        </w:rPr>
        <w:t>uzstādīto jaudu 36</w:t>
      </w:r>
      <w:r w:rsidR="00943F29">
        <w:rPr>
          <w:sz w:val="28"/>
          <w:szCs w:val="28"/>
        </w:rPr>
        <w:t> </w:t>
      </w:r>
      <w:r w:rsidR="004B0104">
        <w:rPr>
          <w:sz w:val="28"/>
          <w:szCs w:val="28"/>
        </w:rPr>
        <w:t xml:space="preserve">MW, kurām ekspluatācijas uzsākšanas termiņi </w:t>
      </w:r>
      <w:r w:rsidR="00442A25">
        <w:rPr>
          <w:sz w:val="28"/>
          <w:szCs w:val="28"/>
        </w:rPr>
        <w:t xml:space="preserve">ir </w:t>
      </w:r>
      <w:r w:rsidR="004B0104" w:rsidRPr="00486E2A">
        <w:rPr>
          <w:sz w:val="28"/>
          <w:szCs w:val="28"/>
        </w:rPr>
        <w:t>2016., 2017. un 2018.</w:t>
      </w:r>
      <w:r w:rsidR="004B0104">
        <w:rPr>
          <w:sz w:val="28"/>
          <w:szCs w:val="28"/>
        </w:rPr>
        <w:t> </w:t>
      </w:r>
      <w:r w:rsidR="004B0104" w:rsidRPr="00486E2A">
        <w:rPr>
          <w:sz w:val="28"/>
          <w:szCs w:val="28"/>
        </w:rPr>
        <w:t>gadā</w:t>
      </w:r>
      <w:r w:rsidR="004B0104">
        <w:rPr>
          <w:sz w:val="28"/>
          <w:szCs w:val="28"/>
        </w:rPr>
        <w:t>, kā arī</w:t>
      </w:r>
      <w:r w:rsidR="004B0104" w:rsidRPr="00486E2A">
        <w:rPr>
          <w:sz w:val="28"/>
          <w:szCs w:val="28"/>
        </w:rPr>
        <w:t xml:space="preserve"> </w:t>
      </w:r>
      <w:r w:rsidR="004B0104">
        <w:rPr>
          <w:sz w:val="28"/>
          <w:szCs w:val="28"/>
        </w:rPr>
        <w:t>2</w:t>
      </w:r>
      <w:r w:rsidR="004B0104" w:rsidRPr="00486E2A">
        <w:rPr>
          <w:sz w:val="28"/>
          <w:szCs w:val="28"/>
        </w:rPr>
        <w:t xml:space="preserve"> </w:t>
      </w:r>
      <w:r w:rsidR="004B0104">
        <w:rPr>
          <w:sz w:val="28"/>
          <w:szCs w:val="28"/>
        </w:rPr>
        <w:t>vēja elektrostacijām</w:t>
      </w:r>
      <w:r w:rsidR="004B0104" w:rsidRPr="00486E2A">
        <w:rPr>
          <w:sz w:val="28"/>
          <w:szCs w:val="28"/>
        </w:rPr>
        <w:t xml:space="preserve"> ar </w:t>
      </w:r>
      <w:r w:rsidR="004B0104">
        <w:rPr>
          <w:sz w:val="28"/>
          <w:szCs w:val="28"/>
        </w:rPr>
        <w:t xml:space="preserve">plānoto </w:t>
      </w:r>
      <w:r w:rsidR="00943F29">
        <w:rPr>
          <w:sz w:val="28"/>
          <w:szCs w:val="28"/>
        </w:rPr>
        <w:t>jaudu 72,9 </w:t>
      </w:r>
      <w:r w:rsidR="004B0104" w:rsidRPr="00486E2A">
        <w:rPr>
          <w:sz w:val="28"/>
          <w:szCs w:val="28"/>
        </w:rPr>
        <w:t xml:space="preserve">MW </w:t>
      </w:r>
      <w:r w:rsidR="004B0104">
        <w:rPr>
          <w:sz w:val="28"/>
          <w:szCs w:val="28"/>
        </w:rPr>
        <w:t>un ekspluatācijas uzsākšanas termiņu</w:t>
      </w:r>
      <w:r w:rsidR="00943F29">
        <w:rPr>
          <w:sz w:val="28"/>
          <w:szCs w:val="28"/>
        </w:rPr>
        <w:t xml:space="preserve"> 2018. </w:t>
      </w:r>
      <w:r w:rsidR="004B0104" w:rsidRPr="00486E2A">
        <w:rPr>
          <w:sz w:val="28"/>
          <w:szCs w:val="28"/>
        </w:rPr>
        <w:t>gadā</w:t>
      </w:r>
      <w:r w:rsidR="00442A25">
        <w:rPr>
          <w:sz w:val="28"/>
          <w:szCs w:val="28"/>
        </w:rPr>
        <w:t>, tiek plānots, ka līdz 2018.</w:t>
      </w:r>
      <w:r w:rsidR="00943F29">
        <w:rPr>
          <w:sz w:val="28"/>
          <w:szCs w:val="28"/>
        </w:rPr>
        <w:t> </w:t>
      </w:r>
      <w:r w:rsidR="00442A25">
        <w:rPr>
          <w:sz w:val="28"/>
          <w:szCs w:val="28"/>
        </w:rPr>
        <w:t>gadam elektroenerģijas ražošanu sāks 11 biomasas koģenerācijas stacija</w:t>
      </w:r>
      <w:r w:rsidR="00943F29">
        <w:rPr>
          <w:sz w:val="28"/>
          <w:szCs w:val="28"/>
        </w:rPr>
        <w:t>s ar uzstādīto jaudu 16 </w:t>
      </w:r>
      <w:r w:rsidR="00442A25">
        <w:rPr>
          <w:sz w:val="28"/>
          <w:szCs w:val="28"/>
        </w:rPr>
        <w:t>MW un 2 vēja elektros</w:t>
      </w:r>
      <w:r w:rsidR="00943F29">
        <w:rPr>
          <w:sz w:val="28"/>
          <w:szCs w:val="28"/>
        </w:rPr>
        <w:t>tacijas ar uzstādīto jaudu 56,9 </w:t>
      </w:r>
      <w:r w:rsidR="00442A25">
        <w:rPr>
          <w:sz w:val="28"/>
          <w:szCs w:val="28"/>
        </w:rPr>
        <w:t>MW, ar ko arī saistīts atbalsta izmaksu pieaugums.</w:t>
      </w:r>
    </w:p>
    <w:p w14:paraId="5C6CB2F9" w14:textId="77777777" w:rsidR="003C4D02" w:rsidRDefault="003C4D02" w:rsidP="008A006D">
      <w:pPr>
        <w:pStyle w:val="BodyText2"/>
        <w:ind w:firstLine="851"/>
        <w:rPr>
          <w:sz w:val="28"/>
          <w:szCs w:val="28"/>
        </w:rPr>
      </w:pPr>
    </w:p>
    <w:p w14:paraId="511AD6C5" w14:textId="77777777" w:rsidR="00270941" w:rsidRPr="00F45744" w:rsidRDefault="00EF1EC7" w:rsidP="00F45744">
      <w:pPr>
        <w:pStyle w:val="Heading2"/>
        <w:numPr>
          <w:ilvl w:val="1"/>
          <w:numId w:val="1"/>
        </w:numPr>
        <w:ind w:left="0" w:firstLine="0"/>
        <w:rPr>
          <w:rFonts w:ascii="Times New Roman" w:hAnsi="Times New Roman" w:cs="Times New Roman"/>
          <w:b/>
          <w:color w:val="auto"/>
          <w:sz w:val="32"/>
          <w:szCs w:val="28"/>
        </w:rPr>
      </w:pPr>
      <w:bookmarkStart w:id="10" w:name="_Toc459890614"/>
      <w:r w:rsidRPr="00F45744">
        <w:rPr>
          <w:rFonts w:ascii="Times New Roman" w:hAnsi="Times New Roman" w:cs="Times New Roman"/>
          <w:b/>
          <w:color w:val="auto"/>
          <w:sz w:val="32"/>
          <w:szCs w:val="28"/>
        </w:rPr>
        <w:t>Atbalsts elektroenerģijas lietotājiem OIK mazināšanai</w:t>
      </w:r>
      <w:bookmarkEnd w:id="10"/>
    </w:p>
    <w:p w14:paraId="0DAE1504" w14:textId="576E152B" w:rsidR="00EF1EC7" w:rsidRDefault="00EF1EC7" w:rsidP="00EF1EC7">
      <w:pPr>
        <w:spacing w:before="120" w:after="0" w:line="240" w:lineRule="auto"/>
        <w:ind w:firstLine="851"/>
        <w:rPr>
          <w:rFonts w:eastAsia="Calibri" w:cs="Times New Roman"/>
          <w:sz w:val="28"/>
          <w:szCs w:val="28"/>
          <w:lang w:eastAsia="lv-LV"/>
        </w:rPr>
      </w:pPr>
      <w:r>
        <w:rPr>
          <w:sz w:val="28"/>
          <w:szCs w:val="28"/>
        </w:rPr>
        <w:t xml:space="preserve">Ņemot vērā vēsturiski piešķirtās tiesības ražotājiem </w:t>
      </w:r>
      <w:r w:rsidRPr="00634C37">
        <w:rPr>
          <w:sz w:val="28"/>
          <w:szCs w:val="28"/>
        </w:rPr>
        <w:t>pārdot s</w:t>
      </w:r>
      <w:r w:rsidRPr="00660726">
        <w:rPr>
          <w:sz w:val="28"/>
          <w:szCs w:val="28"/>
        </w:rPr>
        <w:t xml:space="preserve">aražoto elektroenerģiju </w:t>
      </w:r>
      <w:r w:rsidR="00E52784">
        <w:rPr>
          <w:sz w:val="28"/>
          <w:szCs w:val="28"/>
        </w:rPr>
        <w:t>OI</w:t>
      </w:r>
      <w:r w:rsidRPr="00634C37">
        <w:rPr>
          <w:sz w:val="28"/>
          <w:szCs w:val="28"/>
        </w:rPr>
        <w:t xml:space="preserve"> </w:t>
      </w:r>
      <w:r>
        <w:rPr>
          <w:sz w:val="28"/>
          <w:szCs w:val="28"/>
        </w:rPr>
        <w:t xml:space="preserve">ietvaros, laika posmā no </w:t>
      </w:r>
      <w:r w:rsidRPr="00EF2F9C">
        <w:rPr>
          <w:sz w:val="28"/>
          <w:szCs w:val="28"/>
        </w:rPr>
        <w:t>2008.</w:t>
      </w:r>
      <w:r w:rsidR="00E52784">
        <w:rPr>
          <w:sz w:val="28"/>
          <w:szCs w:val="28"/>
        </w:rPr>
        <w:t> </w:t>
      </w:r>
      <w:r w:rsidRPr="00EF2F9C">
        <w:rPr>
          <w:sz w:val="28"/>
          <w:szCs w:val="28"/>
        </w:rPr>
        <w:t>gad</w:t>
      </w:r>
      <w:r>
        <w:rPr>
          <w:sz w:val="28"/>
          <w:szCs w:val="28"/>
        </w:rPr>
        <w:t>a līdz 2016.</w:t>
      </w:r>
      <w:r w:rsidR="00E52784">
        <w:rPr>
          <w:sz w:val="28"/>
          <w:szCs w:val="28"/>
        </w:rPr>
        <w:t> </w:t>
      </w:r>
      <w:r>
        <w:rPr>
          <w:sz w:val="28"/>
          <w:szCs w:val="28"/>
        </w:rPr>
        <w:t>gadam</w:t>
      </w:r>
      <w:r w:rsidRPr="00EF2F9C">
        <w:rPr>
          <w:sz w:val="28"/>
          <w:szCs w:val="28"/>
        </w:rPr>
        <w:t xml:space="preserve"> OIK </w:t>
      </w:r>
      <w:r>
        <w:rPr>
          <w:sz w:val="28"/>
          <w:szCs w:val="28"/>
        </w:rPr>
        <w:t>pieauga no</w:t>
      </w:r>
      <w:r w:rsidRPr="00EF2F9C">
        <w:rPr>
          <w:sz w:val="28"/>
          <w:szCs w:val="28"/>
        </w:rPr>
        <w:t xml:space="preserve"> </w:t>
      </w:r>
      <w:r w:rsidR="00F341DF">
        <w:rPr>
          <w:sz w:val="28"/>
          <w:szCs w:val="28"/>
        </w:rPr>
        <w:t xml:space="preserve">9,30 </w:t>
      </w:r>
      <w:r>
        <w:rPr>
          <w:sz w:val="28"/>
          <w:szCs w:val="28"/>
        </w:rPr>
        <w:t>EUR</w:t>
      </w:r>
      <w:r w:rsidRPr="00EF2F9C">
        <w:rPr>
          <w:sz w:val="28"/>
          <w:szCs w:val="28"/>
        </w:rPr>
        <w:t>/</w:t>
      </w:r>
      <w:proofErr w:type="spellStart"/>
      <w:r>
        <w:rPr>
          <w:sz w:val="28"/>
          <w:szCs w:val="28"/>
        </w:rPr>
        <w:t>M</w:t>
      </w:r>
      <w:r w:rsidRPr="00EF2F9C">
        <w:rPr>
          <w:sz w:val="28"/>
          <w:szCs w:val="28"/>
        </w:rPr>
        <w:t>Wh</w:t>
      </w:r>
      <w:proofErr w:type="spellEnd"/>
      <w:r>
        <w:rPr>
          <w:sz w:val="28"/>
          <w:szCs w:val="28"/>
        </w:rPr>
        <w:t xml:space="preserve"> līdz 38,63</w:t>
      </w:r>
      <w:r w:rsidR="00943F29">
        <w:rPr>
          <w:sz w:val="28"/>
          <w:szCs w:val="28"/>
        </w:rPr>
        <w:t> </w:t>
      </w:r>
      <w:r>
        <w:rPr>
          <w:sz w:val="28"/>
          <w:szCs w:val="28"/>
        </w:rPr>
        <w:t>EUR/</w:t>
      </w:r>
      <w:proofErr w:type="spellStart"/>
      <w:r>
        <w:rPr>
          <w:sz w:val="28"/>
          <w:szCs w:val="28"/>
        </w:rPr>
        <w:t>MWh</w:t>
      </w:r>
      <w:proofErr w:type="spellEnd"/>
      <w:r w:rsidRPr="00EF2F9C">
        <w:rPr>
          <w:sz w:val="28"/>
          <w:szCs w:val="28"/>
        </w:rPr>
        <w:t>.</w:t>
      </w:r>
      <w:r>
        <w:rPr>
          <w:sz w:val="28"/>
          <w:szCs w:val="28"/>
        </w:rPr>
        <w:t xml:space="preserve"> Saistībā ar ievērojamo OIK pieaugumu, un ņemot vērā OIK prognozes laika posmā līdz 2025. gadam, sākot ar 2014. gadu</w:t>
      </w:r>
      <w:r>
        <w:rPr>
          <w:rStyle w:val="FootnoteReference"/>
          <w:sz w:val="28"/>
          <w:szCs w:val="28"/>
        </w:rPr>
        <w:footnoteReference w:id="5"/>
      </w:r>
      <w:r>
        <w:rPr>
          <w:sz w:val="28"/>
          <w:szCs w:val="28"/>
        </w:rPr>
        <w:t xml:space="preserve"> OIK </w:t>
      </w:r>
      <w:r w:rsidRPr="00B51296">
        <w:rPr>
          <w:sz w:val="28"/>
          <w:szCs w:val="28"/>
        </w:rPr>
        <w:t>elektroenerģijas galalietotāji</w:t>
      </w:r>
      <w:r>
        <w:rPr>
          <w:sz w:val="28"/>
          <w:szCs w:val="28"/>
        </w:rPr>
        <w:t>em tiek saglabāt</w:t>
      </w:r>
      <w:r w:rsidR="00F341DF">
        <w:rPr>
          <w:sz w:val="28"/>
          <w:szCs w:val="28"/>
        </w:rPr>
        <w:t>a</w:t>
      </w:r>
      <w:r>
        <w:rPr>
          <w:sz w:val="28"/>
          <w:szCs w:val="28"/>
        </w:rPr>
        <w:t xml:space="preserve"> </w:t>
      </w:r>
      <w:r>
        <w:rPr>
          <w:rFonts w:eastAsia="Calibri" w:cs="Times New Roman"/>
          <w:sz w:val="28"/>
          <w:szCs w:val="28"/>
          <w:lang w:eastAsia="lv-LV"/>
        </w:rPr>
        <w:t>26,79 </w:t>
      </w:r>
      <w:r w:rsidRPr="009234DC">
        <w:rPr>
          <w:rFonts w:eastAsia="Calibri" w:cs="Times New Roman"/>
          <w:sz w:val="28"/>
          <w:szCs w:val="28"/>
          <w:lang w:eastAsia="lv-LV"/>
        </w:rPr>
        <w:t>EUR/</w:t>
      </w:r>
      <w:proofErr w:type="spellStart"/>
      <w:r w:rsidRPr="009234DC">
        <w:rPr>
          <w:rFonts w:eastAsia="Calibri" w:cs="Times New Roman"/>
          <w:sz w:val="28"/>
          <w:szCs w:val="28"/>
          <w:lang w:eastAsia="lv-LV"/>
        </w:rPr>
        <w:t>MWh</w:t>
      </w:r>
      <w:proofErr w:type="spellEnd"/>
      <w:r>
        <w:rPr>
          <w:rFonts w:eastAsia="Calibri" w:cs="Times New Roman"/>
          <w:sz w:val="28"/>
          <w:szCs w:val="28"/>
          <w:lang w:eastAsia="lv-LV"/>
        </w:rPr>
        <w:t xml:space="preserve"> apmērā. </w:t>
      </w:r>
      <w:r>
        <w:rPr>
          <w:sz w:val="28"/>
          <w:szCs w:val="28"/>
        </w:rPr>
        <w:t xml:space="preserve">Saskaņā ar </w:t>
      </w:r>
      <w:r>
        <w:rPr>
          <w:sz w:val="28"/>
          <w:szCs w:val="28"/>
        </w:rPr>
        <w:lastRenderedPageBreak/>
        <w:t>2015. gada 31. augusta Ministru kabineta sēdē nolemto (</w:t>
      </w:r>
      <w:r w:rsidRPr="0037197B">
        <w:rPr>
          <w:sz w:val="28"/>
          <w:szCs w:val="28"/>
        </w:rPr>
        <w:t>prot.nr.</w:t>
      </w:r>
      <w:r>
        <w:rPr>
          <w:sz w:val="28"/>
          <w:szCs w:val="28"/>
        </w:rPr>
        <w:t>43., 2.</w:t>
      </w:r>
      <w:r w:rsidRPr="0037197B">
        <w:rPr>
          <w:sz w:val="28"/>
          <w:szCs w:val="28"/>
        </w:rPr>
        <w:t>§</w:t>
      </w:r>
      <w:r>
        <w:rPr>
          <w:sz w:val="28"/>
          <w:szCs w:val="28"/>
        </w:rPr>
        <w:t xml:space="preserve">.), </w:t>
      </w:r>
      <w:r w:rsidRPr="00AC5FC4">
        <w:rPr>
          <w:sz w:val="28"/>
          <w:szCs w:val="28"/>
        </w:rPr>
        <w:t>līdz 2019. gada 31. martam OIK</w:t>
      </w:r>
      <w:r w:rsidR="0015072B">
        <w:rPr>
          <w:sz w:val="28"/>
          <w:szCs w:val="28"/>
        </w:rPr>
        <w:t xml:space="preserve"> tiks saglabāt</w:t>
      </w:r>
      <w:r w:rsidR="00F341DF">
        <w:rPr>
          <w:sz w:val="28"/>
          <w:szCs w:val="28"/>
        </w:rPr>
        <w:t>a</w:t>
      </w:r>
      <w:r w:rsidRPr="00AC5FC4">
        <w:rPr>
          <w:sz w:val="28"/>
          <w:szCs w:val="28"/>
        </w:rPr>
        <w:t xml:space="preserve"> </w:t>
      </w:r>
      <w:r w:rsidRPr="00AC5FC4">
        <w:rPr>
          <w:rFonts w:eastAsia="Calibri" w:cs="Times New Roman"/>
          <w:sz w:val="28"/>
          <w:szCs w:val="28"/>
          <w:lang w:eastAsia="lv-LV"/>
        </w:rPr>
        <w:t>26,79 EUR/</w:t>
      </w:r>
      <w:proofErr w:type="spellStart"/>
      <w:r w:rsidRPr="00AC5FC4">
        <w:rPr>
          <w:rFonts w:eastAsia="Calibri" w:cs="Times New Roman"/>
          <w:sz w:val="28"/>
          <w:szCs w:val="28"/>
          <w:lang w:eastAsia="lv-LV"/>
        </w:rPr>
        <w:t>MWh</w:t>
      </w:r>
      <w:proofErr w:type="spellEnd"/>
      <w:r w:rsidRPr="00AC5FC4">
        <w:rPr>
          <w:rFonts w:eastAsia="Calibri" w:cs="Times New Roman"/>
          <w:sz w:val="28"/>
          <w:szCs w:val="28"/>
          <w:lang w:eastAsia="lv-LV"/>
        </w:rPr>
        <w:t xml:space="preserve"> apmērā, paredzot tam līdzekļus valsts vidēja termiņa budžeta ietvarā līdz 2018. gadam</w:t>
      </w:r>
      <w:r w:rsidRPr="00AC5FC4">
        <w:rPr>
          <w:rStyle w:val="FootnoteReference"/>
          <w:rFonts w:eastAsia="Calibri"/>
          <w:sz w:val="28"/>
          <w:szCs w:val="28"/>
        </w:rPr>
        <w:footnoteReference w:id="6"/>
      </w:r>
      <w:r w:rsidRPr="00AC5FC4">
        <w:rPr>
          <w:rFonts w:eastAsia="Calibri" w:cs="Times New Roman"/>
          <w:sz w:val="28"/>
          <w:szCs w:val="28"/>
          <w:lang w:eastAsia="lv-LV"/>
        </w:rPr>
        <w:t>.</w:t>
      </w:r>
    </w:p>
    <w:p w14:paraId="6A68FEEF" w14:textId="77777777" w:rsidR="00EF1EC7" w:rsidRDefault="00EF1EC7" w:rsidP="00EF1EC7">
      <w:pPr>
        <w:spacing w:before="120" w:after="0" w:line="240" w:lineRule="auto"/>
        <w:ind w:firstLine="851"/>
        <w:rPr>
          <w:sz w:val="28"/>
          <w:szCs w:val="28"/>
        </w:rPr>
      </w:pPr>
      <w:r w:rsidRPr="001B02D5">
        <w:rPr>
          <w:sz w:val="28"/>
          <w:szCs w:val="28"/>
        </w:rPr>
        <w:t>Deklarācija par Māra Kučinska vadītā Ministru kabineta iecerēto darbību</w:t>
      </w:r>
      <w:r>
        <w:rPr>
          <w:sz w:val="28"/>
          <w:szCs w:val="28"/>
        </w:rPr>
        <w:t xml:space="preserve"> paredz OIK</w:t>
      </w:r>
      <w:r w:rsidRPr="001B02D5">
        <w:rPr>
          <w:sz w:val="28"/>
          <w:szCs w:val="28"/>
        </w:rPr>
        <w:t xml:space="preserve"> nepaaugstināšan</w:t>
      </w:r>
      <w:r>
        <w:rPr>
          <w:sz w:val="28"/>
          <w:szCs w:val="28"/>
        </w:rPr>
        <w:t>u</w:t>
      </w:r>
      <w:r w:rsidRPr="001B02D5">
        <w:rPr>
          <w:sz w:val="28"/>
          <w:szCs w:val="28"/>
        </w:rPr>
        <w:t xml:space="preserve"> virs 26,79 </w:t>
      </w:r>
      <w:r>
        <w:rPr>
          <w:sz w:val="28"/>
          <w:szCs w:val="28"/>
        </w:rPr>
        <w:t>EUR</w:t>
      </w:r>
      <w:r w:rsidRPr="001B02D5">
        <w:rPr>
          <w:sz w:val="28"/>
          <w:szCs w:val="28"/>
        </w:rPr>
        <w:t>/</w:t>
      </w:r>
      <w:proofErr w:type="spellStart"/>
      <w:r w:rsidRPr="001B02D5">
        <w:rPr>
          <w:sz w:val="28"/>
          <w:szCs w:val="28"/>
        </w:rPr>
        <w:t>MWh</w:t>
      </w:r>
      <w:proofErr w:type="spellEnd"/>
      <w:r>
        <w:rPr>
          <w:sz w:val="28"/>
          <w:szCs w:val="28"/>
        </w:rPr>
        <w:t xml:space="preserve"> un </w:t>
      </w:r>
      <w:r w:rsidR="00E52784">
        <w:rPr>
          <w:sz w:val="28"/>
          <w:szCs w:val="28"/>
        </w:rPr>
        <w:t>OIK</w:t>
      </w:r>
      <w:r w:rsidRPr="001B02D5">
        <w:rPr>
          <w:sz w:val="28"/>
          <w:szCs w:val="28"/>
        </w:rPr>
        <w:t xml:space="preserve"> kompensācijas pasākumu, tai skaitā</w:t>
      </w:r>
      <w:r>
        <w:rPr>
          <w:sz w:val="28"/>
          <w:szCs w:val="28"/>
        </w:rPr>
        <w:t xml:space="preserve"> </w:t>
      </w:r>
      <w:r w:rsidRPr="001B02D5">
        <w:rPr>
          <w:sz w:val="28"/>
          <w:szCs w:val="28"/>
        </w:rPr>
        <w:t>pasākumu ene</w:t>
      </w:r>
      <w:r>
        <w:rPr>
          <w:sz w:val="28"/>
          <w:szCs w:val="28"/>
        </w:rPr>
        <w:t xml:space="preserve">rgoietilpīgo uzņēmumu atbalstam, īstenošanu. </w:t>
      </w:r>
    </w:p>
    <w:p w14:paraId="590917C6" w14:textId="77777777" w:rsidR="00EF1EC7" w:rsidRPr="00D90FFB" w:rsidRDefault="00EF1EC7" w:rsidP="00EF1EC7">
      <w:pPr>
        <w:spacing w:after="0" w:line="240" w:lineRule="auto"/>
        <w:ind w:firstLine="851"/>
        <w:rPr>
          <w:sz w:val="28"/>
          <w:szCs w:val="28"/>
        </w:rPr>
      </w:pPr>
      <w:r w:rsidRPr="00D90FFB">
        <w:rPr>
          <w:sz w:val="28"/>
          <w:szCs w:val="28"/>
        </w:rPr>
        <w:t>Saskaņā ar Elektroenerģijas tirgus likuma 28., 28.</w:t>
      </w:r>
      <w:r w:rsidRPr="00D90FFB">
        <w:rPr>
          <w:sz w:val="28"/>
          <w:szCs w:val="28"/>
          <w:vertAlign w:val="superscript"/>
        </w:rPr>
        <w:t>1</w:t>
      </w:r>
      <w:r w:rsidRPr="00D90FFB">
        <w:rPr>
          <w:sz w:val="28"/>
          <w:szCs w:val="28"/>
        </w:rPr>
        <w:t>, 29.</w:t>
      </w:r>
      <w:r w:rsidRPr="00D90FFB">
        <w:rPr>
          <w:sz w:val="28"/>
          <w:szCs w:val="28"/>
          <w:vertAlign w:val="superscript"/>
        </w:rPr>
        <w:t>1</w:t>
      </w:r>
      <w:r w:rsidRPr="00D90FFB">
        <w:rPr>
          <w:sz w:val="28"/>
          <w:szCs w:val="28"/>
        </w:rPr>
        <w:t xml:space="preserve"> un 30.pantu</w:t>
      </w:r>
      <w:r w:rsidRPr="00D90FFB">
        <w:rPr>
          <w:sz w:val="28"/>
          <w:szCs w:val="28"/>
          <w:vertAlign w:val="superscript"/>
        </w:rPr>
        <w:t xml:space="preserve"> </w:t>
      </w:r>
      <w:r w:rsidRPr="00D90FFB">
        <w:rPr>
          <w:sz w:val="28"/>
          <w:szCs w:val="28"/>
        </w:rPr>
        <w:t xml:space="preserve">elektroenerģijas </w:t>
      </w:r>
      <w:r w:rsidR="00E52784">
        <w:rPr>
          <w:sz w:val="28"/>
          <w:szCs w:val="28"/>
        </w:rPr>
        <w:t>OI</w:t>
      </w:r>
      <w:r w:rsidRPr="00D90FFB">
        <w:rPr>
          <w:sz w:val="28"/>
          <w:szCs w:val="28"/>
        </w:rPr>
        <w:t xml:space="preserve"> izmaksas un izmaksas, ko veido maksājumi par uzstādīto elektrisko jaudu, sedz visi Latvijas elektroenerģijas galalietotāji proporcionāli savam elektroenerģijas patēriņam, kompensējot publiskajam tirgotājam iepirkuma izdevumus. Kompensējamo izmaksu aprēķinā ņem vērā likumā par valsts budžetu kārtējam gadam noteikto valsts budžeta dotāciju </w:t>
      </w:r>
      <w:r w:rsidR="00E52784">
        <w:rPr>
          <w:sz w:val="28"/>
          <w:szCs w:val="28"/>
        </w:rPr>
        <w:t>OIK</w:t>
      </w:r>
      <w:r w:rsidRPr="00D90FFB">
        <w:rPr>
          <w:sz w:val="28"/>
          <w:szCs w:val="28"/>
        </w:rPr>
        <w:t xml:space="preserve"> apmēra mazināšanai.</w:t>
      </w:r>
    </w:p>
    <w:p w14:paraId="4CE1F7EC" w14:textId="352F0A48" w:rsidR="00594A21" w:rsidRDefault="00EF1EC7" w:rsidP="00594A21">
      <w:pPr>
        <w:spacing w:after="0" w:line="240" w:lineRule="auto"/>
        <w:ind w:firstLine="851"/>
        <w:rPr>
          <w:sz w:val="28"/>
          <w:szCs w:val="28"/>
        </w:rPr>
      </w:pPr>
      <w:r w:rsidRPr="00EF2F9C">
        <w:rPr>
          <w:sz w:val="28"/>
          <w:szCs w:val="28"/>
        </w:rPr>
        <w:t xml:space="preserve">Īstenojot pasākumus elektroenerģijas </w:t>
      </w:r>
      <w:r w:rsidR="00DB68BC">
        <w:rPr>
          <w:sz w:val="28"/>
          <w:szCs w:val="28"/>
        </w:rPr>
        <w:t>maksājumu</w:t>
      </w:r>
      <w:r w:rsidR="00DB68BC" w:rsidRPr="00EF2F9C">
        <w:rPr>
          <w:sz w:val="28"/>
          <w:szCs w:val="28"/>
        </w:rPr>
        <w:t xml:space="preserve"> </w:t>
      </w:r>
      <w:r w:rsidRPr="00EF2F9C">
        <w:rPr>
          <w:sz w:val="28"/>
          <w:szCs w:val="28"/>
        </w:rPr>
        <w:t>pieauguma risku mazināšanai, kas ir būtiski tautsaimniecības konkurētspējas saglabāšanai</w:t>
      </w:r>
      <w:r>
        <w:rPr>
          <w:sz w:val="28"/>
          <w:szCs w:val="28"/>
        </w:rPr>
        <w:t xml:space="preserve"> un iedzīvotāju maksātspējas saglabāšanai</w:t>
      </w:r>
      <w:r w:rsidRPr="00EF2F9C">
        <w:rPr>
          <w:sz w:val="28"/>
          <w:szCs w:val="28"/>
        </w:rPr>
        <w:t xml:space="preserve">, </w:t>
      </w:r>
      <w:r w:rsidR="00594A21" w:rsidRPr="00594A21">
        <w:rPr>
          <w:sz w:val="28"/>
          <w:szCs w:val="28"/>
        </w:rPr>
        <w:t xml:space="preserve">2015. gada 17. septembra Ministru kabineta </w:t>
      </w:r>
      <w:r w:rsidR="00594A21">
        <w:rPr>
          <w:sz w:val="28"/>
          <w:szCs w:val="28"/>
        </w:rPr>
        <w:t>rīkojumā</w:t>
      </w:r>
      <w:r w:rsidR="00594A21" w:rsidRPr="00594A21">
        <w:rPr>
          <w:sz w:val="28"/>
          <w:szCs w:val="28"/>
        </w:rPr>
        <w:t xml:space="preserve"> Nr. 567 “Par konceptuālo ziņojumu “Kompleksi pasākumi elektroenerģijas tirgus attīstībai””</w:t>
      </w:r>
      <w:r w:rsidR="00594A21">
        <w:rPr>
          <w:sz w:val="28"/>
          <w:szCs w:val="28"/>
        </w:rPr>
        <w:t xml:space="preserve"> </w:t>
      </w:r>
      <w:r w:rsidRPr="00EF2F9C">
        <w:rPr>
          <w:sz w:val="28"/>
          <w:szCs w:val="28"/>
        </w:rPr>
        <w:t xml:space="preserve">tika </w:t>
      </w:r>
      <w:r w:rsidR="00594A21">
        <w:rPr>
          <w:sz w:val="28"/>
          <w:szCs w:val="28"/>
        </w:rPr>
        <w:t>paredzēts</w:t>
      </w:r>
      <w:r>
        <w:rPr>
          <w:sz w:val="28"/>
          <w:szCs w:val="28"/>
        </w:rPr>
        <w:t xml:space="preserve"> </w:t>
      </w:r>
      <w:r w:rsidR="00594A21" w:rsidRPr="0091506E">
        <w:rPr>
          <w:sz w:val="28"/>
          <w:szCs w:val="28"/>
        </w:rPr>
        <w:t>vidēja termiņa budžeta ietvarā 2016., 2017. un 2018.</w:t>
      </w:r>
      <w:r w:rsidR="00E52784">
        <w:rPr>
          <w:sz w:val="28"/>
          <w:szCs w:val="28"/>
        </w:rPr>
        <w:t> </w:t>
      </w:r>
      <w:r w:rsidR="00594A21" w:rsidRPr="0091506E">
        <w:rPr>
          <w:sz w:val="28"/>
          <w:szCs w:val="28"/>
        </w:rPr>
        <w:t>gadam</w:t>
      </w:r>
      <w:r w:rsidR="00594A21">
        <w:rPr>
          <w:sz w:val="28"/>
          <w:szCs w:val="28"/>
        </w:rPr>
        <w:t xml:space="preserve"> </w:t>
      </w:r>
      <w:r>
        <w:rPr>
          <w:sz w:val="28"/>
          <w:szCs w:val="28"/>
        </w:rPr>
        <w:t xml:space="preserve">novirzīt valsts budžeta līdzekļus turpmāka OIK pieauguma </w:t>
      </w:r>
      <w:r w:rsidRPr="0091506E">
        <w:rPr>
          <w:sz w:val="28"/>
          <w:szCs w:val="28"/>
        </w:rPr>
        <w:t>segšanai līdz 2018.</w:t>
      </w:r>
      <w:r w:rsidR="00E52784">
        <w:rPr>
          <w:sz w:val="28"/>
          <w:szCs w:val="28"/>
        </w:rPr>
        <w:t> </w:t>
      </w:r>
      <w:r w:rsidRPr="0091506E">
        <w:rPr>
          <w:sz w:val="28"/>
          <w:szCs w:val="28"/>
        </w:rPr>
        <w:t>gada 31.</w:t>
      </w:r>
      <w:r w:rsidR="00E52784">
        <w:rPr>
          <w:sz w:val="28"/>
          <w:szCs w:val="28"/>
        </w:rPr>
        <w:t> </w:t>
      </w:r>
      <w:r w:rsidRPr="0091506E">
        <w:rPr>
          <w:sz w:val="28"/>
          <w:szCs w:val="28"/>
        </w:rPr>
        <w:t xml:space="preserve">martam. </w:t>
      </w:r>
      <w:r w:rsidR="00594A21">
        <w:rPr>
          <w:sz w:val="28"/>
          <w:szCs w:val="28"/>
        </w:rPr>
        <w:t xml:space="preserve">Ņemot vērā precizētās OIK ietekmējošo faktoru prognozes, nepieciešams </w:t>
      </w:r>
      <w:r w:rsidR="00C3471D">
        <w:rPr>
          <w:sz w:val="28"/>
          <w:szCs w:val="28"/>
        </w:rPr>
        <w:t>precizēt arī v</w:t>
      </w:r>
      <w:r w:rsidR="00C3471D" w:rsidRPr="00C3471D">
        <w:rPr>
          <w:sz w:val="28"/>
          <w:szCs w:val="28"/>
        </w:rPr>
        <w:t>alsts budžeta līdzfinansējuma apjom</w:t>
      </w:r>
      <w:r w:rsidR="00C3471D">
        <w:rPr>
          <w:sz w:val="28"/>
          <w:szCs w:val="28"/>
        </w:rPr>
        <w:t xml:space="preserve">u </w:t>
      </w:r>
      <w:r w:rsidR="00C3471D" w:rsidRPr="00C3471D">
        <w:rPr>
          <w:sz w:val="28"/>
          <w:szCs w:val="28"/>
        </w:rPr>
        <w:t xml:space="preserve">OIK </w:t>
      </w:r>
      <w:r w:rsidR="00C3471D">
        <w:rPr>
          <w:sz w:val="28"/>
          <w:szCs w:val="28"/>
        </w:rPr>
        <w:t xml:space="preserve">pieauguma </w:t>
      </w:r>
      <w:r w:rsidR="00C3471D" w:rsidRPr="0091506E">
        <w:rPr>
          <w:sz w:val="28"/>
          <w:szCs w:val="28"/>
        </w:rPr>
        <w:t>segšanai</w:t>
      </w:r>
      <w:r w:rsidR="00C3471D">
        <w:rPr>
          <w:sz w:val="28"/>
          <w:szCs w:val="28"/>
        </w:rPr>
        <w:t xml:space="preserve"> (skat. </w:t>
      </w:r>
      <w:r w:rsidR="008A006D">
        <w:rPr>
          <w:sz w:val="28"/>
          <w:szCs w:val="28"/>
        </w:rPr>
        <w:t>5</w:t>
      </w:r>
      <w:r w:rsidR="00C3471D">
        <w:rPr>
          <w:sz w:val="28"/>
          <w:szCs w:val="28"/>
        </w:rPr>
        <w:t>. tab.).</w:t>
      </w:r>
      <w:r w:rsidR="00C3471D" w:rsidRPr="0091506E">
        <w:rPr>
          <w:sz w:val="28"/>
          <w:szCs w:val="28"/>
        </w:rPr>
        <w:t xml:space="preserve"> </w:t>
      </w:r>
    </w:p>
    <w:p w14:paraId="2FAF1D44" w14:textId="77777777" w:rsidR="00DB79EB" w:rsidRDefault="00DB79EB" w:rsidP="00594A21">
      <w:pPr>
        <w:spacing w:after="0" w:line="240" w:lineRule="auto"/>
        <w:ind w:firstLine="851"/>
        <w:rPr>
          <w:sz w:val="28"/>
          <w:szCs w:val="28"/>
        </w:rPr>
      </w:pPr>
    </w:p>
    <w:p w14:paraId="13F0EF48" w14:textId="77777777" w:rsidR="00594A21" w:rsidRPr="00594A21" w:rsidRDefault="008A006D" w:rsidP="00594A21">
      <w:pPr>
        <w:spacing w:after="0" w:line="240" w:lineRule="auto"/>
        <w:ind w:firstLine="851"/>
        <w:jc w:val="right"/>
        <w:rPr>
          <w:rFonts w:eastAsia="Times New Roman" w:cs="Times New Roman"/>
          <w:b/>
          <w:bCs/>
          <w:color w:val="000000"/>
          <w:szCs w:val="24"/>
        </w:rPr>
      </w:pPr>
      <w:r>
        <w:rPr>
          <w:rFonts w:eastAsia="Times New Roman" w:cs="Times New Roman"/>
          <w:b/>
          <w:bCs/>
          <w:color w:val="000000"/>
          <w:szCs w:val="24"/>
        </w:rPr>
        <w:t>5</w:t>
      </w:r>
      <w:r w:rsidR="00594A21" w:rsidRPr="00594A21">
        <w:rPr>
          <w:rFonts w:eastAsia="Times New Roman" w:cs="Times New Roman"/>
          <w:b/>
          <w:bCs/>
          <w:color w:val="000000"/>
          <w:szCs w:val="24"/>
        </w:rPr>
        <w:t>.tabula</w:t>
      </w:r>
    </w:p>
    <w:p w14:paraId="1D1848C4" w14:textId="77777777" w:rsidR="00594A21" w:rsidRDefault="00594A21" w:rsidP="00594A21">
      <w:pPr>
        <w:spacing w:after="0" w:line="240" w:lineRule="auto"/>
        <w:ind w:firstLine="851"/>
        <w:jc w:val="center"/>
        <w:rPr>
          <w:rFonts w:eastAsia="Times New Roman" w:cs="Times New Roman"/>
          <w:b/>
          <w:bCs/>
          <w:color w:val="000000"/>
          <w:szCs w:val="24"/>
        </w:rPr>
      </w:pPr>
      <w:r w:rsidRPr="00594A21">
        <w:rPr>
          <w:rFonts w:eastAsia="Times New Roman" w:cs="Times New Roman"/>
          <w:b/>
          <w:bCs/>
          <w:color w:val="000000"/>
          <w:szCs w:val="24"/>
        </w:rPr>
        <w:t xml:space="preserve">Valsts budžeta līdzfinansējuma </w:t>
      </w:r>
      <w:r>
        <w:rPr>
          <w:rFonts w:eastAsia="Times New Roman" w:cs="Times New Roman"/>
          <w:b/>
          <w:bCs/>
          <w:color w:val="000000"/>
          <w:szCs w:val="24"/>
        </w:rPr>
        <w:t>apjoms, lai saglabātu OIK 26,79 </w:t>
      </w:r>
      <w:r w:rsidRPr="00594A21">
        <w:rPr>
          <w:rFonts w:eastAsia="Times New Roman" w:cs="Times New Roman"/>
          <w:b/>
          <w:bCs/>
          <w:color w:val="000000"/>
          <w:szCs w:val="24"/>
        </w:rPr>
        <w:t>EUR/</w:t>
      </w:r>
      <w:proofErr w:type="spellStart"/>
      <w:r w:rsidRPr="00594A21">
        <w:rPr>
          <w:rFonts w:eastAsia="Times New Roman" w:cs="Times New Roman"/>
          <w:b/>
          <w:bCs/>
          <w:color w:val="000000"/>
          <w:szCs w:val="24"/>
        </w:rPr>
        <w:t>MWh</w:t>
      </w:r>
      <w:proofErr w:type="spellEnd"/>
      <w:r>
        <w:rPr>
          <w:rFonts w:eastAsia="Times New Roman" w:cs="Times New Roman"/>
          <w:b/>
          <w:bCs/>
          <w:color w:val="000000"/>
          <w:szCs w:val="24"/>
        </w:rPr>
        <w:t xml:space="preserve"> līmenī</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256"/>
        <w:gridCol w:w="1027"/>
        <w:gridCol w:w="1028"/>
        <w:gridCol w:w="1027"/>
        <w:gridCol w:w="1028"/>
        <w:gridCol w:w="1028"/>
      </w:tblGrid>
      <w:tr w:rsidR="00D96266" w:rsidRPr="00611BA4" w14:paraId="3762DBC5" w14:textId="77777777" w:rsidTr="00D96266">
        <w:trPr>
          <w:trHeight w:val="333"/>
          <w:jc w:val="center"/>
        </w:trPr>
        <w:tc>
          <w:tcPr>
            <w:tcW w:w="3256" w:type="dxa"/>
            <w:shd w:val="clear" w:color="auto" w:fill="auto"/>
            <w:hideMark/>
          </w:tcPr>
          <w:p w14:paraId="47AC561A" w14:textId="77777777" w:rsidR="00D96266" w:rsidRPr="00611BA4" w:rsidRDefault="00D96266" w:rsidP="00890BA4">
            <w:pPr>
              <w:spacing w:after="0" w:line="240" w:lineRule="auto"/>
              <w:jc w:val="center"/>
              <w:rPr>
                <w:rFonts w:eastAsia="Times New Roman" w:cs="Times New Roman"/>
                <w:color w:val="000000"/>
                <w:szCs w:val="28"/>
                <w:lang w:eastAsia="lv-LV"/>
              </w:rPr>
            </w:pPr>
          </w:p>
        </w:tc>
        <w:tc>
          <w:tcPr>
            <w:tcW w:w="1027" w:type="dxa"/>
            <w:shd w:val="clear" w:color="auto" w:fill="auto"/>
            <w:vAlign w:val="center"/>
            <w:hideMark/>
          </w:tcPr>
          <w:p w14:paraId="3970078D" w14:textId="77777777" w:rsidR="00D96266" w:rsidRPr="00611BA4" w:rsidRDefault="00D96266"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2016</w:t>
            </w:r>
          </w:p>
        </w:tc>
        <w:tc>
          <w:tcPr>
            <w:tcW w:w="1028" w:type="dxa"/>
            <w:shd w:val="clear" w:color="auto" w:fill="auto"/>
            <w:vAlign w:val="center"/>
            <w:hideMark/>
          </w:tcPr>
          <w:p w14:paraId="19DE797A" w14:textId="77777777" w:rsidR="00D96266" w:rsidRPr="00611BA4" w:rsidRDefault="00D96266"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2017</w:t>
            </w:r>
          </w:p>
        </w:tc>
        <w:tc>
          <w:tcPr>
            <w:tcW w:w="1027" w:type="dxa"/>
            <w:shd w:val="clear" w:color="auto" w:fill="auto"/>
            <w:vAlign w:val="center"/>
            <w:hideMark/>
          </w:tcPr>
          <w:p w14:paraId="06E6FB37" w14:textId="77777777" w:rsidR="00D96266" w:rsidRPr="00611BA4" w:rsidRDefault="00D96266" w:rsidP="00890BA4">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2018</w:t>
            </w:r>
          </w:p>
        </w:tc>
        <w:tc>
          <w:tcPr>
            <w:tcW w:w="1028" w:type="dxa"/>
            <w:tcBorders>
              <w:bottom w:val="single" w:sz="4" w:space="0" w:color="auto"/>
            </w:tcBorders>
            <w:vAlign w:val="center"/>
          </w:tcPr>
          <w:p w14:paraId="664021CE" w14:textId="77777777" w:rsidR="00D96266" w:rsidRPr="00611BA4" w:rsidRDefault="00D96266" w:rsidP="00890BA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2019</w:t>
            </w:r>
          </w:p>
        </w:tc>
        <w:tc>
          <w:tcPr>
            <w:tcW w:w="1028" w:type="dxa"/>
            <w:tcBorders>
              <w:bottom w:val="single" w:sz="4" w:space="0" w:color="auto"/>
            </w:tcBorders>
          </w:tcPr>
          <w:p w14:paraId="455DB7D9" w14:textId="77777777" w:rsidR="00D96266" w:rsidRDefault="00D96266" w:rsidP="00890BA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2020</w:t>
            </w:r>
          </w:p>
        </w:tc>
      </w:tr>
      <w:tr w:rsidR="00D96266" w:rsidRPr="00634C37" w14:paraId="6C358741" w14:textId="77777777" w:rsidTr="00D96266">
        <w:trPr>
          <w:trHeight w:val="268"/>
          <w:jc w:val="center"/>
        </w:trPr>
        <w:tc>
          <w:tcPr>
            <w:tcW w:w="3256" w:type="dxa"/>
            <w:shd w:val="clear" w:color="auto" w:fill="auto"/>
            <w:vAlign w:val="center"/>
            <w:hideMark/>
          </w:tcPr>
          <w:p w14:paraId="6695E988" w14:textId="77777777" w:rsidR="00D96266" w:rsidRPr="00AC5FC4" w:rsidRDefault="00D96266" w:rsidP="00496AD2">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 xml:space="preserve">2015.g. prognoze, </w:t>
            </w:r>
            <w:r>
              <w:t>milj. EUR</w:t>
            </w:r>
          </w:p>
        </w:tc>
        <w:tc>
          <w:tcPr>
            <w:tcW w:w="1027" w:type="dxa"/>
            <w:shd w:val="clear" w:color="auto" w:fill="auto"/>
            <w:hideMark/>
          </w:tcPr>
          <w:p w14:paraId="202D05DD" w14:textId="77777777" w:rsidR="00D96266" w:rsidRPr="00AC5FC4" w:rsidRDefault="00D96266" w:rsidP="00496AD2">
            <w:pPr>
              <w:spacing w:after="0" w:line="240" w:lineRule="auto"/>
              <w:jc w:val="center"/>
              <w:rPr>
                <w:rFonts w:eastAsia="Times New Roman" w:cs="Times New Roman"/>
                <w:color w:val="000000"/>
                <w:szCs w:val="28"/>
                <w:lang w:eastAsia="lv-LV"/>
              </w:rPr>
            </w:pPr>
            <w:r w:rsidRPr="00326362">
              <w:t>79,591</w:t>
            </w:r>
          </w:p>
        </w:tc>
        <w:tc>
          <w:tcPr>
            <w:tcW w:w="1028" w:type="dxa"/>
            <w:shd w:val="clear" w:color="auto" w:fill="auto"/>
            <w:hideMark/>
          </w:tcPr>
          <w:p w14:paraId="7A46A1A2" w14:textId="77777777" w:rsidR="00D96266" w:rsidRPr="00AC5FC4" w:rsidRDefault="00D96266" w:rsidP="00496AD2">
            <w:pPr>
              <w:spacing w:after="0" w:line="240" w:lineRule="auto"/>
              <w:jc w:val="center"/>
              <w:rPr>
                <w:rFonts w:eastAsia="Times New Roman" w:cs="Times New Roman"/>
                <w:color w:val="000000"/>
                <w:szCs w:val="28"/>
                <w:lang w:eastAsia="lv-LV"/>
              </w:rPr>
            </w:pPr>
            <w:r w:rsidRPr="00326362">
              <w:t>81,536</w:t>
            </w:r>
          </w:p>
        </w:tc>
        <w:tc>
          <w:tcPr>
            <w:tcW w:w="1027" w:type="dxa"/>
            <w:shd w:val="clear" w:color="auto" w:fill="auto"/>
            <w:hideMark/>
          </w:tcPr>
          <w:p w14:paraId="02B3C675" w14:textId="77777777" w:rsidR="00D96266" w:rsidRPr="00AC5FC4" w:rsidRDefault="00D96266" w:rsidP="00496AD2">
            <w:pPr>
              <w:spacing w:after="0" w:line="240" w:lineRule="auto"/>
              <w:jc w:val="center"/>
              <w:rPr>
                <w:rFonts w:eastAsia="Times New Roman" w:cs="Times New Roman"/>
                <w:color w:val="000000"/>
                <w:szCs w:val="28"/>
                <w:lang w:eastAsia="lv-LV"/>
              </w:rPr>
            </w:pPr>
            <w:r w:rsidRPr="00326362">
              <w:t>92,678</w:t>
            </w:r>
          </w:p>
        </w:tc>
        <w:tc>
          <w:tcPr>
            <w:tcW w:w="1028" w:type="dxa"/>
            <w:shd w:val="clear" w:color="auto" w:fill="auto"/>
            <w:vAlign w:val="center"/>
          </w:tcPr>
          <w:p w14:paraId="45D11AB2" w14:textId="77777777" w:rsidR="00D96266" w:rsidRPr="00AC5FC4" w:rsidRDefault="00D96266" w:rsidP="00496AD2">
            <w:pPr>
              <w:spacing w:after="0" w:line="240" w:lineRule="auto"/>
              <w:jc w:val="center"/>
              <w:rPr>
                <w:rFonts w:eastAsia="Times New Roman" w:cs="Times New Roman"/>
                <w:i/>
                <w:color w:val="000000"/>
                <w:szCs w:val="28"/>
                <w:lang w:eastAsia="lv-LV"/>
              </w:rPr>
            </w:pPr>
            <w:r w:rsidRPr="00AC5FC4">
              <w:rPr>
                <w:rFonts w:eastAsia="Times New Roman" w:cs="Times New Roman"/>
                <w:i/>
                <w:color w:val="000000"/>
                <w:szCs w:val="28"/>
                <w:lang w:eastAsia="lv-LV"/>
              </w:rPr>
              <w:t>NA</w:t>
            </w:r>
          </w:p>
        </w:tc>
        <w:tc>
          <w:tcPr>
            <w:tcW w:w="1028" w:type="dxa"/>
            <w:shd w:val="clear" w:color="auto" w:fill="auto"/>
          </w:tcPr>
          <w:p w14:paraId="01F9EE3F" w14:textId="77777777" w:rsidR="00D96266" w:rsidRPr="00AC5FC4" w:rsidRDefault="00D96266" w:rsidP="00496AD2">
            <w:pPr>
              <w:spacing w:after="0" w:line="240" w:lineRule="auto"/>
              <w:jc w:val="center"/>
              <w:rPr>
                <w:rFonts w:eastAsia="Times New Roman" w:cs="Times New Roman"/>
                <w:i/>
                <w:color w:val="000000"/>
                <w:szCs w:val="28"/>
                <w:lang w:eastAsia="lv-LV"/>
              </w:rPr>
            </w:pPr>
            <w:r w:rsidRPr="004E7A07">
              <w:rPr>
                <w:rFonts w:eastAsia="Times New Roman" w:cs="Times New Roman"/>
                <w:i/>
                <w:color w:val="000000"/>
                <w:szCs w:val="28"/>
                <w:lang w:eastAsia="lv-LV"/>
              </w:rPr>
              <w:t>NA</w:t>
            </w:r>
          </w:p>
        </w:tc>
      </w:tr>
      <w:tr w:rsidR="00D96266" w:rsidRPr="00491FF1" w14:paraId="24EE835B" w14:textId="77777777" w:rsidTr="00D96266">
        <w:trPr>
          <w:trHeight w:val="271"/>
          <w:jc w:val="center"/>
        </w:trPr>
        <w:tc>
          <w:tcPr>
            <w:tcW w:w="3256" w:type="dxa"/>
            <w:shd w:val="clear" w:color="auto" w:fill="auto"/>
            <w:vAlign w:val="center"/>
          </w:tcPr>
          <w:p w14:paraId="5C92B470" w14:textId="77777777" w:rsidR="00D96266" w:rsidRPr="00C3471D" w:rsidRDefault="00D96266" w:rsidP="00496AD2">
            <w:pPr>
              <w:spacing w:after="0" w:line="240" w:lineRule="auto"/>
              <w:jc w:val="center"/>
              <w:rPr>
                <w:rFonts w:eastAsia="Times New Roman" w:cs="Times New Roman"/>
                <w:color w:val="000000"/>
                <w:szCs w:val="28"/>
                <w:lang w:eastAsia="lv-LV"/>
              </w:rPr>
            </w:pPr>
            <w:r w:rsidRPr="00C3471D">
              <w:rPr>
                <w:rFonts w:eastAsia="Times New Roman" w:cs="Times New Roman"/>
                <w:color w:val="000000"/>
                <w:szCs w:val="28"/>
                <w:lang w:eastAsia="lv-LV"/>
              </w:rPr>
              <w:t xml:space="preserve">2016.g prognoze, </w:t>
            </w:r>
            <w:r>
              <w:rPr>
                <w:rFonts w:eastAsia="Times New Roman" w:cs="Times New Roman"/>
                <w:color w:val="000000"/>
                <w:szCs w:val="28"/>
                <w:lang w:eastAsia="lv-LV"/>
              </w:rPr>
              <w:t>milj. </w:t>
            </w:r>
            <w:r w:rsidRPr="00C3471D">
              <w:t>EUR</w:t>
            </w:r>
          </w:p>
        </w:tc>
        <w:tc>
          <w:tcPr>
            <w:tcW w:w="1027" w:type="dxa"/>
            <w:shd w:val="clear" w:color="auto" w:fill="auto"/>
          </w:tcPr>
          <w:p w14:paraId="032105C8" w14:textId="77777777" w:rsidR="00D96266" w:rsidRPr="00C3471D" w:rsidRDefault="00D96266" w:rsidP="00496AD2">
            <w:pPr>
              <w:spacing w:after="0" w:line="240" w:lineRule="auto"/>
              <w:jc w:val="center"/>
              <w:rPr>
                <w:rFonts w:eastAsia="Times New Roman" w:cs="Times New Roman"/>
                <w:color w:val="000000"/>
                <w:szCs w:val="28"/>
                <w:lang w:eastAsia="lv-LV"/>
              </w:rPr>
            </w:pPr>
            <w:r w:rsidRPr="000942F6">
              <w:t>59</w:t>
            </w:r>
            <w:r>
              <w:t>,</w:t>
            </w:r>
            <w:r w:rsidRPr="000942F6">
              <w:t>189</w:t>
            </w:r>
            <w:r>
              <w:t>*</w:t>
            </w:r>
          </w:p>
        </w:tc>
        <w:tc>
          <w:tcPr>
            <w:tcW w:w="1028" w:type="dxa"/>
            <w:shd w:val="clear" w:color="auto" w:fill="auto"/>
          </w:tcPr>
          <w:p w14:paraId="24E77C03" w14:textId="77777777" w:rsidR="00D96266" w:rsidRPr="00C3471D" w:rsidRDefault="003C4D02" w:rsidP="003C4D02">
            <w:pPr>
              <w:spacing w:after="0" w:line="240" w:lineRule="auto"/>
              <w:jc w:val="center"/>
              <w:rPr>
                <w:rFonts w:eastAsia="Times New Roman" w:cs="Times New Roman"/>
                <w:color w:val="000000"/>
                <w:szCs w:val="28"/>
                <w:lang w:eastAsia="lv-LV"/>
              </w:rPr>
            </w:pPr>
            <w:r>
              <w:t>71,587</w:t>
            </w:r>
          </w:p>
        </w:tc>
        <w:tc>
          <w:tcPr>
            <w:tcW w:w="1027" w:type="dxa"/>
            <w:shd w:val="clear" w:color="auto" w:fill="auto"/>
          </w:tcPr>
          <w:p w14:paraId="5F8D34F7" w14:textId="77777777" w:rsidR="00D96266" w:rsidRPr="00C3471D" w:rsidRDefault="003C4D02" w:rsidP="00496AD2">
            <w:pPr>
              <w:spacing w:after="0" w:line="240" w:lineRule="auto"/>
              <w:jc w:val="center"/>
              <w:rPr>
                <w:rFonts w:eastAsia="Times New Roman" w:cs="Times New Roman"/>
                <w:color w:val="000000"/>
                <w:szCs w:val="28"/>
                <w:lang w:eastAsia="lv-LV"/>
              </w:rPr>
            </w:pPr>
            <w:r>
              <w:t>81,735</w:t>
            </w:r>
          </w:p>
        </w:tc>
        <w:tc>
          <w:tcPr>
            <w:tcW w:w="1028" w:type="dxa"/>
            <w:shd w:val="clear" w:color="auto" w:fill="auto"/>
          </w:tcPr>
          <w:p w14:paraId="4735C936" w14:textId="77777777" w:rsidR="00D96266" w:rsidRPr="00C3471D" w:rsidRDefault="003C4D02" w:rsidP="00496AD2">
            <w:pPr>
              <w:spacing w:after="0" w:line="240" w:lineRule="auto"/>
              <w:jc w:val="center"/>
              <w:rPr>
                <w:rFonts w:eastAsia="Times New Roman" w:cs="Times New Roman"/>
                <w:color w:val="000000"/>
                <w:szCs w:val="28"/>
                <w:lang w:eastAsia="lv-LV"/>
              </w:rPr>
            </w:pPr>
            <w:r>
              <w:t>90,737</w:t>
            </w:r>
          </w:p>
        </w:tc>
        <w:tc>
          <w:tcPr>
            <w:tcW w:w="1028" w:type="dxa"/>
            <w:shd w:val="clear" w:color="auto" w:fill="auto"/>
          </w:tcPr>
          <w:p w14:paraId="75750284" w14:textId="77777777" w:rsidR="00D96266" w:rsidRDefault="003C4D02" w:rsidP="00D96266">
            <w:pPr>
              <w:spacing w:after="0" w:line="240" w:lineRule="auto"/>
              <w:jc w:val="center"/>
            </w:pPr>
            <w:r>
              <w:t>94,146</w:t>
            </w:r>
          </w:p>
        </w:tc>
      </w:tr>
    </w:tbl>
    <w:p w14:paraId="6D320835" w14:textId="77777777" w:rsidR="00C3471D" w:rsidRPr="00491FF1" w:rsidRDefault="00C3471D" w:rsidP="00C3471D">
      <w:pPr>
        <w:pStyle w:val="Caption"/>
        <w:keepNext/>
        <w:jc w:val="left"/>
        <w:rPr>
          <w:rFonts w:ascii="Times New Roman" w:hAnsi="Times New Roman"/>
          <w:b w:val="0"/>
          <w:sz w:val="20"/>
          <w:szCs w:val="24"/>
        </w:rPr>
      </w:pPr>
      <w:r w:rsidRPr="00491FF1">
        <w:rPr>
          <w:rFonts w:ascii="Times New Roman" w:hAnsi="Times New Roman"/>
          <w:b w:val="0"/>
          <w:bCs w:val="0"/>
          <w:sz w:val="22"/>
          <w:szCs w:val="24"/>
        </w:rPr>
        <w:t xml:space="preserve">     </w:t>
      </w:r>
      <w:r w:rsidRPr="00491FF1">
        <w:rPr>
          <w:rFonts w:ascii="Times New Roman" w:hAnsi="Times New Roman"/>
          <w:b w:val="0"/>
          <w:bCs w:val="0"/>
          <w:sz w:val="20"/>
          <w:szCs w:val="24"/>
        </w:rPr>
        <w:t xml:space="preserve">  *</w:t>
      </w:r>
      <w:r w:rsidRPr="00491FF1">
        <w:rPr>
          <w:rFonts w:ascii="Times New Roman" w:hAnsi="Times New Roman"/>
          <w:b w:val="0"/>
          <w:sz w:val="20"/>
          <w:szCs w:val="24"/>
        </w:rPr>
        <w:t xml:space="preserve"> faktiskā vērtība</w:t>
      </w:r>
    </w:p>
    <w:p w14:paraId="3371C467" w14:textId="77777777" w:rsidR="00EF1EC7" w:rsidRDefault="00EF1EC7" w:rsidP="00EF1EC7">
      <w:pPr>
        <w:spacing w:after="0" w:line="240" w:lineRule="auto"/>
        <w:ind w:firstLine="851"/>
        <w:rPr>
          <w:sz w:val="28"/>
          <w:szCs w:val="28"/>
        </w:rPr>
      </w:pPr>
      <w:r w:rsidRPr="00BF4D66">
        <w:rPr>
          <w:sz w:val="28"/>
          <w:szCs w:val="28"/>
        </w:rPr>
        <w:t>Tā kā atbalstu kā OIK maksājuma samazinājumu proporcionāli patērētajai elektroenerģijas daļai saņem visi elektroenerģijas lietotāji, attiecīgais finansējums nesniedz selektīvu priekšrocību, un tādējādi AS „Enerģijas publiskais tirgotājs” saņemtie publiskie līdzekļi nav uzskatāmi par valsts atbalstu.</w:t>
      </w:r>
    </w:p>
    <w:p w14:paraId="2E8873AB" w14:textId="77777777" w:rsidR="00BF45DB" w:rsidRDefault="00BF45DB" w:rsidP="00EF1EC7">
      <w:pPr>
        <w:spacing w:after="0" w:line="240" w:lineRule="auto"/>
        <w:ind w:firstLine="851"/>
        <w:rPr>
          <w:sz w:val="28"/>
          <w:szCs w:val="28"/>
        </w:rPr>
      </w:pPr>
    </w:p>
    <w:p w14:paraId="43CA2F34" w14:textId="77777777" w:rsidR="00905646" w:rsidRPr="00F45744" w:rsidRDefault="00905646" w:rsidP="00F45744">
      <w:pPr>
        <w:pStyle w:val="Heading2"/>
        <w:numPr>
          <w:ilvl w:val="1"/>
          <w:numId w:val="1"/>
        </w:numPr>
        <w:ind w:left="0" w:firstLine="0"/>
        <w:rPr>
          <w:rFonts w:ascii="Times New Roman" w:hAnsi="Times New Roman" w:cs="Times New Roman"/>
          <w:b/>
          <w:color w:val="auto"/>
          <w:sz w:val="32"/>
          <w:szCs w:val="28"/>
        </w:rPr>
      </w:pPr>
      <w:bookmarkStart w:id="11" w:name="_Toc459890615"/>
      <w:r w:rsidRPr="00F45744">
        <w:rPr>
          <w:rFonts w:ascii="Times New Roman" w:hAnsi="Times New Roman" w:cs="Times New Roman"/>
          <w:b/>
          <w:color w:val="auto"/>
          <w:sz w:val="32"/>
          <w:szCs w:val="28"/>
        </w:rPr>
        <w:lastRenderedPageBreak/>
        <w:t xml:space="preserve">Atbalsts </w:t>
      </w:r>
      <w:r w:rsidR="00A34190" w:rsidRPr="00F45744">
        <w:rPr>
          <w:rFonts w:ascii="Times New Roman" w:hAnsi="Times New Roman" w:cs="Times New Roman"/>
          <w:b/>
          <w:color w:val="auto"/>
          <w:sz w:val="32"/>
          <w:szCs w:val="28"/>
        </w:rPr>
        <w:t>energoietilpīgiem apstrādes rūpniecības uzņēmumiem</w:t>
      </w:r>
      <w:bookmarkEnd w:id="11"/>
    </w:p>
    <w:p w14:paraId="3E81ADB1" w14:textId="5D904EB7" w:rsidR="00D62726" w:rsidRPr="00BF7EF2" w:rsidRDefault="00D62726" w:rsidP="00D62726">
      <w:pPr>
        <w:spacing w:before="120" w:after="0" w:line="240" w:lineRule="auto"/>
        <w:ind w:firstLine="851"/>
        <w:rPr>
          <w:bCs/>
          <w:color w:val="000000" w:themeColor="text1"/>
          <w:sz w:val="28"/>
          <w:szCs w:val="28"/>
        </w:rPr>
      </w:pPr>
      <w:r w:rsidRPr="00D62726">
        <w:rPr>
          <w:sz w:val="28"/>
          <w:szCs w:val="28"/>
        </w:rPr>
        <w:t xml:space="preserve">Atbalsts elektroenerģijas lietotājiem OIK </w:t>
      </w:r>
      <w:r w:rsidR="0015072B">
        <w:rPr>
          <w:sz w:val="28"/>
          <w:szCs w:val="28"/>
        </w:rPr>
        <w:t>saglabāšanai 26,79 EUR/</w:t>
      </w:r>
      <w:proofErr w:type="spellStart"/>
      <w:r w:rsidR="0015072B">
        <w:rPr>
          <w:sz w:val="28"/>
          <w:szCs w:val="28"/>
        </w:rPr>
        <w:t>MWh</w:t>
      </w:r>
      <w:proofErr w:type="spellEnd"/>
      <w:r w:rsidR="0015072B">
        <w:rPr>
          <w:sz w:val="28"/>
          <w:szCs w:val="28"/>
        </w:rPr>
        <w:t xml:space="preserve"> līmenī </w:t>
      </w:r>
      <w:r>
        <w:rPr>
          <w:sz w:val="28"/>
          <w:szCs w:val="28"/>
        </w:rPr>
        <w:t xml:space="preserve">samazina lietotāju </w:t>
      </w:r>
      <w:r w:rsidR="0015072B">
        <w:rPr>
          <w:sz w:val="28"/>
          <w:szCs w:val="28"/>
        </w:rPr>
        <w:t xml:space="preserve">kopējos </w:t>
      </w:r>
      <w:r>
        <w:rPr>
          <w:sz w:val="28"/>
          <w:szCs w:val="28"/>
        </w:rPr>
        <w:t xml:space="preserve">maksājumus, taču daudziem </w:t>
      </w:r>
      <w:r w:rsidRPr="00D62726">
        <w:rPr>
          <w:sz w:val="28"/>
          <w:szCs w:val="28"/>
        </w:rPr>
        <w:t>apstrādes rūpniecības uzņēmumiem</w:t>
      </w:r>
      <w:r>
        <w:rPr>
          <w:sz w:val="28"/>
          <w:szCs w:val="28"/>
        </w:rPr>
        <w:t xml:space="preserve"> ir liela </w:t>
      </w:r>
      <w:r w:rsidRPr="00D62726">
        <w:rPr>
          <w:sz w:val="28"/>
          <w:szCs w:val="28"/>
        </w:rPr>
        <w:t>energoietilpī</w:t>
      </w:r>
      <w:r>
        <w:rPr>
          <w:sz w:val="28"/>
          <w:szCs w:val="28"/>
        </w:rPr>
        <w:t xml:space="preserve">ba un ar šo atbalstu nepietiek to konkurētspējas nodrošināšanai. </w:t>
      </w:r>
      <w:r>
        <w:rPr>
          <w:bCs/>
          <w:color w:val="000000" w:themeColor="text1"/>
          <w:sz w:val="28"/>
          <w:szCs w:val="28"/>
        </w:rPr>
        <w:t>L</w:t>
      </w:r>
      <w:r w:rsidRPr="00D67152">
        <w:rPr>
          <w:bCs/>
          <w:color w:val="000000" w:themeColor="text1"/>
          <w:sz w:val="28"/>
          <w:szCs w:val="28"/>
        </w:rPr>
        <w:t xml:space="preserve">ai </w:t>
      </w:r>
      <w:r>
        <w:rPr>
          <w:bCs/>
          <w:color w:val="000000" w:themeColor="text1"/>
          <w:sz w:val="28"/>
          <w:szCs w:val="28"/>
        </w:rPr>
        <w:t>mazinātu</w:t>
      </w:r>
      <w:r w:rsidRPr="00D67152">
        <w:rPr>
          <w:bCs/>
          <w:color w:val="000000" w:themeColor="text1"/>
          <w:sz w:val="28"/>
          <w:szCs w:val="28"/>
        </w:rPr>
        <w:t xml:space="preserve"> </w:t>
      </w:r>
      <w:r>
        <w:rPr>
          <w:bCs/>
          <w:color w:val="000000" w:themeColor="text1"/>
          <w:sz w:val="28"/>
          <w:szCs w:val="28"/>
        </w:rPr>
        <w:t>OIK pieauguma negatīvo efektu uz komersantiem,</w:t>
      </w:r>
      <w:r w:rsidRPr="009759C6">
        <w:rPr>
          <w:bCs/>
          <w:color w:val="000000" w:themeColor="text1"/>
          <w:sz w:val="28"/>
          <w:szCs w:val="28"/>
        </w:rPr>
        <w:t xml:space="preserve"> </w:t>
      </w:r>
      <w:r w:rsidRPr="003D1336">
        <w:rPr>
          <w:bCs/>
          <w:color w:val="000000" w:themeColor="text1"/>
          <w:sz w:val="28"/>
          <w:szCs w:val="28"/>
        </w:rPr>
        <w:t xml:space="preserve">kas savu pamatdarbību ir izvērsuši energoietilpīgajās nozarēs, </w:t>
      </w:r>
      <w:r>
        <w:rPr>
          <w:bCs/>
          <w:color w:val="000000" w:themeColor="text1"/>
          <w:sz w:val="28"/>
          <w:szCs w:val="28"/>
        </w:rPr>
        <w:t>tostarp,</w:t>
      </w:r>
      <w:r w:rsidRPr="003D1336">
        <w:rPr>
          <w:bCs/>
          <w:color w:val="000000" w:themeColor="text1"/>
          <w:sz w:val="28"/>
          <w:szCs w:val="28"/>
        </w:rPr>
        <w:t xml:space="preserve"> metālrūpniecīb</w:t>
      </w:r>
      <w:r>
        <w:rPr>
          <w:bCs/>
          <w:color w:val="000000" w:themeColor="text1"/>
          <w:sz w:val="28"/>
          <w:szCs w:val="28"/>
        </w:rPr>
        <w:t>ā un</w:t>
      </w:r>
      <w:r w:rsidRPr="003D1336">
        <w:rPr>
          <w:bCs/>
          <w:color w:val="000000" w:themeColor="text1"/>
          <w:sz w:val="28"/>
          <w:szCs w:val="28"/>
        </w:rPr>
        <w:t xml:space="preserve"> būvmateriālu ražošan</w:t>
      </w:r>
      <w:r>
        <w:rPr>
          <w:bCs/>
          <w:color w:val="000000" w:themeColor="text1"/>
          <w:sz w:val="28"/>
          <w:szCs w:val="28"/>
        </w:rPr>
        <w:t>ā</w:t>
      </w:r>
      <w:r w:rsidRPr="00D67152">
        <w:rPr>
          <w:bCs/>
          <w:color w:val="000000" w:themeColor="text1"/>
          <w:sz w:val="28"/>
          <w:szCs w:val="28"/>
        </w:rPr>
        <w:t xml:space="preserve">, </w:t>
      </w:r>
      <w:r>
        <w:rPr>
          <w:bCs/>
          <w:color w:val="000000" w:themeColor="text1"/>
          <w:sz w:val="28"/>
          <w:szCs w:val="28"/>
        </w:rPr>
        <w:t>tika pieņemti</w:t>
      </w:r>
      <w:r w:rsidRPr="00D62726">
        <w:t xml:space="preserve"> </w:t>
      </w:r>
      <w:r w:rsidR="00381BBF" w:rsidRPr="00BF7EF2">
        <w:rPr>
          <w:bCs/>
          <w:color w:val="000000" w:themeColor="text1"/>
          <w:sz w:val="28"/>
          <w:szCs w:val="28"/>
        </w:rPr>
        <w:t>MK noteikumi Nr.</w:t>
      </w:r>
      <w:r w:rsidR="00381BBF">
        <w:rPr>
          <w:bCs/>
          <w:color w:val="000000" w:themeColor="text1"/>
          <w:sz w:val="28"/>
          <w:szCs w:val="28"/>
        </w:rPr>
        <w:t> </w:t>
      </w:r>
      <w:r w:rsidR="00381BBF" w:rsidRPr="00BF7EF2">
        <w:rPr>
          <w:bCs/>
          <w:color w:val="000000" w:themeColor="text1"/>
          <w:sz w:val="28"/>
          <w:szCs w:val="28"/>
        </w:rPr>
        <w:t>395</w:t>
      </w:r>
      <w:r w:rsidR="00F471F4" w:rsidRPr="00BF7EF2">
        <w:rPr>
          <w:bCs/>
          <w:color w:val="000000" w:themeColor="text1"/>
          <w:sz w:val="28"/>
          <w:szCs w:val="28"/>
        </w:rPr>
        <w:t>, kuri</w:t>
      </w:r>
      <w:r w:rsidRPr="00BF7EF2">
        <w:rPr>
          <w:bCs/>
          <w:color w:val="000000" w:themeColor="text1"/>
          <w:sz w:val="28"/>
          <w:szCs w:val="28"/>
        </w:rPr>
        <w:t xml:space="preserve"> apstrādes rūpniecības komersantiem </w:t>
      </w:r>
      <w:r w:rsidR="00F471F4" w:rsidRPr="00BF7EF2">
        <w:rPr>
          <w:bCs/>
          <w:color w:val="000000" w:themeColor="text1"/>
          <w:sz w:val="28"/>
          <w:szCs w:val="28"/>
        </w:rPr>
        <w:t>paredz</w:t>
      </w:r>
      <w:r w:rsidRPr="00BF7EF2">
        <w:rPr>
          <w:bCs/>
          <w:color w:val="000000" w:themeColor="text1"/>
          <w:sz w:val="28"/>
          <w:szCs w:val="28"/>
        </w:rPr>
        <w:t xml:space="preserve"> tiesības kvalificēties samazinātajam OIK līdzdalības maksājumam.</w:t>
      </w:r>
    </w:p>
    <w:p w14:paraId="0FF123F0" w14:textId="1495A9E6" w:rsidR="00EB5CE5" w:rsidRPr="00D67152" w:rsidRDefault="00EB5CE5" w:rsidP="00EB5CE5">
      <w:pPr>
        <w:spacing w:after="0" w:line="240" w:lineRule="auto"/>
        <w:ind w:firstLine="851"/>
        <w:rPr>
          <w:bCs/>
          <w:color w:val="000000" w:themeColor="text1"/>
          <w:sz w:val="28"/>
          <w:szCs w:val="28"/>
        </w:rPr>
      </w:pPr>
      <w:r w:rsidRPr="00BF7EF2">
        <w:rPr>
          <w:sz w:val="28"/>
          <w:szCs w:val="28"/>
        </w:rPr>
        <w:t>Tā kā šis atbalsts sniedz komersantiem selektīvu priekšrocību</w:t>
      </w:r>
      <w:r w:rsidRPr="00BF7EF2">
        <w:rPr>
          <w:bCs/>
          <w:color w:val="000000" w:themeColor="text1"/>
          <w:sz w:val="28"/>
          <w:szCs w:val="28"/>
        </w:rPr>
        <w:t xml:space="preserve">, tas tiek uzskatīts par valsts atbalstu un tā sniegšanai nepieciešams saņemt </w:t>
      </w:r>
      <w:r w:rsidR="00F83C30">
        <w:rPr>
          <w:bCs/>
          <w:color w:val="000000" w:themeColor="text1"/>
          <w:sz w:val="28"/>
          <w:szCs w:val="28"/>
        </w:rPr>
        <w:t>EK</w:t>
      </w:r>
      <w:r w:rsidRPr="00BF7EF2">
        <w:rPr>
          <w:bCs/>
          <w:color w:val="000000" w:themeColor="text1"/>
          <w:sz w:val="28"/>
          <w:szCs w:val="28"/>
        </w:rPr>
        <w:t xml:space="preserve"> saskaņojumu. MK noteikumi Nr.</w:t>
      </w:r>
      <w:r w:rsidR="00BF45DB">
        <w:rPr>
          <w:bCs/>
          <w:color w:val="000000" w:themeColor="text1"/>
          <w:sz w:val="28"/>
          <w:szCs w:val="28"/>
        </w:rPr>
        <w:t> </w:t>
      </w:r>
      <w:r w:rsidRPr="00BF7EF2">
        <w:rPr>
          <w:bCs/>
          <w:color w:val="000000" w:themeColor="text1"/>
          <w:sz w:val="28"/>
          <w:szCs w:val="28"/>
        </w:rPr>
        <w:t xml:space="preserve">395 stāsies spēkā tikai pēc EK lēmuma saņemšanas par saderību ar </w:t>
      </w:r>
      <w:r w:rsidR="00F83C30">
        <w:rPr>
          <w:bCs/>
          <w:color w:val="000000" w:themeColor="text1"/>
          <w:sz w:val="28"/>
          <w:szCs w:val="28"/>
        </w:rPr>
        <w:t>ES</w:t>
      </w:r>
      <w:r w:rsidRPr="00BF7EF2">
        <w:rPr>
          <w:bCs/>
          <w:color w:val="000000" w:themeColor="text1"/>
          <w:sz w:val="28"/>
          <w:szCs w:val="28"/>
        </w:rPr>
        <w:t xml:space="preserve"> iekšējo tirgu. </w:t>
      </w:r>
      <w:r w:rsidR="00431838" w:rsidRPr="00BF7EF2">
        <w:rPr>
          <w:bCs/>
          <w:color w:val="000000" w:themeColor="text1"/>
          <w:sz w:val="28"/>
          <w:szCs w:val="28"/>
        </w:rPr>
        <w:t>2015.</w:t>
      </w:r>
      <w:r w:rsidR="00E52784">
        <w:rPr>
          <w:bCs/>
          <w:color w:val="000000" w:themeColor="text1"/>
          <w:sz w:val="28"/>
          <w:szCs w:val="28"/>
        </w:rPr>
        <w:t> </w:t>
      </w:r>
      <w:r w:rsidR="00431838" w:rsidRPr="00BF7EF2">
        <w:rPr>
          <w:bCs/>
          <w:color w:val="000000" w:themeColor="text1"/>
          <w:sz w:val="28"/>
          <w:szCs w:val="28"/>
        </w:rPr>
        <w:t>gada 7.</w:t>
      </w:r>
      <w:r w:rsidR="00E52784">
        <w:rPr>
          <w:bCs/>
          <w:color w:val="000000" w:themeColor="text1"/>
          <w:sz w:val="28"/>
          <w:szCs w:val="28"/>
        </w:rPr>
        <w:t> </w:t>
      </w:r>
      <w:r w:rsidR="00431838" w:rsidRPr="00BF7EF2">
        <w:rPr>
          <w:bCs/>
          <w:color w:val="000000" w:themeColor="text1"/>
          <w:sz w:val="28"/>
          <w:szCs w:val="28"/>
        </w:rPr>
        <w:t xml:space="preserve">augustā </w:t>
      </w:r>
      <w:r w:rsidRPr="00BF7EF2">
        <w:rPr>
          <w:bCs/>
          <w:color w:val="000000" w:themeColor="text1"/>
          <w:sz w:val="28"/>
          <w:szCs w:val="28"/>
        </w:rPr>
        <w:t>Ekonomikas ministrija</w:t>
      </w:r>
      <w:r w:rsidR="00431838" w:rsidRPr="00BF7EF2">
        <w:rPr>
          <w:bCs/>
          <w:color w:val="000000" w:themeColor="text1"/>
          <w:sz w:val="28"/>
          <w:szCs w:val="28"/>
        </w:rPr>
        <w:t xml:space="preserve"> uzsāka atbalsta saskaņošanu, </w:t>
      </w:r>
      <w:r w:rsidRPr="00BF7EF2">
        <w:rPr>
          <w:bCs/>
          <w:color w:val="000000" w:themeColor="text1"/>
          <w:sz w:val="28"/>
          <w:szCs w:val="28"/>
        </w:rPr>
        <w:t>iesniedz</w:t>
      </w:r>
      <w:r w:rsidR="00431838" w:rsidRPr="00BF7EF2">
        <w:rPr>
          <w:bCs/>
          <w:color w:val="000000" w:themeColor="text1"/>
          <w:sz w:val="28"/>
          <w:szCs w:val="28"/>
        </w:rPr>
        <w:t>ot</w:t>
      </w:r>
      <w:r w:rsidRPr="00BF7EF2">
        <w:rPr>
          <w:bCs/>
          <w:color w:val="000000" w:themeColor="text1"/>
          <w:sz w:val="28"/>
          <w:szCs w:val="28"/>
        </w:rPr>
        <w:t xml:space="preserve"> </w:t>
      </w:r>
      <w:r w:rsidR="00F83C30">
        <w:rPr>
          <w:bCs/>
          <w:color w:val="000000" w:themeColor="text1"/>
          <w:sz w:val="28"/>
          <w:szCs w:val="28"/>
        </w:rPr>
        <w:t>EK</w:t>
      </w:r>
      <w:r w:rsidR="00BF7EF2" w:rsidRPr="00BF7EF2">
        <w:rPr>
          <w:bCs/>
          <w:color w:val="000000" w:themeColor="text1"/>
          <w:sz w:val="28"/>
          <w:szCs w:val="28"/>
        </w:rPr>
        <w:t xml:space="preserve"> </w:t>
      </w:r>
      <w:r w:rsidRPr="00BF7EF2">
        <w:rPr>
          <w:bCs/>
          <w:color w:val="000000" w:themeColor="text1"/>
          <w:sz w:val="28"/>
          <w:szCs w:val="28"/>
        </w:rPr>
        <w:t>paziņojumu</w:t>
      </w:r>
      <w:r w:rsidR="00BF7EF2" w:rsidRPr="00BF7EF2">
        <w:rPr>
          <w:rStyle w:val="FootnoteReference"/>
          <w:bCs/>
          <w:color w:val="000000" w:themeColor="text1"/>
          <w:sz w:val="28"/>
          <w:szCs w:val="28"/>
        </w:rPr>
        <w:footnoteReference w:id="7"/>
      </w:r>
      <w:r w:rsidRPr="00BF7EF2">
        <w:rPr>
          <w:bCs/>
          <w:color w:val="000000" w:themeColor="text1"/>
          <w:sz w:val="28"/>
          <w:szCs w:val="28"/>
        </w:rPr>
        <w:t xml:space="preserve"> tās uzturētajā valsts atbalsta notifikācijas sistēmā.</w:t>
      </w:r>
      <w:r w:rsidR="00BF7EF2" w:rsidRPr="00BF7EF2">
        <w:rPr>
          <w:rFonts w:eastAsia="Times New Roman" w:cs="Times New Roman"/>
          <w:szCs w:val="24"/>
          <w:lang w:eastAsia="lv-LV"/>
        </w:rPr>
        <w:t xml:space="preserve"> </w:t>
      </w:r>
    </w:p>
    <w:p w14:paraId="30FC705A" w14:textId="77777777" w:rsidR="00D62726" w:rsidRDefault="00D62726" w:rsidP="0015072B">
      <w:pPr>
        <w:spacing w:after="0" w:line="240" w:lineRule="auto"/>
        <w:ind w:firstLine="851"/>
        <w:rPr>
          <w:bCs/>
          <w:color w:val="000000" w:themeColor="text1"/>
          <w:sz w:val="28"/>
          <w:szCs w:val="28"/>
        </w:rPr>
      </w:pPr>
      <w:r w:rsidRPr="00D67152">
        <w:rPr>
          <w:bCs/>
          <w:color w:val="000000" w:themeColor="text1"/>
          <w:sz w:val="28"/>
          <w:szCs w:val="28"/>
        </w:rPr>
        <w:t>OIK līdzdalības maksājum</w:t>
      </w:r>
      <w:r w:rsidR="00F471F4">
        <w:rPr>
          <w:bCs/>
          <w:color w:val="000000" w:themeColor="text1"/>
          <w:sz w:val="28"/>
          <w:szCs w:val="28"/>
        </w:rPr>
        <w:t>a samazinājums</w:t>
      </w:r>
      <w:r w:rsidRPr="00D67152">
        <w:rPr>
          <w:bCs/>
          <w:color w:val="000000" w:themeColor="text1"/>
          <w:sz w:val="28"/>
          <w:szCs w:val="28"/>
        </w:rPr>
        <w:t xml:space="preserve"> </w:t>
      </w:r>
      <w:r w:rsidR="0015072B">
        <w:rPr>
          <w:bCs/>
          <w:color w:val="000000" w:themeColor="text1"/>
          <w:sz w:val="28"/>
          <w:szCs w:val="28"/>
        </w:rPr>
        <w:t>paredzēts</w:t>
      </w:r>
      <w:r w:rsidR="0015072B" w:rsidRPr="00D67152">
        <w:rPr>
          <w:bCs/>
          <w:color w:val="000000" w:themeColor="text1"/>
          <w:sz w:val="28"/>
          <w:szCs w:val="28"/>
        </w:rPr>
        <w:t xml:space="preserve"> </w:t>
      </w:r>
      <w:r w:rsidRPr="00D67152">
        <w:rPr>
          <w:bCs/>
          <w:color w:val="000000" w:themeColor="text1"/>
          <w:sz w:val="28"/>
          <w:szCs w:val="28"/>
        </w:rPr>
        <w:t>85%</w:t>
      </w:r>
      <w:r>
        <w:rPr>
          <w:bCs/>
          <w:color w:val="000000" w:themeColor="text1"/>
          <w:sz w:val="28"/>
          <w:szCs w:val="28"/>
        </w:rPr>
        <w:t xml:space="preserve"> </w:t>
      </w:r>
      <w:r w:rsidR="0015072B">
        <w:rPr>
          <w:bCs/>
          <w:color w:val="000000" w:themeColor="text1"/>
          <w:sz w:val="28"/>
          <w:szCs w:val="28"/>
        </w:rPr>
        <w:t xml:space="preserve">apmērā </w:t>
      </w:r>
      <w:r>
        <w:rPr>
          <w:bCs/>
          <w:color w:val="000000" w:themeColor="text1"/>
          <w:sz w:val="28"/>
          <w:szCs w:val="28"/>
        </w:rPr>
        <w:t>no OIK</w:t>
      </w:r>
      <w:r w:rsidR="00F471F4">
        <w:rPr>
          <w:bCs/>
          <w:color w:val="000000" w:themeColor="text1"/>
          <w:sz w:val="28"/>
          <w:szCs w:val="28"/>
        </w:rPr>
        <w:t xml:space="preserve"> daļas par </w:t>
      </w:r>
      <w:r w:rsidR="00E52784">
        <w:rPr>
          <w:bCs/>
          <w:color w:val="000000" w:themeColor="text1"/>
          <w:sz w:val="28"/>
          <w:szCs w:val="28"/>
        </w:rPr>
        <w:t>AER</w:t>
      </w:r>
      <w:r w:rsidR="00F471F4">
        <w:rPr>
          <w:bCs/>
          <w:color w:val="000000" w:themeColor="text1"/>
          <w:sz w:val="28"/>
          <w:szCs w:val="28"/>
        </w:rPr>
        <w:t xml:space="preserve"> izmantojošām elektrostacijām</w:t>
      </w:r>
      <w:r w:rsidRPr="00D67152">
        <w:rPr>
          <w:bCs/>
          <w:color w:val="000000" w:themeColor="text1"/>
          <w:sz w:val="28"/>
          <w:szCs w:val="28"/>
        </w:rPr>
        <w:t xml:space="preserve">. </w:t>
      </w:r>
      <w:r w:rsidR="00F471F4">
        <w:rPr>
          <w:bCs/>
          <w:color w:val="000000" w:themeColor="text1"/>
          <w:sz w:val="28"/>
          <w:szCs w:val="28"/>
        </w:rPr>
        <w:t>No</w:t>
      </w:r>
      <w:r w:rsidRPr="00D67152">
        <w:rPr>
          <w:bCs/>
          <w:color w:val="000000" w:themeColor="text1"/>
          <w:sz w:val="28"/>
          <w:szCs w:val="28"/>
        </w:rPr>
        <w:t xml:space="preserve"> 201</w:t>
      </w:r>
      <w:r>
        <w:rPr>
          <w:bCs/>
          <w:color w:val="000000" w:themeColor="text1"/>
          <w:sz w:val="28"/>
          <w:szCs w:val="28"/>
        </w:rPr>
        <w:t>6</w:t>
      </w:r>
      <w:r w:rsidRPr="00D67152">
        <w:rPr>
          <w:bCs/>
          <w:color w:val="000000" w:themeColor="text1"/>
          <w:sz w:val="28"/>
          <w:szCs w:val="28"/>
        </w:rPr>
        <w:t>.</w:t>
      </w:r>
      <w:r w:rsidR="00E52784">
        <w:rPr>
          <w:bCs/>
          <w:color w:val="000000" w:themeColor="text1"/>
          <w:sz w:val="28"/>
          <w:szCs w:val="28"/>
        </w:rPr>
        <w:t> </w:t>
      </w:r>
      <w:r w:rsidRPr="00D67152">
        <w:rPr>
          <w:bCs/>
          <w:color w:val="000000" w:themeColor="text1"/>
          <w:sz w:val="28"/>
          <w:szCs w:val="28"/>
        </w:rPr>
        <w:t>gada 1.</w:t>
      </w:r>
      <w:r w:rsidR="00E52784">
        <w:rPr>
          <w:bCs/>
          <w:color w:val="000000" w:themeColor="text1"/>
          <w:sz w:val="28"/>
          <w:szCs w:val="28"/>
        </w:rPr>
        <w:t> </w:t>
      </w:r>
      <w:r w:rsidRPr="00D67152">
        <w:rPr>
          <w:bCs/>
          <w:color w:val="000000" w:themeColor="text1"/>
          <w:sz w:val="28"/>
          <w:szCs w:val="28"/>
        </w:rPr>
        <w:t>aprī</w:t>
      </w:r>
      <w:r w:rsidR="00F471F4">
        <w:rPr>
          <w:bCs/>
          <w:color w:val="000000" w:themeColor="text1"/>
          <w:sz w:val="28"/>
          <w:szCs w:val="28"/>
        </w:rPr>
        <w:t>ļa apstiprinātā</w:t>
      </w:r>
      <w:r w:rsidRPr="00D67152">
        <w:rPr>
          <w:bCs/>
          <w:color w:val="000000" w:themeColor="text1"/>
          <w:sz w:val="28"/>
          <w:szCs w:val="28"/>
        </w:rPr>
        <w:t xml:space="preserve"> OIK ir 26,79</w:t>
      </w:r>
      <w:r>
        <w:rPr>
          <w:bCs/>
          <w:color w:val="000000" w:themeColor="text1"/>
          <w:sz w:val="28"/>
          <w:szCs w:val="28"/>
        </w:rPr>
        <w:t> </w:t>
      </w:r>
      <w:r w:rsidR="00F471F4">
        <w:rPr>
          <w:bCs/>
          <w:color w:val="000000" w:themeColor="text1"/>
          <w:sz w:val="28"/>
          <w:szCs w:val="28"/>
        </w:rPr>
        <w:t>EUR/</w:t>
      </w:r>
      <w:proofErr w:type="spellStart"/>
      <w:r w:rsidRPr="00D67152">
        <w:rPr>
          <w:bCs/>
          <w:color w:val="000000" w:themeColor="text1"/>
          <w:sz w:val="28"/>
          <w:szCs w:val="28"/>
        </w:rPr>
        <w:t>MW</w:t>
      </w:r>
      <w:r w:rsidR="00F471F4">
        <w:rPr>
          <w:bCs/>
          <w:color w:val="000000" w:themeColor="text1"/>
          <w:sz w:val="28"/>
          <w:szCs w:val="28"/>
        </w:rPr>
        <w:t>h</w:t>
      </w:r>
      <w:proofErr w:type="spellEnd"/>
      <w:r w:rsidRPr="00D67152">
        <w:rPr>
          <w:bCs/>
          <w:color w:val="000000" w:themeColor="text1"/>
          <w:sz w:val="28"/>
          <w:szCs w:val="28"/>
        </w:rPr>
        <w:t>, kur</w:t>
      </w:r>
      <w:r w:rsidR="00F471F4">
        <w:rPr>
          <w:bCs/>
          <w:color w:val="000000" w:themeColor="text1"/>
          <w:sz w:val="28"/>
          <w:szCs w:val="28"/>
        </w:rPr>
        <w:t xml:space="preserve">as </w:t>
      </w:r>
      <w:r w:rsidR="00E52784">
        <w:rPr>
          <w:bCs/>
          <w:color w:val="000000" w:themeColor="text1"/>
          <w:sz w:val="28"/>
          <w:szCs w:val="28"/>
        </w:rPr>
        <w:t>AER</w:t>
      </w:r>
      <w:r w:rsidR="00F471F4">
        <w:rPr>
          <w:bCs/>
          <w:color w:val="000000" w:themeColor="text1"/>
          <w:sz w:val="28"/>
          <w:szCs w:val="28"/>
        </w:rPr>
        <w:t xml:space="preserve"> daļa ir</w:t>
      </w:r>
      <w:r w:rsidRPr="00D67152">
        <w:rPr>
          <w:bCs/>
          <w:color w:val="000000" w:themeColor="text1"/>
          <w:sz w:val="28"/>
          <w:szCs w:val="28"/>
        </w:rPr>
        <w:t xml:space="preserve"> </w:t>
      </w:r>
      <w:r w:rsidRPr="000167D4">
        <w:rPr>
          <w:bCs/>
          <w:color w:val="000000" w:themeColor="text1"/>
          <w:sz w:val="28"/>
          <w:szCs w:val="28"/>
        </w:rPr>
        <w:t>10,</w:t>
      </w:r>
      <w:r w:rsidRPr="000128B1">
        <w:rPr>
          <w:bCs/>
          <w:color w:val="000000" w:themeColor="text1"/>
          <w:sz w:val="28"/>
          <w:szCs w:val="28"/>
        </w:rPr>
        <w:t>54</w:t>
      </w:r>
      <w:r w:rsidR="00F471F4">
        <w:rPr>
          <w:bCs/>
          <w:color w:val="000000" w:themeColor="text1"/>
          <w:sz w:val="28"/>
          <w:szCs w:val="28"/>
        </w:rPr>
        <w:t xml:space="preserve"> EUR/</w:t>
      </w:r>
      <w:proofErr w:type="spellStart"/>
      <w:r w:rsidR="00F471F4">
        <w:rPr>
          <w:bCs/>
          <w:color w:val="000000" w:themeColor="text1"/>
          <w:sz w:val="28"/>
          <w:szCs w:val="28"/>
        </w:rPr>
        <w:t>M</w:t>
      </w:r>
      <w:r w:rsidRPr="000167D4">
        <w:rPr>
          <w:bCs/>
          <w:color w:val="000000" w:themeColor="text1"/>
          <w:sz w:val="28"/>
          <w:szCs w:val="28"/>
        </w:rPr>
        <w:t>Wh</w:t>
      </w:r>
      <w:proofErr w:type="spellEnd"/>
      <w:r w:rsidRPr="000167D4">
        <w:rPr>
          <w:bCs/>
          <w:color w:val="000000" w:themeColor="text1"/>
          <w:sz w:val="28"/>
          <w:szCs w:val="28"/>
        </w:rPr>
        <w:t>.</w:t>
      </w:r>
      <w:r w:rsidR="00F471F4">
        <w:rPr>
          <w:bCs/>
          <w:color w:val="000000" w:themeColor="text1"/>
          <w:sz w:val="28"/>
          <w:szCs w:val="28"/>
        </w:rPr>
        <w:t xml:space="preserve"> Līdz ar to energoietilpīgu uzņēmumu, kuri kvalificēsies atbalstam, </w:t>
      </w:r>
      <w:r w:rsidR="00F471F4" w:rsidRPr="00D67152">
        <w:rPr>
          <w:bCs/>
          <w:color w:val="000000" w:themeColor="text1"/>
          <w:sz w:val="28"/>
          <w:szCs w:val="28"/>
        </w:rPr>
        <w:t>OIK līdzdalības maksājum</w:t>
      </w:r>
      <w:r w:rsidR="00F471F4">
        <w:rPr>
          <w:bCs/>
          <w:color w:val="000000" w:themeColor="text1"/>
          <w:sz w:val="28"/>
          <w:szCs w:val="28"/>
        </w:rPr>
        <w:t>a samazinājums šajā periodā būs 8,959 EUR/</w:t>
      </w:r>
      <w:proofErr w:type="spellStart"/>
      <w:r w:rsidR="00F471F4">
        <w:rPr>
          <w:bCs/>
          <w:color w:val="000000" w:themeColor="text1"/>
          <w:sz w:val="28"/>
          <w:szCs w:val="28"/>
        </w:rPr>
        <w:t>M</w:t>
      </w:r>
      <w:r w:rsidR="00F471F4" w:rsidRPr="000167D4">
        <w:rPr>
          <w:bCs/>
          <w:color w:val="000000" w:themeColor="text1"/>
          <w:sz w:val="28"/>
          <w:szCs w:val="28"/>
        </w:rPr>
        <w:t>Wh</w:t>
      </w:r>
      <w:proofErr w:type="spellEnd"/>
      <w:r w:rsidR="00F471F4">
        <w:rPr>
          <w:bCs/>
          <w:color w:val="000000" w:themeColor="text1"/>
          <w:sz w:val="28"/>
          <w:szCs w:val="28"/>
        </w:rPr>
        <w:t>.</w:t>
      </w:r>
    </w:p>
    <w:p w14:paraId="5F6EEF15" w14:textId="5070B931" w:rsidR="00FF18BC" w:rsidRPr="00F261DE" w:rsidRDefault="003E410D" w:rsidP="00FF18BC">
      <w:pPr>
        <w:spacing w:after="0" w:line="240" w:lineRule="auto"/>
        <w:ind w:firstLine="851"/>
        <w:rPr>
          <w:sz w:val="28"/>
          <w:szCs w:val="28"/>
        </w:rPr>
      </w:pPr>
      <w:r>
        <w:rPr>
          <w:bCs/>
          <w:color w:val="000000" w:themeColor="text1"/>
          <w:sz w:val="28"/>
          <w:szCs w:val="28"/>
        </w:rPr>
        <w:t xml:space="preserve">Atbalsta mehānisma īstenošanai valsts budžetā paredzētais finansējuma apmērs atspoguļots 6. tabulā. </w:t>
      </w:r>
      <w:r w:rsidR="00FF18BC">
        <w:rPr>
          <w:color w:val="000000" w:themeColor="text1"/>
          <w:sz w:val="28"/>
          <w:szCs w:val="28"/>
        </w:rPr>
        <w:t xml:space="preserve">Saskaņā ar plānoto mehānismu </w:t>
      </w:r>
      <w:r w:rsidR="00FF18BC" w:rsidRPr="00F261DE">
        <w:rPr>
          <w:color w:val="000000" w:themeColor="text1"/>
          <w:sz w:val="28"/>
          <w:szCs w:val="28"/>
        </w:rPr>
        <w:t>komersanti uz samazināto OIK līdzdalības maksājumu par 2015.</w:t>
      </w:r>
      <w:r w:rsidR="00E52784">
        <w:rPr>
          <w:color w:val="000000" w:themeColor="text1"/>
          <w:sz w:val="28"/>
          <w:szCs w:val="28"/>
        </w:rPr>
        <w:t> </w:t>
      </w:r>
      <w:r w:rsidR="00FF18BC" w:rsidRPr="00F261DE">
        <w:rPr>
          <w:color w:val="000000" w:themeColor="text1"/>
          <w:sz w:val="28"/>
          <w:szCs w:val="28"/>
        </w:rPr>
        <w:t xml:space="preserve">gada </w:t>
      </w:r>
      <w:r w:rsidR="00FF18BC">
        <w:rPr>
          <w:color w:val="000000" w:themeColor="text1"/>
          <w:sz w:val="28"/>
          <w:szCs w:val="28"/>
        </w:rPr>
        <w:t xml:space="preserve">2. </w:t>
      </w:r>
      <w:r w:rsidR="00FF18BC" w:rsidRPr="00F261DE">
        <w:rPr>
          <w:color w:val="000000" w:themeColor="text1"/>
          <w:sz w:val="28"/>
          <w:szCs w:val="28"/>
        </w:rPr>
        <w:t>pusgadu varēs pieteikties 2016.</w:t>
      </w:r>
      <w:r w:rsidR="00E52784">
        <w:rPr>
          <w:color w:val="000000" w:themeColor="text1"/>
          <w:sz w:val="28"/>
          <w:szCs w:val="28"/>
        </w:rPr>
        <w:t> </w:t>
      </w:r>
      <w:r w:rsidR="00FF18BC" w:rsidRPr="00F261DE">
        <w:rPr>
          <w:color w:val="000000" w:themeColor="text1"/>
          <w:sz w:val="28"/>
          <w:szCs w:val="28"/>
        </w:rPr>
        <w:t>gadā. MK noteikumi Nr.</w:t>
      </w:r>
      <w:r w:rsidR="00E52784">
        <w:rPr>
          <w:color w:val="000000" w:themeColor="text1"/>
          <w:sz w:val="28"/>
          <w:szCs w:val="28"/>
        </w:rPr>
        <w:t> </w:t>
      </w:r>
      <w:r w:rsidR="00FF18BC" w:rsidRPr="00F261DE">
        <w:rPr>
          <w:color w:val="000000" w:themeColor="text1"/>
          <w:sz w:val="28"/>
          <w:szCs w:val="28"/>
        </w:rPr>
        <w:t xml:space="preserve">395 paredz, ka AS </w:t>
      </w:r>
      <w:r w:rsidR="00FF18BC">
        <w:rPr>
          <w:color w:val="000000" w:themeColor="text1"/>
          <w:sz w:val="28"/>
          <w:szCs w:val="28"/>
        </w:rPr>
        <w:t>“</w:t>
      </w:r>
      <w:r w:rsidR="00FF18BC" w:rsidRPr="00F261DE">
        <w:rPr>
          <w:color w:val="000000" w:themeColor="text1"/>
          <w:sz w:val="28"/>
          <w:szCs w:val="28"/>
        </w:rPr>
        <w:t xml:space="preserve">Enerģijas publiskais tirgotājs” visas izmaksas, kas saistītas ar samazināto OIK līdzdalības maksājumu, iekļauj OIK aprēķinā un Sabiedrisko pakalpojumu regulēšanas komisija, apstiprinot OIK apmēru katram nākošajam gadam, ņem vērā iepriekš minētās izmaksas. </w:t>
      </w:r>
      <w:r w:rsidR="00FF18BC" w:rsidRPr="00F261DE">
        <w:rPr>
          <w:sz w:val="28"/>
          <w:szCs w:val="28"/>
        </w:rPr>
        <w:t xml:space="preserve">Līdz ar to AS </w:t>
      </w:r>
      <w:r w:rsidR="00FF18BC">
        <w:rPr>
          <w:sz w:val="28"/>
          <w:szCs w:val="28"/>
        </w:rPr>
        <w:t>“</w:t>
      </w:r>
      <w:r w:rsidR="00FF18BC" w:rsidRPr="00F261DE">
        <w:rPr>
          <w:sz w:val="28"/>
          <w:szCs w:val="28"/>
        </w:rPr>
        <w:t xml:space="preserve">Enerģijas publiskais tirgotājs” </w:t>
      </w:r>
      <w:r w:rsidR="00FF18BC">
        <w:rPr>
          <w:color w:val="000000" w:themeColor="text1"/>
          <w:sz w:val="28"/>
          <w:szCs w:val="28"/>
        </w:rPr>
        <w:t xml:space="preserve">izmaksas par samazināto </w:t>
      </w:r>
      <w:r w:rsidR="00FF18BC" w:rsidRPr="00F261DE">
        <w:rPr>
          <w:color w:val="000000" w:themeColor="text1"/>
          <w:sz w:val="28"/>
          <w:szCs w:val="28"/>
        </w:rPr>
        <w:t>OIK līdzdalīb</w:t>
      </w:r>
      <w:r w:rsidR="00FF18BC">
        <w:rPr>
          <w:color w:val="000000" w:themeColor="text1"/>
          <w:sz w:val="28"/>
          <w:szCs w:val="28"/>
        </w:rPr>
        <w:t>u</w:t>
      </w:r>
      <w:r w:rsidR="00FF18BC" w:rsidRPr="00F261DE">
        <w:rPr>
          <w:color w:val="000000" w:themeColor="text1"/>
          <w:sz w:val="28"/>
          <w:szCs w:val="28"/>
        </w:rPr>
        <w:t xml:space="preserve"> </w:t>
      </w:r>
      <w:r w:rsidR="00FF18BC" w:rsidRPr="00F261DE">
        <w:rPr>
          <w:sz w:val="28"/>
          <w:szCs w:val="28"/>
        </w:rPr>
        <w:t>par 2015.</w:t>
      </w:r>
      <w:r w:rsidR="00D62A7C">
        <w:rPr>
          <w:sz w:val="28"/>
          <w:szCs w:val="28"/>
        </w:rPr>
        <w:t> </w:t>
      </w:r>
      <w:r w:rsidR="00FF18BC" w:rsidRPr="00F261DE">
        <w:rPr>
          <w:sz w:val="28"/>
          <w:szCs w:val="28"/>
        </w:rPr>
        <w:t xml:space="preserve">gada </w:t>
      </w:r>
      <w:r w:rsidR="00FF18BC">
        <w:rPr>
          <w:sz w:val="28"/>
          <w:szCs w:val="28"/>
        </w:rPr>
        <w:t xml:space="preserve">2. </w:t>
      </w:r>
      <w:r w:rsidR="00FF18BC" w:rsidRPr="00F261DE">
        <w:rPr>
          <w:sz w:val="28"/>
          <w:szCs w:val="28"/>
        </w:rPr>
        <w:t xml:space="preserve">pusgadu </w:t>
      </w:r>
      <w:r w:rsidR="00FF18BC">
        <w:rPr>
          <w:sz w:val="28"/>
          <w:szCs w:val="28"/>
        </w:rPr>
        <w:t xml:space="preserve">radīsies 2016. gadā un tiks </w:t>
      </w:r>
      <w:r w:rsidR="00FF18BC" w:rsidRPr="00F261DE">
        <w:rPr>
          <w:sz w:val="28"/>
          <w:szCs w:val="28"/>
        </w:rPr>
        <w:t>iekļau</w:t>
      </w:r>
      <w:r w:rsidR="00FF18BC">
        <w:rPr>
          <w:sz w:val="28"/>
          <w:szCs w:val="28"/>
        </w:rPr>
        <w:t>tas OIK</w:t>
      </w:r>
      <w:r w:rsidR="00FF18BC" w:rsidRPr="00F261DE">
        <w:rPr>
          <w:sz w:val="28"/>
          <w:szCs w:val="28"/>
        </w:rPr>
        <w:t>, kas stāsies spēkā 2017.</w:t>
      </w:r>
      <w:r w:rsidR="00F25B8B">
        <w:rPr>
          <w:sz w:val="28"/>
          <w:szCs w:val="28"/>
        </w:rPr>
        <w:t> </w:t>
      </w:r>
      <w:r w:rsidR="00FF18BC" w:rsidRPr="00F261DE">
        <w:rPr>
          <w:sz w:val="28"/>
          <w:szCs w:val="28"/>
        </w:rPr>
        <w:t>gada 1.</w:t>
      </w:r>
      <w:r w:rsidR="00F25B8B">
        <w:rPr>
          <w:sz w:val="28"/>
          <w:szCs w:val="28"/>
        </w:rPr>
        <w:t> </w:t>
      </w:r>
      <w:r w:rsidR="00FF18BC" w:rsidRPr="00F261DE">
        <w:rPr>
          <w:sz w:val="28"/>
          <w:szCs w:val="28"/>
        </w:rPr>
        <w:t>aprīlī</w:t>
      </w:r>
      <w:r w:rsidR="00FF18BC">
        <w:rPr>
          <w:sz w:val="28"/>
          <w:szCs w:val="28"/>
        </w:rPr>
        <w:t>,</w:t>
      </w:r>
      <w:r w:rsidR="00FF18BC" w:rsidRPr="00FF18BC">
        <w:rPr>
          <w:sz w:val="28"/>
          <w:szCs w:val="28"/>
        </w:rPr>
        <w:t xml:space="preserve"> </w:t>
      </w:r>
      <w:r w:rsidR="00FF18BC" w:rsidRPr="00F261DE">
        <w:rPr>
          <w:sz w:val="28"/>
          <w:szCs w:val="28"/>
        </w:rPr>
        <w:t>aprēķinā. Ņemot vērā minēto, valsts pamatbudžeta līdzekļi atbalsta shēmas darb</w:t>
      </w:r>
      <w:r w:rsidR="00FF18BC">
        <w:rPr>
          <w:sz w:val="28"/>
          <w:szCs w:val="28"/>
        </w:rPr>
        <w:t>ībai būs nepieciešami 2017.</w:t>
      </w:r>
      <w:r w:rsidR="00F25B8B">
        <w:rPr>
          <w:sz w:val="28"/>
          <w:szCs w:val="28"/>
        </w:rPr>
        <w:t> </w:t>
      </w:r>
      <w:r w:rsidR="00FF18BC">
        <w:rPr>
          <w:sz w:val="28"/>
          <w:szCs w:val="28"/>
        </w:rPr>
        <w:t>gadā un v</w:t>
      </w:r>
      <w:r w:rsidR="00FF18BC" w:rsidRPr="00F261DE">
        <w:rPr>
          <w:color w:val="000000" w:themeColor="text1"/>
          <w:sz w:val="28"/>
          <w:szCs w:val="28"/>
        </w:rPr>
        <w:t xml:space="preserve">alsts </w:t>
      </w:r>
      <w:r w:rsidR="00FF18BC">
        <w:rPr>
          <w:color w:val="000000" w:themeColor="text1"/>
          <w:sz w:val="28"/>
          <w:szCs w:val="28"/>
        </w:rPr>
        <w:t>budžetā</w:t>
      </w:r>
      <w:r w:rsidR="00FF18BC" w:rsidRPr="00F261DE">
        <w:rPr>
          <w:color w:val="000000" w:themeColor="text1"/>
          <w:sz w:val="28"/>
          <w:szCs w:val="28"/>
        </w:rPr>
        <w:t xml:space="preserve"> 2016.</w:t>
      </w:r>
      <w:r w:rsidR="00F25B8B">
        <w:rPr>
          <w:color w:val="000000" w:themeColor="text1"/>
          <w:sz w:val="28"/>
          <w:szCs w:val="28"/>
        </w:rPr>
        <w:t> </w:t>
      </w:r>
      <w:r w:rsidR="00FF18BC" w:rsidRPr="00F261DE">
        <w:rPr>
          <w:color w:val="000000" w:themeColor="text1"/>
          <w:sz w:val="28"/>
          <w:szCs w:val="28"/>
        </w:rPr>
        <w:t xml:space="preserve">gadam </w:t>
      </w:r>
      <w:r w:rsidR="00FF18BC">
        <w:rPr>
          <w:color w:val="000000" w:themeColor="text1"/>
          <w:sz w:val="28"/>
          <w:szCs w:val="28"/>
        </w:rPr>
        <w:t>netika paredzēti papildu līdzekļi energoietilpīgas apstrādes rūpniecības atbalstam.</w:t>
      </w:r>
    </w:p>
    <w:p w14:paraId="3DD6CFEC" w14:textId="77777777" w:rsidR="00FF18BC" w:rsidRPr="00D116AC" w:rsidRDefault="00FF18BC" w:rsidP="00FF18BC">
      <w:pPr>
        <w:pStyle w:val="Caption"/>
        <w:keepNext/>
        <w:jc w:val="right"/>
        <w:rPr>
          <w:rFonts w:ascii="Times New Roman" w:hAnsi="Times New Roman"/>
          <w:sz w:val="24"/>
          <w:szCs w:val="24"/>
        </w:rPr>
      </w:pPr>
      <w:r>
        <w:rPr>
          <w:rFonts w:ascii="Times New Roman" w:hAnsi="Times New Roman"/>
          <w:sz w:val="24"/>
          <w:szCs w:val="24"/>
        </w:rPr>
        <w:lastRenderedPageBreak/>
        <w:t>6</w:t>
      </w:r>
      <w:r w:rsidRPr="00D116AC">
        <w:rPr>
          <w:rFonts w:ascii="Times New Roman" w:hAnsi="Times New Roman"/>
          <w:sz w:val="24"/>
          <w:szCs w:val="24"/>
        </w:rPr>
        <w:t>.tabula</w:t>
      </w:r>
    </w:p>
    <w:p w14:paraId="74F35BA9" w14:textId="77777777" w:rsidR="00FF18BC" w:rsidRPr="00D116AC" w:rsidRDefault="00FF18BC" w:rsidP="00FF18BC">
      <w:pPr>
        <w:pStyle w:val="Caption"/>
        <w:keepNext/>
        <w:jc w:val="center"/>
        <w:rPr>
          <w:rFonts w:ascii="Times New Roman" w:hAnsi="Times New Roman"/>
          <w:sz w:val="24"/>
          <w:szCs w:val="24"/>
        </w:rPr>
      </w:pPr>
      <w:r w:rsidRPr="00D116AC">
        <w:rPr>
          <w:rFonts w:ascii="Times New Roman" w:hAnsi="Times New Roman"/>
          <w:sz w:val="24"/>
          <w:szCs w:val="24"/>
        </w:rPr>
        <w:t>Atbalsta mehānisma ietekme uz valsts budžetu</w:t>
      </w:r>
    </w:p>
    <w:tbl>
      <w:tblPr>
        <w:tblStyle w:val="TableGrid"/>
        <w:tblW w:w="0" w:type="auto"/>
        <w:jc w:val="center"/>
        <w:tblLook w:val="04A0" w:firstRow="1" w:lastRow="0" w:firstColumn="1" w:lastColumn="0" w:noHBand="0" w:noVBand="1"/>
      </w:tblPr>
      <w:tblGrid>
        <w:gridCol w:w="988"/>
        <w:gridCol w:w="3402"/>
      </w:tblGrid>
      <w:tr w:rsidR="00FF18BC" w:rsidRPr="005B4538" w14:paraId="750AAFFD" w14:textId="77777777" w:rsidTr="00FF18BC">
        <w:trPr>
          <w:jc w:val="center"/>
        </w:trPr>
        <w:tc>
          <w:tcPr>
            <w:tcW w:w="988" w:type="dxa"/>
            <w:vAlign w:val="center"/>
          </w:tcPr>
          <w:p w14:paraId="371054D0" w14:textId="77777777" w:rsidR="00FF18BC" w:rsidRPr="005B4538" w:rsidRDefault="00FF18BC" w:rsidP="00FF18BC">
            <w:pPr>
              <w:spacing w:line="240" w:lineRule="auto"/>
              <w:jc w:val="center"/>
              <w:rPr>
                <w:rFonts w:eastAsia="Times New Roman"/>
                <w:color w:val="000000" w:themeColor="text1"/>
                <w:szCs w:val="24"/>
                <w:lang w:eastAsia="lv-LV"/>
              </w:rPr>
            </w:pPr>
            <w:r w:rsidRPr="005B4538">
              <w:rPr>
                <w:rFonts w:eastAsia="Times New Roman"/>
                <w:color w:val="000000" w:themeColor="text1"/>
                <w:szCs w:val="24"/>
                <w:lang w:eastAsia="lv-LV"/>
              </w:rPr>
              <w:t>Gads</w:t>
            </w:r>
          </w:p>
        </w:tc>
        <w:tc>
          <w:tcPr>
            <w:tcW w:w="3402" w:type="dxa"/>
            <w:vAlign w:val="center"/>
          </w:tcPr>
          <w:p w14:paraId="08927121" w14:textId="77777777" w:rsidR="00FF18BC" w:rsidRPr="005B4538" w:rsidRDefault="00FF18BC" w:rsidP="00FF18BC">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Prognozētā n</w:t>
            </w:r>
            <w:r w:rsidRPr="005B4538">
              <w:rPr>
                <w:rFonts w:eastAsia="Times New Roman"/>
                <w:color w:val="000000" w:themeColor="text1"/>
                <w:szCs w:val="24"/>
                <w:lang w:eastAsia="lv-LV"/>
              </w:rPr>
              <w:t>epieciešamā atbalsta summa</w:t>
            </w:r>
            <w:r>
              <w:rPr>
                <w:rFonts w:eastAsia="Times New Roman"/>
                <w:color w:val="000000" w:themeColor="text1"/>
                <w:szCs w:val="24"/>
                <w:lang w:eastAsia="lv-LV"/>
              </w:rPr>
              <w:t xml:space="preserve"> no valsts budžeta, EUR</w:t>
            </w:r>
          </w:p>
        </w:tc>
      </w:tr>
      <w:tr w:rsidR="00FF18BC" w:rsidRPr="005B4538" w14:paraId="3A11391B" w14:textId="77777777" w:rsidTr="00FF18BC">
        <w:trPr>
          <w:jc w:val="center"/>
        </w:trPr>
        <w:tc>
          <w:tcPr>
            <w:tcW w:w="988" w:type="dxa"/>
          </w:tcPr>
          <w:p w14:paraId="360E752C" w14:textId="77777777" w:rsidR="00FF18BC" w:rsidRPr="005B4538" w:rsidRDefault="00FF18BC" w:rsidP="00890BA4">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2016.</w:t>
            </w:r>
          </w:p>
        </w:tc>
        <w:tc>
          <w:tcPr>
            <w:tcW w:w="3402" w:type="dxa"/>
          </w:tcPr>
          <w:p w14:paraId="63B1E0FD" w14:textId="77777777" w:rsidR="00FF18BC" w:rsidRPr="005B4538" w:rsidRDefault="00FF18BC" w:rsidP="00890BA4">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0</w:t>
            </w:r>
          </w:p>
        </w:tc>
      </w:tr>
      <w:tr w:rsidR="00FF18BC" w:rsidRPr="005B4538" w14:paraId="7FA63823" w14:textId="77777777" w:rsidTr="00FF18BC">
        <w:trPr>
          <w:jc w:val="center"/>
        </w:trPr>
        <w:tc>
          <w:tcPr>
            <w:tcW w:w="988" w:type="dxa"/>
          </w:tcPr>
          <w:p w14:paraId="41C88990" w14:textId="77777777" w:rsidR="00FF18BC" w:rsidRPr="005B4538" w:rsidRDefault="00FF18BC" w:rsidP="00890BA4">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2017.</w:t>
            </w:r>
          </w:p>
        </w:tc>
        <w:tc>
          <w:tcPr>
            <w:tcW w:w="3402" w:type="dxa"/>
          </w:tcPr>
          <w:p w14:paraId="45524176" w14:textId="77777777" w:rsidR="00FF18BC" w:rsidRPr="005B4538" w:rsidRDefault="00FF18BC" w:rsidP="00890BA4">
            <w:pPr>
              <w:spacing w:line="240" w:lineRule="auto"/>
              <w:jc w:val="center"/>
              <w:rPr>
                <w:rFonts w:eastAsia="Times New Roman"/>
                <w:color w:val="000000" w:themeColor="text1"/>
                <w:szCs w:val="24"/>
                <w:lang w:eastAsia="lv-LV"/>
              </w:rPr>
            </w:pPr>
            <w:r>
              <w:rPr>
                <w:color w:val="000000" w:themeColor="text1"/>
                <w:lang w:val="de-DE"/>
              </w:rPr>
              <w:t>3 500 000</w:t>
            </w:r>
          </w:p>
        </w:tc>
      </w:tr>
      <w:tr w:rsidR="00FF18BC" w:rsidRPr="005B4538" w14:paraId="5D657204" w14:textId="77777777" w:rsidTr="00FF18BC">
        <w:trPr>
          <w:jc w:val="center"/>
        </w:trPr>
        <w:tc>
          <w:tcPr>
            <w:tcW w:w="988" w:type="dxa"/>
          </w:tcPr>
          <w:p w14:paraId="26C4829D" w14:textId="77777777" w:rsidR="00FF18BC" w:rsidRPr="005B4538" w:rsidRDefault="00FF18BC" w:rsidP="00890BA4">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2018.</w:t>
            </w:r>
          </w:p>
        </w:tc>
        <w:tc>
          <w:tcPr>
            <w:tcW w:w="3402" w:type="dxa"/>
          </w:tcPr>
          <w:p w14:paraId="5BD38A17" w14:textId="77777777" w:rsidR="00FF18BC" w:rsidRPr="005B4538" w:rsidRDefault="00FF18BC" w:rsidP="00890BA4">
            <w:pPr>
              <w:spacing w:line="240" w:lineRule="auto"/>
              <w:jc w:val="center"/>
              <w:rPr>
                <w:rFonts w:eastAsia="Times New Roman"/>
                <w:color w:val="000000" w:themeColor="text1"/>
                <w:szCs w:val="24"/>
                <w:lang w:eastAsia="lv-LV"/>
              </w:rPr>
            </w:pPr>
            <w:r>
              <w:rPr>
                <w:color w:val="000000" w:themeColor="text1"/>
                <w:lang w:val="de-DE"/>
              </w:rPr>
              <w:t>7 000 000</w:t>
            </w:r>
          </w:p>
        </w:tc>
      </w:tr>
      <w:tr w:rsidR="00FF18BC" w:rsidRPr="005B4538" w14:paraId="3AA96CEB" w14:textId="77777777" w:rsidTr="00FF18BC">
        <w:tblPrEx>
          <w:jc w:val="left"/>
        </w:tblPrEx>
        <w:tc>
          <w:tcPr>
            <w:tcW w:w="988" w:type="dxa"/>
          </w:tcPr>
          <w:p w14:paraId="17D3DF3E" w14:textId="77777777" w:rsidR="00FF18BC" w:rsidRPr="005B4538" w:rsidRDefault="00FF18BC" w:rsidP="00890BA4">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2019.</w:t>
            </w:r>
          </w:p>
        </w:tc>
        <w:tc>
          <w:tcPr>
            <w:tcW w:w="3402" w:type="dxa"/>
          </w:tcPr>
          <w:p w14:paraId="3628148E" w14:textId="77777777" w:rsidR="00FF18BC" w:rsidRPr="005B4538" w:rsidRDefault="00FF18BC" w:rsidP="00890BA4">
            <w:pPr>
              <w:spacing w:line="240" w:lineRule="auto"/>
              <w:jc w:val="center"/>
              <w:rPr>
                <w:rFonts w:eastAsia="Times New Roman"/>
                <w:color w:val="000000" w:themeColor="text1"/>
                <w:szCs w:val="24"/>
                <w:lang w:eastAsia="lv-LV"/>
              </w:rPr>
            </w:pPr>
            <w:r>
              <w:rPr>
                <w:color w:val="000000" w:themeColor="text1"/>
                <w:lang w:val="de-DE"/>
              </w:rPr>
              <w:t>7 000 000</w:t>
            </w:r>
          </w:p>
        </w:tc>
      </w:tr>
      <w:tr w:rsidR="00FF18BC" w:rsidRPr="005B4538" w14:paraId="515FB301" w14:textId="77777777" w:rsidTr="00FF18BC">
        <w:tblPrEx>
          <w:jc w:val="left"/>
        </w:tblPrEx>
        <w:tc>
          <w:tcPr>
            <w:tcW w:w="988" w:type="dxa"/>
          </w:tcPr>
          <w:p w14:paraId="10C44B57" w14:textId="77777777" w:rsidR="00FF18BC" w:rsidRPr="005B4538" w:rsidRDefault="00FF18BC" w:rsidP="00FF18BC">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2020.</w:t>
            </w:r>
          </w:p>
        </w:tc>
        <w:tc>
          <w:tcPr>
            <w:tcW w:w="3402" w:type="dxa"/>
          </w:tcPr>
          <w:p w14:paraId="558B0585" w14:textId="77777777" w:rsidR="00FF18BC" w:rsidRPr="005B4538" w:rsidRDefault="00FF18BC" w:rsidP="00890BA4">
            <w:pPr>
              <w:spacing w:line="240" w:lineRule="auto"/>
              <w:jc w:val="center"/>
              <w:rPr>
                <w:rFonts w:eastAsia="Times New Roman"/>
                <w:color w:val="000000" w:themeColor="text1"/>
                <w:szCs w:val="24"/>
                <w:lang w:eastAsia="lv-LV"/>
              </w:rPr>
            </w:pPr>
            <w:r>
              <w:rPr>
                <w:color w:val="000000" w:themeColor="text1"/>
                <w:lang w:val="de-DE"/>
              </w:rPr>
              <w:t>7 000 000</w:t>
            </w:r>
          </w:p>
        </w:tc>
      </w:tr>
    </w:tbl>
    <w:p w14:paraId="5F631896" w14:textId="77777777" w:rsidR="00FF18BC" w:rsidRDefault="00FF18BC" w:rsidP="00FF18BC">
      <w:pPr>
        <w:spacing w:after="0" w:line="240" w:lineRule="auto"/>
        <w:ind w:firstLine="851"/>
        <w:rPr>
          <w:bCs/>
          <w:color w:val="000000" w:themeColor="text1"/>
          <w:sz w:val="28"/>
          <w:szCs w:val="28"/>
        </w:rPr>
      </w:pPr>
    </w:p>
    <w:p w14:paraId="77B3098E" w14:textId="09B7BF83" w:rsidR="00D62726" w:rsidRDefault="00D62726" w:rsidP="00D62726">
      <w:pPr>
        <w:spacing w:after="0" w:line="240" w:lineRule="auto"/>
        <w:ind w:firstLine="851"/>
        <w:rPr>
          <w:sz w:val="28"/>
          <w:szCs w:val="28"/>
        </w:rPr>
      </w:pPr>
      <w:r w:rsidRPr="00B52BB0">
        <w:rPr>
          <w:sz w:val="28"/>
          <w:szCs w:val="28"/>
        </w:rPr>
        <w:t xml:space="preserve">No </w:t>
      </w:r>
      <w:r w:rsidR="00C95453" w:rsidRPr="00B52BB0">
        <w:rPr>
          <w:sz w:val="28"/>
          <w:szCs w:val="28"/>
        </w:rPr>
        <w:t>2</w:t>
      </w:r>
      <w:r w:rsidRPr="00B52BB0">
        <w:rPr>
          <w:sz w:val="28"/>
          <w:szCs w:val="28"/>
        </w:rPr>
        <w:t>.</w:t>
      </w:r>
      <w:r w:rsidR="00B52BB0" w:rsidRPr="00B52BB0">
        <w:rPr>
          <w:sz w:val="28"/>
          <w:szCs w:val="28"/>
        </w:rPr>
        <w:t xml:space="preserve"> un 3. </w:t>
      </w:r>
      <w:r w:rsidRPr="00B52BB0">
        <w:rPr>
          <w:sz w:val="28"/>
          <w:szCs w:val="28"/>
        </w:rPr>
        <w:t xml:space="preserve">attēlā atspoguļotās informācijas </w:t>
      </w:r>
      <w:r w:rsidR="00C95453" w:rsidRPr="00B52BB0">
        <w:rPr>
          <w:sz w:val="28"/>
          <w:szCs w:val="28"/>
        </w:rPr>
        <w:t xml:space="preserve">par </w:t>
      </w:r>
      <w:r w:rsidR="00DB68BC">
        <w:rPr>
          <w:sz w:val="28"/>
          <w:szCs w:val="28"/>
        </w:rPr>
        <w:t>maksājumiem par elektroenerģiju</w:t>
      </w:r>
      <w:r w:rsidR="00C95453" w:rsidRPr="00B52BB0">
        <w:rPr>
          <w:sz w:val="28"/>
          <w:szCs w:val="28"/>
        </w:rPr>
        <w:t xml:space="preserve"> redzams, </w:t>
      </w:r>
      <w:r w:rsidRPr="00B52BB0">
        <w:rPr>
          <w:sz w:val="28"/>
          <w:szCs w:val="28"/>
        </w:rPr>
        <w:t>ka 2015.</w:t>
      </w:r>
      <w:r w:rsidR="00F25B8B">
        <w:rPr>
          <w:sz w:val="28"/>
          <w:szCs w:val="28"/>
        </w:rPr>
        <w:t> </w:t>
      </w:r>
      <w:r w:rsidRPr="00B52BB0">
        <w:rPr>
          <w:sz w:val="28"/>
          <w:szCs w:val="28"/>
        </w:rPr>
        <w:t xml:space="preserve">gada otrajā pusē Latvijā vidēji lieliem apstrādes rūpniecības uzņēmumiem ar elektroenerģijas patēriņu no 2 – </w:t>
      </w:r>
      <w:r w:rsidR="00B52BB0" w:rsidRPr="00B52BB0">
        <w:rPr>
          <w:sz w:val="28"/>
          <w:szCs w:val="28"/>
        </w:rPr>
        <w:t>20</w:t>
      </w:r>
      <w:r w:rsidR="00BF45DB">
        <w:rPr>
          <w:sz w:val="28"/>
          <w:szCs w:val="28"/>
        </w:rPr>
        <w:t> </w:t>
      </w:r>
      <w:proofErr w:type="spellStart"/>
      <w:r w:rsidRPr="00B52BB0">
        <w:rPr>
          <w:sz w:val="28"/>
          <w:szCs w:val="28"/>
        </w:rPr>
        <w:t>GWh</w:t>
      </w:r>
      <w:proofErr w:type="spellEnd"/>
      <w:r w:rsidRPr="00B52BB0">
        <w:rPr>
          <w:sz w:val="28"/>
          <w:szCs w:val="28"/>
        </w:rPr>
        <w:t xml:space="preserve"> </w:t>
      </w:r>
      <w:r w:rsidR="00B52BB0" w:rsidRPr="00B52BB0">
        <w:rPr>
          <w:sz w:val="28"/>
          <w:szCs w:val="28"/>
        </w:rPr>
        <w:t>un no 20 – 70</w:t>
      </w:r>
      <w:r w:rsidR="00BF45DB">
        <w:rPr>
          <w:sz w:val="28"/>
          <w:szCs w:val="28"/>
        </w:rPr>
        <w:t> </w:t>
      </w:r>
      <w:proofErr w:type="spellStart"/>
      <w:r w:rsidR="00B52BB0" w:rsidRPr="00B52BB0">
        <w:rPr>
          <w:sz w:val="28"/>
          <w:szCs w:val="28"/>
        </w:rPr>
        <w:t>GWh</w:t>
      </w:r>
      <w:proofErr w:type="spellEnd"/>
      <w:r w:rsidR="00B52BB0" w:rsidRPr="00B52BB0">
        <w:rPr>
          <w:sz w:val="28"/>
          <w:szCs w:val="28"/>
        </w:rPr>
        <w:t xml:space="preserve"> </w:t>
      </w:r>
      <w:r w:rsidRPr="00B52BB0">
        <w:rPr>
          <w:sz w:val="28"/>
          <w:szCs w:val="28"/>
        </w:rPr>
        <w:t>gadā ir treš</w:t>
      </w:r>
      <w:r w:rsidR="007372A7">
        <w:rPr>
          <w:sz w:val="28"/>
          <w:szCs w:val="28"/>
        </w:rPr>
        <w:t>ais</w:t>
      </w:r>
      <w:r w:rsidRPr="00B52BB0">
        <w:rPr>
          <w:sz w:val="28"/>
          <w:szCs w:val="28"/>
        </w:rPr>
        <w:t xml:space="preserve"> augstāk</w:t>
      </w:r>
      <w:r w:rsidR="007372A7">
        <w:rPr>
          <w:sz w:val="28"/>
          <w:szCs w:val="28"/>
        </w:rPr>
        <w:t>ais</w:t>
      </w:r>
      <w:r w:rsidRPr="00B52BB0">
        <w:rPr>
          <w:sz w:val="28"/>
          <w:szCs w:val="28"/>
        </w:rPr>
        <w:t xml:space="preserve"> </w:t>
      </w:r>
      <w:r w:rsidR="007372A7">
        <w:rPr>
          <w:sz w:val="28"/>
          <w:szCs w:val="28"/>
        </w:rPr>
        <w:t xml:space="preserve">maksājums par </w:t>
      </w:r>
      <w:r w:rsidRPr="00B52BB0">
        <w:rPr>
          <w:sz w:val="28"/>
          <w:szCs w:val="28"/>
        </w:rPr>
        <w:t>elektroenerģij</w:t>
      </w:r>
      <w:r w:rsidR="007372A7">
        <w:rPr>
          <w:sz w:val="28"/>
          <w:szCs w:val="28"/>
        </w:rPr>
        <w:t>u</w:t>
      </w:r>
      <w:r w:rsidRPr="00B52BB0">
        <w:rPr>
          <w:sz w:val="28"/>
          <w:szCs w:val="28"/>
        </w:rPr>
        <w:t xml:space="preserve"> starp Baltijas jūras reģiona valstīm, kā arī salīdzinot ar Apvienoto Karalisti un Norvēģiju, turklāt ievērojama loma tajā ir OIK.</w:t>
      </w:r>
    </w:p>
    <w:p w14:paraId="2A828F56" w14:textId="77777777" w:rsidR="007C3A00" w:rsidRDefault="00B52BB0" w:rsidP="003F3DD3">
      <w:pPr>
        <w:pStyle w:val="BodyText2"/>
        <w:jc w:val="center"/>
        <w:rPr>
          <w:b/>
          <w:szCs w:val="24"/>
          <w:highlight w:val="red"/>
        </w:rPr>
      </w:pPr>
      <w:r w:rsidRPr="00B52BB0">
        <w:rPr>
          <w:b/>
          <w:noProof/>
          <w:szCs w:val="24"/>
        </w:rPr>
        <w:drawing>
          <wp:inline distT="0" distB="0" distL="0" distR="0" wp14:anchorId="54240781" wp14:editId="0540B835">
            <wp:extent cx="5554980" cy="3677920"/>
            <wp:effectExtent l="0" t="0" r="762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C1AEBB" w14:textId="693AA9AD" w:rsidR="003F3DD3" w:rsidRPr="00890BA4" w:rsidRDefault="00890BA4" w:rsidP="00726A55">
      <w:pPr>
        <w:pStyle w:val="BodyText2"/>
        <w:jc w:val="left"/>
        <w:rPr>
          <w:szCs w:val="24"/>
        </w:rPr>
      </w:pPr>
      <w:r>
        <w:rPr>
          <w:b/>
          <w:szCs w:val="24"/>
        </w:rPr>
        <w:t>2</w:t>
      </w:r>
      <w:r w:rsidR="003F3DD3" w:rsidRPr="00890BA4">
        <w:rPr>
          <w:b/>
          <w:szCs w:val="24"/>
        </w:rPr>
        <w:t xml:space="preserve">.attēls. </w:t>
      </w:r>
      <w:r w:rsidR="00DB68BC">
        <w:rPr>
          <w:b/>
          <w:szCs w:val="24"/>
        </w:rPr>
        <w:t>Maksājumi par elektroenerģiju</w:t>
      </w:r>
      <w:r w:rsidR="003F3DD3" w:rsidRPr="00890BA4">
        <w:rPr>
          <w:b/>
          <w:szCs w:val="24"/>
        </w:rPr>
        <w:t xml:space="preserve"> vidēji lieliem apstrādes rūpniecības uzņēmumiem (2</w:t>
      </w:r>
      <w:r w:rsidR="00726A55">
        <w:rPr>
          <w:b/>
          <w:szCs w:val="24"/>
        </w:rPr>
        <w:t> – </w:t>
      </w:r>
      <w:r w:rsidR="00B52BB0" w:rsidRPr="00890BA4">
        <w:rPr>
          <w:b/>
          <w:szCs w:val="24"/>
        </w:rPr>
        <w:t>2</w:t>
      </w:r>
      <w:r w:rsidR="00726A55">
        <w:rPr>
          <w:b/>
          <w:szCs w:val="24"/>
        </w:rPr>
        <w:t>0 </w:t>
      </w:r>
      <w:proofErr w:type="spellStart"/>
      <w:r w:rsidR="003F3DD3" w:rsidRPr="00890BA4">
        <w:rPr>
          <w:b/>
          <w:szCs w:val="24"/>
        </w:rPr>
        <w:t>GWh</w:t>
      </w:r>
      <w:proofErr w:type="spellEnd"/>
      <w:r w:rsidR="003F3DD3" w:rsidRPr="00890BA4">
        <w:rPr>
          <w:b/>
          <w:szCs w:val="24"/>
        </w:rPr>
        <w:t>) 2015.</w:t>
      </w:r>
      <w:r w:rsidR="00726A55">
        <w:rPr>
          <w:b/>
          <w:szCs w:val="24"/>
        </w:rPr>
        <w:t> </w:t>
      </w:r>
      <w:r w:rsidR="003F3DD3" w:rsidRPr="00890BA4">
        <w:rPr>
          <w:b/>
          <w:szCs w:val="24"/>
        </w:rPr>
        <w:t>gada otrajā pus</w:t>
      </w:r>
      <w:r w:rsidR="00B52BB0" w:rsidRPr="00890BA4">
        <w:rPr>
          <w:b/>
          <w:szCs w:val="24"/>
        </w:rPr>
        <w:t>gadā</w:t>
      </w:r>
      <w:r>
        <w:rPr>
          <w:b/>
          <w:szCs w:val="24"/>
        </w:rPr>
        <w:t>, EUR/</w:t>
      </w:r>
      <w:proofErr w:type="spellStart"/>
      <w:r>
        <w:rPr>
          <w:b/>
          <w:szCs w:val="24"/>
        </w:rPr>
        <w:t>MWh</w:t>
      </w:r>
      <w:proofErr w:type="spellEnd"/>
      <w:r w:rsidR="003F3DD3" w:rsidRPr="00890BA4">
        <w:rPr>
          <w:b/>
          <w:szCs w:val="24"/>
        </w:rPr>
        <w:t xml:space="preserve"> </w:t>
      </w:r>
      <w:r w:rsidR="00726A55">
        <w:rPr>
          <w:szCs w:val="24"/>
        </w:rPr>
        <w:br/>
      </w:r>
      <w:r w:rsidR="003F3DD3" w:rsidRPr="00890BA4">
        <w:rPr>
          <w:szCs w:val="24"/>
        </w:rPr>
        <w:t>Avots:</w:t>
      </w:r>
      <w:r w:rsidR="00726A55">
        <w:rPr>
          <w:szCs w:val="24"/>
        </w:rPr>
        <w:t xml:space="preserve"> </w:t>
      </w:r>
      <w:proofErr w:type="spellStart"/>
      <w:r w:rsidR="00726A55">
        <w:rPr>
          <w:szCs w:val="24"/>
        </w:rPr>
        <w:t>Eurostat</w:t>
      </w:r>
      <w:proofErr w:type="spellEnd"/>
    </w:p>
    <w:p w14:paraId="3A5929A1" w14:textId="77777777" w:rsidR="00C95453" w:rsidRPr="00B735E6" w:rsidRDefault="00C95453" w:rsidP="003F3DD3">
      <w:pPr>
        <w:pStyle w:val="BodyText2"/>
        <w:jc w:val="center"/>
        <w:rPr>
          <w:b/>
          <w:szCs w:val="24"/>
          <w:highlight w:val="red"/>
        </w:rPr>
      </w:pPr>
    </w:p>
    <w:p w14:paraId="099EDC55" w14:textId="77777777" w:rsidR="00B52BB0" w:rsidRDefault="00B52BB0" w:rsidP="00B52BB0">
      <w:pPr>
        <w:pStyle w:val="BodyText2"/>
        <w:jc w:val="center"/>
        <w:rPr>
          <w:b/>
          <w:szCs w:val="24"/>
          <w:highlight w:val="red"/>
        </w:rPr>
      </w:pPr>
      <w:r w:rsidRPr="00B52BB0">
        <w:rPr>
          <w:b/>
          <w:noProof/>
          <w:szCs w:val="24"/>
        </w:rPr>
        <w:lastRenderedPageBreak/>
        <w:drawing>
          <wp:inline distT="0" distB="0" distL="0" distR="0" wp14:anchorId="3EEB3810" wp14:editId="60D28345">
            <wp:extent cx="5554980" cy="3677920"/>
            <wp:effectExtent l="0" t="0" r="762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77705D" w14:textId="0A8C4EAF" w:rsidR="00B52BB0" w:rsidRPr="00726A55" w:rsidRDefault="00890BA4" w:rsidP="00726A55">
      <w:pPr>
        <w:pStyle w:val="BodyText2"/>
        <w:jc w:val="left"/>
        <w:rPr>
          <w:b/>
          <w:szCs w:val="24"/>
        </w:rPr>
      </w:pPr>
      <w:r>
        <w:rPr>
          <w:b/>
          <w:szCs w:val="24"/>
        </w:rPr>
        <w:t>3</w:t>
      </w:r>
      <w:r w:rsidR="00B52BB0" w:rsidRPr="00B52BB0">
        <w:rPr>
          <w:b/>
          <w:szCs w:val="24"/>
        </w:rPr>
        <w:t xml:space="preserve">.attēls. </w:t>
      </w:r>
      <w:r w:rsidR="00DB68BC">
        <w:rPr>
          <w:b/>
          <w:szCs w:val="24"/>
        </w:rPr>
        <w:t>Maksājumi par elektroenerģiju</w:t>
      </w:r>
      <w:r w:rsidR="00B52BB0" w:rsidRPr="00B52BB0">
        <w:rPr>
          <w:b/>
          <w:szCs w:val="24"/>
        </w:rPr>
        <w:t xml:space="preserve"> vidēji lieliem apstrādes rūpniecības uzņēmumiem (20 – 70 </w:t>
      </w:r>
      <w:proofErr w:type="spellStart"/>
      <w:r w:rsidR="00B52BB0" w:rsidRPr="00B52BB0">
        <w:rPr>
          <w:b/>
          <w:szCs w:val="24"/>
        </w:rPr>
        <w:t>GWh</w:t>
      </w:r>
      <w:proofErr w:type="spellEnd"/>
      <w:r w:rsidR="00B52BB0" w:rsidRPr="00B52BB0">
        <w:rPr>
          <w:b/>
          <w:szCs w:val="24"/>
        </w:rPr>
        <w:t>) 2015.</w:t>
      </w:r>
      <w:r w:rsidR="00726A55">
        <w:rPr>
          <w:b/>
          <w:szCs w:val="24"/>
        </w:rPr>
        <w:t xml:space="preserve"> </w:t>
      </w:r>
      <w:r w:rsidR="00B52BB0" w:rsidRPr="00B52BB0">
        <w:rPr>
          <w:b/>
          <w:szCs w:val="24"/>
        </w:rPr>
        <w:t>gada otrajā pusgadā</w:t>
      </w:r>
      <w:r>
        <w:rPr>
          <w:b/>
          <w:szCs w:val="24"/>
        </w:rPr>
        <w:t>, EUR/</w:t>
      </w:r>
      <w:proofErr w:type="spellStart"/>
      <w:r>
        <w:rPr>
          <w:b/>
          <w:szCs w:val="24"/>
        </w:rPr>
        <w:t>MWh</w:t>
      </w:r>
      <w:proofErr w:type="spellEnd"/>
      <w:r w:rsidR="00726A55">
        <w:rPr>
          <w:b/>
          <w:szCs w:val="24"/>
        </w:rPr>
        <w:br/>
      </w:r>
      <w:r w:rsidR="00726A55">
        <w:rPr>
          <w:szCs w:val="24"/>
        </w:rPr>
        <w:t xml:space="preserve">Avots: </w:t>
      </w:r>
      <w:proofErr w:type="spellStart"/>
      <w:r w:rsidR="00726A55">
        <w:rPr>
          <w:szCs w:val="24"/>
        </w:rPr>
        <w:t>Eurostat</w:t>
      </w:r>
      <w:proofErr w:type="spellEnd"/>
    </w:p>
    <w:p w14:paraId="371E5E34" w14:textId="77777777" w:rsidR="00890BA4" w:rsidRDefault="00890BA4" w:rsidP="00D62726">
      <w:pPr>
        <w:spacing w:after="0" w:line="240" w:lineRule="auto"/>
        <w:ind w:firstLine="851"/>
        <w:rPr>
          <w:sz w:val="28"/>
          <w:szCs w:val="28"/>
        </w:rPr>
      </w:pPr>
    </w:p>
    <w:p w14:paraId="2310B022" w14:textId="77777777" w:rsidR="00D62726" w:rsidRDefault="00D62726" w:rsidP="00D62726">
      <w:pPr>
        <w:spacing w:after="0" w:line="240" w:lineRule="auto"/>
        <w:ind w:firstLine="851"/>
        <w:rPr>
          <w:sz w:val="28"/>
          <w:szCs w:val="28"/>
        </w:rPr>
      </w:pPr>
      <w:r>
        <w:rPr>
          <w:sz w:val="28"/>
          <w:szCs w:val="28"/>
        </w:rPr>
        <w:t xml:space="preserve">Ņemot vērā aktuālo situāciju, pēdējā gada laikā pašmāju ķīmijas, kokapstrādes un būvmateriālus ražojošie energoietilpīgie uzņēmumi ir aktualizējuši jautājumu par savu turpmāko darbību valstī gan attiecībā uz esošo jaudu izmantošanu, gan jauniem investīciju lēmumiem. Situācijai neuzlabojoties attiecībā uz elektroenerģijas izmaksām energoietilpīgiem uzņēmumiem, ir lielas bažas par to, ka pārskatāmā nākotnē tie varētu samazināt savu saimniecisko darbību Latvijā, tādējādi ietekmējot gan konkrēto nozaru, gan tautsaimniecības attīstību kopumā. Šajā sakarā aktuāls ir jautājums par </w:t>
      </w:r>
      <w:r w:rsidR="00B735E6">
        <w:rPr>
          <w:sz w:val="28"/>
          <w:szCs w:val="28"/>
        </w:rPr>
        <w:t>papildu iespēju meklēšanu lielākai OIK izmaksu samazināšanai šiem uzņēmumiem.</w:t>
      </w:r>
    </w:p>
    <w:p w14:paraId="5241C784" w14:textId="77777777" w:rsidR="00BF45DB" w:rsidRDefault="00BF45DB" w:rsidP="00D62726">
      <w:pPr>
        <w:spacing w:after="0" w:line="240" w:lineRule="auto"/>
        <w:ind w:firstLine="851"/>
        <w:rPr>
          <w:bCs/>
          <w:color w:val="000000" w:themeColor="text1"/>
          <w:sz w:val="28"/>
          <w:szCs w:val="28"/>
        </w:rPr>
      </w:pPr>
    </w:p>
    <w:p w14:paraId="408FF183" w14:textId="77777777" w:rsidR="00F0621B" w:rsidRPr="00F45744" w:rsidRDefault="00F0621B" w:rsidP="00F45744">
      <w:pPr>
        <w:pStyle w:val="Heading2"/>
        <w:numPr>
          <w:ilvl w:val="1"/>
          <w:numId w:val="1"/>
        </w:numPr>
        <w:ind w:left="0" w:firstLine="0"/>
        <w:rPr>
          <w:rFonts w:ascii="Times New Roman" w:hAnsi="Times New Roman" w:cs="Times New Roman"/>
          <w:b/>
          <w:color w:val="auto"/>
          <w:sz w:val="32"/>
          <w:szCs w:val="28"/>
        </w:rPr>
      </w:pPr>
      <w:bookmarkStart w:id="12" w:name="_Toc459890616"/>
      <w:r w:rsidRPr="00F45744">
        <w:rPr>
          <w:rFonts w:ascii="Times New Roman" w:hAnsi="Times New Roman" w:cs="Times New Roman"/>
          <w:b/>
          <w:color w:val="auto"/>
          <w:sz w:val="32"/>
          <w:szCs w:val="28"/>
        </w:rPr>
        <w:t>Atbalsts aizsargātajiem lietotājiem</w:t>
      </w:r>
      <w:bookmarkEnd w:id="12"/>
    </w:p>
    <w:p w14:paraId="6D311145" w14:textId="3B6A8C20" w:rsidR="00CB1871" w:rsidRDefault="005853C3" w:rsidP="00CB1871">
      <w:pPr>
        <w:spacing w:after="0" w:line="240" w:lineRule="auto"/>
        <w:ind w:firstLine="851"/>
        <w:rPr>
          <w:sz w:val="28"/>
          <w:szCs w:val="28"/>
        </w:rPr>
      </w:pPr>
      <w:r>
        <w:rPr>
          <w:sz w:val="28"/>
          <w:szCs w:val="28"/>
        </w:rPr>
        <w:t xml:space="preserve">2009.gada 13.jūlija Eiropas Parlamenta un Padomes </w:t>
      </w:r>
      <w:r w:rsidR="00CB1871" w:rsidRPr="006617A6">
        <w:rPr>
          <w:sz w:val="28"/>
          <w:szCs w:val="28"/>
        </w:rPr>
        <w:t xml:space="preserve">Direktīvā 2009/72/EK par kopīgiem noteikumiem attiecībā uz elektroenerģijas iekšējo tirgu un par Direktīvas 2003/54/EK atcelšanu norādīts, ka dalībvalstīm būtu jānodrošina neaizsargāto lietotāju energoapgāde. </w:t>
      </w:r>
    </w:p>
    <w:p w14:paraId="0E706660" w14:textId="07C0AAB6" w:rsidR="00CB1871" w:rsidRPr="00CF6EE4" w:rsidRDefault="00CB1871" w:rsidP="00CB1871">
      <w:pPr>
        <w:spacing w:after="0" w:line="240" w:lineRule="auto"/>
        <w:ind w:firstLine="851"/>
        <w:rPr>
          <w:sz w:val="28"/>
          <w:szCs w:val="28"/>
        </w:rPr>
      </w:pPr>
      <w:r w:rsidRPr="00CF6EE4">
        <w:rPr>
          <w:sz w:val="28"/>
          <w:szCs w:val="28"/>
        </w:rPr>
        <w:t xml:space="preserve">Pateicoties </w:t>
      </w:r>
      <w:r>
        <w:rPr>
          <w:sz w:val="28"/>
          <w:szCs w:val="28"/>
        </w:rPr>
        <w:t>a</w:t>
      </w:r>
      <w:r w:rsidRPr="00CF6EE4">
        <w:rPr>
          <w:sz w:val="28"/>
          <w:szCs w:val="28"/>
        </w:rPr>
        <w:t xml:space="preserve">izsargātā lietotāja instrumentam, Latvijā </w:t>
      </w:r>
      <w:r>
        <w:rPr>
          <w:sz w:val="28"/>
          <w:szCs w:val="28"/>
        </w:rPr>
        <w:t xml:space="preserve">sociāli </w:t>
      </w:r>
      <w:proofErr w:type="spellStart"/>
      <w:r>
        <w:rPr>
          <w:sz w:val="28"/>
          <w:szCs w:val="28"/>
        </w:rPr>
        <w:t>mazaizsargātajai</w:t>
      </w:r>
      <w:proofErr w:type="spellEnd"/>
      <w:r>
        <w:rPr>
          <w:sz w:val="28"/>
          <w:szCs w:val="28"/>
        </w:rPr>
        <w:t xml:space="preserve"> iedzīvotāju daļai</w:t>
      </w:r>
      <w:r w:rsidRPr="00CF6EE4">
        <w:rPr>
          <w:sz w:val="28"/>
          <w:szCs w:val="28"/>
        </w:rPr>
        <w:t xml:space="preserve"> tiek nodrošināta subsidēta elektroenerģijas </w:t>
      </w:r>
      <w:r>
        <w:rPr>
          <w:sz w:val="28"/>
          <w:szCs w:val="28"/>
        </w:rPr>
        <w:t xml:space="preserve">gala </w:t>
      </w:r>
      <w:r w:rsidRPr="00CF6EE4">
        <w:rPr>
          <w:sz w:val="28"/>
          <w:szCs w:val="28"/>
        </w:rPr>
        <w:t>cena, tādējādi samazinot enerģētiskās nabadzības riskus. Savukārt</w:t>
      </w:r>
      <w:r>
        <w:rPr>
          <w:sz w:val="28"/>
          <w:szCs w:val="28"/>
        </w:rPr>
        <w:t>, atceļot OIK atbalstu un īpaši a</w:t>
      </w:r>
      <w:r w:rsidRPr="00CF6EE4">
        <w:rPr>
          <w:sz w:val="28"/>
          <w:szCs w:val="28"/>
        </w:rPr>
        <w:t xml:space="preserve">izsargātā lietotāja budžeta </w:t>
      </w:r>
      <w:r>
        <w:rPr>
          <w:sz w:val="28"/>
          <w:szCs w:val="28"/>
        </w:rPr>
        <w:lastRenderedPageBreak/>
        <w:t>dotāc</w:t>
      </w:r>
      <w:r w:rsidRPr="00CF6EE4">
        <w:rPr>
          <w:sz w:val="28"/>
          <w:szCs w:val="28"/>
        </w:rPr>
        <w:t xml:space="preserve">iju, Latvijas </w:t>
      </w:r>
      <w:r>
        <w:rPr>
          <w:sz w:val="28"/>
          <w:szCs w:val="28"/>
        </w:rPr>
        <w:t>aizsargāto lietotāju</w:t>
      </w:r>
      <w:r w:rsidRPr="00CF6EE4">
        <w:rPr>
          <w:sz w:val="28"/>
          <w:szCs w:val="28"/>
        </w:rPr>
        <w:t xml:space="preserve"> elektroenerģijas nabadzības indekss tuvotos </w:t>
      </w:r>
      <w:r w:rsidR="00F83C30">
        <w:rPr>
          <w:sz w:val="28"/>
          <w:szCs w:val="28"/>
        </w:rPr>
        <w:t>ES</w:t>
      </w:r>
      <w:r w:rsidRPr="00CF6EE4">
        <w:rPr>
          <w:sz w:val="28"/>
          <w:szCs w:val="28"/>
        </w:rPr>
        <w:t xml:space="preserve"> nabadzīgajām valstīm. Gadījumā</w:t>
      </w:r>
      <w:r>
        <w:rPr>
          <w:sz w:val="28"/>
          <w:szCs w:val="28"/>
        </w:rPr>
        <w:t>,</w:t>
      </w:r>
      <w:r w:rsidRPr="00CF6EE4">
        <w:rPr>
          <w:sz w:val="28"/>
          <w:szCs w:val="28"/>
        </w:rPr>
        <w:t xml:space="preserve"> ja neeksistē </w:t>
      </w:r>
      <w:r w:rsidR="005A7D0B">
        <w:rPr>
          <w:sz w:val="28"/>
          <w:szCs w:val="28"/>
        </w:rPr>
        <w:t xml:space="preserve">atbilstoša </w:t>
      </w:r>
      <w:r w:rsidRPr="00CF6EE4">
        <w:rPr>
          <w:sz w:val="28"/>
          <w:szCs w:val="28"/>
        </w:rPr>
        <w:t>sociālā atbalsta sistēma</w:t>
      </w:r>
      <w:r w:rsidR="005A7D0B">
        <w:rPr>
          <w:sz w:val="28"/>
          <w:szCs w:val="28"/>
        </w:rPr>
        <w:t>, kas vērsta uz enerģētiskās nabadzības novēršanu</w:t>
      </w:r>
      <w:r w:rsidRPr="00CF6EE4">
        <w:rPr>
          <w:sz w:val="28"/>
          <w:szCs w:val="28"/>
        </w:rPr>
        <w:t>, šād</w:t>
      </w:r>
      <w:r>
        <w:rPr>
          <w:sz w:val="28"/>
          <w:szCs w:val="28"/>
        </w:rPr>
        <w:t>a izdevumu palielināšanās var ra</w:t>
      </w:r>
      <w:r w:rsidRPr="00CF6EE4">
        <w:rPr>
          <w:sz w:val="28"/>
          <w:szCs w:val="28"/>
        </w:rPr>
        <w:t>dīt nopietnus sociālos riskus</w:t>
      </w:r>
      <w:r>
        <w:rPr>
          <w:sz w:val="28"/>
          <w:szCs w:val="28"/>
        </w:rPr>
        <w:t>. Bez OIK atbalsta un a</w:t>
      </w:r>
      <w:r w:rsidRPr="00CF6EE4">
        <w:rPr>
          <w:sz w:val="28"/>
          <w:szCs w:val="28"/>
        </w:rPr>
        <w:t>izsargātā lietotāja budžeta</w:t>
      </w:r>
      <w:r>
        <w:rPr>
          <w:sz w:val="28"/>
          <w:szCs w:val="28"/>
        </w:rPr>
        <w:t xml:space="preserve"> Latvija ievērojami pasliktinātu pašreizējo stāvokli, paaugstinot enerģētiskās nabadzības risku.</w:t>
      </w:r>
    </w:p>
    <w:p w14:paraId="09143058" w14:textId="77777777" w:rsidR="00CB1871" w:rsidRPr="003C15FB" w:rsidRDefault="00CB1871" w:rsidP="003C15FB">
      <w:pPr>
        <w:spacing w:after="0" w:line="240" w:lineRule="auto"/>
        <w:ind w:firstLine="720"/>
        <w:rPr>
          <w:sz w:val="28"/>
          <w:szCs w:val="28"/>
        </w:rPr>
      </w:pPr>
      <w:r w:rsidRPr="003C15FB">
        <w:rPr>
          <w:sz w:val="28"/>
          <w:szCs w:val="28"/>
        </w:rPr>
        <w:t>Saskaņā ar Elektroenerģijas tirgus likumu aizsargāt</w:t>
      </w:r>
      <w:r w:rsidR="003C15FB" w:rsidRPr="003C15FB">
        <w:rPr>
          <w:sz w:val="28"/>
          <w:szCs w:val="28"/>
        </w:rPr>
        <w:t>ais</w:t>
      </w:r>
      <w:r w:rsidRPr="003C15FB">
        <w:rPr>
          <w:sz w:val="28"/>
          <w:szCs w:val="28"/>
        </w:rPr>
        <w:t xml:space="preserve"> lietotāj</w:t>
      </w:r>
      <w:r w:rsidR="003C15FB" w:rsidRPr="003C15FB">
        <w:rPr>
          <w:sz w:val="28"/>
          <w:szCs w:val="28"/>
        </w:rPr>
        <w:t>s</w:t>
      </w:r>
      <w:r w:rsidRPr="003C15FB">
        <w:rPr>
          <w:sz w:val="28"/>
          <w:szCs w:val="28"/>
        </w:rPr>
        <w:t xml:space="preserve"> ir </w:t>
      </w:r>
      <w:r w:rsidR="003C15FB" w:rsidRPr="003C15FB">
        <w:rPr>
          <w:sz w:val="28"/>
          <w:szCs w:val="28"/>
        </w:rPr>
        <w:t xml:space="preserve">trūcīga vai maznodrošināta ģimene (persona), </w:t>
      </w:r>
      <w:proofErr w:type="spellStart"/>
      <w:r w:rsidR="003C15FB" w:rsidRPr="003C15FB">
        <w:rPr>
          <w:sz w:val="28"/>
          <w:szCs w:val="28"/>
        </w:rPr>
        <w:t>daudzbērnu</w:t>
      </w:r>
      <w:proofErr w:type="spellEnd"/>
      <w:r w:rsidR="003C15FB" w:rsidRPr="003C15FB">
        <w:rPr>
          <w:sz w:val="28"/>
          <w:szCs w:val="28"/>
        </w:rPr>
        <w:t xml:space="preserve"> ģimene vai ģimene (persona), kuras aprūpē ir bērns ar invaliditāti, vai persona ar I invaliditātes grupu, kura izlieto elektroenerģiju savā mājsaimniecībā pašas vajadzībām (</w:t>
      </w:r>
      <w:proofErr w:type="spellStart"/>
      <w:r w:rsidR="003C15FB" w:rsidRPr="003C15FB">
        <w:rPr>
          <w:sz w:val="28"/>
          <w:szCs w:val="28"/>
        </w:rPr>
        <w:t>galapatēriņam</w:t>
      </w:r>
      <w:proofErr w:type="spellEnd"/>
      <w:r w:rsidR="003C15FB" w:rsidRPr="003C15FB">
        <w:rPr>
          <w:sz w:val="28"/>
          <w:szCs w:val="28"/>
        </w:rPr>
        <w:t>)</w:t>
      </w:r>
      <w:r w:rsidR="003C15FB">
        <w:rPr>
          <w:sz w:val="28"/>
          <w:szCs w:val="28"/>
        </w:rPr>
        <w:t>.</w:t>
      </w:r>
    </w:p>
    <w:p w14:paraId="668F4DAC" w14:textId="46B5F1B3" w:rsidR="00CB1871" w:rsidRPr="000D077B" w:rsidRDefault="00CB1871" w:rsidP="00CB1871">
      <w:pPr>
        <w:spacing w:after="0" w:line="240" w:lineRule="auto"/>
        <w:ind w:firstLine="851"/>
        <w:rPr>
          <w:sz w:val="28"/>
          <w:szCs w:val="28"/>
        </w:rPr>
      </w:pPr>
      <w:r w:rsidRPr="000D077B">
        <w:rPr>
          <w:sz w:val="28"/>
          <w:szCs w:val="28"/>
        </w:rPr>
        <w:t>No 2015.</w:t>
      </w:r>
      <w:r w:rsidR="003C15FB">
        <w:rPr>
          <w:sz w:val="28"/>
          <w:szCs w:val="28"/>
        </w:rPr>
        <w:t> </w:t>
      </w:r>
      <w:r>
        <w:rPr>
          <w:sz w:val="28"/>
          <w:szCs w:val="28"/>
        </w:rPr>
        <w:t>gada</w:t>
      </w:r>
      <w:r w:rsidRPr="000D077B">
        <w:rPr>
          <w:sz w:val="28"/>
          <w:szCs w:val="28"/>
        </w:rPr>
        <w:t xml:space="preserve"> Latvijā pilnībā ir liberalizēts elektroenerģijas tirgus un pārtraukta</w:t>
      </w:r>
      <w:r w:rsidR="005A7D0B">
        <w:rPr>
          <w:sz w:val="28"/>
          <w:szCs w:val="28"/>
        </w:rPr>
        <w:t xml:space="preserve"> vispārēja</w:t>
      </w:r>
      <w:r w:rsidRPr="000D077B">
        <w:rPr>
          <w:sz w:val="28"/>
          <w:szCs w:val="28"/>
        </w:rPr>
        <w:t xml:space="preserve"> elektroenerģijas subsidēšana</w:t>
      </w:r>
      <w:r w:rsidR="00672566">
        <w:rPr>
          <w:sz w:val="28"/>
          <w:szCs w:val="28"/>
        </w:rPr>
        <w:t xml:space="preserve"> mājsaimniecībām</w:t>
      </w:r>
      <w:r w:rsidRPr="000D077B">
        <w:rPr>
          <w:sz w:val="28"/>
          <w:szCs w:val="28"/>
        </w:rPr>
        <w:t xml:space="preserve">. Lai mazinātu elektroenerģijas izmaksu pieauguma negatīvo ietekmi sociāli neaizsargātākajai sabiedrības daļai (aizsargātajiem lietotājiem) tika noteikts, ka šai grupai </w:t>
      </w:r>
      <w:r>
        <w:rPr>
          <w:sz w:val="28"/>
          <w:szCs w:val="28"/>
        </w:rPr>
        <w:t>noteikts elektroenerģijas daudzums</w:t>
      </w:r>
      <w:r w:rsidRPr="000D077B">
        <w:rPr>
          <w:sz w:val="28"/>
          <w:szCs w:val="28"/>
        </w:rPr>
        <w:t xml:space="preserve"> maksās iepriekšējā</w:t>
      </w:r>
      <w:r>
        <w:rPr>
          <w:sz w:val="28"/>
          <w:szCs w:val="28"/>
        </w:rPr>
        <w:t xml:space="preserve"> regulētā</w:t>
      </w:r>
      <w:r w:rsidRPr="000D077B">
        <w:rPr>
          <w:sz w:val="28"/>
          <w:szCs w:val="28"/>
        </w:rPr>
        <w:t xml:space="preserve"> “starta tarifa” līmenī.</w:t>
      </w:r>
      <w:r>
        <w:rPr>
          <w:sz w:val="28"/>
          <w:szCs w:val="28"/>
        </w:rPr>
        <w:t xml:space="preserve"> Tādējādi </w:t>
      </w:r>
      <w:r w:rsidR="00A33EA4" w:rsidRPr="000D077B">
        <w:rPr>
          <w:sz w:val="28"/>
          <w:szCs w:val="28"/>
        </w:rPr>
        <w:t>201</w:t>
      </w:r>
      <w:r w:rsidR="00A33EA4">
        <w:rPr>
          <w:sz w:val="28"/>
          <w:szCs w:val="28"/>
        </w:rPr>
        <w:t>6</w:t>
      </w:r>
      <w:r w:rsidRPr="000D077B">
        <w:rPr>
          <w:sz w:val="28"/>
          <w:szCs w:val="28"/>
        </w:rPr>
        <w:t>.</w:t>
      </w:r>
      <w:r>
        <w:rPr>
          <w:sz w:val="28"/>
          <w:szCs w:val="28"/>
        </w:rPr>
        <w:t>gad</w:t>
      </w:r>
      <w:r w:rsidR="00480B55">
        <w:rPr>
          <w:sz w:val="28"/>
          <w:szCs w:val="28"/>
        </w:rPr>
        <w:t>a 1.janvārī</w:t>
      </w:r>
      <w:r>
        <w:rPr>
          <w:sz w:val="28"/>
          <w:szCs w:val="28"/>
        </w:rPr>
        <w:t xml:space="preserve"> stājās spēkā</w:t>
      </w:r>
      <w:r w:rsidR="006F1C47">
        <w:rPr>
          <w:sz w:val="28"/>
          <w:szCs w:val="28"/>
        </w:rPr>
        <w:t xml:space="preserve"> (spēkā līdz 2016.gada 1.augustam)</w:t>
      </w:r>
      <w:r w:rsidR="00DC2499">
        <w:rPr>
          <w:sz w:val="28"/>
          <w:szCs w:val="28"/>
        </w:rPr>
        <w:t xml:space="preserve"> </w:t>
      </w:r>
      <w:r>
        <w:rPr>
          <w:sz w:val="28"/>
          <w:szCs w:val="28"/>
        </w:rPr>
        <w:t>tiesiskais regulējums aizsargātajiem lietotājiem - Ministru kabineta</w:t>
      </w:r>
      <w:r w:rsidRPr="000D077B">
        <w:rPr>
          <w:sz w:val="28"/>
          <w:szCs w:val="28"/>
        </w:rPr>
        <w:t xml:space="preserve"> </w:t>
      </w:r>
      <w:r>
        <w:rPr>
          <w:sz w:val="28"/>
          <w:szCs w:val="28"/>
        </w:rPr>
        <w:t xml:space="preserve">2015.gada 1.decembra </w:t>
      </w:r>
      <w:r w:rsidRPr="000D077B">
        <w:rPr>
          <w:sz w:val="28"/>
          <w:szCs w:val="28"/>
        </w:rPr>
        <w:t xml:space="preserve">noteikumi Nr.681 </w:t>
      </w:r>
      <w:r w:rsidRPr="000D077B">
        <w:rPr>
          <w:i/>
          <w:sz w:val="28"/>
          <w:szCs w:val="28"/>
        </w:rPr>
        <w:t>“Kārtība, kādā sniedz aizsargātā lietotāja tirdzniecības pakalpojumu un atbildīgās institūcijas sniedz informāciju par aizsargātā lietotāja statusu”</w:t>
      </w:r>
      <w:r>
        <w:rPr>
          <w:sz w:val="28"/>
          <w:szCs w:val="28"/>
        </w:rPr>
        <w:t xml:space="preserve">, kuri </w:t>
      </w:r>
      <w:r w:rsidR="006F1C47">
        <w:rPr>
          <w:sz w:val="28"/>
          <w:szCs w:val="28"/>
        </w:rPr>
        <w:t xml:space="preserve">noteica </w:t>
      </w:r>
      <w:r>
        <w:rPr>
          <w:sz w:val="28"/>
          <w:szCs w:val="28"/>
        </w:rPr>
        <w:t xml:space="preserve">aizsargātā </w:t>
      </w:r>
      <w:r w:rsidRPr="000D077B">
        <w:rPr>
          <w:sz w:val="28"/>
          <w:szCs w:val="28"/>
        </w:rPr>
        <w:t xml:space="preserve">lietotāja tirdzniecības pakalpojuma </w:t>
      </w:r>
      <w:r>
        <w:rPr>
          <w:sz w:val="28"/>
          <w:szCs w:val="28"/>
        </w:rPr>
        <w:t>sniegšanu</w:t>
      </w:r>
      <w:r w:rsidRPr="000D077B">
        <w:rPr>
          <w:sz w:val="28"/>
          <w:szCs w:val="28"/>
        </w:rPr>
        <w:t>.</w:t>
      </w:r>
    </w:p>
    <w:p w14:paraId="22A3B80C" w14:textId="00CA63A3" w:rsidR="00CB1871" w:rsidRDefault="00CB1871" w:rsidP="00CB1871">
      <w:pPr>
        <w:spacing w:after="0" w:line="240" w:lineRule="auto"/>
        <w:ind w:firstLine="851"/>
        <w:rPr>
          <w:sz w:val="28"/>
          <w:szCs w:val="28"/>
        </w:rPr>
      </w:pPr>
      <w:r>
        <w:rPr>
          <w:sz w:val="28"/>
          <w:szCs w:val="28"/>
        </w:rPr>
        <w:t>Savukārt a</w:t>
      </w:r>
      <w:r w:rsidRPr="000D077B">
        <w:rPr>
          <w:sz w:val="28"/>
          <w:szCs w:val="28"/>
        </w:rPr>
        <w:t>r 2015.</w:t>
      </w:r>
      <w:r>
        <w:rPr>
          <w:sz w:val="28"/>
          <w:szCs w:val="28"/>
        </w:rPr>
        <w:t xml:space="preserve">gada </w:t>
      </w:r>
      <w:r w:rsidR="000F4078">
        <w:rPr>
          <w:sz w:val="28"/>
          <w:szCs w:val="28"/>
        </w:rPr>
        <w:t>17</w:t>
      </w:r>
      <w:r>
        <w:rPr>
          <w:sz w:val="28"/>
          <w:szCs w:val="28"/>
        </w:rPr>
        <w:t>.septembra</w:t>
      </w:r>
      <w:r w:rsidRPr="000D077B">
        <w:rPr>
          <w:sz w:val="28"/>
          <w:szCs w:val="28"/>
        </w:rPr>
        <w:t xml:space="preserve"> grozījumiem </w:t>
      </w:r>
      <w:r>
        <w:rPr>
          <w:i/>
          <w:sz w:val="28"/>
          <w:szCs w:val="28"/>
        </w:rPr>
        <w:t>Elektroenerģijas tirgus likumā</w:t>
      </w:r>
      <w:r w:rsidRPr="000D077B">
        <w:rPr>
          <w:i/>
          <w:sz w:val="28"/>
          <w:szCs w:val="28"/>
        </w:rPr>
        <w:t xml:space="preserve"> </w:t>
      </w:r>
      <w:r w:rsidRPr="000D077B">
        <w:rPr>
          <w:sz w:val="28"/>
          <w:szCs w:val="28"/>
        </w:rPr>
        <w:t>un 2015.</w:t>
      </w:r>
      <w:r>
        <w:rPr>
          <w:sz w:val="28"/>
          <w:szCs w:val="28"/>
        </w:rPr>
        <w:t xml:space="preserve">gada </w:t>
      </w:r>
      <w:r w:rsidR="000F4078">
        <w:rPr>
          <w:sz w:val="28"/>
          <w:szCs w:val="28"/>
        </w:rPr>
        <w:t>26.novembra</w:t>
      </w:r>
      <w:r>
        <w:rPr>
          <w:sz w:val="28"/>
          <w:szCs w:val="28"/>
        </w:rPr>
        <w:t xml:space="preserve"> </w:t>
      </w:r>
      <w:r w:rsidRPr="000D077B">
        <w:rPr>
          <w:sz w:val="28"/>
          <w:szCs w:val="28"/>
        </w:rPr>
        <w:t xml:space="preserve">grozījumiem </w:t>
      </w:r>
      <w:r w:rsidRPr="000D077B">
        <w:rPr>
          <w:i/>
          <w:sz w:val="28"/>
          <w:szCs w:val="28"/>
        </w:rPr>
        <w:t>Bērnu tiesību aizsardzības likumā</w:t>
      </w:r>
      <w:r w:rsidRPr="000D077B">
        <w:rPr>
          <w:sz w:val="28"/>
          <w:szCs w:val="28"/>
        </w:rPr>
        <w:t xml:space="preserve"> </w:t>
      </w:r>
      <w:r w:rsidRPr="00252C44">
        <w:rPr>
          <w:sz w:val="28"/>
          <w:szCs w:val="28"/>
        </w:rPr>
        <w:t>aizsargāto lietotāju loks tika paplašināts</w:t>
      </w:r>
      <w:r w:rsidRPr="000D077B">
        <w:rPr>
          <w:sz w:val="28"/>
          <w:szCs w:val="28"/>
        </w:rPr>
        <w:t xml:space="preserve"> ar personām ar invaliditāti</w:t>
      </w:r>
      <w:r>
        <w:rPr>
          <w:sz w:val="28"/>
          <w:szCs w:val="28"/>
        </w:rPr>
        <w:t>,</w:t>
      </w:r>
      <w:r w:rsidR="00EF35DF">
        <w:rPr>
          <w:sz w:val="28"/>
          <w:szCs w:val="28"/>
        </w:rPr>
        <w:t xml:space="preserve"> </w:t>
      </w:r>
      <w:proofErr w:type="spellStart"/>
      <w:r w:rsidR="00EF35DF">
        <w:rPr>
          <w:sz w:val="28"/>
          <w:szCs w:val="28"/>
        </w:rPr>
        <w:t>daudzbērnu</w:t>
      </w:r>
      <w:proofErr w:type="spellEnd"/>
      <w:r w:rsidR="00EF35DF">
        <w:rPr>
          <w:sz w:val="28"/>
          <w:szCs w:val="28"/>
        </w:rPr>
        <w:t xml:space="preserve"> ģimenēm, </w:t>
      </w:r>
      <w:r w:rsidRPr="000D077B">
        <w:rPr>
          <w:sz w:val="28"/>
          <w:szCs w:val="28"/>
        </w:rPr>
        <w:t xml:space="preserve">iekļaujot personas līdz 24 gadiem, kuras turpina izglītības iegūšanu izglītības iestādē. </w:t>
      </w:r>
    </w:p>
    <w:p w14:paraId="7DD861CC" w14:textId="2053C11C" w:rsidR="00CB1871" w:rsidRPr="0037197B" w:rsidRDefault="00CB1871" w:rsidP="00CB1871">
      <w:pPr>
        <w:spacing w:after="0" w:line="240" w:lineRule="auto"/>
        <w:ind w:firstLine="851"/>
        <w:rPr>
          <w:sz w:val="28"/>
          <w:szCs w:val="28"/>
        </w:rPr>
      </w:pPr>
      <w:r>
        <w:rPr>
          <w:sz w:val="28"/>
          <w:szCs w:val="28"/>
        </w:rPr>
        <w:t>Vērtējot nepieciešamos finansiālos līdzekļus aizsargātā lietotāja pakalpojuma sniegšanai, par pamatu tiek ņemta aktuālā informācija no AS „Latvenergo”, kur</w:t>
      </w:r>
      <w:r w:rsidR="00657982">
        <w:rPr>
          <w:sz w:val="28"/>
          <w:szCs w:val="28"/>
        </w:rPr>
        <w:t>a</w:t>
      </w:r>
      <w:r>
        <w:rPr>
          <w:sz w:val="28"/>
          <w:szCs w:val="28"/>
        </w:rPr>
        <w:t xml:space="preserve"> 2015.</w:t>
      </w:r>
      <w:r w:rsidR="002B556F">
        <w:rPr>
          <w:sz w:val="28"/>
          <w:szCs w:val="28"/>
        </w:rPr>
        <w:t> </w:t>
      </w:r>
      <w:r>
        <w:rPr>
          <w:sz w:val="28"/>
          <w:szCs w:val="28"/>
        </w:rPr>
        <w:t>gadā</w:t>
      </w:r>
      <w:r w:rsidRPr="000D077B">
        <w:rPr>
          <w:sz w:val="28"/>
          <w:szCs w:val="28"/>
        </w:rPr>
        <w:t xml:space="preserve"> nodrošin</w:t>
      </w:r>
      <w:r>
        <w:rPr>
          <w:sz w:val="28"/>
          <w:szCs w:val="28"/>
        </w:rPr>
        <w:t>āja</w:t>
      </w:r>
      <w:r w:rsidRPr="000D077B">
        <w:rPr>
          <w:sz w:val="28"/>
          <w:szCs w:val="28"/>
        </w:rPr>
        <w:t xml:space="preserve"> </w:t>
      </w:r>
      <w:r>
        <w:rPr>
          <w:sz w:val="28"/>
          <w:szCs w:val="28"/>
        </w:rPr>
        <w:t>a</w:t>
      </w:r>
      <w:r w:rsidRPr="000D077B">
        <w:rPr>
          <w:sz w:val="28"/>
          <w:szCs w:val="28"/>
        </w:rPr>
        <w:t xml:space="preserve">izsargātā lietotāja tirdzniecības pakalpojumu sava budžeta ietvaros, </w:t>
      </w:r>
      <w:r>
        <w:rPr>
          <w:sz w:val="28"/>
          <w:szCs w:val="28"/>
        </w:rPr>
        <w:t>bet</w:t>
      </w:r>
      <w:r w:rsidRPr="000D077B">
        <w:rPr>
          <w:sz w:val="28"/>
          <w:szCs w:val="28"/>
        </w:rPr>
        <w:t xml:space="preserve"> </w:t>
      </w:r>
      <w:r>
        <w:rPr>
          <w:sz w:val="28"/>
          <w:szCs w:val="28"/>
        </w:rPr>
        <w:t>2016.</w:t>
      </w:r>
      <w:r w:rsidR="002B556F">
        <w:rPr>
          <w:sz w:val="28"/>
          <w:szCs w:val="28"/>
        </w:rPr>
        <w:t> </w:t>
      </w:r>
      <w:r>
        <w:rPr>
          <w:sz w:val="28"/>
          <w:szCs w:val="28"/>
        </w:rPr>
        <w:t xml:space="preserve">gadā </w:t>
      </w:r>
      <w:r w:rsidRPr="000D077B">
        <w:rPr>
          <w:sz w:val="28"/>
          <w:szCs w:val="28"/>
        </w:rPr>
        <w:t xml:space="preserve">līdz brīdim, kad tiks noslēgts līgums ar </w:t>
      </w:r>
      <w:r>
        <w:rPr>
          <w:sz w:val="28"/>
          <w:szCs w:val="28"/>
        </w:rPr>
        <w:t>Ekonomikas ministrijas izraudzīto aizsargātā lietotāja pakalpojuma sniedzēju</w:t>
      </w:r>
      <w:r w:rsidRPr="000D077B">
        <w:rPr>
          <w:sz w:val="28"/>
          <w:szCs w:val="28"/>
        </w:rPr>
        <w:t>, turpina nodrošināt no valsts budžeta līdzekļiem</w:t>
      </w:r>
      <w:r>
        <w:rPr>
          <w:sz w:val="28"/>
          <w:szCs w:val="28"/>
        </w:rPr>
        <w:t xml:space="preserve">. </w:t>
      </w:r>
      <w:r w:rsidRPr="002B6A43">
        <w:rPr>
          <w:sz w:val="28"/>
          <w:szCs w:val="28"/>
        </w:rPr>
        <w:t>2016.</w:t>
      </w:r>
      <w:r w:rsidR="002B556F">
        <w:rPr>
          <w:sz w:val="28"/>
          <w:szCs w:val="28"/>
        </w:rPr>
        <w:t> </w:t>
      </w:r>
      <w:r w:rsidRPr="002B6A43">
        <w:rPr>
          <w:sz w:val="28"/>
          <w:szCs w:val="28"/>
        </w:rPr>
        <w:t xml:space="preserve">gada pirmajā pusē AS „Latvenergo” ir </w:t>
      </w:r>
      <w:r w:rsidR="00480B55">
        <w:rPr>
          <w:sz w:val="28"/>
          <w:szCs w:val="28"/>
        </w:rPr>
        <w:t>novirzījusi</w:t>
      </w:r>
      <w:r w:rsidR="00480B55" w:rsidRPr="002B6A43">
        <w:rPr>
          <w:sz w:val="28"/>
          <w:szCs w:val="28"/>
        </w:rPr>
        <w:t xml:space="preserve"> </w:t>
      </w:r>
      <w:r w:rsidRPr="002B6A43">
        <w:rPr>
          <w:sz w:val="28"/>
          <w:szCs w:val="28"/>
        </w:rPr>
        <w:t xml:space="preserve">atbalstu maksimāli 51 658 trūcīgajām vai maznodrošinātajām ģimenēm un 19 814 </w:t>
      </w:r>
      <w:proofErr w:type="spellStart"/>
      <w:r w:rsidRPr="002B6A43">
        <w:rPr>
          <w:sz w:val="28"/>
          <w:szCs w:val="28"/>
        </w:rPr>
        <w:t>daudzbērnu</w:t>
      </w:r>
      <w:proofErr w:type="spellEnd"/>
      <w:r w:rsidRPr="002B6A43">
        <w:rPr>
          <w:sz w:val="28"/>
          <w:szCs w:val="28"/>
        </w:rPr>
        <w:t xml:space="preserve"> ģimenēm vienā mēnesī, kopā 2016.gada pirmajā pusē izlietojot 1 982 673 EUR (bez PVN).</w:t>
      </w:r>
    </w:p>
    <w:p w14:paraId="712CCD36" w14:textId="77777777" w:rsidR="00CB1871" w:rsidRDefault="00CB1871" w:rsidP="00CB1871">
      <w:pPr>
        <w:spacing w:after="0" w:line="240" w:lineRule="auto"/>
        <w:ind w:firstLine="851"/>
        <w:rPr>
          <w:sz w:val="28"/>
          <w:szCs w:val="28"/>
        </w:rPr>
      </w:pPr>
      <w:r w:rsidRPr="0037197B">
        <w:rPr>
          <w:sz w:val="28"/>
          <w:szCs w:val="28"/>
        </w:rPr>
        <w:t>Likumā “Par vidēja termiņa budžeta ietvaru 2015., 2016. un 2017.</w:t>
      </w:r>
      <w:r w:rsidR="002B556F">
        <w:rPr>
          <w:sz w:val="28"/>
          <w:szCs w:val="28"/>
        </w:rPr>
        <w:t> </w:t>
      </w:r>
      <w:r w:rsidRPr="0037197B">
        <w:rPr>
          <w:sz w:val="28"/>
          <w:szCs w:val="28"/>
        </w:rPr>
        <w:t>gadam” Ekonomikas ministrijas budžeta apakšprogrammā 29.02.00 “Elektroenerģijas lietotāju atbalsts” 2016. un 2017.</w:t>
      </w:r>
      <w:r w:rsidR="002B556F">
        <w:rPr>
          <w:sz w:val="28"/>
          <w:szCs w:val="28"/>
        </w:rPr>
        <w:t> </w:t>
      </w:r>
      <w:r w:rsidRPr="0037197B">
        <w:rPr>
          <w:sz w:val="28"/>
          <w:szCs w:val="28"/>
        </w:rPr>
        <w:t>gadam ik gadu ir apstiprināts valsts budžeta finansējums aizsargātā lietotāja tirdzniecības pakalpojuma nodrošināšanai 5</w:t>
      </w:r>
      <w:r>
        <w:rPr>
          <w:sz w:val="28"/>
          <w:szCs w:val="28"/>
        </w:rPr>
        <w:t> 122 339 </w:t>
      </w:r>
      <w:r w:rsidRPr="0037197B">
        <w:rPr>
          <w:sz w:val="28"/>
          <w:szCs w:val="28"/>
        </w:rPr>
        <w:t xml:space="preserve">EUR bez PVN </w:t>
      </w:r>
      <w:r>
        <w:rPr>
          <w:sz w:val="28"/>
          <w:szCs w:val="28"/>
        </w:rPr>
        <w:t xml:space="preserve">apmērā. Ministru </w:t>
      </w:r>
      <w:r>
        <w:rPr>
          <w:sz w:val="28"/>
          <w:szCs w:val="28"/>
        </w:rPr>
        <w:lastRenderedPageBreak/>
        <w:t>kabinets 2015.gada 17.</w:t>
      </w:r>
      <w:r w:rsidRPr="0037197B">
        <w:rPr>
          <w:sz w:val="28"/>
          <w:szCs w:val="28"/>
        </w:rPr>
        <w:t>martā (prot.nr.15 30§) ir apstiprinājis ministriju un citu centrālo valsts iestāžu valsts pamatbudžeta un valsts speciālā budžeta bāzi 2016., 2017. un 2018.gadam, paredzot arī 2018.gadā minētajam mērķim valst</w:t>
      </w:r>
      <w:r>
        <w:rPr>
          <w:sz w:val="28"/>
          <w:szCs w:val="28"/>
        </w:rPr>
        <w:t>s budžeta līdzekļus 5 122 </w:t>
      </w:r>
      <w:r w:rsidRPr="0037197B">
        <w:rPr>
          <w:sz w:val="28"/>
          <w:szCs w:val="28"/>
        </w:rPr>
        <w:t>339 EUR apmērā</w:t>
      </w:r>
      <w:r>
        <w:rPr>
          <w:sz w:val="28"/>
          <w:szCs w:val="28"/>
        </w:rPr>
        <w:t xml:space="preserve">. Vienlaikus jāatzīmē, ka elektroenerģijas gala cena aizsargātajam lietotājam kā mājsaimniecībai tiek kompensēta ieskaitot PVN, jo arī kompensējamā daļa tiek aplikta ar PVN. Līdz ar to arī budžeta ienākumu daļa papildinās ar papildus PVN maksājumiem. </w:t>
      </w:r>
    </w:p>
    <w:p w14:paraId="5EC9856E" w14:textId="77777777" w:rsidR="00CB1871" w:rsidRPr="000D077B" w:rsidRDefault="00CB1871" w:rsidP="00CB1871">
      <w:pPr>
        <w:spacing w:after="0" w:line="240" w:lineRule="auto"/>
        <w:ind w:firstLine="851"/>
        <w:rPr>
          <w:sz w:val="28"/>
          <w:szCs w:val="28"/>
        </w:rPr>
      </w:pPr>
      <w:r>
        <w:rPr>
          <w:rFonts w:cs="Times New Roman"/>
          <w:sz w:val="28"/>
          <w:szCs w:val="28"/>
        </w:rPr>
        <w:t xml:space="preserve">Ar </w:t>
      </w:r>
      <w:r w:rsidRPr="006414B1">
        <w:rPr>
          <w:rFonts w:cs="Times New Roman"/>
          <w:sz w:val="28"/>
          <w:szCs w:val="28"/>
        </w:rPr>
        <w:t>2016.</w:t>
      </w:r>
      <w:r w:rsidR="002B556F">
        <w:rPr>
          <w:rFonts w:cs="Times New Roman"/>
          <w:sz w:val="28"/>
          <w:szCs w:val="28"/>
        </w:rPr>
        <w:t> </w:t>
      </w:r>
      <w:r w:rsidRPr="006414B1">
        <w:rPr>
          <w:rFonts w:cs="Times New Roman"/>
          <w:sz w:val="28"/>
          <w:szCs w:val="28"/>
        </w:rPr>
        <w:t>gada 5.</w:t>
      </w:r>
      <w:r w:rsidR="002B556F">
        <w:rPr>
          <w:rFonts w:cs="Times New Roman"/>
          <w:sz w:val="28"/>
          <w:szCs w:val="28"/>
        </w:rPr>
        <w:t> </w:t>
      </w:r>
      <w:r w:rsidRPr="006414B1">
        <w:rPr>
          <w:rFonts w:cs="Times New Roman"/>
          <w:sz w:val="28"/>
          <w:szCs w:val="28"/>
        </w:rPr>
        <w:t>maij</w:t>
      </w:r>
      <w:r>
        <w:rPr>
          <w:rFonts w:cs="Times New Roman"/>
          <w:sz w:val="28"/>
          <w:szCs w:val="28"/>
        </w:rPr>
        <w:t>ā</w:t>
      </w:r>
      <w:r w:rsidRPr="006414B1">
        <w:rPr>
          <w:rFonts w:cs="Times New Roman"/>
          <w:sz w:val="28"/>
          <w:szCs w:val="28"/>
        </w:rPr>
        <w:t xml:space="preserve"> </w:t>
      </w:r>
      <w:r>
        <w:rPr>
          <w:rFonts w:cs="Times New Roman"/>
          <w:sz w:val="28"/>
          <w:szCs w:val="28"/>
        </w:rPr>
        <w:t xml:space="preserve">pieņemto </w:t>
      </w:r>
      <w:r w:rsidRPr="002C035A">
        <w:rPr>
          <w:rFonts w:cs="Times New Roman"/>
          <w:sz w:val="28"/>
          <w:szCs w:val="28"/>
        </w:rPr>
        <w:t xml:space="preserve">Sabiedrisko pakalpojumu regulēšanas </w:t>
      </w:r>
      <w:r w:rsidRPr="006414B1">
        <w:rPr>
          <w:rFonts w:cs="Times New Roman"/>
          <w:sz w:val="28"/>
          <w:szCs w:val="28"/>
        </w:rPr>
        <w:t>komisijas padomes lēmum</w:t>
      </w:r>
      <w:r>
        <w:rPr>
          <w:rFonts w:cs="Times New Roman"/>
          <w:sz w:val="28"/>
          <w:szCs w:val="28"/>
        </w:rPr>
        <w:t>u</w:t>
      </w:r>
      <w:r w:rsidRPr="006414B1">
        <w:rPr>
          <w:rFonts w:cs="Times New Roman"/>
          <w:sz w:val="28"/>
          <w:szCs w:val="28"/>
        </w:rPr>
        <w:t xml:space="preserve"> Nr.73</w:t>
      </w:r>
      <w:r w:rsidRPr="002C035A">
        <w:rPr>
          <w:rFonts w:cs="Times New Roman"/>
          <w:sz w:val="28"/>
          <w:szCs w:val="28"/>
        </w:rPr>
        <w:t xml:space="preserve"> </w:t>
      </w:r>
      <w:r>
        <w:rPr>
          <w:rFonts w:cs="Times New Roman"/>
          <w:sz w:val="28"/>
          <w:szCs w:val="28"/>
        </w:rPr>
        <w:t>tika</w:t>
      </w:r>
      <w:r w:rsidRPr="002C035A">
        <w:rPr>
          <w:rFonts w:cs="Times New Roman"/>
          <w:sz w:val="28"/>
          <w:szCs w:val="28"/>
        </w:rPr>
        <w:t xml:space="preserve"> apstiprinā</w:t>
      </w:r>
      <w:r>
        <w:rPr>
          <w:rFonts w:cs="Times New Roman"/>
          <w:sz w:val="28"/>
          <w:szCs w:val="28"/>
        </w:rPr>
        <w:t>ti</w:t>
      </w:r>
      <w:r w:rsidRPr="002C035A">
        <w:rPr>
          <w:rFonts w:cs="Times New Roman"/>
          <w:sz w:val="28"/>
          <w:szCs w:val="28"/>
        </w:rPr>
        <w:t xml:space="preserve"> </w:t>
      </w:r>
      <w:r>
        <w:rPr>
          <w:rFonts w:cs="Times New Roman"/>
          <w:sz w:val="28"/>
          <w:szCs w:val="28"/>
        </w:rPr>
        <w:t>AS</w:t>
      </w:r>
      <w:r w:rsidRPr="002C035A">
        <w:rPr>
          <w:rFonts w:cs="Times New Roman"/>
          <w:sz w:val="28"/>
          <w:szCs w:val="28"/>
        </w:rPr>
        <w:t xml:space="preserve"> </w:t>
      </w:r>
      <w:r w:rsidRPr="00CF1A20">
        <w:rPr>
          <w:rFonts w:cs="Times New Roman"/>
          <w:sz w:val="28"/>
          <w:szCs w:val="28"/>
        </w:rPr>
        <w:t>„</w:t>
      </w:r>
      <w:r w:rsidRPr="002C035A">
        <w:rPr>
          <w:rFonts w:cs="Times New Roman"/>
          <w:sz w:val="28"/>
          <w:szCs w:val="28"/>
        </w:rPr>
        <w:t xml:space="preserve">Sadales tīkls” </w:t>
      </w:r>
      <w:r w:rsidRPr="006414B1">
        <w:rPr>
          <w:rFonts w:cs="Times New Roman"/>
          <w:sz w:val="28"/>
          <w:szCs w:val="28"/>
        </w:rPr>
        <w:t>elektroenerģijas sadales sistēmas pakalpojumu tarifi</w:t>
      </w:r>
      <w:r>
        <w:rPr>
          <w:rFonts w:cs="Times New Roman"/>
          <w:sz w:val="28"/>
          <w:szCs w:val="28"/>
        </w:rPr>
        <w:t xml:space="preserve">. Apstiprinātie tarifi </w:t>
      </w:r>
      <w:r w:rsidRPr="00636822">
        <w:rPr>
          <w:rFonts w:cs="Times New Roman"/>
          <w:sz w:val="28"/>
          <w:szCs w:val="28"/>
        </w:rPr>
        <w:t xml:space="preserve">paredz, ka sākot no </w:t>
      </w:r>
      <w:r>
        <w:rPr>
          <w:rFonts w:cs="Times New Roman"/>
          <w:sz w:val="28"/>
          <w:szCs w:val="28"/>
        </w:rPr>
        <w:t>2016.</w:t>
      </w:r>
      <w:r w:rsidR="002B556F">
        <w:rPr>
          <w:rFonts w:cs="Times New Roman"/>
          <w:sz w:val="28"/>
          <w:szCs w:val="28"/>
        </w:rPr>
        <w:t> </w:t>
      </w:r>
      <w:r>
        <w:rPr>
          <w:rFonts w:cs="Times New Roman"/>
          <w:sz w:val="28"/>
          <w:szCs w:val="28"/>
        </w:rPr>
        <w:t>gada</w:t>
      </w:r>
      <w:r w:rsidRPr="00636822">
        <w:rPr>
          <w:rFonts w:cs="Times New Roman"/>
          <w:sz w:val="28"/>
          <w:szCs w:val="28"/>
        </w:rPr>
        <w:t xml:space="preserve"> </w:t>
      </w:r>
      <w:r>
        <w:rPr>
          <w:rFonts w:cs="Times New Roman"/>
          <w:sz w:val="28"/>
          <w:szCs w:val="28"/>
        </w:rPr>
        <w:t>1.</w:t>
      </w:r>
      <w:r w:rsidR="002B556F">
        <w:rPr>
          <w:rFonts w:cs="Times New Roman"/>
          <w:sz w:val="28"/>
          <w:szCs w:val="28"/>
        </w:rPr>
        <w:t> </w:t>
      </w:r>
      <w:r w:rsidRPr="00636822">
        <w:rPr>
          <w:rFonts w:cs="Times New Roman"/>
          <w:sz w:val="28"/>
          <w:szCs w:val="28"/>
        </w:rPr>
        <w:t xml:space="preserve">augusta visiem </w:t>
      </w:r>
      <w:r>
        <w:rPr>
          <w:rFonts w:cs="Times New Roman"/>
          <w:sz w:val="28"/>
          <w:szCs w:val="28"/>
        </w:rPr>
        <w:t xml:space="preserve">elektroenerģijas </w:t>
      </w:r>
      <w:r w:rsidRPr="00636822">
        <w:rPr>
          <w:rFonts w:cs="Times New Roman"/>
          <w:sz w:val="28"/>
          <w:szCs w:val="28"/>
        </w:rPr>
        <w:t xml:space="preserve">lietotājiem tiks piemērots divdaļīgs </w:t>
      </w:r>
      <w:r>
        <w:rPr>
          <w:rFonts w:cs="Times New Roman"/>
          <w:sz w:val="28"/>
          <w:szCs w:val="28"/>
        </w:rPr>
        <w:t xml:space="preserve">sadales sistēmas </w:t>
      </w:r>
      <w:r w:rsidRPr="00636822">
        <w:rPr>
          <w:rFonts w:cs="Times New Roman"/>
          <w:sz w:val="28"/>
          <w:szCs w:val="28"/>
        </w:rPr>
        <w:t xml:space="preserve">tarifs – viena daļa būs fiksēta, atkarībā no </w:t>
      </w:r>
      <w:proofErr w:type="spellStart"/>
      <w:r w:rsidRPr="00636822">
        <w:rPr>
          <w:rFonts w:cs="Times New Roman"/>
          <w:sz w:val="28"/>
          <w:szCs w:val="28"/>
        </w:rPr>
        <w:t>pieslēguma</w:t>
      </w:r>
      <w:proofErr w:type="spellEnd"/>
      <w:r w:rsidRPr="00636822">
        <w:rPr>
          <w:rFonts w:cs="Times New Roman"/>
          <w:sz w:val="28"/>
          <w:szCs w:val="28"/>
        </w:rPr>
        <w:t xml:space="preserve"> parametriem, un otra daļa būs mainīgā – atkarībā no patērētās elektroenerģijas apjoma.</w:t>
      </w:r>
      <w:r>
        <w:rPr>
          <w:rFonts w:cs="Times New Roman"/>
          <w:sz w:val="28"/>
          <w:szCs w:val="28"/>
        </w:rPr>
        <w:t xml:space="preserve"> </w:t>
      </w:r>
      <w:r w:rsidRPr="000D077B">
        <w:rPr>
          <w:sz w:val="28"/>
          <w:szCs w:val="28"/>
        </w:rPr>
        <w:t xml:space="preserve"> Ņemot vērā </w:t>
      </w:r>
      <w:r>
        <w:rPr>
          <w:sz w:val="28"/>
          <w:szCs w:val="28"/>
        </w:rPr>
        <w:t xml:space="preserve">to, </w:t>
      </w:r>
      <w:r w:rsidRPr="000D077B">
        <w:rPr>
          <w:sz w:val="28"/>
          <w:szCs w:val="28"/>
        </w:rPr>
        <w:t xml:space="preserve">ka ievērojamai daļai aizsargāto lietotāju ir mazs elektroenerģijas patēriņš, sadales tarifa </w:t>
      </w:r>
      <w:r>
        <w:rPr>
          <w:sz w:val="28"/>
          <w:szCs w:val="28"/>
        </w:rPr>
        <w:t>izmaiņas</w:t>
      </w:r>
      <w:r w:rsidRPr="000D077B">
        <w:rPr>
          <w:sz w:val="28"/>
          <w:szCs w:val="28"/>
        </w:rPr>
        <w:t xml:space="preserve"> šai grupai radīs elektroenerģijas gala cenas pieaugumu.</w:t>
      </w:r>
    </w:p>
    <w:p w14:paraId="7410ADB1" w14:textId="48241933" w:rsidR="00CB1871" w:rsidRDefault="00CB1871" w:rsidP="00CB1871">
      <w:pPr>
        <w:spacing w:after="0" w:line="240" w:lineRule="auto"/>
        <w:ind w:firstLine="851"/>
        <w:rPr>
          <w:sz w:val="28"/>
          <w:szCs w:val="28"/>
        </w:rPr>
      </w:pPr>
      <w:r w:rsidRPr="000D077B">
        <w:rPr>
          <w:sz w:val="28"/>
          <w:szCs w:val="28"/>
        </w:rPr>
        <w:t xml:space="preserve">Lai nepieļautu elektroenerģijas </w:t>
      </w:r>
      <w:r w:rsidR="00BB720A">
        <w:rPr>
          <w:sz w:val="28"/>
          <w:szCs w:val="28"/>
        </w:rPr>
        <w:t xml:space="preserve">maksājumu </w:t>
      </w:r>
      <w:r w:rsidRPr="000D077B">
        <w:rPr>
          <w:sz w:val="28"/>
          <w:szCs w:val="28"/>
        </w:rPr>
        <w:t xml:space="preserve">pieaugumu aizsargātajiem lietotājiem pēc </w:t>
      </w:r>
      <w:r>
        <w:rPr>
          <w:rFonts w:cs="Times New Roman"/>
          <w:sz w:val="28"/>
          <w:szCs w:val="28"/>
        </w:rPr>
        <w:t>AS</w:t>
      </w:r>
      <w:r w:rsidRPr="002C035A">
        <w:rPr>
          <w:rFonts w:cs="Times New Roman"/>
          <w:sz w:val="28"/>
          <w:szCs w:val="28"/>
        </w:rPr>
        <w:t xml:space="preserve"> </w:t>
      </w:r>
      <w:r w:rsidRPr="00CF1A20">
        <w:rPr>
          <w:rFonts w:cs="Times New Roman"/>
          <w:sz w:val="28"/>
          <w:szCs w:val="28"/>
        </w:rPr>
        <w:t>„</w:t>
      </w:r>
      <w:r w:rsidRPr="002C035A">
        <w:rPr>
          <w:rFonts w:cs="Times New Roman"/>
          <w:sz w:val="28"/>
          <w:szCs w:val="28"/>
        </w:rPr>
        <w:t>Sadales tīkls”</w:t>
      </w:r>
      <w:r>
        <w:rPr>
          <w:rFonts w:cs="Times New Roman"/>
          <w:sz w:val="28"/>
          <w:szCs w:val="28"/>
        </w:rPr>
        <w:t xml:space="preserve"> </w:t>
      </w:r>
      <w:r w:rsidRPr="000D077B">
        <w:rPr>
          <w:sz w:val="28"/>
          <w:szCs w:val="28"/>
        </w:rPr>
        <w:t xml:space="preserve">sadales </w:t>
      </w:r>
      <w:r>
        <w:rPr>
          <w:sz w:val="28"/>
          <w:szCs w:val="28"/>
        </w:rPr>
        <w:t xml:space="preserve">sistēmas pakalpojumu </w:t>
      </w:r>
      <w:r w:rsidRPr="000D077B">
        <w:rPr>
          <w:sz w:val="28"/>
          <w:szCs w:val="28"/>
        </w:rPr>
        <w:t xml:space="preserve">tarifu </w:t>
      </w:r>
      <w:r>
        <w:rPr>
          <w:sz w:val="28"/>
          <w:szCs w:val="28"/>
        </w:rPr>
        <w:t>stāšanās spēkā</w:t>
      </w:r>
      <w:r w:rsidRPr="000D077B">
        <w:rPr>
          <w:sz w:val="28"/>
          <w:szCs w:val="28"/>
        </w:rPr>
        <w:t xml:space="preserve">, </w:t>
      </w:r>
      <w:r>
        <w:rPr>
          <w:sz w:val="28"/>
          <w:szCs w:val="28"/>
        </w:rPr>
        <w:t>2016.</w:t>
      </w:r>
      <w:r w:rsidR="002B556F">
        <w:rPr>
          <w:sz w:val="28"/>
          <w:szCs w:val="28"/>
        </w:rPr>
        <w:t> </w:t>
      </w:r>
      <w:r>
        <w:rPr>
          <w:sz w:val="28"/>
          <w:szCs w:val="28"/>
        </w:rPr>
        <w:t>gada 19.</w:t>
      </w:r>
      <w:r w:rsidR="002B556F">
        <w:rPr>
          <w:sz w:val="28"/>
          <w:szCs w:val="28"/>
        </w:rPr>
        <w:t> </w:t>
      </w:r>
      <w:r>
        <w:rPr>
          <w:sz w:val="28"/>
          <w:szCs w:val="28"/>
        </w:rPr>
        <w:t xml:space="preserve">maijā Saeimā tika atbalstīti </w:t>
      </w:r>
      <w:r w:rsidRPr="000D077B">
        <w:rPr>
          <w:sz w:val="28"/>
          <w:szCs w:val="28"/>
        </w:rPr>
        <w:t>g</w:t>
      </w:r>
      <w:r w:rsidRPr="000D077B">
        <w:rPr>
          <w:i/>
          <w:sz w:val="28"/>
          <w:szCs w:val="28"/>
        </w:rPr>
        <w:t xml:space="preserve">rozījumi </w:t>
      </w:r>
      <w:r>
        <w:rPr>
          <w:i/>
          <w:sz w:val="28"/>
          <w:szCs w:val="28"/>
        </w:rPr>
        <w:t>Elektroenerģijas tirgus likumā (stājas spēkā 2016.gada 22.jūnijā)</w:t>
      </w:r>
      <w:r w:rsidRPr="000D077B">
        <w:rPr>
          <w:sz w:val="28"/>
          <w:szCs w:val="28"/>
        </w:rPr>
        <w:t>, paredzot</w:t>
      </w:r>
      <w:r>
        <w:rPr>
          <w:sz w:val="28"/>
          <w:szCs w:val="28"/>
        </w:rPr>
        <w:t xml:space="preserve"> noteikt kārtību </w:t>
      </w:r>
      <w:r w:rsidRPr="000E6602">
        <w:rPr>
          <w:sz w:val="28"/>
          <w:szCs w:val="28"/>
        </w:rPr>
        <w:t>sadales sistēmas pakalpojuma maksas kompensēšanai</w:t>
      </w:r>
      <w:r>
        <w:rPr>
          <w:sz w:val="28"/>
          <w:szCs w:val="28"/>
        </w:rPr>
        <w:t xml:space="preserve"> aizsargātajiem lietotājiem</w:t>
      </w:r>
      <w:r w:rsidRPr="000E6602">
        <w:rPr>
          <w:sz w:val="28"/>
          <w:szCs w:val="28"/>
        </w:rPr>
        <w:t xml:space="preserve">, un arī </w:t>
      </w:r>
      <w:r>
        <w:rPr>
          <w:sz w:val="28"/>
          <w:szCs w:val="28"/>
        </w:rPr>
        <w:t xml:space="preserve">kārtību kādā </w:t>
      </w:r>
      <w:r w:rsidRPr="005562B1">
        <w:rPr>
          <w:sz w:val="28"/>
          <w:szCs w:val="28"/>
        </w:rPr>
        <w:t xml:space="preserve">finansē </w:t>
      </w:r>
      <w:proofErr w:type="spellStart"/>
      <w:r w:rsidRPr="005562B1">
        <w:rPr>
          <w:sz w:val="28"/>
          <w:szCs w:val="28"/>
        </w:rPr>
        <w:t>pieslēguma</w:t>
      </w:r>
      <w:proofErr w:type="spellEnd"/>
      <w:r w:rsidRPr="005562B1">
        <w:rPr>
          <w:sz w:val="28"/>
          <w:szCs w:val="28"/>
        </w:rPr>
        <w:t xml:space="preserve"> ierīkošanu aizsargātaj</w:t>
      </w:r>
      <w:r>
        <w:rPr>
          <w:sz w:val="28"/>
          <w:szCs w:val="28"/>
        </w:rPr>
        <w:t>iem</w:t>
      </w:r>
      <w:r w:rsidRPr="005562B1">
        <w:rPr>
          <w:sz w:val="28"/>
          <w:szCs w:val="28"/>
        </w:rPr>
        <w:t xml:space="preserve"> lietotāj</w:t>
      </w:r>
      <w:r>
        <w:rPr>
          <w:sz w:val="28"/>
          <w:szCs w:val="28"/>
        </w:rPr>
        <w:t xml:space="preserve">iem. Šajā sakarā, Ministru kabinets 2016.gada 12.jūlijā pieņēma Ministru kabineta 2016.gada 12.jūlija noteikumus </w:t>
      </w:r>
      <w:r w:rsidRPr="000D077B">
        <w:rPr>
          <w:sz w:val="28"/>
          <w:szCs w:val="28"/>
        </w:rPr>
        <w:t>Nr.</w:t>
      </w:r>
      <w:r>
        <w:rPr>
          <w:sz w:val="28"/>
          <w:szCs w:val="28"/>
        </w:rPr>
        <w:t>459</w:t>
      </w:r>
      <w:r w:rsidRPr="000D077B">
        <w:rPr>
          <w:sz w:val="28"/>
          <w:szCs w:val="28"/>
        </w:rPr>
        <w:t xml:space="preserve"> </w:t>
      </w:r>
      <w:r w:rsidRPr="000D077B">
        <w:rPr>
          <w:i/>
          <w:sz w:val="28"/>
          <w:szCs w:val="28"/>
        </w:rPr>
        <w:t>“</w:t>
      </w:r>
      <w:r w:rsidRPr="00EB3AE9">
        <w:rPr>
          <w:i/>
          <w:sz w:val="28"/>
          <w:szCs w:val="28"/>
        </w:rPr>
        <w:t>Aizsargātā lietotāja tirdzniecības pakalpojuma sniegšanas un sadales sistēmas pakalpojuma kompensēšanas kārtība</w:t>
      </w:r>
      <w:r w:rsidRPr="000D077B">
        <w:rPr>
          <w:i/>
          <w:sz w:val="28"/>
          <w:szCs w:val="28"/>
        </w:rPr>
        <w:t>”</w:t>
      </w:r>
      <w:r>
        <w:rPr>
          <w:sz w:val="28"/>
          <w:szCs w:val="28"/>
        </w:rPr>
        <w:t xml:space="preserve"> (turpmāk – MK noteikumi Nr.459), paredzot </w:t>
      </w:r>
      <w:r w:rsidR="00480B55">
        <w:rPr>
          <w:sz w:val="28"/>
          <w:szCs w:val="28"/>
        </w:rPr>
        <w:t xml:space="preserve">ne tikai pašas elektroenerģijas komponentes, bet arī </w:t>
      </w:r>
      <w:r>
        <w:rPr>
          <w:sz w:val="28"/>
          <w:szCs w:val="28"/>
        </w:rPr>
        <w:t xml:space="preserve">sadales sistēmas pakalpojumu maksas pieauguma un </w:t>
      </w:r>
      <w:proofErr w:type="spellStart"/>
      <w:r>
        <w:rPr>
          <w:sz w:val="28"/>
          <w:szCs w:val="28"/>
        </w:rPr>
        <w:t>pieslēguma</w:t>
      </w:r>
      <w:proofErr w:type="spellEnd"/>
      <w:r>
        <w:rPr>
          <w:sz w:val="28"/>
          <w:szCs w:val="28"/>
        </w:rPr>
        <w:t xml:space="preserve"> maksas kompensācijas mehānismu, lai no 2016.gada 1.augusta m</w:t>
      </w:r>
      <w:r w:rsidRPr="000650BB">
        <w:rPr>
          <w:sz w:val="28"/>
          <w:szCs w:val="28"/>
        </w:rPr>
        <w:t xml:space="preserve">azinātu </w:t>
      </w:r>
      <w:r w:rsidRPr="00F950EF">
        <w:rPr>
          <w:sz w:val="28"/>
          <w:szCs w:val="28"/>
        </w:rPr>
        <w:t>sadales sistēmas pakalpojumu tarifu</w:t>
      </w:r>
      <w:r w:rsidRPr="000650BB">
        <w:rPr>
          <w:sz w:val="28"/>
          <w:szCs w:val="28"/>
        </w:rPr>
        <w:t xml:space="preserve"> </w:t>
      </w:r>
      <w:r w:rsidR="00480B55">
        <w:rPr>
          <w:sz w:val="28"/>
          <w:szCs w:val="28"/>
        </w:rPr>
        <w:t xml:space="preserve">iespējamo </w:t>
      </w:r>
      <w:r w:rsidRPr="000650BB">
        <w:rPr>
          <w:sz w:val="28"/>
          <w:szCs w:val="28"/>
        </w:rPr>
        <w:t xml:space="preserve">negatīvo ietekmi </w:t>
      </w:r>
      <w:r>
        <w:rPr>
          <w:sz w:val="28"/>
          <w:szCs w:val="28"/>
        </w:rPr>
        <w:t xml:space="preserve">uz </w:t>
      </w:r>
      <w:r w:rsidRPr="000650BB">
        <w:rPr>
          <w:sz w:val="28"/>
          <w:szCs w:val="28"/>
        </w:rPr>
        <w:t>aizsargātajiem lietotājiem</w:t>
      </w:r>
      <w:r w:rsidR="00480B55">
        <w:rPr>
          <w:sz w:val="28"/>
          <w:szCs w:val="28"/>
        </w:rPr>
        <w:t xml:space="preserve"> to neliela elektroenerģijas patēriņa dēļ</w:t>
      </w:r>
      <w:r w:rsidRPr="000D077B">
        <w:rPr>
          <w:sz w:val="28"/>
          <w:szCs w:val="28"/>
        </w:rPr>
        <w:t>.</w:t>
      </w:r>
      <w:r>
        <w:rPr>
          <w:sz w:val="28"/>
          <w:szCs w:val="28"/>
        </w:rPr>
        <w:t xml:space="preserve"> MK noteikumi Nr.459 stājās spēkā 2016.gada 1.augustā.</w:t>
      </w:r>
    </w:p>
    <w:p w14:paraId="3EE44C3F" w14:textId="77777777" w:rsidR="00CB1871" w:rsidRDefault="00CB1871" w:rsidP="00CB1871">
      <w:pPr>
        <w:spacing w:after="0" w:line="240" w:lineRule="auto"/>
        <w:ind w:firstLine="851"/>
        <w:rPr>
          <w:sz w:val="28"/>
          <w:szCs w:val="28"/>
        </w:rPr>
      </w:pPr>
      <w:r>
        <w:rPr>
          <w:sz w:val="28"/>
          <w:szCs w:val="28"/>
        </w:rPr>
        <w:t xml:space="preserve">Plānotais valsts budžeta finansējums aizsargātajiem lietotājiem atbalsta pasākumiem turpmākajiem gadiem atspoguļots 7.tabulā. </w:t>
      </w:r>
    </w:p>
    <w:p w14:paraId="574DEAEC" w14:textId="77777777" w:rsidR="00CB1871" w:rsidRDefault="00CB1871" w:rsidP="00CB1871">
      <w:pPr>
        <w:spacing w:after="0" w:line="240" w:lineRule="auto"/>
        <w:ind w:firstLine="851"/>
        <w:rPr>
          <w:sz w:val="28"/>
          <w:szCs w:val="28"/>
        </w:rPr>
      </w:pPr>
    </w:p>
    <w:p w14:paraId="633A3800" w14:textId="77777777" w:rsidR="00CB1871" w:rsidRPr="00D116AC" w:rsidRDefault="00CB1871" w:rsidP="00CB1871">
      <w:pPr>
        <w:pStyle w:val="Caption"/>
        <w:keepNext/>
        <w:jc w:val="right"/>
        <w:rPr>
          <w:rFonts w:ascii="Times New Roman" w:hAnsi="Times New Roman"/>
          <w:sz w:val="24"/>
          <w:szCs w:val="24"/>
        </w:rPr>
      </w:pPr>
      <w:r>
        <w:rPr>
          <w:rFonts w:ascii="Times New Roman" w:hAnsi="Times New Roman"/>
          <w:sz w:val="24"/>
          <w:szCs w:val="24"/>
        </w:rPr>
        <w:t>7</w:t>
      </w:r>
      <w:r w:rsidRPr="00D116AC">
        <w:rPr>
          <w:rFonts w:ascii="Times New Roman" w:hAnsi="Times New Roman"/>
          <w:sz w:val="24"/>
          <w:szCs w:val="24"/>
        </w:rPr>
        <w:t>.tabula</w:t>
      </w:r>
    </w:p>
    <w:p w14:paraId="4B8330CA" w14:textId="77777777" w:rsidR="00CB1871" w:rsidRPr="009E280D" w:rsidRDefault="00CB1871" w:rsidP="00CB1871">
      <w:pPr>
        <w:pStyle w:val="Caption"/>
        <w:keepNext/>
        <w:jc w:val="center"/>
        <w:rPr>
          <w:rFonts w:ascii="Times New Roman" w:hAnsi="Times New Roman"/>
          <w:sz w:val="24"/>
          <w:szCs w:val="24"/>
        </w:rPr>
      </w:pPr>
      <w:r w:rsidRPr="0077060C">
        <w:rPr>
          <w:rFonts w:ascii="Times New Roman" w:hAnsi="Times New Roman"/>
          <w:sz w:val="24"/>
          <w:szCs w:val="24"/>
        </w:rPr>
        <w:t>Finanšu līdzekļu nepieciešamība aizsargātajiem lietotājiem</w:t>
      </w:r>
      <w:r>
        <w:rPr>
          <w:rFonts w:ascii="Times New Roman" w:hAnsi="Times New Roman"/>
          <w:sz w:val="24"/>
          <w:szCs w:val="24"/>
        </w:rPr>
        <w:t>, EUR</w:t>
      </w:r>
    </w:p>
    <w:tbl>
      <w:tblPr>
        <w:tblW w:w="8276" w:type="dxa"/>
        <w:tblLayout w:type="fixed"/>
        <w:tblLook w:val="04A0" w:firstRow="1" w:lastRow="0" w:firstColumn="1" w:lastColumn="0" w:noHBand="0" w:noVBand="1"/>
      </w:tblPr>
      <w:tblGrid>
        <w:gridCol w:w="5797"/>
        <w:gridCol w:w="2479"/>
      </w:tblGrid>
      <w:tr w:rsidR="00EF35DF" w:rsidRPr="009B40C6" w14:paraId="48B5C9F6" w14:textId="77777777" w:rsidTr="00EF35DF">
        <w:trPr>
          <w:trHeight w:val="615"/>
        </w:trPr>
        <w:tc>
          <w:tcPr>
            <w:tcW w:w="5797" w:type="dxa"/>
            <w:tcBorders>
              <w:top w:val="single" w:sz="12" w:space="0" w:color="auto"/>
              <w:left w:val="single" w:sz="12" w:space="0" w:color="auto"/>
              <w:bottom w:val="single" w:sz="12" w:space="0" w:color="auto"/>
              <w:right w:val="single" w:sz="12" w:space="0" w:color="auto"/>
            </w:tcBorders>
            <w:shd w:val="clear" w:color="auto" w:fill="auto"/>
            <w:vAlign w:val="bottom"/>
          </w:tcPr>
          <w:p w14:paraId="02F39898" w14:textId="77777777" w:rsidR="00EF35DF" w:rsidRPr="0077060C" w:rsidRDefault="00EF35DF" w:rsidP="00F82132">
            <w:pPr>
              <w:spacing w:after="0" w:line="240" w:lineRule="auto"/>
              <w:jc w:val="left"/>
              <w:rPr>
                <w:szCs w:val="28"/>
              </w:rPr>
            </w:pPr>
          </w:p>
        </w:tc>
        <w:tc>
          <w:tcPr>
            <w:tcW w:w="2479" w:type="dxa"/>
            <w:tcBorders>
              <w:top w:val="single" w:sz="12" w:space="0" w:color="auto"/>
              <w:left w:val="single" w:sz="12" w:space="0" w:color="auto"/>
              <w:bottom w:val="single" w:sz="12" w:space="0" w:color="auto"/>
              <w:right w:val="single" w:sz="12" w:space="0" w:color="auto"/>
            </w:tcBorders>
            <w:shd w:val="clear" w:color="auto" w:fill="auto"/>
            <w:vAlign w:val="center"/>
          </w:tcPr>
          <w:p w14:paraId="56319F36" w14:textId="77777777" w:rsidR="00EF35DF" w:rsidRPr="0077060C" w:rsidRDefault="00EF35DF" w:rsidP="00F82132">
            <w:pPr>
              <w:spacing w:after="0" w:line="240" w:lineRule="auto"/>
              <w:jc w:val="center"/>
              <w:rPr>
                <w:szCs w:val="28"/>
              </w:rPr>
            </w:pPr>
            <w:r w:rsidRPr="00EF35DF">
              <w:rPr>
                <w:szCs w:val="28"/>
              </w:rPr>
              <w:t>2017/2018/2019</w:t>
            </w:r>
          </w:p>
        </w:tc>
      </w:tr>
      <w:tr w:rsidR="00EF35DF" w:rsidRPr="009B40C6" w14:paraId="60231083" w14:textId="77777777" w:rsidTr="00EF35DF">
        <w:trPr>
          <w:trHeight w:val="615"/>
        </w:trPr>
        <w:tc>
          <w:tcPr>
            <w:tcW w:w="5797" w:type="dxa"/>
            <w:tcBorders>
              <w:top w:val="single" w:sz="12" w:space="0" w:color="auto"/>
              <w:left w:val="single" w:sz="12" w:space="0" w:color="auto"/>
              <w:bottom w:val="dashSmallGap" w:sz="4" w:space="0" w:color="auto"/>
              <w:right w:val="single" w:sz="12" w:space="0" w:color="auto"/>
            </w:tcBorders>
            <w:shd w:val="clear" w:color="auto" w:fill="auto"/>
            <w:vAlign w:val="bottom"/>
          </w:tcPr>
          <w:p w14:paraId="0111D011" w14:textId="77777777" w:rsidR="00EF35DF" w:rsidRPr="0077060C" w:rsidRDefault="00EF35DF" w:rsidP="00F82132">
            <w:pPr>
              <w:spacing w:after="0" w:line="240" w:lineRule="auto"/>
              <w:jc w:val="left"/>
              <w:rPr>
                <w:szCs w:val="28"/>
              </w:rPr>
            </w:pPr>
            <w:r w:rsidRPr="0077060C">
              <w:rPr>
                <w:szCs w:val="28"/>
              </w:rPr>
              <w:lastRenderedPageBreak/>
              <w:t xml:space="preserve">Aizsargātie lietotāji (iesk. PVN, trūcīgie/maznodrošinātie, </w:t>
            </w:r>
            <w:proofErr w:type="spellStart"/>
            <w:r w:rsidRPr="0077060C">
              <w:rPr>
                <w:szCs w:val="28"/>
              </w:rPr>
              <w:t>daudzbērnu</w:t>
            </w:r>
            <w:proofErr w:type="spellEnd"/>
            <w:r w:rsidRPr="0077060C">
              <w:rPr>
                <w:szCs w:val="28"/>
              </w:rPr>
              <w:t xml:space="preserve"> ģimenes)</w:t>
            </w:r>
          </w:p>
        </w:tc>
        <w:tc>
          <w:tcPr>
            <w:tcW w:w="2479" w:type="dxa"/>
            <w:tcBorders>
              <w:top w:val="single" w:sz="12" w:space="0" w:color="auto"/>
              <w:left w:val="single" w:sz="12" w:space="0" w:color="auto"/>
              <w:bottom w:val="dashSmallGap" w:sz="4" w:space="0" w:color="auto"/>
              <w:right w:val="single" w:sz="12" w:space="0" w:color="auto"/>
            </w:tcBorders>
            <w:shd w:val="clear" w:color="auto" w:fill="auto"/>
            <w:vAlign w:val="center"/>
          </w:tcPr>
          <w:p w14:paraId="2367CCA8" w14:textId="77777777" w:rsidR="00EF35DF" w:rsidRPr="0077060C" w:rsidRDefault="00EF35DF" w:rsidP="00F82132">
            <w:pPr>
              <w:spacing w:after="0" w:line="240" w:lineRule="auto"/>
              <w:jc w:val="center"/>
              <w:rPr>
                <w:szCs w:val="28"/>
              </w:rPr>
            </w:pPr>
            <w:r>
              <w:rPr>
                <w:szCs w:val="28"/>
              </w:rPr>
              <w:t>4 863 985</w:t>
            </w:r>
          </w:p>
        </w:tc>
      </w:tr>
      <w:tr w:rsidR="00EF35DF" w:rsidRPr="009B40C6" w14:paraId="53194E6E" w14:textId="77777777" w:rsidTr="00EF35DF">
        <w:trPr>
          <w:trHeight w:val="690"/>
        </w:trPr>
        <w:tc>
          <w:tcPr>
            <w:tcW w:w="5797" w:type="dxa"/>
            <w:tcBorders>
              <w:top w:val="dashSmallGap" w:sz="4" w:space="0" w:color="auto"/>
              <w:left w:val="single" w:sz="12" w:space="0" w:color="auto"/>
              <w:bottom w:val="dashSmallGap" w:sz="4" w:space="0" w:color="auto"/>
              <w:right w:val="single" w:sz="12" w:space="0" w:color="auto"/>
            </w:tcBorders>
            <w:shd w:val="clear" w:color="auto" w:fill="auto"/>
            <w:vAlign w:val="bottom"/>
          </w:tcPr>
          <w:p w14:paraId="3C3D61DF" w14:textId="77777777" w:rsidR="00EF35DF" w:rsidRPr="0077060C" w:rsidRDefault="00EF35DF" w:rsidP="00F82132">
            <w:pPr>
              <w:spacing w:after="0" w:line="240" w:lineRule="auto"/>
              <w:jc w:val="left"/>
              <w:rPr>
                <w:szCs w:val="28"/>
              </w:rPr>
            </w:pPr>
            <w:r w:rsidRPr="0077060C">
              <w:rPr>
                <w:szCs w:val="28"/>
              </w:rPr>
              <w:t xml:space="preserve">Aizsargātie lietotāji (iesk. PVN, </w:t>
            </w:r>
            <w:proofErr w:type="spellStart"/>
            <w:r w:rsidRPr="0077060C">
              <w:rPr>
                <w:szCs w:val="28"/>
              </w:rPr>
              <w:t>pieslēgumi</w:t>
            </w:r>
            <w:proofErr w:type="spellEnd"/>
            <w:r w:rsidRPr="0077060C">
              <w:rPr>
                <w:szCs w:val="28"/>
              </w:rPr>
              <w:t xml:space="preserve">, sistēmas tarifa atbalsts) </w:t>
            </w:r>
          </w:p>
        </w:tc>
        <w:tc>
          <w:tcPr>
            <w:tcW w:w="2479" w:type="dxa"/>
            <w:tcBorders>
              <w:top w:val="dashSmallGap" w:sz="4" w:space="0" w:color="auto"/>
              <w:left w:val="single" w:sz="12" w:space="0" w:color="auto"/>
              <w:bottom w:val="dashSmallGap" w:sz="4" w:space="0" w:color="auto"/>
              <w:right w:val="single" w:sz="12" w:space="0" w:color="auto"/>
            </w:tcBorders>
            <w:shd w:val="clear" w:color="auto" w:fill="auto"/>
            <w:vAlign w:val="center"/>
          </w:tcPr>
          <w:p w14:paraId="19E075F1" w14:textId="77777777" w:rsidR="00EF35DF" w:rsidRPr="0077060C" w:rsidRDefault="00EF35DF" w:rsidP="00F82132">
            <w:pPr>
              <w:spacing w:after="0" w:line="240" w:lineRule="auto"/>
              <w:jc w:val="center"/>
              <w:rPr>
                <w:szCs w:val="28"/>
              </w:rPr>
            </w:pPr>
            <w:r>
              <w:rPr>
                <w:szCs w:val="28"/>
              </w:rPr>
              <w:t>1 259 723</w:t>
            </w:r>
          </w:p>
        </w:tc>
      </w:tr>
      <w:tr w:rsidR="00EF35DF" w:rsidRPr="009B40C6" w14:paraId="0F374402" w14:textId="77777777" w:rsidTr="00EF35DF">
        <w:trPr>
          <w:trHeight w:val="345"/>
        </w:trPr>
        <w:tc>
          <w:tcPr>
            <w:tcW w:w="5797" w:type="dxa"/>
            <w:tcBorders>
              <w:top w:val="dashSmallGap" w:sz="4" w:space="0" w:color="auto"/>
              <w:left w:val="single" w:sz="12" w:space="0" w:color="auto"/>
              <w:bottom w:val="dashSmallGap" w:sz="4" w:space="0" w:color="auto"/>
              <w:right w:val="single" w:sz="12" w:space="0" w:color="auto"/>
            </w:tcBorders>
            <w:shd w:val="clear" w:color="auto" w:fill="auto"/>
            <w:vAlign w:val="bottom"/>
          </w:tcPr>
          <w:p w14:paraId="0CE2AE6D" w14:textId="77777777" w:rsidR="00EF35DF" w:rsidRPr="0077060C" w:rsidRDefault="00EF35DF" w:rsidP="00F82132">
            <w:pPr>
              <w:spacing w:after="0" w:line="240" w:lineRule="auto"/>
              <w:jc w:val="left"/>
              <w:rPr>
                <w:szCs w:val="28"/>
              </w:rPr>
            </w:pPr>
            <w:r w:rsidRPr="0077060C">
              <w:rPr>
                <w:szCs w:val="28"/>
              </w:rPr>
              <w:t>Aizsarg</w:t>
            </w:r>
            <w:r>
              <w:rPr>
                <w:szCs w:val="28"/>
              </w:rPr>
              <w:t>ātie lietotāji (bērni līdz 24, iesk. PVN)</w:t>
            </w:r>
          </w:p>
        </w:tc>
        <w:tc>
          <w:tcPr>
            <w:tcW w:w="2479" w:type="dxa"/>
            <w:tcBorders>
              <w:top w:val="dashSmallGap" w:sz="4" w:space="0" w:color="auto"/>
              <w:left w:val="single" w:sz="12" w:space="0" w:color="auto"/>
              <w:bottom w:val="dashSmallGap" w:sz="4" w:space="0" w:color="auto"/>
              <w:right w:val="single" w:sz="12" w:space="0" w:color="auto"/>
            </w:tcBorders>
            <w:shd w:val="clear" w:color="auto" w:fill="auto"/>
            <w:vAlign w:val="center"/>
          </w:tcPr>
          <w:p w14:paraId="6F4A449E" w14:textId="77777777" w:rsidR="00EF35DF" w:rsidRPr="0077060C" w:rsidRDefault="00EF35DF" w:rsidP="00F82132">
            <w:pPr>
              <w:spacing w:after="0" w:line="240" w:lineRule="auto"/>
              <w:jc w:val="center"/>
              <w:rPr>
                <w:szCs w:val="28"/>
              </w:rPr>
            </w:pPr>
            <w:r>
              <w:rPr>
                <w:szCs w:val="28"/>
              </w:rPr>
              <w:t>0</w:t>
            </w:r>
          </w:p>
        </w:tc>
      </w:tr>
      <w:tr w:rsidR="00EF35DF" w:rsidRPr="009B40C6" w14:paraId="79B0B383" w14:textId="77777777" w:rsidTr="00EF35DF">
        <w:trPr>
          <w:trHeight w:val="435"/>
        </w:trPr>
        <w:tc>
          <w:tcPr>
            <w:tcW w:w="5797" w:type="dxa"/>
            <w:tcBorders>
              <w:top w:val="dashSmallGap" w:sz="4" w:space="0" w:color="auto"/>
              <w:left w:val="single" w:sz="12" w:space="0" w:color="auto"/>
              <w:bottom w:val="single" w:sz="12" w:space="0" w:color="auto"/>
              <w:right w:val="single" w:sz="12" w:space="0" w:color="auto"/>
            </w:tcBorders>
            <w:shd w:val="clear" w:color="auto" w:fill="auto"/>
            <w:vAlign w:val="bottom"/>
          </w:tcPr>
          <w:p w14:paraId="5638B5B3" w14:textId="77777777" w:rsidR="00EF35DF" w:rsidRPr="0077060C" w:rsidRDefault="00EF35DF" w:rsidP="00F82132">
            <w:pPr>
              <w:spacing w:after="0" w:line="240" w:lineRule="auto"/>
              <w:jc w:val="left"/>
              <w:rPr>
                <w:szCs w:val="28"/>
              </w:rPr>
            </w:pPr>
            <w:r w:rsidRPr="0077060C">
              <w:rPr>
                <w:szCs w:val="28"/>
              </w:rPr>
              <w:t>Aizsargātie lietotāji (bērni ar invaliditāti</w:t>
            </w:r>
            <w:r>
              <w:rPr>
                <w:szCs w:val="28"/>
              </w:rPr>
              <w:t>, iesk. PVN)</w:t>
            </w:r>
          </w:p>
        </w:tc>
        <w:tc>
          <w:tcPr>
            <w:tcW w:w="2479"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89F7DFA" w14:textId="77777777" w:rsidR="00EF35DF" w:rsidRPr="0077060C" w:rsidRDefault="00EF35DF" w:rsidP="00F82132">
            <w:pPr>
              <w:spacing w:after="0" w:line="240" w:lineRule="auto"/>
              <w:jc w:val="center"/>
              <w:rPr>
                <w:szCs w:val="28"/>
              </w:rPr>
            </w:pPr>
            <w:r>
              <w:rPr>
                <w:szCs w:val="28"/>
              </w:rPr>
              <w:t>523 635</w:t>
            </w:r>
          </w:p>
        </w:tc>
      </w:tr>
      <w:tr w:rsidR="00EF35DF" w:rsidRPr="009B40C6" w14:paraId="2B863347" w14:textId="77777777" w:rsidTr="00EF35DF">
        <w:trPr>
          <w:trHeight w:val="435"/>
        </w:trPr>
        <w:tc>
          <w:tcPr>
            <w:tcW w:w="5797" w:type="dxa"/>
            <w:tcBorders>
              <w:top w:val="single" w:sz="12" w:space="0" w:color="auto"/>
              <w:left w:val="single" w:sz="12" w:space="0" w:color="auto"/>
              <w:bottom w:val="single" w:sz="12" w:space="0" w:color="auto"/>
              <w:right w:val="single" w:sz="12" w:space="0" w:color="auto"/>
            </w:tcBorders>
            <w:shd w:val="clear" w:color="auto" w:fill="auto"/>
            <w:vAlign w:val="center"/>
          </w:tcPr>
          <w:p w14:paraId="0AE3A4AD" w14:textId="77777777" w:rsidR="00EF35DF" w:rsidRPr="00EF35DF" w:rsidRDefault="00EF35DF" w:rsidP="00F82132">
            <w:pPr>
              <w:spacing w:after="0" w:line="240" w:lineRule="auto"/>
              <w:jc w:val="center"/>
              <w:rPr>
                <w:b/>
                <w:szCs w:val="28"/>
              </w:rPr>
            </w:pPr>
            <w:r w:rsidRPr="00EF35DF">
              <w:rPr>
                <w:b/>
                <w:szCs w:val="28"/>
              </w:rPr>
              <w:t>Kopā, t.sk. PVN</w:t>
            </w:r>
          </w:p>
        </w:tc>
        <w:tc>
          <w:tcPr>
            <w:tcW w:w="2479" w:type="dxa"/>
            <w:tcBorders>
              <w:top w:val="single" w:sz="12" w:space="0" w:color="auto"/>
              <w:left w:val="single" w:sz="12" w:space="0" w:color="auto"/>
              <w:bottom w:val="single" w:sz="12" w:space="0" w:color="auto"/>
              <w:right w:val="single" w:sz="12" w:space="0" w:color="auto"/>
            </w:tcBorders>
            <w:shd w:val="clear" w:color="auto" w:fill="auto"/>
            <w:vAlign w:val="center"/>
          </w:tcPr>
          <w:p w14:paraId="5A312C88" w14:textId="77777777" w:rsidR="00EF35DF" w:rsidRPr="00EF35DF" w:rsidRDefault="00EF35DF" w:rsidP="00F82132">
            <w:pPr>
              <w:spacing w:after="0" w:line="240" w:lineRule="auto"/>
              <w:jc w:val="center"/>
              <w:rPr>
                <w:b/>
                <w:szCs w:val="28"/>
              </w:rPr>
            </w:pPr>
            <w:r w:rsidRPr="00EF35DF">
              <w:rPr>
                <w:b/>
                <w:szCs w:val="28"/>
              </w:rPr>
              <w:t>6 647 343</w:t>
            </w:r>
          </w:p>
        </w:tc>
      </w:tr>
    </w:tbl>
    <w:p w14:paraId="5669E469" w14:textId="77777777" w:rsidR="0008141D" w:rsidRPr="0098795F" w:rsidDel="006D5705" w:rsidRDefault="0008141D" w:rsidP="00CB1871">
      <w:pPr>
        <w:spacing w:after="0" w:line="240" w:lineRule="auto"/>
        <w:rPr>
          <w:szCs w:val="24"/>
        </w:rPr>
      </w:pPr>
    </w:p>
    <w:p w14:paraId="376C8422" w14:textId="77777777" w:rsidR="00A16AF6" w:rsidRDefault="00A16AF6" w:rsidP="00A16AF6">
      <w:pPr>
        <w:pStyle w:val="Heading1"/>
        <w:numPr>
          <w:ilvl w:val="0"/>
          <w:numId w:val="1"/>
        </w:numPr>
        <w:spacing w:after="120" w:line="276" w:lineRule="auto"/>
        <w:ind w:left="357" w:hanging="357"/>
      </w:pPr>
      <w:bookmarkStart w:id="13" w:name="_Toc459890617"/>
      <w:r>
        <w:t>Līdzekļi atbalsta finansēšanai</w:t>
      </w:r>
      <w:bookmarkEnd w:id="13"/>
    </w:p>
    <w:p w14:paraId="5915ED15" w14:textId="77777777" w:rsidR="00A16AF6" w:rsidRPr="00F45744" w:rsidRDefault="00A16AF6" w:rsidP="00F45744">
      <w:pPr>
        <w:pStyle w:val="Heading2"/>
        <w:numPr>
          <w:ilvl w:val="1"/>
          <w:numId w:val="1"/>
        </w:numPr>
        <w:ind w:left="0" w:firstLine="0"/>
        <w:rPr>
          <w:rFonts w:ascii="Times New Roman" w:hAnsi="Times New Roman" w:cs="Times New Roman"/>
          <w:b/>
          <w:color w:val="auto"/>
          <w:sz w:val="32"/>
          <w:szCs w:val="28"/>
        </w:rPr>
      </w:pPr>
      <w:bookmarkStart w:id="14" w:name="_Toc459890618"/>
      <w:r w:rsidRPr="00F45744">
        <w:rPr>
          <w:rFonts w:ascii="Times New Roman" w:hAnsi="Times New Roman" w:cs="Times New Roman"/>
          <w:b/>
          <w:color w:val="auto"/>
          <w:sz w:val="32"/>
          <w:szCs w:val="28"/>
        </w:rPr>
        <w:t xml:space="preserve">AS “Latvenergo” darbības </w:t>
      </w:r>
      <w:proofErr w:type="spellStart"/>
      <w:r w:rsidRPr="00F45744">
        <w:rPr>
          <w:rFonts w:ascii="Times New Roman" w:hAnsi="Times New Roman" w:cs="Times New Roman"/>
          <w:b/>
          <w:color w:val="auto"/>
          <w:sz w:val="32"/>
          <w:szCs w:val="28"/>
        </w:rPr>
        <w:t>izvērtējums</w:t>
      </w:r>
      <w:proofErr w:type="spellEnd"/>
      <w:r w:rsidR="0046188F">
        <w:rPr>
          <w:rFonts w:ascii="Times New Roman" w:hAnsi="Times New Roman" w:cs="Times New Roman"/>
          <w:b/>
          <w:color w:val="auto"/>
          <w:sz w:val="32"/>
          <w:szCs w:val="28"/>
        </w:rPr>
        <w:t xml:space="preserve"> un </w:t>
      </w:r>
      <w:r w:rsidR="006356C1">
        <w:rPr>
          <w:rFonts w:ascii="Times New Roman" w:hAnsi="Times New Roman" w:cs="Times New Roman"/>
          <w:b/>
          <w:color w:val="auto"/>
          <w:sz w:val="32"/>
          <w:szCs w:val="28"/>
        </w:rPr>
        <w:t>hipotētisku</w:t>
      </w:r>
      <w:r w:rsidR="0046188F">
        <w:rPr>
          <w:rFonts w:ascii="Times New Roman" w:hAnsi="Times New Roman" w:cs="Times New Roman"/>
          <w:b/>
          <w:color w:val="auto"/>
          <w:sz w:val="32"/>
          <w:szCs w:val="28"/>
        </w:rPr>
        <w:t xml:space="preserve"> jaudas maksājumu regulējuma izmaiņu ietekme</w:t>
      </w:r>
      <w:bookmarkEnd w:id="14"/>
    </w:p>
    <w:p w14:paraId="39352B93" w14:textId="77777777" w:rsidR="00CC7F88" w:rsidRPr="00F45744" w:rsidRDefault="00CC7F88" w:rsidP="00BF45DB">
      <w:pPr>
        <w:pStyle w:val="Heading3"/>
        <w:numPr>
          <w:ilvl w:val="2"/>
          <w:numId w:val="1"/>
        </w:numPr>
        <w:tabs>
          <w:tab w:val="left" w:pos="709"/>
        </w:tabs>
        <w:ind w:left="0" w:firstLine="0"/>
        <w:rPr>
          <w:rFonts w:ascii="Times New Roman" w:hAnsi="Times New Roman" w:cs="Times New Roman"/>
          <w:b/>
          <w:color w:val="auto"/>
          <w:sz w:val="28"/>
          <w:szCs w:val="32"/>
        </w:rPr>
      </w:pPr>
      <w:bookmarkStart w:id="15" w:name="_Toc459890619"/>
      <w:r w:rsidRPr="00CC7F88">
        <w:rPr>
          <w:rFonts w:ascii="Times New Roman" w:hAnsi="Times New Roman" w:cs="Times New Roman"/>
          <w:b/>
          <w:color w:val="auto"/>
          <w:sz w:val="28"/>
          <w:szCs w:val="32"/>
        </w:rPr>
        <w:t xml:space="preserve">AS “Latvenergo” darbības </w:t>
      </w:r>
      <w:proofErr w:type="spellStart"/>
      <w:r w:rsidRPr="00CC7F88">
        <w:rPr>
          <w:rFonts w:ascii="Times New Roman" w:hAnsi="Times New Roman" w:cs="Times New Roman"/>
          <w:b/>
          <w:color w:val="auto"/>
          <w:sz w:val="28"/>
          <w:szCs w:val="32"/>
        </w:rPr>
        <w:t>izvērtējums</w:t>
      </w:r>
      <w:bookmarkEnd w:id="15"/>
      <w:proofErr w:type="spellEnd"/>
      <w:r>
        <w:rPr>
          <w:rFonts w:ascii="Times New Roman" w:hAnsi="Times New Roman" w:cs="Times New Roman"/>
          <w:b/>
          <w:color w:val="auto"/>
          <w:sz w:val="28"/>
          <w:szCs w:val="32"/>
        </w:rPr>
        <w:t xml:space="preserve"> </w:t>
      </w:r>
    </w:p>
    <w:p w14:paraId="47D5844A" w14:textId="77777777" w:rsidR="00480726" w:rsidRDefault="00480726" w:rsidP="00480726">
      <w:pPr>
        <w:spacing w:after="0" w:line="240" w:lineRule="auto"/>
        <w:ind w:firstLine="851"/>
        <w:rPr>
          <w:sz w:val="28"/>
          <w:szCs w:val="28"/>
        </w:rPr>
      </w:pPr>
      <w:r w:rsidRPr="00C83662">
        <w:rPr>
          <w:sz w:val="28"/>
          <w:szCs w:val="28"/>
        </w:rPr>
        <w:t xml:space="preserve">Saskaņā </w:t>
      </w:r>
      <w:r>
        <w:rPr>
          <w:sz w:val="28"/>
          <w:szCs w:val="28"/>
        </w:rPr>
        <w:t>ar Komerclikuma 19.</w:t>
      </w:r>
      <w:r w:rsidR="002B556F">
        <w:rPr>
          <w:sz w:val="28"/>
          <w:szCs w:val="28"/>
        </w:rPr>
        <w:t> </w:t>
      </w:r>
      <w:r>
        <w:rPr>
          <w:sz w:val="28"/>
          <w:szCs w:val="28"/>
        </w:rPr>
        <w:t>pantu un Informācijas atklātības likuma 5.</w:t>
      </w:r>
      <w:r w:rsidR="002B556F">
        <w:rPr>
          <w:sz w:val="28"/>
          <w:szCs w:val="28"/>
        </w:rPr>
        <w:t> </w:t>
      </w:r>
      <w:r>
        <w:rPr>
          <w:sz w:val="28"/>
          <w:szCs w:val="28"/>
        </w:rPr>
        <w:t>pantu informācija par AS “Latvenergo” koncerna darbības finanšu rādītājiem ir uzskatāma par ierobežotas pieejamības informāciju. Vienlaikus, šī konceptuālā ziņojuma vajadzībām var atzīmēt, ka 2015. gadā AS “Latvenergo” koncerns veiksmīgi ir saglabājis elektroenerģijas pārdošanas līdera pozīcijas Baltijas tirgū un tā peļņa par 27% ir pārsniegusi plānoto. Tādējādi, šobrīd nav pamata bažām par AS “Latvenergo” dividenžu pārvirzīšanu OIK saglabāšanai 26,79 EUR/</w:t>
      </w:r>
      <w:proofErr w:type="spellStart"/>
      <w:r>
        <w:rPr>
          <w:sz w:val="28"/>
          <w:szCs w:val="28"/>
        </w:rPr>
        <w:t>MWh</w:t>
      </w:r>
      <w:proofErr w:type="spellEnd"/>
      <w:r>
        <w:rPr>
          <w:sz w:val="28"/>
          <w:szCs w:val="28"/>
        </w:rPr>
        <w:t xml:space="preserve"> apmērā saskaņā ar vidēja termiņa budžeta ietvarā 2016.-2018.gadam nolemto.</w:t>
      </w:r>
    </w:p>
    <w:p w14:paraId="6540D536" w14:textId="77777777" w:rsidR="00BF45DB" w:rsidRDefault="00BF45DB" w:rsidP="00480726">
      <w:pPr>
        <w:spacing w:after="0" w:line="240" w:lineRule="auto"/>
        <w:ind w:firstLine="851"/>
        <w:rPr>
          <w:sz w:val="28"/>
          <w:szCs w:val="28"/>
        </w:rPr>
      </w:pPr>
    </w:p>
    <w:p w14:paraId="034059A7" w14:textId="77777777" w:rsidR="0046188F" w:rsidRPr="00BF45DB" w:rsidRDefault="0046188F" w:rsidP="00BF45DB">
      <w:pPr>
        <w:pStyle w:val="Heading3"/>
        <w:numPr>
          <w:ilvl w:val="2"/>
          <w:numId w:val="1"/>
        </w:numPr>
        <w:tabs>
          <w:tab w:val="left" w:pos="709"/>
        </w:tabs>
        <w:spacing w:after="100" w:afterAutospacing="1" w:line="240" w:lineRule="auto"/>
        <w:ind w:left="0" w:firstLine="0"/>
        <w:rPr>
          <w:rFonts w:ascii="Times New Roman" w:hAnsi="Times New Roman" w:cs="Times New Roman"/>
          <w:b/>
          <w:color w:val="auto"/>
          <w:sz w:val="28"/>
          <w:szCs w:val="32"/>
        </w:rPr>
      </w:pPr>
      <w:bookmarkStart w:id="16" w:name="_Toc459890620"/>
      <w:r>
        <w:rPr>
          <w:rFonts w:ascii="Times New Roman" w:hAnsi="Times New Roman" w:cs="Times New Roman"/>
          <w:b/>
          <w:color w:val="auto"/>
          <w:sz w:val="28"/>
          <w:szCs w:val="32"/>
        </w:rPr>
        <w:t>Minimālā darba stundu skaita ierobežojuma atcelšana</w:t>
      </w:r>
      <w:r w:rsidR="00BB5C8B">
        <w:rPr>
          <w:rFonts w:ascii="Times New Roman" w:hAnsi="Times New Roman" w:cs="Times New Roman"/>
          <w:b/>
          <w:color w:val="auto"/>
          <w:sz w:val="28"/>
          <w:szCs w:val="32"/>
        </w:rPr>
        <w:t xml:space="preserve"> </w:t>
      </w:r>
      <w:r w:rsidR="00BF45DB" w:rsidRPr="00BF45DB">
        <w:rPr>
          <w:rFonts w:ascii="Times New Roman" w:hAnsi="Times New Roman" w:cs="Times New Roman"/>
          <w:b/>
          <w:color w:val="auto"/>
          <w:sz w:val="28"/>
          <w:szCs w:val="32"/>
        </w:rPr>
        <w:t xml:space="preserve">dabasgāzes </w:t>
      </w:r>
      <w:r w:rsidR="00BB5C8B" w:rsidRPr="00BF45DB">
        <w:rPr>
          <w:rFonts w:ascii="Times New Roman" w:hAnsi="Times New Roman" w:cs="Times New Roman"/>
          <w:b/>
          <w:color w:val="auto"/>
          <w:sz w:val="28"/>
          <w:szCs w:val="32"/>
        </w:rPr>
        <w:t>koģenerācijas elektrostacijām</w:t>
      </w:r>
      <w:r w:rsidR="00BF45DB" w:rsidRPr="00BF45DB">
        <w:rPr>
          <w:rFonts w:ascii="Times New Roman" w:hAnsi="Times New Roman" w:cs="Times New Roman"/>
          <w:b/>
          <w:color w:val="auto"/>
          <w:sz w:val="28"/>
          <w:szCs w:val="32"/>
        </w:rPr>
        <w:t>, kuras saņem jaudas maksājumu</w:t>
      </w:r>
      <w:bookmarkEnd w:id="16"/>
    </w:p>
    <w:p w14:paraId="56BC17C2" w14:textId="77777777" w:rsidR="00033914" w:rsidRPr="00033914" w:rsidRDefault="00033914" w:rsidP="00033914">
      <w:pPr>
        <w:spacing w:after="120" w:line="240" w:lineRule="auto"/>
        <w:ind w:firstLine="709"/>
        <w:rPr>
          <w:rFonts w:cs="Times New Roman"/>
          <w:sz w:val="28"/>
          <w:szCs w:val="28"/>
        </w:rPr>
      </w:pPr>
      <w:r w:rsidRPr="00033914">
        <w:rPr>
          <w:rFonts w:cs="Times New Roman"/>
          <w:sz w:val="28"/>
          <w:szCs w:val="28"/>
        </w:rPr>
        <w:t xml:space="preserve">2015. gada 31. augustā Ministru kabinetā izskatītajā konceptuālajā ziņojumā “Kompleksi pasākumi elektroenerģijas tirgus attīstībai” tika paredzēts izvērtēt esošā jaudas maksājumu regulējuma izmaiņas koģenerācijas stacijām, kuras kā kurināmo izmanto dabasgāzi, un kuru uzstādītā elektriskā jauda pārsniedz 4 MW, atsakoties no prasības obligātas uzstādītās jaudas izmantošanas 1200 stundu gadā, bet vienlaikus daloties ar iespējamiem papildu ieņēmumiem no elektroenerģijas pārdošanas tirgū, sākot ar pirmo </w:t>
      </w:r>
      <w:proofErr w:type="spellStart"/>
      <w:r w:rsidRPr="00033914">
        <w:rPr>
          <w:rFonts w:cs="Times New Roman"/>
          <w:sz w:val="28"/>
          <w:szCs w:val="28"/>
        </w:rPr>
        <w:t>kWh</w:t>
      </w:r>
      <w:proofErr w:type="spellEnd"/>
      <w:r w:rsidRPr="00033914">
        <w:rPr>
          <w:rFonts w:cs="Times New Roman"/>
          <w:sz w:val="28"/>
          <w:szCs w:val="28"/>
        </w:rPr>
        <w:t xml:space="preserve">, tādā veidā samazinot maksājamo jaudas komponenti. </w:t>
      </w:r>
    </w:p>
    <w:p w14:paraId="08E8613F" w14:textId="77777777" w:rsidR="00033914" w:rsidRPr="00033914" w:rsidRDefault="00033914" w:rsidP="00033914">
      <w:pPr>
        <w:spacing w:after="120" w:line="240" w:lineRule="auto"/>
        <w:ind w:firstLine="709"/>
        <w:rPr>
          <w:rFonts w:cs="Times New Roman"/>
          <w:sz w:val="28"/>
          <w:szCs w:val="28"/>
        </w:rPr>
      </w:pPr>
      <w:r w:rsidRPr="00033914">
        <w:rPr>
          <w:rFonts w:cs="Times New Roman"/>
          <w:sz w:val="28"/>
          <w:szCs w:val="28"/>
        </w:rPr>
        <w:t xml:space="preserve">Esošā jaudas maksājumu regulējums paredz, ka koģenerācijas stacijām ir obligāti jānodrošina uzstādītās jaudas izmantošana 1200 stundas gadā, kuru laikā ražotājs pilnībā uzņemas mainīgo izmaksu (galvenokārt </w:t>
      </w:r>
      <w:r w:rsidRPr="00033914">
        <w:rPr>
          <w:rFonts w:cs="Times New Roman"/>
          <w:sz w:val="28"/>
          <w:szCs w:val="28"/>
        </w:rPr>
        <w:lastRenderedPageBreak/>
        <w:t>kurināmā) riskus, proti, pat ja kurināmā izmaksas pārsniedz elektroenerģijas tirgus cenu un elektroenerģijas ražošana no elektroenerģijas tirgus viedokļa nav nepieciešama, 1200 stundu nosacījums uzliek ražotājam par pienākumu obligāti ražot elektroenerģiju. Savukārt, situācijā, kad elektroenerģijas cenas tirgū ir augstākas par ražošanas mainīgajām izmaksām, ražotājs gūst papildus ienākumus. Regulējums arī nosaka, ka pēc koģenerācijā saražotām un sistēmā nodotā elektroenerģijas apjoma, kas atbilst 1200 stundām gadā, ražotājam ir jāuzsāk dalīšanās ar potenciālo papildus peļņu 75% apmērā, efektīvi mazinot jaudas komponentes maksājumus.</w:t>
      </w:r>
    </w:p>
    <w:p w14:paraId="55E76A5A" w14:textId="77777777" w:rsidR="00033914" w:rsidRPr="00BF45DB" w:rsidRDefault="00033914" w:rsidP="00033914">
      <w:pPr>
        <w:spacing w:after="120" w:line="240" w:lineRule="auto"/>
        <w:ind w:firstLine="709"/>
        <w:rPr>
          <w:sz w:val="28"/>
          <w:szCs w:val="28"/>
        </w:rPr>
      </w:pPr>
      <w:r w:rsidRPr="00033914">
        <w:rPr>
          <w:rFonts w:cs="Times New Roman"/>
          <w:sz w:val="28"/>
          <w:szCs w:val="28"/>
        </w:rPr>
        <w:t xml:space="preserve">Līdzšinējā regulējuma piemērošanas prakse uzrāda tendenci, ka ražotāji izvēlas apturēt ražošanas jaudas pēc 1200 obligāto stundu sasniegšanas un atsāk ražošanu, atsākoties atskaites periodam. Ja ražotājiem atceltu prasību obligātas uzstādītās jaudas izmantošanai 1200 stundu gadā, kas izriet arī no saskaņošanā esošā valsts atbalsta mehānisma - elektroenerģijas </w:t>
      </w:r>
      <w:r w:rsidR="00E52784">
        <w:rPr>
          <w:rFonts w:cs="Times New Roman"/>
          <w:sz w:val="28"/>
          <w:szCs w:val="28"/>
        </w:rPr>
        <w:t>OI</w:t>
      </w:r>
      <w:r w:rsidRPr="00033914">
        <w:rPr>
          <w:rFonts w:cs="Times New Roman"/>
          <w:sz w:val="28"/>
          <w:szCs w:val="28"/>
        </w:rPr>
        <w:t xml:space="preserve"> (izteikts jaudas maksājuma veidā), tad Ekonomikas ministrijas vērtējumā, ražotāji pārtrauktu ražot elektroenerģiju, kā rezultātā sagaidāmais ieguvums jaudas maksājumu mazināšanai būtu nulle, proti, </w:t>
      </w:r>
      <w:r w:rsidRPr="00BF45DB">
        <w:rPr>
          <w:rFonts w:cs="Times New Roman"/>
          <w:sz w:val="28"/>
          <w:szCs w:val="28"/>
        </w:rPr>
        <w:t xml:space="preserve">ražotājiem tiktu maksāts jaudas maksājums pilnā apjomā, bet tie neveiktu elektroenerģijas ražošanu. Papildus minētās regulējuma izmaiņas būtu jāsaskaņo ar </w:t>
      </w:r>
      <w:r w:rsidRPr="00BF45DB">
        <w:rPr>
          <w:sz w:val="28"/>
          <w:szCs w:val="28"/>
        </w:rPr>
        <w:t xml:space="preserve">EK valsts atbalsta lietas SA.37970 (2013/PN) - </w:t>
      </w:r>
      <w:r w:rsidRPr="00BF45DB">
        <w:rPr>
          <w:i/>
          <w:sz w:val="28"/>
          <w:szCs w:val="28"/>
        </w:rPr>
        <w:t>Atbalsts enerģijas ražotājiem</w:t>
      </w:r>
      <w:r w:rsidRPr="00BF45DB">
        <w:rPr>
          <w:sz w:val="28"/>
          <w:szCs w:val="28"/>
        </w:rPr>
        <w:t xml:space="preserve"> ietvaros.</w:t>
      </w:r>
    </w:p>
    <w:p w14:paraId="29E7EEF1" w14:textId="77777777" w:rsidR="00033914" w:rsidRPr="00BF45DB" w:rsidRDefault="00033914" w:rsidP="00033914">
      <w:pPr>
        <w:spacing w:after="0" w:line="240" w:lineRule="auto"/>
        <w:ind w:firstLine="851"/>
        <w:rPr>
          <w:sz w:val="28"/>
          <w:szCs w:val="28"/>
        </w:rPr>
      </w:pPr>
      <w:r w:rsidRPr="00BF45DB">
        <w:rPr>
          <w:sz w:val="28"/>
          <w:szCs w:val="28"/>
        </w:rPr>
        <w:t xml:space="preserve">Līdz ar to minimālā darba stundu skaita ierobežojuma atcelšana nav pamatota un šādas </w:t>
      </w:r>
      <w:r w:rsidRPr="00BF45DB">
        <w:rPr>
          <w:rFonts w:cs="Times New Roman"/>
          <w:sz w:val="28"/>
          <w:szCs w:val="28"/>
        </w:rPr>
        <w:t xml:space="preserve">jaudas maksājumu regulējuma izmaiņas </w:t>
      </w:r>
      <w:r w:rsidRPr="00BF45DB">
        <w:rPr>
          <w:sz w:val="28"/>
          <w:szCs w:val="28"/>
        </w:rPr>
        <w:t xml:space="preserve">nav atbalstāmas. </w:t>
      </w:r>
    </w:p>
    <w:p w14:paraId="41C64AC6" w14:textId="77777777" w:rsidR="0046188F" w:rsidRPr="00BF45DB" w:rsidRDefault="0046188F" w:rsidP="00480726">
      <w:pPr>
        <w:spacing w:after="0" w:line="240" w:lineRule="auto"/>
        <w:ind w:firstLine="851"/>
        <w:rPr>
          <w:sz w:val="28"/>
          <w:szCs w:val="28"/>
        </w:rPr>
      </w:pPr>
    </w:p>
    <w:p w14:paraId="6F2F62BF" w14:textId="77777777" w:rsidR="000951E0" w:rsidRPr="00BF45DB" w:rsidRDefault="00CC7F88" w:rsidP="000951E0">
      <w:pPr>
        <w:pStyle w:val="Heading3"/>
        <w:numPr>
          <w:ilvl w:val="2"/>
          <w:numId w:val="1"/>
        </w:numPr>
        <w:tabs>
          <w:tab w:val="left" w:pos="709"/>
        </w:tabs>
        <w:ind w:left="0" w:firstLine="0"/>
        <w:rPr>
          <w:rFonts w:ascii="Times New Roman" w:hAnsi="Times New Roman" w:cs="Times New Roman"/>
          <w:b/>
          <w:color w:val="auto"/>
          <w:sz w:val="28"/>
          <w:szCs w:val="32"/>
        </w:rPr>
      </w:pPr>
      <w:bookmarkStart w:id="17" w:name="_Toc459890621"/>
      <w:r w:rsidRPr="00BF45DB">
        <w:rPr>
          <w:rFonts w:ascii="Times New Roman" w:hAnsi="Times New Roman" w:cs="Times New Roman"/>
          <w:b/>
          <w:color w:val="auto"/>
          <w:sz w:val="28"/>
          <w:szCs w:val="32"/>
        </w:rPr>
        <w:t>D</w:t>
      </w:r>
      <w:r w:rsidR="004E1081" w:rsidRPr="00BF45DB">
        <w:rPr>
          <w:rFonts w:ascii="Times New Roman" w:hAnsi="Times New Roman" w:cs="Times New Roman"/>
          <w:b/>
          <w:color w:val="auto"/>
          <w:sz w:val="28"/>
          <w:szCs w:val="32"/>
        </w:rPr>
        <w:t xml:space="preserve">abasgāzes koģenerācijas </w:t>
      </w:r>
      <w:r w:rsidRPr="00BF45DB">
        <w:rPr>
          <w:rFonts w:ascii="Times New Roman" w:hAnsi="Times New Roman" w:cs="Times New Roman"/>
          <w:b/>
          <w:color w:val="auto"/>
          <w:sz w:val="28"/>
          <w:szCs w:val="32"/>
        </w:rPr>
        <w:t xml:space="preserve">elektrostaciju </w:t>
      </w:r>
      <w:r w:rsidR="004E1081" w:rsidRPr="00BF45DB">
        <w:rPr>
          <w:rFonts w:ascii="Times New Roman" w:hAnsi="Times New Roman" w:cs="Times New Roman"/>
          <w:b/>
          <w:color w:val="auto"/>
          <w:sz w:val="28"/>
          <w:szCs w:val="32"/>
        </w:rPr>
        <w:t>ar uzstādīto elektrisko jaudu virs 100</w:t>
      </w:r>
      <w:r w:rsidRPr="00BF45DB">
        <w:rPr>
          <w:rFonts w:ascii="Times New Roman" w:hAnsi="Times New Roman" w:cs="Times New Roman"/>
          <w:b/>
          <w:color w:val="auto"/>
          <w:sz w:val="28"/>
          <w:szCs w:val="32"/>
        </w:rPr>
        <w:t> </w:t>
      </w:r>
      <w:r w:rsidR="004E1081" w:rsidRPr="00BF45DB">
        <w:rPr>
          <w:rFonts w:ascii="Times New Roman" w:hAnsi="Times New Roman" w:cs="Times New Roman"/>
          <w:b/>
          <w:color w:val="auto"/>
          <w:sz w:val="28"/>
          <w:szCs w:val="32"/>
        </w:rPr>
        <w:t>MW</w:t>
      </w:r>
      <w:r w:rsidRPr="00BF45DB">
        <w:rPr>
          <w:rFonts w:ascii="Times New Roman" w:hAnsi="Times New Roman" w:cs="Times New Roman"/>
          <w:b/>
          <w:color w:val="auto"/>
          <w:sz w:val="28"/>
          <w:szCs w:val="32"/>
        </w:rPr>
        <w:t xml:space="preserve"> atbalsta ietekme uz elektroenerģijas tirgu</w:t>
      </w:r>
      <w:bookmarkEnd w:id="17"/>
    </w:p>
    <w:p w14:paraId="07EC2AE8" w14:textId="3EB56D3B" w:rsidR="00F82132" w:rsidRDefault="007E6709" w:rsidP="00F82132">
      <w:pPr>
        <w:spacing w:after="120" w:line="240" w:lineRule="auto"/>
        <w:ind w:firstLine="709"/>
        <w:rPr>
          <w:rFonts w:cs="Times New Roman"/>
          <w:sz w:val="28"/>
          <w:szCs w:val="28"/>
        </w:rPr>
      </w:pPr>
      <w:r w:rsidRPr="00F17D10">
        <w:rPr>
          <w:sz w:val="28"/>
        </w:rPr>
        <w:t>Ministru kabineta 201</w:t>
      </w:r>
      <w:r>
        <w:rPr>
          <w:sz w:val="28"/>
        </w:rPr>
        <w:t>6</w:t>
      </w:r>
      <w:r w:rsidRPr="00F17D10">
        <w:rPr>
          <w:sz w:val="28"/>
        </w:rPr>
        <w:t xml:space="preserve">. gada </w:t>
      </w:r>
      <w:r>
        <w:rPr>
          <w:sz w:val="28"/>
        </w:rPr>
        <w:t>5. jūlija</w:t>
      </w:r>
      <w:r w:rsidRPr="00F17D10">
        <w:rPr>
          <w:sz w:val="28"/>
        </w:rPr>
        <w:t xml:space="preserve"> </w:t>
      </w:r>
      <w:r>
        <w:rPr>
          <w:sz w:val="28"/>
        </w:rPr>
        <w:t xml:space="preserve">protokola Nr. 33. </w:t>
      </w:r>
      <w:r>
        <w:rPr>
          <w:sz w:val="28"/>
          <w:szCs w:val="28"/>
        </w:rPr>
        <w:t>29.§</w:t>
      </w:r>
      <w:r w:rsidRPr="006A448A">
        <w:rPr>
          <w:sz w:val="28"/>
          <w:szCs w:val="28"/>
        </w:rPr>
        <w:t xml:space="preserve"> </w:t>
      </w:r>
      <w:r>
        <w:rPr>
          <w:sz w:val="28"/>
          <w:szCs w:val="28"/>
        </w:rPr>
        <w:t>6</w:t>
      </w:r>
      <w:r w:rsidRPr="006A448A">
        <w:rPr>
          <w:sz w:val="28"/>
          <w:szCs w:val="28"/>
        </w:rPr>
        <w:t>.</w:t>
      </w:r>
      <w:r>
        <w:rPr>
          <w:sz w:val="28"/>
          <w:szCs w:val="28"/>
        </w:rPr>
        <w:t> </w:t>
      </w:r>
      <w:r w:rsidRPr="006A448A">
        <w:rPr>
          <w:sz w:val="28"/>
          <w:szCs w:val="28"/>
        </w:rPr>
        <w:t>punkts</w:t>
      </w:r>
      <w:r>
        <w:rPr>
          <w:sz w:val="28"/>
          <w:szCs w:val="28"/>
        </w:rPr>
        <w:t xml:space="preserve"> uzdod </w:t>
      </w:r>
      <w:r w:rsidR="00F82132" w:rsidRPr="00F82132">
        <w:rPr>
          <w:rFonts w:cs="Times New Roman"/>
          <w:sz w:val="28"/>
          <w:szCs w:val="28"/>
        </w:rPr>
        <w:t xml:space="preserve">Ekonomikas ministrijai sekot </w:t>
      </w:r>
      <w:r w:rsidR="00A8412E">
        <w:rPr>
          <w:rFonts w:cs="Times New Roman"/>
          <w:sz w:val="28"/>
          <w:szCs w:val="28"/>
        </w:rPr>
        <w:t xml:space="preserve">grozījumu MK noteikumos Nr.221 īstenošanas gaitai un </w:t>
      </w:r>
      <w:r w:rsidR="00F82132" w:rsidRPr="00F82132">
        <w:rPr>
          <w:rFonts w:cs="Times New Roman"/>
          <w:sz w:val="28"/>
          <w:szCs w:val="28"/>
        </w:rPr>
        <w:t xml:space="preserve">kopīgi ar iesaistītajām institūcijām un nozares nevalstiskajām organizācijām turpināt darbu elektroenerģijas </w:t>
      </w:r>
      <w:r w:rsidR="00C1568C">
        <w:rPr>
          <w:rFonts w:cs="Times New Roman"/>
          <w:sz w:val="28"/>
          <w:szCs w:val="28"/>
        </w:rPr>
        <w:t>OI</w:t>
      </w:r>
      <w:r w:rsidR="00F82132" w:rsidRPr="00F82132">
        <w:rPr>
          <w:rFonts w:cs="Times New Roman"/>
          <w:sz w:val="28"/>
          <w:szCs w:val="28"/>
        </w:rPr>
        <w:t xml:space="preserve"> sistēmas uzlabošanas priekšlikumu izstrādē.</w:t>
      </w:r>
    </w:p>
    <w:p w14:paraId="0A36C0F4" w14:textId="77777777" w:rsidR="007E6709" w:rsidRDefault="007E6709" w:rsidP="00F82132">
      <w:pPr>
        <w:spacing w:after="120" w:line="240" w:lineRule="auto"/>
        <w:ind w:firstLine="709"/>
        <w:rPr>
          <w:rFonts w:cs="Times New Roman"/>
          <w:sz w:val="28"/>
          <w:szCs w:val="28"/>
        </w:rPr>
      </w:pPr>
      <w:r>
        <w:rPr>
          <w:rFonts w:cs="Times New Roman"/>
          <w:sz w:val="28"/>
          <w:szCs w:val="28"/>
        </w:rPr>
        <w:t xml:space="preserve">Lielākais </w:t>
      </w:r>
      <w:r w:rsidR="0061441C">
        <w:rPr>
          <w:rFonts w:cs="Times New Roman"/>
          <w:sz w:val="28"/>
          <w:szCs w:val="28"/>
        </w:rPr>
        <w:t xml:space="preserve">īpatsvars </w:t>
      </w:r>
      <w:r w:rsidR="00C1568C">
        <w:rPr>
          <w:sz w:val="28"/>
          <w:szCs w:val="28"/>
        </w:rPr>
        <w:t>jaudas maksas par elektrostacijā uzstādīto elektrisko jaudu</w:t>
      </w:r>
      <w:r w:rsidR="00C1568C" w:rsidRPr="00F77AD2">
        <w:rPr>
          <w:sz w:val="28"/>
          <w:szCs w:val="28"/>
        </w:rPr>
        <w:t xml:space="preserve"> </w:t>
      </w:r>
      <w:r w:rsidR="00C1568C">
        <w:rPr>
          <w:sz w:val="28"/>
          <w:szCs w:val="28"/>
        </w:rPr>
        <w:t xml:space="preserve">un </w:t>
      </w:r>
      <w:r w:rsidR="00C1568C" w:rsidRPr="00F77AD2">
        <w:rPr>
          <w:sz w:val="28"/>
          <w:szCs w:val="28"/>
        </w:rPr>
        <w:t>elektroenerģijas OI</w:t>
      </w:r>
      <w:r w:rsidR="00C1568C">
        <w:rPr>
          <w:sz w:val="28"/>
          <w:szCs w:val="28"/>
        </w:rPr>
        <w:t xml:space="preserve"> papildu izmaksās ir </w:t>
      </w:r>
      <w:r w:rsidR="00C1568C">
        <w:rPr>
          <w:rFonts w:cs="Times New Roman"/>
          <w:sz w:val="28"/>
          <w:szCs w:val="28"/>
        </w:rPr>
        <w:t>d</w:t>
      </w:r>
      <w:r w:rsidR="00C1568C" w:rsidRPr="006333F1">
        <w:rPr>
          <w:rFonts w:cs="Times New Roman"/>
          <w:sz w:val="28"/>
          <w:szCs w:val="28"/>
        </w:rPr>
        <w:t>abasgā</w:t>
      </w:r>
      <w:r w:rsidR="00C1568C">
        <w:rPr>
          <w:rFonts w:cs="Times New Roman"/>
          <w:sz w:val="28"/>
          <w:szCs w:val="28"/>
        </w:rPr>
        <w:t>zes koģenerācijas elektrostacijām, kuras saņem atbalstu jaudas maksājumu veidā, (2015. gadā 42%). Līdz ar to tieši šis atbalsta segments visvairāk ietekmē OIK izmaksas lietotājiem. Tāpēc primāri būtu jāizvērtē iespējamo uzlabojumu iespējas šo staciju atbalsta sistēmā.</w:t>
      </w:r>
    </w:p>
    <w:p w14:paraId="71950CBB" w14:textId="476882D7" w:rsidR="006333F1" w:rsidRDefault="006333F1" w:rsidP="007868AB">
      <w:pPr>
        <w:spacing w:after="120" w:line="240" w:lineRule="auto"/>
        <w:ind w:firstLine="709"/>
        <w:rPr>
          <w:rFonts w:cs="Times New Roman"/>
          <w:sz w:val="28"/>
          <w:szCs w:val="28"/>
        </w:rPr>
      </w:pPr>
      <w:r>
        <w:rPr>
          <w:rFonts w:cs="Times New Roman"/>
          <w:sz w:val="28"/>
          <w:szCs w:val="28"/>
        </w:rPr>
        <w:lastRenderedPageBreak/>
        <w:t>Atbalstītās d</w:t>
      </w:r>
      <w:r w:rsidRPr="006333F1">
        <w:rPr>
          <w:rFonts w:cs="Times New Roman"/>
          <w:sz w:val="28"/>
          <w:szCs w:val="28"/>
        </w:rPr>
        <w:t>abasgā</w:t>
      </w:r>
      <w:r>
        <w:rPr>
          <w:rFonts w:cs="Times New Roman"/>
          <w:sz w:val="28"/>
          <w:szCs w:val="28"/>
        </w:rPr>
        <w:t xml:space="preserve">zes koģenerācijas elektrostacijas </w:t>
      </w:r>
      <w:r w:rsidRPr="006333F1">
        <w:rPr>
          <w:rFonts w:cs="Times New Roman"/>
          <w:sz w:val="28"/>
          <w:szCs w:val="28"/>
        </w:rPr>
        <w:t>ar uzstādīto elektrisko jaudu virs 100 MW</w:t>
      </w:r>
      <w:r>
        <w:rPr>
          <w:rFonts w:cs="Times New Roman"/>
          <w:sz w:val="28"/>
          <w:szCs w:val="28"/>
        </w:rPr>
        <w:t xml:space="preserve"> šobrīd nodrošina bāzes jaudu reģionā, kā arī </w:t>
      </w:r>
      <w:r w:rsidR="00DB68BC">
        <w:rPr>
          <w:rFonts w:cs="Times New Roman"/>
          <w:sz w:val="28"/>
          <w:szCs w:val="28"/>
        </w:rPr>
        <w:t xml:space="preserve">šo staciju darbība nodrošina elektroenerģijas tirgus cenu stabilizēšanu elektroenerģijas biržas </w:t>
      </w:r>
      <w:r w:rsidR="00DB68BC">
        <w:rPr>
          <w:rFonts w:cs="Times New Roman"/>
          <w:i/>
          <w:sz w:val="28"/>
          <w:szCs w:val="28"/>
        </w:rPr>
        <w:t xml:space="preserve">Nord </w:t>
      </w:r>
      <w:proofErr w:type="spellStart"/>
      <w:r w:rsidR="00DB68BC">
        <w:rPr>
          <w:rFonts w:cs="Times New Roman"/>
          <w:i/>
          <w:sz w:val="28"/>
          <w:szCs w:val="28"/>
        </w:rPr>
        <w:t>Pool</w:t>
      </w:r>
      <w:proofErr w:type="spellEnd"/>
      <w:r w:rsidR="00DB68BC">
        <w:rPr>
          <w:rFonts w:cs="Times New Roman"/>
          <w:i/>
          <w:sz w:val="28"/>
          <w:szCs w:val="28"/>
        </w:rPr>
        <w:t xml:space="preserve"> </w:t>
      </w:r>
      <w:proofErr w:type="spellStart"/>
      <w:r w:rsidR="00DB68BC">
        <w:rPr>
          <w:rFonts w:cs="Times New Roman"/>
          <w:i/>
          <w:sz w:val="28"/>
          <w:szCs w:val="28"/>
        </w:rPr>
        <w:t>Spot</w:t>
      </w:r>
      <w:proofErr w:type="spellEnd"/>
      <w:r w:rsidR="00DB68BC">
        <w:rPr>
          <w:rFonts w:cs="Times New Roman"/>
          <w:sz w:val="28"/>
          <w:szCs w:val="28"/>
        </w:rPr>
        <w:t xml:space="preserve"> Latvijas cenu zonā, tā novēršot elektroenerģijas cenu strauju pieauguma risku</w:t>
      </w:r>
      <w:r w:rsidR="001E7904">
        <w:rPr>
          <w:rFonts w:cs="Times New Roman"/>
          <w:sz w:val="28"/>
          <w:szCs w:val="28"/>
        </w:rPr>
        <w:t>.</w:t>
      </w:r>
      <w:r w:rsidR="00C1568C">
        <w:rPr>
          <w:rFonts w:cs="Times New Roman"/>
          <w:sz w:val="28"/>
          <w:szCs w:val="28"/>
        </w:rPr>
        <w:t xml:space="preserve"> Tāpēc, vērtējot iespējamās atbalsta izmaiņas, būtu jāizvērtē arī šo izmaiņu ietekme uz minētajiem aspektiem.</w:t>
      </w:r>
    </w:p>
    <w:p w14:paraId="7E1655B2" w14:textId="0F704115" w:rsidR="00554DC9" w:rsidRDefault="004D7DCA" w:rsidP="000951E0">
      <w:pPr>
        <w:spacing w:after="120" w:line="240" w:lineRule="auto"/>
        <w:ind w:firstLine="709"/>
        <w:rPr>
          <w:rFonts w:cs="Times New Roman"/>
          <w:sz w:val="28"/>
          <w:szCs w:val="28"/>
          <w:highlight w:val="yellow"/>
        </w:rPr>
      </w:pPr>
      <w:r w:rsidRPr="0048150D">
        <w:rPr>
          <w:color w:val="000000"/>
          <w:sz w:val="28"/>
          <w:szCs w:val="28"/>
        </w:rPr>
        <w:t>P</w:t>
      </w:r>
      <w:r>
        <w:rPr>
          <w:color w:val="000000"/>
          <w:sz w:val="28"/>
          <w:szCs w:val="28"/>
        </w:rPr>
        <w:t>lānots, ka P</w:t>
      </w:r>
      <w:r w:rsidRPr="0048150D">
        <w:rPr>
          <w:color w:val="000000"/>
          <w:sz w:val="28"/>
          <w:szCs w:val="28"/>
        </w:rPr>
        <w:t>ārvades sistēmas operator</w:t>
      </w:r>
      <w:r>
        <w:rPr>
          <w:color w:val="000000"/>
          <w:sz w:val="28"/>
          <w:szCs w:val="28"/>
        </w:rPr>
        <w:t xml:space="preserve">s savā 2016. gada </w:t>
      </w:r>
      <w:r w:rsidRPr="0048150D">
        <w:rPr>
          <w:color w:val="000000"/>
          <w:sz w:val="28"/>
          <w:szCs w:val="28"/>
        </w:rPr>
        <w:t>ikgadēj</w:t>
      </w:r>
      <w:r>
        <w:rPr>
          <w:color w:val="000000"/>
          <w:sz w:val="28"/>
          <w:szCs w:val="28"/>
        </w:rPr>
        <w:t>ā</w:t>
      </w:r>
      <w:r w:rsidRPr="0048150D">
        <w:rPr>
          <w:color w:val="000000"/>
          <w:sz w:val="28"/>
          <w:szCs w:val="28"/>
        </w:rPr>
        <w:t xml:space="preserve"> novērtējuma</w:t>
      </w:r>
      <w:r>
        <w:rPr>
          <w:color w:val="000000"/>
          <w:sz w:val="28"/>
          <w:szCs w:val="28"/>
        </w:rPr>
        <w:t xml:space="preserve"> </w:t>
      </w:r>
      <w:r w:rsidRPr="0048150D">
        <w:rPr>
          <w:color w:val="000000"/>
          <w:sz w:val="28"/>
          <w:szCs w:val="28"/>
        </w:rPr>
        <w:t>ziņojum</w:t>
      </w:r>
      <w:r w:rsidR="007B3079">
        <w:rPr>
          <w:color w:val="000000"/>
          <w:sz w:val="28"/>
          <w:szCs w:val="28"/>
        </w:rPr>
        <w:t>ā</w:t>
      </w:r>
      <w:r>
        <w:rPr>
          <w:color w:val="000000"/>
          <w:sz w:val="28"/>
          <w:szCs w:val="28"/>
        </w:rPr>
        <w:t xml:space="preserve">, kas tiks sagatavots 2016. gada rudenī, veiks bāzes jaudu </w:t>
      </w:r>
      <w:proofErr w:type="spellStart"/>
      <w:r>
        <w:rPr>
          <w:color w:val="000000"/>
          <w:sz w:val="28"/>
          <w:szCs w:val="28"/>
        </w:rPr>
        <w:t>izvērtējumu</w:t>
      </w:r>
      <w:proofErr w:type="spellEnd"/>
      <w:r>
        <w:rPr>
          <w:color w:val="000000"/>
          <w:sz w:val="28"/>
          <w:szCs w:val="28"/>
        </w:rPr>
        <w:t xml:space="preserve"> reģionā. Izmantojot šajā ziņojumā iekļauto </w:t>
      </w:r>
      <w:proofErr w:type="spellStart"/>
      <w:r>
        <w:rPr>
          <w:color w:val="000000"/>
          <w:sz w:val="28"/>
          <w:szCs w:val="28"/>
        </w:rPr>
        <w:t>izvērtējumu</w:t>
      </w:r>
      <w:proofErr w:type="spellEnd"/>
      <w:r>
        <w:rPr>
          <w:color w:val="000000"/>
          <w:sz w:val="28"/>
          <w:szCs w:val="28"/>
        </w:rPr>
        <w:t xml:space="preserve">, Ekonomikas ministrija 2017. gadā plāno sagatavot informatīvo ziņojumu par </w:t>
      </w:r>
      <w:r w:rsidRPr="004D7DCA">
        <w:rPr>
          <w:color w:val="000000"/>
          <w:sz w:val="28"/>
          <w:szCs w:val="28"/>
        </w:rPr>
        <w:t>elektroenerģijas cenu un to ietekmējošajiem faktoriem</w:t>
      </w:r>
      <w:r>
        <w:rPr>
          <w:color w:val="000000"/>
          <w:sz w:val="28"/>
          <w:szCs w:val="28"/>
        </w:rPr>
        <w:t>, kurā cita starpā tiks izvērtēta d</w:t>
      </w:r>
      <w:r w:rsidRPr="004D7DCA">
        <w:rPr>
          <w:color w:val="000000"/>
          <w:sz w:val="28"/>
          <w:szCs w:val="28"/>
        </w:rPr>
        <w:t>abasgāzes koģenerācijas elektrostaciju ar uzstādīto elektrisko jaudu virs 100 MW atbalsta i</w:t>
      </w:r>
      <w:r>
        <w:rPr>
          <w:color w:val="000000"/>
          <w:sz w:val="28"/>
          <w:szCs w:val="28"/>
        </w:rPr>
        <w:t>etekme uz elektroenerģijas cenām.</w:t>
      </w:r>
    </w:p>
    <w:p w14:paraId="39E27FEE" w14:textId="77777777" w:rsidR="00A16AF6" w:rsidRPr="00F45744" w:rsidRDefault="00A16AF6" w:rsidP="004D7DCA">
      <w:pPr>
        <w:pStyle w:val="Heading2"/>
        <w:numPr>
          <w:ilvl w:val="1"/>
          <w:numId w:val="1"/>
        </w:numPr>
        <w:spacing w:before="100" w:beforeAutospacing="1"/>
        <w:ind w:left="0" w:firstLine="0"/>
        <w:rPr>
          <w:rFonts w:ascii="Times New Roman" w:hAnsi="Times New Roman" w:cs="Times New Roman"/>
          <w:b/>
          <w:color w:val="auto"/>
          <w:sz w:val="32"/>
          <w:szCs w:val="28"/>
        </w:rPr>
      </w:pPr>
      <w:bookmarkStart w:id="18" w:name="_Toc459890622"/>
      <w:r w:rsidRPr="00F45744">
        <w:rPr>
          <w:rFonts w:ascii="Times New Roman" w:hAnsi="Times New Roman" w:cs="Times New Roman"/>
          <w:b/>
          <w:color w:val="auto"/>
          <w:sz w:val="32"/>
          <w:szCs w:val="28"/>
        </w:rPr>
        <w:t>Nodokļu ieņēmumi</w:t>
      </w:r>
      <w:bookmarkEnd w:id="18"/>
    </w:p>
    <w:p w14:paraId="4152A773" w14:textId="77777777" w:rsidR="00480726" w:rsidRPr="00F45744" w:rsidRDefault="00F45744" w:rsidP="00F45744">
      <w:pPr>
        <w:pStyle w:val="Heading3"/>
        <w:numPr>
          <w:ilvl w:val="2"/>
          <w:numId w:val="1"/>
        </w:numPr>
        <w:tabs>
          <w:tab w:val="left" w:pos="709"/>
        </w:tabs>
        <w:ind w:left="0" w:firstLine="0"/>
        <w:rPr>
          <w:rFonts w:ascii="Times New Roman" w:hAnsi="Times New Roman" w:cs="Times New Roman"/>
          <w:b/>
          <w:color w:val="auto"/>
          <w:sz w:val="28"/>
          <w:szCs w:val="32"/>
        </w:rPr>
      </w:pPr>
      <w:bookmarkStart w:id="19" w:name="_Toc459890623"/>
      <w:r w:rsidRPr="00F45744">
        <w:rPr>
          <w:rFonts w:ascii="Times New Roman" w:hAnsi="Times New Roman" w:cs="Times New Roman"/>
          <w:b/>
          <w:color w:val="auto"/>
          <w:sz w:val="28"/>
          <w:szCs w:val="32"/>
        </w:rPr>
        <w:t>Subsidētās elektroenerģijas nodoklis</w:t>
      </w:r>
      <w:bookmarkEnd w:id="19"/>
    </w:p>
    <w:p w14:paraId="1AEEC663" w14:textId="5D9CA093" w:rsidR="00F45744" w:rsidRDefault="00F45744" w:rsidP="00F45744">
      <w:pPr>
        <w:spacing w:after="0" w:line="240" w:lineRule="auto"/>
        <w:ind w:firstLine="851"/>
        <w:rPr>
          <w:sz w:val="28"/>
          <w:szCs w:val="28"/>
        </w:rPr>
      </w:pPr>
      <w:r w:rsidRPr="000E37C7">
        <w:rPr>
          <w:sz w:val="28"/>
          <w:szCs w:val="28"/>
        </w:rPr>
        <w:t>Subsidētās elektroenerģijas nodokļa likum</w:t>
      </w:r>
      <w:r>
        <w:rPr>
          <w:sz w:val="28"/>
          <w:szCs w:val="28"/>
        </w:rPr>
        <w:t>s nosaka, ka</w:t>
      </w:r>
      <w:r w:rsidRPr="00F45744">
        <w:rPr>
          <w:sz w:val="28"/>
          <w:szCs w:val="28"/>
        </w:rPr>
        <w:t xml:space="preserve"> </w:t>
      </w:r>
      <w:r>
        <w:rPr>
          <w:sz w:val="28"/>
          <w:szCs w:val="28"/>
        </w:rPr>
        <w:t xml:space="preserve">laika periodā no 2014. gada 1. janvāra līdz 2017. gada 31. decembrim </w:t>
      </w:r>
      <w:r w:rsidR="00BF0766">
        <w:rPr>
          <w:sz w:val="28"/>
          <w:szCs w:val="28"/>
        </w:rPr>
        <w:t xml:space="preserve">gūtajiem </w:t>
      </w:r>
      <w:r w:rsidRPr="00D87AE5">
        <w:rPr>
          <w:sz w:val="28"/>
          <w:szCs w:val="28"/>
        </w:rPr>
        <w:t xml:space="preserve">ieņēmumiem </w:t>
      </w:r>
      <w:r w:rsidR="00BF0766">
        <w:rPr>
          <w:sz w:val="28"/>
          <w:szCs w:val="28"/>
        </w:rPr>
        <w:t>no</w:t>
      </w:r>
      <w:r w:rsidRPr="00D87AE5">
        <w:rPr>
          <w:sz w:val="28"/>
          <w:szCs w:val="28"/>
        </w:rPr>
        <w:t xml:space="preserve"> </w:t>
      </w:r>
      <w:r w:rsidR="00BF0766" w:rsidRPr="00D87AE5">
        <w:rPr>
          <w:sz w:val="28"/>
          <w:szCs w:val="28"/>
        </w:rPr>
        <w:t>elektroenerģij</w:t>
      </w:r>
      <w:r w:rsidR="00BF0766">
        <w:rPr>
          <w:sz w:val="28"/>
          <w:szCs w:val="28"/>
        </w:rPr>
        <w:t>as</w:t>
      </w:r>
      <w:r w:rsidR="00BF0766" w:rsidRPr="00D87AE5">
        <w:rPr>
          <w:sz w:val="28"/>
          <w:szCs w:val="28"/>
        </w:rPr>
        <w:t xml:space="preserve"> </w:t>
      </w:r>
      <w:r w:rsidRPr="00D87AE5">
        <w:rPr>
          <w:sz w:val="28"/>
          <w:szCs w:val="28"/>
        </w:rPr>
        <w:t>pārdo</w:t>
      </w:r>
      <w:r w:rsidR="00BF0766">
        <w:rPr>
          <w:sz w:val="28"/>
          <w:szCs w:val="28"/>
        </w:rPr>
        <w:t>šanas</w:t>
      </w:r>
      <w:r w:rsidRPr="00D87AE5">
        <w:rPr>
          <w:sz w:val="28"/>
          <w:szCs w:val="28"/>
        </w:rPr>
        <w:t xml:space="preserve"> </w:t>
      </w:r>
      <w:r w:rsidR="00E52784">
        <w:rPr>
          <w:sz w:val="28"/>
          <w:szCs w:val="28"/>
        </w:rPr>
        <w:t>OI</w:t>
      </w:r>
      <w:r>
        <w:rPr>
          <w:sz w:val="28"/>
          <w:szCs w:val="28"/>
        </w:rPr>
        <w:t xml:space="preserve"> </w:t>
      </w:r>
      <w:r w:rsidRPr="00D87AE5">
        <w:rPr>
          <w:sz w:val="28"/>
          <w:szCs w:val="28"/>
        </w:rPr>
        <w:t>ietvaros</w:t>
      </w:r>
      <w:r w:rsidR="00BF0766">
        <w:rPr>
          <w:sz w:val="28"/>
          <w:szCs w:val="28"/>
        </w:rPr>
        <w:t xml:space="preserve"> un saņemtās </w:t>
      </w:r>
      <w:r w:rsidRPr="00D87AE5">
        <w:rPr>
          <w:sz w:val="28"/>
          <w:szCs w:val="28"/>
        </w:rPr>
        <w:t>garantētās maksas par stacijā uzstādīto elektrisko jaudu</w:t>
      </w:r>
      <w:r>
        <w:rPr>
          <w:sz w:val="28"/>
          <w:szCs w:val="28"/>
        </w:rPr>
        <w:t xml:space="preserve"> piemēro </w:t>
      </w:r>
      <w:r w:rsidR="00381BBF">
        <w:rPr>
          <w:sz w:val="28"/>
          <w:szCs w:val="28"/>
        </w:rPr>
        <w:t>SEN</w:t>
      </w:r>
      <w:r>
        <w:rPr>
          <w:sz w:val="28"/>
          <w:szCs w:val="28"/>
        </w:rPr>
        <w:t>.</w:t>
      </w:r>
    </w:p>
    <w:p w14:paraId="553D951C" w14:textId="77777777" w:rsidR="00F45744" w:rsidRPr="00D87AE5" w:rsidRDefault="00F45744" w:rsidP="00F45744">
      <w:pPr>
        <w:spacing w:after="0" w:line="240" w:lineRule="auto"/>
        <w:ind w:firstLine="851"/>
        <w:rPr>
          <w:sz w:val="28"/>
          <w:szCs w:val="28"/>
        </w:rPr>
      </w:pPr>
      <w:r w:rsidRPr="00D87AE5">
        <w:rPr>
          <w:sz w:val="28"/>
          <w:szCs w:val="28"/>
        </w:rPr>
        <w:t>Šim nodoklim ir noteiktas trīs dažādas likmes:</w:t>
      </w:r>
    </w:p>
    <w:p w14:paraId="368E4883" w14:textId="77777777" w:rsidR="00F45744" w:rsidRPr="00BF0766" w:rsidRDefault="00F45744" w:rsidP="00BF0766">
      <w:pPr>
        <w:pStyle w:val="ListParagraph"/>
        <w:numPr>
          <w:ilvl w:val="0"/>
          <w:numId w:val="10"/>
        </w:numPr>
        <w:spacing w:after="0" w:line="240" w:lineRule="auto"/>
        <w:ind w:left="2127" w:hanging="284"/>
        <w:rPr>
          <w:sz w:val="28"/>
          <w:szCs w:val="28"/>
        </w:rPr>
      </w:pPr>
      <w:r w:rsidRPr="00BF0766">
        <w:rPr>
          <w:sz w:val="28"/>
          <w:szCs w:val="28"/>
        </w:rPr>
        <w:t>15% dabasgāzes koģenerācijas stacijām;</w:t>
      </w:r>
    </w:p>
    <w:p w14:paraId="0B808E4D" w14:textId="77777777" w:rsidR="00F45744" w:rsidRPr="00BF0766" w:rsidRDefault="00F45744" w:rsidP="00BF0766">
      <w:pPr>
        <w:pStyle w:val="ListParagraph"/>
        <w:numPr>
          <w:ilvl w:val="0"/>
          <w:numId w:val="10"/>
        </w:numPr>
        <w:spacing w:after="0" w:line="240" w:lineRule="auto"/>
        <w:ind w:left="2127" w:hanging="284"/>
        <w:rPr>
          <w:sz w:val="28"/>
          <w:szCs w:val="28"/>
        </w:rPr>
      </w:pPr>
      <w:r w:rsidRPr="00BF0766">
        <w:rPr>
          <w:sz w:val="28"/>
          <w:szCs w:val="28"/>
        </w:rPr>
        <w:t>10% AER izmantojošām stacijām;</w:t>
      </w:r>
    </w:p>
    <w:p w14:paraId="5DDFE91A" w14:textId="77777777" w:rsidR="00F45744" w:rsidRPr="00BF0766" w:rsidRDefault="00F45744" w:rsidP="00BF0766">
      <w:pPr>
        <w:pStyle w:val="ListParagraph"/>
        <w:numPr>
          <w:ilvl w:val="0"/>
          <w:numId w:val="10"/>
        </w:numPr>
        <w:spacing w:after="0" w:line="240" w:lineRule="auto"/>
        <w:ind w:left="2127" w:hanging="284"/>
        <w:rPr>
          <w:sz w:val="28"/>
          <w:szCs w:val="28"/>
        </w:rPr>
      </w:pPr>
      <w:r w:rsidRPr="00BF0766">
        <w:rPr>
          <w:sz w:val="28"/>
          <w:szCs w:val="28"/>
        </w:rPr>
        <w:t>5% stacijām, kas atbilst noteiktiem nosacījumiem.</w:t>
      </w:r>
    </w:p>
    <w:p w14:paraId="71FE6F12" w14:textId="77777777" w:rsidR="00BF0766" w:rsidRDefault="00F45744" w:rsidP="00F45744">
      <w:pPr>
        <w:spacing w:after="0" w:line="240" w:lineRule="auto"/>
        <w:ind w:firstLine="851"/>
        <w:rPr>
          <w:sz w:val="28"/>
          <w:szCs w:val="28"/>
        </w:rPr>
      </w:pPr>
      <w:r>
        <w:rPr>
          <w:sz w:val="28"/>
          <w:szCs w:val="28"/>
        </w:rPr>
        <w:t>V</w:t>
      </w:r>
      <w:r w:rsidRPr="000E37C7">
        <w:rPr>
          <w:sz w:val="28"/>
          <w:szCs w:val="28"/>
        </w:rPr>
        <w:t xml:space="preserve">airāki desmiti </w:t>
      </w:r>
      <w:r>
        <w:rPr>
          <w:sz w:val="28"/>
          <w:szCs w:val="28"/>
        </w:rPr>
        <w:t>elektroenerģijas ražotāju vērsās</w:t>
      </w:r>
      <w:r w:rsidRPr="000E37C7">
        <w:rPr>
          <w:sz w:val="28"/>
          <w:szCs w:val="28"/>
        </w:rPr>
        <w:t xml:space="preserve"> </w:t>
      </w:r>
      <w:r>
        <w:rPr>
          <w:sz w:val="28"/>
          <w:szCs w:val="28"/>
        </w:rPr>
        <w:t xml:space="preserve">Satversmes tiesā, apstrīdot SEN atbilstību Satversmei un uzskatot to par </w:t>
      </w:r>
      <w:r w:rsidRPr="000B18D4">
        <w:rPr>
          <w:sz w:val="28"/>
          <w:szCs w:val="28"/>
        </w:rPr>
        <w:t>pārmērīg</w:t>
      </w:r>
      <w:r>
        <w:rPr>
          <w:sz w:val="28"/>
          <w:szCs w:val="28"/>
        </w:rPr>
        <w:t xml:space="preserve">u </w:t>
      </w:r>
      <w:r w:rsidRPr="000B18D4">
        <w:rPr>
          <w:sz w:val="28"/>
          <w:szCs w:val="28"/>
        </w:rPr>
        <w:t>slog</w:t>
      </w:r>
      <w:r>
        <w:rPr>
          <w:sz w:val="28"/>
          <w:szCs w:val="28"/>
        </w:rPr>
        <w:t>u</w:t>
      </w:r>
      <w:r w:rsidRPr="000B18D4">
        <w:rPr>
          <w:sz w:val="28"/>
          <w:szCs w:val="28"/>
        </w:rPr>
        <w:t xml:space="preserve"> maksātājiem, </w:t>
      </w:r>
      <w:r>
        <w:rPr>
          <w:sz w:val="28"/>
          <w:szCs w:val="28"/>
        </w:rPr>
        <w:t xml:space="preserve">kā arī to, ka </w:t>
      </w:r>
      <w:r w:rsidRPr="000B18D4">
        <w:rPr>
          <w:sz w:val="28"/>
          <w:szCs w:val="28"/>
        </w:rPr>
        <w:t>tas ieviests, pārkāpjot tiesiskās paļāvības principu.</w:t>
      </w:r>
    </w:p>
    <w:p w14:paraId="48F80391" w14:textId="77777777" w:rsidR="00BF0766" w:rsidRDefault="00BF0766" w:rsidP="00F45744">
      <w:pPr>
        <w:spacing w:after="0" w:line="240" w:lineRule="auto"/>
        <w:ind w:firstLine="851"/>
        <w:rPr>
          <w:sz w:val="28"/>
          <w:szCs w:val="28"/>
        </w:rPr>
      </w:pPr>
      <w:r>
        <w:rPr>
          <w:sz w:val="28"/>
          <w:szCs w:val="28"/>
        </w:rPr>
        <w:t>2015. gada 3. </w:t>
      </w:r>
      <w:r w:rsidR="00F45744" w:rsidRPr="000E37C7">
        <w:rPr>
          <w:sz w:val="28"/>
          <w:szCs w:val="28"/>
        </w:rPr>
        <w:t>jūlijā Satversmes tiesa</w:t>
      </w:r>
      <w:r w:rsidR="00F45744">
        <w:rPr>
          <w:sz w:val="28"/>
          <w:szCs w:val="28"/>
        </w:rPr>
        <w:t xml:space="preserve"> </w:t>
      </w:r>
      <w:r w:rsidR="00F45744" w:rsidRPr="000E37C7">
        <w:rPr>
          <w:sz w:val="28"/>
          <w:szCs w:val="28"/>
        </w:rPr>
        <w:t>pasludināj</w:t>
      </w:r>
      <w:r w:rsidR="00F45744">
        <w:rPr>
          <w:sz w:val="28"/>
          <w:szCs w:val="28"/>
        </w:rPr>
        <w:t>a</w:t>
      </w:r>
      <w:r w:rsidR="00F45744" w:rsidRPr="000E37C7">
        <w:rPr>
          <w:sz w:val="28"/>
          <w:szCs w:val="28"/>
        </w:rPr>
        <w:t xml:space="preserve"> spriedumu lietā Nr.</w:t>
      </w:r>
      <w:r w:rsidR="00F45744">
        <w:rPr>
          <w:sz w:val="28"/>
          <w:szCs w:val="28"/>
        </w:rPr>
        <w:t> </w:t>
      </w:r>
      <w:r w:rsidR="00F45744" w:rsidRPr="000E37C7">
        <w:rPr>
          <w:sz w:val="28"/>
          <w:szCs w:val="28"/>
        </w:rPr>
        <w:t xml:space="preserve">2014-12-01 </w:t>
      </w:r>
      <w:r>
        <w:rPr>
          <w:sz w:val="28"/>
          <w:szCs w:val="28"/>
        </w:rPr>
        <w:t>“</w:t>
      </w:r>
      <w:r w:rsidR="00F45744" w:rsidRPr="000E37C7">
        <w:rPr>
          <w:sz w:val="28"/>
          <w:szCs w:val="28"/>
        </w:rPr>
        <w:t>Par Subsidētās ele</w:t>
      </w:r>
      <w:r>
        <w:rPr>
          <w:sz w:val="28"/>
          <w:szCs w:val="28"/>
        </w:rPr>
        <w:t>ktroenerģijas nodokļa likuma 3. panta 1. un 2. </w:t>
      </w:r>
      <w:r w:rsidR="00F45744" w:rsidRPr="000E37C7">
        <w:rPr>
          <w:sz w:val="28"/>
          <w:szCs w:val="28"/>
        </w:rPr>
        <w:t>punkta, 4</w:t>
      </w:r>
      <w:r>
        <w:rPr>
          <w:sz w:val="28"/>
          <w:szCs w:val="28"/>
        </w:rPr>
        <w:t>. panta 1. punkta un 5. </w:t>
      </w:r>
      <w:r w:rsidR="00F45744" w:rsidRPr="000E37C7">
        <w:rPr>
          <w:sz w:val="28"/>
          <w:szCs w:val="28"/>
        </w:rPr>
        <w:t>panta atbilstību Latvijas Republikas Satversmes 1. un 105.</w:t>
      </w:r>
      <w:r>
        <w:rPr>
          <w:sz w:val="28"/>
          <w:szCs w:val="28"/>
        </w:rPr>
        <w:t> </w:t>
      </w:r>
      <w:r w:rsidR="00F45744" w:rsidRPr="000E37C7">
        <w:rPr>
          <w:sz w:val="28"/>
          <w:szCs w:val="28"/>
        </w:rPr>
        <w:t>pantam”</w:t>
      </w:r>
      <w:r w:rsidR="00F45744">
        <w:rPr>
          <w:sz w:val="28"/>
          <w:szCs w:val="28"/>
        </w:rPr>
        <w:t>, neatzīstot SEN</w:t>
      </w:r>
      <w:r w:rsidR="00F45744" w:rsidRPr="000E37C7">
        <w:rPr>
          <w:sz w:val="28"/>
          <w:szCs w:val="28"/>
        </w:rPr>
        <w:t xml:space="preserve"> par nesamērīgu slogu tā maksātājiem.</w:t>
      </w:r>
      <w:r>
        <w:rPr>
          <w:sz w:val="28"/>
          <w:szCs w:val="28"/>
        </w:rPr>
        <w:t xml:space="preserve"> </w:t>
      </w:r>
    </w:p>
    <w:p w14:paraId="6DADBF98" w14:textId="77777777" w:rsidR="00F45744" w:rsidRPr="000E37C7" w:rsidRDefault="00F45744" w:rsidP="00F45744">
      <w:pPr>
        <w:spacing w:after="0" w:line="240" w:lineRule="auto"/>
        <w:ind w:firstLine="851"/>
        <w:rPr>
          <w:sz w:val="28"/>
          <w:szCs w:val="28"/>
        </w:rPr>
      </w:pPr>
      <w:r w:rsidRPr="000E37C7">
        <w:rPr>
          <w:sz w:val="28"/>
          <w:szCs w:val="28"/>
        </w:rPr>
        <w:t xml:space="preserve">Satversmes tiesa norādīja, ka regulējums, kas paredz kāda nodokļa maksāšanu, ir jāvērtē kā ierobežojums, kas noteikts tādēļ, lai nodrošinātu valsts budžeta un pašvaldību budžetu veidošanu. Satversmes tiesa atzina, ka apstrīdēto normu leģitīmais mērķis ir sabiedrības labklājības aizsardzība. </w:t>
      </w:r>
    </w:p>
    <w:p w14:paraId="3D9C15F7" w14:textId="77777777" w:rsidR="00F45744" w:rsidRPr="000E37C7" w:rsidRDefault="00F45744" w:rsidP="00F45744">
      <w:pPr>
        <w:spacing w:after="0" w:line="240" w:lineRule="auto"/>
        <w:ind w:firstLine="851"/>
        <w:rPr>
          <w:sz w:val="28"/>
          <w:szCs w:val="28"/>
        </w:rPr>
      </w:pPr>
      <w:r w:rsidRPr="000E37C7">
        <w:rPr>
          <w:sz w:val="28"/>
          <w:szCs w:val="28"/>
        </w:rPr>
        <w:t xml:space="preserve">Attiecībā uz apstrīdēto normu atbilstību tiesiskās paļāvības principam Satversmes tiesas atzina, ka tas prasa līdzsvarot personu tiesisko </w:t>
      </w:r>
      <w:r w:rsidRPr="000E37C7">
        <w:rPr>
          <w:sz w:val="28"/>
          <w:szCs w:val="28"/>
        </w:rPr>
        <w:lastRenderedPageBreak/>
        <w:t xml:space="preserve">paļāvību uz reiz jau iegūtām tiesībām ar sabiedrības interesēm, proti, arī šajā jautājumā izšķiroša nozīme ir tam, vai ievērots samērīguma princips. </w:t>
      </w:r>
    </w:p>
    <w:p w14:paraId="2803865D" w14:textId="77777777" w:rsidR="00F45744" w:rsidRDefault="00F45744" w:rsidP="00F45744">
      <w:pPr>
        <w:spacing w:after="0" w:line="240" w:lineRule="auto"/>
        <w:ind w:firstLine="851"/>
        <w:rPr>
          <w:sz w:val="28"/>
          <w:szCs w:val="28"/>
        </w:rPr>
      </w:pPr>
      <w:r w:rsidRPr="000E37C7">
        <w:rPr>
          <w:sz w:val="28"/>
          <w:szCs w:val="28"/>
        </w:rPr>
        <w:t>Līdz ar to, SEN piemērošana ti</w:t>
      </w:r>
      <w:r>
        <w:rPr>
          <w:sz w:val="28"/>
          <w:szCs w:val="28"/>
        </w:rPr>
        <w:t>e</w:t>
      </w:r>
      <w:r w:rsidRPr="000E37C7">
        <w:rPr>
          <w:sz w:val="28"/>
          <w:szCs w:val="28"/>
        </w:rPr>
        <w:t>k turpināta, lai nodrošinātu sabiedrības labklājības aizsardzību, turpinot elektroenerģijas lietotāju atbalsts programmu.</w:t>
      </w:r>
    </w:p>
    <w:p w14:paraId="2A466B43" w14:textId="77777777" w:rsidR="00F45744" w:rsidRPr="00964E69" w:rsidRDefault="00F45744" w:rsidP="00F45744">
      <w:pPr>
        <w:pStyle w:val="BodyTextIndent2"/>
        <w:spacing w:line="240" w:lineRule="auto"/>
        <w:ind w:left="0" w:firstLine="851"/>
        <w:rPr>
          <w:color w:val="000000"/>
          <w:sz w:val="28"/>
          <w:szCs w:val="28"/>
        </w:rPr>
      </w:pPr>
      <w:r w:rsidRPr="00964E69">
        <w:rPr>
          <w:sz w:val="28"/>
          <w:szCs w:val="28"/>
        </w:rPr>
        <w:t>Pēc Valsts ieņēmumu dienesta publiski pieejamās informācijas 201</w:t>
      </w:r>
      <w:r>
        <w:rPr>
          <w:sz w:val="28"/>
          <w:szCs w:val="28"/>
        </w:rPr>
        <w:t>6</w:t>
      </w:r>
      <w:r w:rsidRPr="00964E69">
        <w:rPr>
          <w:sz w:val="28"/>
          <w:szCs w:val="28"/>
        </w:rPr>
        <w:t xml:space="preserve">. gada </w:t>
      </w:r>
      <w:r w:rsidR="001951DF">
        <w:rPr>
          <w:sz w:val="28"/>
          <w:szCs w:val="28"/>
        </w:rPr>
        <w:t>pirmajā pusgadā</w:t>
      </w:r>
      <w:r w:rsidRPr="00D92A1E">
        <w:rPr>
          <w:sz w:val="28"/>
          <w:szCs w:val="28"/>
        </w:rPr>
        <w:t xml:space="preserve"> </w:t>
      </w:r>
      <w:r w:rsidRPr="00D92A1E">
        <w:rPr>
          <w:color w:val="000000"/>
          <w:sz w:val="28"/>
          <w:szCs w:val="28"/>
        </w:rPr>
        <w:t>SEN faktiski iekasēts 1</w:t>
      </w:r>
      <w:r w:rsidR="00BF0766">
        <w:rPr>
          <w:color w:val="000000"/>
          <w:sz w:val="28"/>
          <w:szCs w:val="28"/>
        </w:rPr>
        <w:t>5</w:t>
      </w:r>
      <w:r w:rsidRPr="00D92A1E">
        <w:rPr>
          <w:color w:val="000000"/>
          <w:sz w:val="28"/>
          <w:szCs w:val="28"/>
        </w:rPr>
        <w:t>,</w:t>
      </w:r>
      <w:r w:rsidR="00BF0766">
        <w:rPr>
          <w:color w:val="000000"/>
          <w:sz w:val="28"/>
          <w:szCs w:val="28"/>
        </w:rPr>
        <w:t>588</w:t>
      </w:r>
      <w:r w:rsidRPr="00D92A1E">
        <w:rPr>
          <w:color w:val="000000"/>
          <w:sz w:val="28"/>
          <w:szCs w:val="28"/>
        </w:rPr>
        <w:t xml:space="preserve"> milj. EUR apmērā</w:t>
      </w:r>
      <w:r>
        <w:rPr>
          <w:color w:val="000000"/>
          <w:sz w:val="28"/>
          <w:szCs w:val="28"/>
        </w:rPr>
        <w:t xml:space="preserve"> (skat. </w:t>
      </w:r>
      <w:r w:rsidR="001951DF">
        <w:rPr>
          <w:color w:val="000000"/>
          <w:sz w:val="28"/>
          <w:szCs w:val="28"/>
        </w:rPr>
        <w:t>5</w:t>
      </w:r>
      <w:r>
        <w:rPr>
          <w:color w:val="000000"/>
          <w:sz w:val="28"/>
          <w:szCs w:val="28"/>
        </w:rPr>
        <w:t>. att</w:t>
      </w:r>
      <w:r w:rsidR="001951DF">
        <w:rPr>
          <w:color w:val="000000"/>
          <w:sz w:val="28"/>
          <w:szCs w:val="28"/>
        </w:rPr>
        <w:t>.</w:t>
      </w:r>
      <w:r>
        <w:rPr>
          <w:color w:val="000000"/>
          <w:sz w:val="28"/>
          <w:szCs w:val="28"/>
        </w:rPr>
        <w:t>)</w:t>
      </w:r>
      <w:r w:rsidRPr="00964E69">
        <w:rPr>
          <w:color w:val="000000"/>
          <w:sz w:val="28"/>
          <w:szCs w:val="28"/>
        </w:rPr>
        <w:t xml:space="preserve"> jeb veikti 8</w:t>
      </w:r>
      <w:r w:rsidR="001951DF">
        <w:rPr>
          <w:color w:val="000000"/>
          <w:sz w:val="28"/>
          <w:szCs w:val="28"/>
        </w:rPr>
        <w:t>7</w:t>
      </w:r>
      <w:r w:rsidRPr="00964E69">
        <w:rPr>
          <w:color w:val="000000"/>
          <w:sz w:val="28"/>
          <w:szCs w:val="28"/>
        </w:rPr>
        <w:t>,</w:t>
      </w:r>
      <w:r>
        <w:rPr>
          <w:color w:val="000000"/>
          <w:sz w:val="28"/>
          <w:szCs w:val="28"/>
        </w:rPr>
        <w:t>9</w:t>
      </w:r>
      <w:r w:rsidRPr="00964E69">
        <w:rPr>
          <w:color w:val="000000"/>
          <w:sz w:val="28"/>
          <w:szCs w:val="28"/>
        </w:rPr>
        <w:t xml:space="preserve">% no plānotās </w:t>
      </w:r>
      <w:r w:rsidR="001951DF">
        <w:rPr>
          <w:color w:val="000000"/>
          <w:sz w:val="28"/>
          <w:szCs w:val="28"/>
        </w:rPr>
        <w:t>6</w:t>
      </w:r>
      <w:r w:rsidRPr="00964E69">
        <w:rPr>
          <w:color w:val="000000"/>
          <w:sz w:val="28"/>
          <w:szCs w:val="28"/>
        </w:rPr>
        <w:t xml:space="preserve"> mēnešu perioda izpildes (</w:t>
      </w:r>
      <w:r w:rsidR="001951DF">
        <w:rPr>
          <w:color w:val="000000"/>
          <w:sz w:val="28"/>
          <w:szCs w:val="28"/>
        </w:rPr>
        <w:t>46</w:t>
      </w:r>
      <w:r w:rsidRPr="00964E69">
        <w:rPr>
          <w:color w:val="000000"/>
          <w:sz w:val="28"/>
          <w:szCs w:val="28"/>
        </w:rPr>
        <w:t>% no SEN 201</w:t>
      </w:r>
      <w:r>
        <w:rPr>
          <w:color w:val="000000"/>
          <w:sz w:val="28"/>
          <w:szCs w:val="28"/>
        </w:rPr>
        <w:t>6</w:t>
      </w:r>
      <w:r w:rsidRPr="00964E69">
        <w:rPr>
          <w:color w:val="000000"/>
          <w:sz w:val="28"/>
          <w:szCs w:val="28"/>
        </w:rPr>
        <w:t>.gada plānotajiem ieņēmumiem)</w:t>
      </w:r>
      <w:r>
        <w:rPr>
          <w:rStyle w:val="FootnoteReference"/>
          <w:color w:val="000000"/>
          <w:sz w:val="28"/>
          <w:szCs w:val="28"/>
        </w:rPr>
        <w:footnoteReference w:id="8"/>
      </w:r>
      <w:r w:rsidRPr="00964E69">
        <w:rPr>
          <w:color w:val="000000"/>
          <w:sz w:val="28"/>
          <w:szCs w:val="28"/>
        </w:rPr>
        <w:t xml:space="preserve">. </w:t>
      </w:r>
    </w:p>
    <w:p w14:paraId="6A8DBC22" w14:textId="45E0A325" w:rsidR="00F45744" w:rsidRDefault="00F45744" w:rsidP="00F45744">
      <w:pPr>
        <w:spacing w:after="0" w:line="240" w:lineRule="auto"/>
        <w:ind w:firstLine="851"/>
        <w:rPr>
          <w:sz w:val="28"/>
          <w:szCs w:val="28"/>
        </w:rPr>
      </w:pPr>
      <w:r w:rsidRPr="00120494">
        <w:rPr>
          <w:sz w:val="28"/>
          <w:szCs w:val="28"/>
        </w:rPr>
        <w:t>SEN ieņēmumu apjomu ietekmē</w:t>
      </w:r>
      <w:r>
        <w:rPr>
          <w:sz w:val="28"/>
          <w:szCs w:val="28"/>
        </w:rPr>
        <w:t xml:space="preserve"> dabasgāzes cena un</w:t>
      </w:r>
      <w:r w:rsidRPr="00120494">
        <w:rPr>
          <w:sz w:val="28"/>
          <w:szCs w:val="28"/>
        </w:rPr>
        <w:t xml:space="preserve"> </w:t>
      </w:r>
      <w:r w:rsidR="00E52784">
        <w:rPr>
          <w:sz w:val="28"/>
          <w:szCs w:val="28"/>
        </w:rPr>
        <w:t>OI</w:t>
      </w:r>
      <w:r w:rsidRPr="00120494">
        <w:rPr>
          <w:sz w:val="28"/>
          <w:szCs w:val="28"/>
        </w:rPr>
        <w:t xml:space="preserve"> ietvaros pārdotās elektroenerģijas apjoms, ko ietekmē Latvijas klimatiskie apstākļi</w:t>
      </w:r>
      <w:r w:rsidR="008214A1">
        <w:rPr>
          <w:sz w:val="28"/>
          <w:szCs w:val="28"/>
        </w:rPr>
        <w:t>, kā piemēram, siltos laikapstākļos samazinās pieprasījums pēc siltumenerģijas, kā rezultātā samazinās arī koģenerācijā saražotās elektroenerģijas daudzums, ko iepērk OI ietvaros</w:t>
      </w:r>
      <w:r w:rsidRPr="00120494">
        <w:rPr>
          <w:sz w:val="28"/>
          <w:szCs w:val="28"/>
        </w:rPr>
        <w:t xml:space="preserve">. </w:t>
      </w:r>
      <w:r w:rsidRPr="003B6509">
        <w:rPr>
          <w:sz w:val="28"/>
          <w:szCs w:val="28"/>
        </w:rPr>
        <w:t>Iekasētā SEN ieņēmumu apjoms ir mazāks par prognozēto dabasgāzes cenas krituma dēļ.</w:t>
      </w:r>
    </w:p>
    <w:p w14:paraId="5A77598A" w14:textId="77777777" w:rsidR="001951DF" w:rsidRDefault="001951DF" w:rsidP="00F45744">
      <w:pPr>
        <w:spacing w:after="0" w:line="240" w:lineRule="auto"/>
        <w:ind w:firstLine="851"/>
        <w:rPr>
          <w:sz w:val="16"/>
          <w:szCs w:val="28"/>
        </w:rPr>
      </w:pPr>
    </w:p>
    <w:p w14:paraId="2FB2E045" w14:textId="5EB02FFE" w:rsidR="00F45744" w:rsidRPr="0052754F" w:rsidRDefault="00CA09A1" w:rsidP="00CA09A1">
      <w:pPr>
        <w:spacing w:after="0" w:line="240" w:lineRule="auto"/>
        <w:rPr>
          <w:sz w:val="16"/>
          <w:szCs w:val="28"/>
        </w:rPr>
      </w:pPr>
      <w:r>
        <w:rPr>
          <w:noProof/>
          <w:lang w:eastAsia="lv-LV"/>
        </w:rPr>
        <w:drawing>
          <wp:inline distT="0" distB="0" distL="0" distR="0" wp14:anchorId="4F84BEA7" wp14:editId="3292F63E">
            <wp:extent cx="5274310" cy="2320290"/>
            <wp:effectExtent l="0" t="0" r="254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lv-LV"/>
        </w:rPr>
        <w:t xml:space="preserve"> </w:t>
      </w:r>
    </w:p>
    <w:p w14:paraId="7C52886F" w14:textId="607D8756" w:rsidR="00F45744" w:rsidRPr="00D67152" w:rsidRDefault="001951DF" w:rsidP="00F45744">
      <w:pPr>
        <w:pStyle w:val="BodyText2"/>
        <w:rPr>
          <w:b/>
          <w:szCs w:val="24"/>
        </w:rPr>
      </w:pPr>
      <w:r>
        <w:rPr>
          <w:b/>
          <w:szCs w:val="24"/>
        </w:rPr>
        <w:t>5</w:t>
      </w:r>
      <w:r w:rsidR="00F45744" w:rsidRPr="00500F12">
        <w:rPr>
          <w:b/>
          <w:szCs w:val="24"/>
        </w:rPr>
        <w:t xml:space="preserve">.attēls. Faktiskie un plānotie SEN ieņēmumi 2014.gadā-2016.gada </w:t>
      </w:r>
      <w:r w:rsidR="00F341DF">
        <w:rPr>
          <w:b/>
          <w:szCs w:val="24"/>
        </w:rPr>
        <w:t>6</w:t>
      </w:r>
      <w:r w:rsidR="00F45744" w:rsidRPr="00500F12">
        <w:rPr>
          <w:b/>
          <w:szCs w:val="24"/>
        </w:rPr>
        <w:t xml:space="preserve"> mēnešos, milj. EUR. </w:t>
      </w:r>
      <w:r w:rsidR="00F45744" w:rsidRPr="00500F12">
        <w:rPr>
          <w:szCs w:val="24"/>
        </w:rPr>
        <w:t>(Avots: Valsts ieņēmumu dienests)</w:t>
      </w:r>
    </w:p>
    <w:p w14:paraId="05491492" w14:textId="4ABDDDBC" w:rsidR="00F45744" w:rsidRDefault="00F45744" w:rsidP="00F45744">
      <w:pPr>
        <w:spacing w:before="120" w:after="0" w:line="240" w:lineRule="auto"/>
        <w:ind w:firstLine="851"/>
        <w:rPr>
          <w:sz w:val="28"/>
          <w:szCs w:val="28"/>
        </w:rPr>
      </w:pPr>
      <w:r w:rsidRPr="00120494">
        <w:rPr>
          <w:sz w:val="28"/>
          <w:szCs w:val="28"/>
        </w:rPr>
        <w:t xml:space="preserve">Veicot </w:t>
      </w:r>
      <w:r w:rsidR="00E52784">
        <w:rPr>
          <w:sz w:val="28"/>
          <w:szCs w:val="28"/>
        </w:rPr>
        <w:t>OI</w:t>
      </w:r>
      <w:r w:rsidR="00785271">
        <w:rPr>
          <w:sz w:val="28"/>
          <w:szCs w:val="28"/>
        </w:rPr>
        <w:t xml:space="preserve"> izmaksu analīzi, ir</w:t>
      </w:r>
      <w:r w:rsidRPr="00120494">
        <w:rPr>
          <w:sz w:val="28"/>
          <w:szCs w:val="28"/>
        </w:rPr>
        <w:t xml:space="preserve"> koriģēta arī SEN ieņēmumu prognoze turpmāk</w:t>
      </w:r>
      <w:r w:rsidR="00785271">
        <w:rPr>
          <w:sz w:val="28"/>
          <w:szCs w:val="28"/>
        </w:rPr>
        <w:t>aj</w:t>
      </w:r>
      <w:r w:rsidRPr="00120494">
        <w:rPr>
          <w:sz w:val="28"/>
          <w:szCs w:val="28"/>
        </w:rPr>
        <w:t>iem gadiem. Prognozēs pieņemts, ka savu darbību turpina gan jau ekspluatācijā nodotās elektrostacijas</w:t>
      </w:r>
      <w:r w:rsidRPr="00A0647E">
        <w:rPr>
          <w:sz w:val="28"/>
          <w:szCs w:val="28"/>
        </w:rPr>
        <w:t xml:space="preserve">, </w:t>
      </w:r>
      <w:r w:rsidRPr="00334CE7">
        <w:rPr>
          <w:sz w:val="28"/>
          <w:szCs w:val="28"/>
        </w:rPr>
        <w:t xml:space="preserve">kā arī pieņemts, ka elektroenerģijas ražošanu </w:t>
      </w:r>
      <w:r w:rsidR="00E52784">
        <w:rPr>
          <w:sz w:val="28"/>
          <w:szCs w:val="28"/>
        </w:rPr>
        <w:t>OI</w:t>
      </w:r>
      <w:r w:rsidRPr="00334CE7">
        <w:rPr>
          <w:sz w:val="28"/>
          <w:szCs w:val="28"/>
        </w:rPr>
        <w:t xml:space="preserve"> ietvaros vai saņemot garantētu maksu savu darbību uzsāks </w:t>
      </w:r>
      <w:r w:rsidR="00CA09A1">
        <w:rPr>
          <w:sz w:val="28"/>
          <w:szCs w:val="28"/>
        </w:rPr>
        <w:t xml:space="preserve">daļa no </w:t>
      </w:r>
      <w:r w:rsidRPr="00334CE7">
        <w:rPr>
          <w:sz w:val="28"/>
          <w:szCs w:val="28"/>
        </w:rPr>
        <w:t>tā</w:t>
      </w:r>
      <w:r w:rsidR="00CA09A1">
        <w:rPr>
          <w:sz w:val="28"/>
          <w:szCs w:val="28"/>
        </w:rPr>
        <w:t>m</w:t>
      </w:r>
      <w:r w:rsidRPr="00334CE7">
        <w:rPr>
          <w:sz w:val="28"/>
          <w:szCs w:val="28"/>
        </w:rPr>
        <w:t xml:space="preserve"> elektrostacij</w:t>
      </w:r>
      <w:r w:rsidR="00CA09A1">
        <w:rPr>
          <w:sz w:val="28"/>
          <w:szCs w:val="28"/>
        </w:rPr>
        <w:t>ām</w:t>
      </w:r>
      <w:r w:rsidRPr="00334CE7">
        <w:rPr>
          <w:sz w:val="28"/>
          <w:szCs w:val="28"/>
        </w:rPr>
        <w:t xml:space="preserve">, kurām ir spēkā lēmums par tiesību piešķiršanu elektroenerģijas pārdošanai </w:t>
      </w:r>
      <w:r w:rsidR="00E52784">
        <w:rPr>
          <w:sz w:val="28"/>
          <w:szCs w:val="28"/>
        </w:rPr>
        <w:t>OI</w:t>
      </w:r>
      <w:r w:rsidRPr="00334CE7">
        <w:rPr>
          <w:sz w:val="28"/>
          <w:szCs w:val="28"/>
        </w:rPr>
        <w:t xml:space="preserve"> ietvaros</w:t>
      </w:r>
      <w:r w:rsidRPr="00A0647E">
        <w:rPr>
          <w:sz w:val="28"/>
          <w:szCs w:val="28"/>
        </w:rPr>
        <w:t>.</w:t>
      </w:r>
      <w:r w:rsidRPr="00120494">
        <w:rPr>
          <w:sz w:val="28"/>
          <w:szCs w:val="28"/>
        </w:rPr>
        <w:t xml:space="preserve"> Ņemot vērā minētos pieņēmumus, izveidot</w:t>
      </w:r>
      <w:r>
        <w:rPr>
          <w:sz w:val="28"/>
          <w:szCs w:val="28"/>
        </w:rPr>
        <w:t>a</w:t>
      </w:r>
      <w:r w:rsidRPr="00120494">
        <w:rPr>
          <w:sz w:val="28"/>
          <w:szCs w:val="28"/>
        </w:rPr>
        <w:t xml:space="preserve"> SEN ieņēmumu</w:t>
      </w:r>
      <w:r>
        <w:rPr>
          <w:sz w:val="28"/>
          <w:szCs w:val="28"/>
        </w:rPr>
        <w:t xml:space="preserve"> prognoze ar </w:t>
      </w:r>
      <w:r w:rsidRPr="00120494">
        <w:rPr>
          <w:sz w:val="28"/>
          <w:szCs w:val="28"/>
        </w:rPr>
        <w:t>sadalījumu pa mēnešiem 201</w:t>
      </w:r>
      <w:r>
        <w:rPr>
          <w:sz w:val="28"/>
          <w:szCs w:val="28"/>
        </w:rPr>
        <w:t>6</w:t>
      </w:r>
      <w:r w:rsidRPr="00120494">
        <w:rPr>
          <w:sz w:val="28"/>
          <w:szCs w:val="28"/>
        </w:rPr>
        <w:t>. - 201</w:t>
      </w:r>
      <w:r>
        <w:rPr>
          <w:sz w:val="28"/>
          <w:szCs w:val="28"/>
        </w:rPr>
        <w:t>8</w:t>
      </w:r>
      <w:r w:rsidRPr="00120494">
        <w:rPr>
          <w:sz w:val="28"/>
          <w:szCs w:val="28"/>
        </w:rPr>
        <w:t>.gadam</w:t>
      </w:r>
      <w:r w:rsidR="00785271">
        <w:rPr>
          <w:sz w:val="28"/>
          <w:szCs w:val="28"/>
        </w:rPr>
        <w:t xml:space="preserve"> (8.tabula)</w:t>
      </w:r>
      <w:r w:rsidRPr="00120494">
        <w:rPr>
          <w:sz w:val="28"/>
          <w:szCs w:val="28"/>
        </w:rPr>
        <w:t>.</w:t>
      </w:r>
    </w:p>
    <w:p w14:paraId="5FA6DD75" w14:textId="77777777" w:rsidR="00F45744" w:rsidRPr="00D116AC" w:rsidRDefault="00785271" w:rsidP="00F45744">
      <w:pPr>
        <w:pStyle w:val="Caption"/>
        <w:keepNext/>
        <w:jc w:val="right"/>
        <w:rPr>
          <w:rFonts w:ascii="Times New Roman" w:hAnsi="Times New Roman"/>
          <w:sz w:val="24"/>
          <w:szCs w:val="24"/>
        </w:rPr>
      </w:pPr>
      <w:r>
        <w:rPr>
          <w:rFonts w:ascii="Times New Roman" w:hAnsi="Times New Roman"/>
          <w:sz w:val="24"/>
          <w:szCs w:val="24"/>
        </w:rPr>
        <w:lastRenderedPageBreak/>
        <w:t>8</w:t>
      </w:r>
      <w:r w:rsidR="00F45744" w:rsidRPr="00D116AC">
        <w:rPr>
          <w:rFonts w:ascii="Times New Roman" w:hAnsi="Times New Roman"/>
          <w:sz w:val="24"/>
          <w:szCs w:val="24"/>
        </w:rPr>
        <w:t>.tabula</w:t>
      </w:r>
    </w:p>
    <w:p w14:paraId="1F8AC917" w14:textId="77777777" w:rsidR="00F45744" w:rsidRPr="009E280D" w:rsidRDefault="00F45744" w:rsidP="00F45744">
      <w:pPr>
        <w:pStyle w:val="Caption"/>
        <w:keepNext/>
        <w:keepLines/>
        <w:widowControl/>
        <w:jc w:val="center"/>
        <w:rPr>
          <w:rFonts w:ascii="Times New Roman" w:hAnsi="Times New Roman"/>
          <w:sz w:val="24"/>
          <w:szCs w:val="24"/>
        </w:rPr>
      </w:pPr>
      <w:r w:rsidRPr="0068007C">
        <w:rPr>
          <w:rFonts w:ascii="Times New Roman" w:hAnsi="Times New Roman"/>
          <w:sz w:val="24"/>
          <w:szCs w:val="24"/>
        </w:rPr>
        <w:t>SEN ieņēmum</w:t>
      </w:r>
      <w:r>
        <w:rPr>
          <w:rFonts w:ascii="Times New Roman" w:hAnsi="Times New Roman"/>
          <w:sz w:val="24"/>
          <w:szCs w:val="24"/>
        </w:rPr>
        <w:t>u prognoze</w:t>
      </w:r>
      <w:r>
        <w:rPr>
          <w:rStyle w:val="FootnoteReference"/>
          <w:szCs w:val="24"/>
        </w:rPr>
        <w:footnoteReference w:id="9"/>
      </w:r>
      <w:r>
        <w:rPr>
          <w:rFonts w:ascii="Times New Roman" w:hAnsi="Times New Roman"/>
          <w:sz w:val="24"/>
          <w:szCs w:val="24"/>
        </w:rPr>
        <w:t>, milj. EUR</w:t>
      </w:r>
    </w:p>
    <w:tbl>
      <w:tblPr>
        <w:tblStyle w:val="TableGrid"/>
        <w:tblW w:w="0" w:type="auto"/>
        <w:jc w:val="center"/>
        <w:tblLook w:val="04A0" w:firstRow="1" w:lastRow="0" w:firstColumn="1" w:lastColumn="0" w:noHBand="0" w:noVBand="1"/>
      </w:tblPr>
      <w:tblGrid>
        <w:gridCol w:w="3154"/>
        <w:gridCol w:w="1537"/>
        <w:gridCol w:w="1537"/>
        <w:gridCol w:w="1656"/>
      </w:tblGrid>
      <w:tr w:rsidR="00F45744" w:rsidRPr="003A2A3B" w14:paraId="7AF6F754" w14:textId="77777777" w:rsidTr="00F45744">
        <w:trPr>
          <w:jc w:val="center"/>
        </w:trPr>
        <w:tc>
          <w:tcPr>
            <w:tcW w:w="3154" w:type="dxa"/>
          </w:tcPr>
          <w:p w14:paraId="2A514D4D" w14:textId="77777777" w:rsidR="00F45744" w:rsidRPr="003A2A3B" w:rsidRDefault="00F45744" w:rsidP="00F45744">
            <w:pPr>
              <w:keepNext/>
              <w:keepLines/>
              <w:tabs>
                <w:tab w:val="left" w:pos="709"/>
              </w:tabs>
              <w:spacing w:line="240" w:lineRule="auto"/>
              <w:jc w:val="center"/>
              <w:rPr>
                <w:bCs/>
                <w:color w:val="000000"/>
                <w:szCs w:val="24"/>
              </w:rPr>
            </w:pPr>
          </w:p>
        </w:tc>
        <w:tc>
          <w:tcPr>
            <w:tcW w:w="1537" w:type="dxa"/>
          </w:tcPr>
          <w:p w14:paraId="0C0F4390" w14:textId="77777777" w:rsidR="00F45744" w:rsidRPr="003A2A3B" w:rsidRDefault="00F45744" w:rsidP="00F45744">
            <w:pPr>
              <w:keepNext/>
              <w:keepLines/>
              <w:tabs>
                <w:tab w:val="left" w:pos="709"/>
              </w:tabs>
              <w:spacing w:line="240" w:lineRule="auto"/>
              <w:jc w:val="center"/>
              <w:rPr>
                <w:bCs/>
                <w:color w:val="000000"/>
                <w:szCs w:val="24"/>
              </w:rPr>
            </w:pPr>
            <w:r>
              <w:rPr>
                <w:b/>
                <w:bCs/>
                <w:color w:val="000000"/>
                <w:szCs w:val="24"/>
              </w:rPr>
              <w:t>2016</w:t>
            </w:r>
            <w:r w:rsidR="00203FC2">
              <w:rPr>
                <w:b/>
                <w:bCs/>
                <w:color w:val="000000"/>
                <w:szCs w:val="24"/>
              </w:rPr>
              <w:t>.</w:t>
            </w:r>
          </w:p>
        </w:tc>
        <w:tc>
          <w:tcPr>
            <w:tcW w:w="1537" w:type="dxa"/>
            <w:tcBorders>
              <w:bottom w:val="single" w:sz="4" w:space="0" w:color="auto"/>
            </w:tcBorders>
          </w:tcPr>
          <w:p w14:paraId="409FB4D1" w14:textId="77777777" w:rsidR="00F45744" w:rsidRPr="003A2A3B" w:rsidRDefault="00F45744" w:rsidP="00F45744">
            <w:pPr>
              <w:keepNext/>
              <w:keepLines/>
              <w:tabs>
                <w:tab w:val="left" w:pos="709"/>
              </w:tabs>
              <w:spacing w:line="240" w:lineRule="auto"/>
              <w:jc w:val="center"/>
              <w:rPr>
                <w:bCs/>
                <w:color w:val="000000"/>
                <w:szCs w:val="24"/>
              </w:rPr>
            </w:pPr>
            <w:r>
              <w:rPr>
                <w:b/>
                <w:bCs/>
                <w:color w:val="000000"/>
                <w:szCs w:val="24"/>
              </w:rPr>
              <w:t>2017</w:t>
            </w:r>
            <w:r w:rsidR="00203FC2">
              <w:rPr>
                <w:b/>
                <w:bCs/>
                <w:color w:val="000000"/>
                <w:szCs w:val="24"/>
              </w:rPr>
              <w:t>.</w:t>
            </w:r>
          </w:p>
        </w:tc>
        <w:tc>
          <w:tcPr>
            <w:tcW w:w="1656" w:type="dxa"/>
            <w:tcBorders>
              <w:bottom w:val="single" w:sz="4" w:space="0" w:color="auto"/>
            </w:tcBorders>
          </w:tcPr>
          <w:p w14:paraId="49E89708" w14:textId="77777777" w:rsidR="00F45744" w:rsidRPr="003A2A3B" w:rsidRDefault="00F45744" w:rsidP="00F45744">
            <w:pPr>
              <w:keepNext/>
              <w:keepLines/>
              <w:tabs>
                <w:tab w:val="left" w:pos="709"/>
              </w:tabs>
              <w:spacing w:line="240" w:lineRule="auto"/>
              <w:jc w:val="center"/>
              <w:rPr>
                <w:b/>
                <w:bCs/>
                <w:color w:val="000000"/>
                <w:szCs w:val="24"/>
              </w:rPr>
            </w:pPr>
            <w:r>
              <w:rPr>
                <w:b/>
                <w:bCs/>
                <w:color w:val="000000"/>
                <w:szCs w:val="24"/>
              </w:rPr>
              <w:t>2018</w:t>
            </w:r>
            <w:r w:rsidR="00203FC2">
              <w:rPr>
                <w:b/>
                <w:bCs/>
                <w:color w:val="000000"/>
                <w:szCs w:val="24"/>
              </w:rPr>
              <w:t>.</w:t>
            </w:r>
          </w:p>
        </w:tc>
      </w:tr>
      <w:tr w:rsidR="00A30464" w:rsidRPr="003A2A3B" w14:paraId="50E82BAA" w14:textId="77777777" w:rsidTr="0046188F">
        <w:trPr>
          <w:trHeight w:val="58"/>
          <w:jc w:val="center"/>
        </w:trPr>
        <w:tc>
          <w:tcPr>
            <w:tcW w:w="3154" w:type="dxa"/>
          </w:tcPr>
          <w:p w14:paraId="6F7B4128"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Janvāris</w:t>
            </w:r>
          </w:p>
        </w:tc>
        <w:tc>
          <w:tcPr>
            <w:tcW w:w="1537" w:type="dxa"/>
          </w:tcPr>
          <w:p w14:paraId="667F8E3F" w14:textId="77777777" w:rsidR="00A30464" w:rsidRPr="000B553F" w:rsidRDefault="00A30464" w:rsidP="00A30464">
            <w:pPr>
              <w:keepNext/>
              <w:keepLines/>
              <w:spacing w:line="240" w:lineRule="auto"/>
              <w:jc w:val="center"/>
            </w:pPr>
            <w:r w:rsidRPr="00070589">
              <w:t>2,501*</w:t>
            </w:r>
          </w:p>
        </w:tc>
        <w:tc>
          <w:tcPr>
            <w:tcW w:w="1537" w:type="dxa"/>
            <w:vAlign w:val="bottom"/>
          </w:tcPr>
          <w:p w14:paraId="4680E452" w14:textId="77777777" w:rsidR="00A30464" w:rsidRPr="00556373" w:rsidRDefault="00A30464" w:rsidP="00A30464">
            <w:pPr>
              <w:keepNext/>
              <w:keepLines/>
              <w:spacing w:line="240" w:lineRule="auto"/>
              <w:jc w:val="center"/>
            </w:pPr>
            <w:r w:rsidRPr="00556373">
              <w:t>2,842</w:t>
            </w:r>
          </w:p>
        </w:tc>
        <w:tc>
          <w:tcPr>
            <w:tcW w:w="1656" w:type="dxa"/>
            <w:tcBorders>
              <w:bottom w:val="single" w:sz="4" w:space="0" w:color="auto"/>
            </w:tcBorders>
            <w:vAlign w:val="center"/>
          </w:tcPr>
          <w:p w14:paraId="59C40B09" w14:textId="77777777" w:rsidR="00A30464" w:rsidRPr="003A2A3B" w:rsidRDefault="00A30464" w:rsidP="00A30464">
            <w:pPr>
              <w:keepNext/>
              <w:keepLines/>
              <w:spacing w:line="240" w:lineRule="auto"/>
              <w:jc w:val="center"/>
              <w:rPr>
                <w:szCs w:val="24"/>
              </w:rPr>
            </w:pPr>
            <w:r>
              <w:rPr>
                <w:szCs w:val="24"/>
              </w:rPr>
              <w:t>3,023</w:t>
            </w:r>
            <w:r w:rsidRPr="00070589">
              <w:rPr>
                <w:szCs w:val="24"/>
              </w:rPr>
              <w:t>**</w:t>
            </w:r>
          </w:p>
        </w:tc>
      </w:tr>
      <w:tr w:rsidR="00A30464" w:rsidRPr="003A2A3B" w14:paraId="1012D8DE" w14:textId="77777777" w:rsidTr="0046188F">
        <w:trPr>
          <w:jc w:val="center"/>
        </w:trPr>
        <w:tc>
          <w:tcPr>
            <w:tcW w:w="3154" w:type="dxa"/>
          </w:tcPr>
          <w:p w14:paraId="75DFF8F6"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Februāris</w:t>
            </w:r>
          </w:p>
        </w:tc>
        <w:tc>
          <w:tcPr>
            <w:tcW w:w="1537" w:type="dxa"/>
          </w:tcPr>
          <w:p w14:paraId="2C5EFE43" w14:textId="77777777" w:rsidR="00A30464" w:rsidRPr="000B553F" w:rsidRDefault="00A30464" w:rsidP="00A30464">
            <w:pPr>
              <w:keepNext/>
              <w:keepLines/>
              <w:spacing w:line="240" w:lineRule="auto"/>
              <w:jc w:val="center"/>
            </w:pPr>
            <w:r w:rsidRPr="000B553F">
              <w:t>2,721</w:t>
            </w:r>
            <w:r w:rsidRPr="00070589">
              <w:t>*</w:t>
            </w:r>
          </w:p>
        </w:tc>
        <w:tc>
          <w:tcPr>
            <w:tcW w:w="1537" w:type="dxa"/>
            <w:vAlign w:val="bottom"/>
          </w:tcPr>
          <w:p w14:paraId="534D24C8" w14:textId="77777777" w:rsidR="00A30464" w:rsidRPr="00556373" w:rsidRDefault="00A30464" w:rsidP="00A30464">
            <w:pPr>
              <w:keepNext/>
              <w:keepLines/>
              <w:spacing w:line="240" w:lineRule="auto"/>
              <w:jc w:val="center"/>
            </w:pPr>
            <w:r w:rsidRPr="00556373">
              <w:t>2,613</w:t>
            </w:r>
          </w:p>
        </w:tc>
        <w:tc>
          <w:tcPr>
            <w:tcW w:w="1656" w:type="dxa"/>
            <w:tcBorders>
              <w:bottom w:val="single" w:sz="4" w:space="0" w:color="auto"/>
              <w:right w:val="single" w:sz="4" w:space="0" w:color="auto"/>
            </w:tcBorders>
            <w:vAlign w:val="center"/>
          </w:tcPr>
          <w:p w14:paraId="518901B2" w14:textId="77777777" w:rsidR="00A30464" w:rsidRPr="003A2A3B" w:rsidRDefault="00A30464" w:rsidP="00A30464">
            <w:pPr>
              <w:keepNext/>
              <w:keepLines/>
              <w:spacing w:line="240" w:lineRule="auto"/>
              <w:jc w:val="center"/>
              <w:rPr>
                <w:szCs w:val="24"/>
              </w:rPr>
            </w:pPr>
            <w:r w:rsidRPr="00070589">
              <w:rPr>
                <w:szCs w:val="24"/>
              </w:rPr>
              <w:t>2,</w:t>
            </w:r>
            <w:r>
              <w:rPr>
                <w:szCs w:val="24"/>
              </w:rPr>
              <w:t>780</w:t>
            </w:r>
            <w:r w:rsidRPr="00070589">
              <w:rPr>
                <w:szCs w:val="24"/>
              </w:rPr>
              <w:t>**</w:t>
            </w:r>
          </w:p>
        </w:tc>
      </w:tr>
      <w:tr w:rsidR="00A30464" w:rsidRPr="003A2A3B" w14:paraId="57E5F275" w14:textId="77777777" w:rsidTr="0046188F">
        <w:trPr>
          <w:jc w:val="center"/>
        </w:trPr>
        <w:tc>
          <w:tcPr>
            <w:tcW w:w="3154" w:type="dxa"/>
          </w:tcPr>
          <w:p w14:paraId="3E166FE6"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Marts</w:t>
            </w:r>
          </w:p>
        </w:tc>
        <w:tc>
          <w:tcPr>
            <w:tcW w:w="1537" w:type="dxa"/>
          </w:tcPr>
          <w:p w14:paraId="7DCFADAE" w14:textId="77777777" w:rsidR="00A30464" w:rsidRPr="000B553F" w:rsidRDefault="00A30464" w:rsidP="00A30464">
            <w:pPr>
              <w:keepNext/>
              <w:keepLines/>
              <w:spacing w:line="240" w:lineRule="auto"/>
              <w:jc w:val="center"/>
            </w:pPr>
            <w:r w:rsidRPr="000B553F">
              <w:t>2,636</w:t>
            </w:r>
            <w:r w:rsidRPr="00070589">
              <w:t>*</w:t>
            </w:r>
          </w:p>
        </w:tc>
        <w:tc>
          <w:tcPr>
            <w:tcW w:w="1537" w:type="dxa"/>
            <w:tcBorders>
              <w:right w:val="single" w:sz="4" w:space="0" w:color="auto"/>
            </w:tcBorders>
            <w:vAlign w:val="bottom"/>
          </w:tcPr>
          <w:p w14:paraId="2346F854" w14:textId="77777777" w:rsidR="00A30464" w:rsidRPr="00556373" w:rsidRDefault="00A30464" w:rsidP="00A30464">
            <w:pPr>
              <w:keepNext/>
              <w:keepLines/>
              <w:spacing w:line="240" w:lineRule="auto"/>
              <w:jc w:val="center"/>
            </w:pPr>
            <w:r w:rsidRPr="00556373">
              <w:t>2,822</w:t>
            </w:r>
          </w:p>
        </w:tc>
        <w:tc>
          <w:tcPr>
            <w:tcW w:w="1656" w:type="dxa"/>
            <w:tcBorders>
              <w:top w:val="single" w:sz="4" w:space="0" w:color="auto"/>
              <w:left w:val="single" w:sz="4" w:space="0" w:color="auto"/>
              <w:bottom w:val="nil"/>
              <w:right w:val="nil"/>
            </w:tcBorders>
          </w:tcPr>
          <w:p w14:paraId="74B17BC4" w14:textId="77777777" w:rsidR="00A30464" w:rsidRPr="003A2A3B" w:rsidRDefault="00A30464" w:rsidP="00A30464">
            <w:pPr>
              <w:keepNext/>
              <w:keepLines/>
              <w:spacing w:line="240" w:lineRule="auto"/>
              <w:jc w:val="center"/>
              <w:rPr>
                <w:szCs w:val="24"/>
              </w:rPr>
            </w:pPr>
          </w:p>
        </w:tc>
      </w:tr>
      <w:tr w:rsidR="00A30464" w:rsidRPr="003A2A3B" w14:paraId="72DDDDEB" w14:textId="77777777" w:rsidTr="0046188F">
        <w:trPr>
          <w:jc w:val="center"/>
        </w:trPr>
        <w:tc>
          <w:tcPr>
            <w:tcW w:w="3154" w:type="dxa"/>
          </w:tcPr>
          <w:p w14:paraId="2B934DD8"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Aprīlis</w:t>
            </w:r>
          </w:p>
        </w:tc>
        <w:tc>
          <w:tcPr>
            <w:tcW w:w="1537" w:type="dxa"/>
          </w:tcPr>
          <w:p w14:paraId="4D1E1B0E" w14:textId="77777777" w:rsidR="00A30464" w:rsidRPr="000B553F" w:rsidRDefault="00A30464" w:rsidP="00A30464">
            <w:pPr>
              <w:keepNext/>
              <w:keepLines/>
              <w:spacing w:line="240" w:lineRule="auto"/>
              <w:jc w:val="center"/>
            </w:pPr>
            <w:r w:rsidRPr="000B553F">
              <w:t>2,617</w:t>
            </w:r>
            <w:r w:rsidRPr="00070589">
              <w:t>*</w:t>
            </w:r>
          </w:p>
        </w:tc>
        <w:tc>
          <w:tcPr>
            <w:tcW w:w="1537" w:type="dxa"/>
            <w:tcBorders>
              <w:right w:val="single" w:sz="4" w:space="0" w:color="auto"/>
            </w:tcBorders>
            <w:vAlign w:val="bottom"/>
          </w:tcPr>
          <w:p w14:paraId="1700BBC9" w14:textId="77777777" w:rsidR="00A30464" w:rsidRPr="00556373" w:rsidRDefault="00A30464" w:rsidP="00A30464">
            <w:pPr>
              <w:keepNext/>
              <w:keepLines/>
              <w:spacing w:line="240" w:lineRule="auto"/>
              <w:jc w:val="center"/>
            </w:pPr>
            <w:r w:rsidRPr="00556373">
              <w:t>2,809</w:t>
            </w:r>
          </w:p>
        </w:tc>
        <w:tc>
          <w:tcPr>
            <w:tcW w:w="1656" w:type="dxa"/>
            <w:tcBorders>
              <w:top w:val="nil"/>
              <w:left w:val="single" w:sz="4" w:space="0" w:color="auto"/>
              <w:bottom w:val="nil"/>
              <w:right w:val="nil"/>
            </w:tcBorders>
          </w:tcPr>
          <w:p w14:paraId="1230BD61" w14:textId="77777777" w:rsidR="00A30464" w:rsidRPr="003A2A3B" w:rsidRDefault="00A30464" w:rsidP="00A30464">
            <w:pPr>
              <w:keepNext/>
              <w:keepLines/>
              <w:spacing w:line="240" w:lineRule="auto"/>
              <w:jc w:val="center"/>
              <w:rPr>
                <w:szCs w:val="24"/>
              </w:rPr>
            </w:pPr>
          </w:p>
        </w:tc>
      </w:tr>
      <w:tr w:rsidR="00A30464" w:rsidRPr="003A2A3B" w14:paraId="5FEB8C8E" w14:textId="77777777" w:rsidTr="0046188F">
        <w:trPr>
          <w:jc w:val="center"/>
        </w:trPr>
        <w:tc>
          <w:tcPr>
            <w:tcW w:w="3154" w:type="dxa"/>
          </w:tcPr>
          <w:p w14:paraId="44977C9A"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Maijs</w:t>
            </w:r>
          </w:p>
        </w:tc>
        <w:tc>
          <w:tcPr>
            <w:tcW w:w="1537" w:type="dxa"/>
          </w:tcPr>
          <w:p w14:paraId="02940015" w14:textId="77777777" w:rsidR="00A30464" w:rsidRPr="000B553F" w:rsidRDefault="00A30464" w:rsidP="00A30464">
            <w:pPr>
              <w:keepNext/>
              <w:keepLines/>
              <w:spacing w:line="240" w:lineRule="auto"/>
              <w:jc w:val="center"/>
            </w:pPr>
            <w:r w:rsidRPr="000B553F">
              <w:t>2,665</w:t>
            </w:r>
            <w:r w:rsidRPr="00070589">
              <w:t>*</w:t>
            </w:r>
          </w:p>
        </w:tc>
        <w:tc>
          <w:tcPr>
            <w:tcW w:w="1537" w:type="dxa"/>
            <w:tcBorders>
              <w:right w:val="single" w:sz="4" w:space="0" w:color="auto"/>
            </w:tcBorders>
            <w:vAlign w:val="bottom"/>
          </w:tcPr>
          <w:p w14:paraId="02D3DAD5" w14:textId="77777777" w:rsidR="00A30464" w:rsidRPr="00556373" w:rsidRDefault="00A30464" w:rsidP="00A30464">
            <w:pPr>
              <w:keepNext/>
              <w:keepLines/>
              <w:spacing w:line="240" w:lineRule="auto"/>
              <w:jc w:val="center"/>
            </w:pPr>
            <w:r w:rsidRPr="00556373">
              <w:t>2,659</w:t>
            </w:r>
          </w:p>
        </w:tc>
        <w:tc>
          <w:tcPr>
            <w:tcW w:w="1656" w:type="dxa"/>
            <w:tcBorders>
              <w:top w:val="nil"/>
              <w:left w:val="single" w:sz="4" w:space="0" w:color="auto"/>
              <w:bottom w:val="nil"/>
              <w:right w:val="nil"/>
            </w:tcBorders>
          </w:tcPr>
          <w:p w14:paraId="147ECF83" w14:textId="77777777" w:rsidR="00A30464" w:rsidRPr="003A2A3B" w:rsidRDefault="00A30464" w:rsidP="00A30464">
            <w:pPr>
              <w:keepNext/>
              <w:keepLines/>
              <w:spacing w:line="240" w:lineRule="auto"/>
              <w:jc w:val="center"/>
              <w:rPr>
                <w:szCs w:val="24"/>
              </w:rPr>
            </w:pPr>
          </w:p>
        </w:tc>
      </w:tr>
      <w:tr w:rsidR="00A30464" w:rsidRPr="003A2A3B" w14:paraId="21EBAC5C" w14:textId="77777777" w:rsidTr="0046188F">
        <w:trPr>
          <w:jc w:val="center"/>
        </w:trPr>
        <w:tc>
          <w:tcPr>
            <w:tcW w:w="3154" w:type="dxa"/>
          </w:tcPr>
          <w:p w14:paraId="6A7C1019"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Jūnijs</w:t>
            </w:r>
          </w:p>
        </w:tc>
        <w:tc>
          <w:tcPr>
            <w:tcW w:w="1537" w:type="dxa"/>
            <w:vAlign w:val="bottom"/>
          </w:tcPr>
          <w:p w14:paraId="34828804" w14:textId="77777777" w:rsidR="00A30464" w:rsidRPr="00A30464" w:rsidRDefault="00A30464" w:rsidP="00A30464">
            <w:pPr>
              <w:keepNext/>
              <w:keepLines/>
              <w:spacing w:line="240" w:lineRule="auto"/>
              <w:jc w:val="center"/>
            </w:pPr>
            <w:r w:rsidRPr="00A30464">
              <w:t>2,449</w:t>
            </w:r>
            <w:r>
              <w:t>*</w:t>
            </w:r>
          </w:p>
        </w:tc>
        <w:tc>
          <w:tcPr>
            <w:tcW w:w="1537" w:type="dxa"/>
            <w:tcBorders>
              <w:right w:val="single" w:sz="4" w:space="0" w:color="auto"/>
            </w:tcBorders>
            <w:vAlign w:val="bottom"/>
          </w:tcPr>
          <w:p w14:paraId="0EA8E1BD" w14:textId="77777777" w:rsidR="00A30464" w:rsidRPr="00556373" w:rsidRDefault="00A30464" w:rsidP="00A30464">
            <w:pPr>
              <w:keepNext/>
              <w:keepLines/>
              <w:spacing w:line="240" w:lineRule="auto"/>
              <w:jc w:val="center"/>
            </w:pPr>
            <w:r w:rsidRPr="00556373">
              <w:t>2,476</w:t>
            </w:r>
          </w:p>
        </w:tc>
        <w:tc>
          <w:tcPr>
            <w:tcW w:w="1656" w:type="dxa"/>
            <w:tcBorders>
              <w:top w:val="nil"/>
              <w:left w:val="single" w:sz="4" w:space="0" w:color="auto"/>
              <w:bottom w:val="nil"/>
              <w:right w:val="nil"/>
            </w:tcBorders>
          </w:tcPr>
          <w:p w14:paraId="7FE8D2CB" w14:textId="77777777" w:rsidR="00A30464" w:rsidRPr="003A2A3B" w:rsidRDefault="00A30464" w:rsidP="00A30464">
            <w:pPr>
              <w:keepNext/>
              <w:keepLines/>
              <w:spacing w:line="240" w:lineRule="auto"/>
              <w:jc w:val="center"/>
              <w:rPr>
                <w:szCs w:val="24"/>
              </w:rPr>
            </w:pPr>
          </w:p>
        </w:tc>
      </w:tr>
      <w:tr w:rsidR="00A30464" w:rsidRPr="003A2A3B" w14:paraId="0FDB3E51" w14:textId="77777777" w:rsidTr="0046188F">
        <w:trPr>
          <w:jc w:val="center"/>
        </w:trPr>
        <w:tc>
          <w:tcPr>
            <w:tcW w:w="3154" w:type="dxa"/>
          </w:tcPr>
          <w:p w14:paraId="69400D93"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Jūlijs</w:t>
            </w:r>
          </w:p>
        </w:tc>
        <w:tc>
          <w:tcPr>
            <w:tcW w:w="1537" w:type="dxa"/>
            <w:vAlign w:val="bottom"/>
          </w:tcPr>
          <w:p w14:paraId="5955BD88" w14:textId="77777777" w:rsidR="00A30464" w:rsidRPr="00A30464" w:rsidRDefault="00A30464" w:rsidP="00A30464">
            <w:pPr>
              <w:keepNext/>
              <w:keepLines/>
              <w:spacing w:line="240" w:lineRule="auto"/>
              <w:jc w:val="center"/>
            </w:pPr>
            <w:r w:rsidRPr="00A30464">
              <w:t>2,279</w:t>
            </w:r>
          </w:p>
        </w:tc>
        <w:tc>
          <w:tcPr>
            <w:tcW w:w="1537" w:type="dxa"/>
            <w:tcBorders>
              <w:right w:val="single" w:sz="4" w:space="0" w:color="auto"/>
            </w:tcBorders>
            <w:vAlign w:val="bottom"/>
          </w:tcPr>
          <w:p w14:paraId="4954F148" w14:textId="77777777" w:rsidR="00A30464" w:rsidRPr="00556373" w:rsidRDefault="00A30464" w:rsidP="00A30464">
            <w:pPr>
              <w:keepNext/>
              <w:keepLines/>
              <w:spacing w:line="240" w:lineRule="auto"/>
              <w:jc w:val="center"/>
            </w:pPr>
            <w:r w:rsidRPr="00556373">
              <w:t>2,427</w:t>
            </w:r>
          </w:p>
        </w:tc>
        <w:tc>
          <w:tcPr>
            <w:tcW w:w="1656" w:type="dxa"/>
            <w:tcBorders>
              <w:top w:val="nil"/>
              <w:left w:val="single" w:sz="4" w:space="0" w:color="auto"/>
              <w:bottom w:val="nil"/>
              <w:right w:val="nil"/>
            </w:tcBorders>
          </w:tcPr>
          <w:p w14:paraId="5AB9400E" w14:textId="77777777" w:rsidR="00A30464" w:rsidRPr="003A2A3B" w:rsidRDefault="00A30464" w:rsidP="00A30464">
            <w:pPr>
              <w:keepNext/>
              <w:keepLines/>
              <w:spacing w:line="240" w:lineRule="auto"/>
              <w:jc w:val="center"/>
              <w:rPr>
                <w:szCs w:val="24"/>
              </w:rPr>
            </w:pPr>
          </w:p>
        </w:tc>
      </w:tr>
      <w:tr w:rsidR="00A30464" w:rsidRPr="003A2A3B" w14:paraId="4B7DE045" w14:textId="77777777" w:rsidTr="0046188F">
        <w:trPr>
          <w:trHeight w:val="235"/>
          <w:jc w:val="center"/>
        </w:trPr>
        <w:tc>
          <w:tcPr>
            <w:tcW w:w="3154" w:type="dxa"/>
          </w:tcPr>
          <w:p w14:paraId="68F26C1C"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Augusts</w:t>
            </w:r>
          </w:p>
        </w:tc>
        <w:tc>
          <w:tcPr>
            <w:tcW w:w="1537" w:type="dxa"/>
            <w:vAlign w:val="bottom"/>
          </w:tcPr>
          <w:p w14:paraId="372A6156" w14:textId="77777777" w:rsidR="00A30464" w:rsidRPr="00A30464" w:rsidRDefault="00A30464" w:rsidP="00A30464">
            <w:pPr>
              <w:keepNext/>
              <w:keepLines/>
              <w:spacing w:line="240" w:lineRule="auto"/>
              <w:jc w:val="center"/>
            </w:pPr>
            <w:r w:rsidRPr="00A30464">
              <w:t>2,294</w:t>
            </w:r>
          </w:p>
        </w:tc>
        <w:tc>
          <w:tcPr>
            <w:tcW w:w="1537" w:type="dxa"/>
            <w:tcBorders>
              <w:right w:val="single" w:sz="4" w:space="0" w:color="auto"/>
            </w:tcBorders>
            <w:vAlign w:val="bottom"/>
          </w:tcPr>
          <w:p w14:paraId="6FE5010C" w14:textId="77777777" w:rsidR="00A30464" w:rsidRPr="00556373" w:rsidRDefault="00A30464" w:rsidP="00A30464">
            <w:pPr>
              <w:keepNext/>
              <w:keepLines/>
              <w:spacing w:line="240" w:lineRule="auto"/>
              <w:jc w:val="center"/>
            </w:pPr>
            <w:r w:rsidRPr="00556373">
              <w:t>2,444</w:t>
            </w:r>
          </w:p>
        </w:tc>
        <w:tc>
          <w:tcPr>
            <w:tcW w:w="1656" w:type="dxa"/>
            <w:tcBorders>
              <w:top w:val="nil"/>
              <w:left w:val="single" w:sz="4" w:space="0" w:color="auto"/>
              <w:bottom w:val="nil"/>
              <w:right w:val="nil"/>
            </w:tcBorders>
          </w:tcPr>
          <w:p w14:paraId="3F661D46" w14:textId="77777777" w:rsidR="00A30464" w:rsidRPr="003A2A3B" w:rsidRDefault="00A30464" w:rsidP="00A30464">
            <w:pPr>
              <w:keepNext/>
              <w:keepLines/>
              <w:spacing w:line="240" w:lineRule="auto"/>
              <w:jc w:val="center"/>
              <w:rPr>
                <w:szCs w:val="24"/>
              </w:rPr>
            </w:pPr>
          </w:p>
        </w:tc>
      </w:tr>
      <w:tr w:rsidR="00A30464" w:rsidRPr="003A2A3B" w14:paraId="257D40E3" w14:textId="77777777" w:rsidTr="0046188F">
        <w:trPr>
          <w:jc w:val="center"/>
        </w:trPr>
        <w:tc>
          <w:tcPr>
            <w:tcW w:w="3154" w:type="dxa"/>
          </w:tcPr>
          <w:p w14:paraId="371188BD"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Septembris</w:t>
            </w:r>
          </w:p>
        </w:tc>
        <w:tc>
          <w:tcPr>
            <w:tcW w:w="1537" w:type="dxa"/>
            <w:vAlign w:val="bottom"/>
          </w:tcPr>
          <w:p w14:paraId="36B7940D" w14:textId="77777777" w:rsidR="00A30464" w:rsidRPr="00A30464" w:rsidRDefault="00A30464" w:rsidP="00A30464">
            <w:pPr>
              <w:keepNext/>
              <w:keepLines/>
              <w:spacing w:line="240" w:lineRule="auto"/>
              <w:jc w:val="center"/>
            </w:pPr>
            <w:r w:rsidRPr="00A30464">
              <w:t>2,421</w:t>
            </w:r>
          </w:p>
        </w:tc>
        <w:tc>
          <w:tcPr>
            <w:tcW w:w="1537" w:type="dxa"/>
            <w:tcBorders>
              <w:right w:val="single" w:sz="4" w:space="0" w:color="auto"/>
            </w:tcBorders>
            <w:vAlign w:val="bottom"/>
          </w:tcPr>
          <w:p w14:paraId="3BB784F3" w14:textId="77777777" w:rsidR="00A30464" w:rsidRPr="00556373" w:rsidRDefault="00A30464" w:rsidP="00A30464">
            <w:pPr>
              <w:keepNext/>
              <w:keepLines/>
              <w:spacing w:line="240" w:lineRule="auto"/>
              <w:jc w:val="center"/>
            </w:pPr>
            <w:r w:rsidRPr="00556373">
              <w:t>2,578</w:t>
            </w:r>
          </w:p>
        </w:tc>
        <w:tc>
          <w:tcPr>
            <w:tcW w:w="1656" w:type="dxa"/>
            <w:tcBorders>
              <w:top w:val="nil"/>
              <w:left w:val="single" w:sz="4" w:space="0" w:color="auto"/>
              <w:bottom w:val="nil"/>
              <w:right w:val="nil"/>
            </w:tcBorders>
          </w:tcPr>
          <w:p w14:paraId="0A742A09" w14:textId="77777777" w:rsidR="00A30464" w:rsidRPr="003A2A3B" w:rsidRDefault="00A30464" w:rsidP="00A30464">
            <w:pPr>
              <w:keepNext/>
              <w:keepLines/>
              <w:spacing w:line="240" w:lineRule="auto"/>
              <w:jc w:val="center"/>
              <w:rPr>
                <w:szCs w:val="24"/>
              </w:rPr>
            </w:pPr>
          </w:p>
        </w:tc>
      </w:tr>
      <w:tr w:rsidR="00A30464" w:rsidRPr="003A2A3B" w14:paraId="4B1DC649" w14:textId="77777777" w:rsidTr="0046188F">
        <w:trPr>
          <w:jc w:val="center"/>
        </w:trPr>
        <w:tc>
          <w:tcPr>
            <w:tcW w:w="3154" w:type="dxa"/>
          </w:tcPr>
          <w:p w14:paraId="512EFEFC"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Oktobris</w:t>
            </w:r>
          </w:p>
        </w:tc>
        <w:tc>
          <w:tcPr>
            <w:tcW w:w="1537" w:type="dxa"/>
            <w:vAlign w:val="bottom"/>
          </w:tcPr>
          <w:p w14:paraId="12F8DE12" w14:textId="77777777" w:rsidR="00A30464" w:rsidRPr="00A30464" w:rsidRDefault="00A30464" w:rsidP="00A30464">
            <w:pPr>
              <w:keepNext/>
              <w:keepLines/>
              <w:spacing w:line="240" w:lineRule="auto"/>
              <w:jc w:val="center"/>
            </w:pPr>
            <w:r w:rsidRPr="00A30464">
              <w:t>2,678</w:t>
            </w:r>
          </w:p>
        </w:tc>
        <w:tc>
          <w:tcPr>
            <w:tcW w:w="1537" w:type="dxa"/>
            <w:tcBorders>
              <w:right w:val="single" w:sz="4" w:space="0" w:color="auto"/>
            </w:tcBorders>
            <w:vAlign w:val="bottom"/>
          </w:tcPr>
          <w:p w14:paraId="706C07D1" w14:textId="77777777" w:rsidR="00A30464" w:rsidRPr="00556373" w:rsidRDefault="00A30464" w:rsidP="00A30464">
            <w:pPr>
              <w:keepNext/>
              <w:keepLines/>
              <w:spacing w:line="240" w:lineRule="auto"/>
              <w:jc w:val="center"/>
            </w:pPr>
            <w:r w:rsidRPr="00556373">
              <w:t>2,852</w:t>
            </w:r>
          </w:p>
        </w:tc>
        <w:tc>
          <w:tcPr>
            <w:tcW w:w="1656" w:type="dxa"/>
            <w:tcBorders>
              <w:top w:val="nil"/>
              <w:left w:val="single" w:sz="4" w:space="0" w:color="auto"/>
              <w:bottom w:val="nil"/>
              <w:right w:val="nil"/>
            </w:tcBorders>
          </w:tcPr>
          <w:p w14:paraId="7B74CE5D" w14:textId="77777777" w:rsidR="00A30464" w:rsidRPr="003A2A3B" w:rsidRDefault="00A30464" w:rsidP="00A30464">
            <w:pPr>
              <w:keepNext/>
              <w:keepLines/>
              <w:spacing w:line="240" w:lineRule="auto"/>
              <w:jc w:val="center"/>
              <w:rPr>
                <w:szCs w:val="24"/>
              </w:rPr>
            </w:pPr>
          </w:p>
        </w:tc>
      </w:tr>
      <w:tr w:rsidR="00A30464" w:rsidRPr="003A2A3B" w14:paraId="3C81EF39" w14:textId="77777777" w:rsidTr="0046188F">
        <w:trPr>
          <w:jc w:val="center"/>
        </w:trPr>
        <w:tc>
          <w:tcPr>
            <w:tcW w:w="3154" w:type="dxa"/>
          </w:tcPr>
          <w:p w14:paraId="504CCC24"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Novembris</w:t>
            </w:r>
          </w:p>
        </w:tc>
        <w:tc>
          <w:tcPr>
            <w:tcW w:w="1537" w:type="dxa"/>
            <w:vAlign w:val="bottom"/>
          </w:tcPr>
          <w:p w14:paraId="2D4050F4" w14:textId="77777777" w:rsidR="00A30464" w:rsidRPr="00A30464" w:rsidRDefault="00A30464" w:rsidP="00A30464">
            <w:pPr>
              <w:keepNext/>
              <w:keepLines/>
              <w:spacing w:line="240" w:lineRule="auto"/>
              <w:jc w:val="center"/>
            </w:pPr>
            <w:r w:rsidRPr="00A30464">
              <w:t>2,785</w:t>
            </w:r>
          </w:p>
        </w:tc>
        <w:tc>
          <w:tcPr>
            <w:tcW w:w="1537" w:type="dxa"/>
            <w:tcBorders>
              <w:bottom w:val="single" w:sz="4" w:space="0" w:color="auto"/>
              <w:right w:val="single" w:sz="4" w:space="0" w:color="auto"/>
            </w:tcBorders>
            <w:vAlign w:val="bottom"/>
          </w:tcPr>
          <w:p w14:paraId="176E6C3F" w14:textId="77777777" w:rsidR="00A30464" w:rsidRPr="00556373" w:rsidRDefault="00A30464" w:rsidP="00A30464">
            <w:pPr>
              <w:keepNext/>
              <w:keepLines/>
              <w:spacing w:line="240" w:lineRule="auto"/>
              <w:jc w:val="center"/>
            </w:pPr>
            <w:r w:rsidRPr="00556373">
              <w:t>2,966</w:t>
            </w:r>
          </w:p>
        </w:tc>
        <w:tc>
          <w:tcPr>
            <w:tcW w:w="1656" w:type="dxa"/>
            <w:tcBorders>
              <w:top w:val="nil"/>
              <w:left w:val="single" w:sz="4" w:space="0" w:color="auto"/>
              <w:bottom w:val="nil"/>
              <w:right w:val="nil"/>
            </w:tcBorders>
          </w:tcPr>
          <w:p w14:paraId="023B6AEE" w14:textId="77777777" w:rsidR="00A30464" w:rsidRPr="003A2A3B" w:rsidRDefault="00A30464" w:rsidP="00A30464">
            <w:pPr>
              <w:keepNext/>
              <w:keepLines/>
              <w:spacing w:line="240" w:lineRule="auto"/>
              <w:jc w:val="center"/>
              <w:rPr>
                <w:szCs w:val="24"/>
              </w:rPr>
            </w:pPr>
          </w:p>
        </w:tc>
      </w:tr>
      <w:tr w:rsidR="00A30464" w:rsidRPr="003A2A3B" w14:paraId="0D2E0582" w14:textId="77777777" w:rsidTr="00A30464">
        <w:trPr>
          <w:trHeight w:val="50"/>
          <w:jc w:val="center"/>
        </w:trPr>
        <w:tc>
          <w:tcPr>
            <w:tcW w:w="3154" w:type="dxa"/>
          </w:tcPr>
          <w:p w14:paraId="5FC3317A" w14:textId="77777777" w:rsidR="00A30464" w:rsidRPr="003A2A3B" w:rsidRDefault="00A30464" w:rsidP="00A30464">
            <w:pPr>
              <w:keepNext/>
              <w:keepLines/>
              <w:tabs>
                <w:tab w:val="left" w:pos="709"/>
              </w:tabs>
              <w:spacing w:line="240" w:lineRule="auto"/>
              <w:jc w:val="center"/>
              <w:rPr>
                <w:bCs/>
                <w:color w:val="000000"/>
                <w:szCs w:val="24"/>
              </w:rPr>
            </w:pPr>
            <w:r w:rsidRPr="003A2A3B">
              <w:rPr>
                <w:bCs/>
                <w:color w:val="000000"/>
                <w:szCs w:val="24"/>
              </w:rPr>
              <w:t>Decembris</w:t>
            </w:r>
          </w:p>
        </w:tc>
        <w:tc>
          <w:tcPr>
            <w:tcW w:w="1537" w:type="dxa"/>
            <w:vAlign w:val="bottom"/>
          </w:tcPr>
          <w:p w14:paraId="5E4E0902" w14:textId="77777777" w:rsidR="00A30464" w:rsidRPr="00A30464" w:rsidRDefault="00A30464" w:rsidP="00A30464">
            <w:pPr>
              <w:keepNext/>
              <w:keepLines/>
              <w:spacing w:line="240" w:lineRule="auto"/>
              <w:jc w:val="center"/>
            </w:pPr>
            <w:r w:rsidRPr="00A30464">
              <w:t>2,948</w:t>
            </w:r>
          </w:p>
        </w:tc>
        <w:tc>
          <w:tcPr>
            <w:tcW w:w="1537" w:type="dxa"/>
            <w:tcBorders>
              <w:right w:val="single" w:sz="4" w:space="0" w:color="auto"/>
            </w:tcBorders>
            <w:vAlign w:val="bottom"/>
          </w:tcPr>
          <w:p w14:paraId="72BC7CF2" w14:textId="77777777" w:rsidR="00A30464" w:rsidRPr="00556373" w:rsidRDefault="00A30464" w:rsidP="00A30464">
            <w:pPr>
              <w:keepNext/>
              <w:keepLines/>
              <w:spacing w:line="240" w:lineRule="auto"/>
              <w:jc w:val="center"/>
            </w:pPr>
            <w:r w:rsidRPr="00556373">
              <w:t>3,139</w:t>
            </w:r>
          </w:p>
        </w:tc>
        <w:tc>
          <w:tcPr>
            <w:tcW w:w="1656" w:type="dxa"/>
            <w:tcBorders>
              <w:top w:val="nil"/>
              <w:left w:val="single" w:sz="4" w:space="0" w:color="auto"/>
              <w:bottom w:val="single" w:sz="4" w:space="0" w:color="auto"/>
              <w:right w:val="nil"/>
            </w:tcBorders>
          </w:tcPr>
          <w:p w14:paraId="44124D58" w14:textId="77777777" w:rsidR="00A30464" w:rsidRPr="003A2A3B" w:rsidRDefault="00A30464" w:rsidP="00A30464">
            <w:pPr>
              <w:keepNext/>
              <w:keepLines/>
              <w:spacing w:line="240" w:lineRule="auto"/>
              <w:jc w:val="center"/>
              <w:rPr>
                <w:szCs w:val="24"/>
              </w:rPr>
            </w:pPr>
          </w:p>
        </w:tc>
      </w:tr>
      <w:tr w:rsidR="00A30464" w:rsidRPr="003A2A3B" w14:paraId="0117FB47" w14:textId="77777777" w:rsidTr="00556373">
        <w:trPr>
          <w:trHeight w:val="79"/>
          <w:jc w:val="center"/>
        </w:trPr>
        <w:tc>
          <w:tcPr>
            <w:tcW w:w="3154" w:type="dxa"/>
          </w:tcPr>
          <w:p w14:paraId="39960C37" w14:textId="77777777" w:rsidR="00A30464" w:rsidRPr="003A2A3B" w:rsidRDefault="00A30464" w:rsidP="00A30464">
            <w:pPr>
              <w:keepNext/>
              <w:keepLines/>
              <w:tabs>
                <w:tab w:val="left" w:pos="709"/>
              </w:tabs>
              <w:spacing w:line="240" w:lineRule="auto"/>
              <w:jc w:val="center"/>
              <w:rPr>
                <w:bCs/>
                <w:color w:val="000000"/>
                <w:szCs w:val="24"/>
              </w:rPr>
            </w:pPr>
            <w:r w:rsidRPr="00070589">
              <w:rPr>
                <w:bCs/>
                <w:color w:val="000000"/>
                <w:szCs w:val="24"/>
              </w:rPr>
              <w:t>Pārrēķins par iepriekšējo periodu***</w:t>
            </w:r>
          </w:p>
        </w:tc>
        <w:tc>
          <w:tcPr>
            <w:tcW w:w="1537" w:type="dxa"/>
            <w:vAlign w:val="center"/>
          </w:tcPr>
          <w:p w14:paraId="4C5F7877" w14:textId="77777777" w:rsidR="00A30464" w:rsidRPr="00070589" w:rsidRDefault="00A30464" w:rsidP="00556373">
            <w:pPr>
              <w:keepNext/>
              <w:keepLines/>
              <w:spacing w:line="240" w:lineRule="auto"/>
              <w:jc w:val="center"/>
            </w:pPr>
            <w:r>
              <w:t>0</w:t>
            </w:r>
          </w:p>
        </w:tc>
        <w:tc>
          <w:tcPr>
            <w:tcW w:w="1537" w:type="dxa"/>
            <w:tcBorders>
              <w:right w:val="single" w:sz="4" w:space="0" w:color="auto"/>
            </w:tcBorders>
            <w:vAlign w:val="center"/>
          </w:tcPr>
          <w:p w14:paraId="059D48F2" w14:textId="77777777" w:rsidR="00A30464" w:rsidRPr="00A30464" w:rsidRDefault="00A30464" w:rsidP="00556373">
            <w:pPr>
              <w:keepNext/>
              <w:keepLines/>
              <w:spacing w:line="240" w:lineRule="auto"/>
              <w:jc w:val="center"/>
              <w:rPr>
                <w:i/>
              </w:rPr>
            </w:pPr>
            <w:r w:rsidRPr="00A30464">
              <w:rPr>
                <w:i/>
              </w:rPr>
              <w:t>NA</w:t>
            </w:r>
          </w:p>
        </w:tc>
        <w:tc>
          <w:tcPr>
            <w:tcW w:w="1656" w:type="dxa"/>
            <w:tcBorders>
              <w:top w:val="single" w:sz="4" w:space="0" w:color="auto"/>
              <w:left w:val="single" w:sz="4" w:space="0" w:color="auto"/>
              <w:bottom w:val="single" w:sz="4" w:space="0" w:color="auto"/>
              <w:right w:val="single" w:sz="4" w:space="0" w:color="auto"/>
            </w:tcBorders>
            <w:vAlign w:val="center"/>
          </w:tcPr>
          <w:p w14:paraId="7E042BF9" w14:textId="77777777" w:rsidR="00A30464" w:rsidRPr="00A30464" w:rsidRDefault="00A30464" w:rsidP="00556373">
            <w:pPr>
              <w:keepNext/>
              <w:keepLines/>
              <w:spacing w:line="240" w:lineRule="auto"/>
              <w:jc w:val="center"/>
              <w:rPr>
                <w:i/>
                <w:szCs w:val="24"/>
              </w:rPr>
            </w:pPr>
            <w:r w:rsidRPr="00A30464">
              <w:rPr>
                <w:i/>
                <w:szCs w:val="24"/>
              </w:rPr>
              <w:t>NA</w:t>
            </w:r>
          </w:p>
        </w:tc>
      </w:tr>
      <w:tr w:rsidR="00A30464" w:rsidRPr="003A2A3B" w14:paraId="44C90FDA" w14:textId="77777777" w:rsidTr="0046188F">
        <w:trPr>
          <w:jc w:val="center"/>
        </w:trPr>
        <w:tc>
          <w:tcPr>
            <w:tcW w:w="3154" w:type="dxa"/>
          </w:tcPr>
          <w:p w14:paraId="100F842D" w14:textId="77777777" w:rsidR="00A30464" w:rsidRPr="003A2A3B" w:rsidRDefault="00A30464" w:rsidP="00A30464">
            <w:pPr>
              <w:keepNext/>
              <w:keepLines/>
              <w:tabs>
                <w:tab w:val="left" w:pos="709"/>
              </w:tabs>
              <w:spacing w:line="240" w:lineRule="auto"/>
              <w:jc w:val="center"/>
              <w:rPr>
                <w:b/>
                <w:bCs/>
                <w:color w:val="000000"/>
                <w:szCs w:val="24"/>
              </w:rPr>
            </w:pPr>
            <w:r w:rsidRPr="003A2A3B">
              <w:rPr>
                <w:b/>
                <w:bCs/>
                <w:color w:val="000000"/>
                <w:szCs w:val="24"/>
              </w:rPr>
              <w:t>Kopā</w:t>
            </w:r>
          </w:p>
        </w:tc>
        <w:tc>
          <w:tcPr>
            <w:tcW w:w="1537" w:type="dxa"/>
            <w:vAlign w:val="bottom"/>
          </w:tcPr>
          <w:p w14:paraId="3E4E5A5C" w14:textId="77777777" w:rsidR="00A30464" w:rsidRPr="00A30464" w:rsidRDefault="00A30464" w:rsidP="00A30464">
            <w:pPr>
              <w:keepNext/>
              <w:keepLines/>
              <w:spacing w:line="240" w:lineRule="auto"/>
              <w:jc w:val="center"/>
              <w:rPr>
                <w:b/>
              </w:rPr>
            </w:pPr>
            <w:r w:rsidRPr="00A30464">
              <w:rPr>
                <w:b/>
              </w:rPr>
              <w:t>30,994</w:t>
            </w:r>
          </w:p>
        </w:tc>
        <w:tc>
          <w:tcPr>
            <w:tcW w:w="1537" w:type="dxa"/>
            <w:tcBorders>
              <w:right w:val="single" w:sz="4" w:space="0" w:color="auto"/>
            </w:tcBorders>
          </w:tcPr>
          <w:p w14:paraId="5EED609C" w14:textId="77777777" w:rsidR="00A30464" w:rsidRPr="00A30464" w:rsidRDefault="00A30464" w:rsidP="00A30464">
            <w:pPr>
              <w:keepNext/>
              <w:keepLines/>
              <w:spacing w:line="240" w:lineRule="auto"/>
              <w:jc w:val="center"/>
              <w:rPr>
                <w:b/>
                <w:szCs w:val="24"/>
              </w:rPr>
            </w:pPr>
            <w:r>
              <w:rPr>
                <w:b/>
                <w:szCs w:val="24"/>
              </w:rPr>
              <w:t>32,627</w:t>
            </w:r>
          </w:p>
        </w:tc>
        <w:tc>
          <w:tcPr>
            <w:tcW w:w="1656" w:type="dxa"/>
            <w:tcBorders>
              <w:top w:val="single" w:sz="4" w:space="0" w:color="auto"/>
              <w:left w:val="single" w:sz="4" w:space="0" w:color="auto"/>
              <w:bottom w:val="single" w:sz="4" w:space="0" w:color="auto"/>
              <w:right w:val="single" w:sz="4" w:space="0" w:color="auto"/>
            </w:tcBorders>
          </w:tcPr>
          <w:p w14:paraId="53A03975" w14:textId="77777777" w:rsidR="00A30464" w:rsidRPr="00A30464" w:rsidRDefault="00A30464" w:rsidP="00A30464">
            <w:pPr>
              <w:keepNext/>
              <w:keepLines/>
              <w:spacing w:line="240" w:lineRule="auto"/>
              <w:jc w:val="center"/>
              <w:rPr>
                <w:b/>
                <w:szCs w:val="24"/>
              </w:rPr>
            </w:pPr>
            <w:r>
              <w:rPr>
                <w:b/>
                <w:szCs w:val="24"/>
              </w:rPr>
              <w:t>5,803</w:t>
            </w:r>
          </w:p>
        </w:tc>
      </w:tr>
    </w:tbl>
    <w:p w14:paraId="7071E992" w14:textId="70F059EC" w:rsidR="00F45744" w:rsidRPr="008D6804" w:rsidRDefault="00F45744" w:rsidP="00F45744">
      <w:pPr>
        <w:tabs>
          <w:tab w:val="left" w:pos="709"/>
        </w:tabs>
        <w:spacing w:after="0" w:line="240" w:lineRule="auto"/>
        <w:rPr>
          <w:sz w:val="20"/>
          <w:szCs w:val="20"/>
        </w:rPr>
      </w:pPr>
      <w:r w:rsidRPr="008D6804">
        <w:rPr>
          <w:sz w:val="20"/>
          <w:szCs w:val="20"/>
        </w:rPr>
        <w:t>*</w:t>
      </w:r>
      <w:r>
        <w:rPr>
          <w:sz w:val="20"/>
          <w:szCs w:val="20"/>
        </w:rPr>
        <w:t xml:space="preserve"> </w:t>
      </w:r>
      <w:r w:rsidRPr="008D6804">
        <w:rPr>
          <w:sz w:val="20"/>
          <w:szCs w:val="20"/>
        </w:rPr>
        <w:t xml:space="preserve">Faktiskie </w:t>
      </w:r>
      <w:r w:rsidR="000F4078">
        <w:rPr>
          <w:sz w:val="20"/>
          <w:szCs w:val="20"/>
        </w:rPr>
        <w:t>SEN</w:t>
      </w:r>
      <w:r w:rsidRPr="008D6804">
        <w:rPr>
          <w:sz w:val="20"/>
          <w:szCs w:val="20"/>
        </w:rPr>
        <w:t xml:space="preserve"> ieņēmumi.</w:t>
      </w:r>
    </w:p>
    <w:p w14:paraId="5D1A7BE6" w14:textId="77777777" w:rsidR="00F45744" w:rsidRPr="008D6804" w:rsidRDefault="00F45744" w:rsidP="00F45744">
      <w:pPr>
        <w:tabs>
          <w:tab w:val="left" w:pos="709"/>
        </w:tabs>
        <w:spacing w:after="0" w:line="240" w:lineRule="auto"/>
        <w:rPr>
          <w:sz w:val="20"/>
          <w:szCs w:val="20"/>
        </w:rPr>
      </w:pPr>
      <w:r w:rsidRPr="008D6804">
        <w:rPr>
          <w:sz w:val="20"/>
          <w:szCs w:val="20"/>
        </w:rPr>
        <w:t>**</w:t>
      </w:r>
      <w:r>
        <w:rPr>
          <w:sz w:val="20"/>
          <w:szCs w:val="20"/>
        </w:rPr>
        <w:t xml:space="preserve"> </w:t>
      </w:r>
      <w:r w:rsidRPr="008D6804">
        <w:rPr>
          <w:sz w:val="20"/>
          <w:szCs w:val="20"/>
        </w:rPr>
        <w:t>Prognozētie ieņēmumi par 2017. gada novembrī un decembrī saražoto elektroenerģiju.</w:t>
      </w:r>
    </w:p>
    <w:p w14:paraId="5C101C1E" w14:textId="77777777" w:rsidR="00F45744" w:rsidRPr="008D6804" w:rsidRDefault="00F45744" w:rsidP="00F45744">
      <w:pPr>
        <w:tabs>
          <w:tab w:val="left" w:pos="709"/>
        </w:tabs>
        <w:spacing w:after="0" w:line="240" w:lineRule="auto"/>
        <w:rPr>
          <w:sz w:val="20"/>
          <w:szCs w:val="20"/>
        </w:rPr>
      </w:pPr>
      <w:r w:rsidRPr="008D6804">
        <w:rPr>
          <w:sz w:val="20"/>
          <w:szCs w:val="20"/>
        </w:rPr>
        <w:t>***</w:t>
      </w:r>
      <w:r>
        <w:rPr>
          <w:sz w:val="20"/>
          <w:szCs w:val="20"/>
        </w:rPr>
        <w:t xml:space="preserve"> </w:t>
      </w:r>
      <w:r w:rsidR="00A30464">
        <w:rPr>
          <w:sz w:val="20"/>
          <w:szCs w:val="20"/>
        </w:rPr>
        <w:t>izvērtējot komersantu papildus sniegto informāciju par darbību iepriekšējā periodā,</w:t>
      </w:r>
      <w:r w:rsidRPr="008D6804">
        <w:rPr>
          <w:sz w:val="20"/>
          <w:szCs w:val="20"/>
        </w:rPr>
        <w:t xml:space="preserve"> Ekonomikas ministrija</w:t>
      </w:r>
      <w:r w:rsidR="00A30464">
        <w:rPr>
          <w:sz w:val="20"/>
          <w:szCs w:val="20"/>
        </w:rPr>
        <w:t xml:space="preserve"> </w:t>
      </w:r>
      <w:r w:rsidR="00A30464" w:rsidRPr="008D6804">
        <w:rPr>
          <w:sz w:val="20"/>
          <w:szCs w:val="20"/>
        </w:rPr>
        <w:t>2016.gada 1</w:t>
      </w:r>
      <w:r w:rsidR="00A30464">
        <w:rPr>
          <w:sz w:val="20"/>
          <w:szCs w:val="20"/>
        </w:rPr>
        <w:t>3</w:t>
      </w:r>
      <w:r w:rsidR="00A30464" w:rsidRPr="008D6804">
        <w:rPr>
          <w:sz w:val="20"/>
          <w:szCs w:val="20"/>
        </w:rPr>
        <w:t>.</w:t>
      </w:r>
      <w:r w:rsidR="00A30464">
        <w:rPr>
          <w:sz w:val="20"/>
          <w:szCs w:val="20"/>
        </w:rPr>
        <w:t>jūlija ir nosūtījusi Valsts ieņēmumu dienestam vēstuli, kurā informē, ka SEN likme iepriekšējā periodā komersantiem ir piemērota pamatoti un papildus SEN apjoms nav iekasējams</w:t>
      </w:r>
      <w:r w:rsidRPr="008D6804">
        <w:rPr>
          <w:sz w:val="20"/>
          <w:szCs w:val="20"/>
        </w:rPr>
        <w:t>.</w:t>
      </w:r>
    </w:p>
    <w:p w14:paraId="71138483" w14:textId="77777777" w:rsidR="00904C7B" w:rsidRDefault="00F45744" w:rsidP="00D56598">
      <w:pPr>
        <w:spacing w:before="120" w:after="0" w:line="240" w:lineRule="auto"/>
        <w:ind w:firstLine="851"/>
        <w:rPr>
          <w:sz w:val="28"/>
          <w:szCs w:val="28"/>
        </w:rPr>
      </w:pPr>
      <w:r w:rsidRPr="008D6804">
        <w:rPr>
          <w:sz w:val="28"/>
          <w:szCs w:val="28"/>
        </w:rPr>
        <w:t>Ņ</w:t>
      </w:r>
      <w:r w:rsidRPr="00202701">
        <w:rPr>
          <w:sz w:val="28"/>
          <w:szCs w:val="28"/>
        </w:rPr>
        <w:t xml:space="preserve">emot vērā nepieciešamību nodrošināt ieņēmumus OIK pieauguma segšanai arī turpmākajos gados, </w:t>
      </w:r>
      <w:r w:rsidR="00ED394B" w:rsidRPr="00ED394B">
        <w:rPr>
          <w:sz w:val="28"/>
          <w:szCs w:val="28"/>
        </w:rPr>
        <w:t>2015.</w:t>
      </w:r>
      <w:r w:rsidR="002B556F">
        <w:rPr>
          <w:sz w:val="28"/>
          <w:szCs w:val="28"/>
        </w:rPr>
        <w:t> </w:t>
      </w:r>
      <w:r w:rsidR="00ED394B" w:rsidRPr="00ED394B">
        <w:rPr>
          <w:sz w:val="28"/>
          <w:szCs w:val="28"/>
        </w:rPr>
        <w:t>gada 31.</w:t>
      </w:r>
      <w:r w:rsidR="002B556F">
        <w:rPr>
          <w:sz w:val="28"/>
          <w:szCs w:val="28"/>
        </w:rPr>
        <w:t> </w:t>
      </w:r>
      <w:r w:rsidR="00ED394B" w:rsidRPr="00ED394B">
        <w:rPr>
          <w:sz w:val="28"/>
          <w:szCs w:val="28"/>
        </w:rPr>
        <w:t>augusta Ministru kabinet</w:t>
      </w:r>
      <w:r w:rsidR="00ED394B">
        <w:rPr>
          <w:sz w:val="28"/>
          <w:szCs w:val="28"/>
        </w:rPr>
        <w:t xml:space="preserve">ā izskatītajā </w:t>
      </w:r>
      <w:r w:rsidR="00ED394B" w:rsidRPr="00F17D10">
        <w:rPr>
          <w:sz w:val="28"/>
        </w:rPr>
        <w:t>konceptuāl</w:t>
      </w:r>
      <w:r w:rsidR="00ED394B">
        <w:rPr>
          <w:sz w:val="28"/>
        </w:rPr>
        <w:t>ajā ziņojumā</w:t>
      </w:r>
      <w:r w:rsidR="00ED394B" w:rsidRPr="00F17D10">
        <w:rPr>
          <w:sz w:val="28"/>
        </w:rPr>
        <w:t xml:space="preserve"> “Kompleksi pasākumi elektroenerģijas tirgus attīstībai”</w:t>
      </w:r>
      <w:r w:rsidR="00ED394B">
        <w:rPr>
          <w:sz w:val="28"/>
        </w:rPr>
        <w:t xml:space="preserve"> </w:t>
      </w:r>
      <w:r w:rsidR="00ED394B">
        <w:rPr>
          <w:sz w:val="28"/>
          <w:szCs w:val="28"/>
        </w:rPr>
        <w:t>(</w:t>
      </w:r>
      <w:r w:rsidR="00ED394B" w:rsidRPr="00ED394B">
        <w:rPr>
          <w:sz w:val="28"/>
          <w:szCs w:val="28"/>
        </w:rPr>
        <w:t>prot</w:t>
      </w:r>
      <w:r w:rsidR="00ED394B">
        <w:rPr>
          <w:sz w:val="28"/>
          <w:szCs w:val="28"/>
        </w:rPr>
        <w:t>. </w:t>
      </w:r>
      <w:r w:rsidR="00ED394B" w:rsidRPr="00ED394B">
        <w:rPr>
          <w:sz w:val="28"/>
          <w:szCs w:val="28"/>
        </w:rPr>
        <w:t>Nr.</w:t>
      </w:r>
      <w:r w:rsidR="00ED394B">
        <w:rPr>
          <w:sz w:val="28"/>
          <w:szCs w:val="28"/>
        </w:rPr>
        <w:t> </w:t>
      </w:r>
      <w:r w:rsidR="00ED394B" w:rsidRPr="00ED394B">
        <w:rPr>
          <w:sz w:val="28"/>
          <w:szCs w:val="28"/>
        </w:rPr>
        <w:t>43., 2.</w:t>
      </w:r>
      <w:r w:rsidR="00ED394B">
        <w:rPr>
          <w:sz w:val="28"/>
          <w:szCs w:val="28"/>
        </w:rPr>
        <w:t xml:space="preserve"> §) </w:t>
      </w:r>
      <w:r w:rsidRPr="008D6804">
        <w:rPr>
          <w:sz w:val="28"/>
          <w:szCs w:val="28"/>
        </w:rPr>
        <w:t>kā viens no</w:t>
      </w:r>
      <w:r w:rsidR="00ED394B">
        <w:rPr>
          <w:sz w:val="28"/>
          <w:szCs w:val="28"/>
        </w:rPr>
        <w:t xml:space="preserve"> risinājuma variantiem tika izskatīta</w:t>
      </w:r>
      <w:r w:rsidRPr="008D6804">
        <w:rPr>
          <w:sz w:val="28"/>
          <w:szCs w:val="28"/>
        </w:rPr>
        <w:t xml:space="preserve"> </w:t>
      </w:r>
      <w:r w:rsidR="00ED394B" w:rsidRPr="00202701">
        <w:rPr>
          <w:sz w:val="28"/>
          <w:szCs w:val="28"/>
        </w:rPr>
        <w:t xml:space="preserve">SEN </w:t>
      </w:r>
      <w:r w:rsidR="00ED394B">
        <w:rPr>
          <w:sz w:val="28"/>
          <w:szCs w:val="28"/>
        </w:rPr>
        <w:t xml:space="preserve">darbības </w:t>
      </w:r>
      <w:r w:rsidR="00ED394B" w:rsidRPr="00202701">
        <w:rPr>
          <w:sz w:val="28"/>
          <w:szCs w:val="28"/>
        </w:rPr>
        <w:t>termiņa pagarināšan</w:t>
      </w:r>
      <w:r w:rsidR="00ED394B">
        <w:rPr>
          <w:sz w:val="28"/>
          <w:szCs w:val="28"/>
        </w:rPr>
        <w:t>a.</w:t>
      </w:r>
      <w:r w:rsidR="006F76D0">
        <w:rPr>
          <w:sz w:val="28"/>
          <w:szCs w:val="28"/>
        </w:rPr>
        <w:t xml:space="preserve"> </w:t>
      </w:r>
    </w:p>
    <w:p w14:paraId="14CF78B9" w14:textId="5941F830" w:rsidR="002E596E" w:rsidRPr="002E596E" w:rsidRDefault="002E596E" w:rsidP="002E596E">
      <w:pPr>
        <w:spacing w:before="120" w:after="0" w:line="240" w:lineRule="auto"/>
        <w:ind w:firstLine="851"/>
        <w:rPr>
          <w:sz w:val="28"/>
          <w:szCs w:val="28"/>
        </w:rPr>
      </w:pPr>
      <w:r w:rsidRPr="002E596E">
        <w:rPr>
          <w:sz w:val="28"/>
          <w:szCs w:val="28"/>
        </w:rPr>
        <w:t xml:space="preserve">Atbilstoši </w:t>
      </w:r>
      <w:r w:rsidR="009878B2">
        <w:rPr>
          <w:sz w:val="28"/>
          <w:szCs w:val="28"/>
        </w:rPr>
        <w:t>Subsidētās elektroenerģijas nodokļa</w:t>
      </w:r>
      <w:r w:rsidR="009878B2" w:rsidRPr="002E596E">
        <w:rPr>
          <w:sz w:val="28"/>
          <w:szCs w:val="28"/>
        </w:rPr>
        <w:t xml:space="preserve"> </w:t>
      </w:r>
      <w:r w:rsidRPr="002E596E">
        <w:rPr>
          <w:sz w:val="28"/>
          <w:szCs w:val="28"/>
        </w:rPr>
        <w:t xml:space="preserve">likumam SEN ir paredzēts piemērot ienākumiem, kas gūti līdz 2017. gada 31. decembrim. Pēc 2017. gada 31. decembra SEN piemērošanu var pārskatīt. Tāpat </w:t>
      </w:r>
      <w:r w:rsidR="00DF11D9">
        <w:rPr>
          <w:sz w:val="28"/>
          <w:szCs w:val="28"/>
        </w:rPr>
        <w:t xml:space="preserve">Subsidētās elektroenerģijas nodokļa </w:t>
      </w:r>
      <w:r w:rsidRPr="002E596E">
        <w:rPr>
          <w:sz w:val="28"/>
          <w:szCs w:val="28"/>
        </w:rPr>
        <w:t xml:space="preserve">likums paredz SEN pārskatīšanu vai izbeigšanu gadījumā, ja tiek panākts OI ietvaros izmaksājamo subsīdiju apjoma samazinājums. Ņemot vērā minēto, SEN maksātāji bija informēti par to, kad tiem radīsies pienākums maksāt </w:t>
      </w:r>
      <w:r w:rsidR="000F4078">
        <w:rPr>
          <w:sz w:val="28"/>
          <w:szCs w:val="28"/>
        </w:rPr>
        <w:t>SEN</w:t>
      </w:r>
      <w:r w:rsidRPr="002E596E">
        <w:rPr>
          <w:sz w:val="28"/>
          <w:szCs w:val="28"/>
        </w:rPr>
        <w:t xml:space="preserve"> un kad šis pienākums tiks atcelts</w:t>
      </w:r>
      <w:r w:rsidR="0073583B">
        <w:rPr>
          <w:sz w:val="28"/>
          <w:szCs w:val="28"/>
        </w:rPr>
        <w:t>,</w:t>
      </w:r>
      <w:r w:rsidRPr="002E596E">
        <w:rPr>
          <w:sz w:val="28"/>
          <w:szCs w:val="28"/>
        </w:rPr>
        <w:t xml:space="preserve"> un varēja plānot nākotnē veicamās investīcijas. </w:t>
      </w:r>
    </w:p>
    <w:p w14:paraId="765710AB" w14:textId="77777777" w:rsidR="002E596E" w:rsidRPr="002E596E" w:rsidRDefault="002E596E" w:rsidP="002E596E">
      <w:pPr>
        <w:spacing w:before="120" w:after="0" w:line="240" w:lineRule="auto"/>
        <w:ind w:firstLine="851"/>
        <w:rPr>
          <w:sz w:val="28"/>
          <w:szCs w:val="28"/>
        </w:rPr>
      </w:pPr>
      <w:r w:rsidRPr="002E596E">
        <w:rPr>
          <w:sz w:val="28"/>
          <w:szCs w:val="28"/>
        </w:rPr>
        <w:t xml:space="preserve">Satversmes tiesas tiesneši Sanita </w:t>
      </w:r>
      <w:proofErr w:type="spellStart"/>
      <w:r w:rsidRPr="002E596E">
        <w:rPr>
          <w:sz w:val="28"/>
          <w:szCs w:val="28"/>
        </w:rPr>
        <w:t>Osipova</w:t>
      </w:r>
      <w:proofErr w:type="spellEnd"/>
      <w:r w:rsidRPr="002E596E">
        <w:rPr>
          <w:sz w:val="28"/>
          <w:szCs w:val="28"/>
        </w:rPr>
        <w:t xml:space="preserve"> un Kaspars Balodis savās atsevišķajās domās par Satversmes tiesas spriedumu lietā Nr. 2014-12-01 ir norādījuši, ka Satversmes tiesa spriedumā nav sniegusi pietiekamu pamatojumu apgalvojumam, ka SEN piemērošana nerada nesamērīgu slogu tā maksātājiem un ar minētajām tiesību normām netiek aizskarta tiesiskā paļāvība.</w:t>
      </w:r>
    </w:p>
    <w:p w14:paraId="05276A8F" w14:textId="3DB4031C" w:rsidR="002E596E" w:rsidRPr="002E596E" w:rsidRDefault="002E596E" w:rsidP="002E596E">
      <w:pPr>
        <w:spacing w:before="120" w:after="0" w:line="240" w:lineRule="auto"/>
        <w:ind w:firstLine="851"/>
        <w:rPr>
          <w:sz w:val="28"/>
          <w:szCs w:val="28"/>
        </w:rPr>
      </w:pPr>
      <w:r w:rsidRPr="002E596E">
        <w:rPr>
          <w:sz w:val="28"/>
          <w:szCs w:val="28"/>
        </w:rPr>
        <w:lastRenderedPageBreak/>
        <w:t>Pagarinot SEN piemērošanu pēc 2017.gada 31.decembra</w:t>
      </w:r>
      <w:r w:rsidR="0073583B">
        <w:rPr>
          <w:sz w:val="28"/>
          <w:szCs w:val="28"/>
        </w:rPr>
        <w:t>,</w:t>
      </w:r>
      <w:r w:rsidRPr="002E596E">
        <w:rPr>
          <w:sz w:val="28"/>
          <w:szCs w:val="28"/>
        </w:rPr>
        <w:t xml:space="preserve"> var tikt aizskarta komersantu tiesiskā paļāvība uz to, ka SEN tiks piemēr</w:t>
      </w:r>
      <w:r w:rsidR="00E327BE">
        <w:rPr>
          <w:sz w:val="28"/>
          <w:szCs w:val="28"/>
        </w:rPr>
        <w:t>ots līdz 2017.gada 31.decembrim. Tāpat arī</w:t>
      </w:r>
      <w:r w:rsidRPr="002E596E">
        <w:rPr>
          <w:sz w:val="28"/>
          <w:szCs w:val="28"/>
        </w:rPr>
        <w:t xml:space="preserve"> </w:t>
      </w:r>
      <w:proofErr w:type="spellStart"/>
      <w:r w:rsidRPr="002E596E">
        <w:rPr>
          <w:sz w:val="28"/>
          <w:szCs w:val="28"/>
        </w:rPr>
        <w:t>pārko</w:t>
      </w:r>
      <w:r w:rsidR="00E327BE">
        <w:rPr>
          <w:sz w:val="28"/>
          <w:szCs w:val="28"/>
        </w:rPr>
        <w:t>mpensācijas</w:t>
      </w:r>
      <w:proofErr w:type="spellEnd"/>
      <w:r w:rsidR="00E327BE">
        <w:rPr>
          <w:sz w:val="28"/>
          <w:szCs w:val="28"/>
        </w:rPr>
        <w:t xml:space="preserve"> novēršanas mehānisma ietvaros tiek ņemts vērā faktiski samaksātais SEN, kā rezultātā</w:t>
      </w:r>
      <w:r w:rsidRPr="002E596E">
        <w:rPr>
          <w:sz w:val="28"/>
          <w:szCs w:val="28"/>
        </w:rPr>
        <w:t xml:space="preserve"> tiek samazināts OI ietvaros izmaksā</w:t>
      </w:r>
      <w:r w:rsidR="00E327BE">
        <w:rPr>
          <w:sz w:val="28"/>
          <w:szCs w:val="28"/>
        </w:rPr>
        <w:t>tās</w:t>
      </w:r>
      <w:r w:rsidRPr="002E596E">
        <w:rPr>
          <w:sz w:val="28"/>
          <w:szCs w:val="28"/>
        </w:rPr>
        <w:t xml:space="preserve"> </w:t>
      </w:r>
      <w:r w:rsidR="00E327BE">
        <w:rPr>
          <w:sz w:val="28"/>
          <w:szCs w:val="28"/>
        </w:rPr>
        <w:t>valsts atbalsta</w:t>
      </w:r>
      <w:r w:rsidRPr="002E596E">
        <w:rPr>
          <w:sz w:val="28"/>
          <w:szCs w:val="28"/>
        </w:rPr>
        <w:t xml:space="preserve"> </w:t>
      </w:r>
      <w:r w:rsidR="00E327BE">
        <w:rPr>
          <w:sz w:val="28"/>
          <w:szCs w:val="28"/>
        </w:rPr>
        <w:t>apmērs</w:t>
      </w:r>
      <w:r w:rsidRPr="002E596E">
        <w:rPr>
          <w:sz w:val="28"/>
          <w:szCs w:val="28"/>
        </w:rPr>
        <w:t xml:space="preserve">. Ņemot vērā minēto, ir mainījušies faktiskie apstākļi, kas bija par pamatu </w:t>
      </w:r>
      <w:r w:rsidR="00DF11D9">
        <w:rPr>
          <w:sz w:val="28"/>
          <w:szCs w:val="28"/>
        </w:rPr>
        <w:t>Subsidētās elektroenerģijas nodokļa</w:t>
      </w:r>
      <w:r w:rsidR="00DF11D9" w:rsidRPr="002E596E">
        <w:rPr>
          <w:sz w:val="28"/>
          <w:szCs w:val="28"/>
        </w:rPr>
        <w:t xml:space="preserve"> </w:t>
      </w:r>
      <w:r w:rsidRPr="002E596E">
        <w:rPr>
          <w:sz w:val="28"/>
          <w:szCs w:val="28"/>
        </w:rPr>
        <w:t>likuma pieņemšanai. Līdz ar to SEN piemērošanas gadījumā pēc 2017. gada 31. decembra pastāv iespējams tiesvedības risks.</w:t>
      </w:r>
    </w:p>
    <w:p w14:paraId="542F9BEE" w14:textId="77777777" w:rsidR="0073583B" w:rsidRDefault="002E596E" w:rsidP="002E596E">
      <w:pPr>
        <w:spacing w:before="120" w:after="0" w:line="240" w:lineRule="auto"/>
        <w:ind w:firstLine="851"/>
        <w:rPr>
          <w:sz w:val="28"/>
          <w:szCs w:val="28"/>
        </w:rPr>
      </w:pPr>
      <w:r w:rsidRPr="002E596E">
        <w:rPr>
          <w:sz w:val="28"/>
          <w:szCs w:val="28"/>
        </w:rPr>
        <w:t xml:space="preserve">Ņemot vērā minētos apstākļus un iespējamo tiesvedības risku, </w:t>
      </w:r>
      <w:r w:rsidR="00E327BE">
        <w:rPr>
          <w:sz w:val="28"/>
          <w:szCs w:val="28"/>
        </w:rPr>
        <w:t xml:space="preserve">kā arī ieviesto </w:t>
      </w:r>
      <w:proofErr w:type="spellStart"/>
      <w:r w:rsidR="00E327BE">
        <w:rPr>
          <w:sz w:val="28"/>
          <w:szCs w:val="28"/>
        </w:rPr>
        <w:t>pārkompensācijas</w:t>
      </w:r>
      <w:proofErr w:type="spellEnd"/>
      <w:r w:rsidR="00E327BE">
        <w:rPr>
          <w:sz w:val="28"/>
          <w:szCs w:val="28"/>
        </w:rPr>
        <w:t xml:space="preserve"> novēršanas mehānismu </w:t>
      </w:r>
      <w:r w:rsidRPr="002E596E">
        <w:rPr>
          <w:sz w:val="28"/>
          <w:szCs w:val="28"/>
        </w:rPr>
        <w:t>nav atbalstāma SEN piemērošana pēc 2017. gada 31. decembra.</w:t>
      </w:r>
    </w:p>
    <w:p w14:paraId="417DEB34" w14:textId="77777777" w:rsidR="00904C7B" w:rsidRDefault="00904C7B" w:rsidP="00EF1EC7">
      <w:pPr>
        <w:spacing w:after="0" w:line="240" w:lineRule="auto"/>
        <w:ind w:firstLine="851"/>
        <w:rPr>
          <w:sz w:val="28"/>
          <w:szCs w:val="28"/>
        </w:rPr>
      </w:pPr>
    </w:p>
    <w:p w14:paraId="16B4F964" w14:textId="77777777" w:rsidR="006150D8" w:rsidRPr="00F45744" w:rsidRDefault="006150D8" w:rsidP="006150D8">
      <w:pPr>
        <w:pStyle w:val="Heading3"/>
        <w:numPr>
          <w:ilvl w:val="2"/>
          <w:numId w:val="1"/>
        </w:numPr>
        <w:tabs>
          <w:tab w:val="left" w:pos="709"/>
        </w:tabs>
        <w:ind w:left="0" w:firstLine="0"/>
        <w:rPr>
          <w:rFonts w:ascii="Times New Roman" w:hAnsi="Times New Roman" w:cs="Times New Roman"/>
          <w:b/>
          <w:color w:val="auto"/>
          <w:sz w:val="28"/>
          <w:szCs w:val="32"/>
        </w:rPr>
      </w:pPr>
      <w:bookmarkStart w:id="20" w:name="_Toc459890624"/>
      <w:r>
        <w:rPr>
          <w:rFonts w:ascii="Times New Roman" w:hAnsi="Times New Roman" w:cs="Times New Roman"/>
          <w:b/>
          <w:color w:val="auto"/>
          <w:sz w:val="28"/>
          <w:szCs w:val="32"/>
        </w:rPr>
        <w:t>E</w:t>
      </w:r>
      <w:r w:rsidRPr="00F45744">
        <w:rPr>
          <w:rFonts w:ascii="Times New Roman" w:hAnsi="Times New Roman" w:cs="Times New Roman"/>
          <w:b/>
          <w:color w:val="auto"/>
          <w:sz w:val="28"/>
          <w:szCs w:val="32"/>
        </w:rPr>
        <w:t>lektroenerģijas nodok</w:t>
      </w:r>
      <w:r>
        <w:rPr>
          <w:rFonts w:ascii="Times New Roman" w:hAnsi="Times New Roman" w:cs="Times New Roman"/>
          <w:b/>
          <w:color w:val="auto"/>
          <w:sz w:val="28"/>
          <w:szCs w:val="32"/>
        </w:rPr>
        <w:t>lis</w:t>
      </w:r>
      <w:bookmarkEnd w:id="20"/>
    </w:p>
    <w:p w14:paraId="37D04074" w14:textId="6D921342" w:rsidR="00995D85" w:rsidRDefault="006150D8" w:rsidP="00995D85">
      <w:pPr>
        <w:spacing w:after="0" w:line="240" w:lineRule="auto"/>
        <w:ind w:firstLine="851"/>
        <w:rPr>
          <w:sz w:val="28"/>
          <w:szCs w:val="28"/>
        </w:rPr>
      </w:pPr>
      <w:r>
        <w:rPr>
          <w:sz w:val="28"/>
          <w:szCs w:val="28"/>
        </w:rPr>
        <w:t>E</w:t>
      </w:r>
      <w:r w:rsidRPr="000E37C7">
        <w:rPr>
          <w:sz w:val="28"/>
          <w:szCs w:val="28"/>
        </w:rPr>
        <w:t>lektroenerģijas nodokļa likum</w:t>
      </w:r>
      <w:r>
        <w:rPr>
          <w:sz w:val="28"/>
          <w:szCs w:val="28"/>
        </w:rPr>
        <w:t>s</w:t>
      </w:r>
      <w:r w:rsidR="00381BBF">
        <w:rPr>
          <w:sz w:val="28"/>
          <w:szCs w:val="28"/>
        </w:rPr>
        <w:t xml:space="preserve"> </w:t>
      </w:r>
      <w:r>
        <w:rPr>
          <w:sz w:val="28"/>
          <w:szCs w:val="28"/>
        </w:rPr>
        <w:t>nosaka</w:t>
      </w:r>
      <w:r w:rsidR="004E1081">
        <w:rPr>
          <w:sz w:val="28"/>
          <w:szCs w:val="28"/>
        </w:rPr>
        <w:t xml:space="preserve"> </w:t>
      </w:r>
      <w:r w:rsidR="004E1081" w:rsidRPr="004E1081">
        <w:rPr>
          <w:sz w:val="28"/>
          <w:szCs w:val="28"/>
        </w:rPr>
        <w:t>kārtību, kādā elektroenerģiju apliek ar elektroenerģijas nodokli</w:t>
      </w:r>
      <w:r w:rsidR="004E1081">
        <w:rPr>
          <w:sz w:val="28"/>
          <w:szCs w:val="28"/>
        </w:rPr>
        <w:t>.</w:t>
      </w:r>
      <w:r w:rsidR="004E1081" w:rsidRPr="004E1081">
        <w:rPr>
          <w:sz w:val="28"/>
          <w:szCs w:val="28"/>
        </w:rPr>
        <w:t xml:space="preserve"> </w:t>
      </w:r>
      <w:r w:rsidR="004E1081" w:rsidRPr="006150D8">
        <w:rPr>
          <w:sz w:val="28"/>
          <w:szCs w:val="28"/>
        </w:rPr>
        <w:t>Nodokļu maksātājs</w:t>
      </w:r>
      <w:r w:rsidR="004E1081">
        <w:rPr>
          <w:sz w:val="28"/>
          <w:szCs w:val="28"/>
        </w:rPr>
        <w:t xml:space="preserve"> ir elektroenerģijas tirgotājs vai elektroenerģijas </w:t>
      </w:r>
      <w:r w:rsidR="004E1081" w:rsidRPr="006150D8">
        <w:rPr>
          <w:sz w:val="28"/>
          <w:szCs w:val="28"/>
        </w:rPr>
        <w:t>galalietotājs, ja tas elektroenerģiju iegādājās elektroenerģijas biržā.</w:t>
      </w:r>
      <w:r w:rsidR="004E1081" w:rsidRPr="004E1081">
        <w:rPr>
          <w:sz w:val="28"/>
          <w:szCs w:val="28"/>
        </w:rPr>
        <w:t xml:space="preserve"> </w:t>
      </w:r>
    </w:p>
    <w:p w14:paraId="4B4574C9" w14:textId="48910E18" w:rsidR="00995D85" w:rsidRDefault="00995D85" w:rsidP="00995D85">
      <w:pPr>
        <w:spacing w:after="0" w:line="240" w:lineRule="auto"/>
        <w:ind w:firstLine="851"/>
        <w:rPr>
          <w:sz w:val="28"/>
          <w:szCs w:val="28"/>
        </w:rPr>
      </w:pPr>
      <w:r>
        <w:rPr>
          <w:sz w:val="28"/>
          <w:szCs w:val="28"/>
        </w:rPr>
        <w:t>E</w:t>
      </w:r>
      <w:r w:rsidRPr="000E37C7">
        <w:rPr>
          <w:sz w:val="28"/>
          <w:szCs w:val="28"/>
        </w:rPr>
        <w:t>lektroenerģijas nodokļa</w:t>
      </w:r>
      <w:r w:rsidRPr="006150D8">
        <w:rPr>
          <w:sz w:val="28"/>
          <w:szCs w:val="28"/>
        </w:rPr>
        <w:t xml:space="preserve"> </w:t>
      </w:r>
      <w:r>
        <w:rPr>
          <w:sz w:val="28"/>
          <w:szCs w:val="28"/>
        </w:rPr>
        <w:t xml:space="preserve">pamata </w:t>
      </w:r>
      <w:r w:rsidRPr="006150D8">
        <w:rPr>
          <w:sz w:val="28"/>
          <w:szCs w:val="28"/>
        </w:rPr>
        <w:t>likme ir 1</w:t>
      </w:r>
      <w:r>
        <w:rPr>
          <w:sz w:val="28"/>
          <w:szCs w:val="28"/>
        </w:rPr>
        <w:t>,</w:t>
      </w:r>
      <w:r w:rsidRPr="006150D8">
        <w:rPr>
          <w:sz w:val="28"/>
          <w:szCs w:val="28"/>
        </w:rPr>
        <w:t>01 EUR/</w:t>
      </w:r>
      <w:proofErr w:type="spellStart"/>
      <w:r w:rsidRPr="006150D8">
        <w:rPr>
          <w:sz w:val="28"/>
          <w:szCs w:val="28"/>
        </w:rPr>
        <w:t>MWh</w:t>
      </w:r>
      <w:proofErr w:type="spellEnd"/>
      <w:r w:rsidRPr="006150D8">
        <w:rPr>
          <w:sz w:val="28"/>
          <w:szCs w:val="28"/>
        </w:rPr>
        <w:t>.</w:t>
      </w:r>
      <w:r>
        <w:rPr>
          <w:sz w:val="28"/>
          <w:szCs w:val="28"/>
        </w:rPr>
        <w:t xml:space="preserve"> </w:t>
      </w:r>
    </w:p>
    <w:p w14:paraId="429E2A45" w14:textId="77777777" w:rsidR="006150D8" w:rsidRDefault="004E1081" w:rsidP="006150D8">
      <w:pPr>
        <w:spacing w:after="0" w:line="240" w:lineRule="auto"/>
        <w:ind w:firstLine="851"/>
        <w:rPr>
          <w:sz w:val="28"/>
          <w:szCs w:val="28"/>
        </w:rPr>
      </w:pPr>
      <w:r w:rsidRPr="006150D8">
        <w:rPr>
          <w:sz w:val="28"/>
          <w:szCs w:val="28"/>
        </w:rPr>
        <w:t>Nodoklis ir daļa no elektroenerģijas tirdzniecības izmaksām, kuras tiek iecenotas piegādes cenā.</w:t>
      </w:r>
    </w:p>
    <w:p w14:paraId="48C87E72" w14:textId="7B1C9AA1" w:rsidR="006150D8" w:rsidRDefault="004E1081" w:rsidP="006150D8">
      <w:pPr>
        <w:spacing w:after="0" w:line="240" w:lineRule="auto"/>
        <w:ind w:firstLine="851"/>
        <w:rPr>
          <w:sz w:val="28"/>
          <w:szCs w:val="28"/>
        </w:rPr>
      </w:pPr>
      <w:r>
        <w:rPr>
          <w:sz w:val="28"/>
          <w:szCs w:val="28"/>
        </w:rPr>
        <w:t xml:space="preserve">Saskaņā ar </w:t>
      </w:r>
      <w:r w:rsidR="00203FC2">
        <w:rPr>
          <w:sz w:val="28"/>
          <w:szCs w:val="28"/>
        </w:rPr>
        <w:t>ENL</w:t>
      </w:r>
      <w:r>
        <w:rPr>
          <w:sz w:val="28"/>
          <w:szCs w:val="28"/>
        </w:rPr>
        <w:t xml:space="preserve"> </w:t>
      </w:r>
      <w:r w:rsidR="006150D8" w:rsidRPr="006150D8">
        <w:rPr>
          <w:sz w:val="28"/>
          <w:szCs w:val="28"/>
        </w:rPr>
        <w:t>elektroenerģija</w:t>
      </w:r>
      <w:r w:rsidR="00807D89">
        <w:rPr>
          <w:sz w:val="28"/>
          <w:szCs w:val="28"/>
        </w:rPr>
        <w:t>i piemēro šādu</w:t>
      </w:r>
      <w:r w:rsidR="006150D8" w:rsidRPr="006150D8">
        <w:rPr>
          <w:sz w:val="28"/>
          <w:szCs w:val="28"/>
        </w:rPr>
        <w:t xml:space="preserve">s nodokļa </w:t>
      </w:r>
      <w:r w:rsidR="00807D89">
        <w:rPr>
          <w:sz w:val="28"/>
          <w:szCs w:val="28"/>
        </w:rPr>
        <w:t>atbrīvojumus un atvieglojumus</w:t>
      </w:r>
      <w:r w:rsidR="006150D8" w:rsidRPr="006150D8">
        <w:rPr>
          <w:sz w:val="28"/>
          <w:szCs w:val="28"/>
        </w:rPr>
        <w:t>:</w:t>
      </w:r>
    </w:p>
    <w:p w14:paraId="407AFF59" w14:textId="16FBBCA1" w:rsidR="00807D89" w:rsidRPr="00537808" w:rsidRDefault="00807D89" w:rsidP="00537808">
      <w:pPr>
        <w:pStyle w:val="ListParagraph"/>
        <w:numPr>
          <w:ilvl w:val="0"/>
          <w:numId w:val="17"/>
        </w:numPr>
        <w:spacing w:after="0" w:line="240" w:lineRule="auto"/>
        <w:rPr>
          <w:sz w:val="28"/>
          <w:szCs w:val="28"/>
        </w:rPr>
      </w:pPr>
      <w:r>
        <w:rPr>
          <w:sz w:val="28"/>
          <w:szCs w:val="28"/>
        </w:rPr>
        <w:t>n</w:t>
      </w:r>
      <w:r w:rsidRPr="00537808">
        <w:rPr>
          <w:sz w:val="28"/>
          <w:szCs w:val="28"/>
        </w:rPr>
        <w:t xml:space="preserve">o </w:t>
      </w:r>
      <w:r>
        <w:rPr>
          <w:sz w:val="28"/>
          <w:szCs w:val="28"/>
        </w:rPr>
        <w:t xml:space="preserve">elektroenerģijas </w:t>
      </w:r>
      <w:r w:rsidRPr="00537808">
        <w:rPr>
          <w:sz w:val="28"/>
          <w:szCs w:val="28"/>
        </w:rPr>
        <w:t>nodokļa ir atbrīvota elektroenerģija, kas iegūta:</w:t>
      </w:r>
    </w:p>
    <w:p w14:paraId="49A2CBAE" w14:textId="044686A7" w:rsidR="00807D89" w:rsidRPr="00807D89" w:rsidRDefault="00807D89" w:rsidP="00807D89">
      <w:pPr>
        <w:spacing w:after="0" w:line="240" w:lineRule="auto"/>
        <w:ind w:firstLine="851"/>
        <w:rPr>
          <w:sz w:val="28"/>
          <w:szCs w:val="28"/>
        </w:rPr>
      </w:pPr>
      <w:r w:rsidRPr="00807D89">
        <w:rPr>
          <w:sz w:val="28"/>
          <w:szCs w:val="28"/>
        </w:rPr>
        <w:t xml:space="preserve">1) no </w:t>
      </w:r>
      <w:r>
        <w:rPr>
          <w:sz w:val="28"/>
          <w:szCs w:val="28"/>
        </w:rPr>
        <w:t>AER</w:t>
      </w:r>
      <w:r w:rsidR="005F7969">
        <w:rPr>
          <w:sz w:val="28"/>
          <w:szCs w:val="28"/>
        </w:rPr>
        <w:t xml:space="preserve"> (6.panta pirmās daļas 1.punkts)</w:t>
      </w:r>
      <w:r w:rsidRPr="00807D89">
        <w:rPr>
          <w:sz w:val="28"/>
          <w:szCs w:val="28"/>
        </w:rPr>
        <w:t>;</w:t>
      </w:r>
    </w:p>
    <w:p w14:paraId="056C9D98" w14:textId="49240214" w:rsidR="00807D89" w:rsidRPr="00807D89" w:rsidRDefault="00807D89" w:rsidP="00807D89">
      <w:pPr>
        <w:spacing w:after="0" w:line="240" w:lineRule="auto"/>
        <w:ind w:firstLine="851"/>
        <w:rPr>
          <w:sz w:val="28"/>
          <w:szCs w:val="28"/>
        </w:rPr>
      </w:pPr>
      <w:r w:rsidRPr="00807D89">
        <w:rPr>
          <w:sz w:val="28"/>
          <w:szCs w:val="28"/>
        </w:rPr>
        <w:t>2) hidroelektrostacijās</w:t>
      </w:r>
      <w:r w:rsidR="005F7969">
        <w:rPr>
          <w:sz w:val="28"/>
          <w:szCs w:val="28"/>
        </w:rPr>
        <w:t xml:space="preserve"> (6.panta pirmās daļas 2.punkts)</w:t>
      </w:r>
      <w:r w:rsidRPr="00807D89">
        <w:rPr>
          <w:sz w:val="28"/>
          <w:szCs w:val="28"/>
        </w:rPr>
        <w:t>;</w:t>
      </w:r>
    </w:p>
    <w:p w14:paraId="42AE179B" w14:textId="388CF71F" w:rsidR="00807D89" w:rsidRDefault="00807D89" w:rsidP="006C6374">
      <w:pPr>
        <w:spacing w:after="0" w:line="240" w:lineRule="auto"/>
        <w:ind w:left="1134" w:hanging="283"/>
        <w:rPr>
          <w:sz w:val="28"/>
          <w:szCs w:val="28"/>
        </w:rPr>
      </w:pPr>
      <w:r w:rsidRPr="00807D89">
        <w:rPr>
          <w:sz w:val="28"/>
          <w:szCs w:val="28"/>
        </w:rPr>
        <w:t>3) koģenerācijas stacijās, kas atbilst normatīvajos aktos par elektroenerģijas ražošanu koģenerācijas procesā noteiktajiem efektivitātes kritērijiem</w:t>
      </w:r>
      <w:r w:rsidR="005F7969">
        <w:rPr>
          <w:sz w:val="28"/>
          <w:szCs w:val="28"/>
        </w:rPr>
        <w:t xml:space="preserve"> (6.panta pirmās daļas 3.punkts)</w:t>
      </w:r>
      <w:r w:rsidRPr="00807D89">
        <w:rPr>
          <w:sz w:val="28"/>
          <w:szCs w:val="28"/>
        </w:rPr>
        <w:t>.</w:t>
      </w:r>
    </w:p>
    <w:p w14:paraId="01A5270A" w14:textId="77777777" w:rsidR="006C6374" w:rsidRDefault="005F7969" w:rsidP="006C6374">
      <w:pPr>
        <w:pStyle w:val="ListParagraph"/>
        <w:numPr>
          <w:ilvl w:val="0"/>
          <w:numId w:val="17"/>
        </w:numPr>
        <w:spacing w:after="0" w:line="240" w:lineRule="auto"/>
        <w:rPr>
          <w:sz w:val="28"/>
          <w:szCs w:val="28"/>
        </w:rPr>
      </w:pPr>
      <w:r>
        <w:rPr>
          <w:sz w:val="28"/>
          <w:szCs w:val="28"/>
        </w:rPr>
        <w:t>n</w:t>
      </w:r>
      <w:r w:rsidR="00807D89" w:rsidRPr="00807D89">
        <w:rPr>
          <w:sz w:val="28"/>
          <w:szCs w:val="28"/>
        </w:rPr>
        <w:t>o</w:t>
      </w:r>
      <w:r>
        <w:rPr>
          <w:sz w:val="28"/>
          <w:szCs w:val="28"/>
        </w:rPr>
        <w:t xml:space="preserve"> elektroenerģijas</w:t>
      </w:r>
      <w:r w:rsidR="00807D89" w:rsidRPr="00807D89">
        <w:rPr>
          <w:sz w:val="28"/>
          <w:szCs w:val="28"/>
        </w:rPr>
        <w:t xml:space="preserve"> nodokļa ir atbrīvota elektroenerģija, ko izmanto:</w:t>
      </w:r>
    </w:p>
    <w:p w14:paraId="1A367F90" w14:textId="7D01DBAE" w:rsidR="006C6374" w:rsidRPr="00537808" w:rsidRDefault="00807D89" w:rsidP="00537808">
      <w:pPr>
        <w:spacing w:after="0" w:line="240" w:lineRule="auto"/>
        <w:ind w:firstLine="851"/>
        <w:rPr>
          <w:sz w:val="28"/>
          <w:szCs w:val="28"/>
        </w:rPr>
      </w:pPr>
      <w:r w:rsidRPr="00537808">
        <w:rPr>
          <w:sz w:val="28"/>
          <w:szCs w:val="28"/>
        </w:rPr>
        <w:t>1) elektroenerģijas ražošanai</w:t>
      </w:r>
      <w:r w:rsidR="005F7969" w:rsidRPr="00537808">
        <w:rPr>
          <w:sz w:val="28"/>
          <w:szCs w:val="28"/>
        </w:rPr>
        <w:t xml:space="preserve"> (6.panta otrās daļas 1.punkts)</w:t>
      </w:r>
      <w:r w:rsidRPr="00537808">
        <w:rPr>
          <w:sz w:val="28"/>
          <w:szCs w:val="28"/>
        </w:rPr>
        <w:t>;</w:t>
      </w:r>
    </w:p>
    <w:p w14:paraId="01492790" w14:textId="37C86B63" w:rsidR="00807D89" w:rsidRPr="00537808" w:rsidRDefault="00807D89" w:rsidP="00537808">
      <w:pPr>
        <w:spacing w:after="0" w:line="240" w:lineRule="auto"/>
        <w:ind w:left="1134" w:hanging="283"/>
        <w:rPr>
          <w:sz w:val="28"/>
          <w:szCs w:val="28"/>
        </w:rPr>
      </w:pPr>
      <w:r w:rsidRPr="00537808">
        <w:rPr>
          <w:sz w:val="28"/>
          <w:szCs w:val="28"/>
        </w:rPr>
        <w:t>2) siltumenerģijas un elektroenerģijas ražošanai koģenerācijā</w:t>
      </w:r>
      <w:r w:rsidR="005F7969" w:rsidRPr="00537808">
        <w:rPr>
          <w:sz w:val="28"/>
          <w:szCs w:val="28"/>
        </w:rPr>
        <w:t xml:space="preserve"> (6.panta otrās daļas 2.punkts)</w:t>
      </w:r>
      <w:r w:rsidRPr="00537808">
        <w:rPr>
          <w:sz w:val="28"/>
          <w:szCs w:val="28"/>
        </w:rPr>
        <w:t>;</w:t>
      </w:r>
    </w:p>
    <w:p w14:paraId="6E7F6EF7" w14:textId="1A19C979" w:rsidR="00807D89" w:rsidRPr="00537808" w:rsidRDefault="00807D89" w:rsidP="00537808">
      <w:pPr>
        <w:spacing w:after="0" w:line="240" w:lineRule="auto"/>
        <w:ind w:left="1134" w:hanging="283"/>
        <w:rPr>
          <w:sz w:val="28"/>
          <w:szCs w:val="28"/>
        </w:rPr>
      </w:pPr>
      <w:r w:rsidRPr="00537808">
        <w:rPr>
          <w:sz w:val="28"/>
          <w:szCs w:val="28"/>
        </w:rPr>
        <w:t>3) preču pārvadājumiem un sabiedriskajiem pasažieru pārvadājumiem, tajā skaitā dzelzceļa transportā un pilsētu sabiedriskajos pasažieru pārvadājumos</w:t>
      </w:r>
      <w:r w:rsidR="005F7969" w:rsidRPr="00537808">
        <w:rPr>
          <w:sz w:val="28"/>
          <w:szCs w:val="28"/>
        </w:rPr>
        <w:t xml:space="preserve"> (6.panta otrās daļas 3.punkts)</w:t>
      </w:r>
      <w:r w:rsidRPr="00537808">
        <w:rPr>
          <w:sz w:val="28"/>
          <w:szCs w:val="28"/>
        </w:rPr>
        <w:t>;</w:t>
      </w:r>
    </w:p>
    <w:p w14:paraId="33DE9F3C" w14:textId="4234858E" w:rsidR="00807D89" w:rsidRPr="00537808" w:rsidRDefault="00807D89" w:rsidP="00537808">
      <w:pPr>
        <w:spacing w:after="0" w:line="240" w:lineRule="auto"/>
        <w:ind w:left="1134" w:hanging="283"/>
        <w:rPr>
          <w:sz w:val="28"/>
          <w:szCs w:val="28"/>
        </w:rPr>
      </w:pPr>
      <w:r w:rsidRPr="00537808">
        <w:rPr>
          <w:sz w:val="28"/>
          <w:szCs w:val="28"/>
        </w:rPr>
        <w:t>4) mājsaimniecību lietotāji</w:t>
      </w:r>
      <w:r w:rsidR="005F7969" w:rsidRPr="00537808">
        <w:rPr>
          <w:sz w:val="28"/>
          <w:szCs w:val="28"/>
        </w:rPr>
        <w:t xml:space="preserve"> (6.panta otrās daļas 4.punkts)</w:t>
      </w:r>
      <w:r w:rsidRPr="00537808">
        <w:rPr>
          <w:sz w:val="28"/>
          <w:szCs w:val="28"/>
        </w:rPr>
        <w:t>.</w:t>
      </w:r>
    </w:p>
    <w:p w14:paraId="73F48168" w14:textId="669256C5" w:rsidR="005F7969" w:rsidRPr="00537808" w:rsidRDefault="005F7969" w:rsidP="00537808">
      <w:pPr>
        <w:pStyle w:val="ListParagraph"/>
        <w:numPr>
          <w:ilvl w:val="0"/>
          <w:numId w:val="18"/>
        </w:numPr>
        <w:spacing w:after="0" w:line="240" w:lineRule="auto"/>
        <w:rPr>
          <w:sz w:val="28"/>
          <w:szCs w:val="28"/>
        </w:rPr>
      </w:pPr>
      <w:r w:rsidRPr="00537808">
        <w:rPr>
          <w:sz w:val="28"/>
          <w:szCs w:val="28"/>
        </w:rPr>
        <w:t>no elektroenerģijas nodokļa ir atbrīvota elektroenerģijas, kas piegādāta citu ES dalībvalstu vai citu ārvalstu pārstāvjiem vai organizācijām, ievērojot ENL noteiktus nosacījumus (6.panta trešā daļa).</w:t>
      </w:r>
    </w:p>
    <w:p w14:paraId="3E087C38" w14:textId="44CAAB61" w:rsidR="005F7969" w:rsidRPr="00537808" w:rsidRDefault="00387AF8" w:rsidP="00537808">
      <w:pPr>
        <w:pStyle w:val="ListParagraph"/>
        <w:numPr>
          <w:ilvl w:val="0"/>
          <w:numId w:val="18"/>
        </w:numPr>
        <w:spacing w:after="0" w:line="240" w:lineRule="auto"/>
        <w:rPr>
          <w:sz w:val="28"/>
          <w:szCs w:val="28"/>
        </w:rPr>
      </w:pPr>
      <w:r>
        <w:rPr>
          <w:sz w:val="28"/>
          <w:szCs w:val="28"/>
        </w:rPr>
        <w:lastRenderedPageBreak/>
        <w:t>e</w:t>
      </w:r>
      <w:r w:rsidR="005F7969" w:rsidRPr="00537808">
        <w:rPr>
          <w:sz w:val="28"/>
          <w:szCs w:val="28"/>
        </w:rPr>
        <w:t>lektroenerģijai, ko piegādā personām ielu apgaismošanas pakalpojumu sniegšanai, nodokli aprēķina pēc likmes 0 EUR/</w:t>
      </w:r>
      <w:proofErr w:type="spellStart"/>
      <w:r w:rsidR="005F7969" w:rsidRPr="00537808">
        <w:rPr>
          <w:sz w:val="28"/>
          <w:szCs w:val="28"/>
        </w:rPr>
        <w:t>MWh</w:t>
      </w:r>
      <w:proofErr w:type="spellEnd"/>
      <w:r w:rsidR="005F7969" w:rsidRPr="00537808">
        <w:rPr>
          <w:sz w:val="28"/>
          <w:szCs w:val="28"/>
        </w:rPr>
        <w:t>.</w:t>
      </w:r>
    </w:p>
    <w:p w14:paraId="27A26370" w14:textId="77777777" w:rsidR="006C6374" w:rsidRDefault="006C6374" w:rsidP="004E1081">
      <w:pPr>
        <w:spacing w:after="0" w:line="240" w:lineRule="auto"/>
        <w:ind w:firstLine="851"/>
        <w:rPr>
          <w:sz w:val="28"/>
          <w:szCs w:val="28"/>
        </w:rPr>
      </w:pPr>
    </w:p>
    <w:p w14:paraId="1C62F1AA" w14:textId="77777777" w:rsidR="006C6374" w:rsidRPr="00995D85" w:rsidRDefault="006C6374" w:rsidP="00720928">
      <w:pPr>
        <w:spacing w:after="0" w:line="240" w:lineRule="auto"/>
        <w:ind w:left="284"/>
        <w:rPr>
          <w:sz w:val="28"/>
          <w:szCs w:val="28"/>
        </w:rPr>
      </w:pPr>
    </w:p>
    <w:p w14:paraId="41C9388F" w14:textId="77777777" w:rsidR="00C53B46" w:rsidRDefault="00C53B46" w:rsidP="004E1081">
      <w:pPr>
        <w:spacing w:after="0" w:line="240" w:lineRule="auto"/>
        <w:ind w:firstLine="851"/>
        <w:rPr>
          <w:sz w:val="28"/>
          <w:szCs w:val="28"/>
        </w:rPr>
      </w:pPr>
      <w:r w:rsidRPr="00C53B46">
        <w:rPr>
          <w:sz w:val="28"/>
          <w:szCs w:val="28"/>
        </w:rPr>
        <w:t>Saskaņā ar V</w:t>
      </w:r>
      <w:r>
        <w:rPr>
          <w:sz w:val="28"/>
          <w:szCs w:val="28"/>
        </w:rPr>
        <w:t xml:space="preserve">alsts ieņēmumu dienesta </w:t>
      </w:r>
      <w:r w:rsidRPr="00C53B46">
        <w:rPr>
          <w:sz w:val="28"/>
          <w:szCs w:val="28"/>
        </w:rPr>
        <w:t>datiem elektroenerģijas nodokļa ieņēmumi 2015.</w:t>
      </w:r>
      <w:r>
        <w:rPr>
          <w:sz w:val="28"/>
          <w:szCs w:val="28"/>
        </w:rPr>
        <w:t> </w:t>
      </w:r>
      <w:r w:rsidRPr="00C53B46">
        <w:rPr>
          <w:sz w:val="28"/>
          <w:szCs w:val="28"/>
        </w:rPr>
        <w:t>gadā bija 1</w:t>
      </w:r>
      <w:r>
        <w:rPr>
          <w:sz w:val="28"/>
          <w:szCs w:val="28"/>
        </w:rPr>
        <w:t>,</w:t>
      </w:r>
      <w:r w:rsidRPr="00C53B46">
        <w:rPr>
          <w:sz w:val="28"/>
          <w:szCs w:val="28"/>
        </w:rPr>
        <w:t>6</w:t>
      </w:r>
      <w:r>
        <w:rPr>
          <w:sz w:val="28"/>
          <w:szCs w:val="28"/>
        </w:rPr>
        <w:t>3</w:t>
      </w:r>
      <w:r w:rsidRPr="00C53B46">
        <w:rPr>
          <w:sz w:val="28"/>
          <w:szCs w:val="28"/>
        </w:rPr>
        <w:t xml:space="preserve"> milj.</w:t>
      </w:r>
      <w:r>
        <w:rPr>
          <w:sz w:val="28"/>
          <w:szCs w:val="28"/>
        </w:rPr>
        <w:t> </w:t>
      </w:r>
      <w:r w:rsidR="002B556F">
        <w:rPr>
          <w:sz w:val="28"/>
          <w:szCs w:val="28"/>
        </w:rPr>
        <w:t>EUR</w:t>
      </w:r>
      <w:r>
        <w:rPr>
          <w:sz w:val="28"/>
          <w:szCs w:val="28"/>
        </w:rPr>
        <w:t xml:space="preserve">, bet </w:t>
      </w:r>
      <w:r w:rsidRPr="00C53B46">
        <w:rPr>
          <w:sz w:val="28"/>
          <w:szCs w:val="28"/>
        </w:rPr>
        <w:t>2016.gad</w:t>
      </w:r>
      <w:r>
        <w:rPr>
          <w:sz w:val="28"/>
          <w:szCs w:val="28"/>
        </w:rPr>
        <w:t>a pirmajā pusgadā – 0,29</w:t>
      </w:r>
      <w:r w:rsidRPr="00C53B46">
        <w:rPr>
          <w:sz w:val="28"/>
          <w:szCs w:val="28"/>
        </w:rPr>
        <w:t xml:space="preserve"> milj.</w:t>
      </w:r>
      <w:r>
        <w:rPr>
          <w:sz w:val="28"/>
          <w:szCs w:val="28"/>
        </w:rPr>
        <w:t> </w:t>
      </w:r>
      <w:proofErr w:type="spellStart"/>
      <w:r>
        <w:rPr>
          <w:sz w:val="28"/>
          <w:szCs w:val="28"/>
        </w:rPr>
        <w:t>euro</w:t>
      </w:r>
      <w:proofErr w:type="spellEnd"/>
      <w:r>
        <w:rPr>
          <w:sz w:val="28"/>
          <w:szCs w:val="28"/>
        </w:rPr>
        <w:t xml:space="preserve">, kas veido tikai 41% no perioda plāna. Kopējie 2016. gadā prognozētie </w:t>
      </w:r>
      <w:r w:rsidRPr="00C53B46">
        <w:rPr>
          <w:sz w:val="28"/>
          <w:szCs w:val="28"/>
        </w:rPr>
        <w:t>elektroenerģijas nodokļa ieņēmumi budžet</w:t>
      </w:r>
      <w:r>
        <w:rPr>
          <w:sz w:val="28"/>
          <w:szCs w:val="28"/>
        </w:rPr>
        <w:t>ā</w:t>
      </w:r>
      <w:r w:rsidRPr="00C53B46">
        <w:rPr>
          <w:sz w:val="28"/>
          <w:szCs w:val="28"/>
        </w:rPr>
        <w:t xml:space="preserve"> ir 1</w:t>
      </w:r>
      <w:r>
        <w:rPr>
          <w:sz w:val="28"/>
          <w:szCs w:val="28"/>
        </w:rPr>
        <w:t>,</w:t>
      </w:r>
      <w:r w:rsidR="00203FC2">
        <w:rPr>
          <w:sz w:val="28"/>
          <w:szCs w:val="28"/>
        </w:rPr>
        <w:t>88 milj.</w:t>
      </w:r>
      <w:r w:rsidR="002B556F">
        <w:rPr>
          <w:sz w:val="28"/>
          <w:szCs w:val="28"/>
        </w:rPr>
        <w:t> </w:t>
      </w:r>
      <w:r w:rsidR="00203FC2">
        <w:rPr>
          <w:sz w:val="28"/>
          <w:szCs w:val="28"/>
        </w:rPr>
        <w:t>EUR. 9. tabulā ir apkopota informācija par elektroenerģijas apjomu, kuram piemērots atbrīvojums no elektroenerģijas nodokļa.</w:t>
      </w:r>
    </w:p>
    <w:p w14:paraId="5F8BA27D" w14:textId="77777777" w:rsidR="00203FC2" w:rsidRPr="00D116AC" w:rsidRDefault="00203FC2" w:rsidP="00203FC2">
      <w:pPr>
        <w:pStyle w:val="Caption"/>
        <w:keepNext/>
        <w:jc w:val="right"/>
        <w:rPr>
          <w:rFonts w:ascii="Times New Roman" w:hAnsi="Times New Roman"/>
          <w:sz w:val="24"/>
          <w:szCs w:val="24"/>
        </w:rPr>
      </w:pPr>
      <w:r>
        <w:rPr>
          <w:rFonts w:ascii="Times New Roman" w:hAnsi="Times New Roman"/>
          <w:sz w:val="24"/>
          <w:szCs w:val="24"/>
        </w:rPr>
        <w:t>9</w:t>
      </w:r>
      <w:r w:rsidRPr="00D116AC">
        <w:rPr>
          <w:rFonts w:ascii="Times New Roman" w:hAnsi="Times New Roman"/>
          <w:sz w:val="24"/>
          <w:szCs w:val="24"/>
        </w:rPr>
        <w:t>.tabula</w:t>
      </w:r>
    </w:p>
    <w:p w14:paraId="0AE56C68" w14:textId="77777777" w:rsidR="00203FC2" w:rsidRPr="009E280D" w:rsidRDefault="00203FC2" w:rsidP="00203FC2">
      <w:pPr>
        <w:pStyle w:val="Caption"/>
        <w:keepNext/>
        <w:keepLines/>
        <w:widowControl/>
        <w:jc w:val="center"/>
        <w:rPr>
          <w:rFonts w:ascii="Times New Roman" w:hAnsi="Times New Roman"/>
          <w:sz w:val="24"/>
          <w:szCs w:val="24"/>
        </w:rPr>
      </w:pPr>
      <w:r>
        <w:rPr>
          <w:rFonts w:ascii="Times New Roman" w:hAnsi="Times New Roman"/>
          <w:sz w:val="24"/>
          <w:szCs w:val="24"/>
        </w:rPr>
        <w:t>N</w:t>
      </w:r>
      <w:r w:rsidRPr="00203FC2">
        <w:rPr>
          <w:rFonts w:ascii="Times New Roman" w:hAnsi="Times New Roman"/>
          <w:sz w:val="24"/>
          <w:szCs w:val="24"/>
        </w:rPr>
        <w:t xml:space="preserve">o elektroenerģijas nodokļa </w:t>
      </w:r>
      <w:r>
        <w:rPr>
          <w:rFonts w:ascii="Times New Roman" w:hAnsi="Times New Roman"/>
          <w:sz w:val="24"/>
          <w:szCs w:val="24"/>
        </w:rPr>
        <w:t xml:space="preserve">maksājuma </w:t>
      </w:r>
      <w:r w:rsidRPr="00203FC2">
        <w:rPr>
          <w:rFonts w:ascii="Times New Roman" w:hAnsi="Times New Roman"/>
          <w:sz w:val="24"/>
          <w:szCs w:val="24"/>
        </w:rPr>
        <w:t>atbrīvo</w:t>
      </w:r>
      <w:r>
        <w:rPr>
          <w:rFonts w:ascii="Times New Roman" w:hAnsi="Times New Roman"/>
          <w:sz w:val="24"/>
          <w:szCs w:val="24"/>
        </w:rPr>
        <w:t>tai</w:t>
      </w:r>
      <w:r w:rsidRPr="00203FC2">
        <w:rPr>
          <w:rFonts w:ascii="Times New Roman" w:hAnsi="Times New Roman"/>
          <w:sz w:val="24"/>
          <w:szCs w:val="24"/>
        </w:rPr>
        <w:t xml:space="preserve">s </w:t>
      </w:r>
      <w:r>
        <w:rPr>
          <w:rFonts w:ascii="Times New Roman" w:hAnsi="Times New Roman"/>
          <w:sz w:val="24"/>
          <w:szCs w:val="24"/>
        </w:rPr>
        <w:t xml:space="preserve">elektroenerģijas apjoms, </w:t>
      </w:r>
      <w:proofErr w:type="spellStart"/>
      <w:r>
        <w:rPr>
          <w:rFonts w:ascii="Times New Roman" w:hAnsi="Times New Roman"/>
          <w:sz w:val="24"/>
          <w:szCs w:val="24"/>
        </w:rPr>
        <w:t>MWh</w:t>
      </w:r>
      <w:proofErr w:type="spellEnd"/>
    </w:p>
    <w:tbl>
      <w:tblPr>
        <w:tblStyle w:val="TableGrid"/>
        <w:tblW w:w="0" w:type="auto"/>
        <w:jc w:val="center"/>
        <w:tblLook w:val="04A0" w:firstRow="1" w:lastRow="0" w:firstColumn="1" w:lastColumn="0" w:noHBand="0" w:noVBand="1"/>
      </w:tblPr>
      <w:tblGrid>
        <w:gridCol w:w="3114"/>
        <w:gridCol w:w="1612"/>
        <w:gridCol w:w="1612"/>
        <w:gridCol w:w="1613"/>
      </w:tblGrid>
      <w:tr w:rsidR="003C4D02" w:rsidRPr="003A2A3B" w14:paraId="0FC904E3" w14:textId="77777777" w:rsidTr="003C4D02">
        <w:trPr>
          <w:jc w:val="center"/>
        </w:trPr>
        <w:tc>
          <w:tcPr>
            <w:tcW w:w="3114" w:type="dxa"/>
          </w:tcPr>
          <w:p w14:paraId="1E7C80D7" w14:textId="77777777" w:rsidR="003C4D02" w:rsidRPr="003A2A3B" w:rsidRDefault="003C4D02" w:rsidP="009223A0">
            <w:pPr>
              <w:keepNext/>
              <w:keepLines/>
              <w:tabs>
                <w:tab w:val="left" w:pos="709"/>
              </w:tabs>
              <w:spacing w:line="240" w:lineRule="auto"/>
              <w:jc w:val="center"/>
              <w:rPr>
                <w:bCs/>
                <w:color w:val="000000"/>
                <w:szCs w:val="24"/>
              </w:rPr>
            </w:pPr>
          </w:p>
        </w:tc>
        <w:tc>
          <w:tcPr>
            <w:tcW w:w="1612" w:type="dxa"/>
            <w:vAlign w:val="center"/>
          </w:tcPr>
          <w:p w14:paraId="29676E48" w14:textId="77777777" w:rsidR="003C4D02" w:rsidRDefault="003C4D02" w:rsidP="00203FC2">
            <w:pPr>
              <w:keepNext/>
              <w:keepLines/>
              <w:tabs>
                <w:tab w:val="left" w:pos="709"/>
              </w:tabs>
              <w:spacing w:line="240" w:lineRule="auto"/>
              <w:jc w:val="center"/>
              <w:rPr>
                <w:b/>
                <w:bCs/>
                <w:color w:val="000000"/>
                <w:szCs w:val="24"/>
              </w:rPr>
            </w:pPr>
            <w:r>
              <w:rPr>
                <w:b/>
                <w:bCs/>
                <w:color w:val="000000"/>
                <w:szCs w:val="24"/>
              </w:rPr>
              <w:t>2014.</w:t>
            </w:r>
          </w:p>
        </w:tc>
        <w:tc>
          <w:tcPr>
            <w:tcW w:w="1612" w:type="dxa"/>
            <w:tcBorders>
              <w:bottom w:val="single" w:sz="4" w:space="0" w:color="auto"/>
            </w:tcBorders>
            <w:vAlign w:val="center"/>
          </w:tcPr>
          <w:p w14:paraId="7FFE8024" w14:textId="77777777" w:rsidR="003C4D02" w:rsidRPr="003A2A3B" w:rsidRDefault="003C4D02" w:rsidP="00203FC2">
            <w:pPr>
              <w:keepNext/>
              <w:keepLines/>
              <w:tabs>
                <w:tab w:val="left" w:pos="709"/>
              </w:tabs>
              <w:spacing w:line="240" w:lineRule="auto"/>
              <w:jc w:val="center"/>
              <w:rPr>
                <w:bCs/>
                <w:color w:val="000000"/>
                <w:szCs w:val="24"/>
              </w:rPr>
            </w:pPr>
            <w:r>
              <w:rPr>
                <w:b/>
                <w:bCs/>
                <w:color w:val="000000"/>
                <w:szCs w:val="24"/>
              </w:rPr>
              <w:t>2015.</w:t>
            </w:r>
          </w:p>
        </w:tc>
        <w:tc>
          <w:tcPr>
            <w:tcW w:w="1613" w:type="dxa"/>
            <w:tcBorders>
              <w:bottom w:val="single" w:sz="4" w:space="0" w:color="auto"/>
            </w:tcBorders>
            <w:vAlign w:val="center"/>
          </w:tcPr>
          <w:p w14:paraId="6186E9ED" w14:textId="77777777" w:rsidR="003C4D02" w:rsidRPr="003A2A3B" w:rsidRDefault="003C4D02" w:rsidP="00203FC2">
            <w:pPr>
              <w:keepNext/>
              <w:keepLines/>
              <w:tabs>
                <w:tab w:val="left" w:pos="709"/>
              </w:tabs>
              <w:spacing w:line="240" w:lineRule="auto"/>
              <w:jc w:val="center"/>
              <w:rPr>
                <w:b/>
                <w:bCs/>
                <w:color w:val="000000"/>
                <w:szCs w:val="24"/>
              </w:rPr>
            </w:pPr>
            <w:r>
              <w:rPr>
                <w:b/>
                <w:bCs/>
                <w:color w:val="000000"/>
                <w:szCs w:val="24"/>
              </w:rPr>
              <w:t xml:space="preserve">2016. gada </w:t>
            </w:r>
            <w:r>
              <w:rPr>
                <w:b/>
                <w:bCs/>
                <w:color w:val="000000"/>
                <w:szCs w:val="24"/>
              </w:rPr>
              <w:br/>
              <w:t>6 mēneši</w:t>
            </w:r>
          </w:p>
        </w:tc>
      </w:tr>
      <w:tr w:rsidR="003C4D02" w:rsidRPr="003A2A3B" w14:paraId="621EB8C2" w14:textId="77777777" w:rsidTr="003C4D02">
        <w:trPr>
          <w:trHeight w:val="58"/>
          <w:jc w:val="center"/>
        </w:trPr>
        <w:tc>
          <w:tcPr>
            <w:tcW w:w="3114" w:type="dxa"/>
          </w:tcPr>
          <w:p w14:paraId="2DCD3F80" w14:textId="77777777" w:rsidR="003C4D02" w:rsidRPr="003A2A3B" w:rsidRDefault="003C4D02" w:rsidP="00203FC2">
            <w:pPr>
              <w:keepNext/>
              <w:keepLines/>
              <w:tabs>
                <w:tab w:val="left" w:pos="709"/>
              </w:tabs>
              <w:spacing w:line="240" w:lineRule="auto"/>
              <w:jc w:val="left"/>
              <w:rPr>
                <w:bCs/>
                <w:color w:val="000000"/>
                <w:szCs w:val="24"/>
              </w:rPr>
            </w:pPr>
            <w:r>
              <w:rPr>
                <w:bCs/>
                <w:color w:val="000000"/>
                <w:szCs w:val="24"/>
              </w:rPr>
              <w:t xml:space="preserve">ENL </w:t>
            </w:r>
            <w:r w:rsidRPr="00203FC2">
              <w:rPr>
                <w:bCs/>
                <w:color w:val="000000"/>
                <w:szCs w:val="24"/>
              </w:rPr>
              <w:t>6.panta pirmā daļa</w:t>
            </w:r>
          </w:p>
        </w:tc>
        <w:tc>
          <w:tcPr>
            <w:tcW w:w="1612" w:type="dxa"/>
          </w:tcPr>
          <w:p w14:paraId="3609CC78" w14:textId="77777777" w:rsidR="003C4D02" w:rsidRPr="00556373" w:rsidRDefault="003C4D02" w:rsidP="00203FC2">
            <w:pPr>
              <w:keepNext/>
              <w:keepLines/>
              <w:spacing w:line="240" w:lineRule="auto"/>
              <w:jc w:val="center"/>
            </w:pPr>
            <w:r w:rsidRPr="00980BDF">
              <w:t>4</w:t>
            </w:r>
            <w:r>
              <w:t> 644 </w:t>
            </w:r>
            <w:r w:rsidRPr="00980BDF">
              <w:t>10</w:t>
            </w:r>
            <w:r>
              <w:t>8</w:t>
            </w:r>
          </w:p>
        </w:tc>
        <w:tc>
          <w:tcPr>
            <w:tcW w:w="1612" w:type="dxa"/>
          </w:tcPr>
          <w:p w14:paraId="30F5EF90" w14:textId="77777777" w:rsidR="003C4D02" w:rsidRPr="00556373" w:rsidRDefault="003C4D02" w:rsidP="00203FC2">
            <w:pPr>
              <w:keepNext/>
              <w:keepLines/>
              <w:spacing w:line="240" w:lineRule="auto"/>
              <w:jc w:val="center"/>
            </w:pPr>
            <w:r w:rsidRPr="00980BDF">
              <w:t>4</w:t>
            </w:r>
            <w:r>
              <w:t> </w:t>
            </w:r>
            <w:r w:rsidRPr="00980BDF">
              <w:t>666</w:t>
            </w:r>
            <w:r>
              <w:t> </w:t>
            </w:r>
            <w:r w:rsidRPr="00980BDF">
              <w:t>36</w:t>
            </w:r>
            <w:r>
              <w:t>4</w:t>
            </w:r>
          </w:p>
        </w:tc>
        <w:tc>
          <w:tcPr>
            <w:tcW w:w="1613" w:type="dxa"/>
          </w:tcPr>
          <w:p w14:paraId="65F4243A" w14:textId="77777777" w:rsidR="003C4D02" w:rsidRPr="003A2A3B" w:rsidRDefault="003C4D02" w:rsidP="00203FC2">
            <w:pPr>
              <w:keepNext/>
              <w:keepLines/>
              <w:spacing w:line="240" w:lineRule="auto"/>
              <w:jc w:val="center"/>
              <w:rPr>
                <w:szCs w:val="24"/>
              </w:rPr>
            </w:pPr>
            <w:r w:rsidRPr="00980BDF">
              <w:t>3</w:t>
            </w:r>
            <w:r>
              <w:t> </w:t>
            </w:r>
            <w:r w:rsidRPr="00980BDF">
              <w:t>279</w:t>
            </w:r>
            <w:r>
              <w:t> </w:t>
            </w:r>
            <w:r w:rsidRPr="00980BDF">
              <w:t>16</w:t>
            </w:r>
            <w:r>
              <w:t>3</w:t>
            </w:r>
          </w:p>
        </w:tc>
      </w:tr>
      <w:tr w:rsidR="003C4D02" w:rsidRPr="003A2A3B" w14:paraId="6D96596E" w14:textId="77777777" w:rsidTr="003C4D02">
        <w:trPr>
          <w:trHeight w:val="58"/>
          <w:jc w:val="center"/>
        </w:trPr>
        <w:tc>
          <w:tcPr>
            <w:tcW w:w="3114" w:type="dxa"/>
          </w:tcPr>
          <w:p w14:paraId="4FA2D5B3" w14:textId="77777777" w:rsidR="003C4D02" w:rsidRDefault="003C4D02" w:rsidP="00203FC2">
            <w:pPr>
              <w:keepNext/>
              <w:keepLines/>
              <w:tabs>
                <w:tab w:val="left" w:pos="709"/>
              </w:tabs>
              <w:spacing w:line="240" w:lineRule="auto"/>
              <w:jc w:val="left"/>
              <w:rPr>
                <w:bCs/>
                <w:color w:val="000000"/>
                <w:szCs w:val="24"/>
              </w:rPr>
            </w:pPr>
            <w:r>
              <w:rPr>
                <w:bCs/>
                <w:color w:val="000000"/>
                <w:szCs w:val="24"/>
              </w:rPr>
              <w:t>ENL 6.panta otr</w:t>
            </w:r>
            <w:r w:rsidRPr="00203FC2">
              <w:rPr>
                <w:bCs/>
                <w:color w:val="000000"/>
                <w:szCs w:val="24"/>
              </w:rPr>
              <w:t>ā daļa</w:t>
            </w:r>
          </w:p>
        </w:tc>
        <w:tc>
          <w:tcPr>
            <w:tcW w:w="1612" w:type="dxa"/>
          </w:tcPr>
          <w:p w14:paraId="34ED0B18" w14:textId="77777777" w:rsidR="003C4D02" w:rsidRPr="00980BDF" w:rsidRDefault="003C4D02" w:rsidP="00203FC2">
            <w:pPr>
              <w:keepNext/>
              <w:keepLines/>
              <w:spacing w:line="240" w:lineRule="auto"/>
              <w:jc w:val="center"/>
            </w:pPr>
            <w:r w:rsidRPr="00E041DD">
              <w:t>2</w:t>
            </w:r>
            <w:r>
              <w:t> 554 </w:t>
            </w:r>
            <w:r w:rsidRPr="00E041DD">
              <w:t>240</w:t>
            </w:r>
          </w:p>
        </w:tc>
        <w:tc>
          <w:tcPr>
            <w:tcW w:w="1612" w:type="dxa"/>
          </w:tcPr>
          <w:p w14:paraId="04CF741C" w14:textId="77777777" w:rsidR="003C4D02" w:rsidRPr="00980BDF" w:rsidRDefault="003C4D02" w:rsidP="00203FC2">
            <w:pPr>
              <w:keepNext/>
              <w:keepLines/>
              <w:spacing w:line="240" w:lineRule="auto"/>
              <w:jc w:val="center"/>
            </w:pPr>
            <w:r>
              <w:t>2 </w:t>
            </w:r>
            <w:r w:rsidRPr="00E041DD">
              <w:t>553</w:t>
            </w:r>
            <w:r>
              <w:t> </w:t>
            </w:r>
            <w:r w:rsidRPr="00E041DD">
              <w:t>48</w:t>
            </w:r>
            <w:r>
              <w:t>1</w:t>
            </w:r>
          </w:p>
        </w:tc>
        <w:tc>
          <w:tcPr>
            <w:tcW w:w="1613" w:type="dxa"/>
          </w:tcPr>
          <w:p w14:paraId="25A6083A" w14:textId="77777777" w:rsidR="003C4D02" w:rsidRPr="00980BDF" w:rsidRDefault="003C4D02" w:rsidP="00203FC2">
            <w:pPr>
              <w:keepNext/>
              <w:keepLines/>
              <w:spacing w:line="240" w:lineRule="auto"/>
              <w:jc w:val="center"/>
            </w:pPr>
            <w:r w:rsidRPr="00E041DD">
              <w:t>1</w:t>
            </w:r>
            <w:r>
              <w:t> </w:t>
            </w:r>
            <w:r w:rsidRPr="00E041DD">
              <w:t>294</w:t>
            </w:r>
            <w:r>
              <w:t> </w:t>
            </w:r>
            <w:r w:rsidRPr="00E041DD">
              <w:t>975</w:t>
            </w:r>
          </w:p>
        </w:tc>
      </w:tr>
      <w:tr w:rsidR="003C4D02" w:rsidRPr="003A2A3B" w14:paraId="702D36ED" w14:textId="77777777" w:rsidTr="003C4D02">
        <w:trPr>
          <w:trHeight w:val="58"/>
          <w:jc w:val="center"/>
        </w:trPr>
        <w:tc>
          <w:tcPr>
            <w:tcW w:w="3114" w:type="dxa"/>
          </w:tcPr>
          <w:p w14:paraId="3BF1D24A" w14:textId="77777777" w:rsidR="003C4D02" w:rsidRDefault="003C4D02" w:rsidP="00203FC2">
            <w:pPr>
              <w:keepNext/>
              <w:keepLines/>
              <w:tabs>
                <w:tab w:val="left" w:pos="709"/>
              </w:tabs>
              <w:spacing w:line="240" w:lineRule="auto"/>
              <w:jc w:val="left"/>
              <w:rPr>
                <w:bCs/>
                <w:color w:val="000000"/>
                <w:szCs w:val="24"/>
              </w:rPr>
            </w:pPr>
            <w:r>
              <w:rPr>
                <w:bCs/>
                <w:color w:val="000000"/>
                <w:szCs w:val="24"/>
              </w:rPr>
              <w:t xml:space="preserve">ENL </w:t>
            </w:r>
            <w:r w:rsidRPr="00203FC2">
              <w:rPr>
                <w:bCs/>
                <w:color w:val="000000"/>
                <w:szCs w:val="24"/>
              </w:rPr>
              <w:t xml:space="preserve">6.panta </w:t>
            </w:r>
            <w:r>
              <w:rPr>
                <w:bCs/>
                <w:color w:val="000000"/>
                <w:szCs w:val="24"/>
              </w:rPr>
              <w:t>treš</w:t>
            </w:r>
            <w:r w:rsidRPr="00203FC2">
              <w:rPr>
                <w:bCs/>
                <w:color w:val="000000"/>
                <w:szCs w:val="24"/>
              </w:rPr>
              <w:t>ā daļa</w:t>
            </w:r>
          </w:p>
        </w:tc>
        <w:tc>
          <w:tcPr>
            <w:tcW w:w="1612" w:type="dxa"/>
          </w:tcPr>
          <w:p w14:paraId="471D2824" w14:textId="77777777" w:rsidR="003C4D02" w:rsidRPr="00980BDF" w:rsidRDefault="003C4D02" w:rsidP="00203FC2">
            <w:pPr>
              <w:keepNext/>
              <w:keepLines/>
              <w:spacing w:line="240" w:lineRule="auto"/>
              <w:jc w:val="center"/>
            </w:pPr>
            <w:r w:rsidRPr="00174233">
              <w:t>22</w:t>
            </w:r>
            <w:r>
              <w:t> </w:t>
            </w:r>
            <w:r w:rsidRPr="00174233">
              <w:t>673</w:t>
            </w:r>
          </w:p>
        </w:tc>
        <w:tc>
          <w:tcPr>
            <w:tcW w:w="1612" w:type="dxa"/>
          </w:tcPr>
          <w:p w14:paraId="4499BCF4" w14:textId="77777777" w:rsidR="003C4D02" w:rsidRPr="00980BDF" w:rsidRDefault="003C4D02" w:rsidP="00203FC2">
            <w:pPr>
              <w:keepNext/>
              <w:keepLines/>
              <w:spacing w:line="240" w:lineRule="auto"/>
              <w:jc w:val="center"/>
            </w:pPr>
            <w:r w:rsidRPr="00174233">
              <w:t>23</w:t>
            </w:r>
            <w:r>
              <w:t> </w:t>
            </w:r>
            <w:r w:rsidRPr="00174233">
              <w:t>025</w:t>
            </w:r>
          </w:p>
        </w:tc>
        <w:tc>
          <w:tcPr>
            <w:tcW w:w="1613" w:type="dxa"/>
            <w:tcBorders>
              <w:bottom w:val="single" w:sz="4" w:space="0" w:color="auto"/>
            </w:tcBorders>
          </w:tcPr>
          <w:p w14:paraId="58F2A83E" w14:textId="77777777" w:rsidR="003C4D02" w:rsidRPr="00980BDF" w:rsidRDefault="003C4D02" w:rsidP="00203FC2">
            <w:pPr>
              <w:keepNext/>
              <w:keepLines/>
              <w:spacing w:line="240" w:lineRule="auto"/>
              <w:jc w:val="center"/>
            </w:pPr>
            <w:r w:rsidRPr="00174233">
              <w:t>11</w:t>
            </w:r>
            <w:r>
              <w:t> </w:t>
            </w:r>
            <w:r w:rsidRPr="00174233">
              <w:t>206</w:t>
            </w:r>
          </w:p>
        </w:tc>
      </w:tr>
    </w:tbl>
    <w:p w14:paraId="11A10B3A" w14:textId="77777777" w:rsidR="00C53B46" w:rsidRDefault="00C53B46" w:rsidP="004E1081">
      <w:pPr>
        <w:spacing w:after="0" w:line="240" w:lineRule="auto"/>
        <w:ind w:firstLine="851"/>
        <w:rPr>
          <w:sz w:val="28"/>
          <w:szCs w:val="28"/>
        </w:rPr>
      </w:pPr>
    </w:p>
    <w:p w14:paraId="6A385D8D" w14:textId="79235792" w:rsidR="00C53B46" w:rsidRDefault="00C53B46" w:rsidP="004E1081">
      <w:pPr>
        <w:spacing w:after="0" w:line="240" w:lineRule="auto"/>
        <w:ind w:firstLine="851"/>
        <w:rPr>
          <w:sz w:val="28"/>
          <w:szCs w:val="28"/>
        </w:rPr>
      </w:pPr>
      <w:r>
        <w:rPr>
          <w:sz w:val="28"/>
          <w:szCs w:val="28"/>
        </w:rPr>
        <w:t>Ņemot vērā minēto var secināt, ka elektroenerģijas</w:t>
      </w:r>
      <w:r w:rsidRPr="00C53B46">
        <w:rPr>
          <w:sz w:val="28"/>
          <w:szCs w:val="28"/>
        </w:rPr>
        <w:t xml:space="preserve"> tirgotāji </w:t>
      </w:r>
      <w:r w:rsidR="00E10797">
        <w:rPr>
          <w:sz w:val="28"/>
          <w:szCs w:val="28"/>
        </w:rPr>
        <w:t xml:space="preserve">2016. gadā </w:t>
      </w:r>
      <w:r>
        <w:rPr>
          <w:sz w:val="28"/>
          <w:szCs w:val="28"/>
        </w:rPr>
        <w:t>ievērojami vairāk</w:t>
      </w:r>
      <w:r w:rsidRPr="00C53B46">
        <w:rPr>
          <w:sz w:val="28"/>
          <w:szCs w:val="28"/>
        </w:rPr>
        <w:t xml:space="preserve"> </w:t>
      </w:r>
      <w:r w:rsidR="00E10797">
        <w:rPr>
          <w:sz w:val="28"/>
          <w:szCs w:val="28"/>
        </w:rPr>
        <w:t>izmanto</w:t>
      </w:r>
      <w:r w:rsidR="00E10797" w:rsidRPr="00C53B46">
        <w:rPr>
          <w:sz w:val="28"/>
          <w:szCs w:val="28"/>
        </w:rPr>
        <w:t xml:space="preserve"> </w:t>
      </w:r>
      <w:r w:rsidR="00E10797" w:rsidRPr="00E10797">
        <w:rPr>
          <w:sz w:val="28"/>
          <w:szCs w:val="28"/>
        </w:rPr>
        <w:t>ENL 6.panta pirm</w:t>
      </w:r>
      <w:r w:rsidR="00E10797">
        <w:rPr>
          <w:sz w:val="28"/>
          <w:szCs w:val="28"/>
        </w:rPr>
        <w:t>aj</w:t>
      </w:r>
      <w:r w:rsidR="00E10797" w:rsidRPr="00E10797">
        <w:rPr>
          <w:sz w:val="28"/>
          <w:szCs w:val="28"/>
        </w:rPr>
        <w:t>ā daļ</w:t>
      </w:r>
      <w:r w:rsidR="00E10797">
        <w:rPr>
          <w:sz w:val="28"/>
          <w:szCs w:val="28"/>
        </w:rPr>
        <w:t>ā paredzēto atbrīvojumu, tostarp</w:t>
      </w:r>
      <w:r w:rsidRPr="00C53B46">
        <w:rPr>
          <w:sz w:val="28"/>
          <w:szCs w:val="28"/>
        </w:rPr>
        <w:t xml:space="preserve"> </w:t>
      </w:r>
      <w:r w:rsidR="00E10797">
        <w:rPr>
          <w:sz w:val="28"/>
          <w:szCs w:val="28"/>
        </w:rPr>
        <w:t>iesniedzot izcelsmes apliecinājumus, kas pamato</w:t>
      </w:r>
      <w:r w:rsidRPr="00C53B46">
        <w:rPr>
          <w:sz w:val="28"/>
          <w:szCs w:val="28"/>
        </w:rPr>
        <w:t xml:space="preserve">, ka </w:t>
      </w:r>
      <w:r w:rsidR="00E10797">
        <w:rPr>
          <w:sz w:val="28"/>
          <w:szCs w:val="28"/>
        </w:rPr>
        <w:t xml:space="preserve">piegādātā </w:t>
      </w:r>
      <w:r w:rsidRPr="00C53B46">
        <w:rPr>
          <w:sz w:val="28"/>
          <w:szCs w:val="28"/>
        </w:rPr>
        <w:t xml:space="preserve">elektroenerģija ir saražota no </w:t>
      </w:r>
      <w:r w:rsidR="00E10797">
        <w:rPr>
          <w:sz w:val="28"/>
          <w:szCs w:val="28"/>
        </w:rPr>
        <w:t>AER</w:t>
      </w:r>
      <w:r w:rsidRPr="00C53B46">
        <w:rPr>
          <w:sz w:val="28"/>
          <w:szCs w:val="28"/>
        </w:rPr>
        <w:t xml:space="preserve"> citā </w:t>
      </w:r>
      <w:r w:rsidR="00E10797" w:rsidRPr="00E10797">
        <w:rPr>
          <w:sz w:val="28"/>
          <w:szCs w:val="28"/>
        </w:rPr>
        <w:t>Eiropas Ekonomikas zon</w:t>
      </w:r>
      <w:r w:rsidR="00E10797">
        <w:rPr>
          <w:sz w:val="28"/>
          <w:szCs w:val="28"/>
        </w:rPr>
        <w:t>as</w:t>
      </w:r>
      <w:r w:rsidRPr="00C53B46">
        <w:rPr>
          <w:sz w:val="28"/>
          <w:szCs w:val="28"/>
        </w:rPr>
        <w:t xml:space="preserve"> dalībvalstī.</w:t>
      </w:r>
      <w:r w:rsidR="00E10797">
        <w:rPr>
          <w:sz w:val="28"/>
          <w:szCs w:val="28"/>
        </w:rPr>
        <w:t xml:space="preserve"> Taču šī enerģija nevar tikt ieskaitīta Latvijai ar </w:t>
      </w:r>
      <w:r w:rsidR="00B04F43">
        <w:rPr>
          <w:sz w:val="28"/>
          <w:szCs w:val="28"/>
        </w:rPr>
        <w:t xml:space="preserve">2009.gada 23.aprīļa </w:t>
      </w:r>
      <w:r w:rsidR="00E10797" w:rsidRPr="00E10797">
        <w:rPr>
          <w:sz w:val="28"/>
          <w:szCs w:val="28"/>
        </w:rPr>
        <w:t>Eiropas Parlamenta un Padomes Direktīv</w:t>
      </w:r>
      <w:r w:rsidR="00E10797">
        <w:rPr>
          <w:sz w:val="28"/>
          <w:szCs w:val="28"/>
        </w:rPr>
        <w:t>u</w:t>
      </w:r>
      <w:r w:rsidR="00E10797" w:rsidRPr="00E10797">
        <w:rPr>
          <w:sz w:val="28"/>
          <w:szCs w:val="28"/>
        </w:rPr>
        <w:t xml:space="preserve"> 2009/28/EK par atjaunojamo energoresursu izmantošanas veicināšanu un ar ko groza un sekojoši atceļ Direktīvas 2001/77/EK un 2003/30/EK</w:t>
      </w:r>
      <w:r w:rsidR="00E10797">
        <w:rPr>
          <w:sz w:val="28"/>
          <w:szCs w:val="28"/>
        </w:rPr>
        <w:t xml:space="preserve"> noteiktā AER </w:t>
      </w:r>
      <w:r w:rsidR="00E10797" w:rsidRPr="00E10797">
        <w:rPr>
          <w:sz w:val="28"/>
          <w:szCs w:val="28"/>
        </w:rPr>
        <w:t>īpatsvar</w:t>
      </w:r>
      <w:r w:rsidR="00E10797">
        <w:rPr>
          <w:sz w:val="28"/>
          <w:szCs w:val="28"/>
        </w:rPr>
        <w:t>a</w:t>
      </w:r>
      <w:r w:rsidR="00E10797" w:rsidRPr="00E10797">
        <w:rPr>
          <w:sz w:val="28"/>
          <w:szCs w:val="28"/>
        </w:rPr>
        <w:t xml:space="preserve"> kopējā enerģijas </w:t>
      </w:r>
      <w:proofErr w:type="spellStart"/>
      <w:r w:rsidR="00E10797" w:rsidRPr="00E10797">
        <w:rPr>
          <w:sz w:val="28"/>
          <w:szCs w:val="28"/>
        </w:rPr>
        <w:t>galapatēriņā</w:t>
      </w:r>
      <w:proofErr w:type="spellEnd"/>
      <w:r w:rsidR="00E10797">
        <w:rPr>
          <w:sz w:val="28"/>
          <w:szCs w:val="28"/>
        </w:rPr>
        <w:t xml:space="preserve"> mērķa izpildē.</w:t>
      </w:r>
    </w:p>
    <w:p w14:paraId="0F69CDE1" w14:textId="77777777" w:rsidR="004E1081" w:rsidRPr="004E1081" w:rsidRDefault="00E10797" w:rsidP="004E1081">
      <w:pPr>
        <w:spacing w:after="0" w:line="240" w:lineRule="auto"/>
        <w:ind w:firstLine="851"/>
        <w:rPr>
          <w:sz w:val="28"/>
          <w:szCs w:val="28"/>
        </w:rPr>
      </w:pPr>
      <w:r>
        <w:rPr>
          <w:sz w:val="28"/>
          <w:szCs w:val="28"/>
        </w:rPr>
        <w:t xml:space="preserve">No </w:t>
      </w:r>
      <w:r w:rsidR="004E1081" w:rsidRPr="004E1081">
        <w:rPr>
          <w:sz w:val="28"/>
          <w:szCs w:val="28"/>
        </w:rPr>
        <w:t>2013.</w:t>
      </w:r>
      <w:r>
        <w:rPr>
          <w:sz w:val="28"/>
          <w:szCs w:val="28"/>
        </w:rPr>
        <w:t> </w:t>
      </w:r>
      <w:r w:rsidR="004E1081" w:rsidRPr="004E1081">
        <w:rPr>
          <w:sz w:val="28"/>
          <w:szCs w:val="28"/>
        </w:rPr>
        <w:t>gada 3.</w:t>
      </w:r>
      <w:r>
        <w:rPr>
          <w:sz w:val="28"/>
          <w:szCs w:val="28"/>
        </w:rPr>
        <w:t> </w:t>
      </w:r>
      <w:r w:rsidR="004E1081" w:rsidRPr="004E1081">
        <w:rPr>
          <w:sz w:val="28"/>
          <w:szCs w:val="28"/>
        </w:rPr>
        <w:t xml:space="preserve">jūnijā </w:t>
      </w:r>
      <w:r w:rsidRPr="004E1081">
        <w:rPr>
          <w:sz w:val="28"/>
          <w:szCs w:val="28"/>
        </w:rPr>
        <w:t xml:space="preserve">Latvijā </w:t>
      </w:r>
      <w:r w:rsidR="004E1081" w:rsidRPr="004E1081">
        <w:rPr>
          <w:sz w:val="28"/>
          <w:szCs w:val="28"/>
        </w:rPr>
        <w:t xml:space="preserve">savu darbību ir uzsākusi elektroenerģijas birža </w:t>
      </w:r>
      <w:r w:rsidR="004E1081" w:rsidRPr="00BF45DB">
        <w:rPr>
          <w:i/>
          <w:sz w:val="28"/>
          <w:szCs w:val="28"/>
        </w:rPr>
        <w:t xml:space="preserve">Nord </w:t>
      </w:r>
      <w:proofErr w:type="spellStart"/>
      <w:r w:rsidR="004E1081" w:rsidRPr="00BF45DB">
        <w:rPr>
          <w:i/>
          <w:sz w:val="28"/>
          <w:szCs w:val="28"/>
        </w:rPr>
        <w:t>Pool</w:t>
      </w:r>
      <w:proofErr w:type="spellEnd"/>
      <w:r w:rsidR="004E1081" w:rsidRPr="00BF45DB">
        <w:rPr>
          <w:i/>
          <w:sz w:val="28"/>
          <w:szCs w:val="28"/>
        </w:rPr>
        <w:t xml:space="preserve"> </w:t>
      </w:r>
      <w:proofErr w:type="spellStart"/>
      <w:r w:rsidR="004E1081" w:rsidRPr="00BF45DB">
        <w:rPr>
          <w:i/>
          <w:sz w:val="28"/>
          <w:szCs w:val="28"/>
        </w:rPr>
        <w:t>Spot</w:t>
      </w:r>
      <w:proofErr w:type="spellEnd"/>
      <w:r w:rsidR="004E1081" w:rsidRPr="004E1081">
        <w:rPr>
          <w:sz w:val="28"/>
          <w:szCs w:val="28"/>
        </w:rPr>
        <w:t>. Elektroenerģija, ko biržas dalībnieki pērk vai pārdod izmantojot biržas platformu, atbilstoši biržas darbības principiem, netiek identificēta nosakot tās izcelsmi, proti, pērkot elektroenerģiju biržā nevar noteikt no</w:t>
      </w:r>
      <w:r w:rsidR="00310EDD">
        <w:rPr>
          <w:sz w:val="28"/>
          <w:szCs w:val="28"/>
        </w:rPr>
        <w:t xml:space="preserve"> kādiem resursiem tā faktiski saražota.</w:t>
      </w:r>
    </w:p>
    <w:p w14:paraId="690BFA8A" w14:textId="61D151A5" w:rsidR="004E1081" w:rsidRDefault="004E1081" w:rsidP="004E1081">
      <w:pPr>
        <w:spacing w:after="0" w:line="240" w:lineRule="auto"/>
        <w:ind w:firstLine="851"/>
        <w:rPr>
          <w:sz w:val="28"/>
          <w:szCs w:val="28"/>
        </w:rPr>
      </w:pPr>
      <w:r w:rsidRPr="004E1081">
        <w:rPr>
          <w:sz w:val="28"/>
          <w:szCs w:val="28"/>
        </w:rPr>
        <w:t xml:space="preserve">Ņemot vērā iepriekš minēto, Ekonomikas ministrija atbalsta elektroenerģijas nodokļa atbrīvojumu, kas ir noteikti </w:t>
      </w:r>
      <w:r w:rsidR="000F4078">
        <w:rPr>
          <w:sz w:val="28"/>
          <w:szCs w:val="28"/>
        </w:rPr>
        <w:t>ENL</w:t>
      </w:r>
      <w:r w:rsidRPr="004E1081">
        <w:rPr>
          <w:sz w:val="28"/>
          <w:szCs w:val="28"/>
        </w:rPr>
        <w:t xml:space="preserve"> 6. panta pirmajā daļā</w:t>
      </w:r>
      <w:r w:rsidR="00D304FA">
        <w:rPr>
          <w:sz w:val="28"/>
          <w:szCs w:val="28"/>
        </w:rPr>
        <w:t>,</w:t>
      </w:r>
      <w:r w:rsidR="00D304FA" w:rsidRPr="00D304FA">
        <w:rPr>
          <w:sz w:val="28"/>
          <w:szCs w:val="28"/>
        </w:rPr>
        <w:t xml:space="preserve"> </w:t>
      </w:r>
      <w:r w:rsidR="00D304FA" w:rsidRPr="004E1081">
        <w:rPr>
          <w:sz w:val="28"/>
          <w:szCs w:val="28"/>
        </w:rPr>
        <w:t>atcelšanu</w:t>
      </w:r>
      <w:r w:rsidR="00310EDD">
        <w:rPr>
          <w:sz w:val="28"/>
          <w:szCs w:val="28"/>
        </w:rPr>
        <w:t xml:space="preserve">. Atbrīvojuma atcelšana ļaus palielināt valsts budžeta ieņēmumus un novirzīt papildu līdzekļus </w:t>
      </w:r>
      <w:r w:rsidR="00310EDD" w:rsidRPr="00D62726">
        <w:rPr>
          <w:sz w:val="28"/>
          <w:szCs w:val="28"/>
        </w:rPr>
        <w:t xml:space="preserve">OIK </w:t>
      </w:r>
      <w:r w:rsidR="00310EDD">
        <w:rPr>
          <w:sz w:val="28"/>
          <w:szCs w:val="28"/>
        </w:rPr>
        <w:t>saglabāšanai 26,79 EUR/</w:t>
      </w:r>
      <w:proofErr w:type="spellStart"/>
      <w:r w:rsidR="00310EDD">
        <w:rPr>
          <w:sz w:val="28"/>
          <w:szCs w:val="28"/>
        </w:rPr>
        <w:t>MWh</w:t>
      </w:r>
      <w:proofErr w:type="spellEnd"/>
      <w:r w:rsidR="00310EDD">
        <w:rPr>
          <w:sz w:val="28"/>
          <w:szCs w:val="28"/>
        </w:rPr>
        <w:t xml:space="preserve"> līmenī. Šī risinājuma plānotā papildu fiskālā ietekme ir </w:t>
      </w:r>
      <w:r w:rsidR="00310EDD" w:rsidRPr="00310EDD">
        <w:rPr>
          <w:sz w:val="28"/>
          <w:szCs w:val="28"/>
        </w:rPr>
        <w:t>4,7</w:t>
      </w:r>
      <w:r w:rsidR="00310EDD">
        <w:rPr>
          <w:sz w:val="28"/>
          <w:szCs w:val="28"/>
        </w:rPr>
        <w:t> </w:t>
      </w:r>
      <w:r w:rsidR="002B556F" w:rsidRPr="00310EDD">
        <w:rPr>
          <w:sz w:val="28"/>
          <w:szCs w:val="28"/>
        </w:rPr>
        <w:t>milj</w:t>
      </w:r>
      <w:r w:rsidR="002B556F">
        <w:rPr>
          <w:sz w:val="28"/>
          <w:szCs w:val="28"/>
        </w:rPr>
        <w:t>.</w:t>
      </w:r>
      <w:r w:rsidR="002B556F" w:rsidRPr="00310EDD">
        <w:rPr>
          <w:sz w:val="28"/>
          <w:szCs w:val="28"/>
        </w:rPr>
        <w:t xml:space="preserve"> </w:t>
      </w:r>
      <w:r w:rsidR="002B556F">
        <w:rPr>
          <w:sz w:val="28"/>
          <w:szCs w:val="28"/>
        </w:rPr>
        <w:t xml:space="preserve">EUR </w:t>
      </w:r>
      <w:r w:rsidR="00310EDD">
        <w:rPr>
          <w:sz w:val="28"/>
          <w:szCs w:val="28"/>
        </w:rPr>
        <w:t>gadā.</w:t>
      </w:r>
      <w:r w:rsidR="005A7D0B">
        <w:rPr>
          <w:sz w:val="28"/>
          <w:szCs w:val="28"/>
        </w:rPr>
        <w:t xml:space="preserve"> 2016.gada 2.augusta Ministru kabinets lēma</w:t>
      </w:r>
      <w:r w:rsidR="005A7D0B" w:rsidRPr="005A7D0B">
        <w:rPr>
          <w:sz w:val="28"/>
          <w:szCs w:val="28"/>
        </w:rPr>
        <w:t>, ka Finan</w:t>
      </w:r>
      <w:r w:rsidR="005A7D0B" w:rsidRPr="00962E4C">
        <w:rPr>
          <w:sz w:val="28"/>
          <w:szCs w:val="28"/>
        </w:rPr>
        <w:t xml:space="preserve">šu ministrijai sadarbībā ar Ekonomikas ministriju un Satiksmes ministriju jāizstrādā atbilstoši priekšlikumi grozījumiem </w:t>
      </w:r>
      <w:r w:rsidR="000F4078">
        <w:rPr>
          <w:sz w:val="28"/>
          <w:szCs w:val="28"/>
        </w:rPr>
        <w:t>ENL</w:t>
      </w:r>
      <w:r w:rsidR="005A7D0B" w:rsidRPr="00962E4C">
        <w:rPr>
          <w:sz w:val="28"/>
          <w:szCs w:val="28"/>
        </w:rPr>
        <w:t xml:space="preserve"> (</w:t>
      </w:r>
      <w:r w:rsidR="005A7D0B" w:rsidRPr="0092720C">
        <w:rPr>
          <w:sz w:val="28"/>
          <w:szCs w:val="28"/>
        </w:rPr>
        <w:t xml:space="preserve">MK 02.08.2016 protokols Nr.38 </w:t>
      </w:r>
      <w:bookmarkStart w:id="21" w:name="49"/>
      <w:r w:rsidR="005A7D0B" w:rsidRPr="00F82132">
        <w:rPr>
          <w:sz w:val="28"/>
          <w:szCs w:val="28"/>
        </w:rPr>
        <w:t>49.§</w:t>
      </w:r>
      <w:bookmarkEnd w:id="21"/>
      <w:r w:rsidR="005A7D0B" w:rsidRPr="00F82132">
        <w:rPr>
          <w:sz w:val="28"/>
          <w:szCs w:val="28"/>
        </w:rPr>
        <w:t xml:space="preserve"> jautājuma 19.punkts)</w:t>
      </w:r>
      <w:r w:rsidR="005A7D0B">
        <w:rPr>
          <w:sz w:val="28"/>
          <w:szCs w:val="28"/>
        </w:rPr>
        <w:t>.</w:t>
      </w:r>
    </w:p>
    <w:p w14:paraId="0B977D1E" w14:textId="77777777" w:rsidR="006C4361" w:rsidRPr="00D444AF" w:rsidRDefault="006C4361" w:rsidP="00005005">
      <w:pPr>
        <w:pStyle w:val="Heading1"/>
        <w:numPr>
          <w:ilvl w:val="0"/>
          <w:numId w:val="1"/>
        </w:numPr>
        <w:spacing w:after="120" w:line="276" w:lineRule="auto"/>
      </w:pPr>
      <w:bookmarkStart w:id="22" w:name="_Toc459890625"/>
      <w:r w:rsidRPr="00D444AF">
        <w:lastRenderedPageBreak/>
        <w:t>OIK maksājumu diferencēšana</w:t>
      </w:r>
      <w:r w:rsidR="00005005" w:rsidRPr="00005005">
        <w:t xml:space="preserve"> pēc sistēmas tarifu parauga</w:t>
      </w:r>
      <w:bookmarkEnd w:id="22"/>
    </w:p>
    <w:p w14:paraId="4DA79A79" w14:textId="77777777" w:rsidR="001B1650" w:rsidRDefault="007F33D1" w:rsidP="00D444AF">
      <w:pPr>
        <w:spacing w:after="0" w:line="240" w:lineRule="auto"/>
        <w:ind w:firstLine="851"/>
        <w:rPr>
          <w:sz w:val="28"/>
        </w:rPr>
      </w:pPr>
      <w:r w:rsidRPr="007F33D1">
        <w:rPr>
          <w:sz w:val="28"/>
        </w:rPr>
        <w:t xml:space="preserve">Līdzšinējā politika OIK noturēšanai esošajā līmenī ir mazinājusi riskus par nekontrolētu izmaksu pieaugumu elektroenerģijas lietotājiem, kas jo īpaši bija svarīgi saistībā ar elektroenerģijas tirgus liberalizāciju mājsaimniecībām 2015.gadā. Tomēr esošā obligāto </w:t>
      </w:r>
      <w:r>
        <w:rPr>
          <w:sz w:val="28"/>
        </w:rPr>
        <w:t xml:space="preserve">papildu </w:t>
      </w:r>
      <w:r w:rsidRPr="007F33D1">
        <w:rPr>
          <w:sz w:val="28"/>
        </w:rPr>
        <w:t xml:space="preserve">izmaksu sadalīšana </w:t>
      </w:r>
      <w:r>
        <w:rPr>
          <w:sz w:val="28"/>
        </w:rPr>
        <w:t xml:space="preserve">proporcionāli elektroenerģijas </w:t>
      </w:r>
      <w:proofErr w:type="spellStart"/>
      <w:r w:rsidRPr="007F33D1">
        <w:rPr>
          <w:sz w:val="28"/>
        </w:rPr>
        <w:t>galapatēriņ</w:t>
      </w:r>
      <w:r>
        <w:rPr>
          <w:sz w:val="28"/>
        </w:rPr>
        <w:t>am</w:t>
      </w:r>
      <w:proofErr w:type="spellEnd"/>
      <w:r w:rsidRPr="007F33D1">
        <w:rPr>
          <w:sz w:val="28"/>
        </w:rPr>
        <w:t>, nav pie</w:t>
      </w:r>
      <w:r w:rsidR="00855D12">
        <w:rPr>
          <w:sz w:val="28"/>
        </w:rPr>
        <w:t>rā</w:t>
      </w:r>
      <w:r w:rsidRPr="007F33D1">
        <w:rPr>
          <w:sz w:val="28"/>
        </w:rPr>
        <w:t xml:space="preserve">dījusi sevi kā efektīvākais risinājums izmaksu sadalīšanā. Visas kompensējamās </w:t>
      </w:r>
      <w:r w:rsidR="001B1650">
        <w:rPr>
          <w:sz w:val="28"/>
          <w:szCs w:val="28"/>
        </w:rPr>
        <w:t>jaudas maksas par elektrostacijā uzstādīto elektrisko jaudu</w:t>
      </w:r>
      <w:r w:rsidR="001B1650" w:rsidRPr="007F33D1">
        <w:rPr>
          <w:sz w:val="28"/>
        </w:rPr>
        <w:t xml:space="preserve"> </w:t>
      </w:r>
      <w:r w:rsidR="001B1650">
        <w:rPr>
          <w:sz w:val="28"/>
        </w:rPr>
        <w:t xml:space="preserve">un OI </w:t>
      </w:r>
      <w:r w:rsidRPr="007F33D1">
        <w:rPr>
          <w:sz w:val="28"/>
        </w:rPr>
        <w:t>izmaksas n</w:t>
      </w:r>
      <w:r w:rsidR="001B1650">
        <w:rPr>
          <w:sz w:val="28"/>
        </w:rPr>
        <w:t>osacīti var iedalīt divās daļās:</w:t>
      </w:r>
    </w:p>
    <w:p w14:paraId="31DE051A" w14:textId="2A022EE2" w:rsidR="00E3490E" w:rsidRDefault="007F33D1" w:rsidP="00D444AF">
      <w:pPr>
        <w:pStyle w:val="ListParagraph"/>
        <w:numPr>
          <w:ilvl w:val="0"/>
          <w:numId w:val="15"/>
        </w:numPr>
        <w:spacing w:after="0" w:line="240" w:lineRule="auto"/>
        <w:ind w:left="993" w:hanging="426"/>
        <w:rPr>
          <w:sz w:val="28"/>
        </w:rPr>
      </w:pPr>
      <w:r w:rsidRPr="001B1650">
        <w:rPr>
          <w:sz w:val="28"/>
        </w:rPr>
        <w:t xml:space="preserve">mainīgās izmaksas, kas rodas </w:t>
      </w:r>
      <w:r w:rsidR="001B1650" w:rsidRPr="001B1650">
        <w:rPr>
          <w:sz w:val="28"/>
        </w:rPr>
        <w:t xml:space="preserve">OI </w:t>
      </w:r>
      <w:r w:rsidR="001B1650">
        <w:rPr>
          <w:sz w:val="28"/>
        </w:rPr>
        <w:t xml:space="preserve">rezultātā, lai nodrošinātu </w:t>
      </w:r>
      <w:r w:rsidRPr="001B1650">
        <w:rPr>
          <w:sz w:val="28"/>
        </w:rPr>
        <w:t xml:space="preserve">noteiktu daļu </w:t>
      </w:r>
      <w:r w:rsidR="001B1650">
        <w:rPr>
          <w:sz w:val="28"/>
        </w:rPr>
        <w:t>AER</w:t>
      </w:r>
      <w:r w:rsidRPr="001B1650">
        <w:rPr>
          <w:sz w:val="28"/>
        </w:rPr>
        <w:t xml:space="preserve"> </w:t>
      </w:r>
      <w:r w:rsidR="00E3490E">
        <w:rPr>
          <w:sz w:val="28"/>
        </w:rPr>
        <w:t>enerģija</w:t>
      </w:r>
      <w:r w:rsidR="001E453A">
        <w:rPr>
          <w:sz w:val="28"/>
        </w:rPr>
        <w:t>s</w:t>
      </w:r>
      <w:r w:rsidR="00E3490E">
        <w:rPr>
          <w:sz w:val="28"/>
        </w:rPr>
        <w:t xml:space="preserve"> </w:t>
      </w:r>
      <w:proofErr w:type="spellStart"/>
      <w:r w:rsidRPr="001B1650">
        <w:rPr>
          <w:sz w:val="28"/>
        </w:rPr>
        <w:t>galapatēriņā</w:t>
      </w:r>
      <w:proofErr w:type="spellEnd"/>
      <w:r w:rsidR="00E3490E">
        <w:rPr>
          <w:sz w:val="28"/>
        </w:rPr>
        <w:t>. Tās</w:t>
      </w:r>
      <w:r w:rsidRPr="001B1650">
        <w:rPr>
          <w:sz w:val="28"/>
        </w:rPr>
        <w:t xml:space="preserve"> ir atkarīgas no </w:t>
      </w:r>
      <w:r w:rsidR="00E3490E">
        <w:rPr>
          <w:sz w:val="28"/>
        </w:rPr>
        <w:t>OI ietvaros iepirktā elektroenerģijas apjoma;</w:t>
      </w:r>
      <w:r w:rsidRPr="001B1650">
        <w:rPr>
          <w:sz w:val="28"/>
        </w:rPr>
        <w:t xml:space="preserve"> </w:t>
      </w:r>
    </w:p>
    <w:p w14:paraId="2D767490" w14:textId="77777777" w:rsidR="00E3490E" w:rsidRDefault="00E3490E" w:rsidP="00D444AF">
      <w:pPr>
        <w:pStyle w:val="ListParagraph"/>
        <w:numPr>
          <w:ilvl w:val="0"/>
          <w:numId w:val="15"/>
        </w:numPr>
        <w:spacing w:after="0" w:line="240" w:lineRule="auto"/>
        <w:ind w:left="993" w:hanging="426"/>
        <w:rPr>
          <w:sz w:val="28"/>
        </w:rPr>
      </w:pPr>
      <w:r>
        <w:rPr>
          <w:sz w:val="28"/>
        </w:rPr>
        <w:t>fiksēt</w:t>
      </w:r>
      <w:r w:rsidR="007F33D1" w:rsidRPr="001B1650">
        <w:rPr>
          <w:sz w:val="28"/>
        </w:rPr>
        <w:t>ās izmaks</w:t>
      </w:r>
      <w:r>
        <w:rPr>
          <w:sz w:val="28"/>
        </w:rPr>
        <w:t>a</w:t>
      </w:r>
      <w:r w:rsidR="007F33D1" w:rsidRPr="001B1650">
        <w:rPr>
          <w:sz w:val="28"/>
        </w:rPr>
        <w:t xml:space="preserve">s par jaudu, kuras ik gadu ir konstantas un sedz </w:t>
      </w:r>
      <w:r w:rsidRPr="001B1650">
        <w:rPr>
          <w:sz w:val="28"/>
        </w:rPr>
        <w:t>lielu jaudu koģenerācijas stacij</w:t>
      </w:r>
      <w:r>
        <w:rPr>
          <w:sz w:val="28"/>
        </w:rPr>
        <w:t>u</w:t>
      </w:r>
      <w:r w:rsidRPr="001B1650">
        <w:rPr>
          <w:sz w:val="28"/>
        </w:rPr>
        <w:t xml:space="preserve"> </w:t>
      </w:r>
      <w:r w:rsidR="007F33D1" w:rsidRPr="001B1650">
        <w:rPr>
          <w:sz w:val="28"/>
        </w:rPr>
        <w:t>investīcij</w:t>
      </w:r>
      <w:r>
        <w:rPr>
          <w:sz w:val="28"/>
        </w:rPr>
        <w:t>u izmaksas</w:t>
      </w:r>
      <w:r w:rsidR="007F33D1" w:rsidRPr="001B1650">
        <w:rPr>
          <w:sz w:val="28"/>
        </w:rPr>
        <w:t xml:space="preserve">. </w:t>
      </w:r>
    </w:p>
    <w:p w14:paraId="3462820B" w14:textId="77777777" w:rsidR="007F33D1" w:rsidRPr="00E3490E" w:rsidRDefault="007F33D1" w:rsidP="00D444AF">
      <w:pPr>
        <w:spacing w:after="0" w:line="240" w:lineRule="auto"/>
        <w:rPr>
          <w:sz w:val="28"/>
        </w:rPr>
      </w:pPr>
      <w:r w:rsidRPr="00E3490E">
        <w:rPr>
          <w:sz w:val="28"/>
        </w:rPr>
        <w:t>Ņemot vērā divējādo izmaksu dabu, efektīvākais risinājums to segšanai būtu piemērot analoģiskus principus – izmaksas</w:t>
      </w:r>
      <w:r w:rsidR="00E3490E">
        <w:rPr>
          <w:sz w:val="28"/>
        </w:rPr>
        <w:t>, kas rodas no jaudas maksājumiem</w:t>
      </w:r>
      <w:r w:rsidRPr="00E3490E">
        <w:rPr>
          <w:sz w:val="28"/>
        </w:rPr>
        <w:t xml:space="preserve"> koģenerācijas </w:t>
      </w:r>
      <w:r w:rsidR="00E3490E">
        <w:rPr>
          <w:sz w:val="28"/>
        </w:rPr>
        <w:t>elektro</w:t>
      </w:r>
      <w:r w:rsidRPr="00E3490E">
        <w:rPr>
          <w:sz w:val="28"/>
        </w:rPr>
        <w:t>stacijām</w:t>
      </w:r>
      <w:r w:rsidR="00E3490E">
        <w:rPr>
          <w:sz w:val="28"/>
        </w:rPr>
        <w:t>,</w:t>
      </w:r>
      <w:r w:rsidRPr="00E3490E">
        <w:rPr>
          <w:sz w:val="28"/>
        </w:rPr>
        <w:t xml:space="preserve"> </w:t>
      </w:r>
      <w:r w:rsidR="00E3490E">
        <w:rPr>
          <w:sz w:val="28"/>
        </w:rPr>
        <w:t>būtu lietderīgi attiecināt uz</w:t>
      </w:r>
      <w:r w:rsidRPr="00E3490E">
        <w:rPr>
          <w:sz w:val="28"/>
        </w:rPr>
        <w:t xml:space="preserve"> galalietotājiem proporcionāli to pieprasītajai jaudai sistēmā, </w:t>
      </w:r>
      <w:r w:rsidR="004A5EB7">
        <w:rPr>
          <w:sz w:val="28"/>
        </w:rPr>
        <w:t>savukārt</w:t>
      </w:r>
      <w:r w:rsidR="00E3490E">
        <w:rPr>
          <w:sz w:val="28"/>
        </w:rPr>
        <w:t xml:space="preserve"> </w:t>
      </w:r>
      <w:r w:rsidRPr="00E3490E">
        <w:rPr>
          <w:sz w:val="28"/>
        </w:rPr>
        <w:t xml:space="preserve">izmaksas par </w:t>
      </w:r>
      <w:r w:rsidR="00E3490E">
        <w:rPr>
          <w:sz w:val="28"/>
        </w:rPr>
        <w:t>OI ietvaros iepirkto elektroenerģiju –</w:t>
      </w:r>
      <w:r w:rsidRPr="00E3490E">
        <w:rPr>
          <w:sz w:val="28"/>
        </w:rPr>
        <w:t xml:space="preserve"> sadalīt proporcionāli </w:t>
      </w:r>
      <w:r w:rsidR="00E3490E">
        <w:rPr>
          <w:sz w:val="28"/>
        </w:rPr>
        <w:t xml:space="preserve">elektroenerģijas </w:t>
      </w:r>
      <w:proofErr w:type="spellStart"/>
      <w:r w:rsidR="00E3490E">
        <w:rPr>
          <w:sz w:val="28"/>
        </w:rPr>
        <w:t>gala</w:t>
      </w:r>
      <w:r w:rsidRPr="00E3490E">
        <w:rPr>
          <w:sz w:val="28"/>
        </w:rPr>
        <w:t>patēriņam</w:t>
      </w:r>
      <w:proofErr w:type="spellEnd"/>
      <w:r w:rsidRPr="00E3490E">
        <w:rPr>
          <w:sz w:val="28"/>
        </w:rPr>
        <w:t>.</w:t>
      </w:r>
    </w:p>
    <w:p w14:paraId="4223AFA5" w14:textId="77777777" w:rsidR="007F33D1" w:rsidRDefault="007F33D1" w:rsidP="00D444AF">
      <w:pPr>
        <w:spacing w:after="0" w:line="240" w:lineRule="auto"/>
        <w:ind w:firstLine="851"/>
        <w:rPr>
          <w:sz w:val="28"/>
        </w:rPr>
      </w:pPr>
      <w:r w:rsidRPr="007F33D1">
        <w:rPr>
          <w:sz w:val="28"/>
        </w:rPr>
        <w:t xml:space="preserve">Tā kā kopš </w:t>
      </w:r>
      <w:r w:rsidR="00E3490E">
        <w:rPr>
          <w:sz w:val="28"/>
        </w:rPr>
        <w:t>2016. gada</w:t>
      </w:r>
      <w:r w:rsidRPr="007F33D1">
        <w:rPr>
          <w:sz w:val="28"/>
        </w:rPr>
        <w:t xml:space="preserve"> 1.</w:t>
      </w:r>
      <w:r w:rsidR="00E3490E">
        <w:rPr>
          <w:sz w:val="28"/>
        </w:rPr>
        <w:t> </w:t>
      </w:r>
      <w:r w:rsidRPr="007F33D1">
        <w:rPr>
          <w:sz w:val="28"/>
        </w:rPr>
        <w:t>augusta jau ir ieviesta sistēmas pakalpojumu diferencēšana valsts lielākajam sadales sistēmas operatoram un 99</w:t>
      </w:r>
      <w:r w:rsidR="00E3490E">
        <w:rPr>
          <w:sz w:val="28"/>
        </w:rPr>
        <w:t>,</w:t>
      </w:r>
      <w:r w:rsidRPr="007F33D1">
        <w:rPr>
          <w:sz w:val="28"/>
        </w:rPr>
        <w:t xml:space="preserve">5% no mājsaimniecības lietotāju ir ieviesta fiksēta maksa par sadales sistēmas pakalpojumiem, tad </w:t>
      </w:r>
      <w:r w:rsidR="00E3490E">
        <w:rPr>
          <w:sz w:val="28"/>
        </w:rPr>
        <w:t>jaudas maksājumu radīto i</w:t>
      </w:r>
      <w:r w:rsidR="00E3490E" w:rsidRPr="00E3490E">
        <w:rPr>
          <w:sz w:val="28"/>
        </w:rPr>
        <w:t>zmaks</w:t>
      </w:r>
      <w:r w:rsidR="00E3490E">
        <w:rPr>
          <w:sz w:val="28"/>
        </w:rPr>
        <w:t xml:space="preserve">u </w:t>
      </w:r>
      <w:r w:rsidRPr="007F33D1">
        <w:rPr>
          <w:sz w:val="28"/>
        </w:rPr>
        <w:t>diferencēšan</w:t>
      </w:r>
      <w:r w:rsidR="00E3490E">
        <w:rPr>
          <w:sz w:val="28"/>
        </w:rPr>
        <w:t>a</w:t>
      </w:r>
      <w:r w:rsidRPr="007F33D1">
        <w:rPr>
          <w:sz w:val="28"/>
        </w:rPr>
        <w:t xml:space="preserve"> starp patērētājiem un sprieguma pakāpēm varētu </w:t>
      </w:r>
      <w:r w:rsidR="00E3490E">
        <w:rPr>
          <w:sz w:val="28"/>
        </w:rPr>
        <w:t xml:space="preserve">tikt </w:t>
      </w:r>
      <w:r w:rsidRPr="007F33D1">
        <w:rPr>
          <w:sz w:val="28"/>
        </w:rPr>
        <w:t>veikt</w:t>
      </w:r>
      <w:r w:rsidR="00E3490E">
        <w:rPr>
          <w:sz w:val="28"/>
        </w:rPr>
        <w:t>a</w:t>
      </w:r>
      <w:r w:rsidRPr="007F33D1">
        <w:rPr>
          <w:sz w:val="28"/>
        </w:rPr>
        <w:t xml:space="preserve"> pēc analoģiskiem principiem, nodrošinot vienādu un nediskriminējošu pieeju visiem vienādos apstākļos esošiem</w:t>
      </w:r>
      <w:r w:rsidR="00E3490E">
        <w:rPr>
          <w:sz w:val="28"/>
        </w:rPr>
        <w:t xml:space="preserve"> elektroenerģijas </w:t>
      </w:r>
      <w:r w:rsidRPr="007F33D1">
        <w:rPr>
          <w:sz w:val="28"/>
        </w:rPr>
        <w:t xml:space="preserve">galapatērētājiem. </w:t>
      </w:r>
    </w:p>
    <w:p w14:paraId="6E162A00" w14:textId="77777777" w:rsidR="004633CE" w:rsidRDefault="004633CE" w:rsidP="00D444AF">
      <w:pPr>
        <w:spacing w:after="0" w:line="240" w:lineRule="auto"/>
        <w:ind w:firstLine="851"/>
        <w:rPr>
          <w:sz w:val="28"/>
        </w:rPr>
      </w:pPr>
      <w:r w:rsidRPr="007F33D1">
        <w:rPr>
          <w:sz w:val="28"/>
        </w:rPr>
        <w:t xml:space="preserve">Savukārt </w:t>
      </w:r>
      <w:r>
        <w:rPr>
          <w:sz w:val="28"/>
        </w:rPr>
        <w:t>OI papildu izmaksu mainīgā daļa varētu arī turpmāk tikt segta, attiecinot</w:t>
      </w:r>
      <w:r w:rsidRPr="007F33D1">
        <w:rPr>
          <w:sz w:val="28"/>
        </w:rPr>
        <w:t xml:space="preserve"> </w:t>
      </w:r>
      <w:r>
        <w:rPr>
          <w:sz w:val="28"/>
        </w:rPr>
        <w:t xml:space="preserve">to </w:t>
      </w:r>
      <w:r w:rsidRPr="007F33D1">
        <w:rPr>
          <w:sz w:val="28"/>
        </w:rPr>
        <w:t>proporcionāli</w:t>
      </w:r>
      <w:r>
        <w:rPr>
          <w:sz w:val="28"/>
        </w:rPr>
        <w:t xml:space="preserve"> lietotāju elektroenerģijas</w:t>
      </w:r>
      <w:r w:rsidRPr="007F33D1">
        <w:rPr>
          <w:sz w:val="28"/>
        </w:rPr>
        <w:t xml:space="preserve"> patēriņam (EUR/</w:t>
      </w:r>
      <w:proofErr w:type="spellStart"/>
      <w:r w:rsidRPr="007F33D1">
        <w:rPr>
          <w:sz w:val="28"/>
        </w:rPr>
        <w:t>MWh</w:t>
      </w:r>
      <w:proofErr w:type="spellEnd"/>
      <w:r w:rsidRPr="007F33D1">
        <w:rPr>
          <w:sz w:val="28"/>
        </w:rPr>
        <w:t>).</w:t>
      </w:r>
    </w:p>
    <w:p w14:paraId="635632C4" w14:textId="36360008" w:rsidR="007F33D1" w:rsidRPr="007F33D1" w:rsidRDefault="007F33D1" w:rsidP="00D444AF">
      <w:pPr>
        <w:spacing w:after="0" w:line="240" w:lineRule="auto"/>
        <w:ind w:firstLine="851"/>
        <w:rPr>
          <w:sz w:val="28"/>
        </w:rPr>
      </w:pPr>
      <w:r w:rsidRPr="007F33D1">
        <w:rPr>
          <w:sz w:val="28"/>
        </w:rPr>
        <w:t>Lai izpildītu valdības deklarācijas apņemšanos saglabāt OIK 26</w:t>
      </w:r>
      <w:r w:rsidR="004633CE">
        <w:rPr>
          <w:sz w:val="28"/>
        </w:rPr>
        <w:t>,</w:t>
      </w:r>
      <w:r w:rsidRPr="007F33D1">
        <w:rPr>
          <w:sz w:val="28"/>
        </w:rPr>
        <w:t>79</w:t>
      </w:r>
      <w:r w:rsidR="00D2577B">
        <w:rPr>
          <w:sz w:val="28"/>
        </w:rPr>
        <w:t> </w:t>
      </w:r>
      <w:r w:rsidRPr="007F33D1">
        <w:rPr>
          <w:sz w:val="28"/>
        </w:rPr>
        <w:t>EUR/</w:t>
      </w:r>
      <w:proofErr w:type="spellStart"/>
      <w:r w:rsidRPr="007F33D1">
        <w:rPr>
          <w:sz w:val="28"/>
        </w:rPr>
        <w:t>MWh</w:t>
      </w:r>
      <w:proofErr w:type="spellEnd"/>
      <w:r w:rsidRPr="007F33D1">
        <w:rPr>
          <w:sz w:val="28"/>
        </w:rPr>
        <w:t xml:space="preserve"> apmērā, </w:t>
      </w:r>
      <w:r w:rsidR="004633CE">
        <w:rPr>
          <w:sz w:val="28"/>
        </w:rPr>
        <w:t>būtu jā</w:t>
      </w:r>
      <w:r w:rsidRPr="007F33D1">
        <w:rPr>
          <w:sz w:val="28"/>
        </w:rPr>
        <w:t>nodrošina tād</w:t>
      </w:r>
      <w:r w:rsidR="004633CE">
        <w:rPr>
          <w:sz w:val="28"/>
        </w:rPr>
        <w:t>s</w:t>
      </w:r>
      <w:r w:rsidRPr="007F33D1">
        <w:rPr>
          <w:sz w:val="28"/>
        </w:rPr>
        <w:t xml:space="preserve"> valsts dotācija</w:t>
      </w:r>
      <w:r w:rsidR="004633CE">
        <w:rPr>
          <w:sz w:val="28"/>
        </w:rPr>
        <w:t>s apmērs</w:t>
      </w:r>
      <w:r w:rsidRPr="007F33D1">
        <w:rPr>
          <w:sz w:val="28"/>
        </w:rPr>
        <w:t xml:space="preserve">, kas ļautu </w:t>
      </w:r>
      <w:r w:rsidR="004633CE" w:rsidRPr="007F33D1">
        <w:rPr>
          <w:sz w:val="28"/>
        </w:rPr>
        <w:t xml:space="preserve">noturēt </w:t>
      </w:r>
      <w:r w:rsidRPr="007F33D1">
        <w:rPr>
          <w:sz w:val="28"/>
        </w:rPr>
        <w:t>vidēj</w:t>
      </w:r>
      <w:r w:rsidR="004A5EB7">
        <w:rPr>
          <w:sz w:val="28"/>
        </w:rPr>
        <w:t>o</w:t>
      </w:r>
      <w:r w:rsidRPr="007F33D1">
        <w:rPr>
          <w:sz w:val="28"/>
        </w:rPr>
        <w:t xml:space="preserve"> </w:t>
      </w:r>
      <w:r w:rsidR="004A5EB7">
        <w:rPr>
          <w:sz w:val="28"/>
        </w:rPr>
        <w:t xml:space="preserve">OIK </w:t>
      </w:r>
      <w:r w:rsidRPr="007F33D1">
        <w:rPr>
          <w:sz w:val="28"/>
        </w:rPr>
        <w:t>līmeni</w:t>
      </w:r>
      <w:r w:rsidR="004A5EB7">
        <w:rPr>
          <w:sz w:val="28"/>
        </w:rPr>
        <w:t xml:space="preserve"> noteiktajā apmērā</w:t>
      </w:r>
      <w:r w:rsidRPr="007F33D1">
        <w:rPr>
          <w:sz w:val="28"/>
        </w:rPr>
        <w:t xml:space="preserve">. Dotācija tiktu </w:t>
      </w:r>
      <w:r w:rsidR="004A5EB7">
        <w:rPr>
          <w:sz w:val="28"/>
        </w:rPr>
        <w:t>attiecināta</w:t>
      </w:r>
      <w:r w:rsidRPr="007F33D1">
        <w:rPr>
          <w:sz w:val="28"/>
        </w:rPr>
        <w:t xml:space="preserve"> OIK mainīgajai </w:t>
      </w:r>
      <w:r w:rsidR="004A5EB7">
        <w:rPr>
          <w:sz w:val="28"/>
        </w:rPr>
        <w:t>daļai,</w:t>
      </w:r>
      <w:r w:rsidRPr="007F33D1">
        <w:rPr>
          <w:sz w:val="28"/>
        </w:rPr>
        <w:t xml:space="preserve"> nodrošin</w:t>
      </w:r>
      <w:r w:rsidR="004A5EB7">
        <w:rPr>
          <w:sz w:val="28"/>
        </w:rPr>
        <w:t>ot</w:t>
      </w:r>
      <w:r w:rsidRPr="007F33D1">
        <w:rPr>
          <w:sz w:val="28"/>
        </w:rPr>
        <w:t xml:space="preserve"> valsts budžeta dotācijas nediskriminējošu sadali visiem lietotājiem, proporcionāli patēriņam, tieši tādā pašā veidā, kā tas notiek pašlaik, neradot valsts atbalsta interpretācijas riskus.</w:t>
      </w:r>
    </w:p>
    <w:p w14:paraId="7CE67146" w14:textId="77777777" w:rsidR="007F33D1" w:rsidRDefault="007F33D1" w:rsidP="00D444AF">
      <w:pPr>
        <w:spacing w:after="0" w:line="240" w:lineRule="auto"/>
        <w:ind w:firstLine="851"/>
        <w:rPr>
          <w:sz w:val="28"/>
        </w:rPr>
      </w:pPr>
      <w:r w:rsidRPr="007F33D1">
        <w:rPr>
          <w:sz w:val="28"/>
        </w:rPr>
        <w:t xml:space="preserve">Šāda OIK diferencēšana radītu situāciju, kad efektīvi noslogotiem </w:t>
      </w:r>
      <w:proofErr w:type="spellStart"/>
      <w:r w:rsidRPr="007F33D1">
        <w:rPr>
          <w:sz w:val="28"/>
        </w:rPr>
        <w:t>pieslēgumiem</w:t>
      </w:r>
      <w:proofErr w:type="spellEnd"/>
      <w:r w:rsidRPr="007F33D1">
        <w:rPr>
          <w:sz w:val="28"/>
        </w:rPr>
        <w:t xml:space="preserve"> OIK maksājumu</w:t>
      </w:r>
      <w:r w:rsidR="004A5EB7">
        <w:rPr>
          <w:sz w:val="28"/>
        </w:rPr>
        <w:t xml:space="preserve"> slogs</w:t>
      </w:r>
      <w:r w:rsidRPr="007F33D1">
        <w:rPr>
          <w:sz w:val="28"/>
        </w:rPr>
        <w:t xml:space="preserve"> samazinātos, </w:t>
      </w:r>
      <w:r w:rsidR="004A5EB7">
        <w:rPr>
          <w:sz w:val="28"/>
        </w:rPr>
        <w:t>savukārt</w:t>
      </w:r>
      <w:r w:rsidRPr="007F33D1">
        <w:rPr>
          <w:sz w:val="28"/>
        </w:rPr>
        <w:t xml:space="preserve"> mazāk</w:t>
      </w:r>
      <w:r w:rsidR="004A5EB7">
        <w:rPr>
          <w:sz w:val="28"/>
        </w:rPr>
        <w:t xml:space="preserve"> </w:t>
      </w:r>
      <w:r w:rsidRPr="007F33D1">
        <w:rPr>
          <w:sz w:val="28"/>
        </w:rPr>
        <w:t xml:space="preserve">efektīviem </w:t>
      </w:r>
      <w:proofErr w:type="spellStart"/>
      <w:r w:rsidRPr="007F33D1">
        <w:rPr>
          <w:sz w:val="28"/>
        </w:rPr>
        <w:t>pieslēgumiem</w:t>
      </w:r>
      <w:proofErr w:type="spellEnd"/>
      <w:r w:rsidRPr="007F33D1">
        <w:rPr>
          <w:sz w:val="28"/>
        </w:rPr>
        <w:t xml:space="preserve"> – palielinātos. Turpmāk </w:t>
      </w:r>
      <w:r w:rsidR="004A5EB7">
        <w:rPr>
          <w:sz w:val="28"/>
        </w:rPr>
        <w:t xml:space="preserve">jaudas maksājumu </w:t>
      </w:r>
      <w:r w:rsidR="004A5EB7">
        <w:rPr>
          <w:sz w:val="28"/>
        </w:rPr>
        <w:lastRenderedPageBreak/>
        <w:t>radītās i</w:t>
      </w:r>
      <w:r w:rsidR="004A5EB7" w:rsidRPr="00E3490E">
        <w:rPr>
          <w:sz w:val="28"/>
        </w:rPr>
        <w:t>zmaks</w:t>
      </w:r>
      <w:r w:rsidR="004A5EB7">
        <w:rPr>
          <w:sz w:val="28"/>
        </w:rPr>
        <w:t xml:space="preserve">as </w:t>
      </w:r>
      <w:r w:rsidRPr="007F33D1">
        <w:rPr>
          <w:sz w:val="28"/>
        </w:rPr>
        <w:t xml:space="preserve">daļēji </w:t>
      </w:r>
      <w:r w:rsidR="004A5EB7">
        <w:rPr>
          <w:sz w:val="28"/>
        </w:rPr>
        <w:t>segtu</w:t>
      </w:r>
      <w:r w:rsidRPr="007F33D1">
        <w:rPr>
          <w:sz w:val="28"/>
        </w:rPr>
        <w:t xml:space="preserve"> arī klienti, kuriem ir </w:t>
      </w:r>
      <w:proofErr w:type="spellStart"/>
      <w:r w:rsidRPr="007F33D1">
        <w:rPr>
          <w:sz w:val="28"/>
        </w:rPr>
        <w:t>pieslēgumi</w:t>
      </w:r>
      <w:proofErr w:type="spellEnd"/>
      <w:r w:rsidRPr="007F33D1">
        <w:rPr>
          <w:sz w:val="28"/>
        </w:rPr>
        <w:t xml:space="preserve"> ar nulles patēriņu, kuri to līdz šim nav darījuši, </w:t>
      </w:r>
      <w:r w:rsidR="004A5EB7">
        <w:rPr>
          <w:sz w:val="28"/>
        </w:rPr>
        <w:t xml:space="preserve">ņemot vērā, ka šiem klientiem </w:t>
      </w:r>
      <w:r w:rsidRPr="007F33D1">
        <w:rPr>
          <w:sz w:val="28"/>
        </w:rPr>
        <w:t xml:space="preserve">tomēr </w:t>
      </w:r>
      <w:r w:rsidR="004A5EB7">
        <w:rPr>
          <w:sz w:val="28"/>
        </w:rPr>
        <w:t xml:space="preserve">tiek nodrošināta pastāvīga </w:t>
      </w:r>
      <w:r w:rsidRPr="007F33D1">
        <w:rPr>
          <w:sz w:val="28"/>
        </w:rPr>
        <w:t>kopēj</w:t>
      </w:r>
      <w:r w:rsidR="004A5EB7">
        <w:rPr>
          <w:sz w:val="28"/>
        </w:rPr>
        <w:t>ās sistēmas</w:t>
      </w:r>
      <w:r w:rsidRPr="007F33D1">
        <w:rPr>
          <w:sz w:val="28"/>
        </w:rPr>
        <w:t xml:space="preserve"> izmanto</w:t>
      </w:r>
      <w:r w:rsidR="004A5EB7">
        <w:rPr>
          <w:sz w:val="28"/>
        </w:rPr>
        <w:t>šanas iespējas</w:t>
      </w:r>
      <w:r w:rsidRPr="007F33D1">
        <w:rPr>
          <w:sz w:val="28"/>
        </w:rPr>
        <w:t xml:space="preserve">. Tas ļautu arī nākotnē </w:t>
      </w:r>
      <w:proofErr w:type="spellStart"/>
      <w:r w:rsidRPr="007F33D1">
        <w:rPr>
          <w:sz w:val="28"/>
        </w:rPr>
        <w:t>efektivizēt</w:t>
      </w:r>
      <w:proofErr w:type="spellEnd"/>
      <w:r w:rsidRPr="007F33D1">
        <w:rPr>
          <w:sz w:val="28"/>
        </w:rPr>
        <w:t xml:space="preserve"> pašu sistēmu, klientiem izvērtējot to pieslēgtās jaudas nepieciešamību, kā arī atvieglot jaunu </w:t>
      </w:r>
      <w:proofErr w:type="spellStart"/>
      <w:r w:rsidRPr="007F33D1">
        <w:rPr>
          <w:sz w:val="28"/>
        </w:rPr>
        <w:t>pieslēgumu</w:t>
      </w:r>
      <w:proofErr w:type="spellEnd"/>
      <w:r w:rsidRPr="007F33D1">
        <w:rPr>
          <w:sz w:val="28"/>
        </w:rPr>
        <w:t xml:space="preserve"> izveidošanu</w:t>
      </w:r>
      <w:r w:rsidR="00962E4C">
        <w:rPr>
          <w:sz w:val="28"/>
        </w:rPr>
        <w:t>, jo patērētājiem būtu brīvi pieejamas jau šobrīd uzstādītās, bet neizmantotās jaudas.</w:t>
      </w:r>
    </w:p>
    <w:p w14:paraId="2F949619" w14:textId="77777777" w:rsidR="00300EBB" w:rsidRDefault="00300EBB" w:rsidP="00D444AF">
      <w:pPr>
        <w:spacing w:after="0" w:line="240" w:lineRule="auto"/>
        <w:ind w:firstLine="851"/>
        <w:rPr>
          <w:sz w:val="28"/>
        </w:rPr>
      </w:pPr>
      <w:r>
        <w:rPr>
          <w:sz w:val="28"/>
        </w:rPr>
        <w:t>OIK diferencēšanas provizoriskais efekts 2017. gadā atspoguļots 6. attēlā, taču jāņem vērā, ka tiek atspoguļots</w:t>
      </w:r>
      <w:r w:rsidR="00D905BA">
        <w:rPr>
          <w:sz w:val="28"/>
        </w:rPr>
        <w:t xml:space="preserve"> vidējais statistiskais rādītājs katrā lietotāju grupā. Praktisk</w:t>
      </w:r>
      <w:r w:rsidR="00401387">
        <w:rPr>
          <w:sz w:val="28"/>
        </w:rPr>
        <w:t>i OIK maksājumi būs atkarīgi no elektroenerģijas</w:t>
      </w:r>
      <w:r w:rsidR="00EE4C63">
        <w:rPr>
          <w:sz w:val="28"/>
        </w:rPr>
        <w:t xml:space="preserve"> patēriņa un</w:t>
      </w:r>
      <w:r w:rsidR="00401387">
        <w:rPr>
          <w:sz w:val="28"/>
        </w:rPr>
        <w:t xml:space="preserve"> </w:t>
      </w:r>
      <w:proofErr w:type="spellStart"/>
      <w:r w:rsidR="00401387">
        <w:rPr>
          <w:sz w:val="28"/>
        </w:rPr>
        <w:t>pieslēguma</w:t>
      </w:r>
      <w:proofErr w:type="spellEnd"/>
      <w:r w:rsidR="00401387">
        <w:rPr>
          <w:sz w:val="28"/>
        </w:rPr>
        <w:t xml:space="preserve"> jaudas izmantošanas efektivitātes.</w:t>
      </w:r>
    </w:p>
    <w:p w14:paraId="724F06BC" w14:textId="77777777" w:rsidR="00300EBB" w:rsidRDefault="00300EBB" w:rsidP="00300EBB">
      <w:pPr>
        <w:spacing w:after="0" w:line="240" w:lineRule="auto"/>
        <w:jc w:val="center"/>
        <w:rPr>
          <w:sz w:val="28"/>
        </w:rPr>
      </w:pPr>
      <w:r>
        <w:rPr>
          <w:noProof/>
          <w:sz w:val="28"/>
          <w:lang w:eastAsia="lv-LV"/>
        </w:rPr>
        <w:drawing>
          <wp:inline distT="0" distB="0" distL="0" distR="0" wp14:anchorId="60E116B8" wp14:editId="36317878">
            <wp:extent cx="5439631" cy="3819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2211" cy="3828358"/>
                    </a:xfrm>
                    <a:prstGeom prst="rect">
                      <a:avLst/>
                    </a:prstGeom>
                    <a:noFill/>
                    <a:ln>
                      <a:noFill/>
                    </a:ln>
                  </pic:spPr>
                </pic:pic>
              </a:graphicData>
            </a:graphic>
          </wp:inline>
        </w:drawing>
      </w:r>
    </w:p>
    <w:p w14:paraId="5CC24957" w14:textId="77777777" w:rsidR="00300EBB" w:rsidRPr="00D67152" w:rsidRDefault="00300EBB" w:rsidP="00300EBB">
      <w:pPr>
        <w:pStyle w:val="BodyText2"/>
        <w:rPr>
          <w:b/>
          <w:szCs w:val="24"/>
        </w:rPr>
      </w:pPr>
      <w:r>
        <w:rPr>
          <w:b/>
          <w:szCs w:val="24"/>
        </w:rPr>
        <w:t>6</w:t>
      </w:r>
      <w:r w:rsidRPr="00500F12">
        <w:rPr>
          <w:b/>
          <w:szCs w:val="24"/>
        </w:rPr>
        <w:t xml:space="preserve">.attēls. </w:t>
      </w:r>
      <w:r w:rsidRPr="008109B5">
        <w:rPr>
          <w:b/>
          <w:bCs/>
          <w:szCs w:val="24"/>
        </w:rPr>
        <w:t xml:space="preserve">OIK sistēmiskā risinājuma </w:t>
      </w:r>
      <w:r>
        <w:rPr>
          <w:b/>
          <w:bCs/>
          <w:szCs w:val="24"/>
        </w:rPr>
        <w:t>provizoriskais efekts</w:t>
      </w:r>
      <w:r w:rsidRPr="00500F12">
        <w:rPr>
          <w:b/>
          <w:szCs w:val="24"/>
        </w:rPr>
        <w:t xml:space="preserve"> </w:t>
      </w:r>
    </w:p>
    <w:p w14:paraId="24846FF0" w14:textId="77777777" w:rsidR="00401387" w:rsidRDefault="00401387" w:rsidP="00D444AF">
      <w:pPr>
        <w:spacing w:after="0" w:line="240" w:lineRule="auto"/>
        <w:ind w:firstLine="851"/>
        <w:rPr>
          <w:sz w:val="28"/>
        </w:rPr>
      </w:pPr>
    </w:p>
    <w:p w14:paraId="07C72228" w14:textId="77777777" w:rsidR="00EE4C63" w:rsidRPr="007F33D1" w:rsidRDefault="00EE4C63" w:rsidP="00EE4C63">
      <w:pPr>
        <w:spacing w:after="0" w:line="240" w:lineRule="auto"/>
        <w:ind w:firstLine="851"/>
        <w:rPr>
          <w:sz w:val="28"/>
        </w:rPr>
      </w:pPr>
      <w:r w:rsidRPr="007F33D1">
        <w:rPr>
          <w:sz w:val="28"/>
        </w:rPr>
        <w:t xml:space="preserve">Izmaiņu vidējā ietekme uz mājsaimniecības lietotājiem būs pozitīva. </w:t>
      </w:r>
      <w:r w:rsidR="000045BB">
        <w:rPr>
          <w:sz w:val="28"/>
        </w:rPr>
        <w:t xml:space="preserve">OIK maksājumu atkarība no mājsaimniecību </w:t>
      </w:r>
      <w:proofErr w:type="spellStart"/>
      <w:r w:rsidR="000045BB">
        <w:rPr>
          <w:sz w:val="28"/>
        </w:rPr>
        <w:t>pieslēguma</w:t>
      </w:r>
      <w:proofErr w:type="spellEnd"/>
      <w:r w:rsidR="000045BB">
        <w:rPr>
          <w:sz w:val="28"/>
        </w:rPr>
        <w:t xml:space="preserve"> un elektroenerģijas patēriņa atspoguļota 7. attēlā. </w:t>
      </w:r>
      <w:r w:rsidRPr="007F33D1">
        <w:rPr>
          <w:sz w:val="28"/>
        </w:rPr>
        <w:t>Tipiskāko mājsaimniecības patērētāj</w:t>
      </w:r>
      <w:r>
        <w:rPr>
          <w:sz w:val="28"/>
        </w:rPr>
        <w:t>u rēķina izmaiņas ir parādītas 1</w:t>
      </w:r>
      <w:r w:rsidR="000045BB">
        <w:rPr>
          <w:sz w:val="28"/>
        </w:rPr>
        <w:t>0</w:t>
      </w:r>
      <w:r>
        <w:rPr>
          <w:sz w:val="28"/>
        </w:rPr>
        <w:t>.</w:t>
      </w:r>
      <w:r w:rsidRPr="007F33D1">
        <w:rPr>
          <w:sz w:val="28"/>
        </w:rPr>
        <w:t xml:space="preserve"> tabulā.</w:t>
      </w:r>
    </w:p>
    <w:p w14:paraId="7D761572" w14:textId="77777777" w:rsidR="00EE4C63" w:rsidRPr="00D116AC" w:rsidRDefault="00EE4C63" w:rsidP="00EE4C63">
      <w:pPr>
        <w:pStyle w:val="Caption"/>
        <w:keepNext/>
        <w:jc w:val="right"/>
        <w:rPr>
          <w:rFonts w:ascii="Times New Roman" w:hAnsi="Times New Roman"/>
          <w:sz w:val="24"/>
          <w:szCs w:val="24"/>
        </w:rPr>
      </w:pPr>
      <w:r>
        <w:rPr>
          <w:rFonts w:ascii="Times New Roman" w:hAnsi="Times New Roman"/>
          <w:sz w:val="24"/>
          <w:szCs w:val="24"/>
        </w:rPr>
        <w:t>1</w:t>
      </w:r>
      <w:r w:rsidR="000045BB">
        <w:rPr>
          <w:rFonts w:ascii="Times New Roman" w:hAnsi="Times New Roman"/>
          <w:sz w:val="24"/>
          <w:szCs w:val="24"/>
        </w:rPr>
        <w:t>0</w:t>
      </w:r>
      <w:r w:rsidRPr="00D116AC">
        <w:rPr>
          <w:rFonts w:ascii="Times New Roman" w:hAnsi="Times New Roman"/>
          <w:sz w:val="24"/>
          <w:szCs w:val="24"/>
        </w:rPr>
        <w:t>.</w:t>
      </w:r>
      <w:r>
        <w:rPr>
          <w:rFonts w:ascii="Times New Roman" w:hAnsi="Times New Roman"/>
          <w:sz w:val="24"/>
          <w:szCs w:val="24"/>
        </w:rPr>
        <w:t> </w:t>
      </w:r>
      <w:r w:rsidRPr="00D116AC">
        <w:rPr>
          <w:rFonts w:ascii="Times New Roman" w:hAnsi="Times New Roman"/>
          <w:sz w:val="24"/>
          <w:szCs w:val="24"/>
        </w:rPr>
        <w:t>tabula</w:t>
      </w:r>
    </w:p>
    <w:p w14:paraId="3621AA1B" w14:textId="77777777" w:rsidR="00EE4C63" w:rsidRPr="009E280D" w:rsidRDefault="005931A6" w:rsidP="00EE4C63">
      <w:pPr>
        <w:pStyle w:val="Caption"/>
        <w:keepNext/>
        <w:keepLines/>
        <w:widowControl/>
        <w:jc w:val="center"/>
        <w:rPr>
          <w:rFonts w:ascii="Times New Roman" w:hAnsi="Times New Roman"/>
          <w:sz w:val="24"/>
          <w:szCs w:val="24"/>
        </w:rPr>
      </w:pPr>
      <w:r>
        <w:rPr>
          <w:rFonts w:ascii="Times New Roman" w:hAnsi="Times New Roman"/>
          <w:sz w:val="24"/>
          <w:szCs w:val="24"/>
        </w:rPr>
        <w:t xml:space="preserve">Provizoriskās </w:t>
      </w:r>
      <w:r w:rsidR="00EE4C63">
        <w:rPr>
          <w:rFonts w:ascii="Times New Roman" w:hAnsi="Times New Roman"/>
          <w:sz w:val="24"/>
          <w:szCs w:val="24"/>
        </w:rPr>
        <w:t xml:space="preserve">OIK izmaksu izmaiņas mājsaimniecībām, atkarībā no nepieciešamā </w:t>
      </w:r>
      <w:proofErr w:type="spellStart"/>
      <w:r w:rsidR="00EE4C63">
        <w:rPr>
          <w:rFonts w:ascii="Times New Roman" w:hAnsi="Times New Roman"/>
          <w:sz w:val="24"/>
          <w:szCs w:val="24"/>
        </w:rPr>
        <w:t>pieslēguma</w:t>
      </w:r>
      <w:proofErr w:type="spellEnd"/>
      <w:r w:rsidR="00EE4C63">
        <w:rPr>
          <w:rFonts w:ascii="Times New Roman" w:hAnsi="Times New Roman"/>
          <w:sz w:val="24"/>
          <w:szCs w:val="24"/>
        </w:rPr>
        <w:t xml:space="preserve"> un patēriņa apjoma </w:t>
      </w:r>
    </w:p>
    <w:tbl>
      <w:tblPr>
        <w:tblStyle w:val="TableGrid"/>
        <w:tblW w:w="8359" w:type="dxa"/>
        <w:tblLook w:val="04A0" w:firstRow="1" w:lastRow="0" w:firstColumn="1" w:lastColumn="0" w:noHBand="0" w:noVBand="1"/>
      </w:tblPr>
      <w:tblGrid>
        <w:gridCol w:w="2547"/>
        <w:gridCol w:w="1984"/>
        <w:gridCol w:w="1985"/>
        <w:gridCol w:w="1843"/>
      </w:tblGrid>
      <w:tr w:rsidR="00EE4C63" w14:paraId="3F5C67E7" w14:textId="77777777" w:rsidTr="004A4FBB">
        <w:tc>
          <w:tcPr>
            <w:tcW w:w="2547" w:type="dxa"/>
          </w:tcPr>
          <w:p w14:paraId="448792AB" w14:textId="77777777" w:rsidR="00EE4C63" w:rsidRDefault="00EE4C63" w:rsidP="0068316B">
            <w:pPr>
              <w:spacing w:line="240" w:lineRule="auto"/>
            </w:pPr>
          </w:p>
        </w:tc>
        <w:tc>
          <w:tcPr>
            <w:tcW w:w="1984" w:type="dxa"/>
          </w:tcPr>
          <w:p w14:paraId="20128131" w14:textId="77777777" w:rsidR="00EE4C63" w:rsidRDefault="00EE4C63" w:rsidP="0068316B">
            <w:pPr>
              <w:spacing w:line="240" w:lineRule="auto"/>
              <w:jc w:val="center"/>
            </w:pPr>
            <w:r>
              <w:t>Izmaksas par OIK pašlaik (ar PVN)</w:t>
            </w:r>
          </w:p>
        </w:tc>
        <w:tc>
          <w:tcPr>
            <w:tcW w:w="1985" w:type="dxa"/>
          </w:tcPr>
          <w:p w14:paraId="00F2EAD4" w14:textId="77777777" w:rsidR="00EE4C63" w:rsidRDefault="00EE4C63" w:rsidP="0068316B">
            <w:pPr>
              <w:spacing w:line="240" w:lineRule="auto"/>
              <w:jc w:val="center"/>
            </w:pPr>
            <w:r>
              <w:t>Izmaksas par OIK turpmāk (ar PVN)</w:t>
            </w:r>
          </w:p>
        </w:tc>
        <w:tc>
          <w:tcPr>
            <w:tcW w:w="1843" w:type="dxa"/>
          </w:tcPr>
          <w:p w14:paraId="02277912" w14:textId="77777777" w:rsidR="00EE4C63" w:rsidRDefault="00EE4C63" w:rsidP="004A4FBB">
            <w:pPr>
              <w:spacing w:line="240" w:lineRule="auto"/>
              <w:jc w:val="center"/>
            </w:pPr>
            <w:r>
              <w:t>Ietaupījums (</w:t>
            </w:r>
            <w:r w:rsidR="004A4FBB">
              <w:t>-</w:t>
            </w:r>
            <w:r>
              <w:t>), pieaugums (</w:t>
            </w:r>
            <w:r w:rsidR="004A4FBB">
              <w:t>+</w:t>
            </w:r>
            <w:r>
              <w:t>)</w:t>
            </w:r>
          </w:p>
        </w:tc>
      </w:tr>
      <w:tr w:rsidR="00EE4C63" w14:paraId="24B3389C" w14:textId="77777777" w:rsidTr="004A4FBB">
        <w:tc>
          <w:tcPr>
            <w:tcW w:w="2547" w:type="dxa"/>
          </w:tcPr>
          <w:p w14:paraId="570AEF61" w14:textId="77777777" w:rsidR="00EE4C63" w:rsidRDefault="004A4FBB" w:rsidP="0068316B">
            <w:pPr>
              <w:spacing w:line="240" w:lineRule="auto"/>
            </w:pPr>
            <w:r>
              <w:lastRenderedPageBreak/>
              <w:t>1 fāzes </w:t>
            </w:r>
            <w:proofErr w:type="spellStart"/>
            <w:r w:rsidR="00EE4C63">
              <w:t>pieslēgums</w:t>
            </w:r>
            <w:proofErr w:type="spellEnd"/>
            <w:r w:rsidR="00EE4C63">
              <w:t xml:space="preserve"> 110 </w:t>
            </w:r>
            <w:proofErr w:type="spellStart"/>
            <w:r w:rsidR="00EE4C63">
              <w:t>kWh</w:t>
            </w:r>
            <w:proofErr w:type="spellEnd"/>
            <w:r w:rsidR="00EE4C63">
              <w:t>/mēnesī (pārsvarā dzīvokļi)</w:t>
            </w:r>
          </w:p>
        </w:tc>
        <w:tc>
          <w:tcPr>
            <w:tcW w:w="1984" w:type="dxa"/>
            <w:vAlign w:val="center"/>
          </w:tcPr>
          <w:p w14:paraId="598E4164" w14:textId="77777777" w:rsidR="00EE4C63" w:rsidRDefault="00EE4C63" w:rsidP="0068316B">
            <w:pPr>
              <w:spacing w:line="240" w:lineRule="auto"/>
              <w:jc w:val="center"/>
            </w:pPr>
            <w:r>
              <w:t>3,57 EUR/</w:t>
            </w:r>
            <w:proofErr w:type="spellStart"/>
            <w:r>
              <w:t>mēn</w:t>
            </w:r>
            <w:proofErr w:type="spellEnd"/>
          </w:p>
        </w:tc>
        <w:tc>
          <w:tcPr>
            <w:tcW w:w="1985" w:type="dxa"/>
            <w:vAlign w:val="center"/>
          </w:tcPr>
          <w:p w14:paraId="416F7B69" w14:textId="77777777" w:rsidR="00EE4C63" w:rsidRDefault="00EE4C63" w:rsidP="0068316B">
            <w:pPr>
              <w:spacing w:line="240" w:lineRule="auto"/>
              <w:jc w:val="center"/>
            </w:pPr>
            <w:r>
              <w:t>2,84 EUR/</w:t>
            </w:r>
            <w:proofErr w:type="spellStart"/>
            <w:r>
              <w:t>mēn</w:t>
            </w:r>
            <w:proofErr w:type="spellEnd"/>
          </w:p>
        </w:tc>
        <w:tc>
          <w:tcPr>
            <w:tcW w:w="1843" w:type="dxa"/>
            <w:vAlign w:val="center"/>
          </w:tcPr>
          <w:p w14:paraId="6CDE3C11" w14:textId="77777777" w:rsidR="00EE4C63" w:rsidRDefault="004A4FBB" w:rsidP="0068316B">
            <w:pPr>
              <w:spacing w:line="240" w:lineRule="auto"/>
              <w:jc w:val="center"/>
            </w:pPr>
            <w:r>
              <w:t>-</w:t>
            </w:r>
            <w:r w:rsidR="00EE4C63">
              <w:t>0,73 EUR/</w:t>
            </w:r>
            <w:proofErr w:type="spellStart"/>
            <w:r w:rsidR="00EE4C63">
              <w:t>mēn</w:t>
            </w:r>
            <w:proofErr w:type="spellEnd"/>
          </w:p>
        </w:tc>
      </w:tr>
      <w:tr w:rsidR="00EE4C63" w14:paraId="5C7C09D8" w14:textId="77777777" w:rsidTr="004A4FBB">
        <w:tc>
          <w:tcPr>
            <w:tcW w:w="2547" w:type="dxa"/>
          </w:tcPr>
          <w:p w14:paraId="0A8F89D3" w14:textId="77777777" w:rsidR="00EE4C63" w:rsidRDefault="004A4FBB" w:rsidP="004A4FBB">
            <w:pPr>
              <w:spacing w:line="240" w:lineRule="auto"/>
            </w:pPr>
            <w:r>
              <w:t>3 </w:t>
            </w:r>
            <w:r w:rsidR="00EE4C63">
              <w:t>fāžu 20 A</w:t>
            </w:r>
            <w:r>
              <w:t> </w:t>
            </w:r>
            <w:proofErr w:type="spellStart"/>
            <w:r w:rsidR="00EE4C63">
              <w:t>pieslēgums</w:t>
            </w:r>
            <w:proofErr w:type="spellEnd"/>
            <w:r w:rsidR="00EE4C63">
              <w:t xml:space="preserve"> 200 </w:t>
            </w:r>
            <w:proofErr w:type="spellStart"/>
            <w:r w:rsidR="00EE4C63">
              <w:t>kWh</w:t>
            </w:r>
            <w:proofErr w:type="spellEnd"/>
            <w:r w:rsidR="00EE4C63">
              <w:t>/mēnesī (pārsvarā privātmājas)</w:t>
            </w:r>
          </w:p>
        </w:tc>
        <w:tc>
          <w:tcPr>
            <w:tcW w:w="1984" w:type="dxa"/>
            <w:vAlign w:val="center"/>
          </w:tcPr>
          <w:p w14:paraId="3FA70C44" w14:textId="77777777" w:rsidR="00EE4C63" w:rsidRDefault="00EE4C63" w:rsidP="0068316B">
            <w:pPr>
              <w:spacing w:line="240" w:lineRule="auto"/>
              <w:jc w:val="center"/>
            </w:pPr>
            <w:r>
              <w:t>6,48 EUR/</w:t>
            </w:r>
            <w:proofErr w:type="spellStart"/>
            <w:r>
              <w:t>mēn</w:t>
            </w:r>
            <w:proofErr w:type="spellEnd"/>
          </w:p>
        </w:tc>
        <w:tc>
          <w:tcPr>
            <w:tcW w:w="1985" w:type="dxa"/>
            <w:vAlign w:val="center"/>
          </w:tcPr>
          <w:p w14:paraId="068E516B" w14:textId="77777777" w:rsidR="00EE4C63" w:rsidRDefault="00EE4C63" w:rsidP="0068316B">
            <w:pPr>
              <w:spacing w:line="240" w:lineRule="auto"/>
              <w:jc w:val="center"/>
            </w:pPr>
            <w:r>
              <w:t>8,14 EUR/</w:t>
            </w:r>
            <w:proofErr w:type="spellStart"/>
            <w:r>
              <w:t>mēn</w:t>
            </w:r>
            <w:proofErr w:type="spellEnd"/>
          </w:p>
        </w:tc>
        <w:tc>
          <w:tcPr>
            <w:tcW w:w="1843" w:type="dxa"/>
            <w:vAlign w:val="center"/>
          </w:tcPr>
          <w:p w14:paraId="1CD618A4" w14:textId="77777777" w:rsidR="00EE4C63" w:rsidRDefault="004A4FBB" w:rsidP="0068316B">
            <w:pPr>
              <w:spacing w:line="240" w:lineRule="auto"/>
              <w:jc w:val="center"/>
            </w:pPr>
            <w:r>
              <w:t>+</w:t>
            </w:r>
            <w:r w:rsidR="00EE4C63">
              <w:t>1,66 EUR/</w:t>
            </w:r>
            <w:proofErr w:type="spellStart"/>
            <w:r w:rsidR="00EE4C63">
              <w:t>mēn</w:t>
            </w:r>
            <w:proofErr w:type="spellEnd"/>
          </w:p>
        </w:tc>
      </w:tr>
    </w:tbl>
    <w:p w14:paraId="1D927B23" w14:textId="77777777" w:rsidR="00EE4C63" w:rsidRDefault="00EE4C63" w:rsidP="00EE4C63">
      <w:pPr>
        <w:spacing w:after="0" w:line="240" w:lineRule="auto"/>
        <w:ind w:firstLine="851"/>
        <w:rPr>
          <w:sz w:val="28"/>
        </w:rPr>
      </w:pPr>
    </w:p>
    <w:p w14:paraId="178AB520" w14:textId="77777777" w:rsidR="000045BB" w:rsidRDefault="000045BB" w:rsidP="000045BB">
      <w:pPr>
        <w:spacing w:after="0" w:line="240" w:lineRule="auto"/>
        <w:jc w:val="center"/>
        <w:rPr>
          <w:sz w:val="28"/>
        </w:rPr>
      </w:pPr>
      <w:r>
        <w:rPr>
          <w:noProof/>
          <w:sz w:val="28"/>
          <w:lang w:eastAsia="lv-LV"/>
        </w:rPr>
        <w:drawing>
          <wp:inline distT="0" distB="0" distL="0" distR="0" wp14:anchorId="22E77574" wp14:editId="24919F29">
            <wp:extent cx="5257800" cy="2971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971800"/>
                    </a:xfrm>
                    <a:prstGeom prst="rect">
                      <a:avLst/>
                    </a:prstGeom>
                    <a:noFill/>
                    <a:ln>
                      <a:noFill/>
                    </a:ln>
                  </pic:spPr>
                </pic:pic>
              </a:graphicData>
            </a:graphic>
          </wp:inline>
        </w:drawing>
      </w:r>
    </w:p>
    <w:p w14:paraId="3F534413" w14:textId="77777777" w:rsidR="000045BB" w:rsidRPr="00D67152" w:rsidRDefault="000045BB" w:rsidP="000045BB">
      <w:pPr>
        <w:pStyle w:val="BodyText2"/>
        <w:rPr>
          <w:b/>
          <w:szCs w:val="24"/>
        </w:rPr>
      </w:pPr>
      <w:r>
        <w:rPr>
          <w:b/>
          <w:szCs w:val="24"/>
        </w:rPr>
        <w:t>7</w:t>
      </w:r>
      <w:r w:rsidRPr="00500F12">
        <w:rPr>
          <w:b/>
          <w:szCs w:val="24"/>
        </w:rPr>
        <w:t xml:space="preserve">.attēls. </w:t>
      </w:r>
      <w:r w:rsidRPr="008109B5">
        <w:rPr>
          <w:b/>
          <w:bCs/>
          <w:szCs w:val="24"/>
        </w:rPr>
        <w:t xml:space="preserve">OIK sistēmiskā risinājuma </w:t>
      </w:r>
      <w:r>
        <w:rPr>
          <w:b/>
          <w:bCs/>
          <w:szCs w:val="24"/>
        </w:rPr>
        <w:t>provizoriskā ietekme</w:t>
      </w:r>
      <w:r w:rsidRPr="00500F12">
        <w:rPr>
          <w:b/>
          <w:szCs w:val="24"/>
        </w:rPr>
        <w:t xml:space="preserve"> </w:t>
      </w:r>
      <w:r>
        <w:rPr>
          <w:b/>
          <w:szCs w:val="24"/>
        </w:rPr>
        <w:t>uz mājsaimniecību OIK maksājumiem</w:t>
      </w:r>
    </w:p>
    <w:p w14:paraId="78675042" w14:textId="77777777" w:rsidR="000045BB" w:rsidRDefault="000045BB" w:rsidP="00EE4C63">
      <w:pPr>
        <w:spacing w:after="0" w:line="240" w:lineRule="auto"/>
        <w:ind w:firstLine="851"/>
        <w:rPr>
          <w:sz w:val="28"/>
        </w:rPr>
      </w:pPr>
    </w:p>
    <w:p w14:paraId="2E7EFF7F" w14:textId="0E1C474F" w:rsidR="00EE4C63" w:rsidRDefault="00EE4C63" w:rsidP="00EE4C63">
      <w:pPr>
        <w:spacing w:after="0" w:line="240" w:lineRule="auto"/>
        <w:ind w:firstLine="851"/>
        <w:rPr>
          <w:sz w:val="28"/>
        </w:rPr>
      </w:pPr>
      <w:r w:rsidRPr="00D444AF">
        <w:rPr>
          <w:sz w:val="28"/>
        </w:rPr>
        <w:t>Kopumā tiek prognozēts, ka rēķins</w:t>
      </w:r>
      <w:r>
        <w:rPr>
          <w:sz w:val="28"/>
        </w:rPr>
        <w:t xml:space="preserve"> par elektroenerģiju</w:t>
      </w:r>
      <w:r w:rsidRPr="00D444AF">
        <w:rPr>
          <w:sz w:val="28"/>
        </w:rPr>
        <w:t xml:space="preserve"> neizmainīsies vai samazināsies </w:t>
      </w:r>
      <w:r w:rsidR="00F341DF">
        <w:rPr>
          <w:sz w:val="28"/>
        </w:rPr>
        <w:t xml:space="preserve">aptuveni </w:t>
      </w:r>
      <w:r w:rsidRPr="00D444AF">
        <w:rPr>
          <w:sz w:val="28"/>
        </w:rPr>
        <w:t>2</w:t>
      </w:r>
      <w:r>
        <w:rPr>
          <w:sz w:val="28"/>
        </w:rPr>
        <w:t xml:space="preserve">/3 no mājsaimniecību </w:t>
      </w:r>
      <w:proofErr w:type="spellStart"/>
      <w:r>
        <w:rPr>
          <w:sz w:val="28"/>
        </w:rPr>
        <w:t>pieslēgumiem</w:t>
      </w:r>
      <w:proofErr w:type="spellEnd"/>
      <w:r w:rsidRPr="00D444AF">
        <w:rPr>
          <w:sz w:val="28"/>
        </w:rPr>
        <w:t xml:space="preserve">, </w:t>
      </w:r>
      <w:r>
        <w:rPr>
          <w:sz w:val="28"/>
        </w:rPr>
        <w:t xml:space="preserve">savukārt aptuveni </w:t>
      </w:r>
      <w:r w:rsidRPr="00D444AF">
        <w:rPr>
          <w:sz w:val="28"/>
        </w:rPr>
        <w:t xml:space="preserve">1/3 no visiem </w:t>
      </w:r>
      <w:r>
        <w:rPr>
          <w:sz w:val="28"/>
        </w:rPr>
        <w:t xml:space="preserve">klientu </w:t>
      </w:r>
      <w:proofErr w:type="spellStart"/>
      <w:r w:rsidRPr="00D444AF">
        <w:rPr>
          <w:sz w:val="28"/>
        </w:rPr>
        <w:t>pieslēgumiem</w:t>
      </w:r>
      <w:proofErr w:type="spellEnd"/>
      <w:r>
        <w:rPr>
          <w:sz w:val="28"/>
        </w:rPr>
        <w:t xml:space="preserve"> kopējais rēķins par elektroenerģiju</w:t>
      </w:r>
      <w:r w:rsidRPr="001A02AE">
        <w:rPr>
          <w:sz w:val="28"/>
        </w:rPr>
        <w:t xml:space="preserve"> </w:t>
      </w:r>
      <w:r w:rsidRPr="00D444AF">
        <w:rPr>
          <w:sz w:val="28"/>
        </w:rPr>
        <w:t>palielināsies. Lai no</w:t>
      </w:r>
      <w:r>
        <w:rPr>
          <w:sz w:val="28"/>
        </w:rPr>
        <w:t xml:space="preserve">drošinātu, ka rēķins nepieaugs </w:t>
      </w:r>
      <w:r w:rsidRPr="00D444AF">
        <w:rPr>
          <w:sz w:val="28"/>
        </w:rPr>
        <w:t xml:space="preserve">aizsargātajiem lietotājiem (trūcīgas un maznodrošinātas ģimenes, </w:t>
      </w:r>
      <w:proofErr w:type="spellStart"/>
      <w:r w:rsidRPr="00D444AF">
        <w:rPr>
          <w:sz w:val="28"/>
        </w:rPr>
        <w:t>daudzbērnu</w:t>
      </w:r>
      <w:proofErr w:type="spellEnd"/>
      <w:r w:rsidRPr="00D444AF">
        <w:rPr>
          <w:sz w:val="28"/>
        </w:rPr>
        <w:t xml:space="preserve"> ģimenes, ģimenes, kuru apgādībā ir bērns ar invaliditāti un 1.grupas invalīdi), tiks izstrādāti grozījumi</w:t>
      </w:r>
      <w:r>
        <w:rPr>
          <w:sz w:val="28"/>
        </w:rPr>
        <w:t xml:space="preserve"> aizsargāto lietotāju elektroenerģijas izmaksu kompensācijas mehānismā, lai kompensētu prognozējamo izmaksu pieaugumu. Provizoriskie aprēķini liecina, ka papildus izmaksas būs iespējams segt esošā budžeta ietvaros</w:t>
      </w:r>
      <w:r w:rsidR="004874C6">
        <w:rPr>
          <w:sz w:val="28"/>
        </w:rPr>
        <w:t xml:space="preserve"> (skat. 12. tab.)</w:t>
      </w:r>
      <w:r>
        <w:rPr>
          <w:sz w:val="28"/>
        </w:rPr>
        <w:t>.</w:t>
      </w:r>
      <w:r w:rsidRPr="00D444AF" w:rsidDel="00C01038">
        <w:rPr>
          <w:sz w:val="28"/>
        </w:rPr>
        <w:t xml:space="preserve"> </w:t>
      </w:r>
    </w:p>
    <w:p w14:paraId="591C6701" w14:textId="54CFCC86" w:rsidR="00401387" w:rsidRDefault="00401387" w:rsidP="00401387">
      <w:pPr>
        <w:spacing w:after="0" w:line="240" w:lineRule="auto"/>
        <w:ind w:firstLine="851"/>
        <w:rPr>
          <w:sz w:val="28"/>
        </w:rPr>
      </w:pPr>
      <w:r>
        <w:rPr>
          <w:sz w:val="28"/>
        </w:rPr>
        <w:t xml:space="preserve">Juridisko patērētāju, kas pieslēgti pie 0,4 </w:t>
      </w:r>
      <w:proofErr w:type="spellStart"/>
      <w:r>
        <w:rPr>
          <w:sz w:val="28"/>
        </w:rPr>
        <w:t>kV</w:t>
      </w:r>
      <w:proofErr w:type="spellEnd"/>
      <w:r>
        <w:rPr>
          <w:sz w:val="28"/>
        </w:rPr>
        <w:t xml:space="preserve"> sprieguma, grupā OIK maksājumu samazināšanos izjutīs tie patērētāji, kuru </w:t>
      </w:r>
      <w:proofErr w:type="spellStart"/>
      <w:r>
        <w:rPr>
          <w:sz w:val="28"/>
        </w:rPr>
        <w:t>pieslēguma</w:t>
      </w:r>
      <w:proofErr w:type="spellEnd"/>
      <w:r>
        <w:rPr>
          <w:sz w:val="28"/>
        </w:rPr>
        <w:t xml:space="preserve"> jaudas izmantošanas efektivitāte ir virs 13%. Savukārt tiem patērētājiem, kuru efektivitāte ir zemāka</w:t>
      </w:r>
      <w:r w:rsidR="003F2D81">
        <w:rPr>
          <w:sz w:val="28"/>
        </w:rPr>
        <w:t>,</w:t>
      </w:r>
      <w:r>
        <w:rPr>
          <w:sz w:val="28"/>
        </w:rPr>
        <w:t xml:space="preserve"> OI</w:t>
      </w:r>
      <w:r w:rsidR="00D2101E">
        <w:rPr>
          <w:sz w:val="28"/>
        </w:rPr>
        <w:t>K</w:t>
      </w:r>
      <w:r>
        <w:rPr>
          <w:sz w:val="28"/>
        </w:rPr>
        <w:t xml:space="preserve"> maksājums pieaugs. Patērētāju, kas pieslēgti pie 6-20 </w:t>
      </w:r>
      <w:proofErr w:type="spellStart"/>
      <w:r>
        <w:rPr>
          <w:sz w:val="28"/>
        </w:rPr>
        <w:t>kV</w:t>
      </w:r>
      <w:proofErr w:type="spellEnd"/>
      <w:r>
        <w:rPr>
          <w:sz w:val="28"/>
        </w:rPr>
        <w:t xml:space="preserve"> vai 110 </w:t>
      </w:r>
      <w:proofErr w:type="spellStart"/>
      <w:r>
        <w:rPr>
          <w:sz w:val="28"/>
        </w:rPr>
        <w:t>kV</w:t>
      </w:r>
      <w:proofErr w:type="spellEnd"/>
      <w:r>
        <w:rPr>
          <w:sz w:val="28"/>
        </w:rPr>
        <w:t xml:space="preserve"> sprieguma, grupā OIK maksājumu samazināšanos izjutīs tie patērētāji, kuru </w:t>
      </w:r>
      <w:proofErr w:type="spellStart"/>
      <w:r>
        <w:rPr>
          <w:sz w:val="28"/>
        </w:rPr>
        <w:t>pieslēguma</w:t>
      </w:r>
      <w:proofErr w:type="spellEnd"/>
      <w:r>
        <w:rPr>
          <w:sz w:val="28"/>
        </w:rPr>
        <w:t xml:space="preserve"> jaudas izmantošanas efektivitāte ir virs 16% (pārsvarā </w:t>
      </w:r>
      <w:r w:rsidR="003F2D81">
        <w:rPr>
          <w:sz w:val="28"/>
        </w:rPr>
        <w:t xml:space="preserve">tie </w:t>
      </w:r>
      <w:r>
        <w:rPr>
          <w:sz w:val="28"/>
        </w:rPr>
        <w:t>ir apstrādes rūpniecības uzņēmumi).</w:t>
      </w:r>
      <w:r w:rsidR="00D2101E">
        <w:rPr>
          <w:sz w:val="28"/>
        </w:rPr>
        <w:t xml:space="preserve"> OIK </w:t>
      </w:r>
      <w:r w:rsidR="00D2101E">
        <w:rPr>
          <w:sz w:val="28"/>
        </w:rPr>
        <w:lastRenderedPageBreak/>
        <w:t xml:space="preserve">maksājumu atkarība no </w:t>
      </w:r>
      <w:proofErr w:type="spellStart"/>
      <w:r w:rsidR="00D2101E">
        <w:rPr>
          <w:sz w:val="28"/>
        </w:rPr>
        <w:t>pieslēguma</w:t>
      </w:r>
      <w:proofErr w:type="spellEnd"/>
      <w:r w:rsidR="00D2101E">
        <w:rPr>
          <w:sz w:val="28"/>
        </w:rPr>
        <w:t xml:space="preserve"> jaudas izmantošanas efektivitātes atspoguļota </w:t>
      </w:r>
      <w:r w:rsidR="000045BB">
        <w:rPr>
          <w:sz w:val="28"/>
        </w:rPr>
        <w:t>8</w:t>
      </w:r>
      <w:r w:rsidR="00D2101E">
        <w:rPr>
          <w:sz w:val="28"/>
        </w:rPr>
        <w:t>. attēlā.</w:t>
      </w:r>
    </w:p>
    <w:p w14:paraId="31A87039" w14:textId="77777777" w:rsidR="00D2101E" w:rsidRPr="00D67152" w:rsidRDefault="00794124" w:rsidP="00D2101E">
      <w:pPr>
        <w:pStyle w:val="BodyText2"/>
        <w:rPr>
          <w:b/>
          <w:szCs w:val="24"/>
        </w:rPr>
      </w:pPr>
      <w:r>
        <w:rPr>
          <w:noProof/>
          <w:sz w:val="28"/>
        </w:rPr>
        <w:drawing>
          <wp:inline distT="0" distB="0" distL="0" distR="0" wp14:anchorId="0193AE55" wp14:editId="19939C77">
            <wp:extent cx="5144090" cy="3094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0780" cy="3099015"/>
                    </a:xfrm>
                    <a:prstGeom prst="rect">
                      <a:avLst/>
                    </a:prstGeom>
                    <a:noFill/>
                  </pic:spPr>
                </pic:pic>
              </a:graphicData>
            </a:graphic>
          </wp:inline>
        </w:drawing>
      </w:r>
      <w:r w:rsidR="000045BB">
        <w:rPr>
          <w:b/>
          <w:szCs w:val="24"/>
        </w:rPr>
        <w:t>8</w:t>
      </w:r>
      <w:r w:rsidR="00D2101E" w:rsidRPr="00500F12">
        <w:rPr>
          <w:b/>
          <w:szCs w:val="24"/>
        </w:rPr>
        <w:t xml:space="preserve">.attēls. </w:t>
      </w:r>
      <w:r w:rsidR="00D2101E" w:rsidRPr="008109B5">
        <w:rPr>
          <w:b/>
          <w:bCs/>
          <w:szCs w:val="24"/>
        </w:rPr>
        <w:t xml:space="preserve">OIK sistēmiskā risinājuma </w:t>
      </w:r>
      <w:r w:rsidR="00D2101E">
        <w:rPr>
          <w:b/>
          <w:bCs/>
          <w:szCs w:val="24"/>
        </w:rPr>
        <w:t>provizoriskā ietekme uz juridiskajiem patērētājiem</w:t>
      </w:r>
      <w:r w:rsidR="00D2101E" w:rsidRPr="00500F12">
        <w:rPr>
          <w:b/>
          <w:szCs w:val="24"/>
        </w:rPr>
        <w:t xml:space="preserve"> </w:t>
      </w:r>
    </w:p>
    <w:p w14:paraId="25E612E6" w14:textId="77777777" w:rsidR="00D2101E" w:rsidRDefault="00D2101E" w:rsidP="00D2101E">
      <w:pPr>
        <w:spacing w:after="0" w:line="240" w:lineRule="auto"/>
        <w:ind w:firstLine="851"/>
        <w:rPr>
          <w:sz w:val="28"/>
        </w:rPr>
      </w:pPr>
    </w:p>
    <w:p w14:paraId="066FD361" w14:textId="77777777" w:rsidR="00300EBB" w:rsidRDefault="008B059B" w:rsidP="00D444AF">
      <w:pPr>
        <w:spacing w:after="0" w:line="240" w:lineRule="auto"/>
        <w:ind w:firstLine="851"/>
        <w:rPr>
          <w:color w:val="000000"/>
          <w:sz w:val="28"/>
          <w:szCs w:val="28"/>
        </w:rPr>
      </w:pPr>
      <w:r>
        <w:rPr>
          <w:sz w:val="28"/>
        </w:rPr>
        <w:t>Ekonomikas ministrija ir izvērtējusi dažādu uzņēmumu provizoriskās OIK maksājumu izmaiņas, ieviešot diferencētu OIK (</w:t>
      </w:r>
      <w:r w:rsidRPr="00AC5FC4">
        <w:rPr>
          <w:color w:val="000000"/>
          <w:sz w:val="28"/>
          <w:szCs w:val="28"/>
        </w:rPr>
        <w:t>skat. </w:t>
      </w:r>
      <w:r>
        <w:rPr>
          <w:color w:val="000000"/>
          <w:sz w:val="28"/>
          <w:szCs w:val="28"/>
        </w:rPr>
        <w:t>1</w:t>
      </w:r>
      <w:r w:rsidR="000045BB">
        <w:rPr>
          <w:color w:val="000000"/>
          <w:sz w:val="28"/>
          <w:szCs w:val="28"/>
        </w:rPr>
        <w:t>1</w:t>
      </w:r>
      <w:r w:rsidRPr="00AC5FC4">
        <w:rPr>
          <w:color w:val="000000"/>
          <w:sz w:val="28"/>
          <w:szCs w:val="28"/>
        </w:rPr>
        <w:t>.tab.)</w:t>
      </w:r>
      <w:r>
        <w:rPr>
          <w:color w:val="000000"/>
          <w:sz w:val="28"/>
          <w:szCs w:val="28"/>
        </w:rPr>
        <w:t>.</w:t>
      </w:r>
    </w:p>
    <w:p w14:paraId="0B0CF134" w14:textId="77777777" w:rsidR="008B059B" w:rsidRDefault="008B059B" w:rsidP="008B059B">
      <w:pPr>
        <w:pStyle w:val="BodyText2"/>
        <w:spacing w:after="120"/>
        <w:ind w:firstLine="567"/>
        <w:rPr>
          <w:color w:val="000000"/>
          <w:sz w:val="28"/>
          <w:szCs w:val="28"/>
        </w:rPr>
      </w:pPr>
    </w:p>
    <w:p w14:paraId="0A8E1DE1" w14:textId="77777777" w:rsidR="008B059B" w:rsidRPr="00AC5FC4" w:rsidRDefault="008B059B" w:rsidP="008B059B">
      <w:pPr>
        <w:pStyle w:val="Caption"/>
        <w:keepNext/>
        <w:jc w:val="right"/>
        <w:rPr>
          <w:rFonts w:ascii="Times New Roman" w:hAnsi="Times New Roman"/>
          <w:sz w:val="24"/>
          <w:szCs w:val="24"/>
        </w:rPr>
      </w:pPr>
      <w:r>
        <w:rPr>
          <w:rFonts w:ascii="Times New Roman" w:hAnsi="Times New Roman"/>
          <w:sz w:val="24"/>
          <w:szCs w:val="24"/>
        </w:rPr>
        <w:t>1</w:t>
      </w:r>
      <w:r w:rsidR="000045BB">
        <w:rPr>
          <w:rFonts w:ascii="Times New Roman" w:hAnsi="Times New Roman"/>
          <w:sz w:val="24"/>
          <w:szCs w:val="24"/>
        </w:rPr>
        <w:t>1</w:t>
      </w:r>
      <w:r w:rsidRPr="00AC5FC4">
        <w:rPr>
          <w:rFonts w:ascii="Times New Roman" w:hAnsi="Times New Roman"/>
          <w:sz w:val="24"/>
          <w:szCs w:val="24"/>
        </w:rPr>
        <w:t>. tabula</w:t>
      </w:r>
    </w:p>
    <w:p w14:paraId="091CE6E1" w14:textId="77777777" w:rsidR="008B059B" w:rsidRPr="00AC5FC4" w:rsidRDefault="008B059B" w:rsidP="008B059B">
      <w:pPr>
        <w:pStyle w:val="Caption"/>
        <w:keepNext/>
        <w:jc w:val="center"/>
        <w:rPr>
          <w:rFonts w:ascii="Times New Roman" w:hAnsi="Times New Roman"/>
          <w:sz w:val="24"/>
          <w:szCs w:val="24"/>
        </w:rPr>
      </w:pPr>
      <w:r w:rsidRPr="008B059B">
        <w:rPr>
          <w:rFonts w:ascii="Times New Roman" w:hAnsi="Times New Roman"/>
          <w:sz w:val="24"/>
          <w:szCs w:val="24"/>
        </w:rPr>
        <w:t xml:space="preserve">OIK sistēmiskā risinājuma provizoriskā ietekme uz </w:t>
      </w:r>
      <w:r>
        <w:rPr>
          <w:rFonts w:ascii="Times New Roman" w:hAnsi="Times New Roman"/>
          <w:sz w:val="24"/>
          <w:szCs w:val="24"/>
        </w:rPr>
        <w:br/>
      </w:r>
      <w:r w:rsidRPr="008B059B">
        <w:rPr>
          <w:rFonts w:ascii="Times New Roman" w:hAnsi="Times New Roman"/>
          <w:sz w:val="24"/>
          <w:szCs w:val="24"/>
        </w:rPr>
        <w:t>juridiskajiem patērētājiem - piemēri</w:t>
      </w:r>
    </w:p>
    <w:tbl>
      <w:tblPr>
        <w:tblW w:w="7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820"/>
        <w:gridCol w:w="1559"/>
        <w:gridCol w:w="1691"/>
        <w:gridCol w:w="1701"/>
      </w:tblGrid>
      <w:tr w:rsidR="008B059B" w:rsidRPr="008B059B" w14:paraId="12C5C9E8" w14:textId="77777777" w:rsidTr="008B059B">
        <w:trPr>
          <w:trHeight w:val="271"/>
          <w:jc w:val="center"/>
        </w:trPr>
        <w:tc>
          <w:tcPr>
            <w:tcW w:w="2820" w:type="dxa"/>
            <w:tcBorders>
              <w:top w:val="single" w:sz="4" w:space="0" w:color="auto"/>
              <w:left w:val="single" w:sz="12" w:space="0" w:color="auto"/>
              <w:bottom w:val="single" w:sz="12" w:space="0" w:color="auto"/>
              <w:right w:val="single" w:sz="12" w:space="0" w:color="auto"/>
            </w:tcBorders>
            <w:shd w:val="clear" w:color="auto" w:fill="auto"/>
            <w:vAlign w:val="center"/>
          </w:tcPr>
          <w:p w14:paraId="34D20AAC"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Nozare</w:t>
            </w:r>
            <w:r>
              <w:rPr>
                <w:rFonts w:ascii="Times New Roman" w:hAnsi="Times New Roman"/>
                <w:bCs w:val="0"/>
                <w:sz w:val="24"/>
                <w:szCs w:val="28"/>
                <w:lang w:eastAsia="lv-LV"/>
              </w:rPr>
              <w:t>s uzņēmums</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78F04684"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proofErr w:type="spellStart"/>
            <w:r w:rsidRPr="008B059B">
              <w:rPr>
                <w:rFonts w:ascii="Times New Roman" w:hAnsi="Times New Roman"/>
                <w:bCs w:val="0"/>
                <w:sz w:val="24"/>
                <w:szCs w:val="28"/>
                <w:lang w:eastAsia="lv-LV"/>
              </w:rPr>
              <w:t>Pieslēguma</w:t>
            </w:r>
            <w:proofErr w:type="spellEnd"/>
            <w:r w:rsidRPr="008B059B">
              <w:rPr>
                <w:rFonts w:ascii="Times New Roman" w:hAnsi="Times New Roman"/>
                <w:bCs w:val="0"/>
                <w:sz w:val="24"/>
                <w:szCs w:val="28"/>
                <w:lang w:eastAsia="lv-LV"/>
              </w:rPr>
              <w:t xml:space="preserve"> efektivitāte</w:t>
            </w:r>
          </w:p>
        </w:tc>
        <w:tc>
          <w:tcPr>
            <w:tcW w:w="1691" w:type="dxa"/>
            <w:tcBorders>
              <w:top w:val="single" w:sz="4" w:space="0" w:color="auto"/>
              <w:left w:val="single" w:sz="12" w:space="0" w:color="auto"/>
              <w:bottom w:val="single" w:sz="12" w:space="0" w:color="auto"/>
              <w:right w:val="single" w:sz="12" w:space="0" w:color="auto"/>
            </w:tcBorders>
            <w:shd w:val="clear" w:color="auto" w:fill="auto"/>
            <w:vAlign w:val="center"/>
          </w:tcPr>
          <w:p w14:paraId="34CE3495"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Jaunais OIK,</w:t>
            </w:r>
          </w:p>
          <w:p w14:paraId="65C41111"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EUR/</w:t>
            </w:r>
            <w:proofErr w:type="spellStart"/>
            <w:r w:rsidRPr="008B059B">
              <w:rPr>
                <w:rFonts w:ascii="Times New Roman" w:hAnsi="Times New Roman"/>
                <w:bCs w:val="0"/>
                <w:sz w:val="24"/>
                <w:szCs w:val="28"/>
                <w:lang w:eastAsia="lv-LV"/>
              </w:rPr>
              <w:t>MWh</w:t>
            </w:r>
            <w:proofErr w:type="spellEnd"/>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2DCFAA52"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Gada OIK rēķina izmaiņas (%)</w:t>
            </w:r>
          </w:p>
        </w:tc>
      </w:tr>
      <w:tr w:rsidR="008B059B" w:rsidRPr="008B059B" w14:paraId="63D513AC" w14:textId="77777777" w:rsidTr="008B059B">
        <w:trPr>
          <w:trHeight w:val="271"/>
          <w:jc w:val="center"/>
        </w:trPr>
        <w:tc>
          <w:tcPr>
            <w:tcW w:w="2820" w:type="dxa"/>
            <w:tcBorders>
              <w:top w:val="single" w:sz="12" w:space="0" w:color="auto"/>
              <w:left w:val="single" w:sz="12" w:space="0" w:color="auto"/>
              <w:bottom w:val="single" w:sz="4" w:space="0" w:color="auto"/>
              <w:right w:val="single" w:sz="12" w:space="0" w:color="auto"/>
            </w:tcBorders>
            <w:shd w:val="clear" w:color="auto" w:fill="auto"/>
            <w:vAlign w:val="center"/>
          </w:tcPr>
          <w:p w14:paraId="48DF9303"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Piensaimniecība A</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4417A9BD"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35%</w:t>
            </w:r>
          </w:p>
        </w:tc>
        <w:tc>
          <w:tcPr>
            <w:tcW w:w="1691" w:type="dxa"/>
            <w:tcBorders>
              <w:top w:val="single" w:sz="12" w:space="0" w:color="auto"/>
              <w:left w:val="single" w:sz="12" w:space="0" w:color="auto"/>
              <w:bottom w:val="single" w:sz="4" w:space="0" w:color="auto"/>
              <w:right w:val="single" w:sz="12" w:space="0" w:color="auto"/>
            </w:tcBorders>
            <w:shd w:val="clear" w:color="auto" w:fill="auto"/>
            <w:vAlign w:val="center"/>
          </w:tcPr>
          <w:p w14:paraId="5AD794B8"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16,00</w:t>
            </w:r>
          </w:p>
        </w:tc>
        <w:tc>
          <w:tcPr>
            <w:tcW w:w="1701" w:type="dxa"/>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1B71479D"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- 40%</w:t>
            </w:r>
          </w:p>
        </w:tc>
      </w:tr>
      <w:tr w:rsidR="008B059B" w:rsidRPr="008B059B" w14:paraId="314ED7D2" w14:textId="77777777" w:rsidTr="008B059B">
        <w:trPr>
          <w:trHeight w:val="271"/>
          <w:jc w:val="center"/>
        </w:trPr>
        <w:tc>
          <w:tcPr>
            <w:tcW w:w="2820" w:type="dxa"/>
            <w:tcBorders>
              <w:top w:val="single" w:sz="4" w:space="0" w:color="auto"/>
              <w:left w:val="single" w:sz="12" w:space="0" w:color="auto"/>
              <w:bottom w:val="single" w:sz="12" w:space="0" w:color="auto"/>
              <w:right w:val="single" w:sz="12" w:space="0" w:color="auto"/>
            </w:tcBorders>
            <w:shd w:val="clear" w:color="auto" w:fill="auto"/>
            <w:vAlign w:val="center"/>
          </w:tcPr>
          <w:p w14:paraId="00608BD3"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Piensaimniecība B</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12E0C511"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15%</w:t>
            </w:r>
          </w:p>
        </w:tc>
        <w:tc>
          <w:tcPr>
            <w:tcW w:w="1691" w:type="dxa"/>
            <w:tcBorders>
              <w:top w:val="single" w:sz="4" w:space="0" w:color="auto"/>
              <w:left w:val="single" w:sz="12" w:space="0" w:color="auto"/>
              <w:bottom w:val="single" w:sz="12" w:space="0" w:color="auto"/>
              <w:right w:val="single" w:sz="12" w:space="0" w:color="auto"/>
            </w:tcBorders>
            <w:shd w:val="clear" w:color="auto" w:fill="auto"/>
            <w:vAlign w:val="center"/>
          </w:tcPr>
          <w:p w14:paraId="53F4E57B"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24,17</w:t>
            </w:r>
          </w:p>
        </w:tc>
        <w:tc>
          <w:tcPr>
            <w:tcW w:w="1701" w:type="dxa"/>
            <w:tcBorders>
              <w:top w:val="single" w:sz="4" w:space="0" w:color="auto"/>
              <w:left w:val="single" w:sz="12" w:space="0" w:color="auto"/>
              <w:bottom w:val="single" w:sz="12" w:space="0" w:color="auto"/>
              <w:right w:val="single" w:sz="12" w:space="0" w:color="auto"/>
            </w:tcBorders>
            <w:shd w:val="clear" w:color="auto" w:fill="C5E0B3" w:themeFill="accent6" w:themeFillTint="66"/>
            <w:vAlign w:val="center"/>
          </w:tcPr>
          <w:p w14:paraId="751492C0"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- 10%</w:t>
            </w:r>
          </w:p>
        </w:tc>
      </w:tr>
      <w:tr w:rsidR="008B059B" w:rsidRPr="008B059B" w14:paraId="61D31B12" w14:textId="77777777" w:rsidTr="008B059B">
        <w:trPr>
          <w:trHeight w:val="271"/>
          <w:jc w:val="center"/>
        </w:trPr>
        <w:tc>
          <w:tcPr>
            <w:tcW w:w="2820" w:type="dxa"/>
            <w:tcBorders>
              <w:top w:val="single" w:sz="12" w:space="0" w:color="auto"/>
              <w:left w:val="single" w:sz="12" w:space="0" w:color="auto"/>
              <w:bottom w:val="single" w:sz="4" w:space="0" w:color="auto"/>
              <w:right w:val="single" w:sz="12" w:space="0" w:color="auto"/>
            </w:tcBorders>
            <w:shd w:val="clear" w:color="auto" w:fill="auto"/>
            <w:vAlign w:val="center"/>
          </w:tcPr>
          <w:p w14:paraId="38BA67BC"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Pārtikas pārstrāde A</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622A65F8"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59%</w:t>
            </w:r>
          </w:p>
        </w:tc>
        <w:tc>
          <w:tcPr>
            <w:tcW w:w="1691" w:type="dxa"/>
            <w:tcBorders>
              <w:top w:val="single" w:sz="12" w:space="0" w:color="auto"/>
              <w:left w:val="single" w:sz="12" w:space="0" w:color="auto"/>
              <w:bottom w:val="single" w:sz="4" w:space="0" w:color="auto"/>
              <w:right w:val="single" w:sz="12" w:space="0" w:color="auto"/>
            </w:tcBorders>
            <w:shd w:val="clear" w:color="auto" w:fill="auto"/>
            <w:vAlign w:val="center"/>
          </w:tcPr>
          <w:p w14:paraId="0F96D0A9"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14,32</w:t>
            </w:r>
          </w:p>
        </w:tc>
        <w:tc>
          <w:tcPr>
            <w:tcW w:w="1701" w:type="dxa"/>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27CF96A6"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- 47%</w:t>
            </w:r>
          </w:p>
        </w:tc>
      </w:tr>
      <w:tr w:rsidR="008B059B" w:rsidRPr="008B059B" w14:paraId="4C911D73" w14:textId="77777777" w:rsidTr="008B059B">
        <w:trPr>
          <w:trHeight w:val="271"/>
          <w:jc w:val="center"/>
        </w:trPr>
        <w:tc>
          <w:tcPr>
            <w:tcW w:w="2820" w:type="dxa"/>
            <w:tcBorders>
              <w:top w:val="single" w:sz="4" w:space="0" w:color="auto"/>
              <w:left w:val="single" w:sz="12" w:space="0" w:color="auto"/>
              <w:bottom w:val="single" w:sz="12" w:space="0" w:color="auto"/>
              <w:right w:val="single" w:sz="12" w:space="0" w:color="auto"/>
            </w:tcBorders>
            <w:shd w:val="clear" w:color="auto" w:fill="auto"/>
            <w:vAlign w:val="center"/>
          </w:tcPr>
          <w:p w14:paraId="7AC2674A"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Pārtikas pārstrāde B</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0F01755A"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25%</w:t>
            </w:r>
          </w:p>
        </w:tc>
        <w:tc>
          <w:tcPr>
            <w:tcW w:w="1691" w:type="dxa"/>
            <w:tcBorders>
              <w:top w:val="single" w:sz="4" w:space="0" w:color="auto"/>
              <w:left w:val="single" w:sz="12" w:space="0" w:color="auto"/>
              <w:bottom w:val="single" w:sz="12" w:space="0" w:color="auto"/>
              <w:right w:val="single" w:sz="12" w:space="0" w:color="auto"/>
            </w:tcBorders>
            <w:shd w:val="clear" w:color="auto" w:fill="auto"/>
            <w:vAlign w:val="center"/>
          </w:tcPr>
          <w:p w14:paraId="45FFADB9"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20,62</w:t>
            </w:r>
          </w:p>
        </w:tc>
        <w:tc>
          <w:tcPr>
            <w:tcW w:w="1701" w:type="dxa"/>
            <w:tcBorders>
              <w:top w:val="single" w:sz="4" w:space="0" w:color="auto"/>
              <w:left w:val="single" w:sz="12" w:space="0" w:color="auto"/>
              <w:bottom w:val="single" w:sz="12" w:space="0" w:color="auto"/>
              <w:right w:val="single" w:sz="12" w:space="0" w:color="auto"/>
            </w:tcBorders>
            <w:shd w:val="clear" w:color="auto" w:fill="C5E0B3" w:themeFill="accent6" w:themeFillTint="66"/>
            <w:vAlign w:val="center"/>
          </w:tcPr>
          <w:p w14:paraId="7CB87C9A"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- 23%</w:t>
            </w:r>
          </w:p>
        </w:tc>
      </w:tr>
      <w:tr w:rsidR="008B059B" w:rsidRPr="008B059B" w14:paraId="07F2E2DB" w14:textId="77777777" w:rsidTr="008B059B">
        <w:trPr>
          <w:trHeight w:val="271"/>
          <w:jc w:val="center"/>
        </w:trPr>
        <w:tc>
          <w:tcPr>
            <w:tcW w:w="2820" w:type="dxa"/>
            <w:tcBorders>
              <w:top w:val="single" w:sz="12" w:space="0" w:color="auto"/>
              <w:left w:val="single" w:sz="12" w:space="0" w:color="auto"/>
              <w:bottom w:val="single" w:sz="4" w:space="0" w:color="auto"/>
              <w:right w:val="single" w:sz="12" w:space="0" w:color="auto"/>
            </w:tcBorders>
            <w:shd w:val="clear" w:color="auto" w:fill="auto"/>
            <w:vAlign w:val="center"/>
          </w:tcPr>
          <w:p w14:paraId="7623A834"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Kokapstrāde A</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50F8D484"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8%</w:t>
            </w:r>
          </w:p>
        </w:tc>
        <w:tc>
          <w:tcPr>
            <w:tcW w:w="1691" w:type="dxa"/>
            <w:tcBorders>
              <w:top w:val="single" w:sz="12" w:space="0" w:color="auto"/>
              <w:left w:val="single" w:sz="12" w:space="0" w:color="auto"/>
              <w:bottom w:val="single" w:sz="4" w:space="0" w:color="auto"/>
              <w:right w:val="single" w:sz="12" w:space="0" w:color="auto"/>
            </w:tcBorders>
            <w:shd w:val="clear" w:color="auto" w:fill="auto"/>
            <w:vAlign w:val="center"/>
          </w:tcPr>
          <w:p w14:paraId="74FDAF15"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38,81</w:t>
            </w:r>
          </w:p>
        </w:tc>
        <w:tc>
          <w:tcPr>
            <w:tcW w:w="1701" w:type="dxa"/>
            <w:tcBorders>
              <w:top w:val="single" w:sz="12" w:space="0" w:color="auto"/>
              <w:left w:val="single" w:sz="12" w:space="0" w:color="auto"/>
              <w:bottom w:val="single" w:sz="4" w:space="0" w:color="auto"/>
              <w:right w:val="single" w:sz="12" w:space="0" w:color="auto"/>
            </w:tcBorders>
            <w:shd w:val="clear" w:color="auto" w:fill="F7CAAC" w:themeFill="accent2" w:themeFillTint="66"/>
            <w:vAlign w:val="center"/>
          </w:tcPr>
          <w:p w14:paraId="43329E62"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+45%</w:t>
            </w:r>
          </w:p>
        </w:tc>
      </w:tr>
      <w:tr w:rsidR="008B059B" w:rsidRPr="008B059B" w14:paraId="0DCCB457" w14:textId="77777777" w:rsidTr="008B059B">
        <w:trPr>
          <w:trHeight w:val="271"/>
          <w:jc w:val="center"/>
        </w:trPr>
        <w:tc>
          <w:tcPr>
            <w:tcW w:w="2820" w:type="dxa"/>
            <w:tcBorders>
              <w:top w:val="single" w:sz="4" w:space="0" w:color="auto"/>
              <w:left w:val="single" w:sz="12" w:space="0" w:color="auto"/>
              <w:bottom w:val="single" w:sz="12" w:space="0" w:color="auto"/>
              <w:right w:val="single" w:sz="12" w:space="0" w:color="auto"/>
            </w:tcBorders>
            <w:shd w:val="clear" w:color="auto" w:fill="auto"/>
            <w:vAlign w:val="center"/>
          </w:tcPr>
          <w:p w14:paraId="0BF5A974"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Kokapstrāde B</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6A727BF6"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40%</w:t>
            </w:r>
          </w:p>
        </w:tc>
        <w:tc>
          <w:tcPr>
            <w:tcW w:w="1691" w:type="dxa"/>
            <w:tcBorders>
              <w:top w:val="single" w:sz="4" w:space="0" w:color="auto"/>
              <w:left w:val="single" w:sz="12" w:space="0" w:color="auto"/>
              <w:bottom w:val="single" w:sz="12" w:space="0" w:color="auto"/>
              <w:right w:val="single" w:sz="12" w:space="0" w:color="auto"/>
            </w:tcBorders>
            <w:shd w:val="clear" w:color="auto" w:fill="auto"/>
            <w:vAlign w:val="center"/>
          </w:tcPr>
          <w:p w14:paraId="450A8EBE"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16,39</w:t>
            </w:r>
          </w:p>
        </w:tc>
        <w:tc>
          <w:tcPr>
            <w:tcW w:w="1701" w:type="dxa"/>
            <w:tcBorders>
              <w:top w:val="single" w:sz="4" w:space="0" w:color="auto"/>
              <w:left w:val="single" w:sz="12" w:space="0" w:color="auto"/>
              <w:bottom w:val="single" w:sz="12" w:space="0" w:color="auto"/>
              <w:right w:val="single" w:sz="12" w:space="0" w:color="auto"/>
            </w:tcBorders>
            <w:shd w:val="clear" w:color="auto" w:fill="C5E0B3" w:themeFill="accent6" w:themeFillTint="66"/>
            <w:vAlign w:val="center"/>
          </w:tcPr>
          <w:p w14:paraId="4112EAF6"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- 39%</w:t>
            </w:r>
          </w:p>
        </w:tc>
      </w:tr>
      <w:tr w:rsidR="008B059B" w:rsidRPr="008B059B" w14:paraId="72AE9643" w14:textId="77777777" w:rsidTr="008B059B">
        <w:trPr>
          <w:trHeight w:val="271"/>
          <w:jc w:val="center"/>
        </w:trPr>
        <w:tc>
          <w:tcPr>
            <w:tcW w:w="2820" w:type="dxa"/>
            <w:tcBorders>
              <w:top w:val="single" w:sz="12" w:space="0" w:color="auto"/>
              <w:left w:val="single" w:sz="12" w:space="0" w:color="auto"/>
              <w:bottom w:val="single" w:sz="4" w:space="0" w:color="auto"/>
              <w:right w:val="single" w:sz="12" w:space="0" w:color="auto"/>
            </w:tcBorders>
            <w:shd w:val="clear" w:color="auto" w:fill="auto"/>
            <w:vAlign w:val="center"/>
          </w:tcPr>
          <w:p w14:paraId="012F2056"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Būvmateriāli A*</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07F83599"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81%</w:t>
            </w:r>
          </w:p>
        </w:tc>
        <w:tc>
          <w:tcPr>
            <w:tcW w:w="1691" w:type="dxa"/>
            <w:tcBorders>
              <w:top w:val="single" w:sz="12" w:space="0" w:color="auto"/>
              <w:left w:val="single" w:sz="12" w:space="0" w:color="auto"/>
              <w:bottom w:val="single" w:sz="4" w:space="0" w:color="auto"/>
              <w:right w:val="single" w:sz="12" w:space="0" w:color="auto"/>
            </w:tcBorders>
            <w:shd w:val="clear" w:color="auto" w:fill="auto"/>
            <w:vAlign w:val="center"/>
          </w:tcPr>
          <w:p w14:paraId="582CE475"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4,77</w:t>
            </w:r>
          </w:p>
        </w:tc>
        <w:tc>
          <w:tcPr>
            <w:tcW w:w="1701" w:type="dxa"/>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4D45327C"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- 51%</w:t>
            </w:r>
          </w:p>
        </w:tc>
      </w:tr>
      <w:tr w:rsidR="008B059B" w:rsidRPr="008B059B" w14:paraId="6BE15DA2" w14:textId="77777777" w:rsidTr="008B059B">
        <w:trPr>
          <w:trHeight w:val="271"/>
          <w:jc w:val="center"/>
        </w:trPr>
        <w:tc>
          <w:tcPr>
            <w:tcW w:w="2820" w:type="dxa"/>
            <w:tcBorders>
              <w:top w:val="single" w:sz="4" w:space="0" w:color="auto"/>
              <w:left w:val="single" w:sz="12" w:space="0" w:color="auto"/>
              <w:bottom w:val="single" w:sz="12" w:space="0" w:color="auto"/>
              <w:right w:val="single" w:sz="12" w:space="0" w:color="auto"/>
            </w:tcBorders>
            <w:shd w:val="clear" w:color="auto" w:fill="auto"/>
            <w:vAlign w:val="center"/>
          </w:tcPr>
          <w:p w14:paraId="2EC772AA"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Būvmateriāli B</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3486B402"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22%</w:t>
            </w:r>
          </w:p>
        </w:tc>
        <w:tc>
          <w:tcPr>
            <w:tcW w:w="1691" w:type="dxa"/>
            <w:tcBorders>
              <w:top w:val="single" w:sz="4" w:space="0" w:color="auto"/>
              <w:left w:val="single" w:sz="12" w:space="0" w:color="auto"/>
              <w:bottom w:val="single" w:sz="12" w:space="0" w:color="auto"/>
              <w:right w:val="single" w:sz="12" w:space="0" w:color="auto"/>
            </w:tcBorders>
            <w:shd w:val="clear" w:color="auto" w:fill="auto"/>
            <w:vAlign w:val="center"/>
          </w:tcPr>
          <w:p w14:paraId="2EB478CF"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21,73</w:t>
            </w:r>
          </w:p>
        </w:tc>
        <w:tc>
          <w:tcPr>
            <w:tcW w:w="1701" w:type="dxa"/>
            <w:tcBorders>
              <w:top w:val="single" w:sz="4" w:space="0" w:color="auto"/>
              <w:left w:val="single" w:sz="12" w:space="0" w:color="auto"/>
              <w:bottom w:val="single" w:sz="12" w:space="0" w:color="auto"/>
              <w:right w:val="single" w:sz="12" w:space="0" w:color="auto"/>
            </w:tcBorders>
            <w:shd w:val="clear" w:color="auto" w:fill="C5E0B3" w:themeFill="accent6" w:themeFillTint="66"/>
            <w:vAlign w:val="center"/>
          </w:tcPr>
          <w:p w14:paraId="5C8B6CFF"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-19%</w:t>
            </w:r>
          </w:p>
        </w:tc>
      </w:tr>
      <w:tr w:rsidR="008B059B" w:rsidRPr="008B059B" w14:paraId="6CD14377" w14:textId="77777777" w:rsidTr="008B059B">
        <w:trPr>
          <w:trHeight w:val="271"/>
          <w:jc w:val="center"/>
        </w:trPr>
        <w:tc>
          <w:tcPr>
            <w:tcW w:w="2820" w:type="dxa"/>
            <w:tcBorders>
              <w:top w:val="single" w:sz="12" w:space="0" w:color="auto"/>
              <w:left w:val="single" w:sz="12" w:space="0" w:color="auto"/>
              <w:bottom w:val="single" w:sz="4" w:space="0" w:color="auto"/>
              <w:right w:val="single" w:sz="12" w:space="0" w:color="auto"/>
            </w:tcBorders>
            <w:shd w:val="clear" w:color="auto" w:fill="auto"/>
            <w:vAlign w:val="center"/>
          </w:tcPr>
          <w:p w14:paraId="3FD1F860"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Tekstilrūpniecība A</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753263B2"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8%</w:t>
            </w:r>
          </w:p>
        </w:tc>
        <w:tc>
          <w:tcPr>
            <w:tcW w:w="1691" w:type="dxa"/>
            <w:tcBorders>
              <w:top w:val="single" w:sz="12" w:space="0" w:color="auto"/>
              <w:left w:val="single" w:sz="12" w:space="0" w:color="auto"/>
              <w:bottom w:val="single" w:sz="4" w:space="0" w:color="auto"/>
              <w:right w:val="single" w:sz="12" w:space="0" w:color="auto"/>
            </w:tcBorders>
            <w:shd w:val="clear" w:color="auto" w:fill="auto"/>
            <w:vAlign w:val="center"/>
          </w:tcPr>
          <w:p w14:paraId="2927A84A"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36,35</w:t>
            </w:r>
          </w:p>
        </w:tc>
        <w:tc>
          <w:tcPr>
            <w:tcW w:w="1701" w:type="dxa"/>
            <w:tcBorders>
              <w:top w:val="single" w:sz="12" w:space="0" w:color="auto"/>
              <w:left w:val="single" w:sz="12" w:space="0" w:color="auto"/>
              <w:bottom w:val="single" w:sz="4" w:space="0" w:color="auto"/>
              <w:right w:val="single" w:sz="12" w:space="0" w:color="auto"/>
            </w:tcBorders>
            <w:shd w:val="clear" w:color="auto" w:fill="F7CAAC" w:themeFill="accent2" w:themeFillTint="66"/>
            <w:vAlign w:val="center"/>
          </w:tcPr>
          <w:p w14:paraId="716FE5D6"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+36%</w:t>
            </w:r>
          </w:p>
        </w:tc>
      </w:tr>
      <w:tr w:rsidR="008B059B" w:rsidRPr="008B059B" w14:paraId="461C3A25" w14:textId="77777777" w:rsidTr="008B059B">
        <w:trPr>
          <w:trHeight w:val="271"/>
          <w:jc w:val="center"/>
        </w:trPr>
        <w:tc>
          <w:tcPr>
            <w:tcW w:w="2820" w:type="dxa"/>
            <w:tcBorders>
              <w:top w:val="single" w:sz="4" w:space="0" w:color="auto"/>
              <w:left w:val="single" w:sz="12" w:space="0" w:color="auto"/>
              <w:bottom w:val="single" w:sz="12" w:space="0" w:color="auto"/>
              <w:right w:val="single" w:sz="12" w:space="0" w:color="auto"/>
            </w:tcBorders>
            <w:shd w:val="clear" w:color="auto" w:fill="auto"/>
            <w:vAlign w:val="center"/>
          </w:tcPr>
          <w:p w14:paraId="33162ED5" w14:textId="77777777" w:rsidR="008B059B" w:rsidRPr="008B059B" w:rsidRDefault="008B059B" w:rsidP="00D2101E">
            <w:pPr>
              <w:pStyle w:val="Caption"/>
              <w:keepNext/>
              <w:spacing w:after="0" w:line="240" w:lineRule="auto"/>
              <w:jc w:val="left"/>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Tekstilrūpniecība B</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750F6BEE"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26%</w:t>
            </w:r>
          </w:p>
        </w:tc>
        <w:tc>
          <w:tcPr>
            <w:tcW w:w="1691" w:type="dxa"/>
            <w:tcBorders>
              <w:top w:val="single" w:sz="4" w:space="0" w:color="auto"/>
              <w:left w:val="single" w:sz="12" w:space="0" w:color="auto"/>
              <w:bottom w:val="single" w:sz="12" w:space="0" w:color="auto"/>
              <w:right w:val="single" w:sz="12" w:space="0" w:color="auto"/>
            </w:tcBorders>
            <w:shd w:val="clear" w:color="auto" w:fill="auto"/>
            <w:vAlign w:val="center"/>
          </w:tcPr>
          <w:p w14:paraId="6BAC7F65" w14:textId="77777777" w:rsidR="008B059B" w:rsidRPr="008B059B" w:rsidRDefault="008B059B" w:rsidP="00D2101E">
            <w:pPr>
              <w:pStyle w:val="Caption"/>
              <w:keepNext/>
              <w:spacing w:after="0" w:line="240" w:lineRule="auto"/>
              <w:jc w:val="center"/>
              <w:rPr>
                <w:rFonts w:ascii="Times New Roman" w:hAnsi="Times New Roman"/>
                <w:b w:val="0"/>
                <w:bCs w:val="0"/>
                <w:sz w:val="24"/>
                <w:szCs w:val="28"/>
                <w:lang w:eastAsia="lv-LV"/>
              </w:rPr>
            </w:pPr>
            <w:r w:rsidRPr="008B059B">
              <w:rPr>
                <w:rFonts w:ascii="Times New Roman" w:hAnsi="Times New Roman"/>
                <w:b w:val="0"/>
                <w:bCs w:val="0"/>
                <w:sz w:val="24"/>
                <w:szCs w:val="28"/>
                <w:lang w:eastAsia="lv-LV"/>
              </w:rPr>
              <w:t>19,95</w:t>
            </w:r>
          </w:p>
        </w:tc>
        <w:tc>
          <w:tcPr>
            <w:tcW w:w="1701" w:type="dxa"/>
            <w:tcBorders>
              <w:top w:val="single" w:sz="4" w:space="0" w:color="auto"/>
              <w:left w:val="single" w:sz="12" w:space="0" w:color="auto"/>
              <w:bottom w:val="single" w:sz="12" w:space="0" w:color="auto"/>
              <w:right w:val="single" w:sz="12" w:space="0" w:color="auto"/>
            </w:tcBorders>
            <w:shd w:val="clear" w:color="auto" w:fill="C5E0B3" w:themeFill="accent6" w:themeFillTint="66"/>
            <w:vAlign w:val="center"/>
          </w:tcPr>
          <w:p w14:paraId="53A0424C" w14:textId="77777777" w:rsidR="008B059B" w:rsidRPr="008B059B" w:rsidRDefault="008B059B" w:rsidP="00D2101E">
            <w:pPr>
              <w:pStyle w:val="Caption"/>
              <w:keepNext/>
              <w:spacing w:after="0" w:line="240" w:lineRule="auto"/>
              <w:jc w:val="center"/>
              <w:rPr>
                <w:rFonts w:ascii="Times New Roman" w:hAnsi="Times New Roman"/>
                <w:bCs w:val="0"/>
                <w:sz w:val="24"/>
                <w:szCs w:val="28"/>
                <w:lang w:eastAsia="lv-LV"/>
              </w:rPr>
            </w:pPr>
            <w:r w:rsidRPr="008B059B">
              <w:rPr>
                <w:rFonts w:ascii="Times New Roman" w:hAnsi="Times New Roman"/>
                <w:bCs w:val="0"/>
                <w:sz w:val="24"/>
                <w:szCs w:val="28"/>
                <w:lang w:eastAsia="lv-LV"/>
              </w:rPr>
              <w:t>- 26%</w:t>
            </w:r>
          </w:p>
        </w:tc>
      </w:tr>
    </w:tbl>
    <w:p w14:paraId="43EF83CB" w14:textId="77777777" w:rsidR="008B059B" w:rsidRPr="00491FF1" w:rsidRDefault="008B059B" w:rsidP="008B059B">
      <w:pPr>
        <w:pStyle w:val="Caption"/>
        <w:keepNext/>
        <w:jc w:val="left"/>
        <w:rPr>
          <w:rFonts w:ascii="Times New Roman" w:hAnsi="Times New Roman"/>
          <w:b w:val="0"/>
          <w:sz w:val="20"/>
          <w:szCs w:val="24"/>
        </w:rPr>
      </w:pPr>
      <w:r w:rsidRPr="00491FF1">
        <w:rPr>
          <w:rFonts w:ascii="Times New Roman" w:hAnsi="Times New Roman"/>
          <w:b w:val="0"/>
          <w:bCs w:val="0"/>
          <w:sz w:val="22"/>
          <w:szCs w:val="24"/>
        </w:rPr>
        <w:t xml:space="preserve">     </w:t>
      </w:r>
      <w:r w:rsidRPr="00491FF1">
        <w:rPr>
          <w:rFonts w:ascii="Times New Roman" w:hAnsi="Times New Roman"/>
          <w:b w:val="0"/>
          <w:bCs w:val="0"/>
          <w:sz w:val="20"/>
          <w:szCs w:val="24"/>
        </w:rPr>
        <w:t xml:space="preserve">  *</w:t>
      </w:r>
      <w:r w:rsidRPr="00491FF1">
        <w:rPr>
          <w:rFonts w:ascii="Times New Roman" w:hAnsi="Times New Roman"/>
          <w:b w:val="0"/>
          <w:sz w:val="20"/>
          <w:szCs w:val="24"/>
        </w:rPr>
        <w:t xml:space="preserve"> </w:t>
      </w:r>
      <w:proofErr w:type="spellStart"/>
      <w:r w:rsidRPr="008B059B">
        <w:rPr>
          <w:rFonts w:ascii="Times New Roman" w:hAnsi="Times New Roman"/>
          <w:b w:val="0"/>
          <w:sz w:val="20"/>
          <w:szCs w:val="24"/>
        </w:rPr>
        <w:t>Energointesīvs</w:t>
      </w:r>
      <w:proofErr w:type="spellEnd"/>
      <w:r w:rsidRPr="008B059B">
        <w:rPr>
          <w:rFonts w:ascii="Times New Roman" w:hAnsi="Times New Roman"/>
          <w:b w:val="0"/>
          <w:sz w:val="20"/>
          <w:szCs w:val="24"/>
        </w:rPr>
        <w:t xml:space="preserve"> uzņēmums ar 85% atlaidi no AER komponentes</w:t>
      </w:r>
    </w:p>
    <w:p w14:paraId="569FE13B" w14:textId="77777777" w:rsidR="008B059B" w:rsidRPr="007F33D1" w:rsidRDefault="008B059B" w:rsidP="00D444AF">
      <w:pPr>
        <w:spacing w:after="0" w:line="240" w:lineRule="auto"/>
        <w:ind w:firstLine="851"/>
        <w:rPr>
          <w:sz w:val="28"/>
        </w:rPr>
      </w:pPr>
    </w:p>
    <w:p w14:paraId="4E907025" w14:textId="77777777" w:rsidR="001A02AE" w:rsidRDefault="001A02AE" w:rsidP="00D444AF">
      <w:pPr>
        <w:spacing w:after="0" w:line="240" w:lineRule="auto"/>
        <w:ind w:firstLine="851"/>
        <w:rPr>
          <w:sz w:val="28"/>
        </w:rPr>
      </w:pPr>
      <w:r>
        <w:rPr>
          <w:sz w:val="28"/>
        </w:rPr>
        <w:lastRenderedPageBreak/>
        <w:t xml:space="preserve">Sagaidāms, ka šāda mehānisma ieviešana </w:t>
      </w:r>
      <w:r w:rsidRPr="001A02AE">
        <w:rPr>
          <w:sz w:val="28"/>
        </w:rPr>
        <w:t xml:space="preserve">veicinās ekonomisko izaugsmi un </w:t>
      </w:r>
      <w:r w:rsidR="00AB5A35" w:rsidRPr="00AB5A35">
        <w:rPr>
          <w:sz w:val="28"/>
        </w:rPr>
        <w:t>nodrošinā</w:t>
      </w:r>
      <w:r w:rsidR="00AB5A35">
        <w:rPr>
          <w:sz w:val="28"/>
        </w:rPr>
        <w:t>s</w:t>
      </w:r>
      <w:r w:rsidR="00AB5A35" w:rsidRPr="00AB5A35">
        <w:rPr>
          <w:sz w:val="28"/>
        </w:rPr>
        <w:t xml:space="preserve"> apstrādes rūpniecības konkurētspēju ilgtermiņā</w:t>
      </w:r>
      <w:r w:rsidR="00AB5A35">
        <w:rPr>
          <w:sz w:val="28"/>
        </w:rPr>
        <w:t>,</w:t>
      </w:r>
      <w:r w:rsidR="00AB5A35" w:rsidRPr="00AB5A35">
        <w:rPr>
          <w:sz w:val="28"/>
        </w:rPr>
        <w:t xml:space="preserve"> </w:t>
      </w:r>
      <w:r w:rsidR="00AB5A35">
        <w:rPr>
          <w:sz w:val="28"/>
        </w:rPr>
        <w:t xml:space="preserve">veicinot </w:t>
      </w:r>
      <w:r w:rsidR="00AB5A35" w:rsidRPr="00AB5A35">
        <w:rPr>
          <w:sz w:val="28"/>
        </w:rPr>
        <w:t>OIK ietekmes mazināšan</w:t>
      </w:r>
      <w:r w:rsidR="00AB5A35">
        <w:rPr>
          <w:sz w:val="28"/>
        </w:rPr>
        <w:t>u</w:t>
      </w:r>
      <w:r w:rsidR="00AB5A35" w:rsidRPr="00AB5A35">
        <w:rPr>
          <w:sz w:val="28"/>
        </w:rPr>
        <w:t xml:space="preserve"> uz apstrādes rūpniecības mainīgajām ražošanas izmaksām</w:t>
      </w:r>
      <w:r w:rsidR="00AB5A35">
        <w:rPr>
          <w:sz w:val="28"/>
        </w:rPr>
        <w:t xml:space="preserve">. Tā rezultātā sagaidāma arī </w:t>
      </w:r>
      <w:r>
        <w:rPr>
          <w:sz w:val="28"/>
        </w:rPr>
        <w:t>elektroenerģijas patēriņa palielināšan</w:t>
      </w:r>
      <w:r w:rsidR="00AB5A35">
        <w:rPr>
          <w:sz w:val="28"/>
        </w:rPr>
        <w:t>ās</w:t>
      </w:r>
      <w:r>
        <w:rPr>
          <w:sz w:val="28"/>
        </w:rPr>
        <w:t xml:space="preserve"> apstrādes rū</w:t>
      </w:r>
      <w:r w:rsidR="00B32775">
        <w:rPr>
          <w:sz w:val="28"/>
        </w:rPr>
        <w:t>pniecībā</w:t>
      </w:r>
      <w:r w:rsidRPr="001A02AE">
        <w:rPr>
          <w:sz w:val="28"/>
        </w:rPr>
        <w:t>.</w:t>
      </w:r>
      <w:r w:rsidR="00B32775">
        <w:rPr>
          <w:sz w:val="28"/>
        </w:rPr>
        <w:t xml:space="preserve"> </w:t>
      </w:r>
    </w:p>
    <w:p w14:paraId="162B21DF" w14:textId="50AC0B9F" w:rsidR="00F406C8" w:rsidRDefault="00B32775" w:rsidP="00F406C8">
      <w:pPr>
        <w:pStyle w:val="BodyText2"/>
        <w:spacing w:after="120"/>
        <w:ind w:firstLine="567"/>
        <w:rPr>
          <w:color w:val="000000"/>
          <w:sz w:val="28"/>
          <w:szCs w:val="28"/>
        </w:rPr>
      </w:pPr>
      <w:r>
        <w:rPr>
          <w:color w:val="000000"/>
          <w:sz w:val="28"/>
          <w:szCs w:val="28"/>
        </w:rPr>
        <w:t>Tiek prognozēts, ka</w:t>
      </w:r>
      <w:r w:rsidR="00962E4C">
        <w:rPr>
          <w:color w:val="000000"/>
          <w:sz w:val="28"/>
          <w:szCs w:val="28"/>
        </w:rPr>
        <w:t xml:space="preserve"> šāda risinājuma īstenošanas gadījumā uzņēmumu mainīgās izmaksas par katru nākamo saražoto produkcijas vienību būtu ievērojami zemākas kā šobrīd</w:t>
      </w:r>
      <w:r w:rsidR="00D2101E">
        <w:rPr>
          <w:color w:val="000000"/>
          <w:sz w:val="28"/>
          <w:szCs w:val="28"/>
        </w:rPr>
        <w:t xml:space="preserve"> (mainīgās OIK izmaksas šobrīd ir 26,79 EUR/</w:t>
      </w:r>
      <w:proofErr w:type="spellStart"/>
      <w:r w:rsidR="00D2101E">
        <w:rPr>
          <w:color w:val="000000"/>
          <w:sz w:val="28"/>
          <w:szCs w:val="28"/>
        </w:rPr>
        <w:t>MWh</w:t>
      </w:r>
      <w:proofErr w:type="spellEnd"/>
      <w:r w:rsidR="00D2101E">
        <w:rPr>
          <w:color w:val="000000"/>
          <w:sz w:val="28"/>
          <w:szCs w:val="28"/>
        </w:rPr>
        <w:t xml:space="preserve">, bet ieviešot </w:t>
      </w:r>
      <w:r w:rsidR="00D2101E" w:rsidRPr="00D2101E">
        <w:rPr>
          <w:color w:val="000000"/>
          <w:sz w:val="28"/>
          <w:szCs w:val="28"/>
        </w:rPr>
        <w:t>OIK sistēmisk</w:t>
      </w:r>
      <w:r w:rsidR="00D2101E">
        <w:rPr>
          <w:color w:val="000000"/>
          <w:sz w:val="28"/>
          <w:szCs w:val="28"/>
        </w:rPr>
        <w:t>o</w:t>
      </w:r>
      <w:r w:rsidR="00D2101E" w:rsidRPr="00D2101E">
        <w:rPr>
          <w:color w:val="000000"/>
          <w:sz w:val="28"/>
          <w:szCs w:val="28"/>
        </w:rPr>
        <w:t xml:space="preserve"> risinājum</w:t>
      </w:r>
      <w:r w:rsidR="00D2101E">
        <w:rPr>
          <w:color w:val="000000"/>
          <w:sz w:val="28"/>
          <w:szCs w:val="28"/>
        </w:rPr>
        <w:t>u 2017. gadā mainīgās OIK izmaksas provizoriski būtu 9,7 EUR/</w:t>
      </w:r>
      <w:proofErr w:type="spellStart"/>
      <w:r w:rsidR="00D2101E">
        <w:rPr>
          <w:color w:val="000000"/>
          <w:sz w:val="28"/>
          <w:szCs w:val="28"/>
        </w:rPr>
        <w:t>MWh</w:t>
      </w:r>
      <w:proofErr w:type="spellEnd"/>
      <w:r w:rsidR="00D2101E">
        <w:rPr>
          <w:color w:val="000000"/>
          <w:sz w:val="28"/>
          <w:szCs w:val="28"/>
        </w:rPr>
        <w:t>)</w:t>
      </w:r>
      <w:r w:rsidR="00962E4C">
        <w:rPr>
          <w:color w:val="000000"/>
          <w:sz w:val="28"/>
          <w:szCs w:val="28"/>
        </w:rPr>
        <w:t xml:space="preserve">, tādējādi stimulējot uzņēmumus kāpināt ražošanas apjomu un attiecīgi arī elektroenerģijas patēriņu, kā rezultātā </w:t>
      </w:r>
      <w:r w:rsidR="00E468BD">
        <w:rPr>
          <w:color w:val="000000"/>
          <w:sz w:val="28"/>
          <w:szCs w:val="28"/>
        </w:rPr>
        <w:t>no 2017. gada nodrošinot</w:t>
      </w:r>
      <w:r>
        <w:rPr>
          <w:color w:val="000000"/>
          <w:sz w:val="28"/>
          <w:szCs w:val="28"/>
        </w:rPr>
        <w:t xml:space="preserve"> ikgadēj</w:t>
      </w:r>
      <w:r w:rsidR="00E468BD">
        <w:rPr>
          <w:color w:val="000000"/>
          <w:sz w:val="28"/>
          <w:szCs w:val="28"/>
        </w:rPr>
        <w:t>u</w:t>
      </w:r>
      <w:r>
        <w:rPr>
          <w:color w:val="000000"/>
          <w:sz w:val="28"/>
          <w:szCs w:val="28"/>
        </w:rPr>
        <w:t xml:space="preserve"> elektroenerģijas patēriņa pieaugum</w:t>
      </w:r>
      <w:r w:rsidR="00E468BD">
        <w:rPr>
          <w:color w:val="000000"/>
          <w:sz w:val="28"/>
          <w:szCs w:val="28"/>
        </w:rPr>
        <w:t>u</w:t>
      </w:r>
      <w:r>
        <w:rPr>
          <w:color w:val="000000"/>
          <w:sz w:val="28"/>
          <w:szCs w:val="28"/>
        </w:rPr>
        <w:t xml:space="preserve"> aptuveni </w:t>
      </w:r>
      <w:r w:rsidR="00E468BD">
        <w:rPr>
          <w:color w:val="000000"/>
          <w:sz w:val="28"/>
          <w:szCs w:val="28"/>
        </w:rPr>
        <w:t>1,7</w:t>
      </w:r>
      <w:r>
        <w:rPr>
          <w:color w:val="000000"/>
          <w:sz w:val="28"/>
          <w:szCs w:val="28"/>
        </w:rPr>
        <w:t> % gadā</w:t>
      </w:r>
      <w:r w:rsidR="00E468BD">
        <w:rPr>
          <w:color w:val="000000"/>
          <w:sz w:val="28"/>
          <w:szCs w:val="28"/>
        </w:rPr>
        <w:t xml:space="preserve">. </w:t>
      </w:r>
      <w:r w:rsidR="00962E4C">
        <w:rPr>
          <w:color w:val="000000"/>
          <w:sz w:val="28"/>
          <w:szCs w:val="28"/>
        </w:rPr>
        <w:t xml:space="preserve">Līdz ar elektroenerģijas patēriņa pieaugumu, OIK apjoms uz vienu patērēto </w:t>
      </w:r>
      <w:proofErr w:type="spellStart"/>
      <w:r w:rsidR="00962E4C">
        <w:rPr>
          <w:color w:val="000000"/>
          <w:sz w:val="28"/>
          <w:szCs w:val="28"/>
        </w:rPr>
        <w:t>MWh</w:t>
      </w:r>
      <w:proofErr w:type="spellEnd"/>
      <w:r w:rsidR="00962E4C">
        <w:rPr>
          <w:color w:val="000000"/>
          <w:sz w:val="28"/>
          <w:szCs w:val="28"/>
        </w:rPr>
        <w:t xml:space="preserve"> kļūtu mazāks, tādējādi </w:t>
      </w:r>
      <w:r w:rsidR="00E468BD" w:rsidRPr="001A02AE">
        <w:rPr>
          <w:sz w:val="28"/>
        </w:rPr>
        <w:t xml:space="preserve">mazinot </w:t>
      </w:r>
      <w:r w:rsidR="008109B5">
        <w:rPr>
          <w:sz w:val="28"/>
        </w:rPr>
        <w:t xml:space="preserve">nepieciešamo </w:t>
      </w:r>
      <w:r w:rsidR="00962E4C">
        <w:rPr>
          <w:sz w:val="28"/>
        </w:rPr>
        <w:t xml:space="preserve">valsts </w:t>
      </w:r>
      <w:r w:rsidR="00E468BD" w:rsidRPr="001A02AE">
        <w:rPr>
          <w:sz w:val="28"/>
        </w:rPr>
        <w:t xml:space="preserve">budžeta </w:t>
      </w:r>
      <w:r w:rsidR="00962E4C" w:rsidRPr="001A02AE">
        <w:rPr>
          <w:sz w:val="28"/>
        </w:rPr>
        <w:t>dotācij</w:t>
      </w:r>
      <w:r w:rsidR="00962E4C">
        <w:rPr>
          <w:sz w:val="28"/>
        </w:rPr>
        <w:t>u</w:t>
      </w:r>
      <w:r w:rsidR="00962E4C">
        <w:rPr>
          <w:color w:val="000000"/>
          <w:sz w:val="28"/>
          <w:szCs w:val="28"/>
        </w:rPr>
        <w:t xml:space="preserve"> </w:t>
      </w:r>
      <w:r w:rsidR="00E468BD">
        <w:rPr>
          <w:color w:val="000000"/>
          <w:sz w:val="28"/>
          <w:szCs w:val="28"/>
        </w:rPr>
        <w:t xml:space="preserve">OIK saglabāšanai </w:t>
      </w:r>
      <w:r w:rsidRPr="00AC5FC4">
        <w:rPr>
          <w:color w:val="000000"/>
          <w:sz w:val="28"/>
          <w:szCs w:val="28"/>
        </w:rPr>
        <w:t>(skat. </w:t>
      </w:r>
      <w:r w:rsidR="00E468BD">
        <w:rPr>
          <w:color w:val="000000"/>
          <w:sz w:val="28"/>
          <w:szCs w:val="28"/>
        </w:rPr>
        <w:t>1</w:t>
      </w:r>
      <w:r w:rsidR="005E2AC5">
        <w:rPr>
          <w:color w:val="000000"/>
          <w:sz w:val="28"/>
          <w:szCs w:val="28"/>
        </w:rPr>
        <w:t>2</w:t>
      </w:r>
      <w:r w:rsidRPr="00AC5FC4">
        <w:rPr>
          <w:color w:val="000000"/>
          <w:sz w:val="28"/>
          <w:szCs w:val="28"/>
        </w:rPr>
        <w:t>.tab.)</w:t>
      </w:r>
      <w:r w:rsidR="00962E4C">
        <w:rPr>
          <w:color w:val="000000"/>
          <w:sz w:val="28"/>
          <w:szCs w:val="28"/>
        </w:rPr>
        <w:t xml:space="preserve"> vidēji 26</w:t>
      </w:r>
      <w:r w:rsidR="0052706C">
        <w:rPr>
          <w:color w:val="000000"/>
          <w:sz w:val="28"/>
          <w:szCs w:val="28"/>
        </w:rPr>
        <w:t>,</w:t>
      </w:r>
      <w:r w:rsidR="00962E4C">
        <w:rPr>
          <w:color w:val="000000"/>
          <w:sz w:val="28"/>
          <w:szCs w:val="28"/>
        </w:rPr>
        <w:t>79EUR/</w:t>
      </w:r>
      <w:proofErr w:type="spellStart"/>
      <w:r w:rsidR="00962E4C">
        <w:rPr>
          <w:color w:val="000000"/>
          <w:sz w:val="28"/>
          <w:szCs w:val="28"/>
        </w:rPr>
        <w:t>MWh</w:t>
      </w:r>
      <w:proofErr w:type="spellEnd"/>
      <w:r>
        <w:rPr>
          <w:color w:val="000000"/>
          <w:sz w:val="28"/>
          <w:szCs w:val="28"/>
        </w:rPr>
        <w:t>.</w:t>
      </w:r>
      <w:r w:rsidR="00F406C8">
        <w:rPr>
          <w:color w:val="000000"/>
          <w:sz w:val="28"/>
          <w:szCs w:val="28"/>
        </w:rPr>
        <w:t xml:space="preserve"> </w:t>
      </w:r>
    </w:p>
    <w:p w14:paraId="0FBF271B" w14:textId="77777777" w:rsidR="008109B5" w:rsidRDefault="008109B5" w:rsidP="008109B5">
      <w:pPr>
        <w:spacing w:after="0" w:line="240" w:lineRule="auto"/>
        <w:ind w:firstLine="851"/>
        <w:rPr>
          <w:sz w:val="28"/>
        </w:rPr>
      </w:pPr>
      <w:r w:rsidRPr="00AB5A35">
        <w:rPr>
          <w:sz w:val="28"/>
        </w:rPr>
        <w:t xml:space="preserve">Līdzšinējais risinājums OIK mazināšanai apstrādes rūpniecībai paredzēja līdzdalības maksājumu samazināšanu energoietilpīgajām nozarēm, pēc fakta atmaksājot samaksātos OIK maksājumus. Tomēr </w:t>
      </w:r>
      <w:r>
        <w:rPr>
          <w:sz w:val="28"/>
        </w:rPr>
        <w:t>tas ir</w:t>
      </w:r>
      <w:r w:rsidRPr="00AB5A35">
        <w:rPr>
          <w:sz w:val="28"/>
        </w:rPr>
        <w:t xml:space="preserve"> piemērojams tikai īpaši energoietilpīgām nozarēm un visticamāk nav piemērojams apstrādes rūpniecības nozarēm ar mazāku </w:t>
      </w:r>
      <w:proofErr w:type="spellStart"/>
      <w:r>
        <w:rPr>
          <w:sz w:val="28"/>
        </w:rPr>
        <w:t>elektroietilpību</w:t>
      </w:r>
      <w:proofErr w:type="spellEnd"/>
      <w:r w:rsidRPr="00AB5A35">
        <w:rPr>
          <w:sz w:val="28"/>
        </w:rPr>
        <w:t xml:space="preserve">, piemēram, nozarēm ar augstāku produkcijas pievienoto vērtību. </w:t>
      </w:r>
      <w:r>
        <w:rPr>
          <w:sz w:val="28"/>
        </w:rPr>
        <w:t>OIK diferencēšana veicinātu apstrādes rūpniecības attīstību arī nozarēs ar mazāku energoietilpību.</w:t>
      </w:r>
    </w:p>
    <w:p w14:paraId="334BE80A" w14:textId="77777777" w:rsidR="00E468BD" w:rsidRDefault="00E468BD" w:rsidP="00B32775">
      <w:pPr>
        <w:pStyle w:val="BodyText2"/>
        <w:spacing w:after="120"/>
        <w:ind w:firstLine="567"/>
        <w:rPr>
          <w:color w:val="000000"/>
          <w:sz w:val="28"/>
          <w:szCs w:val="28"/>
        </w:rPr>
      </w:pPr>
      <w:r>
        <w:rPr>
          <w:color w:val="000000"/>
          <w:sz w:val="28"/>
          <w:szCs w:val="28"/>
        </w:rPr>
        <w:t xml:space="preserve">Papildus, samazinoties </w:t>
      </w:r>
      <w:r w:rsidR="007868AB">
        <w:rPr>
          <w:color w:val="000000"/>
          <w:sz w:val="28"/>
          <w:szCs w:val="28"/>
        </w:rPr>
        <w:t xml:space="preserve">apstrādes rūpniecības uzņēmumu </w:t>
      </w:r>
      <w:r>
        <w:rPr>
          <w:color w:val="000000"/>
          <w:sz w:val="28"/>
          <w:szCs w:val="28"/>
        </w:rPr>
        <w:t>elektroenerģijas izmaksām</w:t>
      </w:r>
      <w:r w:rsidR="007868AB">
        <w:rPr>
          <w:color w:val="000000"/>
          <w:sz w:val="28"/>
          <w:szCs w:val="28"/>
        </w:rPr>
        <w:t>,</w:t>
      </w:r>
      <w:r>
        <w:rPr>
          <w:color w:val="000000"/>
          <w:sz w:val="28"/>
          <w:szCs w:val="28"/>
        </w:rPr>
        <w:t xml:space="preserve"> </w:t>
      </w:r>
      <w:r w:rsidR="007868AB">
        <w:rPr>
          <w:color w:val="000000"/>
          <w:sz w:val="28"/>
          <w:szCs w:val="28"/>
        </w:rPr>
        <w:t>samazināsies arī nepieciešamais kopējais atbalsta apjoms energoietilpīgiem apstrādes rūpniecības</w:t>
      </w:r>
      <w:r w:rsidR="00F406C8">
        <w:rPr>
          <w:color w:val="000000"/>
          <w:sz w:val="28"/>
          <w:szCs w:val="28"/>
        </w:rPr>
        <w:t xml:space="preserve"> uzņēmumiem </w:t>
      </w:r>
      <w:r w:rsidR="00F406C8" w:rsidRPr="00AC5FC4">
        <w:rPr>
          <w:color w:val="000000"/>
          <w:sz w:val="28"/>
          <w:szCs w:val="28"/>
        </w:rPr>
        <w:t>(skat. </w:t>
      </w:r>
      <w:r w:rsidR="000045BB">
        <w:rPr>
          <w:color w:val="000000"/>
          <w:sz w:val="28"/>
          <w:szCs w:val="28"/>
        </w:rPr>
        <w:t>9</w:t>
      </w:r>
      <w:r w:rsidR="008109B5">
        <w:rPr>
          <w:color w:val="000000"/>
          <w:sz w:val="28"/>
          <w:szCs w:val="28"/>
        </w:rPr>
        <w:t>. att. un</w:t>
      </w:r>
      <w:r w:rsidR="00D2101E">
        <w:rPr>
          <w:color w:val="000000"/>
          <w:sz w:val="28"/>
          <w:szCs w:val="28"/>
        </w:rPr>
        <w:t xml:space="preserve"> 12</w:t>
      </w:r>
      <w:r w:rsidR="00F406C8" w:rsidRPr="00AC5FC4">
        <w:rPr>
          <w:color w:val="000000"/>
          <w:sz w:val="28"/>
          <w:szCs w:val="28"/>
        </w:rPr>
        <w:t>.tab.)</w:t>
      </w:r>
      <w:r w:rsidR="0092720C">
        <w:rPr>
          <w:color w:val="000000"/>
          <w:sz w:val="28"/>
          <w:szCs w:val="28"/>
        </w:rPr>
        <w:t>, vienlaikus nepasliktinot to konkurētspēju</w:t>
      </w:r>
      <w:r w:rsidR="007868AB">
        <w:rPr>
          <w:color w:val="000000"/>
          <w:sz w:val="28"/>
          <w:szCs w:val="28"/>
        </w:rPr>
        <w:t>.</w:t>
      </w:r>
    </w:p>
    <w:p w14:paraId="02118813" w14:textId="77777777" w:rsidR="008109B5" w:rsidRPr="0052754F" w:rsidRDefault="008109B5" w:rsidP="008109B5">
      <w:pPr>
        <w:spacing w:after="0" w:line="240" w:lineRule="auto"/>
        <w:rPr>
          <w:sz w:val="16"/>
          <w:szCs w:val="28"/>
        </w:rPr>
      </w:pPr>
      <w:r w:rsidRPr="008109B5">
        <w:rPr>
          <w:noProof/>
          <w:lang w:eastAsia="lv-LV"/>
        </w:rPr>
        <w:lastRenderedPageBreak/>
        <w:drawing>
          <wp:inline distT="0" distB="0" distL="0" distR="0" wp14:anchorId="4EE653CD" wp14:editId="7529CB41">
            <wp:extent cx="5074285" cy="3040539"/>
            <wp:effectExtent l="0" t="0" r="0" b="7620"/>
            <wp:docPr id="2969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9" name="Content Placeholder 6"/>
                    <pic:cNvPicPr>
                      <a:picLocks noGrp="1"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5423" cy="3041221"/>
                    </a:xfrm>
                    <a:prstGeom prst="rect">
                      <a:avLst/>
                    </a:prstGeom>
                    <a:noFill/>
                    <a:ln>
                      <a:noFill/>
                    </a:ln>
                    <a:extLst/>
                  </pic:spPr>
                </pic:pic>
              </a:graphicData>
            </a:graphic>
          </wp:inline>
        </w:drawing>
      </w:r>
      <w:r>
        <w:rPr>
          <w:noProof/>
          <w:lang w:eastAsia="lv-LV"/>
        </w:rPr>
        <w:t xml:space="preserve"> </w:t>
      </w:r>
    </w:p>
    <w:p w14:paraId="759DFC78" w14:textId="77777777" w:rsidR="008109B5" w:rsidRDefault="000045BB" w:rsidP="00D2101E">
      <w:pPr>
        <w:pStyle w:val="BodyText2"/>
        <w:rPr>
          <w:color w:val="000000"/>
          <w:sz w:val="28"/>
          <w:szCs w:val="28"/>
        </w:rPr>
      </w:pPr>
      <w:r>
        <w:rPr>
          <w:b/>
          <w:szCs w:val="24"/>
        </w:rPr>
        <w:t>9</w:t>
      </w:r>
      <w:r w:rsidR="008109B5" w:rsidRPr="00500F12">
        <w:rPr>
          <w:b/>
          <w:szCs w:val="24"/>
        </w:rPr>
        <w:t xml:space="preserve">.attēls. </w:t>
      </w:r>
      <w:r w:rsidR="008109B5" w:rsidRPr="008109B5">
        <w:rPr>
          <w:b/>
          <w:bCs/>
          <w:szCs w:val="24"/>
        </w:rPr>
        <w:t>OIK sistēmiskā risinājuma ietekme uz uzņēmumu konkurētspēju</w:t>
      </w:r>
      <w:r w:rsidR="008109B5" w:rsidRPr="00500F12">
        <w:rPr>
          <w:b/>
          <w:szCs w:val="24"/>
        </w:rPr>
        <w:t xml:space="preserve"> </w:t>
      </w:r>
      <w:r w:rsidR="00300EBB">
        <w:rPr>
          <w:b/>
          <w:szCs w:val="24"/>
        </w:rPr>
        <w:br/>
      </w:r>
      <w:r w:rsidR="008109B5" w:rsidRPr="00500F12">
        <w:rPr>
          <w:szCs w:val="24"/>
        </w:rPr>
        <w:t xml:space="preserve">(Avots: </w:t>
      </w:r>
      <w:proofErr w:type="spellStart"/>
      <w:r w:rsidR="008109B5" w:rsidRPr="008109B5">
        <w:rPr>
          <w:szCs w:val="24"/>
        </w:rPr>
        <w:t>Eurostat</w:t>
      </w:r>
      <w:proofErr w:type="spellEnd"/>
      <w:r w:rsidR="008109B5" w:rsidRPr="008109B5">
        <w:rPr>
          <w:szCs w:val="24"/>
        </w:rPr>
        <w:t>, Ekonomikas ministrijas aprēķini</w:t>
      </w:r>
      <w:r w:rsidR="008109B5" w:rsidRPr="00500F12">
        <w:rPr>
          <w:szCs w:val="24"/>
        </w:rPr>
        <w:t>)</w:t>
      </w:r>
    </w:p>
    <w:p w14:paraId="48EB70F2" w14:textId="77777777" w:rsidR="00B32775" w:rsidRPr="00AC5FC4" w:rsidRDefault="00D2101E" w:rsidP="00B32775">
      <w:pPr>
        <w:pStyle w:val="Caption"/>
        <w:keepNext/>
        <w:jc w:val="right"/>
        <w:rPr>
          <w:rFonts w:ascii="Times New Roman" w:hAnsi="Times New Roman"/>
          <w:sz w:val="24"/>
          <w:szCs w:val="24"/>
        </w:rPr>
      </w:pPr>
      <w:r>
        <w:rPr>
          <w:rFonts w:ascii="Times New Roman" w:hAnsi="Times New Roman"/>
          <w:sz w:val="24"/>
          <w:szCs w:val="24"/>
        </w:rPr>
        <w:t>12</w:t>
      </w:r>
      <w:r w:rsidR="00B32775" w:rsidRPr="00AC5FC4">
        <w:rPr>
          <w:rFonts w:ascii="Times New Roman" w:hAnsi="Times New Roman"/>
          <w:sz w:val="24"/>
          <w:szCs w:val="24"/>
        </w:rPr>
        <w:t>. tabula</w:t>
      </w:r>
    </w:p>
    <w:p w14:paraId="0B58CD4F" w14:textId="77777777" w:rsidR="00B32775" w:rsidRPr="00AC5FC4" w:rsidRDefault="00B32775" w:rsidP="00B32775">
      <w:pPr>
        <w:pStyle w:val="Caption"/>
        <w:keepNext/>
        <w:jc w:val="center"/>
        <w:rPr>
          <w:rFonts w:ascii="Times New Roman" w:hAnsi="Times New Roman"/>
          <w:sz w:val="24"/>
          <w:szCs w:val="24"/>
        </w:rPr>
      </w:pPr>
      <w:r w:rsidRPr="00AC5FC4">
        <w:rPr>
          <w:rFonts w:ascii="Times New Roman" w:hAnsi="Times New Roman"/>
          <w:sz w:val="24"/>
          <w:szCs w:val="24"/>
        </w:rPr>
        <w:t xml:space="preserve">Elektroenerģijas patēriņa </w:t>
      </w:r>
      <w:r w:rsidR="007868AB">
        <w:rPr>
          <w:rFonts w:ascii="Times New Roman" w:hAnsi="Times New Roman"/>
          <w:sz w:val="24"/>
          <w:szCs w:val="24"/>
        </w:rPr>
        <w:t xml:space="preserve">un nepieciešamo budžeta dotāciju </w:t>
      </w:r>
      <w:r w:rsidRPr="00AC5FC4">
        <w:rPr>
          <w:rFonts w:ascii="Times New Roman" w:hAnsi="Times New Roman"/>
          <w:sz w:val="24"/>
          <w:szCs w:val="24"/>
        </w:rPr>
        <w:t>prognozes</w:t>
      </w:r>
      <w:r w:rsidR="007868AB">
        <w:rPr>
          <w:rFonts w:ascii="Times New Roman" w:hAnsi="Times New Roman"/>
          <w:sz w:val="24"/>
          <w:szCs w:val="24"/>
        </w:rPr>
        <w:t>, diferencējot OIK maksājumus</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539"/>
        <w:gridCol w:w="1134"/>
        <w:gridCol w:w="1134"/>
        <w:gridCol w:w="992"/>
        <w:gridCol w:w="993"/>
        <w:gridCol w:w="993"/>
      </w:tblGrid>
      <w:tr w:rsidR="007868AB" w:rsidRPr="00AC5FC4" w14:paraId="7B7BACC0" w14:textId="77777777" w:rsidTr="00F0429A">
        <w:trPr>
          <w:trHeight w:val="333"/>
          <w:jc w:val="center"/>
        </w:trPr>
        <w:tc>
          <w:tcPr>
            <w:tcW w:w="3539" w:type="dxa"/>
            <w:shd w:val="clear" w:color="auto" w:fill="auto"/>
            <w:hideMark/>
          </w:tcPr>
          <w:p w14:paraId="68C8F78F" w14:textId="77777777" w:rsidR="007868AB" w:rsidRPr="00AC5FC4" w:rsidRDefault="007868AB" w:rsidP="00D2577B">
            <w:pPr>
              <w:spacing w:after="0" w:line="240" w:lineRule="auto"/>
              <w:jc w:val="center"/>
              <w:rPr>
                <w:rFonts w:eastAsia="Times New Roman" w:cs="Times New Roman"/>
                <w:color w:val="000000"/>
                <w:szCs w:val="28"/>
                <w:lang w:eastAsia="lv-LV"/>
              </w:rPr>
            </w:pPr>
          </w:p>
        </w:tc>
        <w:tc>
          <w:tcPr>
            <w:tcW w:w="1134" w:type="dxa"/>
            <w:shd w:val="clear" w:color="auto" w:fill="auto"/>
            <w:vAlign w:val="center"/>
            <w:hideMark/>
          </w:tcPr>
          <w:p w14:paraId="00CE1B12" w14:textId="77777777" w:rsidR="007868AB" w:rsidRPr="00AC5FC4" w:rsidRDefault="007868AB" w:rsidP="00D2577B">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2016</w:t>
            </w:r>
          </w:p>
        </w:tc>
        <w:tc>
          <w:tcPr>
            <w:tcW w:w="1134" w:type="dxa"/>
            <w:shd w:val="clear" w:color="auto" w:fill="auto"/>
            <w:vAlign w:val="center"/>
            <w:hideMark/>
          </w:tcPr>
          <w:p w14:paraId="7DF12726" w14:textId="77777777" w:rsidR="007868AB" w:rsidRPr="00AC5FC4" w:rsidRDefault="007868AB" w:rsidP="00D2577B">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2017</w:t>
            </w:r>
          </w:p>
        </w:tc>
        <w:tc>
          <w:tcPr>
            <w:tcW w:w="992" w:type="dxa"/>
            <w:shd w:val="clear" w:color="auto" w:fill="auto"/>
            <w:vAlign w:val="center"/>
            <w:hideMark/>
          </w:tcPr>
          <w:p w14:paraId="2777E40E" w14:textId="77777777" w:rsidR="007868AB" w:rsidRPr="00AC5FC4" w:rsidRDefault="007868AB" w:rsidP="00D2577B">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2018</w:t>
            </w:r>
          </w:p>
        </w:tc>
        <w:tc>
          <w:tcPr>
            <w:tcW w:w="993" w:type="dxa"/>
            <w:tcBorders>
              <w:bottom w:val="single" w:sz="4" w:space="0" w:color="auto"/>
            </w:tcBorders>
            <w:vAlign w:val="center"/>
          </w:tcPr>
          <w:p w14:paraId="3D74A6DB" w14:textId="77777777" w:rsidR="007868AB" w:rsidRPr="00AC5FC4" w:rsidRDefault="007868AB" w:rsidP="00D2577B">
            <w:pPr>
              <w:spacing w:after="0" w:line="240" w:lineRule="auto"/>
              <w:jc w:val="center"/>
              <w:rPr>
                <w:rFonts w:eastAsia="Times New Roman" w:cs="Times New Roman"/>
                <w:color w:val="000000"/>
                <w:szCs w:val="28"/>
                <w:lang w:eastAsia="lv-LV"/>
              </w:rPr>
            </w:pPr>
            <w:r w:rsidRPr="00AC5FC4">
              <w:rPr>
                <w:rFonts w:eastAsia="Times New Roman" w:cs="Times New Roman"/>
                <w:color w:val="000000"/>
                <w:szCs w:val="28"/>
                <w:lang w:eastAsia="lv-LV"/>
              </w:rPr>
              <w:t>2019</w:t>
            </w:r>
          </w:p>
        </w:tc>
        <w:tc>
          <w:tcPr>
            <w:tcW w:w="993" w:type="dxa"/>
            <w:tcBorders>
              <w:bottom w:val="single" w:sz="4" w:space="0" w:color="auto"/>
            </w:tcBorders>
          </w:tcPr>
          <w:p w14:paraId="3F31FB1F" w14:textId="77777777" w:rsidR="007868AB" w:rsidRPr="00AC5FC4" w:rsidRDefault="007868AB" w:rsidP="00D2577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2020</w:t>
            </w:r>
          </w:p>
        </w:tc>
      </w:tr>
      <w:tr w:rsidR="007868AB" w:rsidRPr="00AC5FC4" w14:paraId="15B552ED" w14:textId="77777777" w:rsidTr="00F0429A">
        <w:trPr>
          <w:trHeight w:val="271"/>
          <w:jc w:val="center"/>
        </w:trPr>
        <w:tc>
          <w:tcPr>
            <w:tcW w:w="3539" w:type="dxa"/>
            <w:shd w:val="clear" w:color="auto" w:fill="auto"/>
            <w:vAlign w:val="center"/>
          </w:tcPr>
          <w:p w14:paraId="529F2F72" w14:textId="77777777" w:rsidR="007868AB" w:rsidRPr="00AC5FC4" w:rsidRDefault="007868A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Elektroenerģijas patēriņš</w:t>
            </w:r>
            <w:r w:rsidRPr="00AC5FC4">
              <w:rPr>
                <w:rFonts w:eastAsia="Times New Roman" w:cs="Times New Roman"/>
                <w:color w:val="000000"/>
                <w:szCs w:val="28"/>
                <w:lang w:eastAsia="lv-LV"/>
              </w:rPr>
              <w:t xml:space="preserve">, </w:t>
            </w:r>
            <w:proofErr w:type="spellStart"/>
            <w:r w:rsidRPr="00AC5FC4">
              <w:rPr>
                <w:rFonts w:eastAsia="Times New Roman" w:cs="Times New Roman"/>
                <w:color w:val="000000"/>
                <w:szCs w:val="28"/>
                <w:lang w:eastAsia="lv-LV"/>
              </w:rPr>
              <w:t>GWh</w:t>
            </w:r>
            <w:proofErr w:type="spellEnd"/>
          </w:p>
        </w:tc>
        <w:tc>
          <w:tcPr>
            <w:tcW w:w="1134" w:type="dxa"/>
            <w:shd w:val="clear" w:color="auto" w:fill="auto"/>
            <w:vAlign w:val="center"/>
          </w:tcPr>
          <w:p w14:paraId="3FEBFF42" w14:textId="77777777" w:rsidR="007868AB" w:rsidRPr="004E7A07" w:rsidRDefault="007868AB" w:rsidP="007868AB">
            <w:pPr>
              <w:spacing w:after="0" w:line="240" w:lineRule="auto"/>
              <w:jc w:val="center"/>
              <w:rPr>
                <w:rFonts w:eastAsia="Times New Roman" w:cs="Times New Roman"/>
                <w:color w:val="000000"/>
                <w:szCs w:val="28"/>
                <w:lang w:eastAsia="lv-LV"/>
              </w:rPr>
            </w:pPr>
            <w:r w:rsidRPr="004E7A07">
              <w:rPr>
                <w:rFonts w:eastAsia="Times New Roman" w:cs="Times New Roman"/>
                <w:color w:val="000000"/>
                <w:szCs w:val="28"/>
                <w:lang w:eastAsia="lv-LV"/>
              </w:rPr>
              <w:t>67</w:t>
            </w:r>
            <w:r>
              <w:rPr>
                <w:rFonts w:eastAsia="Times New Roman" w:cs="Times New Roman"/>
                <w:color w:val="000000"/>
                <w:szCs w:val="28"/>
                <w:lang w:eastAsia="lv-LV"/>
              </w:rPr>
              <w:t>07</w:t>
            </w:r>
          </w:p>
        </w:tc>
        <w:tc>
          <w:tcPr>
            <w:tcW w:w="1134" w:type="dxa"/>
            <w:shd w:val="clear" w:color="auto" w:fill="auto"/>
            <w:vAlign w:val="center"/>
          </w:tcPr>
          <w:p w14:paraId="5BAC4E75" w14:textId="77777777" w:rsidR="007868AB" w:rsidRPr="004E7A07" w:rsidRDefault="007868AB" w:rsidP="007868AB">
            <w:pPr>
              <w:spacing w:after="0" w:line="240" w:lineRule="auto"/>
              <w:jc w:val="center"/>
              <w:rPr>
                <w:rFonts w:eastAsia="Times New Roman" w:cs="Times New Roman"/>
                <w:color w:val="000000"/>
                <w:szCs w:val="28"/>
                <w:lang w:eastAsia="lv-LV"/>
              </w:rPr>
            </w:pPr>
            <w:r w:rsidRPr="007868AB">
              <w:rPr>
                <w:rFonts w:eastAsia="Times New Roman" w:cs="Times New Roman"/>
                <w:color w:val="000000"/>
                <w:szCs w:val="28"/>
                <w:lang w:eastAsia="lv-LV"/>
              </w:rPr>
              <w:t>6821</w:t>
            </w:r>
          </w:p>
        </w:tc>
        <w:tc>
          <w:tcPr>
            <w:tcW w:w="992" w:type="dxa"/>
            <w:shd w:val="clear" w:color="auto" w:fill="auto"/>
            <w:vAlign w:val="center"/>
          </w:tcPr>
          <w:p w14:paraId="7C4AC347" w14:textId="77777777" w:rsidR="007868AB" w:rsidRPr="004E7A07" w:rsidRDefault="007868A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6</w:t>
            </w:r>
            <w:r w:rsidRPr="007868AB">
              <w:rPr>
                <w:rFonts w:eastAsia="Times New Roman" w:cs="Times New Roman"/>
                <w:color w:val="000000"/>
                <w:szCs w:val="28"/>
                <w:lang w:eastAsia="lv-LV"/>
              </w:rPr>
              <w:t>937</w:t>
            </w:r>
          </w:p>
        </w:tc>
        <w:tc>
          <w:tcPr>
            <w:tcW w:w="993" w:type="dxa"/>
            <w:shd w:val="clear" w:color="auto" w:fill="auto"/>
            <w:vAlign w:val="center"/>
          </w:tcPr>
          <w:p w14:paraId="5B3286C2" w14:textId="77777777" w:rsidR="007868AB" w:rsidRPr="004E7A07" w:rsidRDefault="007868A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w:t>
            </w:r>
            <w:r w:rsidRPr="007868AB">
              <w:rPr>
                <w:rFonts w:eastAsia="Times New Roman" w:cs="Times New Roman"/>
                <w:color w:val="000000"/>
                <w:szCs w:val="28"/>
                <w:lang w:eastAsia="lv-LV"/>
              </w:rPr>
              <w:t>055</w:t>
            </w:r>
          </w:p>
        </w:tc>
        <w:tc>
          <w:tcPr>
            <w:tcW w:w="993" w:type="dxa"/>
            <w:vAlign w:val="center"/>
          </w:tcPr>
          <w:p w14:paraId="3C68A601" w14:textId="77777777" w:rsidR="007868AB" w:rsidRPr="004E7A07" w:rsidRDefault="007868A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w:t>
            </w:r>
            <w:r w:rsidRPr="007868AB">
              <w:rPr>
                <w:rFonts w:eastAsia="Times New Roman" w:cs="Times New Roman"/>
                <w:color w:val="000000"/>
                <w:szCs w:val="28"/>
                <w:lang w:eastAsia="lv-LV"/>
              </w:rPr>
              <w:t>175</w:t>
            </w:r>
          </w:p>
        </w:tc>
      </w:tr>
      <w:tr w:rsidR="00F406C8" w:rsidRPr="00AC5FC4" w14:paraId="7BCD31D3" w14:textId="77777777" w:rsidTr="00F0429A">
        <w:trPr>
          <w:trHeight w:val="271"/>
          <w:jc w:val="center"/>
        </w:trPr>
        <w:tc>
          <w:tcPr>
            <w:tcW w:w="3539" w:type="dxa"/>
            <w:shd w:val="clear" w:color="auto" w:fill="auto"/>
            <w:vAlign w:val="center"/>
          </w:tcPr>
          <w:p w14:paraId="683B0A6A" w14:textId="77777777" w:rsidR="00F406C8" w:rsidRDefault="00F406C8" w:rsidP="00F406C8">
            <w:pPr>
              <w:spacing w:after="0" w:line="240" w:lineRule="auto"/>
              <w:jc w:val="center"/>
              <w:rPr>
                <w:rFonts w:eastAsia="Times New Roman" w:cs="Times New Roman"/>
                <w:color w:val="000000"/>
                <w:szCs w:val="28"/>
                <w:lang w:eastAsia="lv-LV"/>
              </w:rPr>
            </w:pPr>
            <w:r w:rsidRPr="00F406C8">
              <w:rPr>
                <w:rFonts w:eastAsia="Times New Roman" w:cs="Times New Roman"/>
                <w:color w:val="000000"/>
                <w:szCs w:val="28"/>
                <w:lang w:eastAsia="lv-LV"/>
              </w:rPr>
              <w:t>Atbalsts elektroenerģijas lietotājiem OIK mazināšanai</w:t>
            </w:r>
            <w:r>
              <w:rPr>
                <w:rFonts w:eastAsia="Times New Roman" w:cs="Times New Roman"/>
                <w:color w:val="000000"/>
                <w:szCs w:val="28"/>
                <w:lang w:eastAsia="lv-LV"/>
              </w:rPr>
              <w:t>, milj. EUR</w:t>
            </w:r>
          </w:p>
        </w:tc>
        <w:tc>
          <w:tcPr>
            <w:tcW w:w="1134" w:type="dxa"/>
            <w:shd w:val="clear" w:color="auto" w:fill="auto"/>
            <w:vAlign w:val="center"/>
          </w:tcPr>
          <w:p w14:paraId="3C0B66D0" w14:textId="77777777" w:rsidR="00F406C8" w:rsidRPr="004E7A07" w:rsidRDefault="00F406C8" w:rsidP="00F406C8">
            <w:pPr>
              <w:spacing w:after="0" w:line="240" w:lineRule="auto"/>
              <w:jc w:val="center"/>
              <w:rPr>
                <w:rFonts w:eastAsia="Times New Roman" w:cs="Times New Roman"/>
                <w:color w:val="000000"/>
                <w:szCs w:val="28"/>
                <w:lang w:eastAsia="lv-LV"/>
              </w:rPr>
            </w:pPr>
            <w:r>
              <w:t>59,</w:t>
            </w:r>
            <w:r w:rsidRPr="002D5F58">
              <w:t>189</w:t>
            </w:r>
            <w:r>
              <w:t>*</w:t>
            </w:r>
          </w:p>
        </w:tc>
        <w:tc>
          <w:tcPr>
            <w:tcW w:w="1134" w:type="dxa"/>
            <w:shd w:val="clear" w:color="auto" w:fill="auto"/>
            <w:vAlign w:val="center"/>
          </w:tcPr>
          <w:p w14:paraId="1C741F64" w14:textId="77777777" w:rsidR="00F406C8" w:rsidRPr="007868AB" w:rsidRDefault="007E79F0" w:rsidP="00253FDD">
            <w:pPr>
              <w:spacing w:after="0" w:line="240" w:lineRule="auto"/>
              <w:jc w:val="center"/>
              <w:rPr>
                <w:rFonts w:eastAsia="Times New Roman" w:cs="Times New Roman"/>
                <w:color w:val="000000"/>
                <w:szCs w:val="28"/>
                <w:lang w:eastAsia="lv-LV"/>
              </w:rPr>
            </w:pPr>
            <w:r>
              <w:t>6</w:t>
            </w:r>
            <w:r w:rsidR="00253FDD">
              <w:t>8</w:t>
            </w:r>
            <w:r>
              <w:t>,</w:t>
            </w:r>
            <w:r w:rsidR="00253FDD">
              <w:t>0</w:t>
            </w:r>
            <w:r>
              <w:t>80</w:t>
            </w:r>
          </w:p>
        </w:tc>
        <w:tc>
          <w:tcPr>
            <w:tcW w:w="992" w:type="dxa"/>
            <w:shd w:val="clear" w:color="auto" w:fill="auto"/>
            <w:vAlign w:val="center"/>
          </w:tcPr>
          <w:p w14:paraId="2DE51366" w14:textId="77777777" w:rsidR="00F406C8" w:rsidRDefault="007E79F0" w:rsidP="00253FDD">
            <w:pPr>
              <w:spacing w:after="0" w:line="240" w:lineRule="auto"/>
              <w:jc w:val="center"/>
              <w:rPr>
                <w:rFonts w:eastAsia="Times New Roman" w:cs="Times New Roman"/>
                <w:color w:val="000000"/>
                <w:szCs w:val="28"/>
                <w:lang w:eastAsia="lv-LV"/>
              </w:rPr>
            </w:pPr>
            <w:r>
              <w:t>7</w:t>
            </w:r>
            <w:r w:rsidR="00253FDD">
              <w:t>2</w:t>
            </w:r>
            <w:r>
              <w:t>,</w:t>
            </w:r>
            <w:r w:rsidR="00253FDD">
              <w:t>8</w:t>
            </w:r>
            <w:r>
              <w:t>53</w:t>
            </w:r>
          </w:p>
        </w:tc>
        <w:tc>
          <w:tcPr>
            <w:tcW w:w="993" w:type="dxa"/>
            <w:shd w:val="clear" w:color="auto" w:fill="auto"/>
            <w:vAlign w:val="center"/>
          </w:tcPr>
          <w:p w14:paraId="48260240" w14:textId="77777777" w:rsidR="00F406C8" w:rsidRDefault="007E79F0" w:rsidP="007E79F0">
            <w:pPr>
              <w:spacing w:after="0" w:line="240" w:lineRule="auto"/>
              <w:jc w:val="center"/>
              <w:rPr>
                <w:rFonts w:eastAsia="Times New Roman" w:cs="Times New Roman"/>
                <w:color w:val="000000"/>
                <w:szCs w:val="28"/>
                <w:lang w:eastAsia="lv-LV"/>
              </w:rPr>
            </w:pPr>
            <w:r>
              <w:t>78,323</w:t>
            </w:r>
          </w:p>
        </w:tc>
        <w:tc>
          <w:tcPr>
            <w:tcW w:w="993" w:type="dxa"/>
            <w:vAlign w:val="center"/>
          </w:tcPr>
          <w:p w14:paraId="7531350D" w14:textId="77777777" w:rsidR="00F406C8" w:rsidRDefault="00253FDD" w:rsidP="00253FDD">
            <w:pPr>
              <w:spacing w:after="0" w:line="240" w:lineRule="auto"/>
              <w:jc w:val="center"/>
              <w:rPr>
                <w:rFonts w:eastAsia="Times New Roman" w:cs="Times New Roman"/>
                <w:color w:val="000000"/>
                <w:szCs w:val="28"/>
                <w:lang w:eastAsia="lv-LV"/>
              </w:rPr>
            </w:pPr>
            <w:r>
              <w:t>79,113</w:t>
            </w:r>
          </w:p>
        </w:tc>
      </w:tr>
      <w:tr w:rsidR="007868AB" w:rsidRPr="00AC5FC4" w14:paraId="4E0FAC10" w14:textId="77777777" w:rsidTr="00F0429A">
        <w:trPr>
          <w:trHeight w:val="271"/>
          <w:jc w:val="center"/>
        </w:trPr>
        <w:tc>
          <w:tcPr>
            <w:tcW w:w="3539" w:type="dxa"/>
            <w:shd w:val="clear" w:color="auto" w:fill="auto"/>
            <w:vAlign w:val="center"/>
          </w:tcPr>
          <w:p w14:paraId="09FD6078" w14:textId="77777777" w:rsidR="007868AB" w:rsidRDefault="00F406C8" w:rsidP="00F406C8">
            <w:pPr>
              <w:spacing w:after="0" w:line="240" w:lineRule="auto"/>
              <w:jc w:val="center"/>
              <w:rPr>
                <w:rFonts w:eastAsia="Times New Roman" w:cs="Times New Roman"/>
                <w:color w:val="000000"/>
                <w:szCs w:val="28"/>
                <w:lang w:eastAsia="lv-LV"/>
              </w:rPr>
            </w:pPr>
            <w:r w:rsidRPr="00F406C8">
              <w:rPr>
                <w:rFonts w:eastAsia="Times New Roman" w:cs="Times New Roman"/>
                <w:color w:val="000000"/>
                <w:szCs w:val="28"/>
                <w:lang w:eastAsia="lv-LV"/>
              </w:rPr>
              <w:t>OIK dotācija energoietilpīgo uzņēmumu atbalstam</w:t>
            </w:r>
            <w:r>
              <w:rPr>
                <w:rFonts w:eastAsia="Times New Roman" w:cs="Times New Roman"/>
                <w:color w:val="000000"/>
                <w:szCs w:val="28"/>
                <w:lang w:eastAsia="lv-LV"/>
              </w:rPr>
              <w:t>, milj. EUR</w:t>
            </w:r>
          </w:p>
        </w:tc>
        <w:tc>
          <w:tcPr>
            <w:tcW w:w="1134" w:type="dxa"/>
            <w:shd w:val="clear" w:color="auto" w:fill="auto"/>
            <w:vAlign w:val="center"/>
          </w:tcPr>
          <w:p w14:paraId="586A95F6" w14:textId="77777777" w:rsidR="007868AB" w:rsidRPr="004E7A07" w:rsidRDefault="00F406C8"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0</w:t>
            </w:r>
          </w:p>
        </w:tc>
        <w:tc>
          <w:tcPr>
            <w:tcW w:w="1134" w:type="dxa"/>
            <w:shd w:val="clear" w:color="auto" w:fill="auto"/>
            <w:vAlign w:val="center"/>
          </w:tcPr>
          <w:p w14:paraId="0C07EB51" w14:textId="77777777" w:rsidR="007868AB" w:rsidRPr="007868AB" w:rsidRDefault="00F406C8"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3,5</w:t>
            </w:r>
          </w:p>
        </w:tc>
        <w:tc>
          <w:tcPr>
            <w:tcW w:w="992" w:type="dxa"/>
            <w:shd w:val="clear" w:color="auto" w:fill="auto"/>
            <w:vAlign w:val="center"/>
          </w:tcPr>
          <w:p w14:paraId="26DB39F3" w14:textId="77777777" w:rsidR="007868AB" w:rsidRDefault="00F406C8"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w:t>
            </w:r>
          </w:p>
        </w:tc>
        <w:tc>
          <w:tcPr>
            <w:tcW w:w="993" w:type="dxa"/>
            <w:shd w:val="clear" w:color="auto" w:fill="auto"/>
            <w:vAlign w:val="center"/>
          </w:tcPr>
          <w:p w14:paraId="434AE99B" w14:textId="77777777" w:rsidR="007868AB" w:rsidRDefault="00F406C8"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3,5</w:t>
            </w:r>
          </w:p>
        </w:tc>
        <w:tc>
          <w:tcPr>
            <w:tcW w:w="993" w:type="dxa"/>
            <w:vAlign w:val="center"/>
          </w:tcPr>
          <w:p w14:paraId="2BF0C058" w14:textId="77777777" w:rsidR="007868AB" w:rsidRDefault="00F406C8"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3,5</w:t>
            </w:r>
          </w:p>
        </w:tc>
      </w:tr>
      <w:tr w:rsidR="006A1F2B" w:rsidRPr="00AC5FC4" w14:paraId="386C63C3" w14:textId="77777777" w:rsidTr="00F0429A">
        <w:trPr>
          <w:trHeight w:val="271"/>
          <w:jc w:val="center"/>
        </w:trPr>
        <w:tc>
          <w:tcPr>
            <w:tcW w:w="3539" w:type="dxa"/>
            <w:shd w:val="clear" w:color="auto" w:fill="auto"/>
            <w:vAlign w:val="center"/>
          </w:tcPr>
          <w:p w14:paraId="4A48AF37" w14:textId="77777777" w:rsidR="006A1F2B" w:rsidRDefault="006A1F2B" w:rsidP="00F406C8">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Atbalsts aizsargātajiem lietotājiem</w:t>
            </w:r>
          </w:p>
          <w:p w14:paraId="61769CCE" w14:textId="77777777" w:rsidR="006A1F2B" w:rsidRPr="00F406C8" w:rsidRDefault="006A1F2B" w:rsidP="00F406C8">
            <w:pPr>
              <w:spacing w:after="0" w:line="240" w:lineRule="auto"/>
              <w:jc w:val="center"/>
              <w:rPr>
                <w:rFonts w:eastAsia="Times New Roman" w:cs="Times New Roman"/>
                <w:color w:val="000000"/>
                <w:szCs w:val="28"/>
                <w:lang w:eastAsia="lv-LV"/>
              </w:rPr>
            </w:pPr>
          </w:p>
        </w:tc>
        <w:tc>
          <w:tcPr>
            <w:tcW w:w="1134" w:type="dxa"/>
            <w:shd w:val="clear" w:color="auto" w:fill="auto"/>
            <w:vAlign w:val="center"/>
          </w:tcPr>
          <w:p w14:paraId="1E6A8426" w14:textId="77777777" w:rsidR="006A1F2B" w:rsidRDefault="006A1F2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6,017</w:t>
            </w:r>
          </w:p>
        </w:tc>
        <w:tc>
          <w:tcPr>
            <w:tcW w:w="1134" w:type="dxa"/>
            <w:shd w:val="clear" w:color="auto" w:fill="auto"/>
            <w:vAlign w:val="center"/>
          </w:tcPr>
          <w:p w14:paraId="775C5C33" w14:textId="77777777" w:rsidR="006A1F2B" w:rsidRDefault="006A1F2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7,226</w:t>
            </w:r>
          </w:p>
        </w:tc>
        <w:tc>
          <w:tcPr>
            <w:tcW w:w="992" w:type="dxa"/>
            <w:shd w:val="clear" w:color="auto" w:fill="auto"/>
            <w:vAlign w:val="center"/>
          </w:tcPr>
          <w:p w14:paraId="2D4A0BC9" w14:textId="77777777" w:rsidR="006A1F2B" w:rsidRDefault="006A1F2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7,419</w:t>
            </w:r>
          </w:p>
        </w:tc>
        <w:tc>
          <w:tcPr>
            <w:tcW w:w="993" w:type="dxa"/>
            <w:shd w:val="clear" w:color="auto" w:fill="auto"/>
            <w:vAlign w:val="center"/>
          </w:tcPr>
          <w:p w14:paraId="0CB2F038" w14:textId="77777777" w:rsidR="006A1F2B" w:rsidRDefault="006A1F2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7,419</w:t>
            </w:r>
          </w:p>
        </w:tc>
        <w:tc>
          <w:tcPr>
            <w:tcW w:w="993" w:type="dxa"/>
            <w:vAlign w:val="center"/>
          </w:tcPr>
          <w:p w14:paraId="47B651C9" w14:textId="77777777" w:rsidR="006A1F2B" w:rsidRDefault="006A1F2B" w:rsidP="007868AB">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7,419</w:t>
            </w:r>
          </w:p>
        </w:tc>
      </w:tr>
      <w:tr w:rsidR="00200644" w:rsidRPr="00AC5FC4" w14:paraId="437B5172" w14:textId="77777777" w:rsidTr="00F0429A">
        <w:trPr>
          <w:trHeight w:val="271"/>
          <w:jc w:val="center"/>
        </w:trPr>
        <w:tc>
          <w:tcPr>
            <w:tcW w:w="3539" w:type="dxa"/>
            <w:shd w:val="clear" w:color="auto" w:fill="auto"/>
            <w:vAlign w:val="center"/>
          </w:tcPr>
          <w:p w14:paraId="313BFE37" w14:textId="77777777" w:rsidR="00200644" w:rsidRPr="00F406C8" w:rsidRDefault="00200644" w:rsidP="0020064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Budžeta izdevumu samazinājums, salīdzinot ar OIK nediferencēšanas scenāriju, milj.. EUR</w:t>
            </w:r>
          </w:p>
        </w:tc>
        <w:tc>
          <w:tcPr>
            <w:tcW w:w="1134" w:type="dxa"/>
            <w:shd w:val="clear" w:color="auto" w:fill="auto"/>
            <w:vAlign w:val="center"/>
          </w:tcPr>
          <w:p w14:paraId="65945DAB" w14:textId="77777777" w:rsidR="00200644" w:rsidRPr="00E34206" w:rsidRDefault="00E34206" w:rsidP="00200644">
            <w:pPr>
              <w:spacing w:after="0" w:line="240" w:lineRule="auto"/>
              <w:jc w:val="center"/>
              <w:rPr>
                <w:rFonts w:eastAsia="Times New Roman" w:cs="Times New Roman"/>
                <w:i/>
                <w:color w:val="000000"/>
                <w:szCs w:val="28"/>
                <w:lang w:eastAsia="lv-LV"/>
              </w:rPr>
            </w:pPr>
            <w:r w:rsidRPr="00E34206">
              <w:rPr>
                <w:rFonts w:eastAsia="Times New Roman" w:cs="Times New Roman"/>
                <w:i/>
                <w:color w:val="000000"/>
                <w:szCs w:val="28"/>
                <w:lang w:eastAsia="lv-LV"/>
              </w:rPr>
              <w:t>NA</w:t>
            </w:r>
          </w:p>
        </w:tc>
        <w:tc>
          <w:tcPr>
            <w:tcW w:w="1134" w:type="dxa"/>
            <w:shd w:val="clear" w:color="auto" w:fill="auto"/>
            <w:vAlign w:val="center"/>
          </w:tcPr>
          <w:p w14:paraId="07DA5339" w14:textId="77777777" w:rsidR="00200644" w:rsidRDefault="006A1F2B" w:rsidP="0020064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-0,571</w:t>
            </w:r>
          </w:p>
          <w:p w14:paraId="5DB76CF9" w14:textId="77777777" w:rsidR="00F0429A" w:rsidRPr="00F0429A" w:rsidRDefault="00F0429A" w:rsidP="00200644">
            <w:pPr>
              <w:spacing w:after="0" w:line="240" w:lineRule="auto"/>
              <w:jc w:val="center"/>
              <w:rPr>
                <w:rFonts w:eastAsia="Times New Roman" w:cs="Times New Roman"/>
                <w:i/>
                <w:color w:val="000000"/>
                <w:szCs w:val="28"/>
                <w:lang w:eastAsia="lv-LV"/>
              </w:rPr>
            </w:pPr>
            <w:r w:rsidRPr="00F0429A">
              <w:rPr>
                <w:rFonts w:eastAsia="Times New Roman" w:cs="Times New Roman"/>
                <w:i/>
                <w:color w:val="000000"/>
                <w:sz w:val="16"/>
                <w:szCs w:val="28"/>
                <w:lang w:eastAsia="lv-LV"/>
              </w:rPr>
              <w:t>(pieaugums)</w:t>
            </w:r>
          </w:p>
        </w:tc>
        <w:tc>
          <w:tcPr>
            <w:tcW w:w="992" w:type="dxa"/>
            <w:shd w:val="clear" w:color="auto" w:fill="auto"/>
            <w:vAlign w:val="center"/>
          </w:tcPr>
          <w:p w14:paraId="60DC804B" w14:textId="77777777" w:rsidR="00200644" w:rsidRDefault="00200644" w:rsidP="00F0429A">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1,</w:t>
            </w:r>
            <w:r w:rsidR="00F0429A">
              <w:rPr>
                <w:rFonts w:eastAsia="Times New Roman" w:cs="Times New Roman"/>
                <w:color w:val="000000"/>
                <w:szCs w:val="28"/>
                <w:lang w:eastAsia="lv-LV"/>
              </w:rPr>
              <w:t>110</w:t>
            </w:r>
            <w:r>
              <w:rPr>
                <w:rFonts w:eastAsia="Times New Roman" w:cs="Times New Roman"/>
                <w:color w:val="000000"/>
                <w:szCs w:val="28"/>
                <w:lang w:eastAsia="lv-LV"/>
              </w:rPr>
              <w:t> </w:t>
            </w:r>
          </w:p>
        </w:tc>
        <w:tc>
          <w:tcPr>
            <w:tcW w:w="993" w:type="dxa"/>
            <w:shd w:val="clear" w:color="auto" w:fill="auto"/>
            <w:vAlign w:val="center"/>
          </w:tcPr>
          <w:p w14:paraId="0632B669" w14:textId="77777777" w:rsidR="00200644" w:rsidRDefault="00200644" w:rsidP="00F0429A">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8</w:t>
            </w:r>
            <w:r w:rsidR="00F0429A">
              <w:rPr>
                <w:rFonts w:eastAsia="Times New Roman" w:cs="Times New Roman"/>
                <w:color w:val="000000"/>
                <w:szCs w:val="28"/>
                <w:lang w:eastAsia="lv-LV"/>
              </w:rPr>
              <w:t>,142</w:t>
            </w:r>
          </w:p>
        </w:tc>
        <w:tc>
          <w:tcPr>
            <w:tcW w:w="993" w:type="dxa"/>
            <w:vAlign w:val="center"/>
          </w:tcPr>
          <w:p w14:paraId="628C829B" w14:textId="77777777" w:rsidR="00200644" w:rsidRDefault="006A1F2B" w:rsidP="00200644">
            <w:pPr>
              <w:spacing w:after="0" w:line="240" w:lineRule="auto"/>
              <w:jc w:val="center"/>
              <w:rPr>
                <w:rFonts w:eastAsia="Times New Roman" w:cs="Times New Roman"/>
                <w:color w:val="000000"/>
                <w:szCs w:val="28"/>
                <w:lang w:eastAsia="lv-LV"/>
              </w:rPr>
            </w:pPr>
            <w:r>
              <w:rPr>
                <w:rFonts w:eastAsia="Times New Roman" w:cs="Times New Roman"/>
                <w:color w:val="000000"/>
                <w:szCs w:val="28"/>
                <w:lang w:eastAsia="lv-LV"/>
              </w:rPr>
              <w:t>10,761</w:t>
            </w:r>
          </w:p>
        </w:tc>
      </w:tr>
    </w:tbl>
    <w:p w14:paraId="6CF053C9" w14:textId="77777777" w:rsidR="00F406C8" w:rsidRPr="00491FF1" w:rsidRDefault="00F406C8" w:rsidP="00F406C8">
      <w:pPr>
        <w:pStyle w:val="Caption"/>
        <w:keepNext/>
        <w:jc w:val="left"/>
        <w:rPr>
          <w:rFonts w:ascii="Times New Roman" w:hAnsi="Times New Roman"/>
          <w:b w:val="0"/>
          <w:sz w:val="20"/>
          <w:szCs w:val="24"/>
        </w:rPr>
      </w:pPr>
      <w:r w:rsidRPr="00491FF1">
        <w:rPr>
          <w:rFonts w:ascii="Times New Roman" w:hAnsi="Times New Roman"/>
          <w:b w:val="0"/>
          <w:bCs w:val="0"/>
          <w:sz w:val="22"/>
          <w:szCs w:val="24"/>
        </w:rPr>
        <w:t xml:space="preserve">     </w:t>
      </w:r>
      <w:r w:rsidRPr="00491FF1">
        <w:rPr>
          <w:rFonts w:ascii="Times New Roman" w:hAnsi="Times New Roman"/>
          <w:b w:val="0"/>
          <w:bCs w:val="0"/>
          <w:sz w:val="20"/>
          <w:szCs w:val="24"/>
        </w:rPr>
        <w:t xml:space="preserve">  *</w:t>
      </w:r>
      <w:r w:rsidRPr="00491FF1">
        <w:rPr>
          <w:rFonts w:ascii="Times New Roman" w:hAnsi="Times New Roman"/>
          <w:b w:val="0"/>
          <w:sz w:val="20"/>
          <w:szCs w:val="24"/>
        </w:rPr>
        <w:t xml:space="preserve"> faktiskā vērtība</w:t>
      </w:r>
    </w:p>
    <w:p w14:paraId="5ACB29E6" w14:textId="77777777" w:rsidR="007E79F0" w:rsidRPr="0048150D" w:rsidRDefault="007E79F0" w:rsidP="00B32775"/>
    <w:p w14:paraId="3F133B57" w14:textId="77777777" w:rsidR="00B32775" w:rsidRDefault="00B32775" w:rsidP="00D444AF">
      <w:pPr>
        <w:spacing w:after="0" w:line="240" w:lineRule="auto"/>
        <w:ind w:firstLine="851"/>
        <w:rPr>
          <w:sz w:val="28"/>
        </w:rPr>
      </w:pPr>
    </w:p>
    <w:p w14:paraId="5FD849D3" w14:textId="77777777" w:rsidR="008932D4" w:rsidRDefault="008932D4" w:rsidP="00D304FA">
      <w:pPr>
        <w:pStyle w:val="Heading1"/>
        <w:numPr>
          <w:ilvl w:val="0"/>
          <w:numId w:val="1"/>
        </w:numPr>
        <w:spacing w:after="120" w:line="276" w:lineRule="auto"/>
        <w:ind w:left="357" w:hanging="357"/>
        <w:sectPr w:rsidR="008932D4" w:rsidSect="00707E6B">
          <w:footerReference w:type="default" r:id="rId18"/>
          <w:pgSz w:w="11906" w:h="16838"/>
          <w:pgMar w:top="1440" w:right="1800" w:bottom="1440" w:left="1800" w:header="708" w:footer="708" w:gutter="0"/>
          <w:cols w:space="708"/>
          <w:titlePg/>
          <w:docGrid w:linePitch="360"/>
        </w:sectPr>
      </w:pPr>
    </w:p>
    <w:p w14:paraId="07951FF6" w14:textId="77777777" w:rsidR="00D304FA" w:rsidRPr="00D304FA" w:rsidRDefault="00D304FA" w:rsidP="00D304FA">
      <w:pPr>
        <w:pStyle w:val="Heading1"/>
        <w:numPr>
          <w:ilvl w:val="0"/>
          <w:numId w:val="1"/>
        </w:numPr>
        <w:spacing w:after="120" w:line="276" w:lineRule="auto"/>
        <w:ind w:left="357" w:hanging="357"/>
      </w:pPr>
      <w:bookmarkStart w:id="23" w:name="_Toc459890626"/>
      <w:r>
        <w:lastRenderedPageBreak/>
        <w:t>Risinājumi</w:t>
      </w:r>
      <w:bookmarkEnd w:id="23"/>
    </w:p>
    <w:p w14:paraId="7EF7E0F4" w14:textId="77777777" w:rsidR="00C01038" w:rsidRDefault="00EA54B1" w:rsidP="0072659E">
      <w:pPr>
        <w:pStyle w:val="Heading2"/>
        <w:spacing w:before="0" w:after="120" w:line="240" w:lineRule="auto"/>
        <w:rPr>
          <w:rFonts w:ascii="Times New Roman" w:hAnsi="Times New Roman" w:cs="Times New Roman"/>
          <w:b/>
          <w:color w:val="auto"/>
          <w:sz w:val="32"/>
          <w:szCs w:val="28"/>
        </w:rPr>
      </w:pPr>
      <w:bookmarkStart w:id="24" w:name="_Toc459890627"/>
      <w:r w:rsidRPr="0002670F">
        <w:rPr>
          <w:rFonts w:ascii="Times New Roman" w:hAnsi="Times New Roman" w:cs="Times New Roman"/>
          <w:b/>
          <w:color w:val="auto"/>
          <w:sz w:val="32"/>
          <w:szCs w:val="28"/>
        </w:rPr>
        <w:t>1</w:t>
      </w:r>
      <w:r w:rsidR="00C01038" w:rsidRPr="0002670F">
        <w:rPr>
          <w:rFonts w:ascii="Times New Roman" w:hAnsi="Times New Roman" w:cs="Times New Roman"/>
          <w:b/>
          <w:color w:val="auto"/>
          <w:sz w:val="32"/>
          <w:szCs w:val="28"/>
        </w:rPr>
        <w:t>.risinājums</w:t>
      </w:r>
      <w:bookmarkEnd w:id="24"/>
    </w:p>
    <w:p w14:paraId="067DE083" w14:textId="77777777" w:rsidR="00EA54B1" w:rsidRPr="00D066BD" w:rsidRDefault="00C01038" w:rsidP="0072659E">
      <w:pPr>
        <w:spacing w:after="0"/>
        <w:ind w:firstLine="851"/>
        <w:rPr>
          <w:sz w:val="28"/>
          <w:szCs w:val="28"/>
        </w:rPr>
      </w:pPr>
      <w:r w:rsidRPr="00D066BD">
        <w:rPr>
          <w:sz w:val="28"/>
          <w:szCs w:val="28"/>
        </w:rPr>
        <w:t>Šis risinājums paredz, ka 2019.</w:t>
      </w:r>
      <w:r w:rsidR="00600CD4" w:rsidRPr="00D066BD">
        <w:rPr>
          <w:sz w:val="28"/>
          <w:szCs w:val="28"/>
        </w:rPr>
        <w:t> </w:t>
      </w:r>
      <w:r w:rsidRPr="00D066BD">
        <w:rPr>
          <w:sz w:val="28"/>
          <w:szCs w:val="28"/>
        </w:rPr>
        <w:t>gada budžetā netiek paredzēti līdzekļi valsts budžeta dotācijai, lai nodrošinātu OIK līmeņa noturēšanu 26</w:t>
      </w:r>
      <w:r w:rsidR="00600CD4" w:rsidRPr="00D066BD">
        <w:rPr>
          <w:sz w:val="28"/>
          <w:szCs w:val="28"/>
        </w:rPr>
        <w:t>,</w:t>
      </w:r>
      <w:r w:rsidRPr="00D066BD">
        <w:rPr>
          <w:sz w:val="28"/>
          <w:szCs w:val="28"/>
        </w:rPr>
        <w:t>79EUR/</w:t>
      </w:r>
      <w:proofErr w:type="spellStart"/>
      <w:r w:rsidRPr="00D066BD">
        <w:rPr>
          <w:sz w:val="28"/>
          <w:szCs w:val="28"/>
        </w:rPr>
        <w:t>MWh</w:t>
      </w:r>
      <w:proofErr w:type="spellEnd"/>
      <w:r w:rsidRPr="00D066BD">
        <w:rPr>
          <w:sz w:val="28"/>
          <w:szCs w:val="28"/>
        </w:rPr>
        <w:t xml:space="preserve"> līmenī. Šādā gadījumā valsts budžets saglabā iespējas gūt papildus ieņēmumus no Elektroenerģijas nodokļa atlaižu izmaiņām </w:t>
      </w:r>
      <w:r w:rsidR="00106772" w:rsidRPr="00D066BD">
        <w:rPr>
          <w:sz w:val="28"/>
          <w:szCs w:val="28"/>
        </w:rPr>
        <w:t xml:space="preserve">4,7milj.euro apmērā, kā arī novirzīt AS “Latvenergo” dividendes gandrīz 82 milj. </w:t>
      </w:r>
      <w:proofErr w:type="spellStart"/>
      <w:r w:rsidR="00106772" w:rsidRPr="00D066BD">
        <w:rPr>
          <w:sz w:val="28"/>
          <w:szCs w:val="28"/>
        </w:rPr>
        <w:t>euro</w:t>
      </w:r>
      <w:proofErr w:type="spellEnd"/>
      <w:r w:rsidR="00106772" w:rsidRPr="00D066BD">
        <w:rPr>
          <w:sz w:val="28"/>
          <w:szCs w:val="28"/>
        </w:rPr>
        <w:t xml:space="preserve"> citu politikas mērķu īstenošanai. Šajā gadījumā </w:t>
      </w:r>
      <w:r w:rsidR="00EA54B1" w:rsidRPr="00D066BD">
        <w:rPr>
          <w:sz w:val="28"/>
          <w:szCs w:val="28"/>
        </w:rPr>
        <w:t xml:space="preserve">no 2019. gada 1. aprīļa </w:t>
      </w:r>
      <w:r w:rsidR="00106772" w:rsidRPr="00D066BD">
        <w:rPr>
          <w:sz w:val="28"/>
          <w:szCs w:val="28"/>
        </w:rPr>
        <w:t xml:space="preserve">OIK līmenis būtu </w:t>
      </w:r>
      <w:r w:rsidR="00EA54B1" w:rsidRPr="00D066BD">
        <w:rPr>
          <w:sz w:val="28"/>
          <w:szCs w:val="28"/>
        </w:rPr>
        <w:t xml:space="preserve">40,43 </w:t>
      </w:r>
      <w:r w:rsidR="00106772" w:rsidRPr="00D066BD">
        <w:rPr>
          <w:sz w:val="28"/>
          <w:szCs w:val="28"/>
        </w:rPr>
        <w:t>EUR/</w:t>
      </w:r>
      <w:proofErr w:type="spellStart"/>
      <w:r w:rsidR="00106772" w:rsidRPr="00D066BD">
        <w:rPr>
          <w:sz w:val="28"/>
          <w:szCs w:val="28"/>
        </w:rPr>
        <w:t>MWh</w:t>
      </w:r>
      <w:proofErr w:type="spellEnd"/>
      <w:r w:rsidR="00106772" w:rsidRPr="00D066BD">
        <w:rPr>
          <w:sz w:val="28"/>
          <w:szCs w:val="28"/>
        </w:rPr>
        <w:t>.</w:t>
      </w:r>
      <w:r w:rsidR="00EA54B1" w:rsidRPr="00D066BD">
        <w:rPr>
          <w:sz w:val="28"/>
          <w:szCs w:val="28"/>
        </w:rPr>
        <w:t xml:space="preserve"> </w:t>
      </w:r>
    </w:p>
    <w:p w14:paraId="261ABC69" w14:textId="77777777" w:rsidR="00B12ACB" w:rsidRPr="00D116AC" w:rsidRDefault="00B12ACB" w:rsidP="0072659E">
      <w:pPr>
        <w:pStyle w:val="Caption"/>
        <w:keepNext/>
        <w:spacing w:after="0"/>
        <w:jc w:val="right"/>
        <w:rPr>
          <w:rFonts w:ascii="Times New Roman" w:hAnsi="Times New Roman"/>
          <w:sz w:val="24"/>
          <w:szCs w:val="24"/>
        </w:rPr>
      </w:pPr>
      <w:r>
        <w:rPr>
          <w:rFonts w:ascii="Times New Roman" w:hAnsi="Times New Roman"/>
          <w:sz w:val="24"/>
          <w:szCs w:val="24"/>
        </w:rPr>
        <w:t>13</w:t>
      </w:r>
      <w:r w:rsidRPr="00D116AC">
        <w:rPr>
          <w:rFonts w:ascii="Times New Roman" w:hAnsi="Times New Roman"/>
          <w:sz w:val="24"/>
          <w:szCs w:val="24"/>
        </w:rPr>
        <w:t>.tabula</w:t>
      </w:r>
    </w:p>
    <w:p w14:paraId="6ABAD22C" w14:textId="77777777" w:rsidR="00B12ACB" w:rsidRPr="009E280D" w:rsidRDefault="00B12ACB" w:rsidP="00B12ACB">
      <w:pPr>
        <w:pStyle w:val="Caption"/>
        <w:keepNext/>
        <w:keepLines/>
        <w:widowControl/>
        <w:jc w:val="center"/>
        <w:rPr>
          <w:rFonts w:ascii="Times New Roman" w:hAnsi="Times New Roman"/>
          <w:sz w:val="24"/>
          <w:szCs w:val="24"/>
        </w:rPr>
      </w:pPr>
      <w:r w:rsidRPr="008932D4">
        <w:rPr>
          <w:rFonts w:ascii="Times New Roman" w:hAnsi="Times New Roman"/>
          <w:sz w:val="24"/>
          <w:szCs w:val="24"/>
        </w:rPr>
        <w:t>1. risinājuma ietekme uz valsts budžetu</w:t>
      </w:r>
      <w:r>
        <w:rPr>
          <w:rFonts w:ascii="Times New Roman" w:hAnsi="Times New Roman"/>
          <w:sz w:val="24"/>
          <w:szCs w:val="24"/>
        </w:rPr>
        <w:t>, EUR</w:t>
      </w: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76"/>
        <w:gridCol w:w="1276"/>
        <w:gridCol w:w="1242"/>
        <w:gridCol w:w="1242"/>
        <w:gridCol w:w="1354"/>
        <w:gridCol w:w="1284"/>
        <w:gridCol w:w="1276"/>
        <w:gridCol w:w="1150"/>
      </w:tblGrid>
      <w:tr w:rsidR="00B12ACB" w:rsidRPr="008932D4" w14:paraId="4315F44E" w14:textId="77777777" w:rsidTr="0068316B">
        <w:trPr>
          <w:trHeight w:val="288"/>
        </w:trPr>
        <w:tc>
          <w:tcPr>
            <w:tcW w:w="4390" w:type="dxa"/>
            <w:shd w:val="clear" w:color="auto" w:fill="auto"/>
            <w:noWrap/>
            <w:vAlign w:val="center"/>
            <w:hideMark/>
          </w:tcPr>
          <w:p w14:paraId="1C1DCD82" w14:textId="77777777" w:rsidR="00B12ACB" w:rsidRPr="008932D4" w:rsidRDefault="00B12ACB" w:rsidP="0068316B">
            <w:pPr>
              <w:spacing w:after="0" w:line="240" w:lineRule="auto"/>
              <w:ind w:firstLine="34"/>
              <w:jc w:val="center"/>
              <w:rPr>
                <w:rFonts w:cs="Times New Roman"/>
                <w:b/>
                <w:bCs/>
                <w:sz w:val="20"/>
                <w:szCs w:val="20"/>
              </w:rPr>
            </w:pPr>
          </w:p>
        </w:tc>
        <w:tc>
          <w:tcPr>
            <w:tcW w:w="2552" w:type="dxa"/>
            <w:gridSpan w:val="2"/>
            <w:shd w:val="clear" w:color="auto" w:fill="auto"/>
            <w:noWrap/>
            <w:vAlign w:val="center"/>
            <w:hideMark/>
          </w:tcPr>
          <w:p w14:paraId="3E61C0CE"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2016</w:t>
            </w:r>
          </w:p>
        </w:tc>
        <w:tc>
          <w:tcPr>
            <w:tcW w:w="2484" w:type="dxa"/>
            <w:gridSpan w:val="2"/>
            <w:shd w:val="clear" w:color="auto" w:fill="auto"/>
            <w:noWrap/>
            <w:vAlign w:val="center"/>
            <w:hideMark/>
          </w:tcPr>
          <w:p w14:paraId="472E6ABD"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2017</w:t>
            </w:r>
          </w:p>
        </w:tc>
        <w:tc>
          <w:tcPr>
            <w:tcW w:w="2638" w:type="dxa"/>
            <w:gridSpan w:val="2"/>
            <w:shd w:val="clear" w:color="auto" w:fill="auto"/>
            <w:noWrap/>
            <w:vAlign w:val="center"/>
            <w:hideMark/>
          </w:tcPr>
          <w:p w14:paraId="5AC1AE93" w14:textId="77777777" w:rsidR="00B12ACB" w:rsidRPr="008932D4" w:rsidRDefault="00B12ACB" w:rsidP="0068316B">
            <w:pPr>
              <w:spacing w:after="0" w:line="240" w:lineRule="auto"/>
              <w:ind w:firstLine="34"/>
              <w:jc w:val="center"/>
              <w:rPr>
                <w:rFonts w:cs="Times New Roman"/>
                <w:b/>
                <w:bCs/>
                <w:sz w:val="20"/>
                <w:szCs w:val="20"/>
              </w:rPr>
            </w:pPr>
            <w:r>
              <w:rPr>
                <w:rFonts w:cs="Times New Roman"/>
                <w:b/>
                <w:bCs/>
                <w:sz w:val="20"/>
                <w:szCs w:val="20"/>
              </w:rPr>
              <w:t>2</w:t>
            </w:r>
            <w:r w:rsidRPr="008932D4">
              <w:rPr>
                <w:rFonts w:cs="Times New Roman"/>
                <w:b/>
                <w:bCs/>
                <w:sz w:val="20"/>
                <w:szCs w:val="20"/>
              </w:rPr>
              <w:t>018</w:t>
            </w:r>
          </w:p>
        </w:tc>
        <w:tc>
          <w:tcPr>
            <w:tcW w:w="1276" w:type="dxa"/>
            <w:shd w:val="clear" w:color="auto" w:fill="auto"/>
            <w:vAlign w:val="center"/>
          </w:tcPr>
          <w:p w14:paraId="5353160B" w14:textId="77777777" w:rsidR="00B12ACB" w:rsidRPr="008932D4" w:rsidRDefault="00B12ACB" w:rsidP="0068316B">
            <w:pPr>
              <w:spacing w:after="0" w:line="240" w:lineRule="auto"/>
              <w:ind w:firstLine="34"/>
              <w:jc w:val="center"/>
              <w:rPr>
                <w:rFonts w:cs="Times New Roman"/>
                <w:b/>
                <w:bCs/>
                <w:sz w:val="20"/>
                <w:szCs w:val="20"/>
              </w:rPr>
            </w:pPr>
            <w:r>
              <w:rPr>
                <w:rFonts w:cs="Times New Roman"/>
                <w:b/>
                <w:bCs/>
                <w:sz w:val="20"/>
                <w:szCs w:val="20"/>
              </w:rPr>
              <w:t>2019</w:t>
            </w:r>
          </w:p>
        </w:tc>
        <w:tc>
          <w:tcPr>
            <w:tcW w:w="1150" w:type="dxa"/>
            <w:tcBorders>
              <w:bottom w:val="single" w:sz="4" w:space="0" w:color="auto"/>
            </w:tcBorders>
            <w:vAlign w:val="center"/>
          </w:tcPr>
          <w:p w14:paraId="35817944" w14:textId="77777777" w:rsidR="00B12ACB" w:rsidRDefault="00B12ACB" w:rsidP="0068316B">
            <w:pPr>
              <w:spacing w:after="0" w:line="240" w:lineRule="auto"/>
              <w:ind w:firstLine="34"/>
              <w:jc w:val="center"/>
              <w:rPr>
                <w:rFonts w:cs="Times New Roman"/>
                <w:b/>
                <w:bCs/>
                <w:sz w:val="20"/>
                <w:szCs w:val="20"/>
              </w:rPr>
            </w:pPr>
            <w:r>
              <w:rPr>
                <w:rFonts w:cs="Times New Roman"/>
                <w:b/>
                <w:bCs/>
                <w:sz w:val="20"/>
                <w:szCs w:val="20"/>
              </w:rPr>
              <w:t>2020</w:t>
            </w:r>
          </w:p>
        </w:tc>
      </w:tr>
      <w:tr w:rsidR="00B12ACB" w:rsidRPr="008932D4" w14:paraId="6C16E3B2" w14:textId="77777777" w:rsidTr="0068316B">
        <w:trPr>
          <w:trHeight w:val="288"/>
        </w:trPr>
        <w:tc>
          <w:tcPr>
            <w:tcW w:w="4390" w:type="dxa"/>
            <w:shd w:val="clear" w:color="auto" w:fill="auto"/>
            <w:noWrap/>
            <w:vAlign w:val="center"/>
            <w:hideMark/>
          </w:tcPr>
          <w:p w14:paraId="3C4A1C91" w14:textId="77777777" w:rsidR="00B12ACB" w:rsidRPr="008932D4" w:rsidRDefault="00B12ACB" w:rsidP="0068316B">
            <w:pPr>
              <w:spacing w:after="0" w:line="240" w:lineRule="auto"/>
              <w:ind w:firstLine="34"/>
              <w:jc w:val="center"/>
              <w:rPr>
                <w:rFonts w:cs="Times New Roman"/>
                <w:b/>
                <w:bCs/>
                <w:sz w:val="20"/>
                <w:szCs w:val="20"/>
              </w:rPr>
            </w:pPr>
          </w:p>
        </w:tc>
        <w:tc>
          <w:tcPr>
            <w:tcW w:w="1276" w:type="dxa"/>
            <w:shd w:val="clear" w:color="auto" w:fill="auto"/>
            <w:noWrap/>
            <w:vAlign w:val="center"/>
            <w:hideMark/>
          </w:tcPr>
          <w:p w14:paraId="0236C46A" w14:textId="77777777" w:rsidR="00B12ACB" w:rsidRPr="008932D4" w:rsidRDefault="00B12ACB" w:rsidP="0068316B">
            <w:pPr>
              <w:spacing w:after="0" w:line="240" w:lineRule="auto"/>
              <w:ind w:firstLine="34"/>
              <w:jc w:val="center"/>
              <w:rPr>
                <w:rFonts w:cs="Times New Roman"/>
                <w:b/>
                <w:bCs/>
                <w:sz w:val="20"/>
                <w:szCs w:val="20"/>
              </w:rPr>
            </w:pPr>
            <w:r>
              <w:rPr>
                <w:rFonts w:cs="Times New Roman"/>
                <w:b/>
                <w:bCs/>
                <w:sz w:val="20"/>
                <w:szCs w:val="20"/>
              </w:rPr>
              <w:t>Budžets</w:t>
            </w:r>
          </w:p>
        </w:tc>
        <w:tc>
          <w:tcPr>
            <w:tcW w:w="1276" w:type="dxa"/>
            <w:shd w:val="clear" w:color="auto" w:fill="auto"/>
            <w:noWrap/>
            <w:vAlign w:val="center"/>
            <w:hideMark/>
          </w:tcPr>
          <w:p w14:paraId="0A19D2E7"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42" w:type="dxa"/>
            <w:shd w:val="clear" w:color="auto" w:fill="auto"/>
            <w:noWrap/>
            <w:vAlign w:val="center"/>
            <w:hideMark/>
          </w:tcPr>
          <w:p w14:paraId="1BBCAAD5" w14:textId="77777777" w:rsidR="00B12ACB" w:rsidRPr="008932D4" w:rsidRDefault="00B12ACB" w:rsidP="0068316B">
            <w:pPr>
              <w:spacing w:after="0" w:line="240" w:lineRule="auto"/>
              <w:ind w:firstLine="34"/>
              <w:jc w:val="center"/>
              <w:rPr>
                <w:rFonts w:cs="Times New Roman"/>
                <w:b/>
                <w:bCs/>
                <w:sz w:val="20"/>
                <w:szCs w:val="20"/>
              </w:rPr>
            </w:pPr>
            <w:r>
              <w:rPr>
                <w:rFonts w:cs="Times New Roman"/>
                <w:b/>
                <w:bCs/>
                <w:sz w:val="20"/>
                <w:szCs w:val="20"/>
              </w:rPr>
              <w:t>2015. gada prognoze</w:t>
            </w:r>
          </w:p>
        </w:tc>
        <w:tc>
          <w:tcPr>
            <w:tcW w:w="1242" w:type="dxa"/>
            <w:shd w:val="clear" w:color="auto" w:fill="auto"/>
            <w:noWrap/>
            <w:vAlign w:val="center"/>
            <w:hideMark/>
          </w:tcPr>
          <w:p w14:paraId="2FF27FB8"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354" w:type="dxa"/>
            <w:shd w:val="clear" w:color="auto" w:fill="auto"/>
            <w:noWrap/>
            <w:vAlign w:val="center"/>
            <w:hideMark/>
          </w:tcPr>
          <w:p w14:paraId="051A71FA" w14:textId="77777777" w:rsidR="00B12ACB" w:rsidRPr="008932D4" w:rsidRDefault="00B12ACB" w:rsidP="0068316B">
            <w:pPr>
              <w:spacing w:after="0" w:line="240" w:lineRule="auto"/>
              <w:ind w:firstLine="34"/>
              <w:jc w:val="center"/>
              <w:rPr>
                <w:rFonts w:cs="Times New Roman"/>
                <w:b/>
                <w:bCs/>
                <w:sz w:val="20"/>
                <w:szCs w:val="20"/>
              </w:rPr>
            </w:pPr>
            <w:r>
              <w:rPr>
                <w:rFonts w:cs="Times New Roman"/>
                <w:b/>
                <w:bCs/>
                <w:sz w:val="20"/>
                <w:szCs w:val="20"/>
              </w:rPr>
              <w:t>2015. gada prognoze</w:t>
            </w:r>
          </w:p>
        </w:tc>
        <w:tc>
          <w:tcPr>
            <w:tcW w:w="1284" w:type="dxa"/>
            <w:shd w:val="clear" w:color="auto" w:fill="auto"/>
            <w:noWrap/>
            <w:vAlign w:val="center"/>
            <w:hideMark/>
          </w:tcPr>
          <w:p w14:paraId="62934186"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76" w:type="dxa"/>
            <w:tcBorders>
              <w:bottom w:val="single" w:sz="4" w:space="0" w:color="auto"/>
            </w:tcBorders>
            <w:shd w:val="clear" w:color="auto" w:fill="auto"/>
            <w:noWrap/>
            <w:vAlign w:val="center"/>
            <w:hideMark/>
          </w:tcPr>
          <w:p w14:paraId="46458EA1"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150" w:type="dxa"/>
            <w:tcBorders>
              <w:bottom w:val="single" w:sz="4" w:space="0" w:color="auto"/>
            </w:tcBorders>
            <w:vAlign w:val="center"/>
          </w:tcPr>
          <w:p w14:paraId="757D89A8"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prognoze</w:t>
            </w:r>
          </w:p>
        </w:tc>
      </w:tr>
      <w:tr w:rsidR="00B12ACB" w:rsidRPr="008932D4" w14:paraId="38EAD887" w14:textId="77777777" w:rsidTr="0068316B">
        <w:trPr>
          <w:trHeight w:val="288"/>
        </w:trPr>
        <w:tc>
          <w:tcPr>
            <w:tcW w:w="4390" w:type="dxa"/>
            <w:shd w:val="clear" w:color="auto" w:fill="auto"/>
            <w:noWrap/>
            <w:vAlign w:val="bottom"/>
            <w:hideMark/>
          </w:tcPr>
          <w:p w14:paraId="452A12A2"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Valsts budžeta izdevumi</w:t>
            </w:r>
          </w:p>
        </w:tc>
        <w:tc>
          <w:tcPr>
            <w:tcW w:w="1276" w:type="dxa"/>
            <w:shd w:val="clear" w:color="auto" w:fill="auto"/>
            <w:noWrap/>
            <w:vAlign w:val="center"/>
            <w:hideMark/>
          </w:tcPr>
          <w:p w14:paraId="7A19AB23"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68 624 945</w:t>
            </w:r>
          </w:p>
        </w:tc>
        <w:tc>
          <w:tcPr>
            <w:tcW w:w="1276" w:type="dxa"/>
            <w:shd w:val="clear" w:color="auto" w:fill="auto"/>
            <w:noWrap/>
            <w:vAlign w:val="center"/>
            <w:hideMark/>
          </w:tcPr>
          <w:p w14:paraId="45C75932"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65 206 351</w:t>
            </w:r>
          </w:p>
        </w:tc>
        <w:tc>
          <w:tcPr>
            <w:tcW w:w="1242" w:type="dxa"/>
            <w:shd w:val="clear" w:color="auto" w:fill="auto"/>
            <w:noWrap/>
            <w:vAlign w:val="center"/>
            <w:hideMark/>
          </w:tcPr>
          <w:p w14:paraId="0BB5BA32"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96 652 651</w:t>
            </w:r>
          </w:p>
        </w:tc>
        <w:tc>
          <w:tcPr>
            <w:tcW w:w="1242" w:type="dxa"/>
            <w:shd w:val="clear" w:color="auto" w:fill="auto"/>
            <w:noWrap/>
            <w:vAlign w:val="center"/>
            <w:hideMark/>
          </w:tcPr>
          <w:p w14:paraId="55B4BA46"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78 234 809</w:t>
            </w:r>
          </w:p>
        </w:tc>
        <w:tc>
          <w:tcPr>
            <w:tcW w:w="1354" w:type="dxa"/>
            <w:tcBorders>
              <w:top w:val="single" w:sz="4" w:space="0" w:color="auto"/>
            </w:tcBorders>
            <w:shd w:val="clear" w:color="auto" w:fill="auto"/>
            <w:noWrap/>
            <w:vAlign w:val="center"/>
            <w:hideMark/>
          </w:tcPr>
          <w:p w14:paraId="115AEC6B"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108 995 316</w:t>
            </w:r>
          </w:p>
        </w:tc>
        <w:tc>
          <w:tcPr>
            <w:tcW w:w="1284" w:type="dxa"/>
            <w:tcBorders>
              <w:top w:val="single" w:sz="4" w:space="0" w:color="auto"/>
            </w:tcBorders>
            <w:shd w:val="clear" w:color="auto" w:fill="auto"/>
            <w:noWrap/>
            <w:vAlign w:val="center"/>
            <w:hideMark/>
          </w:tcPr>
          <w:p w14:paraId="682C884E"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88 382 487</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0F760476" w14:textId="77777777" w:rsidR="00B12ACB" w:rsidRPr="00EB6CF6" w:rsidRDefault="007C65E6" w:rsidP="007C65E6">
            <w:pPr>
              <w:spacing w:after="0" w:line="240" w:lineRule="auto"/>
              <w:jc w:val="center"/>
              <w:rPr>
                <w:rFonts w:eastAsia="Times New Roman" w:cs="Times New Roman"/>
                <w:b/>
                <w:bCs/>
                <w:color w:val="000000"/>
                <w:sz w:val="20"/>
                <w:lang w:eastAsia="lv-LV"/>
              </w:rPr>
            </w:pPr>
            <w:r w:rsidRPr="007C65E6">
              <w:rPr>
                <w:rFonts w:cs="Times New Roman"/>
                <w:b/>
                <w:bCs/>
                <w:color w:val="000000"/>
                <w:sz w:val="20"/>
              </w:rPr>
              <w:t>33 185 964</w:t>
            </w:r>
          </w:p>
        </w:tc>
        <w:tc>
          <w:tcPr>
            <w:tcW w:w="1150" w:type="dxa"/>
            <w:tcBorders>
              <w:top w:val="single" w:sz="4" w:space="0" w:color="auto"/>
              <w:left w:val="single" w:sz="4" w:space="0" w:color="auto"/>
              <w:bottom w:val="single" w:sz="4" w:space="0" w:color="auto"/>
              <w:right w:val="nil"/>
            </w:tcBorders>
            <w:vAlign w:val="center"/>
          </w:tcPr>
          <w:p w14:paraId="3D95DA77" w14:textId="77777777" w:rsidR="00B12ACB" w:rsidRPr="00EB6CF6" w:rsidRDefault="00B12ACB" w:rsidP="0068316B">
            <w:pPr>
              <w:spacing w:after="0" w:line="240" w:lineRule="auto"/>
              <w:ind w:firstLine="34"/>
              <w:jc w:val="center"/>
              <w:rPr>
                <w:rFonts w:cs="Times New Roman"/>
                <w:b/>
                <w:bCs/>
                <w:sz w:val="20"/>
                <w:szCs w:val="20"/>
              </w:rPr>
            </w:pPr>
          </w:p>
        </w:tc>
      </w:tr>
      <w:tr w:rsidR="00B12ACB" w:rsidRPr="008932D4" w14:paraId="2DAF1566" w14:textId="77777777" w:rsidTr="0068316B">
        <w:trPr>
          <w:trHeight w:val="288"/>
        </w:trPr>
        <w:tc>
          <w:tcPr>
            <w:tcW w:w="4390" w:type="dxa"/>
            <w:shd w:val="clear" w:color="auto" w:fill="auto"/>
            <w:noWrap/>
            <w:vAlign w:val="bottom"/>
          </w:tcPr>
          <w:p w14:paraId="24818FF5" w14:textId="77777777" w:rsidR="00B12ACB" w:rsidRPr="008932D4" w:rsidRDefault="00B12ACB" w:rsidP="0068316B">
            <w:pPr>
              <w:spacing w:after="0" w:line="240" w:lineRule="auto"/>
              <w:ind w:firstLine="34"/>
              <w:rPr>
                <w:rFonts w:cs="Times New Roman"/>
                <w:sz w:val="20"/>
                <w:szCs w:val="20"/>
              </w:rPr>
            </w:pPr>
            <w:r w:rsidRPr="008932D4">
              <w:rPr>
                <w:rFonts w:cs="Times New Roman"/>
                <w:sz w:val="20"/>
                <w:szCs w:val="20"/>
              </w:rPr>
              <w:t>OIK dotācija par 1. ceturksni</w:t>
            </w:r>
          </w:p>
        </w:tc>
        <w:tc>
          <w:tcPr>
            <w:tcW w:w="1276" w:type="dxa"/>
            <w:shd w:val="clear" w:color="auto" w:fill="auto"/>
            <w:noWrap/>
            <w:vAlign w:val="center"/>
          </w:tcPr>
          <w:p w14:paraId="197C6679" w14:textId="77777777" w:rsidR="00B12ACB" w:rsidRPr="005B54FE" w:rsidRDefault="00B12ACB" w:rsidP="0068316B">
            <w:pPr>
              <w:spacing w:after="0" w:line="240" w:lineRule="auto"/>
              <w:ind w:firstLine="34"/>
              <w:jc w:val="center"/>
              <w:rPr>
                <w:sz w:val="20"/>
              </w:rPr>
            </w:pPr>
            <w:r w:rsidRPr="005B54FE">
              <w:rPr>
                <w:sz w:val="20"/>
              </w:rPr>
              <w:t>0</w:t>
            </w:r>
          </w:p>
        </w:tc>
        <w:tc>
          <w:tcPr>
            <w:tcW w:w="1276" w:type="dxa"/>
            <w:shd w:val="clear" w:color="auto" w:fill="auto"/>
            <w:noWrap/>
            <w:vAlign w:val="center"/>
          </w:tcPr>
          <w:p w14:paraId="5473F9D6" w14:textId="77777777" w:rsidR="00B12ACB" w:rsidRPr="005B54FE" w:rsidRDefault="00B12ACB" w:rsidP="0068316B">
            <w:pPr>
              <w:spacing w:after="0" w:line="240" w:lineRule="auto"/>
              <w:ind w:firstLine="34"/>
              <w:jc w:val="center"/>
              <w:rPr>
                <w:sz w:val="20"/>
              </w:rPr>
            </w:pPr>
            <w:r w:rsidRPr="005B54FE">
              <w:rPr>
                <w:sz w:val="20"/>
              </w:rPr>
              <w:t>0</w:t>
            </w:r>
          </w:p>
        </w:tc>
        <w:tc>
          <w:tcPr>
            <w:tcW w:w="1242" w:type="dxa"/>
            <w:shd w:val="clear" w:color="auto" w:fill="auto"/>
            <w:noWrap/>
            <w:vAlign w:val="center"/>
          </w:tcPr>
          <w:p w14:paraId="00446455" w14:textId="77777777" w:rsidR="00B12ACB" w:rsidRPr="005B54FE" w:rsidRDefault="00B12ACB" w:rsidP="0068316B">
            <w:pPr>
              <w:spacing w:after="0" w:line="240" w:lineRule="auto"/>
              <w:ind w:firstLine="34"/>
              <w:jc w:val="center"/>
              <w:rPr>
                <w:sz w:val="20"/>
              </w:rPr>
            </w:pPr>
            <w:r w:rsidRPr="005B54FE">
              <w:rPr>
                <w:sz w:val="20"/>
              </w:rPr>
              <w:t>19 897 815</w:t>
            </w:r>
          </w:p>
        </w:tc>
        <w:tc>
          <w:tcPr>
            <w:tcW w:w="1242" w:type="dxa"/>
            <w:shd w:val="clear" w:color="auto" w:fill="auto"/>
            <w:noWrap/>
            <w:vAlign w:val="center"/>
          </w:tcPr>
          <w:p w14:paraId="5AC9BF55" w14:textId="77777777" w:rsidR="00B12ACB" w:rsidRPr="005B54FE" w:rsidRDefault="00B12ACB" w:rsidP="0068316B">
            <w:pPr>
              <w:spacing w:after="0" w:line="240" w:lineRule="auto"/>
              <w:ind w:firstLine="34"/>
              <w:jc w:val="center"/>
              <w:rPr>
                <w:sz w:val="20"/>
              </w:rPr>
            </w:pPr>
            <w:r w:rsidRPr="005B54FE">
              <w:rPr>
                <w:sz w:val="20"/>
              </w:rPr>
              <w:t>19 729 623</w:t>
            </w:r>
          </w:p>
        </w:tc>
        <w:tc>
          <w:tcPr>
            <w:tcW w:w="1354" w:type="dxa"/>
            <w:shd w:val="clear" w:color="auto" w:fill="auto"/>
            <w:noWrap/>
            <w:vAlign w:val="center"/>
          </w:tcPr>
          <w:p w14:paraId="08BE1167" w14:textId="77777777" w:rsidR="00B12ACB" w:rsidRPr="005B54FE" w:rsidRDefault="00B12ACB" w:rsidP="0068316B">
            <w:pPr>
              <w:spacing w:after="0" w:line="240" w:lineRule="auto"/>
              <w:ind w:firstLine="34"/>
              <w:jc w:val="center"/>
              <w:rPr>
                <w:sz w:val="20"/>
              </w:rPr>
            </w:pPr>
            <w:r w:rsidRPr="005B54FE">
              <w:rPr>
                <w:sz w:val="20"/>
              </w:rPr>
              <w:t>20 384 071</w:t>
            </w:r>
          </w:p>
        </w:tc>
        <w:tc>
          <w:tcPr>
            <w:tcW w:w="1284" w:type="dxa"/>
            <w:shd w:val="clear" w:color="auto" w:fill="auto"/>
            <w:noWrap/>
            <w:vAlign w:val="center"/>
          </w:tcPr>
          <w:p w14:paraId="7EAE3F08" w14:textId="77777777" w:rsidR="00B12ACB" w:rsidRPr="005B54FE" w:rsidRDefault="00B12ACB" w:rsidP="0068316B">
            <w:pPr>
              <w:spacing w:after="0" w:line="240" w:lineRule="auto"/>
              <w:ind w:firstLine="34"/>
              <w:jc w:val="center"/>
              <w:rPr>
                <w:sz w:val="20"/>
              </w:rPr>
            </w:pPr>
            <w:r w:rsidRPr="005B54FE">
              <w:rPr>
                <w:sz w:val="20"/>
              </w:rPr>
              <w:t>16 119 281</w:t>
            </w:r>
          </w:p>
        </w:tc>
        <w:tc>
          <w:tcPr>
            <w:tcW w:w="1276" w:type="dxa"/>
            <w:shd w:val="clear" w:color="auto" w:fill="auto"/>
            <w:noWrap/>
            <w:vAlign w:val="center"/>
          </w:tcPr>
          <w:p w14:paraId="7DB512F5" w14:textId="77777777" w:rsidR="00B12ACB" w:rsidRPr="005B54FE" w:rsidRDefault="00B12ACB" w:rsidP="0068316B">
            <w:pPr>
              <w:spacing w:after="0" w:line="240" w:lineRule="auto"/>
              <w:ind w:firstLine="34"/>
              <w:jc w:val="center"/>
              <w:rPr>
                <w:sz w:val="20"/>
              </w:rPr>
            </w:pPr>
            <w:r w:rsidRPr="005B54FE">
              <w:rPr>
                <w:sz w:val="20"/>
              </w:rPr>
              <w:t>19 538 621</w:t>
            </w:r>
          </w:p>
        </w:tc>
        <w:tc>
          <w:tcPr>
            <w:tcW w:w="1150" w:type="dxa"/>
            <w:tcBorders>
              <w:top w:val="single" w:sz="4" w:space="0" w:color="auto"/>
              <w:bottom w:val="single" w:sz="4" w:space="0" w:color="auto"/>
            </w:tcBorders>
            <w:vAlign w:val="center"/>
          </w:tcPr>
          <w:p w14:paraId="26A5475A" w14:textId="77777777" w:rsidR="00B12ACB" w:rsidRPr="005B54FE" w:rsidRDefault="0068316B" w:rsidP="0068316B">
            <w:pPr>
              <w:spacing w:line="240" w:lineRule="auto"/>
              <w:jc w:val="center"/>
              <w:rPr>
                <w:sz w:val="20"/>
              </w:rPr>
            </w:pPr>
            <w:r>
              <w:rPr>
                <w:sz w:val="20"/>
              </w:rPr>
              <w:t>0</w:t>
            </w:r>
          </w:p>
        </w:tc>
      </w:tr>
      <w:tr w:rsidR="00B12ACB" w:rsidRPr="008932D4" w14:paraId="6026C408" w14:textId="77777777" w:rsidTr="0068316B">
        <w:trPr>
          <w:trHeight w:val="288"/>
        </w:trPr>
        <w:tc>
          <w:tcPr>
            <w:tcW w:w="4390" w:type="dxa"/>
            <w:shd w:val="clear" w:color="auto" w:fill="auto"/>
            <w:noWrap/>
            <w:vAlign w:val="bottom"/>
          </w:tcPr>
          <w:p w14:paraId="30D4AB65" w14:textId="77777777" w:rsidR="00B12ACB" w:rsidRPr="008932D4" w:rsidRDefault="00B12ACB" w:rsidP="0068316B">
            <w:pPr>
              <w:spacing w:after="0" w:line="240" w:lineRule="auto"/>
              <w:ind w:firstLine="34"/>
              <w:rPr>
                <w:rFonts w:cs="Times New Roman"/>
                <w:sz w:val="20"/>
                <w:szCs w:val="20"/>
              </w:rPr>
            </w:pPr>
            <w:r w:rsidRPr="008932D4">
              <w:rPr>
                <w:rFonts w:cs="Times New Roman"/>
                <w:sz w:val="20"/>
                <w:szCs w:val="20"/>
              </w:rPr>
              <w:t>OIK dotācija par 2.–4. ceturksni</w:t>
            </w:r>
          </w:p>
        </w:tc>
        <w:tc>
          <w:tcPr>
            <w:tcW w:w="1276" w:type="dxa"/>
            <w:shd w:val="clear" w:color="auto" w:fill="auto"/>
            <w:noWrap/>
            <w:vAlign w:val="center"/>
          </w:tcPr>
          <w:p w14:paraId="69C00427" w14:textId="77777777" w:rsidR="00B12ACB" w:rsidRPr="005B54FE" w:rsidRDefault="00B12ACB" w:rsidP="0068316B">
            <w:pPr>
              <w:spacing w:after="0" w:line="240" w:lineRule="auto"/>
              <w:ind w:firstLine="34"/>
              <w:jc w:val="center"/>
              <w:rPr>
                <w:sz w:val="20"/>
              </w:rPr>
            </w:pPr>
            <w:r w:rsidRPr="005B54FE">
              <w:rPr>
                <w:sz w:val="20"/>
              </w:rPr>
              <w:t>59 693 445</w:t>
            </w:r>
          </w:p>
        </w:tc>
        <w:tc>
          <w:tcPr>
            <w:tcW w:w="1276" w:type="dxa"/>
            <w:shd w:val="clear" w:color="auto" w:fill="auto"/>
            <w:noWrap/>
            <w:vAlign w:val="center"/>
          </w:tcPr>
          <w:p w14:paraId="066C2A6E" w14:textId="77777777" w:rsidR="00B12ACB" w:rsidRPr="005B54FE" w:rsidRDefault="00B12ACB" w:rsidP="0068316B">
            <w:pPr>
              <w:spacing w:after="0" w:line="240" w:lineRule="auto"/>
              <w:ind w:firstLine="34"/>
              <w:jc w:val="center"/>
              <w:rPr>
                <w:sz w:val="20"/>
              </w:rPr>
            </w:pPr>
            <w:r w:rsidRPr="005B54FE">
              <w:rPr>
                <w:sz w:val="20"/>
              </w:rPr>
              <w:t>59 188 869</w:t>
            </w:r>
          </w:p>
        </w:tc>
        <w:tc>
          <w:tcPr>
            <w:tcW w:w="1242" w:type="dxa"/>
            <w:shd w:val="clear" w:color="auto" w:fill="auto"/>
            <w:noWrap/>
            <w:vAlign w:val="center"/>
          </w:tcPr>
          <w:p w14:paraId="7EA484C4" w14:textId="77777777" w:rsidR="00B12ACB" w:rsidRPr="005B54FE" w:rsidRDefault="00B12ACB" w:rsidP="0068316B">
            <w:pPr>
              <w:spacing w:after="0" w:line="240" w:lineRule="auto"/>
              <w:ind w:firstLine="34"/>
              <w:jc w:val="center"/>
              <w:rPr>
                <w:sz w:val="20"/>
              </w:rPr>
            </w:pPr>
            <w:r w:rsidRPr="005B54FE">
              <w:rPr>
                <w:sz w:val="20"/>
              </w:rPr>
              <w:t>61 152 212</w:t>
            </w:r>
          </w:p>
        </w:tc>
        <w:tc>
          <w:tcPr>
            <w:tcW w:w="1242" w:type="dxa"/>
            <w:shd w:val="clear" w:color="auto" w:fill="auto"/>
            <w:noWrap/>
            <w:vAlign w:val="center"/>
          </w:tcPr>
          <w:p w14:paraId="088645FF" w14:textId="77777777" w:rsidR="00B12ACB" w:rsidRPr="005B54FE" w:rsidRDefault="00B12ACB" w:rsidP="0068316B">
            <w:pPr>
              <w:spacing w:after="0" w:line="240" w:lineRule="auto"/>
              <w:ind w:firstLine="34"/>
              <w:jc w:val="center"/>
              <w:rPr>
                <w:sz w:val="20"/>
              </w:rPr>
            </w:pPr>
            <w:r w:rsidRPr="005B54FE">
              <w:rPr>
                <w:sz w:val="20"/>
              </w:rPr>
              <w:t>48 357 843</w:t>
            </w:r>
          </w:p>
        </w:tc>
        <w:tc>
          <w:tcPr>
            <w:tcW w:w="1354" w:type="dxa"/>
            <w:shd w:val="clear" w:color="auto" w:fill="auto"/>
            <w:noWrap/>
            <w:vAlign w:val="center"/>
          </w:tcPr>
          <w:p w14:paraId="2238059B" w14:textId="77777777" w:rsidR="00B12ACB" w:rsidRPr="005B54FE" w:rsidRDefault="00B12ACB" w:rsidP="0068316B">
            <w:pPr>
              <w:spacing w:after="0" w:line="240" w:lineRule="auto"/>
              <w:ind w:firstLine="34"/>
              <w:jc w:val="center"/>
              <w:rPr>
                <w:sz w:val="20"/>
              </w:rPr>
            </w:pPr>
            <w:r w:rsidRPr="005B54FE">
              <w:rPr>
                <w:sz w:val="20"/>
              </w:rPr>
              <w:t>69 508 621</w:t>
            </w:r>
          </w:p>
        </w:tc>
        <w:tc>
          <w:tcPr>
            <w:tcW w:w="1284" w:type="dxa"/>
            <w:shd w:val="clear" w:color="auto" w:fill="auto"/>
            <w:noWrap/>
            <w:vAlign w:val="center"/>
          </w:tcPr>
          <w:p w14:paraId="5A3BC71A" w14:textId="77777777" w:rsidR="00B12ACB" w:rsidRPr="005B54FE" w:rsidRDefault="00B12ACB" w:rsidP="0068316B">
            <w:pPr>
              <w:spacing w:after="0" w:line="240" w:lineRule="auto"/>
              <w:ind w:firstLine="34"/>
              <w:jc w:val="center"/>
              <w:rPr>
                <w:sz w:val="20"/>
              </w:rPr>
            </w:pPr>
            <w:r w:rsidRPr="005B54FE">
              <w:rPr>
                <w:sz w:val="20"/>
              </w:rPr>
              <w:t>58 615 863</w:t>
            </w:r>
          </w:p>
        </w:tc>
        <w:tc>
          <w:tcPr>
            <w:tcW w:w="1276" w:type="dxa"/>
            <w:tcBorders>
              <w:right w:val="single" w:sz="4" w:space="0" w:color="auto"/>
            </w:tcBorders>
            <w:shd w:val="clear" w:color="auto" w:fill="auto"/>
            <w:noWrap/>
            <w:vAlign w:val="center"/>
          </w:tcPr>
          <w:p w14:paraId="42520856" w14:textId="77777777" w:rsidR="00B12ACB" w:rsidRPr="005B54FE" w:rsidRDefault="0068316B" w:rsidP="0068316B">
            <w:pPr>
              <w:spacing w:after="0" w:line="240" w:lineRule="auto"/>
              <w:ind w:firstLine="34"/>
              <w:jc w:val="center"/>
              <w:rPr>
                <w:sz w:val="20"/>
              </w:rPr>
            </w:pPr>
            <w:r>
              <w:rPr>
                <w:sz w:val="20"/>
              </w:rPr>
              <w:t>0</w:t>
            </w:r>
          </w:p>
        </w:tc>
        <w:tc>
          <w:tcPr>
            <w:tcW w:w="1150" w:type="dxa"/>
            <w:vMerge w:val="restart"/>
            <w:tcBorders>
              <w:top w:val="single" w:sz="4" w:space="0" w:color="auto"/>
              <w:left w:val="single" w:sz="4" w:space="0" w:color="auto"/>
              <w:bottom w:val="nil"/>
              <w:right w:val="nil"/>
            </w:tcBorders>
            <w:vAlign w:val="center"/>
          </w:tcPr>
          <w:p w14:paraId="6016A78D" w14:textId="77777777" w:rsidR="00B12ACB" w:rsidRPr="005B54FE" w:rsidRDefault="00B12ACB" w:rsidP="0068316B">
            <w:pPr>
              <w:spacing w:after="0" w:line="240" w:lineRule="auto"/>
              <w:ind w:firstLine="34"/>
              <w:jc w:val="center"/>
              <w:rPr>
                <w:sz w:val="20"/>
              </w:rPr>
            </w:pPr>
          </w:p>
        </w:tc>
      </w:tr>
      <w:tr w:rsidR="00B12ACB" w:rsidRPr="008932D4" w14:paraId="45D9A9DB" w14:textId="77777777" w:rsidTr="0068316B">
        <w:trPr>
          <w:trHeight w:val="288"/>
        </w:trPr>
        <w:tc>
          <w:tcPr>
            <w:tcW w:w="4390" w:type="dxa"/>
            <w:shd w:val="clear" w:color="auto" w:fill="auto"/>
            <w:noWrap/>
            <w:vAlign w:val="bottom"/>
            <w:hideMark/>
          </w:tcPr>
          <w:p w14:paraId="4A3B51C1" w14:textId="77777777" w:rsidR="00B12ACB" w:rsidRPr="008932D4" w:rsidRDefault="00B12ACB" w:rsidP="0068316B">
            <w:pPr>
              <w:spacing w:after="0" w:line="240" w:lineRule="auto"/>
              <w:ind w:firstLine="34"/>
              <w:rPr>
                <w:rFonts w:cs="Times New Roman"/>
                <w:sz w:val="20"/>
                <w:szCs w:val="20"/>
              </w:rPr>
            </w:pPr>
            <w:r w:rsidRPr="008932D4">
              <w:rPr>
                <w:rFonts w:cs="Times New Roman"/>
                <w:sz w:val="20"/>
                <w:szCs w:val="20"/>
              </w:rPr>
              <w:t>OIK dotācija energoietilpīgo uzņēmumu atbalstam</w:t>
            </w:r>
          </w:p>
        </w:tc>
        <w:tc>
          <w:tcPr>
            <w:tcW w:w="1276" w:type="dxa"/>
            <w:shd w:val="clear" w:color="auto" w:fill="auto"/>
            <w:noWrap/>
            <w:vAlign w:val="bottom"/>
            <w:hideMark/>
          </w:tcPr>
          <w:p w14:paraId="60BC33B3" w14:textId="77777777" w:rsidR="00B12ACB" w:rsidRPr="0068316B" w:rsidRDefault="00B12ACB" w:rsidP="0068316B">
            <w:pPr>
              <w:spacing w:after="0" w:line="240" w:lineRule="auto"/>
              <w:ind w:firstLine="34"/>
              <w:jc w:val="center"/>
              <w:rPr>
                <w:sz w:val="20"/>
              </w:rPr>
            </w:pPr>
            <w:r w:rsidRPr="0068316B">
              <w:rPr>
                <w:sz w:val="20"/>
              </w:rPr>
              <w:t>0</w:t>
            </w:r>
          </w:p>
        </w:tc>
        <w:tc>
          <w:tcPr>
            <w:tcW w:w="1276" w:type="dxa"/>
            <w:shd w:val="clear" w:color="auto" w:fill="auto"/>
            <w:noWrap/>
            <w:vAlign w:val="bottom"/>
            <w:hideMark/>
          </w:tcPr>
          <w:p w14:paraId="2F184B05" w14:textId="77777777" w:rsidR="00B12ACB" w:rsidRPr="0068316B" w:rsidRDefault="00B12ACB" w:rsidP="0068316B">
            <w:pPr>
              <w:spacing w:after="0" w:line="240" w:lineRule="auto"/>
              <w:ind w:firstLine="34"/>
              <w:jc w:val="center"/>
              <w:rPr>
                <w:sz w:val="20"/>
              </w:rPr>
            </w:pPr>
            <w:r w:rsidRPr="0068316B">
              <w:rPr>
                <w:sz w:val="20"/>
              </w:rPr>
              <w:t>0</w:t>
            </w:r>
          </w:p>
        </w:tc>
        <w:tc>
          <w:tcPr>
            <w:tcW w:w="1242" w:type="dxa"/>
            <w:shd w:val="clear" w:color="auto" w:fill="auto"/>
            <w:noWrap/>
            <w:vAlign w:val="bottom"/>
            <w:hideMark/>
          </w:tcPr>
          <w:p w14:paraId="5202D55C" w14:textId="77777777" w:rsidR="00B12ACB" w:rsidRPr="0068316B" w:rsidRDefault="00B12ACB" w:rsidP="0068316B">
            <w:pPr>
              <w:spacing w:after="0" w:line="240" w:lineRule="auto"/>
              <w:ind w:firstLine="34"/>
              <w:jc w:val="center"/>
              <w:rPr>
                <w:sz w:val="20"/>
              </w:rPr>
            </w:pPr>
            <w:r w:rsidRPr="0068316B">
              <w:rPr>
                <w:sz w:val="20"/>
              </w:rPr>
              <w:t>3 500 000</w:t>
            </w:r>
          </w:p>
        </w:tc>
        <w:tc>
          <w:tcPr>
            <w:tcW w:w="1242" w:type="dxa"/>
            <w:shd w:val="clear" w:color="auto" w:fill="auto"/>
            <w:noWrap/>
            <w:vAlign w:val="bottom"/>
            <w:hideMark/>
          </w:tcPr>
          <w:p w14:paraId="51BFFC65" w14:textId="77777777" w:rsidR="00B12ACB" w:rsidRPr="0068316B" w:rsidRDefault="00B12ACB" w:rsidP="0068316B">
            <w:pPr>
              <w:spacing w:after="0" w:line="240" w:lineRule="auto"/>
              <w:ind w:firstLine="34"/>
              <w:jc w:val="center"/>
              <w:rPr>
                <w:sz w:val="20"/>
              </w:rPr>
            </w:pPr>
            <w:r w:rsidRPr="0068316B">
              <w:rPr>
                <w:sz w:val="20"/>
              </w:rPr>
              <w:t>3 500 000</w:t>
            </w:r>
          </w:p>
        </w:tc>
        <w:tc>
          <w:tcPr>
            <w:tcW w:w="1354" w:type="dxa"/>
            <w:shd w:val="clear" w:color="auto" w:fill="auto"/>
            <w:noWrap/>
            <w:vAlign w:val="bottom"/>
            <w:hideMark/>
          </w:tcPr>
          <w:p w14:paraId="4D427D97" w14:textId="77777777" w:rsidR="00B12ACB" w:rsidRPr="0068316B" w:rsidRDefault="00B12ACB" w:rsidP="0068316B">
            <w:pPr>
              <w:spacing w:after="0" w:line="240" w:lineRule="auto"/>
              <w:ind w:firstLine="34"/>
              <w:jc w:val="center"/>
              <w:rPr>
                <w:sz w:val="20"/>
              </w:rPr>
            </w:pPr>
            <w:r w:rsidRPr="0068316B">
              <w:rPr>
                <w:sz w:val="20"/>
              </w:rPr>
              <w:t>7 000 000</w:t>
            </w:r>
          </w:p>
        </w:tc>
        <w:tc>
          <w:tcPr>
            <w:tcW w:w="1284" w:type="dxa"/>
            <w:shd w:val="clear" w:color="auto" w:fill="auto"/>
            <w:noWrap/>
            <w:vAlign w:val="bottom"/>
            <w:hideMark/>
          </w:tcPr>
          <w:p w14:paraId="0AD8EDF7" w14:textId="77777777" w:rsidR="00B12ACB" w:rsidRPr="0068316B" w:rsidRDefault="00B12ACB" w:rsidP="0068316B">
            <w:pPr>
              <w:spacing w:after="0" w:line="240" w:lineRule="auto"/>
              <w:ind w:firstLine="34"/>
              <w:jc w:val="center"/>
              <w:rPr>
                <w:sz w:val="20"/>
              </w:rPr>
            </w:pPr>
            <w:r w:rsidRPr="0068316B">
              <w:rPr>
                <w:sz w:val="20"/>
              </w:rPr>
              <w:t>7 000 000</w:t>
            </w:r>
          </w:p>
        </w:tc>
        <w:tc>
          <w:tcPr>
            <w:tcW w:w="1276" w:type="dxa"/>
            <w:tcBorders>
              <w:right w:val="single" w:sz="4" w:space="0" w:color="auto"/>
            </w:tcBorders>
            <w:shd w:val="clear" w:color="auto" w:fill="auto"/>
            <w:noWrap/>
            <w:vAlign w:val="bottom"/>
            <w:hideMark/>
          </w:tcPr>
          <w:p w14:paraId="3F2DC39E" w14:textId="77777777" w:rsidR="00B12ACB" w:rsidRPr="0068316B" w:rsidRDefault="00B12ACB" w:rsidP="0068316B">
            <w:pPr>
              <w:spacing w:after="0" w:line="240" w:lineRule="auto"/>
              <w:ind w:firstLine="34"/>
              <w:jc w:val="center"/>
              <w:rPr>
                <w:sz w:val="20"/>
              </w:rPr>
            </w:pPr>
            <w:r w:rsidRPr="0068316B">
              <w:rPr>
                <w:sz w:val="20"/>
              </w:rPr>
              <w:t>7 000 000</w:t>
            </w:r>
          </w:p>
        </w:tc>
        <w:tc>
          <w:tcPr>
            <w:tcW w:w="1150" w:type="dxa"/>
            <w:vMerge/>
            <w:tcBorders>
              <w:top w:val="nil"/>
              <w:left w:val="single" w:sz="4" w:space="0" w:color="auto"/>
              <w:bottom w:val="nil"/>
              <w:right w:val="nil"/>
            </w:tcBorders>
            <w:vAlign w:val="center"/>
          </w:tcPr>
          <w:p w14:paraId="59B668A7"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4247D164" w14:textId="77777777" w:rsidTr="0068316B">
        <w:trPr>
          <w:trHeight w:val="201"/>
        </w:trPr>
        <w:tc>
          <w:tcPr>
            <w:tcW w:w="4390" w:type="dxa"/>
            <w:shd w:val="clear" w:color="auto" w:fill="auto"/>
            <w:vAlign w:val="center"/>
            <w:hideMark/>
          </w:tcPr>
          <w:p w14:paraId="4A561292" w14:textId="77777777" w:rsidR="00B12ACB" w:rsidRPr="008932D4" w:rsidRDefault="00B12ACB" w:rsidP="0068316B">
            <w:pPr>
              <w:spacing w:after="0" w:line="240" w:lineRule="auto"/>
              <w:ind w:firstLine="34"/>
              <w:jc w:val="left"/>
              <w:rPr>
                <w:rFonts w:cs="Times New Roman"/>
                <w:sz w:val="20"/>
                <w:szCs w:val="20"/>
              </w:rPr>
            </w:pPr>
            <w:r>
              <w:rPr>
                <w:rFonts w:cs="Times New Roman"/>
                <w:sz w:val="20"/>
                <w:szCs w:val="20"/>
              </w:rPr>
              <w:t>Aizsargātie lietotāji</w:t>
            </w:r>
          </w:p>
        </w:tc>
        <w:tc>
          <w:tcPr>
            <w:tcW w:w="1276" w:type="dxa"/>
            <w:shd w:val="clear" w:color="auto" w:fill="auto"/>
            <w:noWrap/>
            <w:vAlign w:val="center"/>
            <w:hideMark/>
          </w:tcPr>
          <w:p w14:paraId="631346F9" w14:textId="77777777" w:rsidR="00B12ACB" w:rsidRPr="000D5762" w:rsidRDefault="00B12ACB" w:rsidP="0068316B">
            <w:pPr>
              <w:spacing w:after="0" w:line="240" w:lineRule="auto"/>
              <w:ind w:firstLine="34"/>
              <w:jc w:val="center"/>
              <w:rPr>
                <w:rFonts w:cs="Times New Roman"/>
                <w:sz w:val="20"/>
                <w:szCs w:val="20"/>
              </w:rPr>
            </w:pPr>
            <w:r w:rsidRPr="000D5762">
              <w:rPr>
                <w:sz w:val="20"/>
              </w:rPr>
              <w:t>8 931 500</w:t>
            </w:r>
          </w:p>
        </w:tc>
        <w:tc>
          <w:tcPr>
            <w:tcW w:w="1276" w:type="dxa"/>
            <w:shd w:val="clear" w:color="auto" w:fill="auto"/>
            <w:noWrap/>
            <w:vAlign w:val="center"/>
            <w:hideMark/>
          </w:tcPr>
          <w:p w14:paraId="7596B9C9" w14:textId="77777777" w:rsidR="00B12ACB" w:rsidRPr="000D5762" w:rsidRDefault="00B12ACB" w:rsidP="0068316B">
            <w:pPr>
              <w:spacing w:after="0" w:line="240" w:lineRule="auto"/>
              <w:ind w:firstLine="34"/>
              <w:jc w:val="center"/>
              <w:rPr>
                <w:rFonts w:cs="Times New Roman"/>
                <w:sz w:val="20"/>
                <w:szCs w:val="20"/>
              </w:rPr>
            </w:pPr>
            <w:r w:rsidRPr="000D5762">
              <w:rPr>
                <w:sz w:val="20"/>
              </w:rPr>
              <w:t>6 017 481</w:t>
            </w:r>
          </w:p>
        </w:tc>
        <w:tc>
          <w:tcPr>
            <w:tcW w:w="1242" w:type="dxa"/>
            <w:shd w:val="clear" w:color="auto" w:fill="auto"/>
            <w:noWrap/>
            <w:vAlign w:val="center"/>
            <w:hideMark/>
          </w:tcPr>
          <w:p w14:paraId="32625379" w14:textId="77777777" w:rsidR="00B12ACB" w:rsidRPr="000D5762" w:rsidRDefault="00B12ACB" w:rsidP="0068316B">
            <w:pPr>
              <w:spacing w:after="0" w:line="240" w:lineRule="auto"/>
              <w:ind w:firstLine="34"/>
              <w:jc w:val="center"/>
              <w:rPr>
                <w:rFonts w:cs="Times New Roman"/>
                <w:sz w:val="20"/>
                <w:szCs w:val="20"/>
              </w:rPr>
            </w:pPr>
            <w:r w:rsidRPr="000D5762">
              <w:rPr>
                <w:sz w:val="20"/>
              </w:rPr>
              <w:t>12 102 624</w:t>
            </w:r>
          </w:p>
        </w:tc>
        <w:tc>
          <w:tcPr>
            <w:tcW w:w="1242" w:type="dxa"/>
            <w:shd w:val="clear" w:color="auto" w:fill="auto"/>
            <w:noWrap/>
            <w:vAlign w:val="center"/>
            <w:hideMark/>
          </w:tcPr>
          <w:p w14:paraId="012921C0" w14:textId="77777777" w:rsidR="00B12ACB" w:rsidRPr="000D5762" w:rsidRDefault="00B12ACB" w:rsidP="0068316B">
            <w:pPr>
              <w:spacing w:after="0" w:line="240" w:lineRule="auto"/>
              <w:ind w:firstLine="34"/>
              <w:jc w:val="center"/>
              <w:rPr>
                <w:rFonts w:cs="Times New Roman"/>
                <w:sz w:val="20"/>
                <w:szCs w:val="20"/>
              </w:rPr>
            </w:pPr>
            <w:r w:rsidRPr="000D5762">
              <w:rPr>
                <w:sz w:val="20"/>
              </w:rPr>
              <w:t>6 647 343</w:t>
            </w:r>
          </w:p>
        </w:tc>
        <w:tc>
          <w:tcPr>
            <w:tcW w:w="1354" w:type="dxa"/>
            <w:shd w:val="clear" w:color="auto" w:fill="auto"/>
            <w:noWrap/>
            <w:vAlign w:val="center"/>
            <w:hideMark/>
          </w:tcPr>
          <w:p w14:paraId="22007F98" w14:textId="77777777" w:rsidR="00B12ACB" w:rsidRPr="000D5762" w:rsidRDefault="00B12ACB" w:rsidP="0068316B">
            <w:pPr>
              <w:spacing w:after="0" w:line="240" w:lineRule="auto"/>
              <w:ind w:firstLine="34"/>
              <w:jc w:val="center"/>
              <w:rPr>
                <w:rFonts w:cs="Times New Roman"/>
                <w:sz w:val="20"/>
                <w:szCs w:val="20"/>
              </w:rPr>
            </w:pPr>
            <w:r w:rsidRPr="000D5762">
              <w:rPr>
                <w:sz w:val="20"/>
              </w:rPr>
              <w:t>12 102 624</w:t>
            </w:r>
          </w:p>
        </w:tc>
        <w:tc>
          <w:tcPr>
            <w:tcW w:w="1284" w:type="dxa"/>
            <w:shd w:val="clear" w:color="auto" w:fill="auto"/>
            <w:noWrap/>
            <w:vAlign w:val="center"/>
            <w:hideMark/>
          </w:tcPr>
          <w:p w14:paraId="082BB095" w14:textId="77777777" w:rsidR="00B12ACB" w:rsidRPr="000D5762" w:rsidRDefault="00B12ACB" w:rsidP="0068316B">
            <w:pPr>
              <w:spacing w:after="0" w:line="240" w:lineRule="auto"/>
              <w:ind w:firstLine="34"/>
              <w:jc w:val="center"/>
              <w:rPr>
                <w:rFonts w:cs="Times New Roman"/>
                <w:sz w:val="20"/>
                <w:szCs w:val="20"/>
              </w:rPr>
            </w:pPr>
            <w:r w:rsidRPr="000D5762">
              <w:rPr>
                <w:sz w:val="20"/>
              </w:rPr>
              <w:t>6 647 343</w:t>
            </w:r>
          </w:p>
        </w:tc>
        <w:tc>
          <w:tcPr>
            <w:tcW w:w="1276" w:type="dxa"/>
            <w:tcBorders>
              <w:right w:val="single" w:sz="4" w:space="0" w:color="auto"/>
            </w:tcBorders>
            <w:shd w:val="clear" w:color="auto" w:fill="auto"/>
            <w:noWrap/>
            <w:vAlign w:val="center"/>
            <w:hideMark/>
          </w:tcPr>
          <w:p w14:paraId="0F21F240" w14:textId="77777777" w:rsidR="00B12ACB" w:rsidRPr="008932D4" w:rsidRDefault="00B12ACB" w:rsidP="0068316B">
            <w:pPr>
              <w:spacing w:after="0" w:line="240" w:lineRule="auto"/>
              <w:ind w:firstLine="34"/>
              <w:jc w:val="center"/>
              <w:rPr>
                <w:rFonts w:cs="Times New Roman"/>
                <w:sz w:val="20"/>
                <w:szCs w:val="20"/>
              </w:rPr>
            </w:pPr>
            <w:r w:rsidRPr="000D5762">
              <w:rPr>
                <w:sz w:val="20"/>
              </w:rPr>
              <w:t>6 647 343</w:t>
            </w:r>
          </w:p>
        </w:tc>
        <w:tc>
          <w:tcPr>
            <w:tcW w:w="1150" w:type="dxa"/>
            <w:vMerge/>
            <w:tcBorders>
              <w:top w:val="nil"/>
              <w:left w:val="single" w:sz="4" w:space="0" w:color="auto"/>
              <w:bottom w:val="nil"/>
              <w:right w:val="nil"/>
            </w:tcBorders>
            <w:vAlign w:val="center"/>
          </w:tcPr>
          <w:p w14:paraId="2457403B"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06167527" w14:textId="77777777" w:rsidTr="0068316B">
        <w:trPr>
          <w:trHeight w:val="288"/>
        </w:trPr>
        <w:tc>
          <w:tcPr>
            <w:tcW w:w="4390" w:type="dxa"/>
            <w:shd w:val="clear" w:color="auto" w:fill="auto"/>
            <w:noWrap/>
            <w:vAlign w:val="bottom"/>
            <w:hideMark/>
          </w:tcPr>
          <w:p w14:paraId="5838C321" w14:textId="77777777" w:rsidR="00B12ACB" w:rsidRPr="008932D4" w:rsidRDefault="00B12ACB" w:rsidP="0068316B">
            <w:pPr>
              <w:spacing w:after="0" w:line="240" w:lineRule="auto"/>
              <w:ind w:firstLine="34"/>
              <w:jc w:val="center"/>
              <w:rPr>
                <w:rFonts w:cs="Times New Roman"/>
                <w:b/>
                <w:bCs/>
                <w:sz w:val="20"/>
                <w:szCs w:val="20"/>
              </w:rPr>
            </w:pPr>
            <w:r w:rsidRPr="008932D4">
              <w:rPr>
                <w:rFonts w:cs="Times New Roman"/>
                <w:b/>
                <w:bCs/>
                <w:sz w:val="20"/>
                <w:szCs w:val="20"/>
              </w:rPr>
              <w:t>Valsts budžeta ieņēmumi</w:t>
            </w:r>
          </w:p>
        </w:tc>
        <w:tc>
          <w:tcPr>
            <w:tcW w:w="1276" w:type="dxa"/>
            <w:shd w:val="clear" w:color="auto" w:fill="auto"/>
            <w:noWrap/>
            <w:vAlign w:val="center"/>
            <w:hideMark/>
          </w:tcPr>
          <w:p w14:paraId="14A2AA66"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68 624 945</w:t>
            </w:r>
          </w:p>
        </w:tc>
        <w:tc>
          <w:tcPr>
            <w:tcW w:w="1276" w:type="dxa"/>
            <w:shd w:val="clear" w:color="auto" w:fill="auto"/>
            <w:noWrap/>
            <w:vAlign w:val="center"/>
            <w:hideMark/>
          </w:tcPr>
          <w:p w14:paraId="3F6FC3A0"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65 237 101</w:t>
            </w:r>
          </w:p>
        </w:tc>
        <w:tc>
          <w:tcPr>
            <w:tcW w:w="1242" w:type="dxa"/>
            <w:shd w:val="clear" w:color="auto" w:fill="auto"/>
            <w:noWrap/>
            <w:vAlign w:val="center"/>
            <w:hideMark/>
          </w:tcPr>
          <w:p w14:paraId="3DB0B049"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96 652 651</w:t>
            </w:r>
          </w:p>
        </w:tc>
        <w:tc>
          <w:tcPr>
            <w:tcW w:w="1242" w:type="dxa"/>
            <w:shd w:val="clear" w:color="auto" w:fill="auto"/>
            <w:noWrap/>
            <w:vAlign w:val="center"/>
            <w:hideMark/>
          </w:tcPr>
          <w:p w14:paraId="3E67AE38"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78 234 809</w:t>
            </w:r>
          </w:p>
        </w:tc>
        <w:tc>
          <w:tcPr>
            <w:tcW w:w="1354" w:type="dxa"/>
            <w:shd w:val="clear" w:color="auto" w:fill="auto"/>
            <w:noWrap/>
            <w:vAlign w:val="center"/>
            <w:hideMark/>
          </w:tcPr>
          <w:p w14:paraId="2A93820C"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108 995 316</w:t>
            </w:r>
          </w:p>
        </w:tc>
        <w:tc>
          <w:tcPr>
            <w:tcW w:w="1284" w:type="dxa"/>
            <w:shd w:val="clear" w:color="auto" w:fill="auto"/>
            <w:noWrap/>
            <w:vAlign w:val="center"/>
            <w:hideMark/>
          </w:tcPr>
          <w:p w14:paraId="77F0C8D1" w14:textId="77777777" w:rsidR="00B12ACB" w:rsidRPr="00EB6CF6" w:rsidRDefault="00B12ACB" w:rsidP="0068316B">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88 382 487</w:t>
            </w:r>
          </w:p>
        </w:tc>
        <w:tc>
          <w:tcPr>
            <w:tcW w:w="1276" w:type="dxa"/>
            <w:tcBorders>
              <w:right w:val="single" w:sz="4" w:space="0" w:color="auto"/>
            </w:tcBorders>
            <w:shd w:val="clear" w:color="auto" w:fill="auto"/>
            <w:noWrap/>
            <w:vAlign w:val="center"/>
            <w:hideMark/>
          </w:tcPr>
          <w:p w14:paraId="6B54FE8C" w14:textId="77777777" w:rsidR="00B12ACB" w:rsidRPr="00EB6CF6" w:rsidRDefault="007C65E6" w:rsidP="0068316B">
            <w:pPr>
              <w:spacing w:after="0" w:line="240" w:lineRule="auto"/>
              <w:ind w:firstLine="34"/>
              <w:jc w:val="center"/>
              <w:rPr>
                <w:rFonts w:eastAsia="Times New Roman" w:cs="Times New Roman"/>
                <w:b/>
                <w:bCs/>
                <w:color w:val="000000"/>
                <w:sz w:val="20"/>
                <w:lang w:eastAsia="lv-LV"/>
              </w:rPr>
            </w:pPr>
            <w:r w:rsidRPr="007C65E6">
              <w:rPr>
                <w:rFonts w:cs="Times New Roman"/>
                <w:b/>
                <w:bCs/>
                <w:color w:val="000000"/>
                <w:sz w:val="20"/>
              </w:rPr>
              <w:t>33 185 964</w:t>
            </w:r>
          </w:p>
        </w:tc>
        <w:tc>
          <w:tcPr>
            <w:tcW w:w="1150" w:type="dxa"/>
            <w:vMerge/>
            <w:tcBorders>
              <w:top w:val="nil"/>
              <w:left w:val="single" w:sz="4" w:space="0" w:color="auto"/>
              <w:bottom w:val="nil"/>
              <w:right w:val="nil"/>
            </w:tcBorders>
            <w:vAlign w:val="center"/>
          </w:tcPr>
          <w:p w14:paraId="36B62E2E" w14:textId="77777777" w:rsidR="00B12ACB" w:rsidRPr="008932D4" w:rsidRDefault="00B12ACB" w:rsidP="0068316B">
            <w:pPr>
              <w:spacing w:after="0" w:line="240" w:lineRule="auto"/>
              <w:ind w:firstLine="34"/>
              <w:jc w:val="center"/>
              <w:rPr>
                <w:rFonts w:cs="Times New Roman"/>
                <w:b/>
                <w:bCs/>
                <w:sz w:val="20"/>
                <w:szCs w:val="20"/>
              </w:rPr>
            </w:pPr>
          </w:p>
        </w:tc>
      </w:tr>
      <w:tr w:rsidR="00B12ACB" w:rsidRPr="008932D4" w14:paraId="64D09796" w14:textId="77777777" w:rsidTr="0068316B">
        <w:trPr>
          <w:trHeight w:val="288"/>
        </w:trPr>
        <w:tc>
          <w:tcPr>
            <w:tcW w:w="4390" w:type="dxa"/>
            <w:shd w:val="clear" w:color="auto" w:fill="auto"/>
            <w:noWrap/>
            <w:vAlign w:val="bottom"/>
            <w:hideMark/>
          </w:tcPr>
          <w:p w14:paraId="269915DD" w14:textId="77777777" w:rsidR="00B12ACB" w:rsidRPr="008932D4" w:rsidRDefault="00B12ACB" w:rsidP="0068316B">
            <w:pPr>
              <w:spacing w:after="0" w:line="240" w:lineRule="auto"/>
              <w:ind w:firstLine="34"/>
              <w:rPr>
                <w:rFonts w:cs="Times New Roman"/>
                <w:sz w:val="20"/>
                <w:szCs w:val="20"/>
              </w:rPr>
            </w:pPr>
            <w:r>
              <w:rPr>
                <w:rFonts w:cs="Times New Roman"/>
                <w:sz w:val="20"/>
                <w:szCs w:val="20"/>
              </w:rPr>
              <w:t>SEN</w:t>
            </w:r>
          </w:p>
        </w:tc>
        <w:tc>
          <w:tcPr>
            <w:tcW w:w="1276" w:type="dxa"/>
            <w:shd w:val="clear" w:color="auto" w:fill="auto"/>
            <w:noWrap/>
            <w:vAlign w:val="center"/>
            <w:hideMark/>
          </w:tcPr>
          <w:p w14:paraId="59E877B4"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33 876 000</w:t>
            </w:r>
          </w:p>
        </w:tc>
        <w:tc>
          <w:tcPr>
            <w:tcW w:w="1276" w:type="dxa"/>
            <w:shd w:val="clear" w:color="000000" w:fill="FFFFFF"/>
            <w:noWrap/>
            <w:vAlign w:val="center"/>
            <w:hideMark/>
          </w:tcPr>
          <w:p w14:paraId="46452BFA"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30 993 894</w:t>
            </w:r>
          </w:p>
        </w:tc>
        <w:tc>
          <w:tcPr>
            <w:tcW w:w="1242" w:type="dxa"/>
            <w:shd w:val="clear" w:color="auto" w:fill="auto"/>
            <w:noWrap/>
            <w:vAlign w:val="center"/>
            <w:hideMark/>
          </w:tcPr>
          <w:p w14:paraId="66B4EBC3"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37 009 000</w:t>
            </w:r>
          </w:p>
        </w:tc>
        <w:tc>
          <w:tcPr>
            <w:tcW w:w="1242" w:type="dxa"/>
            <w:shd w:val="clear" w:color="000000" w:fill="FFFFFF"/>
            <w:noWrap/>
            <w:vAlign w:val="center"/>
            <w:hideMark/>
          </w:tcPr>
          <w:p w14:paraId="45C57ECB"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32 627 027</w:t>
            </w:r>
          </w:p>
        </w:tc>
        <w:tc>
          <w:tcPr>
            <w:tcW w:w="1354" w:type="dxa"/>
            <w:shd w:val="clear" w:color="auto" w:fill="auto"/>
            <w:noWrap/>
            <w:vAlign w:val="center"/>
            <w:hideMark/>
          </w:tcPr>
          <w:p w14:paraId="449DFB40"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37 009 000</w:t>
            </w:r>
          </w:p>
        </w:tc>
        <w:tc>
          <w:tcPr>
            <w:tcW w:w="1284" w:type="dxa"/>
            <w:shd w:val="clear" w:color="000000" w:fill="FFFFFF"/>
            <w:noWrap/>
            <w:vAlign w:val="center"/>
            <w:hideMark/>
          </w:tcPr>
          <w:p w14:paraId="7BBCA75B"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5 803 140</w:t>
            </w:r>
          </w:p>
        </w:tc>
        <w:tc>
          <w:tcPr>
            <w:tcW w:w="1276" w:type="dxa"/>
            <w:tcBorders>
              <w:right w:val="single" w:sz="4" w:space="0" w:color="auto"/>
            </w:tcBorders>
            <w:shd w:val="clear" w:color="auto" w:fill="auto"/>
            <w:noWrap/>
            <w:vAlign w:val="center"/>
            <w:hideMark/>
          </w:tcPr>
          <w:p w14:paraId="0F6D377C"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0</w:t>
            </w:r>
          </w:p>
        </w:tc>
        <w:tc>
          <w:tcPr>
            <w:tcW w:w="1150" w:type="dxa"/>
            <w:vMerge/>
            <w:tcBorders>
              <w:top w:val="nil"/>
              <w:left w:val="single" w:sz="4" w:space="0" w:color="auto"/>
              <w:bottom w:val="nil"/>
              <w:right w:val="nil"/>
            </w:tcBorders>
            <w:vAlign w:val="center"/>
          </w:tcPr>
          <w:p w14:paraId="6BF65966"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087A8164" w14:textId="77777777" w:rsidTr="0068316B">
        <w:trPr>
          <w:trHeight w:val="288"/>
        </w:trPr>
        <w:tc>
          <w:tcPr>
            <w:tcW w:w="4390" w:type="dxa"/>
            <w:shd w:val="clear" w:color="auto" w:fill="auto"/>
            <w:noWrap/>
            <w:vAlign w:val="bottom"/>
            <w:hideMark/>
          </w:tcPr>
          <w:p w14:paraId="3154474F" w14:textId="77777777" w:rsidR="00B12ACB" w:rsidRPr="008932D4" w:rsidRDefault="00B12ACB" w:rsidP="0068316B">
            <w:pPr>
              <w:spacing w:after="0" w:line="240" w:lineRule="auto"/>
              <w:ind w:firstLine="34"/>
              <w:rPr>
                <w:rFonts w:cs="Times New Roman"/>
                <w:sz w:val="20"/>
                <w:szCs w:val="20"/>
              </w:rPr>
            </w:pPr>
            <w:r w:rsidRPr="008932D4">
              <w:rPr>
                <w:rFonts w:cs="Times New Roman"/>
                <w:sz w:val="20"/>
                <w:szCs w:val="20"/>
              </w:rPr>
              <w:t>PVN</w:t>
            </w:r>
          </w:p>
        </w:tc>
        <w:tc>
          <w:tcPr>
            <w:tcW w:w="1276" w:type="dxa"/>
            <w:shd w:val="clear" w:color="auto" w:fill="auto"/>
            <w:noWrap/>
            <w:vAlign w:val="center"/>
            <w:hideMark/>
          </w:tcPr>
          <w:p w14:paraId="0940782C"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276" w:type="dxa"/>
            <w:shd w:val="clear" w:color="auto" w:fill="auto"/>
            <w:noWrap/>
            <w:vAlign w:val="center"/>
            <w:hideMark/>
          </w:tcPr>
          <w:p w14:paraId="094ED4A1"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242" w:type="dxa"/>
            <w:shd w:val="clear" w:color="auto" w:fill="auto"/>
            <w:noWrap/>
            <w:vAlign w:val="center"/>
            <w:hideMark/>
          </w:tcPr>
          <w:p w14:paraId="303FD126"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242" w:type="dxa"/>
            <w:shd w:val="clear" w:color="auto" w:fill="auto"/>
            <w:noWrap/>
            <w:vAlign w:val="center"/>
            <w:hideMark/>
          </w:tcPr>
          <w:p w14:paraId="1B475C2C"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354" w:type="dxa"/>
            <w:shd w:val="clear" w:color="auto" w:fill="auto"/>
            <w:noWrap/>
            <w:vAlign w:val="center"/>
            <w:hideMark/>
          </w:tcPr>
          <w:p w14:paraId="1BA7D4C2"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284" w:type="dxa"/>
            <w:shd w:val="clear" w:color="auto" w:fill="auto"/>
            <w:noWrap/>
            <w:vAlign w:val="center"/>
            <w:hideMark/>
          </w:tcPr>
          <w:p w14:paraId="1099E8FA"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276" w:type="dxa"/>
            <w:tcBorders>
              <w:right w:val="single" w:sz="4" w:space="0" w:color="auto"/>
            </w:tcBorders>
            <w:shd w:val="clear" w:color="auto" w:fill="auto"/>
            <w:noWrap/>
            <w:vAlign w:val="center"/>
            <w:hideMark/>
          </w:tcPr>
          <w:p w14:paraId="7B8B71C5"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9 533 241</w:t>
            </w:r>
          </w:p>
        </w:tc>
        <w:tc>
          <w:tcPr>
            <w:tcW w:w="1150" w:type="dxa"/>
            <w:vMerge/>
            <w:tcBorders>
              <w:top w:val="nil"/>
              <w:left w:val="single" w:sz="4" w:space="0" w:color="auto"/>
              <w:bottom w:val="nil"/>
              <w:right w:val="nil"/>
            </w:tcBorders>
            <w:vAlign w:val="center"/>
          </w:tcPr>
          <w:p w14:paraId="2F988030"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65C8EB25" w14:textId="77777777" w:rsidTr="0068316B">
        <w:trPr>
          <w:trHeight w:val="288"/>
        </w:trPr>
        <w:tc>
          <w:tcPr>
            <w:tcW w:w="4390" w:type="dxa"/>
            <w:shd w:val="clear" w:color="auto" w:fill="auto"/>
            <w:noWrap/>
            <w:vAlign w:val="bottom"/>
            <w:hideMark/>
          </w:tcPr>
          <w:p w14:paraId="5EC28589" w14:textId="77777777" w:rsidR="00B12ACB" w:rsidRPr="008932D4" w:rsidRDefault="00B12ACB" w:rsidP="0068316B">
            <w:pPr>
              <w:spacing w:after="0" w:line="240" w:lineRule="auto"/>
              <w:ind w:firstLine="34"/>
              <w:rPr>
                <w:rFonts w:cs="Times New Roman"/>
                <w:sz w:val="20"/>
                <w:szCs w:val="20"/>
              </w:rPr>
            </w:pPr>
            <w:r w:rsidRPr="008932D4">
              <w:rPr>
                <w:rFonts w:cs="Times New Roman"/>
                <w:sz w:val="20"/>
                <w:szCs w:val="20"/>
              </w:rPr>
              <w:t>PVN (aizsargātie lietotāji)</w:t>
            </w:r>
          </w:p>
        </w:tc>
        <w:tc>
          <w:tcPr>
            <w:tcW w:w="1276" w:type="dxa"/>
            <w:shd w:val="clear" w:color="auto" w:fill="auto"/>
            <w:noWrap/>
            <w:vAlign w:val="center"/>
            <w:hideMark/>
          </w:tcPr>
          <w:p w14:paraId="6789B90D"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1 550 095</w:t>
            </w:r>
          </w:p>
        </w:tc>
        <w:tc>
          <w:tcPr>
            <w:tcW w:w="1276" w:type="dxa"/>
            <w:shd w:val="clear" w:color="auto" w:fill="auto"/>
            <w:noWrap/>
            <w:vAlign w:val="center"/>
            <w:hideMark/>
          </w:tcPr>
          <w:p w14:paraId="298D1139"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1 044 356</w:t>
            </w:r>
          </w:p>
        </w:tc>
        <w:tc>
          <w:tcPr>
            <w:tcW w:w="1242" w:type="dxa"/>
            <w:shd w:val="clear" w:color="auto" w:fill="auto"/>
            <w:noWrap/>
            <w:vAlign w:val="center"/>
            <w:hideMark/>
          </w:tcPr>
          <w:p w14:paraId="23DA87F5"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2 100 455</w:t>
            </w:r>
          </w:p>
        </w:tc>
        <w:tc>
          <w:tcPr>
            <w:tcW w:w="1242" w:type="dxa"/>
            <w:shd w:val="clear" w:color="auto" w:fill="auto"/>
            <w:noWrap/>
            <w:vAlign w:val="center"/>
            <w:hideMark/>
          </w:tcPr>
          <w:p w14:paraId="119E8A17"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1 153 671</w:t>
            </w:r>
          </w:p>
        </w:tc>
        <w:tc>
          <w:tcPr>
            <w:tcW w:w="1354" w:type="dxa"/>
            <w:shd w:val="clear" w:color="auto" w:fill="auto"/>
            <w:noWrap/>
            <w:vAlign w:val="center"/>
            <w:hideMark/>
          </w:tcPr>
          <w:p w14:paraId="0A243DCB"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2 100 455</w:t>
            </w:r>
          </w:p>
        </w:tc>
        <w:tc>
          <w:tcPr>
            <w:tcW w:w="1284" w:type="dxa"/>
            <w:shd w:val="clear" w:color="auto" w:fill="auto"/>
            <w:noWrap/>
            <w:vAlign w:val="center"/>
            <w:hideMark/>
          </w:tcPr>
          <w:p w14:paraId="2B635962"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1 153 671</w:t>
            </w:r>
          </w:p>
        </w:tc>
        <w:tc>
          <w:tcPr>
            <w:tcW w:w="1276" w:type="dxa"/>
            <w:tcBorders>
              <w:right w:val="single" w:sz="4" w:space="0" w:color="auto"/>
            </w:tcBorders>
            <w:shd w:val="clear" w:color="auto" w:fill="auto"/>
            <w:noWrap/>
            <w:vAlign w:val="center"/>
            <w:hideMark/>
          </w:tcPr>
          <w:p w14:paraId="1D68C6C4"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sz w:val="20"/>
                <w:szCs w:val="20"/>
              </w:rPr>
              <w:t>1 153 671</w:t>
            </w:r>
          </w:p>
        </w:tc>
        <w:tc>
          <w:tcPr>
            <w:tcW w:w="1150" w:type="dxa"/>
            <w:vMerge/>
            <w:tcBorders>
              <w:top w:val="nil"/>
              <w:left w:val="single" w:sz="4" w:space="0" w:color="auto"/>
              <w:bottom w:val="nil"/>
              <w:right w:val="nil"/>
            </w:tcBorders>
            <w:vAlign w:val="center"/>
          </w:tcPr>
          <w:p w14:paraId="579E0F97"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008AECA4" w14:textId="77777777" w:rsidTr="0068316B">
        <w:trPr>
          <w:trHeight w:val="288"/>
        </w:trPr>
        <w:tc>
          <w:tcPr>
            <w:tcW w:w="4390" w:type="dxa"/>
            <w:shd w:val="clear" w:color="auto" w:fill="auto"/>
            <w:noWrap/>
            <w:vAlign w:val="bottom"/>
          </w:tcPr>
          <w:p w14:paraId="67F1DBBB" w14:textId="77777777" w:rsidR="00B12ACB" w:rsidRPr="008932D4" w:rsidRDefault="00B12ACB" w:rsidP="0068316B">
            <w:pPr>
              <w:spacing w:after="0" w:line="240" w:lineRule="auto"/>
              <w:ind w:firstLine="34"/>
              <w:rPr>
                <w:rFonts w:cs="Times New Roman"/>
                <w:sz w:val="20"/>
                <w:szCs w:val="20"/>
              </w:rPr>
            </w:pPr>
            <w:r>
              <w:rPr>
                <w:rFonts w:cs="Times New Roman"/>
                <w:sz w:val="20"/>
                <w:szCs w:val="20"/>
              </w:rPr>
              <w:t>Elektroenerģijas nodokļa papildu ieņēmumi</w:t>
            </w:r>
          </w:p>
        </w:tc>
        <w:tc>
          <w:tcPr>
            <w:tcW w:w="1276" w:type="dxa"/>
            <w:shd w:val="clear" w:color="auto" w:fill="auto"/>
            <w:noWrap/>
            <w:vAlign w:val="center"/>
          </w:tcPr>
          <w:p w14:paraId="44878759" w14:textId="77777777" w:rsidR="00B12ACB" w:rsidRPr="008932D4" w:rsidRDefault="00B12ACB" w:rsidP="0068316B">
            <w:pPr>
              <w:spacing w:after="0" w:line="240" w:lineRule="auto"/>
              <w:ind w:firstLine="34"/>
              <w:jc w:val="center"/>
              <w:rPr>
                <w:rFonts w:cs="Times New Roman"/>
                <w:sz w:val="20"/>
                <w:szCs w:val="20"/>
              </w:rPr>
            </w:pPr>
            <w:r>
              <w:rPr>
                <w:rFonts w:cs="Times New Roman"/>
                <w:sz w:val="20"/>
                <w:szCs w:val="20"/>
              </w:rPr>
              <w:t>0</w:t>
            </w:r>
          </w:p>
        </w:tc>
        <w:tc>
          <w:tcPr>
            <w:tcW w:w="1276" w:type="dxa"/>
            <w:shd w:val="clear" w:color="auto" w:fill="auto"/>
            <w:noWrap/>
            <w:vAlign w:val="center"/>
          </w:tcPr>
          <w:p w14:paraId="1E60492F" w14:textId="77777777" w:rsidR="00B12ACB" w:rsidRPr="008932D4" w:rsidRDefault="00B12ACB" w:rsidP="0068316B">
            <w:pPr>
              <w:spacing w:after="0" w:line="240" w:lineRule="auto"/>
              <w:ind w:firstLine="34"/>
              <w:jc w:val="center"/>
              <w:rPr>
                <w:rFonts w:cs="Times New Roman"/>
                <w:sz w:val="20"/>
                <w:szCs w:val="20"/>
              </w:rPr>
            </w:pPr>
            <w:r>
              <w:rPr>
                <w:rFonts w:cs="Times New Roman"/>
                <w:sz w:val="20"/>
                <w:szCs w:val="20"/>
              </w:rPr>
              <w:t>0</w:t>
            </w:r>
          </w:p>
        </w:tc>
        <w:tc>
          <w:tcPr>
            <w:tcW w:w="1242" w:type="dxa"/>
            <w:shd w:val="clear" w:color="auto" w:fill="auto"/>
            <w:noWrap/>
            <w:vAlign w:val="center"/>
          </w:tcPr>
          <w:p w14:paraId="6EE46078" w14:textId="77777777" w:rsidR="00B12ACB" w:rsidRPr="008932D4" w:rsidRDefault="00B12ACB" w:rsidP="0068316B">
            <w:pPr>
              <w:spacing w:after="0" w:line="240" w:lineRule="auto"/>
              <w:ind w:firstLine="34"/>
              <w:jc w:val="center"/>
              <w:rPr>
                <w:rFonts w:cs="Times New Roman"/>
                <w:sz w:val="20"/>
                <w:szCs w:val="20"/>
              </w:rPr>
            </w:pPr>
            <w:r>
              <w:rPr>
                <w:rFonts w:cs="Times New Roman"/>
                <w:sz w:val="20"/>
                <w:szCs w:val="20"/>
              </w:rPr>
              <w:t>0</w:t>
            </w:r>
          </w:p>
        </w:tc>
        <w:tc>
          <w:tcPr>
            <w:tcW w:w="1242" w:type="dxa"/>
            <w:shd w:val="clear" w:color="auto" w:fill="auto"/>
            <w:noWrap/>
            <w:vAlign w:val="center"/>
          </w:tcPr>
          <w:p w14:paraId="4A55D7F9" w14:textId="77777777" w:rsidR="00B12ACB" w:rsidRPr="008932D4" w:rsidRDefault="00B12ACB" w:rsidP="0068316B">
            <w:pPr>
              <w:spacing w:after="0" w:line="240" w:lineRule="auto"/>
              <w:ind w:firstLine="34"/>
              <w:jc w:val="center"/>
              <w:rPr>
                <w:rFonts w:cs="Times New Roman"/>
                <w:sz w:val="20"/>
                <w:szCs w:val="20"/>
              </w:rPr>
            </w:pPr>
            <w:r w:rsidRPr="00566378">
              <w:rPr>
                <w:rFonts w:cs="Times New Roman"/>
                <w:sz w:val="20"/>
                <w:szCs w:val="20"/>
              </w:rPr>
              <w:t>4 700 000</w:t>
            </w:r>
          </w:p>
        </w:tc>
        <w:tc>
          <w:tcPr>
            <w:tcW w:w="1354" w:type="dxa"/>
            <w:shd w:val="clear" w:color="auto" w:fill="auto"/>
            <w:noWrap/>
            <w:vAlign w:val="center"/>
          </w:tcPr>
          <w:p w14:paraId="5A4B5960" w14:textId="77777777" w:rsidR="00B12ACB" w:rsidRPr="008932D4" w:rsidRDefault="00B12ACB" w:rsidP="0068316B">
            <w:pPr>
              <w:spacing w:after="0" w:line="240" w:lineRule="auto"/>
              <w:ind w:firstLine="34"/>
              <w:jc w:val="center"/>
              <w:rPr>
                <w:rFonts w:cs="Times New Roman"/>
                <w:sz w:val="20"/>
                <w:szCs w:val="20"/>
              </w:rPr>
            </w:pPr>
            <w:r>
              <w:rPr>
                <w:rFonts w:cs="Times New Roman"/>
                <w:sz w:val="20"/>
                <w:szCs w:val="20"/>
              </w:rPr>
              <w:t>0</w:t>
            </w:r>
          </w:p>
        </w:tc>
        <w:tc>
          <w:tcPr>
            <w:tcW w:w="1284" w:type="dxa"/>
            <w:shd w:val="clear" w:color="auto" w:fill="auto"/>
            <w:noWrap/>
            <w:vAlign w:val="center"/>
          </w:tcPr>
          <w:p w14:paraId="17B0A3A0" w14:textId="77777777" w:rsidR="00B12ACB" w:rsidRPr="008932D4" w:rsidRDefault="00B12ACB" w:rsidP="0068316B">
            <w:pPr>
              <w:spacing w:after="0" w:line="240" w:lineRule="auto"/>
              <w:ind w:firstLine="34"/>
              <w:jc w:val="center"/>
              <w:rPr>
                <w:rFonts w:cs="Times New Roman"/>
                <w:sz w:val="20"/>
                <w:szCs w:val="20"/>
              </w:rPr>
            </w:pPr>
            <w:r w:rsidRPr="00566378">
              <w:rPr>
                <w:rFonts w:cs="Times New Roman"/>
                <w:sz w:val="20"/>
                <w:szCs w:val="20"/>
              </w:rPr>
              <w:t>4 700 000</w:t>
            </w:r>
          </w:p>
        </w:tc>
        <w:tc>
          <w:tcPr>
            <w:tcW w:w="1276" w:type="dxa"/>
            <w:tcBorders>
              <w:right w:val="single" w:sz="4" w:space="0" w:color="auto"/>
            </w:tcBorders>
            <w:shd w:val="clear" w:color="auto" w:fill="auto"/>
            <w:noWrap/>
            <w:vAlign w:val="center"/>
          </w:tcPr>
          <w:p w14:paraId="6E81EC3E" w14:textId="77777777" w:rsidR="00B12ACB" w:rsidRPr="008932D4" w:rsidRDefault="00B12ACB" w:rsidP="0068316B">
            <w:pPr>
              <w:spacing w:after="0" w:line="240" w:lineRule="auto"/>
              <w:ind w:firstLine="34"/>
              <w:jc w:val="center"/>
              <w:rPr>
                <w:rFonts w:cs="Times New Roman"/>
                <w:sz w:val="20"/>
                <w:szCs w:val="20"/>
              </w:rPr>
            </w:pPr>
            <w:r w:rsidRPr="00566378">
              <w:rPr>
                <w:rFonts w:cs="Times New Roman"/>
                <w:sz w:val="20"/>
                <w:szCs w:val="20"/>
              </w:rPr>
              <w:t>4 700 000</w:t>
            </w:r>
          </w:p>
        </w:tc>
        <w:tc>
          <w:tcPr>
            <w:tcW w:w="1150" w:type="dxa"/>
            <w:vMerge/>
            <w:tcBorders>
              <w:top w:val="nil"/>
              <w:left w:val="single" w:sz="4" w:space="0" w:color="auto"/>
              <w:bottom w:val="nil"/>
              <w:right w:val="nil"/>
            </w:tcBorders>
            <w:vAlign w:val="center"/>
          </w:tcPr>
          <w:p w14:paraId="0950EC6E"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334C6EF4" w14:textId="77777777" w:rsidTr="0068316B">
        <w:trPr>
          <w:trHeight w:val="464"/>
        </w:trPr>
        <w:tc>
          <w:tcPr>
            <w:tcW w:w="4390" w:type="dxa"/>
            <w:shd w:val="clear" w:color="auto" w:fill="auto"/>
            <w:vAlign w:val="bottom"/>
            <w:hideMark/>
          </w:tcPr>
          <w:p w14:paraId="6CA4F74A" w14:textId="77777777" w:rsidR="00B12ACB" w:rsidRPr="008932D4" w:rsidRDefault="00B12ACB" w:rsidP="0068316B">
            <w:pPr>
              <w:spacing w:after="0" w:line="240" w:lineRule="auto"/>
              <w:ind w:firstLine="34"/>
              <w:rPr>
                <w:rFonts w:cs="Times New Roman"/>
                <w:sz w:val="20"/>
                <w:szCs w:val="20"/>
              </w:rPr>
            </w:pPr>
            <w:r w:rsidRPr="008932D4">
              <w:rPr>
                <w:rFonts w:cs="Times New Roman"/>
                <w:sz w:val="20"/>
                <w:szCs w:val="20"/>
              </w:rPr>
              <w:t>AS "Latvenergo" dividendes komplekso risinājumu elektroenerģijas tirgū novirzāmā daļa</w:t>
            </w:r>
          </w:p>
        </w:tc>
        <w:tc>
          <w:tcPr>
            <w:tcW w:w="1276" w:type="dxa"/>
            <w:shd w:val="clear" w:color="auto" w:fill="auto"/>
            <w:noWrap/>
            <w:vAlign w:val="center"/>
            <w:hideMark/>
          </w:tcPr>
          <w:p w14:paraId="0FAFB611" w14:textId="77777777" w:rsidR="00B12ACB" w:rsidRPr="00EB6CF6" w:rsidRDefault="00B12ACB" w:rsidP="0068316B">
            <w:pPr>
              <w:spacing w:after="0" w:line="240" w:lineRule="auto"/>
              <w:ind w:firstLine="34"/>
              <w:jc w:val="center"/>
              <w:rPr>
                <w:rFonts w:cs="Times New Roman"/>
                <w:sz w:val="20"/>
                <w:szCs w:val="20"/>
              </w:rPr>
            </w:pPr>
            <w:r w:rsidRPr="00EB6CF6">
              <w:rPr>
                <w:rFonts w:cs="Times New Roman"/>
                <w:sz w:val="20"/>
              </w:rPr>
              <w:t>23 665 609</w:t>
            </w:r>
          </w:p>
        </w:tc>
        <w:tc>
          <w:tcPr>
            <w:tcW w:w="1276" w:type="dxa"/>
            <w:shd w:val="clear" w:color="auto" w:fill="auto"/>
            <w:noWrap/>
            <w:vAlign w:val="center"/>
            <w:hideMark/>
          </w:tcPr>
          <w:p w14:paraId="62E863A5" w14:textId="77777777" w:rsidR="00B12ACB" w:rsidRPr="00EB6CF6" w:rsidRDefault="00B12ACB" w:rsidP="0068316B">
            <w:pPr>
              <w:spacing w:after="0" w:line="240" w:lineRule="auto"/>
              <w:ind w:firstLine="34"/>
              <w:jc w:val="center"/>
              <w:rPr>
                <w:rFonts w:cs="Times New Roman"/>
                <w:sz w:val="20"/>
                <w:szCs w:val="20"/>
              </w:rPr>
            </w:pPr>
            <w:r w:rsidRPr="00EB6CF6">
              <w:rPr>
                <w:rFonts w:cs="Times New Roman"/>
                <w:sz w:val="20"/>
              </w:rPr>
              <w:t>23 665 609</w:t>
            </w:r>
          </w:p>
        </w:tc>
        <w:tc>
          <w:tcPr>
            <w:tcW w:w="1242" w:type="dxa"/>
            <w:shd w:val="clear" w:color="auto" w:fill="auto"/>
            <w:noWrap/>
            <w:vAlign w:val="center"/>
            <w:hideMark/>
          </w:tcPr>
          <w:p w14:paraId="084396FF" w14:textId="77777777" w:rsidR="00B12ACB" w:rsidRPr="00EB6CF6" w:rsidRDefault="00B12ACB" w:rsidP="0068316B">
            <w:pPr>
              <w:spacing w:after="0" w:line="240" w:lineRule="auto"/>
              <w:ind w:firstLine="34"/>
              <w:jc w:val="center"/>
              <w:rPr>
                <w:rFonts w:cs="Times New Roman"/>
                <w:sz w:val="20"/>
                <w:szCs w:val="20"/>
              </w:rPr>
            </w:pPr>
            <w:r w:rsidRPr="00EB6CF6">
              <w:rPr>
                <w:rFonts w:cs="Times New Roman"/>
                <w:sz w:val="20"/>
              </w:rPr>
              <w:t>48 009 955</w:t>
            </w:r>
          </w:p>
        </w:tc>
        <w:tc>
          <w:tcPr>
            <w:tcW w:w="1242" w:type="dxa"/>
            <w:shd w:val="clear" w:color="auto" w:fill="auto"/>
            <w:noWrap/>
            <w:vAlign w:val="center"/>
            <w:hideMark/>
          </w:tcPr>
          <w:p w14:paraId="24047740" w14:textId="77777777" w:rsidR="00B12ACB" w:rsidRPr="00EB6CF6" w:rsidRDefault="00B12ACB" w:rsidP="0068316B">
            <w:pPr>
              <w:spacing w:after="0" w:line="240" w:lineRule="auto"/>
              <w:ind w:firstLine="34"/>
              <w:jc w:val="center"/>
              <w:rPr>
                <w:rFonts w:cs="Times New Roman"/>
                <w:sz w:val="20"/>
                <w:szCs w:val="20"/>
              </w:rPr>
            </w:pPr>
            <w:r w:rsidRPr="00EB6CF6">
              <w:rPr>
                <w:rFonts w:cs="Times New Roman"/>
                <w:sz w:val="20"/>
              </w:rPr>
              <w:t>30 220 870</w:t>
            </w:r>
          </w:p>
        </w:tc>
        <w:tc>
          <w:tcPr>
            <w:tcW w:w="1354" w:type="dxa"/>
            <w:shd w:val="clear" w:color="auto" w:fill="auto"/>
            <w:noWrap/>
            <w:vAlign w:val="center"/>
            <w:hideMark/>
          </w:tcPr>
          <w:p w14:paraId="5A5F9815" w14:textId="77777777" w:rsidR="00B12ACB" w:rsidRPr="00EB6CF6" w:rsidRDefault="00B12ACB" w:rsidP="0068316B">
            <w:pPr>
              <w:spacing w:after="0" w:line="240" w:lineRule="auto"/>
              <w:ind w:firstLine="34"/>
              <w:jc w:val="center"/>
              <w:rPr>
                <w:rFonts w:cs="Times New Roman"/>
                <w:sz w:val="20"/>
                <w:szCs w:val="20"/>
              </w:rPr>
            </w:pPr>
            <w:r w:rsidRPr="00EB6CF6">
              <w:rPr>
                <w:rFonts w:cs="Times New Roman"/>
                <w:sz w:val="20"/>
              </w:rPr>
              <w:t>60 352 620</w:t>
            </w:r>
          </w:p>
        </w:tc>
        <w:tc>
          <w:tcPr>
            <w:tcW w:w="1284" w:type="dxa"/>
            <w:shd w:val="clear" w:color="auto" w:fill="auto"/>
            <w:noWrap/>
            <w:vAlign w:val="center"/>
            <w:hideMark/>
          </w:tcPr>
          <w:p w14:paraId="205A428F" w14:textId="77777777" w:rsidR="00B12ACB" w:rsidRPr="00EB6CF6" w:rsidRDefault="00B12ACB" w:rsidP="0068316B">
            <w:pPr>
              <w:spacing w:after="0" w:line="240" w:lineRule="auto"/>
              <w:ind w:firstLine="34"/>
              <w:jc w:val="center"/>
              <w:rPr>
                <w:rFonts w:cs="Times New Roman"/>
                <w:sz w:val="20"/>
                <w:szCs w:val="20"/>
              </w:rPr>
            </w:pPr>
            <w:r w:rsidRPr="00EB6CF6">
              <w:rPr>
                <w:rFonts w:cs="Times New Roman"/>
                <w:sz w:val="20"/>
              </w:rPr>
              <w:t>67 192 435</w:t>
            </w:r>
          </w:p>
        </w:tc>
        <w:tc>
          <w:tcPr>
            <w:tcW w:w="1276" w:type="dxa"/>
            <w:tcBorders>
              <w:right w:val="single" w:sz="4" w:space="0" w:color="auto"/>
            </w:tcBorders>
            <w:shd w:val="clear" w:color="auto" w:fill="auto"/>
            <w:noWrap/>
            <w:vAlign w:val="center"/>
            <w:hideMark/>
          </w:tcPr>
          <w:p w14:paraId="41B83520" w14:textId="77777777" w:rsidR="00B12ACB" w:rsidRPr="00EB6CF6" w:rsidRDefault="007C65E6" w:rsidP="0068316B">
            <w:pPr>
              <w:spacing w:after="0" w:line="240" w:lineRule="auto"/>
              <w:ind w:firstLine="34"/>
              <w:jc w:val="center"/>
              <w:rPr>
                <w:rFonts w:cs="Times New Roman"/>
                <w:sz w:val="20"/>
                <w:szCs w:val="20"/>
              </w:rPr>
            </w:pPr>
            <w:r>
              <w:rPr>
                <w:rFonts w:cs="Times New Roman"/>
                <w:sz w:val="20"/>
              </w:rPr>
              <w:t>17 799 052</w:t>
            </w:r>
          </w:p>
        </w:tc>
        <w:tc>
          <w:tcPr>
            <w:tcW w:w="1150" w:type="dxa"/>
            <w:vMerge/>
            <w:tcBorders>
              <w:top w:val="nil"/>
              <w:left w:val="single" w:sz="4" w:space="0" w:color="auto"/>
              <w:bottom w:val="nil"/>
              <w:right w:val="nil"/>
            </w:tcBorders>
            <w:vAlign w:val="center"/>
          </w:tcPr>
          <w:p w14:paraId="52DAE9E9" w14:textId="77777777" w:rsidR="00B12ACB" w:rsidRPr="008932D4" w:rsidRDefault="00B12ACB" w:rsidP="0068316B">
            <w:pPr>
              <w:spacing w:after="0" w:line="240" w:lineRule="auto"/>
              <w:ind w:firstLine="34"/>
              <w:jc w:val="center"/>
              <w:rPr>
                <w:rFonts w:cs="Times New Roman"/>
                <w:sz w:val="20"/>
                <w:szCs w:val="20"/>
              </w:rPr>
            </w:pPr>
          </w:p>
        </w:tc>
      </w:tr>
      <w:tr w:rsidR="00B12ACB" w:rsidRPr="008932D4" w14:paraId="50A60E09" w14:textId="77777777" w:rsidTr="0068316B">
        <w:trPr>
          <w:trHeight w:val="288"/>
        </w:trPr>
        <w:tc>
          <w:tcPr>
            <w:tcW w:w="4390" w:type="dxa"/>
            <w:shd w:val="clear" w:color="auto" w:fill="auto"/>
            <w:noWrap/>
            <w:vAlign w:val="bottom"/>
            <w:hideMark/>
          </w:tcPr>
          <w:p w14:paraId="16496248" w14:textId="77777777" w:rsidR="00B12ACB" w:rsidRPr="006073B4" w:rsidRDefault="00B12ACB" w:rsidP="0068316B">
            <w:pPr>
              <w:spacing w:after="0" w:line="240" w:lineRule="auto"/>
              <w:ind w:firstLine="34"/>
              <w:jc w:val="center"/>
              <w:rPr>
                <w:rFonts w:cs="Times New Roman"/>
                <w:b/>
                <w:bCs/>
                <w:sz w:val="20"/>
                <w:szCs w:val="20"/>
              </w:rPr>
            </w:pPr>
            <w:r w:rsidRPr="006073B4">
              <w:rPr>
                <w:rFonts w:cs="Times New Roman"/>
                <w:b/>
                <w:bCs/>
                <w:sz w:val="20"/>
                <w:szCs w:val="20"/>
              </w:rPr>
              <w:lastRenderedPageBreak/>
              <w:t>Bilance</w:t>
            </w:r>
          </w:p>
        </w:tc>
        <w:tc>
          <w:tcPr>
            <w:tcW w:w="1276" w:type="dxa"/>
            <w:shd w:val="clear" w:color="auto" w:fill="auto"/>
            <w:noWrap/>
            <w:vAlign w:val="center"/>
            <w:hideMark/>
          </w:tcPr>
          <w:p w14:paraId="184C1D41" w14:textId="77777777" w:rsidR="00B12ACB" w:rsidRPr="006073B4" w:rsidRDefault="00B12ACB" w:rsidP="0068316B">
            <w:pPr>
              <w:spacing w:after="0" w:line="240" w:lineRule="auto"/>
              <w:ind w:firstLine="34"/>
              <w:jc w:val="center"/>
              <w:rPr>
                <w:rFonts w:cs="Times New Roman"/>
                <w:b/>
                <w:sz w:val="20"/>
                <w:szCs w:val="20"/>
              </w:rPr>
            </w:pPr>
          </w:p>
        </w:tc>
        <w:tc>
          <w:tcPr>
            <w:tcW w:w="1276" w:type="dxa"/>
            <w:shd w:val="clear" w:color="auto" w:fill="auto"/>
            <w:noWrap/>
            <w:vAlign w:val="center"/>
            <w:hideMark/>
          </w:tcPr>
          <w:p w14:paraId="3B0B09D3" w14:textId="77777777" w:rsidR="00B12ACB" w:rsidRPr="006073B4" w:rsidRDefault="00B12ACB" w:rsidP="0068316B">
            <w:pPr>
              <w:spacing w:after="0" w:line="240" w:lineRule="auto"/>
              <w:ind w:firstLine="34"/>
              <w:jc w:val="center"/>
              <w:rPr>
                <w:rFonts w:cs="Times New Roman"/>
                <w:b/>
                <w:sz w:val="20"/>
                <w:szCs w:val="20"/>
              </w:rPr>
            </w:pPr>
            <w:r>
              <w:rPr>
                <w:rFonts w:cs="Times New Roman"/>
                <w:b/>
                <w:sz w:val="20"/>
                <w:szCs w:val="20"/>
              </w:rPr>
              <w:t>+</w:t>
            </w:r>
            <w:r w:rsidRPr="006073B4">
              <w:rPr>
                <w:rFonts w:cs="Times New Roman"/>
                <w:b/>
                <w:sz w:val="20"/>
                <w:szCs w:val="20"/>
              </w:rPr>
              <w:t>30 750</w:t>
            </w:r>
          </w:p>
        </w:tc>
        <w:tc>
          <w:tcPr>
            <w:tcW w:w="1242" w:type="dxa"/>
            <w:shd w:val="clear" w:color="auto" w:fill="auto"/>
            <w:noWrap/>
            <w:vAlign w:val="center"/>
            <w:hideMark/>
          </w:tcPr>
          <w:p w14:paraId="3184BADF" w14:textId="77777777" w:rsidR="00B12ACB" w:rsidRPr="006073B4" w:rsidRDefault="00B12ACB" w:rsidP="0068316B">
            <w:pPr>
              <w:spacing w:after="0" w:line="240" w:lineRule="auto"/>
              <w:ind w:firstLine="34"/>
              <w:jc w:val="center"/>
              <w:rPr>
                <w:rFonts w:cs="Times New Roman"/>
                <w:b/>
                <w:sz w:val="20"/>
                <w:szCs w:val="20"/>
              </w:rPr>
            </w:pPr>
          </w:p>
        </w:tc>
        <w:tc>
          <w:tcPr>
            <w:tcW w:w="1242" w:type="dxa"/>
            <w:shd w:val="clear" w:color="auto" w:fill="auto"/>
            <w:noWrap/>
            <w:vAlign w:val="center"/>
            <w:hideMark/>
          </w:tcPr>
          <w:p w14:paraId="4C01C0F9" w14:textId="77777777" w:rsidR="00B12ACB" w:rsidRPr="006073B4" w:rsidRDefault="00B12ACB" w:rsidP="0068316B">
            <w:pPr>
              <w:spacing w:after="0" w:line="240" w:lineRule="auto"/>
              <w:ind w:firstLine="34"/>
              <w:jc w:val="center"/>
              <w:rPr>
                <w:rFonts w:cs="Times New Roman"/>
                <w:b/>
                <w:sz w:val="20"/>
                <w:szCs w:val="20"/>
              </w:rPr>
            </w:pPr>
            <w:r w:rsidRPr="006073B4">
              <w:rPr>
                <w:rFonts w:cs="Times New Roman"/>
                <w:b/>
                <w:sz w:val="20"/>
                <w:szCs w:val="20"/>
              </w:rPr>
              <w:t>0</w:t>
            </w:r>
          </w:p>
        </w:tc>
        <w:tc>
          <w:tcPr>
            <w:tcW w:w="1354" w:type="dxa"/>
            <w:shd w:val="clear" w:color="auto" w:fill="auto"/>
            <w:noWrap/>
            <w:vAlign w:val="center"/>
            <w:hideMark/>
          </w:tcPr>
          <w:p w14:paraId="7A54E0A1" w14:textId="77777777" w:rsidR="00B12ACB" w:rsidRPr="006073B4" w:rsidRDefault="00B12ACB" w:rsidP="0068316B">
            <w:pPr>
              <w:spacing w:after="0" w:line="240" w:lineRule="auto"/>
              <w:ind w:firstLine="34"/>
              <w:jc w:val="center"/>
              <w:rPr>
                <w:rFonts w:cs="Times New Roman"/>
                <w:b/>
                <w:sz w:val="20"/>
                <w:szCs w:val="20"/>
              </w:rPr>
            </w:pPr>
          </w:p>
        </w:tc>
        <w:tc>
          <w:tcPr>
            <w:tcW w:w="1284" w:type="dxa"/>
            <w:shd w:val="clear" w:color="auto" w:fill="auto"/>
            <w:noWrap/>
            <w:vAlign w:val="center"/>
            <w:hideMark/>
          </w:tcPr>
          <w:p w14:paraId="253A67F7" w14:textId="77777777" w:rsidR="00B12ACB" w:rsidRPr="006073B4" w:rsidRDefault="00B12ACB" w:rsidP="0068316B">
            <w:pPr>
              <w:spacing w:after="0" w:line="240" w:lineRule="auto"/>
              <w:ind w:firstLine="34"/>
              <w:jc w:val="center"/>
              <w:rPr>
                <w:rFonts w:cs="Times New Roman"/>
                <w:b/>
                <w:sz w:val="20"/>
                <w:szCs w:val="20"/>
              </w:rPr>
            </w:pPr>
            <w:r w:rsidRPr="006073B4">
              <w:rPr>
                <w:rFonts w:cs="Times New Roman"/>
                <w:b/>
                <w:sz w:val="20"/>
                <w:szCs w:val="20"/>
              </w:rPr>
              <w:t>0</w:t>
            </w:r>
          </w:p>
        </w:tc>
        <w:tc>
          <w:tcPr>
            <w:tcW w:w="1276" w:type="dxa"/>
            <w:tcBorders>
              <w:right w:val="single" w:sz="4" w:space="0" w:color="auto"/>
            </w:tcBorders>
            <w:shd w:val="clear" w:color="auto" w:fill="auto"/>
            <w:noWrap/>
            <w:vAlign w:val="center"/>
            <w:hideMark/>
          </w:tcPr>
          <w:p w14:paraId="4CB342BA" w14:textId="77777777" w:rsidR="00B12ACB" w:rsidRPr="006073B4" w:rsidRDefault="00B12ACB" w:rsidP="0068316B">
            <w:pPr>
              <w:spacing w:after="0" w:line="240" w:lineRule="auto"/>
              <w:ind w:firstLine="34"/>
              <w:jc w:val="center"/>
              <w:rPr>
                <w:rFonts w:cs="Times New Roman"/>
                <w:b/>
                <w:sz w:val="20"/>
                <w:szCs w:val="20"/>
              </w:rPr>
            </w:pPr>
            <w:r w:rsidRPr="006073B4">
              <w:rPr>
                <w:rFonts w:cs="Times New Roman"/>
                <w:b/>
                <w:sz w:val="20"/>
                <w:szCs w:val="20"/>
              </w:rPr>
              <w:t>0</w:t>
            </w:r>
          </w:p>
        </w:tc>
        <w:tc>
          <w:tcPr>
            <w:tcW w:w="1150" w:type="dxa"/>
            <w:vMerge/>
            <w:tcBorders>
              <w:top w:val="nil"/>
              <w:left w:val="single" w:sz="4" w:space="0" w:color="auto"/>
              <w:bottom w:val="nil"/>
              <w:right w:val="nil"/>
            </w:tcBorders>
            <w:vAlign w:val="center"/>
          </w:tcPr>
          <w:p w14:paraId="1413A4CD" w14:textId="77777777" w:rsidR="00B12ACB" w:rsidRPr="008932D4" w:rsidRDefault="00B12ACB" w:rsidP="0068316B">
            <w:pPr>
              <w:spacing w:after="0" w:line="240" w:lineRule="auto"/>
              <w:ind w:firstLine="34"/>
              <w:jc w:val="center"/>
              <w:rPr>
                <w:rFonts w:cs="Times New Roman"/>
                <w:sz w:val="20"/>
                <w:szCs w:val="20"/>
              </w:rPr>
            </w:pPr>
          </w:p>
        </w:tc>
      </w:tr>
      <w:tr w:rsidR="0068316B" w:rsidRPr="008932D4" w14:paraId="44437F61" w14:textId="77777777" w:rsidTr="0068316B">
        <w:trPr>
          <w:trHeight w:val="288"/>
        </w:trPr>
        <w:tc>
          <w:tcPr>
            <w:tcW w:w="4390" w:type="dxa"/>
            <w:shd w:val="clear" w:color="auto" w:fill="auto"/>
            <w:noWrap/>
            <w:vAlign w:val="bottom"/>
          </w:tcPr>
          <w:p w14:paraId="0D7546A4" w14:textId="77777777" w:rsidR="0068316B" w:rsidRPr="006073B4" w:rsidRDefault="0068316B" w:rsidP="0068316B">
            <w:pPr>
              <w:spacing w:after="0" w:line="240" w:lineRule="auto"/>
              <w:ind w:firstLine="34"/>
              <w:jc w:val="center"/>
              <w:rPr>
                <w:rFonts w:cs="Times New Roman"/>
                <w:b/>
                <w:bCs/>
                <w:sz w:val="20"/>
                <w:szCs w:val="20"/>
              </w:rPr>
            </w:pPr>
            <w:r w:rsidRPr="006073B4">
              <w:rPr>
                <w:rFonts w:cs="Times New Roman"/>
                <w:b/>
                <w:sz w:val="20"/>
                <w:szCs w:val="20"/>
              </w:rPr>
              <w:t>OIK, EUR/</w:t>
            </w:r>
            <w:proofErr w:type="spellStart"/>
            <w:r w:rsidRPr="006073B4">
              <w:rPr>
                <w:rFonts w:cs="Times New Roman"/>
                <w:b/>
                <w:sz w:val="20"/>
                <w:szCs w:val="20"/>
              </w:rPr>
              <w:t>MWh</w:t>
            </w:r>
            <w:proofErr w:type="spellEnd"/>
          </w:p>
        </w:tc>
        <w:tc>
          <w:tcPr>
            <w:tcW w:w="7674" w:type="dxa"/>
            <w:gridSpan w:val="6"/>
            <w:shd w:val="clear" w:color="auto" w:fill="auto"/>
            <w:noWrap/>
            <w:vAlign w:val="center"/>
          </w:tcPr>
          <w:p w14:paraId="6723AD1C" w14:textId="77777777" w:rsidR="0068316B" w:rsidRPr="006073B4" w:rsidRDefault="0068316B" w:rsidP="0068316B">
            <w:pPr>
              <w:spacing w:after="0" w:line="240" w:lineRule="auto"/>
              <w:ind w:firstLine="34"/>
              <w:jc w:val="center"/>
              <w:rPr>
                <w:rFonts w:cs="Times New Roman"/>
                <w:b/>
                <w:sz w:val="20"/>
                <w:szCs w:val="20"/>
              </w:rPr>
            </w:pPr>
            <w:r w:rsidRPr="006073B4">
              <w:rPr>
                <w:rFonts w:cs="Times New Roman"/>
                <w:b/>
                <w:sz w:val="20"/>
                <w:szCs w:val="20"/>
              </w:rPr>
              <w:t>26,79</w:t>
            </w:r>
          </w:p>
        </w:tc>
        <w:tc>
          <w:tcPr>
            <w:tcW w:w="1276" w:type="dxa"/>
            <w:tcBorders>
              <w:right w:val="single" w:sz="4" w:space="0" w:color="auto"/>
            </w:tcBorders>
            <w:shd w:val="clear" w:color="auto" w:fill="auto"/>
            <w:noWrap/>
            <w:vAlign w:val="center"/>
          </w:tcPr>
          <w:p w14:paraId="5EB4F977" w14:textId="77777777" w:rsidR="0068316B" w:rsidRPr="006073B4" w:rsidRDefault="0068316B" w:rsidP="0068316B">
            <w:pPr>
              <w:spacing w:after="0" w:line="240" w:lineRule="auto"/>
              <w:ind w:firstLine="34"/>
              <w:jc w:val="center"/>
              <w:rPr>
                <w:rFonts w:cs="Times New Roman"/>
                <w:b/>
                <w:sz w:val="20"/>
                <w:szCs w:val="20"/>
              </w:rPr>
            </w:pPr>
            <w:r>
              <w:rPr>
                <w:rFonts w:cs="Times New Roman"/>
                <w:b/>
                <w:sz w:val="20"/>
                <w:szCs w:val="20"/>
              </w:rPr>
              <w:t>40,43</w:t>
            </w:r>
          </w:p>
        </w:tc>
        <w:tc>
          <w:tcPr>
            <w:tcW w:w="1150" w:type="dxa"/>
            <w:vMerge/>
            <w:tcBorders>
              <w:top w:val="nil"/>
              <w:left w:val="single" w:sz="4" w:space="0" w:color="auto"/>
              <w:bottom w:val="nil"/>
              <w:right w:val="nil"/>
            </w:tcBorders>
            <w:vAlign w:val="center"/>
          </w:tcPr>
          <w:p w14:paraId="5FD33274" w14:textId="77777777" w:rsidR="0068316B" w:rsidRPr="008932D4" w:rsidRDefault="0068316B" w:rsidP="0068316B">
            <w:pPr>
              <w:spacing w:after="0" w:line="240" w:lineRule="auto"/>
              <w:ind w:firstLine="34"/>
              <w:jc w:val="center"/>
              <w:rPr>
                <w:rFonts w:cs="Times New Roman"/>
                <w:sz w:val="20"/>
                <w:szCs w:val="20"/>
              </w:rPr>
            </w:pPr>
          </w:p>
        </w:tc>
      </w:tr>
    </w:tbl>
    <w:p w14:paraId="6C7A9403" w14:textId="77777777" w:rsidR="0072659E" w:rsidRDefault="0072659E" w:rsidP="00B12ACB">
      <w:pPr>
        <w:pStyle w:val="Caption"/>
        <w:keepNext/>
        <w:jc w:val="right"/>
        <w:rPr>
          <w:rFonts w:ascii="Times New Roman" w:hAnsi="Times New Roman"/>
          <w:sz w:val="24"/>
          <w:szCs w:val="24"/>
        </w:rPr>
      </w:pPr>
    </w:p>
    <w:p w14:paraId="358D26E2" w14:textId="77777777" w:rsidR="00B12ACB" w:rsidRPr="00D116AC" w:rsidRDefault="00B12ACB" w:rsidP="00B12ACB">
      <w:pPr>
        <w:pStyle w:val="Caption"/>
        <w:keepNext/>
        <w:jc w:val="right"/>
        <w:rPr>
          <w:rFonts w:ascii="Times New Roman" w:hAnsi="Times New Roman"/>
          <w:sz w:val="24"/>
          <w:szCs w:val="24"/>
        </w:rPr>
      </w:pPr>
      <w:r>
        <w:rPr>
          <w:rFonts w:ascii="Times New Roman" w:hAnsi="Times New Roman"/>
          <w:sz w:val="24"/>
          <w:szCs w:val="24"/>
        </w:rPr>
        <w:t>14</w:t>
      </w:r>
      <w:r w:rsidRPr="00D116AC">
        <w:rPr>
          <w:rFonts w:ascii="Times New Roman" w:hAnsi="Times New Roman"/>
          <w:sz w:val="24"/>
          <w:szCs w:val="24"/>
        </w:rPr>
        <w:t>.tabula</w:t>
      </w:r>
    </w:p>
    <w:p w14:paraId="0319863F" w14:textId="77777777" w:rsidR="00B12ACB" w:rsidRPr="009E280D" w:rsidRDefault="00B12ACB" w:rsidP="00B12ACB">
      <w:pPr>
        <w:pStyle w:val="Caption"/>
        <w:keepNext/>
        <w:keepLines/>
        <w:widowControl/>
        <w:jc w:val="center"/>
        <w:rPr>
          <w:rFonts w:ascii="Times New Roman" w:hAnsi="Times New Roman"/>
          <w:sz w:val="24"/>
          <w:szCs w:val="24"/>
        </w:rPr>
      </w:pPr>
      <w:r>
        <w:rPr>
          <w:rFonts w:ascii="Times New Roman" w:hAnsi="Times New Roman"/>
          <w:sz w:val="24"/>
          <w:szCs w:val="24"/>
        </w:rPr>
        <w:t xml:space="preserve">Valsts budžetā iemaksājamās </w:t>
      </w:r>
      <w:r w:rsidRPr="006073B4">
        <w:rPr>
          <w:rFonts w:ascii="Times New Roman" w:hAnsi="Times New Roman"/>
          <w:sz w:val="24"/>
          <w:szCs w:val="24"/>
        </w:rPr>
        <w:t>AS "Latvenergo" dividendes</w:t>
      </w:r>
      <w:r>
        <w:rPr>
          <w:rFonts w:ascii="Times New Roman" w:hAnsi="Times New Roman"/>
          <w:sz w:val="24"/>
          <w:szCs w:val="24"/>
        </w:rPr>
        <w:t>, EUR</w:t>
      </w: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394"/>
        <w:gridCol w:w="1393"/>
        <w:gridCol w:w="1354"/>
        <w:gridCol w:w="1331"/>
        <w:gridCol w:w="1383"/>
        <w:gridCol w:w="1463"/>
        <w:gridCol w:w="1463"/>
      </w:tblGrid>
      <w:tr w:rsidR="00B12ACB" w:rsidRPr="008932D4" w14:paraId="2DB393CE" w14:textId="77777777" w:rsidTr="0068316B">
        <w:trPr>
          <w:trHeight w:val="288"/>
        </w:trPr>
        <w:tc>
          <w:tcPr>
            <w:tcW w:w="3823" w:type="dxa"/>
            <w:shd w:val="clear" w:color="auto" w:fill="auto"/>
            <w:noWrap/>
            <w:vAlign w:val="bottom"/>
          </w:tcPr>
          <w:p w14:paraId="053FBFB6" w14:textId="77777777" w:rsidR="00B12ACB" w:rsidRPr="008932D4" w:rsidRDefault="00B12ACB" w:rsidP="0068316B">
            <w:pPr>
              <w:spacing w:after="0" w:line="240" w:lineRule="auto"/>
              <w:ind w:firstLine="34"/>
              <w:rPr>
                <w:rFonts w:cs="Times New Roman"/>
                <w:sz w:val="20"/>
                <w:szCs w:val="20"/>
              </w:rPr>
            </w:pPr>
          </w:p>
        </w:tc>
        <w:tc>
          <w:tcPr>
            <w:tcW w:w="2787" w:type="dxa"/>
            <w:gridSpan w:val="2"/>
            <w:shd w:val="clear" w:color="auto" w:fill="auto"/>
            <w:noWrap/>
            <w:vAlign w:val="center"/>
          </w:tcPr>
          <w:p w14:paraId="79AA4BA9"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b/>
                <w:bCs/>
                <w:sz w:val="20"/>
                <w:szCs w:val="20"/>
              </w:rPr>
              <w:t>2016</w:t>
            </w:r>
          </w:p>
        </w:tc>
        <w:tc>
          <w:tcPr>
            <w:tcW w:w="2685" w:type="dxa"/>
            <w:gridSpan w:val="2"/>
            <w:shd w:val="clear" w:color="auto" w:fill="auto"/>
            <w:noWrap/>
            <w:vAlign w:val="center"/>
          </w:tcPr>
          <w:p w14:paraId="1525791D"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b/>
                <w:bCs/>
                <w:sz w:val="20"/>
                <w:szCs w:val="20"/>
              </w:rPr>
              <w:t>2017</w:t>
            </w:r>
          </w:p>
        </w:tc>
        <w:tc>
          <w:tcPr>
            <w:tcW w:w="2846" w:type="dxa"/>
            <w:gridSpan w:val="2"/>
            <w:shd w:val="clear" w:color="auto" w:fill="auto"/>
            <w:noWrap/>
            <w:vAlign w:val="center"/>
          </w:tcPr>
          <w:p w14:paraId="59A41949" w14:textId="77777777" w:rsidR="00B12ACB" w:rsidRPr="008932D4" w:rsidRDefault="00B12ACB" w:rsidP="0068316B">
            <w:pPr>
              <w:spacing w:after="0" w:line="240" w:lineRule="auto"/>
              <w:ind w:firstLine="34"/>
              <w:jc w:val="center"/>
              <w:rPr>
                <w:rFonts w:cs="Times New Roman"/>
                <w:sz w:val="20"/>
                <w:szCs w:val="20"/>
              </w:rPr>
            </w:pPr>
            <w:r>
              <w:rPr>
                <w:rFonts w:cs="Times New Roman"/>
                <w:b/>
                <w:bCs/>
                <w:sz w:val="20"/>
                <w:szCs w:val="20"/>
              </w:rPr>
              <w:t>2</w:t>
            </w:r>
            <w:r w:rsidRPr="008932D4">
              <w:rPr>
                <w:rFonts w:cs="Times New Roman"/>
                <w:b/>
                <w:bCs/>
                <w:sz w:val="20"/>
                <w:szCs w:val="20"/>
              </w:rPr>
              <w:t>018</w:t>
            </w:r>
          </w:p>
        </w:tc>
        <w:tc>
          <w:tcPr>
            <w:tcW w:w="1463" w:type="dxa"/>
            <w:tcBorders>
              <w:right w:val="single" w:sz="4" w:space="0" w:color="auto"/>
            </w:tcBorders>
            <w:shd w:val="clear" w:color="auto" w:fill="auto"/>
            <w:noWrap/>
            <w:vAlign w:val="center"/>
          </w:tcPr>
          <w:p w14:paraId="076AF7DD" w14:textId="77777777" w:rsidR="00B12ACB" w:rsidRPr="008932D4" w:rsidRDefault="00B12ACB" w:rsidP="0068316B">
            <w:pPr>
              <w:spacing w:after="0" w:line="240" w:lineRule="auto"/>
              <w:ind w:firstLine="34"/>
              <w:jc w:val="center"/>
              <w:rPr>
                <w:rFonts w:cs="Times New Roman"/>
                <w:sz w:val="20"/>
                <w:szCs w:val="20"/>
              </w:rPr>
            </w:pPr>
            <w:r>
              <w:rPr>
                <w:rFonts w:cs="Times New Roman"/>
                <w:b/>
                <w:bCs/>
                <w:sz w:val="20"/>
                <w:szCs w:val="20"/>
              </w:rPr>
              <w:t>2019</w:t>
            </w:r>
          </w:p>
        </w:tc>
      </w:tr>
      <w:tr w:rsidR="00B12ACB" w:rsidRPr="008932D4" w14:paraId="4EB3EC94" w14:textId="77777777" w:rsidTr="0068316B">
        <w:trPr>
          <w:trHeight w:val="288"/>
        </w:trPr>
        <w:tc>
          <w:tcPr>
            <w:tcW w:w="3823" w:type="dxa"/>
            <w:shd w:val="clear" w:color="auto" w:fill="auto"/>
            <w:noWrap/>
            <w:vAlign w:val="bottom"/>
            <w:hideMark/>
          </w:tcPr>
          <w:p w14:paraId="5D3A1A5B" w14:textId="77777777" w:rsidR="00B12ACB" w:rsidRPr="008932D4" w:rsidRDefault="00B12ACB" w:rsidP="0068316B">
            <w:pPr>
              <w:spacing w:after="0" w:line="240" w:lineRule="auto"/>
              <w:ind w:firstLine="34"/>
              <w:rPr>
                <w:rFonts w:cs="Times New Roman"/>
                <w:sz w:val="20"/>
                <w:szCs w:val="20"/>
              </w:rPr>
            </w:pPr>
          </w:p>
        </w:tc>
        <w:tc>
          <w:tcPr>
            <w:tcW w:w="1394" w:type="dxa"/>
            <w:shd w:val="clear" w:color="auto" w:fill="auto"/>
            <w:noWrap/>
            <w:vAlign w:val="center"/>
            <w:hideMark/>
          </w:tcPr>
          <w:p w14:paraId="1911EAB4" w14:textId="77777777" w:rsidR="00B12ACB" w:rsidRPr="008932D4" w:rsidRDefault="00B12ACB" w:rsidP="0068316B">
            <w:pPr>
              <w:spacing w:after="0" w:line="240" w:lineRule="auto"/>
              <w:ind w:firstLine="34"/>
              <w:jc w:val="center"/>
              <w:rPr>
                <w:rFonts w:cs="Times New Roman"/>
                <w:sz w:val="20"/>
                <w:szCs w:val="20"/>
              </w:rPr>
            </w:pPr>
            <w:r>
              <w:rPr>
                <w:rFonts w:cs="Times New Roman"/>
                <w:b/>
                <w:bCs/>
                <w:sz w:val="20"/>
                <w:szCs w:val="20"/>
              </w:rPr>
              <w:t>Budžets</w:t>
            </w:r>
          </w:p>
        </w:tc>
        <w:tc>
          <w:tcPr>
            <w:tcW w:w="1393" w:type="dxa"/>
            <w:shd w:val="clear" w:color="auto" w:fill="auto"/>
            <w:noWrap/>
            <w:vAlign w:val="center"/>
            <w:hideMark/>
          </w:tcPr>
          <w:p w14:paraId="5F65C678"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b/>
                <w:bCs/>
                <w:sz w:val="20"/>
                <w:szCs w:val="20"/>
              </w:rPr>
              <w:t>prognoze</w:t>
            </w:r>
          </w:p>
        </w:tc>
        <w:tc>
          <w:tcPr>
            <w:tcW w:w="1354" w:type="dxa"/>
            <w:shd w:val="clear" w:color="auto" w:fill="auto"/>
            <w:noWrap/>
            <w:vAlign w:val="center"/>
            <w:hideMark/>
          </w:tcPr>
          <w:p w14:paraId="5E7BC395" w14:textId="77777777" w:rsidR="00B12ACB" w:rsidRPr="008932D4" w:rsidRDefault="00B12ACB" w:rsidP="0068316B">
            <w:pPr>
              <w:spacing w:after="0" w:line="240" w:lineRule="auto"/>
              <w:ind w:firstLine="34"/>
              <w:jc w:val="center"/>
              <w:rPr>
                <w:rFonts w:cs="Times New Roman"/>
                <w:sz w:val="20"/>
                <w:szCs w:val="20"/>
              </w:rPr>
            </w:pPr>
            <w:r>
              <w:rPr>
                <w:rFonts w:cs="Times New Roman"/>
                <w:b/>
                <w:bCs/>
                <w:sz w:val="20"/>
                <w:szCs w:val="20"/>
              </w:rPr>
              <w:t>2015. gada prognoze</w:t>
            </w:r>
          </w:p>
        </w:tc>
        <w:tc>
          <w:tcPr>
            <w:tcW w:w="1331" w:type="dxa"/>
            <w:shd w:val="clear" w:color="auto" w:fill="auto"/>
            <w:noWrap/>
            <w:vAlign w:val="center"/>
            <w:hideMark/>
          </w:tcPr>
          <w:p w14:paraId="4D0B0ABD"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b/>
                <w:bCs/>
                <w:sz w:val="20"/>
                <w:szCs w:val="20"/>
              </w:rPr>
              <w:t>prognoze</w:t>
            </w:r>
          </w:p>
        </w:tc>
        <w:tc>
          <w:tcPr>
            <w:tcW w:w="1383" w:type="dxa"/>
            <w:shd w:val="clear" w:color="auto" w:fill="auto"/>
            <w:noWrap/>
            <w:vAlign w:val="center"/>
            <w:hideMark/>
          </w:tcPr>
          <w:p w14:paraId="3BA7C5CF" w14:textId="77777777" w:rsidR="00B12ACB" w:rsidRPr="008932D4" w:rsidRDefault="00B12ACB" w:rsidP="0068316B">
            <w:pPr>
              <w:spacing w:after="0" w:line="240" w:lineRule="auto"/>
              <w:ind w:firstLine="34"/>
              <w:jc w:val="center"/>
              <w:rPr>
                <w:rFonts w:cs="Times New Roman"/>
                <w:sz w:val="20"/>
                <w:szCs w:val="20"/>
              </w:rPr>
            </w:pPr>
            <w:r>
              <w:rPr>
                <w:rFonts w:cs="Times New Roman"/>
                <w:b/>
                <w:bCs/>
                <w:sz w:val="20"/>
                <w:szCs w:val="20"/>
              </w:rPr>
              <w:t>2015. gada prognoze</w:t>
            </w:r>
          </w:p>
        </w:tc>
        <w:tc>
          <w:tcPr>
            <w:tcW w:w="1463" w:type="dxa"/>
            <w:shd w:val="clear" w:color="auto" w:fill="auto"/>
            <w:noWrap/>
            <w:vAlign w:val="center"/>
            <w:hideMark/>
          </w:tcPr>
          <w:p w14:paraId="2E5C652D"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b/>
                <w:bCs/>
                <w:sz w:val="20"/>
                <w:szCs w:val="20"/>
              </w:rPr>
              <w:t>prognoze</w:t>
            </w:r>
          </w:p>
        </w:tc>
        <w:tc>
          <w:tcPr>
            <w:tcW w:w="1463" w:type="dxa"/>
            <w:tcBorders>
              <w:right w:val="single" w:sz="4" w:space="0" w:color="auto"/>
            </w:tcBorders>
            <w:shd w:val="clear" w:color="auto" w:fill="auto"/>
            <w:noWrap/>
            <w:vAlign w:val="center"/>
            <w:hideMark/>
          </w:tcPr>
          <w:p w14:paraId="29A2340F" w14:textId="77777777" w:rsidR="00B12ACB" w:rsidRPr="008932D4" w:rsidRDefault="00B12ACB" w:rsidP="0068316B">
            <w:pPr>
              <w:spacing w:after="0" w:line="240" w:lineRule="auto"/>
              <w:ind w:firstLine="34"/>
              <w:jc w:val="center"/>
              <w:rPr>
                <w:rFonts w:cs="Times New Roman"/>
                <w:sz w:val="20"/>
                <w:szCs w:val="20"/>
              </w:rPr>
            </w:pPr>
            <w:r w:rsidRPr="008932D4">
              <w:rPr>
                <w:rFonts w:cs="Times New Roman"/>
                <w:b/>
                <w:bCs/>
                <w:sz w:val="20"/>
                <w:szCs w:val="20"/>
              </w:rPr>
              <w:t>prognoze</w:t>
            </w:r>
          </w:p>
        </w:tc>
      </w:tr>
      <w:tr w:rsidR="00B12ACB" w:rsidRPr="008932D4" w14:paraId="119EB3BE" w14:textId="77777777" w:rsidTr="0068316B">
        <w:trPr>
          <w:trHeight w:val="288"/>
        </w:trPr>
        <w:tc>
          <w:tcPr>
            <w:tcW w:w="3823" w:type="dxa"/>
            <w:shd w:val="clear" w:color="auto" w:fill="auto"/>
            <w:noWrap/>
            <w:vAlign w:val="bottom"/>
            <w:hideMark/>
          </w:tcPr>
          <w:p w14:paraId="6787CE64" w14:textId="77777777" w:rsidR="00B12ACB" w:rsidRPr="008932D4" w:rsidRDefault="00B12ACB" w:rsidP="0068316B">
            <w:pPr>
              <w:spacing w:after="0" w:line="240" w:lineRule="auto"/>
              <w:ind w:firstLine="34"/>
              <w:rPr>
                <w:rFonts w:cs="Times New Roman"/>
                <w:b/>
                <w:bCs/>
                <w:sz w:val="20"/>
                <w:szCs w:val="20"/>
              </w:rPr>
            </w:pPr>
            <w:r w:rsidRPr="008932D4">
              <w:rPr>
                <w:rFonts w:cs="Times New Roman"/>
                <w:b/>
                <w:bCs/>
                <w:sz w:val="20"/>
                <w:szCs w:val="20"/>
              </w:rPr>
              <w:t>AS "Latvenergo" dividendes, tajā skaitā</w:t>
            </w:r>
          </w:p>
        </w:tc>
        <w:tc>
          <w:tcPr>
            <w:tcW w:w="1394" w:type="dxa"/>
            <w:shd w:val="clear" w:color="auto" w:fill="auto"/>
            <w:noWrap/>
            <w:vAlign w:val="bottom"/>
            <w:hideMark/>
          </w:tcPr>
          <w:p w14:paraId="6005D05B" w14:textId="77777777" w:rsidR="00B12ACB" w:rsidRPr="00537808" w:rsidRDefault="00B12ACB" w:rsidP="0068316B">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77 413 486</w:t>
            </w:r>
          </w:p>
        </w:tc>
        <w:tc>
          <w:tcPr>
            <w:tcW w:w="1393" w:type="dxa"/>
            <w:shd w:val="clear" w:color="auto" w:fill="auto"/>
            <w:noWrap/>
            <w:vAlign w:val="bottom"/>
            <w:hideMark/>
          </w:tcPr>
          <w:p w14:paraId="5A1720D4" w14:textId="77777777" w:rsidR="00B12ACB" w:rsidRPr="00537808" w:rsidRDefault="00B12ACB" w:rsidP="0068316B">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77 413 486</w:t>
            </w:r>
          </w:p>
        </w:tc>
        <w:tc>
          <w:tcPr>
            <w:tcW w:w="1354" w:type="dxa"/>
            <w:shd w:val="clear" w:color="auto" w:fill="auto"/>
            <w:noWrap/>
            <w:vAlign w:val="bottom"/>
            <w:hideMark/>
          </w:tcPr>
          <w:p w14:paraId="445342D3" w14:textId="77777777" w:rsidR="00B12ACB" w:rsidRPr="00537808" w:rsidRDefault="00B12ACB" w:rsidP="0068316B">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102 759 955</w:t>
            </w:r>
          </w:p>
        </w:tc>
        <w:tc>
          <w:tcPr>
            <w:tcW w:w="1331" w:type="dxa"/>
            <w:shd w:val="clear" w:color="auto" w:fill="auto"/>
            <w:noWrap/>
            <w:vAlign w:val="bottom"/>
            <w:hideMark/>
          </w:tcPr>
          <w:p w14:paraId="49378260" w14:textId="77777777" w:rsidR="00B12ACB" w:rsidRPr="00537808" w:rsidRDefault="00B12ACB" w:rsidP="0068316B">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84 970 870</w:t>
            </w:r>
          </w:p>
        </w:tc>
        <w:tc>
          <w:tcPr>
            <w:tcW w:w="1383" w:type="dxa"/>
            <w:shd w:val="clear" w:color="auto" w:fill="auto"/>
            <w:noWrap/>
            <w:vAlign w:val="bottom"/>
            <w:hideMark/>
          </w:tcPr>
          <w:p w14:paraId="71918207" w14:textId="77777777" w:rsidR="00B12ACB" w:rsidRPr="00537808" w:rsidRDefault="00B12ACB" w:rsidP="0068316B">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111 452 620</w:t>
            </w:r>
          </w:p>
        </w:tc>
        <w:tc>
          <w:tcPr>
            <w:tcW w:w="1463" w:type="dxa"/>
            <w:shd w:val="clear" w:color="auto" w:fill="auto"/>
            <w:noWrap/>
            <w:vAlign w:val="bottom"/>
            <w:hideMark/>
          </w:tcPr>
          <w:p w14:paraId="7636289F" w14:textId="7346AEFF" w:rsidR="00B12ACB" w:rsidRPr="00537808" w:rsidRDefault="00B12ACB" w:rsidP="0068316B">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118 292 435</w:t>
            </w:r>
          </w:p>
        </w:tc>
        <w:tc>
          <w:tcPr>
            <w:tcW w:w="1463" w:type="dxa"/>
            <w:tcBorders>
              <w:right w:val="single" w:sz="4" w:space="0" w:color="auto"/>
            </w:tcBorders>
            <w:shd w:val="clear" w:color="auto" w:fill="auto"/>
            <w:noWrap/>
            <w:vAlign w:val="bottom"/>
            <w:hideMark/>
          </w:tcPr>
          <w:p w14:paraId="16C15320" w14:textId="77777777" w:rsidR="00B12ACB" w:rsidRPr="00537808" w:rsidRDefault="007C65E6" w:rsidP="007C65E6">
            <w:pPr>
              <w:spacing w:after="0" w:line="240" w:lineRule="auto"/>
              <w:ind w:firstLine="34"/>
              <w:jc w:val="center"/>
              <w:rPr>
                <w:rFonts w:eastAsia="Times New Roman" w:cs="Times New Roman"/>
                <w:b/>
                <w:bCs/>
                <w:color w:val="000000"/>
                <w:sz w:val="20"/>
                <w:lang w:eastAsia="lv-LV"/>
              </w:rPr>
            </w:pPr>
            <w:r w:rsidRPr="00537808">
              <w:rPr>
                <w:rFonts w:cs="Times New Roman"/>
                <w:b/>
                <w:bCs/>
                <w:color w:val="000000"/>
                <w:sz w:val="20"/>
              </w:rPr>
              <w:t>68 899 052</w:t>
            </w:r>
          </w:p>
        </w:tc>
      </w:tr>
      <w:tr w:rsidR="00B12ACB" w:rsidRPr="008932D4" w14:paraId="7A163DE5" w14:textId="77777777" w:rsidTr="0068316B">
        <w:trPr>
          <w:trHeight w:val="288"/>
        </w:trPr>
        <w:tc>
          <w:tcPr>
            <w:tcW w:w="3823" w:type="dxa"/>
            <w:shd w:val="clear" w:color="auto" w:fill="auto"/>
            <w:noWrap/>
            <w:vAlign w:val="bottom"/>
            <w:hideMark/>
          </w:tcPr>
          <w:p w14:paraId="10622D95" w14:textId="77777777" w:rsidR="00B12ACB" w:rsidRPr="008932D4" w:rsidRDefault="00B12ACB" w:rsidP="0068316B">
            <w:pPr>
              <w:spacing w:after="0" w:line="240" w:lineRule="auto"/>
              <w:ind w:firstLine="34"/>
              <w:rPr>
                <w:rFonts w:cs="Times New Roman"/>
                <w:sz w:val="20"/>
                <w:szCs w:val="20"/>
              </w:rPr>
            </w:pPr>
            <w:r>
              <w:rPr>
                <w:rFonts w:cs="Times New Roman"/>
                <w:sz w:val="20"/>
                <w:szCs w:val="20"/>
              </w:rPr>
              <w:t>tostarp k</w:t>
            </w:r>
            <w:r w:rsidRPr="008932D4">
              <w:rPr>
                <w:rFonts w:cs="Times New Roman"/>
                <w:sz w:val="20"/>
                <w:szCs w:val="20"/>
              </w:rPr>
              <w:t>omplekso risinājumu elektroenerģijas tirgū novirzāmā daļa</w:t>
            </w:r>
          </w:p>
        </w:tc>
        <w:tc>
          <w:tcPr>
            <w:tcW w:w="1394" w:type="dxa"/>
            <w:shd w:val="clear" w:color="auto" w:fill="auto"/>
            <w:noWrap/>
            <w:vAlign w:val="center"/>
            <w:hideMark/>
          </w:tcPr>
          <w:p w14:paraId="217B7164" w14:textId="77777777" w:rsidR="00B12ACB" w:rsidRPr="005B54FE" w:rsidRDefault="00B12ACB" w:rsidP="0068316B">
            <w:pPr>
              <w:spacing w:after="0" w:line="240" w:lineRule="auto"/>
              <w:ind w:firstLine="34"/>
              <w:jc w:val="center"/>
              <w:rPr>
                <w:rFonts w:cs="Times New Roman"/>
                <w:sz w:val="20"/>
                <w:szCs w:val="20"/>
              </w:rPr>
            </w:pPr>
            <w:r w:rsidRPr="00EB6CF6">
              <w:rPr>
                <w:rFonts w:cs="Times New Roman"/>
                <w:sz w:val="20"/>
              </w:rPr>
              <w:t>23 665 609</w:t>
            </w:r>
          </w:p>
        </w:tc>
        <w:tc>
          <w:tcPr>
            <w:tcW w:w="1393" w:type="dxa"/>
            <w:shd w:val="clear" w:color="auto" w:fill="auto"/>
            <w:noWrap/>
            <w:vAlign w:val="center"/>
            <w:hideMark/>
          </w:tcPr>
          <w:p w14:paraId="17B9CF04" w14:textId="77777777" w:rsidR="00B12ACB" w:rsidRPr="005B54FE" w:rsidRDefault="00B12ACB" w:rsidP="0068316B">
            <w:pPr>
              <w:spacing w:after="0" w:line="240" w:lineRule="auto"/>
              <w:ind w:firstLine="34"/>
              <w:jc w:val="center"/>
              <w:rPr>
                <w:rFonts w:cs="Times New Roman"/>
                <w:sz w:val="20"/>
                <w:szCs w:val="20"/>
              </w:rPr>
            </w:pPr>
            <w:r w:rsidRPr="00EB6CF6">
              <w:rPr>
                <w:rFonts w:cs="Times New Roman"/>
                <w:sz w:val="20"/>
              </w:rPr>
              <w:t>23 665 609</w:t>
            </w:r>
          </w:p>
        </w:tc>
        <w:tc>
          <w:tcPr>
            <w:tcW w:w="1354" w:type="dxa"/>
            <w:shd w:val="clear" w:color="auto" w:fill="auto"/>
            <w:noWrap/>
            <w:vAlign w:val="center"/>
            <w:hideMark/>
          </w:tcPr>
          <w:p w14:paraId="4E477D15" w14:textId="77777777" w:rsidR="00B12ACB" w:rsidRPr="005B54FE" w:rsidRDefault="00B12ACB" w:rsidP="0068316B">
            <w:pPr>
              <w:spacing w:after="0" w:line="240" w:lineRule="auto"/>
              <w:ind w:firstLine="34"/>
              <w:jc w:val="center"/>
              <w:rPr>
                <w:rFonts w:cs="Times New Roman"/>
                <w:sz w:val="20"/>
                <w:szCs w:val="20"/>
              </w:rPr>
            </w:pPr>
            <w:r w:rsidRPr="00EB6CF6">
              <w:rPr>
                <w:rFonts w:cs="Times New Roman"/>
                <w:sz w:val="20"/>
              </w:rPr>
              <w:t>48 009 955</w:t>
            </w:r>
          </w:p>
        </w:tc>
        <w:tc>
          <w:tcPr>
            <w:tcW w:w="1331" w:type="dxa"/>
            <w:shd w:val="clear" w:color="auto" w:fill="auto"/>
            <w:noWrap/>
            <w:vAlign w:val="center"/>
            <w:hideMark/>
          </w:tcPr>
          <w:p w14:paraId="2796640D" w14:textId="77777777" w:rsidR="00B12ACB" w:rsidRPr="005B54FE" w:rsidRDefault="00B12ACB" w:rsidP="0068316B">
            <w:pPr>
              <w:spacing w:after="0" w:line="240" w:lineRule="auto"/>
              <w:ind w:firstLine="34"/>
              <w:jc w:val="center"/>
              <w:rPr>
                <w:rFonts w:cs="Times New Roman"/>
                <w:sz w:val="20"/>
                <w:szCs w:val="20"/>
              </w:rPr>
            </w:pPr>
            <w:r w:rsidRPr="00EB6CF6">
              <w:rPr>
                <w:rFonts w:cs="Times New Roman"/>
                <w:sz w:val="20"/>
              </w:rPr>
              <w:t>30 220 870</w:t>
            </w:r>
          </w:p>
        </w:tc>
        <w:tc>
          <w:tcPr>
            <w:tcW w:w="1383" w:type="dxa"/>
            <w:shd w:val="clear" w:color="auto" w:fill="auto"/>
            <w:noWrap/>
            <w:vAlign w:val="center"/>
            <w:hideMark/>
          </w:tcPr>
          <w:p w14:paraId="4F88FCE5" w14:textId="77777777" w:rsidR="00B12ACB" w:rsidRPr="005B54FE" w:rsidRDefault="00B12ACB" w:rsidP="0068316B">
            <w:pPr>
              <w:spacing w:after="0" w:line="240" w:lineRule="auto"/>
              <w:ind w:firstLine="34"/>
              <w:jc w:val="center"/>
              <w:rPr>
                <w:rFonts w:cs="Times New Roman"/>
                <w:sz w:val="20"/>
                <w:szCs w:val="20"/>
              </w:rPr>
            </w:pPr>
            <w:r w:rsidRPr="00EB6CF6">
              <w:rPr>
                <w:rFonts w:cs="Times New Roman"/>
                <w:sz w:val="20"/>
              </w:rPr>
              <w:t>60 352 620</w:t>
            </w:r>
          </w:p>
        </w:tc>
        <w:tc>
          <w:tcPr>
            <w:tcW w:w="1463" w:type="dxa"/>
            <w:shd w:val="clear" w:color="auto" w:fill="auto"/>
            <w:noWrap/>
            <w:vAlign w:val="center"/>
            <w:hideMark/>
          </w:tcPr>
          <w:p w14:paraId="555AC38B" w14:textId="77777777" w:rsidR="00B12ACB" w:rsidRPr="005B54FE" w:rsidRDefault="00B12ACB" w:rsidP="0068316B">
            <w:pPr>
              <w:spacing w:after="0" w:line="240" w:lineRule="auto"/>
              <w:ind w:firstLine="34"/>
              <w:jc w:val="center"/>
              <w:rPr>
                <w:rFonts w:cs="Times New Roman"/>
                <w:sz w:val="20"/>
                <w:szCs w:val="20"/>
              </w:rPr>
            </w:pPr>
            <w:r w:rsidRPr="00EB6CF6">
              <w:rPr>
                <w:rFonts w:cs="Times New Roman"/>
                <w:sz w:val="20"/>
              </w:rPr>
              <w:t>67 192 435</w:t>
            </w:r>
          </w:p>
        </w:tc>
        <w:tc>
          <w:tcPr>
            <w:tcW w:w="1463" w:type="dxa"/>
            <w:tcBorders>
              <w:right w:val="single" w:sz="4" w:space="0" w:color="auto"/>
            </w:tcBorders>
            <w:shd w:val="clear" w:color="auto" w:fill="auto"/>
            <w:noWrap/>
            <w:vAlign w:val="center"/>
            <w:hideMark/>
          </w:tcPr>
          <w:p w14:paraId="160C89FC" w14:textId="77777777" w:rsidR="00B12ACB" w:rsidRPr="005B54FE" w:rsidRDefault="007C65E6" w:rsidP="0068316B">
            <w:pPr>
              <w:spacing w:after="0" w:line="240" w:lineRule="auto"/>
              <w:ind w:firstLine="34"/>
              <w:jc w:val="center"/>
              <w:rPr>
                <w:rFonts w:cs="Times New Roman"/>
                <w:sz w:val="20"/>
                <w:szCs w:val="20"/>
              </w:rPr>
            </w:pPr>
            <w:r>
              <w:rPr>
                <w:rFonts w:cs="Times New Roman"/>
                <w:sz w:val="20"/>
              </w:rPr>
              <w:t>17 799 052</w:t>
            </w:r>
          </w:p>
        </w:tc>
      </w:tr>
      <w:tr w:rsidR="00B12ACB" w:rsidRPr="008932D4" w14:paraId="38E5D86A" w14:textId="77777777" w:rsidTr="0068316B">
        <w:trPr>
          <w:trHeight w:val="90"/>
        </w:trPr>
        <w:tc>
          <w:tcPr>
            <w:tcW w:w="3823" w:type="dxa"/>
            <w:shd w:val="clear" w:color="auto" w:fill="auto"/>
            <w:noWrap/>
            <w:vAlign w:val="bottom"/>
            <w:hideMark/>
          </w:tcPr>
          <w:p w14:paraId="4251609E" w14:textId="77777777" w:rsidR="00B12ACB" w:rsidRPr="008932D4" w:rsidRDefault="00B12ACB" w:rsidP="0068316B">
            <w:pPr>
              <w:spacing w:after="0" w:line="240" w:lineRule="auto"/>
              <w:ind w:firstLine="34"/>
              <w:rPr>
                <w:rFonts w:cs="Times New Roman"/>
                <w:sz w:val="20"/>
                <w:szCs w:val="20"/>
              </w:rPr>
            </w:pPr>
            <w:r>
              <w:rPr>
                <w:rFonts w:cs="Times New Roman"/>
                <w:sz w:val="20"/>
                <w:szCs w:val="20"/>
              </w:rPr>
              <w:t xml:space="preserve">tostarp </w:t>
            </w:r>
            <w:r w:rsidRPr="008932D4">
              <w:rPr>
                <w:rFonts w:cs="Times New Roman"/>
                <w:sz w:val="20"/>
                <w:szCs w:val="20"/>
              </w:rPr>
              <w:t>pārējās budžeta vajadzības</w:t>
            </w:r>
          </w:p>
        </w:tc>
        <w:tc>
          <w:tcPr>
            <w:tcW w:w="1394" w:type="dxa"/>
            <w:shd w:val="clear" w:color="auto" w:fill="auto"/>
            <w:noWrap/>
            <w:vAlign w:val="center"/>
            <w:hideMark/>
          </w:tcPr>
          <w:p w14:paraId="46F472ED"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53 747 877</w:t>
            </w:r>
          </w:p>
        </w:tc>
        <w:tc>
          <w:tcPr>
            <w:tcW w:w="1393" w:type="dxa"/>
            <w:shd w:val="clear" w:color="auto" w:fill="auto"/>
            <w:noWrap/>
            <w:vAlign w:val="center"/>
            <w:hideMark/>
          </w:tcPr>
          <w:p w14:paraId="2AE9CCA9"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53 747 877</w:t>
            </w:r>
          </w:p>
        </w:tc>
        <w:tc>
          <w:tcPr>
            <w:tcW w:w="1354" w:type="dxa"/>
            <w:shd w:val="clear" w:color="auto" w:fill="auto"/>
            <w:noWrap/>
            <w:vAlign w:val="center"/>
            <w:hideMark/>
          </w:tcPr>
          <w:p w14:paraId="665D2BB6"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54 750 000</w:t>
            </w:r>
          </w:p>
        </w:tc>
        <w:tc>
          <w:tcPr>
            <w:tcW w:w="1331" w:type="dxa"/>
            <w:shd w:val="clear" w:color="auto" w:fill="auto"/>
            <w:noWrap/>
            <w:vAlign w:val="center"/>
            <w:hideMark/>
          </w:tcPr>
          <w:p w14:paraId="1F62C76D"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54 750 000</w:t>
            </w:r>
          </w:p>
        </w:tc>
        <w:tc>
          <w:tcPr>
            <w:tcW w:w="1383" w:type="dxa"/>
            <w:shd w:val="clear" w:color="auto" w:fill="auto"/>
            <w:noWrap/>
            <w:vAlign w:val="center"/>
            <w:hideMark/>
          </w:tcPr>
          <w:p w14:paraId="2B896010"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51 100 000</w:t>
            </w:r>
          </w:p>
        </w:tc>
        <w:tc>
          <w:tcPr>
            <w:tcW w:w="1463" w:type="dxa"/>
            <w:shd w:val="clear" w:color="auto" w:fill="auto"/>
            <w:noWrap/>
            <w:vAlign w:val="center"/>
            <w:hideMark/>
          </w:tcPr>
          <w:p w14:paraId="503719E2"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51 100 000</w:t>
            </w:r>
          </w:p>
        </w:tc>
        <w:tc>
          <w:tcPr>
            <w:tcW w:w="1463" w:type="dxa"/>
            <w:tcBorders>
              <w:right w:val="single" w:sz="4" w:space="0" w:color="auto"/>
            </w:tcBorders>
            <w:shd w:val="clear" w:color="auto" w:fill="auto"/>
            <w:noWrap/>
            <w:vAlign w:val="center"/>
            <w:hideMark/>
          </w:tcPr>
          <w:p w14:paraId="6CE8C54C" w14:textId="77777777" w:rsidR="00B12ACB" w:rsidRPr="005B54FE" w:rsidRDefault="00B12ACB" w:rsidP="0068316B">
            <w:pPr>
              <w:spacing w:after="0" w:line="240" w:lineRule="auto"/>
              <w:ind w:firstLine="34"/>
              <w:jc w:val="center"/>
              <w:rPr>
                <w:rFonts w:cs="Times New Roman"/>
                <w:sz w:val="20"/>
                <w:szCs w:val="20"/>
              </w:rPr>
            </w:pPr>
            <w:r w:rsidRPr="005B54FE">
              <w:rPr>
                <w:rFonts w:cs="Times New Roman"/>
                <w:color w:val="000000"/>
                <w:sz w:val="20"/>
              </w:rPr>
              <w:t>51 100 000</w:t>
            </w:r>
          </w:p>
        </w:tc>
      </w:tr>
    </w:tbl>
    <w:p w14:paraId="3D108FA0" w14:textId="77777777" w:rsidR="00B12ACB" w:rsidRDefault="00B12ACB" w:rsidP="00B12ACB">
      <w:pPr>
        <w:spacing w:after="0" w:line="240" w:lineRule="auto"/>
        <w:ind w:firstLine="851"/>
        <w:rPr>
          <w:sz w:val="28"/>
          <w:szCs w:val="28"/>
        </w:rPr>
      </w:pPr>
    </w:p>
    <w:p w14:paraId="3F62C6D1" w14:textId="2D63CDE3" w:rsidR="00B12ACB" w:rsidRDefault="00B12ACB" w:rsidP="00B12ACB">
      <w:pPr>
        <w:spacing w:after="0" w:line="240" w:lineRule="auto"/>
        <w:ind w:firstLine="851"/>
        <w:rPr>
          <w:sz w:val="28"/>
          <w:szCs w:val="28"/>
        </w:rPr>
      </w:pPr>
      <w:r>
        <w:rPr>
          <w:sz w:val="28"/>
          <w:szCs w:val="28"/>
        </w:rPr>
        <w:t>R</w:t>
      </w:r>
      <w:r w:rsidRPr="004E1081">
        <w:rPr>
          <w:sz w:val="28"/>
          <w:szCs w:val="28"/>
        </w:rPr>
        <w:t>isinājuma ieviešanai</w:t>
      </w:r>
      <w:r>
        <w:rPr>
          <w:sz w:val="28"/>
          <w:szCs w:val="28"/>
        </w:rPr>
        <w:t xml:space="preserve"> </w:t>
      </w:r>
      <w:r w:rsidRPr="004E1081">
        <w:rPr>
          <w:sz w:val="28"/>
          <w:szCs w:val="28"/>
        </w:rPr>
        <w:t xml:space="preserve">nepieciešams veikt izmaiņas </w:t>
      </w:r>
      <w:r w:rsidR="000F4078">
        <w:rPr>
          <w:sz w:val="28"/>
          <w:szCs w:val="28"/>
        </w:rPr>
        <w:t>ENL</w:t>
      </w:r>
      <w:r>
        <w:rPr>
          <w:sz w:val="28"/>
          <w:szCs w:val="28"/>
        </w:rPr>
        <w:t>, virzot tās Li</w:t>
      </w:r>
      <w:r w:rsidRPr="00310EDD">
        <w:rPr>
          <w:sz w:val="28"/>
          <w:szCs w:val="28"/>
        </w:rPr>
        <w:t>kuma par valsts budžetu 201</w:t>
      </w:r>
      <w:r>
        <w:rPr>
          <w:sz w:val="28"/>
          <w:szCs w:val="28"/>
        </w:rPr>
        <w:t>7. </w:t>
      </w:r>
      <w:r w:rsidRPr="00310EDD">
        <w:rPr>
          <w:sz w:val="28"/>
          <w:szCs w:val="28"/>
        </w:rPr>
        <w:t>gadam pavadošo likumprojektu paketē</w:t>
      </w:r>
      <w:r w:rsidRPr="004E1081">
        <w:rPr>
          <w:sz w:val="28"/>
          <w:szCs w:val="28"/>
        </w:rPr>
        <w:t xml:space="preserve">, </w:t>
      </w:r>
      <w:r>
        <w:rPr>
          <w:sz w:val="28"/>
          <w:szCs w:val="28"/>
        </w:rPr>
        <w:t xml:space="preserve">kā arī veikt grozījumus </w:t>
      </w:r>
      <w:r w:rsidRPr="004E1081">
        <w:rPr>
          <w:sz w:val="28"/>
          <w:szCs w:val="28"/>
        </w:rPr>
        <w:t>Ministru kabineta 2007. gada 13. februāra no</w:t>
      </w:r>
      <w:r>
        <w:rPr>
          <w:sz w:val="28"/>
          <w:szCs w:val="28"/>
        </w:rPr>
        <w:t>teikumos Nr. </w:t>
      </w:r>
      <w:r w:rsidRPr="004E1081">
        <w:rPr>
          <w:sz w:val="28"/>
          <w:szCs w:val="28"/>
        </w:rPr>
        <w:t>128 “Noteikumi par elektroenerģijas nodokļa deklarācijas veidlapu un tās aizpildīšanas kārtību” un Ministru kabineta 2007. gada 12. jūnija noteikumos Nr. 382 “Elektroenerģijas nodokļa at</w:t>
      </w:r>
      <w:r>
        <w:rPr>
          <w:sz w:val="28"/>
          <w:szCs w:val="28"/>
        </w:rPr>
        <w:t>brīvojumu piemērošanas kārtība”.</w:t>
      </w:r>
    </w:p>
    <w:p w14:paraId="4B7203A9" w14:textId="77777777" w:rsidR="00B12ACB" w:rsidRDefault="00B12ACB" w:rsidP="00B12ACB">
      <w:pPr>
        <w:spacing w:after="0" w:line="240" w:lineRule="auto"/>
        <w:ind w:firstLine="851"/>
        <w:rPr>
          <w:sz w:val="28"/>
          <w:szCs w:val="28"/>
        </w:rPr>
      </w:pPr>
    </w:p>
    <w:p w14:paraId="70034C06" w14:textId="77777777" w:rsidR="007C65E6" w:rsidRPr="006A448A" w:rsidRDefault="007C65E6" w:rsidP="007C65E6">
      <w:pPr>
        <w:ind w:firstLine="720"/>
        <w:rPr>
          <w:sz w:val="28"/>
          <w:szCs w:val="28"/>
        </w:rPr>
      </w:pPr>
      <w:r w:rsidRPr="006A448A">
        <w:rPr>
          <w:b/>
          <w:sz w:val="28"/>
          <w:szCs w:val="28"/>
        </w:rPr>
        <w:t>Šis risinājums neatbilst Deklarācijā par Māra Kučinska vadītā Ministru kabineta iecerēto darbību noteiktajam – nepaaugstināt OIK virs 26,79 EUR/</w:t>
      </w:r>
      <w:proofErr w:type="spellStart"/>
      <w:r w:rsidRPr="006A448A">
        <w:rPr>
          <w:b/>
          <w:sz w:val="28"/>
          <w:szCs w:val="28"/>
        </w:rPr>
        <w:t>MWh</w:t>
      </w:r>
      <w:proofErr w:type="spellEnd"/>
      <w:r>
        <w:rPr>
          <w:sz w:val="28"/>
          <w:szCs w:val="28"/>
        </w:rPr>
        <w:t>.</w:t>
      </w:r>
    </w:p>
    <w:p w14:paraId="49887605" w14:textId="77777777" w:rsidR="007C65E6" w:rsidRDefault="007C65E6" w:rsidP="00B12ACB">
      <w:pPr>
        <w:spacing w:after="0" w:line="240" w:lineRule="auto"/>
        <w:ind w:firstLine="851"/>
        <w:rPr>
          <w:sz w:val="28"/>
          <w:szCs w:val="28"/>
        </w:rPr>
      </w:pPr>
    </w:p>
    <w:p w14:paraId="132470C4" w14:textId="77777777" w:rsidR="0072659E" w:rsidRDefault="0072659E" w:rsidP="00B12ACB">
      <w:pPr>
        <w:spacing w:after="0" w:line="240" w:lineRule="auto"/>
        <w:ind w:firstLine="851"/>
        <w:rPr>
          <w:sz w:val="28"/>
          <w:szCs w:val="28"/>
        </w:rPr>
      </w:pPr>
    </w:p>
    <w:p w14:paraId="7806C599" w14:textId="77777777" w:rsidR="00D304FA" w:rsidRPr="00D304FA" w:rsidRDefault="007C65E6" w:rsidP="0072659E">
      <w:pPr>
        <w:pStyle w:val="Heading2"/>
        <w:spacing w:after="120" w:line="240" w:lineRule="auto"/>
        <w:rPr>
          <w:rFonts w:ascii="Times New Roman" w:hAnsi="Times New Roman" w:cs="Times New Roman"/>
          <w:b/>
          <w:color w:val="auto"/>
          <w:sz w:val="32"/>
          <w:szCs w:val="28"/>
        </w:rPr>
      </w:pPr>
      <w:bookmarkStart w:id="25" w:name="_Toc459890628"/>
      <w:r w:rsidRPr="0002670F">
        <w:rPr>
          <w:rFonts w:ascii="Times New Roman" w:hAnsi="Times New Roman" w:cs="Times New Roman"/>
          <w:b/>
          <w:color w:val="auto"/>
          <w:sz w:val="32"/>
          <w:szCs w:val="28"/>
        </w:rPr>
        <w:lastRenderedPageBreak/>
        <w:t>2</w:t>
      </w:r>
      <w:r w:rsidR="00D304FA" w:rsidRPr="0002670F">
        <w:rPr>
          <w:rFonts w:ascii="Times New Roman" w:hAnsi="Times New Roman" w:cs="Times New Roman"/>
          <w:b/>
          <w:color w:val="auto"/>
          <w:sz w:val="32"/>
          <w:szCs w:val="28"/>
        </w:rPr>
        <w:t>.risinājums</w:t>
      </w:r>
      <w:bookmarkEnd w:id="25"/>
    </w:p>
    <w:p w14:paraId="36D779D7" w14:textId="68DE3EE0" w:rsidR="00D304FA" w:rsidRDefault="00D304FA" w:rsidP="00D304FA">
      <w:pPr>
        <w:spacing w:after="0" w:line="240" w:lineRule="auto"/>
        <w:ind w:firstLine="851"/>
        <w:rPr>
          <w:sz w:val="28"/>
          <w:szCs w:val="28"/>
        </w:rPr>
      </w:pPr>
      <w:r>
        <w:rPr>
          <w:sz w:val="28"/>
          <w:szCs w:val="28"/>
        </w:rPr>
        <w:t xml:space="preserve">Šis risinājums paredz </w:t>
      </w:r>
      <w:r w:rsidRPr="004E1081">
        <w:rPr>
          <w:sz w:val="28"/>
          <w:szCs w:val="28"/>
        </w:rPr>
        <w:t xml:space="preserve">elektroenerģijas nodokļa atbrīvojumu, kas ir noteikti </w:t>
      </w:r>
      <w:r w:rsidR="000F4078">
        <w:rPr>
          <w:sz w:val="28"/>
          <w:szCs w:val="28"/>
        </w:rPr>
        <w:t>ENL</w:t>
      </w:r>
      <w:r w:rsidRPr="004E1081">
        <w:rPr>
          <w:sz w:val="28"/>
          <w:szCs w:val="28"/>
        </w:rPr>
        <w:t xml:space="preserve"> 6. panta pirmajā daļā</w:t>
      </w:r>
      <w:r>
        <w:rPr>
          <w:sz w:val="28"/>
          <w:szCs w:val="28"/>
        </w:rPr>
        <w:t>,</w:t>
      </w:r>
      <w:r w:rsidRPr="00D304FA">
        <w:rPr>
          <w:sz w:val="28"/>
          <w:szCs w:val="28"/>
        </w:rPr>
        <w:t xml:space="preserve"> </w:t>
      </w:r>
      <w:r w:rsidRPr="004E1081">
        <w:rPr>
          <w:sz w:val="28"/>
          <w:szCs w:val="28"/>
        </w:rPr>
        <w:t>atcelšanu</w:t>
      </w:r>
      <w:r>
        <w:rPr>
          <w:sz w:val="28"/>
          <w:szCs w:val="28"/>
        </w:rPr>
        <w:t xml:space="preserve"> no 2017. gada 1. janvāra un esošo SEN likmju saglabāšanu</w:t>
      </w:r>
      <w:r w:rsidRPr="00904C7B">
        <w:rPr>
          <w:sz w:val="28"/>
          <w:szCs w:val="28"/>
        </w:rPr>
        <w:t xml:space="preserve"> </w:t>
      </w:r>
      <w:r>
        <w:rPr>
          <w:sz w:val="28"/>
          <w:szCs w:val="28"/>
        </w:rPr>
        <w:t xml:space="preserve">un </w:t>
      </w:r>
      <w:r w:rsidRPr="00904C7B">
        <w:rPr>
          <w:sz w:val="28"/>
          <w:szCs w:val="28"/>
        </w:rPr>
        <w:t xml:space="preserve">piemērošanu </w:t>
      </w:r>
      <w:r>
        <w:rPr>
          <w:sz w:val="28"/>
          <w:szCs w:val="28"/>
        </w:rPr>
        <w:t>līdz</w:t>
      </w:r>
      <w:r w:rsidRPr="00904C7B">
        <w:rPr>
          <w:sz w:val="28"/>
          <w:szCs w:val="28"/>
        </w:rPr>
        <w:t xml:space="preserve"> 2017. gada 31. decembr</w:t>
      </w:r>
      <w:r>
        <w:rPr>
          <w:sz w:val="28"/>
          <w:szCs w:val="28"/>
        </w:rPr>
        <w:t>im.</w:t>
      </w:r>
    </w:p>
    <w:p w14:paraId="0369FF4E" w14:textId="77777777" w:rsidR="005F0397" w:rsidRDefault="005F0397" w:rsidP="00D304FA">
      <w:pPr>
        <w:spacing w:after="0" w:line="240" w:lineRule="auto"/>
        <w:ind w:firstLine="851"/>
        <w:rPr>
          <w:sz w:val="28"/>
          <w:szCs w:val="28"/>
        </w:rPr>
      </w:pPr>
      <w:r w:rsidRPr="005F0397">
        <w:rPr>
          <w:sz w:val="28"/>
          <w:szCs w:val="28"/>
        </w:rPr>
        <w:t xml:space="preserve">Šī risinājuma rezultātā no OIK </w:t>
      </w:r>
      <w:r>
        <w:rPr>
          <w:sz w:val="28"/>
          <w:szCs w:val="28"/>
        </w:rPr>
        <w:t xml:space="preserve">arī turpmāk līdz 2020. gada 31. martam </w:t>
      </w:r>
      <w:r w:rsidRPr="005F0397">
        <w:rPr>
          <w:sz w:val="28"/>
          <w:szCs w:val="28"/>
        </w:rPr>
        <w:t>tiek saglabāts 26,79 EUR/</w:t>
      </w:r>
      <w:proofErr w:type="spellStart"/>
      <w:r w:rsidRPr="005F0397">
        <w:rPr>
          <w:sz w:val="28"/>
          <w:szCs w:val="28"/>
        </w:rPr>
        <w:t>MWh</w:t>
      </w:r>
      <w:proofErr w:type="spellEnd"/>
      <w:r w:rsidRPr="005F0397">
        <w:rPr>
          <w:sz w:val="28"/>
          <w:szCs w:val="28"/>
        </w:rPr>
        <w:t xml:space="preserve"> (</w:t>
      </w:r>
      <w:r w:rsidR="007C65E6" w:rsidRPr="005F0397">
        <w:rPr>
          <w:sz w:val="28"/>
          <w:szCs w:val="28"/>
        </w:rPr>
        <w:t>1</w:t>
      </w:r>
      <w:r w:rsidR="007C65E6">
        <w:rPr>
          <w:sz w:val="28"/>
          <w:szCs w:val="28"/>
        </w:rPr>
        <w:t>5</w:t>
      </w:r>
      <w:r w:rsidRPr="005F0397">
        <w:rPr>
          <w:sz w:val="28"/>
          <w:szCs w:val="28"/>
        </w:rPr>
        <w:t>. tabula).</w:t>
      </w:r>
      <w:r w:rsidR="006073B4">
        <w:rPr>
          <w:sz w:val="28"/>
          <w:szCs w:val="28"/>
        </w:rPr>
        <w:t xml:space="preserve"> </w:t>
      </w:r>
      <w:r w:rsidR="005E770C">
        <w:rPr>
          <w:sz w:val="28"/>
          <w:szCs w:val="28"/>
        </w:rPr>
        <w:t>Taču r</w:t>
      </w:r>
      <w:r w:rsidR="006073B4">
        <w:rPr>
          <w:sz w:val="28"/>
          <w:szCs w:val="28"/>
        </w:rPr>
        <w:t xml:space="preserve">isinājums </w:t>
      </w:r>
      <w:r w:rsidR="005E770C">
        <w:rPr>
          <w:sz w:val="28"/>
          <w:szCs w:val="28"/>
        </w:rPr>
        <w:t>neveicina</w:t>
      </w:r>
      <w:r w:rsidR="006073B4">
        <w:rPr>
          <w:sz w:val="28"/>
          <w:szCs w:val="28"/>
        </w:rPr>
        <w:t xml:space="preserve"> OIK </w:t>
      </w:r>
      <w:r w:rsidR="005E770C">
        <w:rPr>
          <w:sz w:val="28"/>
          <w:szCs w:val="28"/>
        </w:rPr>
        <w:t>sistēmas sakārtošanu</w:t>
      </w:r>
      <w:r w:rsidR="00C01038">
        <w:rPr>
          <w:sz w:val="28"/>
          <w:szCs w:val="28"/>
        </w:rPr>
        <w:t xml:space="preserve"> un saglabā vajadzību pēc būtiskas valsts budžeta dotācijas</w:t>
      </w:r>
      <w:r w:rsidR="006073B4">
        <w:rPr>
          <w:sz w:val="28"/>
          <w:szCs w:val="28"/>
        </w:rPr>
        <w:t>.</w:t>
      </w:r>
    </w:p>
    <w:p w14:paraId="147410C8" w14:textId="77777777" w:rsidR="008932D4" w:rsidRPr="00D116AC" w:rsidRDefault="007C65E6" w:rsidP="008932D4">
      <w:pPr>
        <w:pStyle w:val="Caption"/>
        <w:keepNext/>
        <w:jc w:val="right"/>
        <w:rPr>
          <w:rFonts w:ascii="Times New Roman" w:hAnsi="Times New Roman"/>
          <w:sz w:val="24"/>
          <w:szCs w:val="24"/>
        </w:rPr>
      </w:pPr>
      <w:r>
        <w:rPr>
          <w:rFonts w:ascii="Times New Roman" w:hAnsi="Times New Roman"/>
          <w:sz w:val="24"/>
          <w:szCs w:val="24"/>
        </w:rPr>
        <w:t>15</w:t>
      </w:r>
      <w:r w:rsidR="008932D4" w:rsidRPr="00D116AC">
        <w:rPr>
          <w:rFonts w:ascii="Times New Roman" w:hAnsi="Times New Roman"/>
          <w:sz w:val="24"/>
          <w:szCs w:val="24"/>
        </w:rPr>
        <w:t>.tabula</w:t>
      </w:r>
    </w:p>
    <w:p w14:paraId="43B47A09" w14:textId="77777777" w:rsidR="008932D4" w:rsidRPr="009E280D" w:rsidRDefault="00045F0A" w:rsidP="008932D4">
      <w:pPr>
        <w:pStyle w:val="Caption"/>
        <w:keepNext/>
        <w:keepLines/>
        <w:widowControl/>
        <w:jc w:val="center"/>
        <w:rPr>
          <w:rFonts w:ascii="Times New Roman" w:hAnsi="Times New Roman"/>
          <w:sz w:val="24"/>
          <w:szCs w:val="24"/>
        </w:rPr>
      </w:pPr>
      <w:r>
        <w:rPr>
          <w:rFonts w:ascii="Times New Roman" w:hAnsi="Times New Roman"/>
          <w:sz w:val="24"/>
          <w:szCs w:val="24"/>
        </w:rPr>
        <w:t>2</w:t>
      </w:r>
      <w:r w:rsidR="008932D4" w:rsidRPr="008932D4">
        <w:rPr>
          <w:rFonts w:ascii="Times New Roman" w:hAnsi="Times New Roman"/>
          <w:sz w:val="24"/>
          <w:szCs w:val="24"/>
        </w:rPr>
        <w:t>. risinājuma ietekme uz valsts budžetu</w:t>
      </w:r>
      <w:r w:rsidR="000D5762">
        <w:rPr>
          <w:rFonts w:ascii="Times New Roman" w:hAnsi="Times New Roman"/>
          <w:sz w:val="24"/>
          <w:szCs w:val="24"/>
        </w:rPr>
        <w:t>, EUR</w:t>
      </w: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76"/>
        <w:gridCol w:w="1276"/>
        <w:gridCol w:w="1242"/>
        <w:gridCol w:w="1242"/>
        <w:gridCol w:w="1354"/>
        <w:gridCol w:w="1284"/>
        <w:gridCol w:w="1276"/>
        <w:gridCol w:w="1150"/>
      </w:tblGrid>
      <w:tr w:rsidR="005B5020" w:rsidRPr="008932D4" w14:paraId="714317EB" w14:textId="77777777" w:rsidTr="00D2599A">
        <w:trPr>
          <w:trHeight w:val="288"/>
        </w:trPr>
        <w:tc>
          <w:tcPr>
            <w:tcW w:w="4390" w:type="dxa"/>
            <w:shd w:val="clear" w:color="auto" w:fill="auto"/>
            <w:noWrap/>
            <w:vAlign w:val="center"/>
            <w:hideMark/>
          </w:tcPr>
          <w:p w14:paraId="7DBA79A4" w14:textId="77777777" w:rsidR="005B5020" w:rsidRPr="008932D4" w:rsidRDefault="005B5020" w:rsidP="002500BF">
            <w:pPr>
              <w:spacing w:after="0" w:line="240" w:lineRule="auto"/>
              <w:ind w:firstLine="34"/>
              <w:jc w:val="center"/>
              <w:rPr>
                <w:rFonts w:cs="Times New Roman"/>
                <w:b/>
                <w:bCs/>
                <w:sz w:val="20"/>
                <w:szCs w:val="20"/>
              </w:rPr>
            </w:pPr>
          </w:p>
        </w:tc>
        <w:tc>
          <w:tcPr>
            <w:tcW w:w="2552" w:type="dxa"/>
            <w:gridSpan w:val="2"/>
            <w:shd w:val="clear" w:color="auto" w:fill="auto"/>
            <w:noWrap/>
            <w:vAlign w:val="center"/>
            <w:hideMark/>
          </w:tcPr>
          <w:p w14:paraId="75D988A1" w14:textId="77777777" w:rsidR="005B5020" w:rsidRPr="008932D4" w:rsidRDefault="005B5020" w:rsidP="002500BF">
            <w:pPr>
              <w:spacing w:after="0" w:line="240" w:lineRule="auto"/>
              <w:ind w:firstLine="34"/>
              <w:jc w:val="center"/>
              <w:rPr>
                <w:rFonts w:cs="Times New Roman"/>
                <w:b/>
                <w:bCs/>
                <w:sz w:val="20"/>
                <w:szCs w:val="20"/>
              </w:rPr>
            </w:pPr>
            <w:r w:rsidRPr="008932D4">
              <w:rPr>
                <w:rFonts w:cs="Times New Roman"/>
                <w:b/>
                <w:bCs/>
                <w:sz w:val="20"/>
                <w:szCs w:val="20"/>
              </w:rPr>
              <w:t>2016</w:t>
            </w:r>
          </w:p>
        </w:tc>
        <w:tc>
          <w:tcPr>
            <w:tcW w:w="2484" w:type="dxa"/>
            <w:gridSpan w:val="2"/>
            <w:shd w:val="clear" w:color="auto" w:fill="auto"/>
            <w:noWrap/>
            <w:vAlign w:val="center"/>
            <w:hideMark/>
          </w:tcPr>
          <w:p w14:paraId="355B72AA" w14:textId="77777777" w:rsidR="005B5020" w:rsidRPr="008932D4" w:rsidRDefault="005B5020" w:rsidP="002500BF">
            <w:pPr>
              <w:spacing w:after="0" w:line="240" w:lineRule="auto"/>
              <w:ind w:firstLine="34"/>
              <w:jc w:val="center"/>
              <w:rPr>
                <w:rFonts w:cs="Times New Roman"/>
                <w:b/>
                <w:bCs/>
                <w:sz w:val="20"/>
                <w:szCs w:val="20"/>
              </w:rPr>
            </w:pPr>
            <w:r w:rsidRPr="008932D4">
              <w:rPr>
                <w:rFonts w:cs="Times New Roman"/>
                <w:b/>
                <w:bCs/>
                <w:sz w:val="20"/>
                <w:szCs w:val="20"/>
              </w:rPr>
              <w:t>2017</w:t>
            </w:r>
          </w:p>
        </w:tc>
        <w:tc>
          <w:tcPr>
            <w:tcW w:w="2638" w:type="dxa"/>
            <w:gridSpan w:val="2"/>
            <w:shd w:val="clear" w:color="auto" w:fill="auto"/>
            <w:noWrap/>
            <w:vAlign w:val="center"/>
            <w:hideMark/>
          </w:tcPr>
          <w:p w14:paraId="104AA613" w14:textId="77777777" w:rsidR="005B5020" w:rsidRPr="008932D4" w:rsidRDefault="005B5020" w:rsidP="002500BF">
            <w:pPr>
              <w:spacing w:after="0" w:line="240" w:lineRule="auto"/>
              <w:ind w:firstLine="34"/>
              <w:jc w:val="center"/>
              <w:rPr>
                <w:rFonts w:cs="Times New Roman"/>
                <w:b/>
                <w:bCs/>
                <w:sz w:val="20"/>
                <w:szCs w:val="20"/>
              </w:rPr>
            </w:pPr>
            <w:r>
              <w:rPr>
                <w:rFonts w:cs="Times New Roman"/>
                <w:b/>
                <w:bCs/>
                <w:sz w:val="20"/>
                <w:szCs w:val="20"/>
              </w:rPr>
              <w:t>2</w:t>
            </w:r>
            <w:r w:rsidRPr="008932D4">
              <w:rPr>
                <w:rFonts w:cs="Times New Roman"/>
                <w:b/>
                <w:bCs/>
                <w:sz w:val="20"/>
                <w:szCs w:val="20"/>
              </w:rPr>
              <w:t>018</w:t>
            </w:r>
          </w:p>
        </w:tc>
        <w:tc>
          <w:tcPr>
            <w:tcW w:w="1276" w:type="dxa"/>
            <w:shd w:val="clear" w:color="auto" w:fill="auto"/>
            <w:vAlign w:val="center"/>
          </w:tcPr>
          <w:p w14:paraId="1AD1D0DD" w14:textId="77777777" w:rsidR="005B5020" w:rsidRPr="008932D4" w:rsidRDefault="005B5020" w:rsidP="002500BF">
            <w:pPr>
              <w:spacing w:after="0" w:line="240" w:lineRule="auto"/>
              <w:ind w:firstLine="34"/>
              <w:jc w:val="center"/>
              <w:rPr>
                <w:rFonts w:cs="Times New Roman"/>
                <w:b/>
                <w:bCs/>
                <w:sz w:val="20"/>
                <w:szCs w:val="20"/>
              </w:rPr>
            </w:pPr>
            <w:r>
              <w:rPr>
                <w:rFonts w:cs="Times New Roman"/>
                <w:b/>
                <w:bCs/>
                <w:sz w:val="20"/>
                <w:szCs w:val="20"/>
              </w:rPr>
              <w:t>2019</w:t>
            </w:r>
          </w:p>
        </w:tc>
        <w:tc>
          <w:tcPr>
            <w:tcW w:w="1150" w:type="dxa"/>
            <w:tcBorders>
              <w:bottom w:val="single" w:sz="4" w:space="0" w:color="auto"/>
            </w:tcBorders>
            <w:vAlign w:val="center"/>
          </w:tcPr>
          <w:p w14:paraId="7E467D55" w14:textId="77777777" w:rsidR="005B5020" w:rsidRDefault="005B5020" w:rsidP="002500BF">
            <w:pPr>
              <w:spacing w:after="0" w:line="240" w:lineRule="auto"/>
              <w:ind w:firstLine="34"/>
              <w:jc w:val="center"/>
              <w:rPr>
                <w:rFonts w:cs="Times New Roman"/>
                <w:b/>
                <w:bCs/>
                <w:sz w:val="20"/>
                <w:szCs w:val="20"/>
              </w:rPr>
            </w:pPr>
            <w:r>
              <w:rPr>
                <w:rFonts w:cs="Times New Roman"/>
                <w:b/>
                <w:bCs/>
                <w:sz w:val="20"/>
                <w:szCs w:val="20"/>
              </w:rPr>
              <w:t>2020</w:t>
            </w:r>
          </w:p>
        </w:tc>
      </w:tr>
      <w:tr w:rsidR="005B5020" w:rsidRPr="008932D4" w14:paraId="1CF7A10A" w14:textId="77777777" w:rsidTr="00D2599A">
        <w:trPr>
          <w:trHeight w:val="288"/>
        </w:trPr>
        <w:tc>
          <w:tcPr>
            <w:tcW w:w="4390" w:type="dxa"/>
            <w:shd w:val="clear" w:color="auto" w:fill="auto"/>
            <w:noWrap/>
            <w:vAlign w:val="center"/>
            <w:hideMark/>
          </w:tcPr>
          <w:p w14:paraId="35F97DE5" w14:textId="77777777" w:rsidR="005B5020" w:rsidRPr="008932D4" w:rsidRDefault="005B5020" w:rsidP="002500BF">
            <w:pPr>
              <w:spacing w:after="0" w:line="240" w:lineRule="auto"/>
              <w:ind w:firstLine="34"/>
              <w:jc w:val="center"/>
              <w:rPr>
                <w:rFonts w:cs="Times New Roman"/>
                <w:b/>
                <w:bCs/>
                <w:sz w:val="20"/>
                <w:szCs w:val="20"/>
              </w:rPr>
            </w:pPr>
          </w:p>
        </w:tc>
        <w:tc>
          <w:tcPr>
            <w:tcW w:w="1276" w:type="dxa"/>
            <w:shd w:val="clear" w:color="auto" w:fill="auto"/>
            <w:noWrap/>
            <w:vAlign w:val="center"/>
            <w:hideMark/>
          </w:tcPr>
          <w:p w14:paraId="3F5F86D8" w14:textId="77777777" w:rsidR="005B5020" w:rsidRPr="008932D4" w:rsidRDefault="002500BF" w:rsidP="002500BF">
            <w:pPr>
              <w:spacing w:after="0" w:line="240" w:lineRule="auto"/>
              <w:ind w:firstLine="34"/>
              <w:jc w:val="center"/>
              <w:rPr>
                <w:rFonts w:cs="Times New Roman"/>
                <w:b/>
                <w:bCs/>
                <w:sz w:val="20"/>
                <w:szCs w:val="20"/>
              </w:rPr>
            </w:pPr>
            <w:r>
              <w:rPr>
                <w:rFonts w:cs="Times New Roman"/>
                <w:b/>
                <w:bCs/>
                <w:sz w:val="20"/>
                <w:szCs w:val="20"/>
              </w:rPr>
              <w:t>Budžets</w:t>
            </w:r>
          </w:p>
        </w:tc>
        <w:tc>
          <w:tcPr>
            <w:tcW w:w="1276" w:type="dxa"/>
            <w:shd w:val="clear" w:color="auto" w:fill="auto"/>
            <w:noWrap/>
            <w:vAlign w:val="center"/>
            <w:hideMark/>
          </w:tcPr>
          <w:p w14:paraId="4EC4DF57" w14:textId="77777777" w:rsidR="005B5020" w:rsidRPr="008932D4" w:rsidRDefault="005B5020" w:rsidP="002500BF">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42" w:type="dxa"/>
            <w:shd w:val="clear" w:color="auto" w:fill="auto"/>
            <w:noWrap/>
            <w:vAlign w:val="center"/>
            <w:hideMark/>
          </w:tcPr>
          <w:p w14:paraId="71B8E265" w14:textId="77777777" w:rsidR="005B5020" w:rsidRPr="008932D4" w:rsidRDefault="002500BF" w:rsidP="002500BF">
            <w:pPr>
              <w:spacing w:after="0" w:line="240" w:lineRule="auto"/>
              <w:ind w:firstLine="34"/>
              <w:jc w:val="center"/>
              <w:rPr>
                <w:rFonts w:cs="Times New Roman"/>
                <w:b/>
                <w:bCs/>
                <w:sz w:val="20"/>
                <w:szCs w:val="20"/>
              </w:rPr>
            </w:pPr>
            <w:r>
              <w:rPr>
                <w:rFonts w:cs="Times New Roman"/>
                <w:b/>
                <w:bCs/>
                <w:sz w:val="20"/>
                <w:szCs w:val="20"/>
              </w:rPr>
              <w:t>2015. gada prognoze</w:t>
            </w:r>
          </w:p>
        </w:tc>
        <w:tc>
          <w:tcPr>
            <w:tcW w:w="1242" w:type="dxa"/>
            <w:shd w:val="clear" w:color="auto" w:fill="auto"/>
            <w:noWrap/>
            <w:vAlign w:val="center"/>
            <w:hideMark/>
          </w:tcPr>
          <w:p w14:paraId="5CD23C11" w14:textId="77777777" w:rsidR="005B5020" w:rsidRPr="008932D4" w:rsidRDefault="005B5020" w:rsidP="002500BF">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354" w:type="dxa"/>
            <w:shd w:val="clear" w:color="auto" w:fill="auto"/>
            <w:noWrap/>
            <w:vAlign w:val="center"/>
            <w:hideMark/>
          </w:tcPr>
          <w:p w14:paraId="0857504A" w14:textId="77777777" w:rsidR="005B5020" w:rsidRPr="008932D4" w:rsidRDefault="002500BF" w:rsidP="002500BF">
            <w:pPr>
              <w:spacing w:after="0" w:line="240" w:lineRule="auto"/>
              <w:ind w:firstLine="34"/>
              <w:jc w:val="center"/>
              <w:rPr>
                <w:rFonts w:cs="Times New Roman"/>
                <w:b/>
                <w:bCs/>
                <w:sz w:val="20"/>
                <w:szCs w:val="20"/>
              </w:rPr>
            </w:pPr>
            <w:r>
              <w:rPr>
                <w:rFonts w:cs="Times New Roman"/>
                <w:b/>
                <w:bCs/>
                <w:sz w:val="20"/>
                <w:szCs w:val="20"/>
              </w:rPr>
              <w:t>2015. gada prognoze</w:t>
            </w:r>
          </w:p>
        </w:tc>
        <w:tc>
          <w:tcPr>
            <w:tcW w:w="1284" w:type="dxa"/>
            <w:shd w:val="clear" w:color="auto" w:fill="auto"/>
            <w:noWrap/>
            <w:vAlign w:val="center"/>
            <w:hideMark/>
          </w:tcPr>
          <w:p w14:paraId="18AFE0E1" w14:textId="77777777" w:rsidR="005B5020" w:rsidRPr="008932D4" w:rsidRDefault="005B5020" w:rsidP="002500BF">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76" w:type="dxa"/>
            <w:tcBorders>
              <w:bottom w:val="single" w:sz="4" w:space="0" w:color="auto"/>
            </w:tcBorders>
            <w:shd w:val="clear" w:color="auto" w:fill="auto"/>
            <w:noWrap/>
            <w:vAlign w:val="center"/>
            <w:hideMark/>
          </w:tcPr>
          <w:p w14:paraId="2E52E1D8" w14:textId="77777777" w:rsidR="005B5020" w:rsidRPr="008932D4" w:rsidRDefault="005B5020" w:rsidP="002500BF">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150" w:type="dxa"/>
            <w:tcBorders>
              <w:bottom w:val="single" w:sz="4" w:space="0" w:color="auto"/>
            </w:tcBorders>
            <w:vAlign w:val="center"/>
          </w:tcPr>
          <w:p w14:paraId="3CAEE799" w14:textId="77777777" w:rsidR="005B5020" w:rsidRPr="008932D4" w:rsidRDefault="002500BF" w:rsidP="002500BF">
            <w:pPr>
              <w:spacing w:after="0" w:line="240" w:lineRule="auto"/>
              <w:ind w:firstLine="34"/>
              <w:jc w:val="center"/>
              <w:rPr>
                <w:rFonts w:cs="Times New Roman"/>
                <w:b/>
                <w:bCs/>
                <w:sz w:val="20"/>
                <w:szCs w:val="20"/>
              </w:rPr>
            </w:pPr>
            <w:r w:rsidRPr="008932D4">
              <w:rPr>
                <w:rFonts w:cs="Times New Roman"/>
                <w:b/>
                <w:bCs/>
                <w:sz w:val="20"/>
                <w:szCs w:val="20"/>
              </w:rPr>
              <w:t>prognoze</w:t>
            </w:r>
          </w:p>
        </w:tc>
      </w:tr>
      <w:tr w:rsidR="00EB6CF6" w:rsidRPr="008932D4" w14:paraId="7A2F53B5" w14:textId="77777777" w:rsidTr="00EB6CF6">
        <w:trPr>
          <w:trHeight w:val="288"/>
        </w:trPr>
        <w:tc>
          <w:tcPr>
            <w:tcW w:w="4390" w:type="dxa"/>
            <w:shd w:val="clear" w:color="auto" w:fill="auto"/>
            <w:noWrap/>
            <w:vAlign w:val="bottom"/>
            <w:hideMark/>
          </w:tcPr>
          <w:p w14:paraId="62E9C8E8" w14:textId="77777777" w:rsidR="00EB6CF6" w:rsidRPr="008932D4" w:rsidRDefault="00EB6CF6" w:rsidP="00EB6CF6">
            <w:pPr>
              <w:spacing w:after="0" w:line="240" w:lineRule="auto"/>
              <w:ind w:firstLine="34"/>
              <w:jc w:val="center"/>
              <w:rPr>
                <w:rFonts w:cs="Times New Roman"/>
                <w:b/>
                <w:bCs/>
                <w:sz w:val="20"/>
                <w:szCs w:val="20"/>
              </w:rPr>
            </w:pPr>
            <w:r w:rsidRPr="008932D4">
              <w:rPr>
                <w:rFonts w:cs="Times New Roman"/>
                <w:b/>
                <w:bCs/>
                <w:sz w:val="20"/>
                <w:szCs w:val="20"/>
              </w:rPr>
              <w:t>Valsts budžeta izdevumi</w:t>
            </w:r>
          </w:p>
        </w:tc>
        <w:tc>
          <w:tcPr>
            <w:tcW w:w="1276" w:type="dxa"/>
            <w:shd w:val="clear" w:color="auto" w:fill="auto"/>
            <w:noWrap/>
            <w:vAlign w:val="center"/>
            <w:hideMark/>
          </w:tcPr>
          <w:p w14:paraId="3DCD690A"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68 624 945</w:t>
            </w:r>
          </w:p>
        </w:tc>
        <w:tc>
          <w:tcPr>
            <w:tcW w:w="1276" w:type="dxa"/>
            <w:shd w:val="clear" w:color="auto" w:fill="auto"/>
            <w:noWrap/>
            <w:vAlign w:val="center"/>
            <w:hideMark/>
          </w:tcPr>
          <w:p w14:paraId="0C4368AC"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65 206 351</w:t>
            </w:r>
          </w:p>
        </w:tc>
        <w:tc>
          <w:tcPr>
            <w:tcW w:w="1242" w:type="dxa"/>
            <w:shd w:val="clear" w:color="auto" w:fill="auto"/>
            <w:noWrap/>
            <w:vAlign w:val="center"/>
            <w:hideMark/>
          </w:tcPr>
          <w:p w14:paraId="11133F44"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96 652 651</w:t>
            </w:r>
          </w:p>
        </w:tc>
        <w:tc>
          <w:tcPr>
            <w:tcW w:w="1242" w:type="dxa"/>
            <w:shd w:val="clear" w:color="auto" w:fill="auto"/>
            <w:noWrap/>
            <w:vAlign w:val="center"/>
            <w:hideMark/>
          </w:tcPr>
          <w:p w14:paraId="2A6ED0B2"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78 234 809</w:t>
            </w:r>
          </w:p>
        </w:tc>
        <w:tc>
          <w:tcPr>
            <w:tcW w:w="1354" w:type="dxa"/>
            <w:tcBorders>
              <w:top w:val="single" w:sz="4" w:space="0" w:color="auto"/>
            </w:tcBorders>
            <w:shd w:val="clear" w:color="auto" w:fill="auto"/>
            <w:noWrap/>
            <w:vAlign w:val="center"/>
            <w:hideMark/>
          </w:tcPr>
          <w:p w14:paraId="784910F5"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108 995 316</w:t>
            </w:r>
          </w:p>
        </w:tc>
        <w:tc>
          <w:tcPr>
            <w:tcW w:w="1284" w:type="dxa"/>
            <w:tcBorders>
              <w:top w:val="single" w:sz="4" w:space="0" w:color="auto"/>
            </w:tcBorders>
            <w:shd w:val="clear" w:color="auto" w:fill="auto"/>
            <w:noWrap/>
            <w:vAlign w:val="center"/>
            <w:hideMark/>
          </w:tcPr>
          <w:p w14:paraId="261C6E1B"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88 382 487</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2BB8D940"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97 384 067</w:t>
            </w:r>
          </w:p>
        </w:tc>
        <w:tc>
          <w:tcPr>
            <w:tcW w:w="1150" w:type="dxa"/>
            <w:tcBorders>
              <w:top w:val="single" w:sz="4" w:space="0" w:color="auto"/>
              <w:left w:val="single" w:sz="4" w:space="0" w:color="auto"/>
              <w:bottom w:val="single" w:sz="4" w:space="0" w:color="auto"/>
              <w:right w:val="nil"/>
            </w:tcBorders>
            <w:vAlign w:val="center"/>
          </w:tcPr>
          <w:p w14:paraId="6D73451D" w14:textId="77777777" w:rsidR="00EB6CF6" w:rsidRPr="00EB6CF6" w:rsidRDefault="00EB6CF6" w:rsidP="00EB6CF6">
            <w:pPr>
              <w:spacing w:after="0" w:line="240" w:lineRule="auto"/>
              <w:ind w:firstLine="34"/>
              <w:jc w:val="center"/>
              <w:rPr>
                <w:rFonts w:cs="Times New Roman"/>
                <w:b/>
                <w:bCs/>
                <w:sz w:val="20"/>
                <w:szCs w:val="20"/>
              </w:rPr>
            </w:pPr>
          </w:p>
        </w:tc>
      </w:tr>
      <w:tr w:rsidR="007E79F0" w:rsidRPr="008932D4" w14:paraId="5E52CDBB" w14:textId="77777777" w:rsidTr="005B54FE">
        <w:trPr>
          <w:trHeight w:val="288"/>
        </w:trPr>
        <w:tc>
          <w:tcPr>
            <w:tcW w:w="4390" w:type="dxa"/>
            <w:shd w:val="clear" w:color="auto" w:fill="auto"/>
            <w:noWrap/>
            <w:vAlign w:val="bottom"/>
          </w:tcPr>
          <w:p w14:paraId="04AB2F6F" w14:textId="77777777" w:rsidR="007E79F0" w:rsidRPr="008932D4" w:rsidRDefault="007E79F0" w:rsidP="007E79F0">
            <w:pPr>
              <w:spacing w:after="0" w:line="240" w:lineRule="auto"/>
              <w:ind w:firstLine="34"/>
              <w:rPr>
                <w:rFonts w:cs="Times New Roman"/>
                <w:sz w:val="20"/>
                <w:szCs w:val="20"/>
              </w:rPr>
            </w:pPr>
            <w:r w:rsidRPr="008932D4">
              <w:rPr>
                <w:rFonts w:cs="Times New Roman"/>
                <w:sz w:val="20"/>
                <w:szCs w:val="20"/>
              </w:rPr>
              <w:t>OIK dotācija par 1. ceturksni</w:t>
            </w:r>
          </w:p>
        </w:tc>
        <w:tc>
          <w:tcPr>
            <w:tcW w:w="1276" w:type="dxa"/>
            <w:shd w:val="clear" w:color="auto" w:fill="auto"/>
            <w:noWrap/>
            <w:vAlign w:val="center"/>
          </w:tcPr>
          <w:p w14:paraId="36475F5C" w14:textId="77777777" w:rsidR="007E79F0" w:rsidRPr="005B54FE" w:rsidRDefault="007E79F0" w:rsidP="005B54FE">
            <w:pPr>
              <w:spacing w:after="0" w:line="240" w:lineRule="auto"/>
              <w:ind w:firstLine="34"/>
              <w:jc w:val="center"/>
              <w:rPr>
                <w:sz w:val="20"/>
              </w:rPr>
            </w:pPr>
            <w:r w:rsidRPr="005B54FE">
              <w:rPr>
                <w:sz w:val="20"/>
              </w:rPr>
              <w:t>0</w:t>
            </w:r>
          </w:p>
        </w:tc>
        <w:tc>
          <w:tcPr>
            <w:tcW w:w="1276" w:type="dxa"/>
            <w:shd w:val="clear" w:color="auto" w:fill="auto"/>
            <w:noWrap/>
            <w:vAlign w:val="center"/>
          </w:tcPr>
          <w:p w14:paraId="6B222270" w14:textId="77777777" w:rsidR="007E79F0" w:rsidRPr="005B54FE" w:rsidRDefault="007E79F0" w:rsidP="005B54FE">
            <w:pPr>
              <w:spacing w:after="0" w:line="240" w:lineRule="auto"/>
              <w:ind w:firstLine="34"/>
              <w:jc w:val="center"/>
              <w:rPr>
                <w:sz w:val="20"/>
              </w:rPr>
            </w:pPr>
            <w:r w:rsidRPr="005B54FE">
              <w:rPr>
                <w:sz w:val="20"/>
              </w:rPr>
              <w:t>0</w:t>
            </w:r>
          </w:p>
        </w:tc>
        <w:tc>
          <w:tcPr>
            <w:tcW w:w="1242" w:type="dxa"/>
            <w:shd w:val="clear" w:color="auto" w:fill="auto"/>
            <w:noWrap/>
            <w:vAlign w:val="center"/>
          </w:tcPr>
          <w:p w14:paraId="1790109C" w14:textId="77777777" w:rsidR="007E79F0" w:rsidRPr="005B54FE" w:rsidRDefault="007E79F0" w:rsidP="005B54FE">
            <w:pPr>
              <w:spacing w:after="0" w:line="240" w:lineRule="auto"/>
              <w:ind w:firstLine="34"/>
              <w:jc w:val="center"/>
              <w:rPr>
                <w:sz w:val="20"/>
              </w:rPr>
            </w:pPr>
            <w:r w:rsidRPr="005B54FE">
              <w:rPr>
                <w:sz w:val="20"/>
              </w:rPr>
              <w:t>19 897 815</w:t>
            </w:r>
          </w:p>
        </w:tc>
        <w:tc>
          <w:tcPr>
            <w:tcW w:w="1242" w:type="dxa"/>
            <w:shd w:val="clear" w:color="auto" w:fill="auto"/>
            <w:noWrap/>
            <w:vAlign w:val="center"/>
          </w:tcPr>
          <w:p w14:paraId="0CD9F622" w14:textId="77777777" w:rsidR="007E79F0" w:rsidRPr="005B54FE" w:rsidRDefault="007E79F0" w:rsidP="005B54FE">
            <w:pPr>
              <w:spacing w:after="0" w:line="240" w:lineRule="auto"/>
              <w:ind w:firstLine="34"/>
              <w:jc w:val="center"/>
              <w:rPr>
                <w:sz w:val="20"/>
              </w:rPr>
            </w:pPr>
            <w:r w:rsidRPr="005B54FE">
              <w:rPr>
                <w:sz w:val="20"/>
              </w:rPr>
              <w:t>19 729 623</w:t>
            </w:r>
          </w:p>
        </w:tc>
        <w:tc>
          <w:tcPr>
            <w:tcW w:w="1354" w:type="dxa"/>
            <w:shd w:val="clear" w:color="auto" w:fill="auto"/>
            <w:noWrap/>
            <w:vAlign w:val="center"/>
          </w:tcPr>
          <w:p w14:paraId="20C43871" w14:textId="77777777" w:rsidR="007E79F0" w:rsidRPr="005B54FE" w:rsidRDefault="007E79F0" w:rsidP="005B54FE">
            <w:pPr>
              <w:spacing w:after="0" w:line="240" w:lineRule="auto"/>
              <w:ind w:firstLine="34"/>
              <w:jc w:val="center"/>
              <w:rPr>
                <w:sz w:val="20"/>
              </w:rPr>
            </w:pPr>
            <w:r w:rsidRPr="005B54FE">
              <w:rPr>
                <w:sz w:val="20"/>
              </w:rPr>
              <w:t>20 384 071</w:t>
            </w:r>
          </w:p>
        </w:tc>
        <w:tc>
          <w:tcPr>
            <w:tcW w:w="1284" w:type="dxa"/>
            <w:shd w:val="clear" w:color="auto" w:fill="auto"/>
            <w:noWrap/>
            <w:vAlign w:val="center"/>
          </w:tcPr>
          <w:p w14:paraId="22B60279" w14:textId="77777777" w:rsidR="007E79F0" w:rsidRPr="005B54FE" w:rsidRDefault="007E79F0" w:rsidP="005B54FE">
            <w:pPr>
              <w:spacing w:after="0" w:line="240" w:lineRule="auto"/>
              <w:ind w:firstLine="34"/>
              <w:jc w:val="center"/>
              <w:rPr>
                <w:sz w:val="20"/>
              </w:rPr>
            </w:pPr>
            <w:r w:rsidRPr="005B54FE">
              <w:rPr>
                <w:sz w:val="20"/>
              </w:rPr>
              <w:t>16 119 281</w:t>
            </w:r>
          </w:p>
        </w:tc>
        <w:tc>
          <w:tcPr>
            <w:tcW w:w="1276" w:type="dxa"/>
            <w:shd w:val="clear" w:color="auto" w:fill="auto"/>
            <w:noWrap/>
            <w:vAlign w:val="center"/>
          </w:tcPr>
          <w:p w14:paraId="3B899102" w14:textId="77777777" w:rsidR="007E79F0" w:rsidRPr="005B54FE" w:rsidRDefault="007E79F0" w:rsidP="005B54FE">
            <w:pPr>
              <w:spacing w:after="0" w:line="240" w:lineRule="auto"/>
              <w:ind w:firstLine="34"/>
              <w:jc w:val="center"/>
              <w:rPr>
                <w:sz w:val="20"/>
              </w:rPr>
            </w:pPr>
            <w:r w:rsidRPr="005B54FE">
              <w:rPr>
                <w:sz w:val="20"/>
              </w:rPr>
              <w:t>19 538 621</w:t>
            </w:r>
          </w:p>
        </w:tc>
        <w:tc>
          <w:tcPr>
            <w:tcW w:w="1150" w:type="dxa"/>
            <w:tcBorders>
              <w:top w:val="single" w:sz="4" w:space="0" w:color="auto"/>
              <w:bottom w:val="single" w:sz="4" w:space="0" w:color="auto"/>
            </w:tcBorders>
            <w:vAlign w:val="center"/>
          </w:tcPr>
          <w:p w14:paraId="278CC448" w14:textId="77777777" w:rsidR="007E79F0" w:rsidRPr="005B54FE" w:rsidRDefault="005B54FE" w:rsidP="005B54FE">
            <w:pPr>
              <w:spacing w:line="240" w:lineRule="auto"/>
              <w:jc w:val="center"/>
              <w:rPr>
                <w:sz w:val="20"/>
              </w:rPr>
            </w:pPr>
            <w:r w:rsidRPr="005B54FE">
              <w:rPr>
                <w:sz w:val="20"/>
              </w:rPr>
              <w:t>21 399 368</w:t>
            </w:r>
          </w:p>
        </w:tc>
      </w:tr>
      <w:tr w:rsidR="007E79F0" w:rsidRPr="008932D4" w14:paraId="3D924D96" w14:textId="77777777" w:rsidTr="005B54FE">
        <w:trPr>
          <w:trHeight w:val="288"/>
        </w:trPr>
        <w:tc>
          <w:tcPr>
            <w:tcW w:w="4390" w:type="dxa"/>
            <w:shd w:val="clear" w:color="auto" w:fill="auto"/>
            <w:noWrap/>
            <w:vAlign w:val="bottom"/>
          </w:tcPr>
          <w:p w14:paraId="29AB5507" w14:textId="77777777" w:rsidR="007E79F0" w:rsidRPr="008932D4" w:rsidRDefault="007E79F0" w:rsidP="007E79F0">
            <w:pPr>
              <w:spacing w:after="0" w:line="240" w:lineRule="auto"/>
              <w:ind w:firstLine="34"/>
              <w:rPr>
                <w:rFonts w:cs="Times New Roman"/>
                <w:sz w:val="20"/>
                <w:szCs w:val="20"/>
              </w:rPr>
            </w:pPr>
            <w:r w:rsidRPr="008932D4">
              <w:rPr>
                <w:rFonts w:cs="Times New Roman"/>
                <w:sz w:val="20"/>
                <w:szCs w:val="20"/>
              </w:rPr>
              <w:t>OIK dotācija par 2.–4. ceturksni</w:t>
            </w:r>
          </w:p>
        </w:tc>
        <w:tc>
          <w:tcPr>
            <w:tcW w:w="1276" w:type="dxa"/>
            <w:shd w:val="clear" w:color="auto" w:fill="auto"/>
            <w:noWrap/>
            <w:vAlign w:val="center"/>
          </w:tcPr>
          <w:p w14:paraId="2CE9BC12" w14:textId="77777777" w:rsidR="007E79F0" w:rsidRPr="005B54FE" w:rsidRDefault="007E79F0" w:rsidP="005B54FE">
            <w:pPr>
              <w:spacing w:after="0" w:line="240" w:lineRule="auto"/>
              <w:ind w:firstLine="34"/>
              <w:jc w:val="center"/>
              <w:rPr>
                <w:sz w:val="20"/>
              </w:rPr>
            </w:pPr>
            <w:r w:rsidRPr="005B54FE">
              <w:rPr>
                <w:sz w:val="20"/>
              </w:rPr>
              <w:t>59 693 445</w:t>
            </w:r>
          </w:p>
        </w:tc>
        <w:tc>
          <w:tcPr>
            <w:tcW w:w="1276" w:type="dxa"/>
            <w:shd w:val="clear" w:color="auto" w:fill="auto"/>
            <w:noWrap/>
            <w:vAlign w:val="center"/>
          </w:tcPr>
          <w:p w14:paraId="1DE0BFCE" w14:textId="77777777" w:rsidR="007E79F0" w:rsidRPr="005B54FE" w:rsidRDefault="007E79F0" w:rsidP="005B54FE">
            <w:pPr>
              <w:spacing w:after="0" w:line="240" w:lineRule="auto"/>
              <w:ind w:firstLine="34"/>
              <w:jc w:val="center"/>
              <w:rPr>
                <w:sz w:val="20"/>
              </w:rPr>
            </w:pPr>
            <w:r w:rsidRPr="005B54FE">
              <w:rPr>
                <w:sz w:val="20"/>
              </w:rPr>
              <w:t>59 188 869</w:t>
            </w:r>
          </w:p>
        </w:tc>
        <w:tc>
          <w:tcPr>
            <w:tcW w:w="1242" w:type="dxa"/>
            <w:shd w:val="clear" w:color="auto" w:fill="auto"/>
            <w:noWrap/>
            <w:vAlign w:val="center"/>
          </w:tcPr>
          <w:p w14:paraId="522AFD54" w14:textId="77777777" w:rsidR="007E79F0" w:rsidRPr="005B54FE" w:rsidRDefault="007E79F0" w:rsidP="005B54FE">
            <w:pPr>
              <w:spacing w:after="0" w:line="240" w:lineRule="auto"/>
              <w:ind w:firstLine="34"/>
              <w:jc w:val="center"/>
              <w:rPr>
                <w:sz w:val="20"/>
              </w:rPr>
            </w:pPr>
            <w:r w:rsidRPr="005B54FE">
              <w:rPr>
                <w:sz w:val="20"/>
              </w:rPr>
              <w:t>61 152 212</w:t>
            </w:r>
          </w:p>
        </w:tc>
        <w:tc>
          <w:tcPr>
            <w:tcW w:w="1242" w:type="dxa"/>
            <w:shd w:val="clear" w:color="auto" w:fill="auto"/>
            <w:noWrap/>
            <w:vAlign w:val="center"/>
          </w:tcPr>
          <w:p w14:paraId="564561E5" w14:textId="77777777" w:rsidR="007E79F0" w:rsidRPr="005B54FE" w:rsidRDefault="007E79F0" w:rsidP="005B54FE">
            <w:pPr>
              <w:spacing w:after="0" w:line="240" w:lineRule="auto"/>
              <w:ind w:firstLine="34"/>
              <w:jc w:val="center"/>
              <w:rPr>
                <w:sz w:val="20"/>
              </w:rPr>
            </w:pPr>
            <w:r w:rsidRPr="005B54FE">
              <w:rPr>
                <w:sz w:val="20"/>
              </w:rPr>
              <w:t>48 357 843</w:t>
            </w:r>
          </w:p>
        </w:tc>
        <w:tc>
          <w:tcPr>
            <w:tcW w:w="1354" w:type="dxa"/>
            <w:shd w:val="clear" w:color="auto" w:fill="auto"/>
            <w:noWrap/>
            <w:vAlign w:val="center"/>
          </w:tcPr>
          <w:p w14:paraId="3EC97AFD" w14:textId="77777777" w:rsidR="007E79F0" w:rsidRPr="005B54FE" w:rsidRDefault="007E79F0" w:rsidP="005B54FE">
            <w:pPr>
              <w:spacing w:after="0" w:line="240" w:lineRule="auto"/>
              <w:ind w:firstLine="34"/>
              <w:jc w:val="center"/>
              <w:rPr>
                <w:sz w:val="20"/>
              </w:rPr>
            </w:pPr>
            <w:r w:rsidRPr="005B54FE">
              <w:rPr>
                <w:sz w:val="20"/>
              </w:rPr>
              <w:t>69 508 621</w:t>
            </w:r>
          </w:p>
        </w:tc>
        <w:tc>
          <w:tcPr>
            <w:tcW w:w="1284" w:type="dxa"/>
            <w:shd w:val="clear" w:color="auto" w:fill="auto"/>
            <w:noWrap/>
            <w:vAlign w:val="center"/>
          </w:tcPr>
          <w:p w14:paraId="52800BDC" w14:textId="77777777" w:rsidR="007E79F0" w:rsidRPr="005B54FE" w:rsidRDefault="007E79F0" w:rsidP="005B54FE">
            <w:pPr>
              <w:spacing w:after="0" w:line="240" w:lineRule="auto"/>
              <w:ind w:firstLine="34"/>
              <w:jc w:val="center"/>
              <w:rPr>
                <w:sz w:val="20"/>
              </w:rPr>
            </w:pPr>
            <w:r w:rsidRPr="005B54FE">
              <w:rPr>
                <w:sz w:val="20"/>
              </w:rPr>
              <w:t>58 615 863</w:t>
            </w:r>
          </w:p>
        </w:tc>
        <w:tc>
          <w:tcPr>
            <w:tcW w:w="1276" w:type="dxa"/>
            <w:tcBorders>
              <w:right w:val="single" w:sz="4" w:space="0" w:color="auto"/>
            </w:tcBorders>
            <w:shd w:val="clear" w:color="auto" w:fill="auto"/>
            <w:noWrap/>
            <w:vAlign w:val="center"/>
          </w:tcPr>
          <w:p w14:paraId="1553C97F" w14:textId="77777777" w:rsidR="007E79F0" w:rsidRPr="005B54FE" w:rsidRDefault="007E79F0" w:rsidP="005B54FE">
            <w:pPr>
              <w:spacing w:after="0" w:line="240" w:lineRule="auto"/>
              <w:ind w:firstLine="34"/>
              <w:jc w:val="center"/>
              <w:rPr>
                <w:sz w:val="20"/>
              </w:rPr>
            </w:pPr>
            <w:r w:rsidRPr="005B54FE">
              <w:rPr>
                <w:sz w:val="20"/>
              </w:rPr>
              <w:t>64 198 103</w:t>
            </w:r>
          </w:p>
        </w:tc>
        <w:tc>
          <w:tcPr>
            <w:tcW w:w="1150" w:type="dxa"/>
            <w:vMerge w:val="restart"/>
            <w:tcBorders>
              <w:top w:val="single" w:sz="4" w:space="0" w:color="auto"/>
              <w:left w:val="single" w:sz="4" w:space="0" w:color="auto"/>
              <w:bottom w:val="nil"/>
              <w:right w:val="nil"/>
            </w:tcBorders>
            <w:vAlign w:val="center"/>
          </w:tcPr>
          <w:p w14:paraId="4A65C70E" w14:textId="77777777" w:rsidR="007E79F0" w:rsidRPr="005B54FE" w:rsidRDefault="007E79F0" w:rsidP="005B54FE">
            <w:pPr>
              <w:spacing w:after="0" w:line="240" w:lineRule="auto"/>
              <w:ind w:firstLine="34"/>
              <w:jc w:val="center"/>
              <w:rPr>
                <w:sz w:val="20"/>
              </w:rPr>
            </w:pPr>
          </w:p>
        </w:tc>
      </w:tr>
      <w:tr w:rsidR="007E79F0" w:rsidRPr="008932D4" w14:paraId="71AF6E79" w14:textId="77777777" w:rsidTr="00855D12">
        <w:trPr>
          <w:trHeight w:val="288"/>
        </w:trPr>
        <w:tc>
          <w:tcPr>
            <w:tcW w:w="4390" w:type="dxa"/>
            <w:shd w:val="clear" w:color="auto" w:fill="auto"/>
            <w:noWrap/>
            <w:vAlign w:val="bottom"/>
            <w:hideMark/>
          </w:tcPr>
          <w:p w14:paraId="30B743BE" w14:textId="77777777" w:rsidR="007E79F0" w:rsidRPr="008932D4" w:rsidRDefault="007E79F0" w:rsidP="007E79F0">
            <w:pPr>
              <w:spacing w:after="0" w:line="240" w:lineRule="auto"/>
              <w:ind w:firstLine="34"/>
              <w:rPr>
                <w:rFonts w:cs="Times New Roman"/>
                <w:sz w:val="20"/>
                <w:szCs w:val="20"/>
              </w:rPr>
            </w:pPr>
            <w:r w:rsidRPr="008932D4">
              <w:rPr>
                <w:rFonts w:cs="Times New Roman"/>
                <w:sz w:val="20"/>
                <w:szCs w:val="20"/>
              </w:rPr>
              <w:t>OIK dotācija energoietilpīgo uzņēmumu atbalstam</w:t>
            </w:r>
          </w:p>
        </w:tc>
        <w:tc>
          <w:tcPr>
            <w:tcW w:w="1276" w:type="dxa"/>
            <w:shd w:val="clear" w:color="auto" w:fill="auto"/>
            <w:noWrap/>
            <w:vAlign w:val="bottom"/>
            <w:hideMark/>
          </w:tcPr>
          <w:p w14:paraId="01AE981C"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0</w:t>
            </w:r>
          </w:p>
        </w:tc>
        <w:tc>
          <w:tcPr>
            <w:tcW w:w="1276" w:type="dxa"/>
            <w:shd w:val="clear" w:color="auto" w:fill="auto"/>
            <w:noWrap/>
            <w:vAlign w:val="bottom"/>
            <w:hideMark/>
          </w:tcPr>
          <w:p w14:paraId="220E139C"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0</w:t>
            </w:r>
          </w:p>
        </w:tc>
        <w:tc>
          <w:tcPr>
            <w:tcW w:w="1242" w:type="dxa"/>
            <w:shd w:val="clear" w:color="auto" w:fill="auto"/>
            <w:noWrap/>
            <w:vAlign w:val="bottom"/>
            <w:hideMark/>
          </w:tcPr>
          <w:p w14:paraId="11130C50"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3 500 000</w:t>
            </w:r>
          </w:p>
        </w:tc>
        <w:tc>
          <w:tcPr>
            <w:tcW w:w="1242" w:type="dxa"/>
            <w:shd w:val="clear" w:color="auto" w:fill="auto"/>
            <w:noWrap/>
            <w:vAlign w:val="bottom"/>
            <w:hideMark/>
          </w:tcPr>
          <w:p w14:paraId="22CC0BDE"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3 500 000</w:t>
            </w:r>
          </w:p>
        </w:tc>
        <w:tc>
          <w:tcPr>
            <w:tcW w:w="1354" w:type="dxa"/>
            <w:shd w:val="clear" w:color="auto" w:fill="auto"/>
            <w:noWrap/>
            <w:vAlign w:val="bottom"/>
            <w:hideMark/>
          </w:tcPr>
          <w:p w14:paraId="08EFFCF9"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7 000 000</w:t>
            </w:r>
          </w:p>
        </w:tc>
        <w:tc>
          <w:tcPr>
            <w:tcW w:w="1284" w:type="dxa"/>
            <w:shd w:val="clear" w:color="auto" w:fill="auto"/>
            <w:noWrap/>
            <w:vAlign w:val="bottom"/>
            <w:hideMark/>
          </w:tcPr>
          <w:p w14:paraId="79C88E35"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7 000 000</w:t>
            </w:r>
          </w:p>
        </w:tc>
        <w:tc>
          <w:tcPr>
            <w:tcW w:w="1276" w:type="dxa"/>
            <w:tcBorders>
              <w:right w:val="single" w:sz="4" w:space="0" w:color="auto"/>
            </w:tcBorders>
            <w:shd w:val="clear" w:color="auto" w:fill="auto"/>
            <w:noWrap/>
            <w:vAlign w:val="bottom"/>
            <w:hideMark/>
          </w:tcPr>
          <w:p w14:paraId="1E047879" w14:textId="77777777" w:rsidR="007E79F0" w:rsidRPr="008932D4" w:rsidRDefault="007E79F0" w:rsidP="007E79F0">
            <w:pPr>
              <w:spacing w:after="0" w:line="240" w:lineRule="auto"/>
              <w:ind w:firstLine="34"/>
              <w:jc w:val="center"/>
              <w:rPr>
                <w:rFonts w:cs="Times New Roman"/>
                <w:sz w:val="20"/>
                <w:szCs w:val="20"/>
              </w:rPr>
            </w:pPr>
            <w:r w:rsidRPr="00EA54B1">
              <w:rPr>
                <w:rFonts w:cs="Times New Roman"/>
                <w:sz w:val="20"/>
                <w:szCs w:val="20"/>
              </w:rPr>
              <w:t>7 000 000</w:t>
            </w:r>
          </w:p>
        </w:tc>
        <w:tc>
          <w:tcPr>
            <w:tcW w:w="1150" w:type="dxa"/>
            <w:vMerge/>
            <w:tcBorders>
              <w:top w:val="nil"/>
              <w:left w:val="single" w:sz="4" w:space="0" w:color="auto"/>
              <w:bottom w:val="nil"/>
              <w:right w:val="nil"/>
            </w:tcBorders>
            <w:vAlign w:val="center"/>
          </w:tcPr>
          <w:p w14:paraId="2C8E7F1E" w14:textId="77777777" w:rsidR="007E79F0" w:rsidRPr="008932D4" w:rsidRDefault="007E79F0" w:rsidP="007E79F0">
            <w:pPr>
              <w:spacing w:after="0" w:line="240" w:lineRule="auto"/>
              <w:ind w:firstLine="34"/>
              <w:jc w:val="center"/>
              <w:rPr>
                <w:rFonts w:cs="Times New Roman"/>
                <w:sz w:val="20"/>
                <w:szCs w:val="20"/>
              </w:rPr>
            </w:pPr>
          </w:p>
        </w:tc>
      </w:tr>
      <w:tr w:rsidR="000D5762" w:rsidRPr="008932D4" w14:paraId="6A968B58" w14:textId="77777777" w:rsidTr="00D2599A">
        <w:trPr>
          <w:trHeight w:val="201"/>
        </w:trPr>
        <w:tc>
          <w:tcPr>
            <w:tcW w:w="4390" w:type="dxa"/>
            <w:shd w:val="clear" w:color="auto" w:fill="auto"/>
            <w:vAlign w:val="center"/>
            <w:hideMark/>
          </w:tcPr>
          <w:p w14:paraId="722E0A38" w14:textId="77777777" w:rsidR="000D5762" w:rsidRPr="008932D4" w:rsidRDefault="000D5762" w:rsidP="000D5762">
            <w:pPr>
              <w:spacing w:after="0" w:line="240" w:lineRule="auto"/>
              <w:ind w:firstLine="34"/>
              <w:jc w:val="left"/>
              <w:rPr>
                <w:rFonts w:cs="Times New Roman"/>
                <w:sz w:val="20"/>
                <w:szCs w:val="20"/>
              </w:rPr>
            </w:pPr>
            <w:r>
              <w:rPr>
                <w:rFonts w:cs="Times New Roman"/>
                <w:sz w:val="20"/>
                <w:szCs w:val="20"/>
              </w:rPr>
              <w:t>Aizsargātie lietotāji</w:t>
            </w:r>
          </w:p>
        </w:tc>
        <w:tc>
          <w:tcPr>
            <w:tcW w:w="1276" w:type="dxa"/>
            <w:shd w:val="clear" w:color="auto" w:fill="auto"/>
            <w:noWrap/>
            <w:vAlign w:val="center"/>
            <w:hideMark/>
          </w:tcPr>
          <w:p w14:paraId="6B4B06B2" w14:textId="77777777" w:rsidR="000D5762" w:rsidRPr="000D5762" w:rsidRDefault="000D5762" w:rsidP="00D2599A">
            <w:pPr>
              <w:spacing w:after="0" w:line="240" w:lineRule="auto"/>
              <w:ind w:firstLine="34"/>
              <w:jc w:val="center"/>
              <w:rPr>
                <w:rFonts w:cs="Times New Roman"/>
                <w:sz w:val="20"/>
                <w:szCs w:val="20"/>
              </w:rPr>
            </w:pPr>
            <w:r w:rsidRPr="000D5762">
              <w:rPr>
                <w:sz w:val="20"/>
              </w:rPr>
              <w:t>8 931 500</w:t>
            </w:r>
          </w:p>
        </w:tc>
        <w:tc>
          <w:tcPr>
            <w:tcW w:w="1276" w:type="dxa"/>
            <w:shd w:val="clear" w:color="auto" w:fill="auto"/>
            <w:noWrap/>
            <w:vAlign w:val="center"/>
            <w:hideMark/>
          </w:tcPr>
          <w:p w14:paraId="384CBA59" w14:textId="77777777" w:rsidR="000D5762" w:rsidRPr="000D5762" w:rsidRDefault="000D5762" w:rsidP="00D2599A">
            <w:pPr>
              <w:spacing w:after="0" w:line="240" w:lineRule="auto"/>
              <w:ind w:firstLine="34"/>
              <w:jc w:val="center"/>
              <w:rPr>
                <w:rFonts w:cs="Times New Roman"/>
                <w:sz w:val="20"/>
                <w:szCs w:val="20"/>
              </w:rPr>
            </w:pPr>
            <w:r w:rsidRPr="000D5762">
              <w:rPr>
                <w:sz w:val="20"/>
              </w:rPr>
              <w:t>6 017 481</w:t>
            </w:r>
          </w:p>
        </w:tc>
        <w:tc>
          <w:tcPr>
            <w:tcW w:w="1242" w:type="dxa"/>
            <w:shd w:val="clear" w:color="auto" w:fill="auto"/>
            <w:noWrap/>
            <w:vAlign w:val="center"/>
            <w:hideMark/>
          </w:tcPr>
          <w:p w14:paraId="7295C085" w14:textId="77777777" w:rsidR="000D5762" w:rsidRPr="000D5762" w:rsidRDefault="000D5762" w:rsidP="00D2599A">
            <w:pPr>
              <w:spacing w:after="0" w:line="240" w:lineRule="auto"/>
              <w:ind w:firstLine="34"/>
              <w:jc w:val="center"/>
              <w:rPr>
                <w:rFonts w:cs="Times New Roman"/>
                <w:sz w:val="20"/>
                <w:szCs w:val="20"/>
              </w:rPr>
            </w:pPr>
            <w:r w:rsidRPr="000D5762">
              <w:rPr>
                <w:sz w:val="20"/>
              </w:rPr>
              <w:t>12 102 624</w:t>
            </w:r>
          </w:p>
        </w:tc>
        <w:tc>
          <w:tcPr>
            <w:tcW w:w="1242" w:type="dxa"/>
            <w:shd w:val="clear" w:color="auto" w:fill="auto"/>
            <w:noWrap/>
            <w:vAlign w:val="center"/>
            <w:hideMark/>
          </w:tcPr>
          <w:p w14:paraId="7607A680" w14:textId="77777777" w:rsidR="000D5762" w:rsidRPr="000D5762" w:rsidRDefault="000D5762" w:rsidP="00D2599A">
            <w:pPr>
              <w:spacing w:after="0" w:line="240" w:lineRule="auto"/>
              <w:ind w:firstLine="34"/>
              <w:jc w:val="center"/>
              <w:rPr>
                <w:rFonts w:cs="Times New Roman"/>
                <w:sz w:val="20"/>
                <w:szCs w:val="20"/>
              </w:rPr>
            </w:pPr>
            <w:r w:rsidRPr="000D5762">
              <w:rPr>
                <w:sz w:val="20"/>
              </w:rPr>
              <w:t>6 647 343</w:t>
            </w:r>
          </w:p>
        </w:tc>
        <w:tc>
          <w:tcPr>
            <w:tcW w:w="1354" w:type="dxa"/>
            <w:shd w:val="clear" w:color="auto" w:fill="auto"/>
            <w:noWrap/>
            <w:vAlign w:val="center"/>
            <w:hideMark/>
          </w:tcPr>
          <w:p w14:paraId="1E8B63D4" w14:textId="77777777" w:rsidR="000D5762" w:rsidRPr="000D5762" w:rsidRDefault="000D5762" w:rsidP="00D2599A">
            <w:pPr>
              <w:spacing w:after="0" w:line="240" w:lineRule="auto"/>
              <w:ind w:firstLine="34"/>
              <w:jc w:val="center"/>
              <w:rPr>
                <w:rFonts w:cs="Times New Roman"/>
                <w:sz w:val="20"/>
                <w:szCs w:val="20"/>
              </w:rPr>
            </w:pPr>
            <w:r w:rsidRPr="000D5762">
              <w:rPr>
                <w:sz w:val="20"/>
              </w:rPr>
              <w:t>12 102 624</w:t>
            </w:r>
          </w:p>
        </w:tc>
        <w:tc>
          <w:tcPr>
            <w:tcW w:w="1284" w:type="dxa"/>
            <w:shd w:val="clear" w:color="auto" w:fill="auto"/>
            <w:noWrap/>
            <w:vAlign w:val="center"/>
            <w:hideMark/>
          </w:tcPr>
          <w:p w14:paraId="64818212" w14:textId="77777777" w:rsidR="000D5762" w:rsidRPr="000D5762" w:rsidRDefault="000D5762" w:rsidP="00D2599A">
            <w:pPr>
              <w:spacing w:after="0" w:line="240" w:lineRule="auto"/>
              <w:ind w:firstLine="34"/>
              <w:jc w:val="center"/>
              <w:rPr>
                <w:rFonts w:cs="Times New Roman"/>
                <w:sz w:val="20"/>
                <w:szCs w:val="20"/>
              </w:rPr>
            </w:pPr>
            <w:r w:rsidRPr="000D5762">
              <w:rPr>
                <w:sz w:val="20"/>
              </w:rPr>
              <w:t>6 647 343</w:t>
            </w:r>
          </w:p>
        </w:tc>
        <w:tc>
          <w:tcPr>
            <w:tcW w:w="1276" w:type="dxa"/>
            <w:tcBorders>
              <w:right w:val="single" w:sz="4" w:space="0" w:color="auto"/>
            </w:tcBorders>
            <w:shd w:val="clear" w:color="auto" w:fill="auto"/>
            <w:noWrap/>
            <w:vAlign w:val="center"/>
            <w:hideMark/>
          </w:tcPr>
          <w:p w14:paraId="5767E65F" w14:textId="77777777" w:rsidR="000D5762" w:rsidRPr="008932D4" w:rsidRDefault="000D5762" w:rsidP="00D2599A">
            <w:pPr>
              <w:spacing w:after="0" w:line="240" w:lineRule="auto"/>
              <w:ind w:firstLine="34"/>
              <w:jc w:val="center"/>
              <w:rPr>
                <w:rFonts w:cs="Times New Roman"/>
                <w:sz w:val="20"/>
                <w:szCs w:val="20"/>
              </w:rPr>
            </w:pPr>
            <w:r w:rsidRPr="000D5762">
              <w:rPr>
                <w:sz w:val="20"/>
              </w:rPr>
              <w:t>6 647 343</w:t>
            </w:r>
          </w:p>
        </w:tc>
        <w:tc>
          <w:tcPr>
            <w:tcW w:w="1150" w:type="dxa"/>
            <w:vMerge/>
            <w:tcBorders>
              <w:top w:val="nil"/>
              <w:left w:val="single" w:sz="4" w:space="0" w:color="auto"/>
              <w:bottom w:val="nil"/>
              <w:right w:val="nil"/>
            </w:tcBorders>
            <w:vAlign w:val="center"/>
          </w:tcPr>
          <w:p w14:paraId="47FDB1B0" w14:textId="77777777" w:rsidR="000D5762" w:rsidRPr="008932D4" w:rsidRDefault="000D5762" w:rsidP="00D2599A">
            <w:pPr>
              <w:spacing w:after="0" w:line="240" w:lineRule="auto"/>
              <w:ind w:firstLine="34"/>
              <w:jc w:val="center"/>
              <w:rPr>
                <w:rFonts w:cs="Times New Roman"/>
                <w:sz w:val="20"/>
                <w:szCs w:val="20"/>
              </w:rPr>
            </w:pPr>
          </w:p>
        </w:tc>
      </w:tr>
      <w:tr w:rsidR="00EB6CF6" w:rsidRPr="008932D4" w14:paraId="1B4C4D3E" w14:textId="77777777" w:rsidTr="00EB6CF6">
        <w:trPr>
          <w:trHeight w:val="288"/>
        </w:trPr>
        <w:tc>
          <w:tcPr>
            <w:tcW w:w="4390" w:type="dxa"/>
            <w:shd w:val="clear" w:color="auto" w:fill="auto"/>
            <w:noWrap/>
            <w:vAlign w:val="bottom"/>
            <w:hideMark/>
          </w:tcPr>
          <w:p w14:paraId="2C6CAA14" w14:textId="77777777" w:rsidR="00EB6CF6" w:rsidRPr="008932D4" w:rsidRDefault="00EB6CF6" w:rsidP="00EB6CF6">
            <w:pPr>
              <w:spacing w:after="0" w:line="240" w:lineRule="auto"/>
              <w:ind w:firstLine="34"/>
              <w:jc w:val="center"/>
              <w:rPr>
                <w:rFonts w:cs="Times New Roman"/>
                <w:b/>
                <w:bCs/>
                <w:sz w:val="20"/>
                <w:szCs w:val="20"/>
              </w:rPr>
            </w:pPr>
            <w:r w:rsidRPr="008932D4">
              <w:rPr>
                <w:rFonts w:cs="Times New Roman"/>
                <w:b/>
                <w:bCs/>
                <w:sz w:val="20"/>
                <w:szCs w:val="20"/>
              </w:rPr>
              <w:t>Valsts budžeta ieņēmumi</w:t>
            </w:r>
          </w:p>
        </w:tc>
        <w:tc>
          <w:tcPr>
            <w:tcW w:w="1276" w:type="dxa"/>
            <w:shd w:val="clear" w:color="auto" w:fill="auto"/>
            <w:noWrap/>
            <w:vAlign w:val="center"/>
            <w:hideMark/>
          </w:tcPr>
          <w:p w14:paraId="5FC58573"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68 624 945</w:t>
            </w:r>
          </w:p>
        </w:tc>
        <w:tc>
          <w:tcPr>
            <w:tcW w:w="1276" w:type="dxa"/>
            <w:shd w:val="clear" w:color="auto" w:fill="auto"/>
            <w:noWrap/>
            <w:vAlign w:val="center"/>
            <w:hideMark/>
          </w:tcPr>
          <w:p w14:paraId="379D71DB"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65 237 101</w:t>
            </w:r>
          </w:p>
        </w:tc>
        <w:tc>
          <w:tcPr>
            <w:tcW w:w="1242" w:type="dxa"/>
            <w:shd w:val="clear" w:color="auto" w:fill="auto"/>
            <w:noWrap/>
            <w:vAlign w:val="center"/>
            <w:hideMark/>
          </w:tcPr>
          <w:p w14:paraId="2E25B9AC"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96 652 651</w:t>
            </w:r>
          </w:p>
        </w:tc>
        <w:tc>
          <w:tcPr>
            <w:tcW w:w="1242" w:type="dxa"/>
            <w:shd w:val="clear" w:color="auto" w:fill="auto"/>
            <w:noWrap/>
            <w:vAlign w:val="center"/>
            <w:hideMark/>
          </w:tcPr>
          <w:p w14:paraId="7850D086"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78 234 809</w:t>
            </w:r>
          </w:p>
        </w:tc>
        <w:tc>
          <w:tcPr>
            <w:tcW w:w="1354" w:type="dxa"/>
            <w:shd w:val="clear" w:color="auto" w:fill="auto"/>
            <w:noWrap/>
            <w:vAlign w:val="center"/>
            <w:hideMark/>
          </w:tcPr>
          <w:p w14:paraId="4F5CAB1A"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108 995 316</w:t>
            </w:r>
          </w:p>
        </w:tc>
        <w:tc>
          <w:tcPr>
            <w:tcW w:w="1284" w:type="dxa"/>
            <w:shd w:val="clear" w:color="auto" w:fill="auto"/>
            <w:noWrap/>
            <w:vAlign w:val="center"/>
            <w:hideMark/>
          </w:tcPr>
          <w:p w14:paraId="311CD931"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88 382 487</w:t>
            </w:r>
          </w:p>
        </w:tc>
        <w:tc>
          <w:tcPr>
            <w:tcW w:w="1276" w:type="dxa"/>
            <w:tcBorders>
              <w:right w:val="single" w:sz="4" w:space="0" w:color="auto"/>
            </w:tcBorders>
            <w:shd w:val="clear" w:color="auto" w:fill="auto"/>
            <w:noWrap/>
            <w:vAlign w:val="center"/>
            <w:hideMark/>
          </w:tcPr>
          <w:p w14:paraId="3AC4F0FC" w14:textId="77777777" w:rsidR="00EB6CF6" w:rsidRPr="00EB6CF6" w:rsidRDefault="00EB6CF6" w:rsidP="00EB6CF6">
            <w:pPr>
              <w:spacing w:after="0" w:line="240" w:lineRule="auto"/>
              <w:ind w:firstLine="34"/>
              <w:jc w:val="center"/>
              <w:rPr>
                <w:rFonts w:eastAsia="Times New Roman" w:cs="Times New Roman"/>
                <w:b/>
                <w:bCs/>
                <w:color w:val="000000"/>
                <w:sz w:val="20"/>
                <w:lang w:eastAsia="lv-LV"/>
              </w:rPr>
            </w:pPr>
            <w:r w:rsidRPr="00EB6CF6">
              <w:rPr>
                <w:rFonts w:cs="Times New Roman"/>
                <w:b/>
                <w:bCs/>
                <w:color w:val="000000"/>
                <w:sz w:val="20"/>
              </w:rPr>
              <w:t>97 384 067</w:t>
            </w:r>
          </w:p>
        </w:tc>
        <w:tc>
          <w:tcPr>
            <w:tcW w:w="1150" w:type="dxa"/>
            <w:vMerge/>
            <w:tcBorders>
              <w:top w:val="nil"/>
              <w:left w:val="single" w:sz="4" w:space="0" w:color="auto"/>
              <w:bottom w:val="nil"/>
              <w:right w:val="nil"/>
            </w:tcBorders>
            <w:vAlign w:val="center"/>
          </w:tcPr>
          <w:p w14:paraId="305DD8A0" w14:textId="77777777" w:rsidR="00EB6CF6" w:rsidRPr="008932D4" w:rsidRDefault="00EB6CF6" w:rsidP="00EB6CF6">
            <w:pPr>
              <w:spacing w:after="0" w:line="240" w:lineRule="auto"/>
              <w:ind w:firstLine="34"/>
              <w:jc w:val="center"/>
              <w:rPr>
                <w:rFonts w:cs="Times New Roman"/>
                <w:b/>
                <w:bCs/>
                <w:sz w:val="20"/>
                <w:szCs w:val="20"/>
              </w:rPr>
            </w:pPr>
          </w:p>
        </w:tc>
      </w:tr>
      <w:tr w:rsidR="002500BF" w:rsidRPr="008932D4" w14:paraId="3C2F9168" w14:textId="77777777" w:rsidTr="00D2599A">
        <w:trPr>
          <w:trHeight w:val="288"/>
        </w:trPr>
        <w:tc>
          <w:tcPr>
            <w:tcW w:w="4390" w:type="dxa"/>
            <w:shd w:val="clear" w:color="auto" w:fill="auto"/>
            <w:noWrap/>
            <w:vAlign w:val="bottom"/>
            <w:hideMark/>
          </w:tcPr>
          <w:p w14:paraId="593BF234" w14:textId="77777777" w:rsidR="002500BF" w:rsidRPr="008932D4" w:rsidRDefault="000D5762" w:rsidP="000D5762">
            <w:pPr>
              <w:spacing w:after="0" w:line="240" w:lineRule="auto"/>
              <w:ind w:firstLine="34"/>
              <w:rPr>
                <w:rFonts w:cs="Times New Roman"/>
                <w:sz w:val="20"/>
                <w:szCs w:val="20"/>
              </w:rPr>
            </w:pPr>
            <w:r>
              <w:rPr>
                <w:rFonts w:cs="Times New Roman"/>
                <w:sz w:val="20"/>
                <w:szCs w:val="20"/>
              </w:rPr>
              <w:t>SEN</w:t>
            </w:r>
          </w:p>
        </w:tc>
        <w:tc>
          <w:tcPr>
            <w:tcW w:w="1276" w:type="dxa"/>
            <w:shd w:val="clear" w:color="auto" w:fill="auto"/>
            <w:noWrap/>
            <w:vAlign w:val="center"/>
            <w:hideMark/>
          </w:tcPr>
          <w:p w14:paraId="6BC794F2"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33 876 000</w:t>
            </w:r>
          </w:p>
        </w:tc>
        <w:tc>
          <w:tcPr>
            <w:tcW w:w="1276" w:type="dxa"/>
            <w:shd w:val="clear" w:color="000000" w:fill="FFFFFF"/>
            <w:noWrap/>
            <w:vAlign w:val="center"/>
            <w:hideMark/>
          </w:tcPr>
          <w:p w14:paraId="62AA02DF"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30 993 894</w:t>
            </w:r>
          </w:p>
        </w:tc>
        <w:tc>
          <w:tcPr>
            <w:tcW w:w="1242" w:type="dxa"/>
            <w:shd w:val="clear" w:color="auto" w:fill="auto"/>
            <w:noWrap/>
            <w:vAlign w:val="center"/>
            <w:hideMark/>
          </w:tcPr>
          <w:p w14:paraId="2F3D01B3"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37 009 000</w:t>
            </w:r>
          </w:p>
        </w:tc>
        <w:tc>
          <w:tcPr>
            <w:tcW w:w="1242" w:type="dxa"/>
            <w:shd w:val="clear" w:color="000000" w:fill="FFFFFF"/>
            <w:noWrap/>
            <w:vAlign w:val="center"/>
            <w:hideMark/>
          </w:tcPr>
          <w:p w14:paraId="5276FDF4"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32 627 027</w:t>
            </w:r>
          </w:p>
        </w:tc>
        <w:tc>
          <w:tcPr>
            <w:tcW w:w="1354" w:type="dxa"/>
            <w:shd w:val="clear" w:color="auto" w:fill="auto"/>
            <w:noWrap/>
            <w:vAlign w:val="center"/>
            <w:hideMark/>
          </w:tcPr>
          <w:p w14:paraId="39F94FE2"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37 009 000</w:t>
            </w:r>
          </w:p>
        </w:tc>
        <w:tc>
          <w:tcPr>
            <w:tcW w:w="1284" w:type="dxa"/>
            <w:shd w:val="clear" w:color="000000" w:fill="FFFFFF"/>
            <w:noWrap/>
            <w:vAlign w:val="center"/>
            <w:hideMark/>
          </w:tcPr>
          <w:p w14:paraId="2C7A6D91"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5 803 140</w:t>
            </w:r>
          </w:p>
        </w:tc>
        <w:tc>
          <w:tcPr>
            <w:tcW w:w="1276" w:type="dxa"/>
            <w:tcBorders>
              <w:right w:val="single" w:sz="4" w:space="0" w:color="auto"/>
            </w:tcBorders>
            <w:shd w:val="clear" w:color="auto" w:fill="auto"/>
            <w:noWrap/>
            <w:vAlign w:val="center"/>
            <w:hideMark/>
          </w:tcPr>
          <w:p w14:paraId="6FCA0CB2"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0</w:t>
            </w:r>
          </w:p>
        </w:tc>
        <w:tc>
          <w:tcPr>
            <w:tcW w:w="1150" w:type="dxa"/>
            <w:vMerge/>
            <w:tcBorders>
              <w:top w:val="nil"/>
              <w:left w:val="single" w:sz="4" w:space="0" w:color="auto"/>
              <w:bottom w:val="nil"/>
              <w:right w:val="nil"/>
            </w:tcBorders>
            <w:vAlign w:val="center"/>
          </w:tcPr>
          <w:p w14:paraId="3555EB45" w14:textId="77777777" w:rsidR="002500BF" w:rsidRPr="008932D4" w:rsidRDefault="002500BF" w:rsidP="00D2599A">
            <w:pPr>
              <w:spacing w:after="0" w:line="240" w:lineRule="auto"/>
              <w:ind w:firstLine="34"/>
              <w:jc w:val="center"/>
              <w:rPr>
                <w:rFonts w:cs="Times New Roman"/>
                <w:sz w:val="20"/>
                <w:szCs w:val="20"/>
              </w:rPr>
            </w:pPr>
          </w:p>
        </w:tc>
      </w:tr>
      <w:tr w:rsidR="002500BF" w:rsidRPr="008932D4" w14:paraId="0B845D11" w14:textId="77777777" w:rsidTr="00D2599A">
        <w:trPr>
          <w:trHeight w:val="288"/>
        </w:trPr>
        <w:tc>
          <w:tcPr>
            <w:tcW w:w="4390" w:type="dxa"/>
            <w:shd w:val="clear" w:color="auto" w:fill="auto"/>
            <w:noWrap/>
            <w:vAlign w:val="bottom"/>
            <w:hideMark/>
          </w:tcPr>
          <w:p w14:paraId="07EA065F" w14:textId="77777777" w:rsidR="002500BF" w:rsidRPr="008932D4" w:rsidRDefault="002500BF" w:rsidP="008932D4">
            <w:pPr>
              <w:spacing w:after="0" w:line="240" w:lineRule="auto"/>
              <w:ind w:firstLine="34"/>
              <w:rPr>
                <w:rFonts w:cs="Times New Roman"/>
                <w:sz w:val="20"/>
                <w:szCs w:val="20"/>
              </w:rPr>
            </w:pPr>
            <w:r w:rsidRPr="008932D4">
              <w:rPr>
                <w:rFonts w:cs="Times New Roman"/>
                <w:sz w:val="20"/>
                <w:szCs w:val="20"/>
              </w:rPr>
              <w:t>PVN</w:t>
            </w:r>
          </w:p>
        </w:tc>
        <w:tc>
          <w:tcPr>
            <w:tcW w:w="1276" w:type="dxa"/>
            <w:shd w:val="clear" w:color="auto" w:fill="auto"/>
            <w:noWrap/>
            <w:vAlign w:val="center"/>
            <w:hideMark/>
          </w:tcPr>
          <w:p w14:paraId="380317D8"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276" w:type="dxa"/>
            <w:shd w:val="clear" w:color="auto" w:fill="auto"/>
            <w:noWrap/>
            <w:vAlign w:val="center"/>
            <w:hideMark/>
          </w:tcPr>
          <w:p w14:paraId="69B68F2F"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242" w:type="dxa"/>
            <w:shd w:val="clear" w:color="auto" w:fill="auto"/>
            <w:noWrap/>
            <w:vAlign w:val="center"/>
            <w:hideMark/>
          </w:tcPr>
          <w:p w14:paraId="1B9FF67D"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242" w:type="dxa"/>
            <w:shd w:val="clear" w:color="auto" w:fill="auto"/>
            <w:noWrap/>
            <w:vAlign w:val="center"/>
            <w:hideMark/>
          </w:tcPr>
          <w:p w14:paraId="62BFC8EA"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354" w:type="dxa"/>
            <w:shd w:val="clear" w:color="auto" w:fill="auto"/>
            <w:noWrap/>
            <w:vAlign w:val="center"/>
            <w:hideMark/>
          </w:tcPr>
          <w:p w14:paraId="728B98FD"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284" w:type="dxa"/>
            <w:shd w:val="clear" w:color="auto" w:fill="auto"/>
            <w:noWrap/>
            <w:vAlign w:val="center"/>
            <w:hideMark/>
          </w:tcPr>
          <w:p w14:paraId="707915E6"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276" w:type="dxa"/>
            <w:tcBorders>
              <w:right w:val="single" w:sz="4" w:space="0" w:color="auto"/>
            </w:tcBorders>
            <w:shd w:val="clear" w:color="auto" w:fill="auto"/>
            <w:noWrap/>
            <w:vAlign w:val="center"/>
            <w:hideMark/>
          </w:tcPr>
          <w:p w14:paraId="7049F949"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9 533 241</w:t>
            </w:r>
          </w:p>
        </w:tc>
        <w:tc>
          <w:tcPr>
            <w:tcW w:w="1150" w:type="dxa"/>
            <w:vMerge/>
            <w:tcBorders>
              <w:top w:val="nil"/>
              <w:left w:val="single" w:sz="4" w:space="0" w:color="auto"/>
              <w:bottom w:val="nil"/>
              <w:right w:val="nil"/>
            </w:tcBorders>
            <w:vAlign w:val="center"/>
          </w:tcPr>
          <w:p w14:paraId="60ED528A" w14:textId="77777777" w:rsidR="002500BF" w:rsidRPr="008932D4" w:rsidRDefault="002500BF" w:rsidP="00D2599A">
            <w:pPr>
              <w:spacing w:after="0" w:line="240" w:lineRule="auto"/>
              <w:ind w:firstLine="34"/>
              <w:jc w:val="center"/>
              <w:rPr>
                <w:rFonts w:cs="Times New Roman"/>
                <w:sz w:val="20"/>
                <w:szCs w:val="20"/>
              </w:rPr>
            </w:pPr>
          </w:p>
        </w:tc>
      </w:tr>
      <w:tr w:rsidR="002500BF" w:rsidRPr="008932D4" w14:paraId="442E7118" w14:textId="77777777" w:rsidTr="00D2599A">
        <w:trPr>
          <w:trHeight w:val="288"/>
        </w:trPr>
        <w:tc>
          <w:tcPr>
            <w:tcW w:w="4390" w:type="dxa"/>
            <w:shd w:val="clear" w:color="auto" w:fill="auto"/>
            <w:noWrap/>
            <w:vAlign w:val="bottom"/>
            <w:hideMark/>
          </w:tcPr>
          <w:p w14:paraId="6FF2FBFC" w14:textId="77777777" w:rsidR="002500BF" w:rsidRPr="008932D4" w:rsidRDefault="002500BF" w:rsidP="008932D4">
            <w:pPr>
              <w:spacing w:after="0" w:line="240" w:lineRule="auto"/>
              <w:ind w:firstLine="34"/>
              <w:rPr>
                <w:rFonts w:cs="Times New Roman"/>
                <w:sz w:val="20"/>
                <w:szCs w:val="20"/>
              </w:rPr>
            </w:pPr>
            <w:r w:rsidRPr="008932D4">
              <w:rPr>
                <w:rFonts w:cs="Times New Roman"/>
                <w:sz w:val="20"/>
                <w:szCs w:val="20"/>
              </w:rPr>
              <w:t>PVN (aizsargātie lietotāji)</w:t>
            </w:r>
          </w:p>
        </w:tc>
        <w:tc>
          <w:tcPr>
            <w:tcW w:w="1276" w:type="dxa"/>
            <w:shd w:val="clear" w:color="auto" w:fill="auto"/>
            <w:noWrap/>
            <w:vAlign w:val="center"/>
            <w:hideMark/>
          </w:tcPr>
          <w:p w14:paraId="57B9F632"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1 550 095</w:t>
            </w:r>
          </w:p>
        </w:tc>
        <w:tc>
          <w:tcPr>
            <w:tcW w:w="1276" w:type="dxa"/>
            <w:shd w:val="clear" w:color="auto" w:fill="auto"/>
            <w:noWrap/>
            <w:vAlign w:val="center"/>
            <w:hideMark/>
          </w:tcPr>
          <w:p w14:paraId="1426BB8D"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1 044 356</w:t>
            </w:r>
          </w:p>
        </w:tc>
        <w:tc>
          <w:tcPr>
            <w:tcW w:w="1242" w:type="dxa"/>
            <w:shd w:val="clear" w:color="auto" w:fill="auto"/>
            <w:noWrap/>
            <w:vAlign w:val="center"/>
            <w:hideMark/>
          </w:tcPr>
          <w:p w14:paraId="2CF5CC77"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2 100 455</w:t>
            </w:r>
          </w:p>
        </w:tc>
        <w:tc>
          <w:tcPr>
            <w:tcW w:w="1242" w:type="dxa"/>
            <w:shd w:val="clear" w:color="auto" w:fill="auto"/>
            <w:noWrap/>
            <w:vAlign w:val="center"/>
            <w:hideMark/>
          </w:tcPr>
          <w:p w14:paraId="6CB1CC91"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1 153 671</w:t>
            </w:r>
          </w:p>
        </w:tc>
        <w:tc>
          <w:tcPr>
            <w:tcW w:w="1354" w:type="dxa"/>
            <w:shd w:val="clear" w:color="auto" w:fill="auto"/>
            <w:noWrap/>
            <w:vAlign w:val="center"/>
            <w:hideMark/>
          </w:tcPr>
          <w:p w14:paraId="7C01C09F"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2 100 455</w:t>
            </w:r>
          </w:p>
        </w:tc>
        <w:tc>
          <w:tcPr>
            <w:tcW w:w="1284" w:type="dxa"/>
            <w:shd w:val="clear" w:color="auto" w:fill="auto"/>
            <w:noWrap/>
            <w:vAlign w:val="center"/>
            <w:hideMark/>
          </w:tcPr>
          <w:p w14:paraId="6A478DF8"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1 153 671</w:t>
            </w:r>
          </w:p>
        </w:tc>
        <w:tc>
          <w:tcPr>
            <w:tcW w:w="1276" w:type="dxa"/>
            <w:tcBorders>
              <w:right w:val="single" w:sz="4" w:space="0" w:color="auto"/>
            </w:tcBorders>
            <w:shd w:val="clear" w:color="auto" w:fill="auto"/>
            <w:noWrap/>
            <w:vAlign w:val="center"/>
            <w:hideMark/>
          </w:tcPr>
          <w:p w14:paraId="561E46D3" w14:textId="77777777" w:rsidR="002500BF" w:rsidRPr="008932D4" w:rsidRDefault="002500BF" w:rsidP="00D2599A">
            <w:pPr>
              <w:spacing w:after="0" w:line="240" w:lineRule="auto"/>
              <w:ind w:firstLine="34"/>
              <w:jc w:val="center"/>
              <w:rPr>
                <w:rFonts w:cs="Times New Roman"/>
                <w:sz w:val="20"/>
                <w:szCs w:val="20"/>
              </w:rPr>
            </w:pPr>
            <w:r w:rsidRPr="008932D4">
              <w:rPr>
                <w:rFonts w:cs="Times New Roman"/>
                <w:sz w:val="20"/>
                <w:szCs w:val="20"/>
              </w:rPr>
              <w:t>1 153 671</w:t>
            </w:r>
          </w:p>
        </w:tc>
        <w:tc>
          <w:tcPr>
            <w:tcW w:w="1150" w:type="dxa"/>
            <w:vMerge/>
            <w:tcBorders>
              <w:top w:val="nil"/>
              <w:left w:val="single" w:sz="4" w:space="0" w:color="auto"/>
              <w:bottom w:val="nil"/>
              <w:right w:val="nil"/>
            </w:tcBorders>
            <w:vAlign w:val="center"/>
          </w:tcPr>
          <w:p w14:paraId="628FDD6C" w14:textId="77777777" w:rsidR="002500BF" w:rsidRPr="008932D4" w:rsidRDefault="002500BF" w:rsidP="00D2599A">
            <w:pPr>
              <w:spacing w:after="0" w:line="240" w:lineRule="auto"/>
              <w:ind w:firstLine="34"/>
              <w:jc w:val="center"/>
              <w:rPr>
                <w:rFonts w:cs="Times New Roman"/>
                <w:sz w:val="20"/>
                <w:szCs w:val="20"/>
              </w:rPr>
            </w:pPr>
          </w:p>
        </w:tc>
      </w:tr>
      <w:tr w:rsidR="00566378" w:rsidRPr="008932D4" w14:paraId="537F2A73" w14:textId="77777777" w:rsidTr="00D2599A">
        <w:trPr>
          <w:trHeight w:val="288"/>
        </w:trPr>
        <w:tc>
          <w:tcPr>
            <w:tcW w:w="4390" w:type="dxa"/>
            <w:shd w:val="clear" w:color="auto" w:fill="auto"/>
            <w:noWrap/>
            <w:vAlign w:val="bottom"/>
          </w:tcPr>
          <w:p w14:paraId="44B57F09" w14:textId="77777777" w:rsidR="00566378" w:rsidRPr="008932D4" w:rsidRDefault="00566378" w:rsidP="00566378">
            <w:pPr>
              <w:spacing w:after="0" w:line="240" w:lineRule="auto"/>
              <w:ind w:firstLine="34"/>
              <w:rPr>
                <w:rFonts w:cs="Times New Roman"/>
                <w:sz w:val="20"/>
                <w:szCs w:val="20"/>
              </w:rPr>
            </w:pPr>
            <w:r>
              <w:rPr>
                <w:rFonts w:cs="Times New Roman"/>
                <w:sz w:val="20"/>
                <w:szCs w:val="20"/>
              </w:rPr>
              <w:t>Elektroenerģijas nodokļa papildu ieņēmumi</w:t>
            </w:r>
          </w:p>
        </w:tc>
        <w:tc>
          <w:tcPr>
            <w:tcW w:w="1276" w:type="dxa"/>
            <w:shd w:val="clear" w:color="auto" w:fill="auto"/>
            <w:noWrap/>
            <w:vAlign w:val="center"/>
          </w:tcPr>
          <w:p w14:paraId="01D74388" w14:textId="77777777" w:rsidR="00566378" w:rsidRPr="008932D4" w:rsidRDefault="00566378" w:rsidP="00D2599A">
            <w:pPr>
              <w:spacing w:after="0" w:line="240" w:lineRule="auto"/>
              <w:ind w:firstLine="34"/>
              <w:jc w:val="center"/>
              <w:rPr>
                <w:rFonts w:cs="Times New Roman"/>
                <w:sz w:val="20"/>
                <w:szCs w:val="20"/>
              </w:rPr>
            </w:pPr>
            <w:r>
              <w:rPr>
                <w:rFonts w:cs="Times New Roman"/>
                <w:sz w:val="20"/>
                <w:szCs w:val="20"/>
              </w:rPr>
              <w:t>0</w:t>
            </w:r>
          </w:p>
        </w:tc>
        <w:tc>
          <w:tcPr>
            <w:tcW w:w="1276" w:type="dxa"/>
            <w:shd w:val="clear" w:color="auto" w:fill="auto"/>
            <w:noWrap/>
            <w:vAlign w:val="center"/>
          </w:tcPr>
          <w:p w14:paraId="3A4661EB" w14:textId="77777777" w:rsidR="00566378" w:rsidRPr="008932D4" w:rsidRDefault="00566378" w:rsidP="00D2599A">
            <w:pPr>
              <w:spacing w:after="0" w:line="240" w:lineRule="auto"/>
              <w:ind w:firstLine="34"/>
              <w:jc w:val="center"/>
              <w:rPr>
                <w:rFonts w:cs="Times New Roman"/>
                <w:sz w:val="20"/>
                <w:szCs w:val="20"/>
              </w:rPr>
            </w:pPr>
            <w:r>
              <w:rPr>
                <w:rFonts w:cs="Times New Roman"/>
                <w:sz w:val="20"/>
                <w:szCs w:val="20"/>
              </w:rPr>
              <w:t>0</w:t>
            </w:r>
          </w:p>
        </w:tc>
        <w:tc>
          <w:tcPr>
            <w:tcW w:w="1242" w:type="dxa"/>
            <w:shd w:val="clear" w:color="auto" w:fill="auto"/>
            <w:noWrap/>
            <w:vAlign w:val="center"/>
          </w:tcPr>
          <w:p w14:paraId="39273FFA" w14:textId="77777777" w:rsidR="00566378" w:rsidRPr="008932D4" w:rsidRDefault="00566378" w:rsidP="00D2599A">
            <w:pPr>
              <w:spacing w:after="0" w:line="240" w:lineRule="auto"/>
              <w:ind w:firstLine="34"/>
              <w:jc w:val="center"/>
              <w:rPr>
                <w:rFonts w:cs="Times New Roman"/>
                <w:sz w:val="20"/>
                <w:szCs w:val="20"/>
              </w:rPr>
            </w:pPr>
            <w:r>
              <w:rPr>
                <w:rFonts w:cs="Times New Roman"/>
                <w:sz w:val="20"/>
                <w:szCs w:val="20"/>
              </w:rPr>
              <w:t>0</w:t>
            </w:r>
          </w:p>
        </w:tc>
        <w:tc>
          <w:tcPr>
            <w:tcW w:w="1242" w:type="dxa"/>
            <w:shd w:val="clear" w:color="auto" w:fill="auto"/>
            <w:noWrap/>
            <w:vAlign w:val="center"/>
          </w:tcPr>
          <w:p w14:paraId="31CE2EDD" w14:textId="77777777" w:rsidR="00566378" w:rsidRPr="008932D4" w:rsidRDefault="00566378" w:rsidP="00D2599A">
            <w:pPr>
              <w:spacing w:after="0" w:line="240" w:lineRule="auto"/>
              <w:ind w:firstLine="34"/>
              <w:jc w:val="center"/>
              <w:rPr>
                <w:rFonts w:cs="Times New Roman"/>
                <w:sz w:val="20"/>
                <w:szCs w:val="20"/>
              </w:rPr>
            </w:pPr>
            <w:r w:rsidRPr="00566378">
              <w:rPr>
                <w:rFonts w:cs="Times New Roman"/>
                <w:sz w:val="20"/>
                <w:szCs w:val="20"/>
              </w:rPr>
              <w:t>4 700 000</w:t>
            </w:r>
          </w:p>
        </w:tc>
        <w:tc>
          <w:tcPr>
            <w:tcW w:w="1354" w:type="dxa"/>
            <w:shd w:val="clear" w:color="auto" w:fill="auto"/>
            <w:noWrap/>
            <w:vAlign w:val="center"/>
          </w:tcPr>
          <w:p w14:paraId="4DE8B458" w14:textId="77777777" w:rsidR="00566378" w:rsidRPr="008932D4" w:rsidRDefault="00566378" w:rsidP="00D2599A">
            <w:pPr>
              <w:spacing w:after="0" w:line="240" w:lineRule="auto"/>
              <w:ind w:firstLine="34"/>
              <w:jc w:val="center"/>
              <w:rPr>
                <w:rFonts w:cs="Times New Roman"/>
                <w:sz w:val="20"/>
                <w:szCs w:val="20"/>
              </w:rPr>
            </w:pPr>
            <w:r>
              <w:rPr>
                <w:rFonts w:cs="Times New Roman"/>
                <w:sz w:val="20"/>
                <w:szCs w:val="20"/>
              </w:rPr>
              <w:t>0</w:t>
            </w:r>
          </w:p>
        </w:tc>
        <w:tc>
          <w:tcPr>
            <w:tcW w:w="1284" w:type="dxa"/>
            <w:shd w:val="clear" w:color="auto" w:fill="auto"/>
            <w:noWrap/>
            <w:vAlign w:val="center"/>
          </w:tcPr>
          <w:p w14:paraId="735B688F" w14:textId="77777777" w:rsidR="00566378" w:rsidRPr="008932D4" w:rsidRDefault="00566378" w:rsidP="00D2599A">
            <w:pPr>
              <w:spacing w:after="0" w:line="240" w:lineRule="auto"/>
              <w:ind w:firstLine="34"/>
              <w:jc w:val="center"/>
              <w:rPr>
                <w:rFonts w:cs="Times New Roman"/>
                <w:sz w:val="20"/>
                <w:szCs w:val="20"/>
              </w:rPr>
            </w:pPr>
            <w:r w:rsidRPr="00566378">
              <w:rPr>
                <w:rFonts w:cs="Times New Roman"/>
                <w:sz w:val="20"/>
                <w:szCs w:val="20"/>
              </w:rPr>
              <w:t>4 700 000</w:t>
            </w:r>
          </w:p>
        </w:tc>
        <w:tc>
          <w:tcPr>
            <w:tcW w:w="1276" w:type="dxa"/>
            <w:tcBorders>
              <w:right w:val="single" w:sz="4" w:space="0" w:color="auto"/>
            </w:tcBorders>
            <w:shd w:val="clear" w:color="auto" w:fill="auto"/>
            <w:noWrap/>
            <w:vAlign w:val="center"/>
          </w:tcPr>
          <w:p w14:paraId="14C738ED" w14:textId="77777777" w:rsidR="00566378" w:rsidRPr="008932D4" w:rsidRDefault="00566378" w:rsidP="00D2599A">
            <w:pPr>
              <w:spacing w:after="0" w:line="240" w:lineRule="auto"/>
              <w:ind w:firstLine="34"/>
              <w:jc w:val="center"/>
              <w:rPr>
                <w:rFonts w:cs="Times New Roman"/>
                <w:sz w:val="20"/>
                <w:szCs w:val="20"/>
              </w:rPr>
            </w:pPr>
            <w:r w:rsidRPr="00566378">
              <w:rPr>
                <w:rFonts w:cs="Times New Roman"/>
                <w:sz w:val="20"/>
                <w:szCs w:val="20"/>
              </w:rPr>
              <w:t>4 700 000</w:t>
            </w:r>
          </w:p>
        </w:tc>
        <w:tc>
          <w:tcPr>
            <w:tcW w:w="1150" w:type="dxa"/>
            <w:vMerge/>
            <w:tcBorders>
              <w:top w:val="nil"/>
              <w:left w:val="single" w:sz="4" w:space="0" w:color="auto"/>
              <w:bottom w:val="nil"/>
              <w:right w:val="nil"/>
            </w:tcBorders>
            <w:vAlign w:val="center"/>
          </w:tcPr>
          <w:p w14:paraId="39DFA30E" w14:textId="77777777" w:rsidR="00566378" w:rsidRPr="008932D4" w:rsidRDefault="00566378" w:rsidP="00D2599A">
            <w:pPr>
              <w:spacing w:after="0" w:line="240" w:lineRule="auto"/>
              <w:ind w:firstLine="34"/>
              <w:jc w:val="center"/>
              <w:rPr>
                <w:rFonts w:cs="Times New Roman"/>
                <w:sz w:val="20"/>
                <w:szCs w:val="20"/>
              </w:rPr>
            </w:pPr>
          </w:p>
        </w:tc>
      </w:tr>
      <w:tr w:rsidR="00EB6CF6" w:rsidRPr="008932D4" w14:paraId="32B6E316" w14:textId="77777777" w:rsidTr="00EB6CF6">
        <w:trPr>
          <w:trHeight w:val="464"/>
        </w:trPr>
        <w:tc>
          <w:tcPr>
            <w:tcW w:w="4390" w:type="dxa"/>
            <w:shd w:val="clear" w:color="auto" w:fill="auto"/>
            <w:vAlign w:val="bottom"/>
            <w:hideMark/>
          </w:tcPr>
          <w:p w14:paraId="508C59DD" w14:textId="77777777" w:rsidR="00EB6CF6" w:rsidRPr="008932D4" w:rsidRDefault="00EB6CF6" w:rsidP="00EB6CF6">
            <w:pPr>
              <w:spacing w:after="0" w:line="240" w:lineRule="auto"/>
              <w:ind w:firstLine="34"/>
              <w:rPr>
                <w:rFonts w:cs="Times New Roman"/>
                <w:sz w:val="20"/>
                <w:szCs w:val="20"/>
              </w:rPr>
            </w:pPr>
            <w:r w:rsidRPr="008932D4">
              <w:rPr>
                <w:rFonts w:cs="Times New Roman"/>
                <w:sz w:val="20"/>
                <w:szCs w:val="20"/>
              </w:rPr>
              <w:t>AS "Latvenergo" dividendes komplekso risinājumu elektroenerģijas tirgū novirzāmā daļa</w:t>
            </w:r>
          </w:p>
        </w:tc>
        <w:tc>
          <w:tcPr>
            <w:tcW w:w="1276" w:type="dxa"/>
            <w:shd w:val="clear" w:color="auto" w:fill="auto"/>
            <w:noWrap/>
            <w:vAlign w:val="center"/>
            <w:hideMark/>
          </w:tcPr>
          <w:p w14:paraId="33605631"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23 665 609</w:t>
            </w:r>
          </w:p>
        </w:tc>
        <w:tc>
          <w:tcPr>
            <w:tcW w:w="1276" w:type="dxa"/>
            <w:shd w:val="clear" w:color="auto" w:fill="auto"/>
            <w:noWrap/>
            <w:vAlign w:val="center"/>
            <w:hideMark/>
          </w:tcPr>
          <w:p w14:paraId="11D766A7"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23 665 609</w:t>
            </w:r>
          </w:p>
        </w:tc>
        <w:tc>
          <w:tcPr>
            <w:tcW w:w="1242" w:type="dxa"/>
            <w:shd w:val="clear" w:color="auto" w:fill="auto"/>
            <w:noWrap/>
            <w:vAlign w:val="center"/>
            <w:hideMark/>
          </w:tcPr>
          <w:p w14:paraId="0F89C7C6"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48 009 955</w:t>
            </w:r>
          </w:p>
        </w:tc>
        <w:tc>
          <w:tcPr>
            <w:tcW w:w="1242" w:type="dxa"/>
            <w:shd w:val="clear" w:color="auto" w:fill="auto"/>
            <w:noWrap/>
            <w:vAlign w:val="center"/>
            <w:hideMark/>
          </w:tcPr>
          <w:p w14:paraId="33C1A5C3"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30 220 870</w:t>
            </w:r>
          </w:p>
        </w:tc>
        <w:tc>
          <w:tcPr>
            <w:tcW w:w="1354" w:type="dxa"/>
            <w:shd w:val="clear" w:color="auto" w:fill="auto"/>
            <w:noWrap/>
            <w:vAlign w:val="center"/>
            <w:hideMark/>
          </w:tcPr>
          <w:p w14:paraId="2700F179"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60 352 620</w:t>
            </w:r>
          </w:p>
        </w:tc>
        <w:tc>
          <w:tcPr>
            <w:tcW w:w="1284" w:type="dxa"/>
            <w:shd w:val="clear" w:color="auto" w:fill="auto"/>
            <w:noWrap/>
            <w:vAlign w:val="center"/>
            <w:hideMark/>
          </w:tcPr>
          <w:p w14:paraId="6A3C7B4F"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67 192 435</w:t>
            </w:r>
          </w:p>
        </w:tc>
        <w:tc>
          <w:tcPr>
            <w:tcW w:w="1276" w:type="dxa"/>
            <w:tcBorders>
              <w:right w:val="single" w:sz="4" w:space="0" w:color="auto"/>
            </w:tcBorders>
            <w:shd w:val="clear" w:color="auto" w:fill="auto"/>
            <w:noWrap/>
            <w:vAlign w:val="center"/>
            <w:hideMark/>
          </w:tcPr>
          <w:p w14:paraId="2D536310" w14:textId="77777777" w:rsidR="00EB6CF6" w:rsidRPr="00EB6CF6" w:rsidRDefault="00EB6CF6" w:rsidP="00EB6CF6">
            <w:pPr>
              <w:spacing w:after="0" w:line="240" w:lineRule="auto"/>
              <w:ind w:firstLine="34"/>
              <w:jc w:val="center"/>
              <w:rPr>
                <w:rFonts w:cs="Times New Roman"/>
                <w:sz w:val="20"/>
                <w:szCs w:val="20"/>
              </w:rPr>
            </w:pPr>
            <w:r w:rsidRPr="00EB6CF6">
              <w:rPr>
                <w:rFonts w:cs="Times New Roman"/>
                <w:sz w:val="20"/>
              </w:rPr>
              <w:t>81 997 155</w:t>
            </w:r>
          </w:p>
        </w:tc>
        <w:tc>
          <w:tcPr>
            <w:tcW w:w="1150" w:type="dxa"/>
            <w:vMerge/>
            <w:tcBorders>
              <w:top w:val="nil"/>
              <w:left w:val="single" w:sz="4" w:space="0" w:color="auto"/>
              <w:bottom w:val="nil"/>
              <w:right w:val="nil"/>
            </w:tcBorders>
            <w:vAlign w:val="center"/>
          </w:tcPr>
          <w:p w14:paraId="730C1CB9" w14:textId="77777777" w:rsidR="00EB6CF6" w:rsidRPr="008932D4" w:rsidRDefault="00EB6CF6" w:rsidP="00EB6CF6">
            <w:pPr>
              <w:spacing w:after="0" w:line="240" w:lineRule="auto"/>
              <w:ind w:firstLine="34"/>
              <w:jc w:val="center"/>
              <w:rPr>
                <w:rFonts w:cs="Times New Roman"/>
                <w:sz w:val="20"/>
                <w:szCs w:val="20"/>
              </w:rPr>
            </w:pPr>
          </w:p>
        </w:tc>
      </w:tr>
      <w:tr w:rsidR="002500BF" w:rsidRPr="008932D4" w14:paraId="5222E71E" w14:textId="77777777" w:rsidTr="00D2599A">
        <w:trPr>
          <w:trHeight w:val="288"/>
        </w:trPr>
        <w:tc>
          <w:tcPr>
            <w:tcW w:w="4390" w:type="dxa"/>
            <w:shd w:val="clear" w:color="auto" w:fill="auto"/>
            <w:noWrap/>
            <w:vAlign w:val="bottom"/>
            <w:hideMark/>
          </w:tcPr>
          <w:p w14:paraId="2D32A2D4" w14:textId="77777777" w:rsidR="002500BF" w:rsidRPr="006073B4" w:rsidRDefault="000D5762" w:rsidP="006073B4">
            <w:pPr>
              <w:spacing w:after="0" w:line="240" w:lineRule="auto"/>
              <w:ind w:firstLine="34"/>
              <w:jc w:val="center"/>
              <w:rPr>
                <w:rFonts w:cs="Times New Roman"/>
                <w:b/>
                <w:bCs/>
                <w:sz w:val="20"/>
                <w:szCs w:val="20"/>
              </w:rPr>
            </w:pPr>
            <w:r w:rsidRPr="006073B4">
              <w:rPr>
                <w:rFonts w:cs="Times New Roman"/>
                <w:b/>
                <w:bCs/>
                <w:sz w:val="20"/>
                <w:szCs w:val="20"/>
              </w:rPr>
              <w:t>Bilance</w:t>
            </w:r>
          </w:p>
        </w:tc>
        <w:tc>
          <w:tcPr>
            <w:tcW w:w="1276" w:type="dxa"/>
            <w:shd w:val="clear" w:color="auto" w:fill="auto"/>
            <w:noWrap/>
            <w:vAlign w:val="center"/>
            <w:hideMark/>
          </w:tcPr>
          <w:p w14:paraId="0A9D5EB5" w14:textId="77777777" w:rsidR="002500BF" w:rsidRPr="006073B4" w:rsidRDefault="002500BF" w:rsidP="00D2599A">
            <w:pPr>
              <w:spacing w:after="0" w:line="240" w:lineRule="auto"/>
              <w:ind w:firstLine="34"/>
              <w:jc w:val="center"/>
              <w:rPr>
                <w:rFonts w:cs="Times New Roman"/>
                <w:b/>
                <w:sz w:val="20"/>
                <w:szCs w:val="20"/>
              </w:rPr>
            </w:pPr>
          </w:p>
        </w:tc>
        <w:tc>
          <w:tcPr>
            <w:tcW w:w="1276" w:type="dxa"/>
            <w:shd w:val="clear" w:color="auto" w:fill="auto"/>
            <w:noWrap/>
            <w:vAlign w:val="center"/>
            <w:hideMark/>
          </w:tcPr>
          <w:p w14:paraId="5247085D" w14:textId="77777777" w:rsidR="002500BF" w:rsidRPr="006073B4" w:rsidRDefault="006073B4" w:rsidP="00D2599A">
            <w:pPr>
              <w:spacing w:after="0" w:line="240" w:lineRule="auto"/>
              <w:ind w:firstLine="34"/>
              <w:jc w:val="center"/>
              <w:rPr>
                <w:rFonts w:cs="Times New Roman"/>
                <w:b/>
                <w:sz w:val="20"/>
                <w:szCs w:val="20"/>
              </w:rPr>
            </w:pPr>
            <w:r>
              <w:rPr>
                <w:rFonts w:cs="Times New Roman"/>
                <w:b/>
                <w:sz w:val="20"/>
                <w:szCs w:val="20"/>
              </w:rPr>
              <w:t>+</w:t>
            </w:r>
            <w:r w:rsidR="002500BF" w:rsidRPr="006073B4">
              <w:rPr>
                <w:rFonts w:cs="Times New Roman"/>
                <w:b/>
                <w:sz w:val="20"/>
                <w:szCs w:val="20"/>
              </w:rPr>
              <w:t>30 750</w:t>
            </w:r>
          </w:p>
        </w:tc>
        <w:tc>
          <w:tcPr>
            <w:tcW w:w="1242" w:type="dxa"/>
            <w:shd w:val="clear" w:color="auto" w:fill="auto"/>
            <w:noWrap/>
            <w:vAlign w:val="center"/>
            <w:hideMark/>
          </w:tcPr>
          <w:p w14:paraId="0A18C3FC" w14:textId="77777777" w:rsidR="002500BF" w:rsidRPr="006073B4" w:rsidRDefault="002500BF" w:rsidP="00D2599A">
            <w:pPr>
              <w:spacing w:after="0" w:line="240" w:lineRule="auto"/>
              <w:ind w:firstLine="34"/>
              <w:jc w:val="center"/>
              <w:rPr>
                <w:rFonts w:cs="Times New Roman"/>
                <w:b/>
                <w:sz w:val="20"/>
                <w:szCs w:val="20"/>
              </w:rPr>
            </w:pPr>
          </w:p>
        </w:tc>
        <w:tc>
          <w:tcPr>
            <w:tcW w:w="1242" w:type="dxa"/>
            <w:shd w:val="clear" w:color="auto" w:fill="auto"/>
            <w:noWrap/>
            <w:vAlign w:val="center"/>
            <w:hideMark/>
          </w:tcPr>
          <w:p w14:paraId="7323591C" w14:textId="77777777" w:rsidR="002500BF" w:rsidRPr="006073B4" w:rsidRDefault="002500BF" w:rsidP="00D2599A">
            <w:pPr>
              <w:spacing w:after="0" w:line="240" w:lineRule="auto"/>
              <w:ind w:firstLine="34"/>
              <w:jc w:val="center"/>
              <w:rPr>
                <w:rFonts w:cs="Times New Roman"/>
                <w:b/>
                <w:sz w:val="20"/>
                <w:szCs w:val="20"/>
              </w:rPr>
            </w:pPr>
            <w:r w:rsidRPr="006073B4">
              <w:rPr>
                <w:rFonts w:cs="Times New Roman"/>
                <w:b/>
                <w:sz w:val="20"/>
                <w:szCs w:val="20"/>
              </w:rPr>
              <w:t>0</w:t>
            </w:r>
          </w:p>
        </w:tc>
        <w:tc>
          <w:tcPr>
            <w:tcW w:w="1354" w:type="dxa"/>
            <w:shd w:val="clear" w:color="auto" w:fill="auto"/>
            <w:noWrap/>
            <w:vAlign w:val="center"/>
            <w:hideMark/>
          </w:tcPr>
          <w:p w14:paraId="2E1E7AB6" w14:textId="77777777" w:rsidR="002500BF" w:rsidRPr="006073B4" w:rsidRDefault="002500BF" w:rsidP="00D2599A">
            <w:pPr>
              <w:spacing w:after="0" w:line="240" w:lineRule="auto"/>
              <w:ind w:firstLine="34"/>
              <w:jc w:val="center"/>
              <w:rPr>
                <w:rFonts w:cs="Times New Roman"/>
                <w:b/>
                <w:sz w:val="20"/>
                <w:szCs w:val="20"/>
              </w:rPr>
            </w:pPr>
          </w:p>
        </w:tc>
        <w:tc>
          <w:tcPr>
            <w:tcW w:w="1284" w:type="dxa"/>
            <w:shd w:val="clear" w:color="auto" w:fill="auto"/>
            <w:noWrap/>
            <w:vAlign w:val="center"/>
            <w:hideMark/>
          </w:tcPr>
          <w:p w14:paraId="6256758D" w14:textId="77777777" w:rsidR="002500BF" w:rsidRPr="006073B4" w:rsidRDefault="002500BF" w:rsidP="00D2599A">
            <w:pPr>
              <w:spacing w:after="0" w:line="240" w:lineRule="auto"/>
              <w:ind w:firstLine="34"/>
              <w:jc w:val="center"/>
              <w:rPr>
                <w:rFonts w:cs="Times New Roman"/>
                <w:b/>
                <w:sz w:val="20"/>
                <w:szCs w:val="20"/>
              </w:rPr>
            </w:pPr>
            <w:r w:rsidRPr="006073B4">
              <w:rPr>
                <w:rFonts w:cs="Times New Roman"/>
                <w:b/>
                <w:sz w:val="20"/>
                <w:szCs w:val="20"/>
              </w:rPr>
              <w:t>0</w:t>
            </w:r>
          </w:p>
        </w:tc>
        <w:tc>
          <w:tcPr>
            <w:tcW w:w="1276" w:type="dxa"/>
            <w:tcBorders>
              <w:right w:val="single" w:sz="4" w:space="0" w:color="auto"/>
            </w:tcBorders>
            <w:shd w:val="clear" w:color="auto" w:fill="auto"/>
            <w:noWrap/>
            <w:vAlign w:val="center"/>
            <w:hideMark/>
          </w:tcPr>
          <w:p w14:paraId="29E88F78" w14:textId="77777777" w:rsidR="002500BF" w:rsidRPr="006073B4" w:rsidRDefault="002500BF" w:rsidP="00D2599A">
            <w:pPr>
              <w:spacing w:after="0" w:line="240" w:lineRule="auto"/>
              <w:ind w:firstLine="34"/>
              <w:jc w:val="center"/>
              <w:rPr>
                <w:rFonts w:cs="Times New Roman"/>
                <w:b/>
                <w:sz w:val="20"/>
                <w:szCs w:val="20"/>
              </w:rPr>
            </w:pPr>
            <w:r w:rsidRPr="006073B4">
              <w:rPr>
                <w:rFonts w:cs="Times New Roman"/>
                <w:b/>
                <w:sz w:val="20"/>
                <w:szCs w:val="20"/>
              </w:rPr>
              <w:t>0</w:t>
            </w:r>
          </w:p>
        </w:tc>
        <w:tc>
          <w:tcPr>
            <w:tcW w:w="1150" w:type="dxa"/>
            <w:vMerge/>
            <w:tcBorders>
              <w:top w:val="nil"/>
              <w:left w:val="single" w:sz="4" w:space="0" w:color="auto"/>
              <w:bottom w:val="nil"/>
              <w:right w:val="nil"/>
            </w:tcBorders>
            <w:vAlign w:val="center"/>
          </w:tcPr>
          <w:p w14:paraId="59D4C1FD" w14:textId="77777777" w:rsidR="002500BF" w:rsidRPr="008932D4" w:rsidRDefault="002500BF" w:rsidP="00D2599A">
            <w:pPr>
              <w:spacing w:after="0" w:line="240" w:lineRule="auto"/>
              <w:ind w:firstLine="34"/>
              <w:jc w:val="center"/>
              <w:rPr>
                <w:rFonts w:cs="Times New Roman"/>
                <w:sz w:val="20"/>
                <w:szCs w:val="20"/>
              </w:rPr>
            </w:pPr>
          </w:p>
        </w:tc>
      </w:tr>
      <w:tr w:rsidR="006073B4" w:rsidRPr="008932D4" w14:paraId="62A28DD0" w14:textId="77777777" w:rsidTr="00D2599A">
        <w:trPr>
          <w:trHeight w:val="288"/>
        </w:trPr>
        <w:tc>
          <w:tcPr>
            <w:tcW w:w="4390" w:type="dxa"/>
            <w:shd w:val="clear" w:color="auto" w:fill="auto"/>
            <w:noWrap/>
            <w:vAlign w:val="bottom"/>
            <w:hideMark/>
          </w:tcPr>
          <w:p w14:paraId="20094C6E" w14:textId="77777777" w:rsidR="006073B4" w:rsidRPr="006073B4" w:rsidRDefault="006073B4" w:rsidP="006073B4">
            <w:pPr>
              <w:spacing w:after="0" w:line="240" w:lineRule="auto"/>
              <w:ind w:firstLine="34"/>
              <w:jc w:val="center"/>
              <w:rPr>
                <w:rFonts w:cs="Times New Roman"/>
                <w:b/>
                <w:sz w:val="20"/>
                <w:szCs w:val="20"/>
              </w:rPr>
            </w:pPr>
            <w:r w:rsidRPr="006073B4">
              <w:rPr>
                <w:rFonts w:cs="Times New Roman"/>
                <w:b/>
                <w:sz w:val="20"/>
                <w:szCs w:val="20"/>
              </w:rPr>
              <w:t>OIK, EUR/</w:t>
            </w:r>
            <w:proofErr w:type="spellStart"/>
            <w:r w:rsidRPr="006073B4">
              <w:rPr>
                <w:rFonts w:cs="Times New Roman"/>
                <w:b/>
                <w:sz w:val="20"/>
                <w:szCs w:val="20"/>
              </w:rPr>
              <w:t>MWh</w:t>
            </w:r>
            <w:proofErr w:type="spellEnd"/>
          </w:p>
        </w:tc>
        <w:tc>
          <w:tcPr>
            <w:tcW w:w="8950" w:type="dxa"/>
            <w:gridSpan w:val="7"/>
            <w:tcBorders>
              <w:right w:val="single" w:sz="4" w:space="0" w:color="auto"/>
            </w:tcBorders>
            <w:shd w:val="clear" w:color="auto" w:fill="auto"/>
            <w:noWrap/>
            <w:vAlign w:val="center"/>
            <w:hideMark/>
          </w:tcPr>
          <w:p w14:paraId="1FC5EC55" w14:textId="77777777" w:rsidR="006073B4" w:rsidRPr="006073B4" w:rsidRDefault="006073B4" w:rsidP="002500BF">
            <w:pPr>
              <w:spacing w:after="0" w:line="240" w:lineRule="auto"/>
              <w:ind w:firstLine="34"/>
              <w:jc w:val="center"/>
              <w:rPr>
                <w:rFonts w:cs="Times New Roman"/>
                <w:b/>
                <w:sz w:val="20"/>
                <w:szCs w:val="20"/>
              </w:rPr>
            </w:pPr>
            <w:r w:rsidRPr="006073B4">
              <w:rPr>
                <w:rFonts w:cs="Times New Roman"/>
                <w:b/>
                <w:sz w:val="20"/>
                <w:szCs w:val="20"/>
              </w:rPr>
              <w:t>26,79</w:t>
            </w:r>
          </w:p>
        </w:tc>
        <w:tc>
          <w:tcPr>
            <w:tcW w:w="1150" w:type="dxa"/>
            <w:vMerge/>
            <w:tcBorders>
              <w:top w:val="nil"/>
              <w:left w:val="single" w:sz="4" w:space="0" w:color="auto"/>
              <w:bottom w:val="nil"/>
              <w:right w:val="nil"/>
            </w:tcBorders>
          </w:tcPr>
          <w:p w14:paraId="07084097" w14:textId="77777777" w:rsidR="006073B4" w:rsidRPr="008932D4" w:rsidRDefault="006073B4" w:rsidP="008932D4">
            <w:pPr>
              <w:spacing w:after="0" w:line="240" w:lineRule="auto"/>
              <w:ind w:firstLine="34"/>
              <w:rPr>
                <w:rFonts w:cs="Times New Roman"/>
                <w:sz w:val="20"/>
                <w:szCs w:val="20"/>
              </w:rPr>
            </w:pPr>
          </w:p>
        </w:tc>
      </w:tr>
    </w:tbl>
    <w:p w14:paraId="11273DCE" w14:textId="77777777" w:rsidR="006073B4" w:rsidRPr="00D116AC" w:rsidRDefault="007C65E6" w:rsidP="006073B4">
      <w:pPr>
        <w:pStyle w:val="Caption"/>
        <w:keepNext/>
        <w:jc w:val="right"/>
        <w:rPr>
          <w:rFonts w:ascii="Times New Roman" w:hAnsi="Times New Roman"/>
          <w:sz w:val="24"/>
          <w:szCs w:val="24"/>
        </w:rPr>
      </w:pPr>
      <w:r>
        <w:rPr>
          <w:rFonts w:ascii="Times New Roman" w:hAnsi="Times New Roman"/>
          <w:sz w:val="24"/>
          <w:szCs w:val="24"/>
        </w:rPr>
        <w:lastRenderedPageBreak/>
        <w:t>16</w:t>
      </w:r>
      <w:r w:rsidR="006073B4" w:rsidRPr="00D116AC">
        <w:rPr>
          <w:rFonts w:ascii="Times New Roman" w:hAnsi="Times New Roman"/>
          <w:sz w:val="24"/>
          <w:szCs w:val="24"/>
        </w:rPr>
        <w:t>.tabula</w:t>
      </w:r>
    </w:p>
    <w:p w14:paraId="297AC820" w14:textId="77777777" w:rsidR="006073B4" w:rsidRPr="009E280D" w:rsidRDefault="006073B4" w:rsidP="006073B4">
      <w:pPr>
        <w:pStyle w:val="Caption"/>
        <w:keepNext/>
        <w:keepLines/>
        <w:widowControl/>
        <w:jc w:val="center"/>
        <w:rPr>
          <w:rFonts w:ascii="Times New Roman" w:hAnsi="Times New Roman"/>
          <w:sz w:val="24"/>
          <w:szCs w:val="24"/>
        </w:rPr>
      </w:pPr>
      <w:r>
        <w:rPr>
          <w:rFonts w:ascii="Times New Roman" w:hAnsi="Times New Roman"/>
          <w:sz w:val="24"/>
          <w:szCs w:val="24"/>
        </w:rPr>
        <w:t xml:space="preserve">Valsts budžetā iemaksājamās </w:t>
      </w:r>
      <w:r w:rsidRPr="006073B4">
        <w:rPr>
          <w:rFonts w:ascii="Times New Roman" w:hAnsi="Times New Roman"/>
          <w:sz w:val="24"/>
          <w:szCs w:val="24"/>
        </w:rPr>
        <w:t>AS "Latvenergo" dividendes</w:t>
      </w:r>
      <w:r>
        <w:rPr>
          <w:rFonts w:ascii="Times New Roman" w:hAnsi="Times New Roman"/>
          <w:sz w:val="24"/>
          <w:szCs w:val="24"/>
        </w:rPr>
        <w:t>, EUR</w:t>
      </w: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394"/>
        <w:gridCol w:w="1393"/>
        <w:gridCol w:w="1354"/>
        <w:gridCol w:w="1331"/>
        <w:gridCol w:w="1383"/>
        <w:gridCol w:w="1463"/>
        <w:gridCol w:w="1463"/>
      </w:tblGrid>
      <w:tr w:rsidR="006073B4" w:rsidRPr="008932D4" w14:paraId="26B3175D" w14:textId="77777777" w:rsidTr="000C31C0">
        <w:trPr>
          <w:trHeight w:val="288"/>
        </w:trPr>
        <w:tc>
          <w:tcPr>
            <w:tcW w:w="3823" w:type="dxa"/>
            <w:shd w:val="clear" w:color="auto" w:fill="auto"/>
            <w:noWrap/>
            <w:vAlign w:val="bottom"/>
          </w:tcPr>
          <w:p w14:paraId="665C479E" w14:textId="77777777" w:rsidR="006073B4" w:rsidRPr="008932D4" w:rsidRDefault="006073B4" w:rsidP="006073B4">
            <w:pPr>
              <w:spacing w:after="0" w:line="240" w:lineRule="auto"/>
              <w:ind w:firstLine="34"/>
              <w:rPr>
                <w:rFonts w:cs="Times New Roman"/>
                <w:sz w:val="20"/>
                <w:szCs w:val="20"/>
              </w:rPr>
            </w:pPr>
          </w:p>
        </w:tc>
        <w:tc>
          <w:tcPr>
            <w:tcW w:w="2787" w:type="dxa"/>
            <w:gridSpan w:val="2"/>
            <w:shd w:val="clear" w:color="auto" w:fill="auto"/>
            <w:noWrap/>
            <w:vAlign w:val="center"/>
          </w:tcPr>
          <w:p w14:paraId="7D3469FC" w14:textId="77777777" w:rsidR="006073B4" w:rsidRPr="008932D4" w:rsidRDefault="006073B4" w:rsidP="006073B4">
            <w:pPr>
              <w:spacing w:after="0" w:line="240" w:lineRule="auto"/>
              <w:ind w:firstLine="34"/>
              <w:jc w:val="center"/>
              <w:rPr>
                <w:rFonts w:cs="Times New Roman"/>
                <w:sz w:val="20"/>
                <w:szCs w:val="20"/>
              </w:rPr>
            </w:pPr>
            <w:r w:rsidRPr="008932D4">
              <w:rPr>
                <w:rFonts w:cs="Times New Roman"/>
                <w:b/>
                <w:bCs/>
                <w:sz w:val="20"/>
                <w:szCs w:val="20"/>
              </w:rPr>
              <w:t>2016</w:t>
            </w:r>
          </w:p>
        </w:tc>
        <w:tc>
          <w:tcPr>
            <w:tcW w:w="2685" w:type="dxa"/>
            <w:gridSpan w:val="2"/>
            <w:shd w:val="clear" w:color="auto" w:fill="auto"/>
            <w:noWrap/>
            <w:vAlign w:val="center"/>
          </w:tcPr>
          <w:p w14:paraId="5ED2F6D6" w14:textId="77777777" w:rsidR="006073B4" w:rsidRPr="008932D4" w:rsidRDefault="006073B4" w:rsidP="006073B4">
            <w:pPr>
              <w:spacing w:after="0" w:line="240" w:lineRule="auto"/>
              <w:ind w:firstLine="34"/>
              <w:jc w:val="center"/>
              <w:rPr>
                <w:rFonts w:cs="Times New Roman"/>
                <w:sz w:val="20"/>
                <w:szCs w:val="20"/>
              </w:rPr>
            </w:pPr>
            <w:r w:rsidRPr="008932D4">
              <w:rPr>
                <w:rFonts w:cs="Times New Roman"/>
                <w:b/>
                <w:bCs/>
                <w:sz w:val="20"/>
                <w:szCs w:val="20"/>
              </w:rPr>
              <w:t>2017</w:t>
            </w:r>
          </w:p>
        </w:tc>
        <w:tc>
          <w:tcPr>
            <w:tcW w:w="2846" w:type="dxa"/>
            <w:gridSpan w:val="2"/>
            <w:shd w:val="clear" w:color="auto" w:fill="auto"/>
            <w:noWrap/>
            <w:vAlign w:val="center"/>
          </w:tcPr>
          <w:p w14:paraId="5E54472F" w14:textId="77777777" w:rsidR="006073B4" w:rsidRPr="008932D4" w:rsidRDefault="006073B4" w:rsidP="006073B4">
            <w:pPr>
              <w:spacing w:after="0" w:line="240" w:lineRule="auto"/>
              <w:ind w:firstLine="34"/>
              <w:jc w:val="center"/>
              <w:rPr>
                <w:rFonts w:cs="Times New Roman"/>
                <w:sz w:val="20"/>
                <w:szCs w:val="20"/>
              </w:rPr>
            </w:pPr>
            <w:r>
              <w:rPr>
                <w:rFonts w:cs="Times New Roman"/>
                <w:b/>
                <w:bCs/>
                <w:sz w:val="20"/>
                <w:szCs w:val="20"/>
              </w:rPr>
              <w:t>2</w:t>
            </w:r>
            <w:r w:rsidRPr="008932D4">
              <w:rPr>
                <w:rFonts w:cs="Times New Roman"/>
                <w:b/>
                <w:bCs/>
                <w:sz w:val="20"/>
                <w:szCs w:val="20"/>
              </w:rPr>
              <w:t>018</w:t>
            </w:r>
          </w:p>
        </w:tc>
        <w:tc>
          <w:tcPr>
            <w:tcW w:w="1463" w:type="dxa"/>
            <w:tcBorders>
              <w:right w:val="single" w:sz="4" w:space="0" w:color="auto"/>
            </w:tcBorders>
            <w:shd w:val="clear" w:color="auto" w:fill="auto"/>
            <w:noWrap/>
            <w:vAlign w:val="center"/>
          </w:tcPr>
          <w:p w14:paraId="623BAEF0" w14:textId="77777777" w:rsidR="006073B4" w:rsidRPr="008932D4" w:rsidRDefault="006073B4" w:rsidP="006073B4">
            <w:pPr>
              <w:spacing w:after="0" w:line="240" w:lineRule="auto"/>
              <w:ind w:firstLine="34"/>
              <w:jc w:val="center"/>
              <w:rPr>
                <w:rFonts w:cs="Times New Roman"/>
                <w:sz w:val="20"/>
                <w:szCs w:val="20"/>
              </w:rPr>
            </w:pPr>
            <w:r>
              <w:rPr>
                <w:rFonts w:cs="Times New Roman"/>
                <w:b/>
                <w:bCs/>
                <w:sz w:val="20"/>
                <w:szCs w:val="20"/>
              </w:rPr>
              <w:t>2019</w:t>
            </w:r>
          </w:p>
        </w:tc>
      </w:tr>
      <w:tr w:rsidR="006073B4" w:rsidRPr="008932D4" w14:paraId="0A73CA7A" w14:textId="77777777" w:rsidTr="000C31C0">
        <w:trPr>
          <w:trHeight w:val="288"/>
        </w:trPr>
        <w:tc>
          <w:tcPr>
            <w:tcW w:w="3823" w:type="dxa"/>
            <w:shd w:val="clear" w:color="auto" w:fill="auto"/>
            <w:noWrap/>
            <w:vAlign w:val="bottom"/>
            <w:hideMark/>
          </w:tcPr>
          <w:p w14:paraId="3F940D06" w14:textId="77777777" w:rsidR="006073B4" w:rsidRPr="008932D4" w:rsidRDefault="006073B4" w:rsidP="006073B4">
            <w:pPr>
              <w:spacing w:after="0" w:line="240" w:lineRule="auto"/>
              <w:ind w:firstLine="34"/>
              <w:rPr>
                <w:rFonts w:cs="Times New Roman"/>
                <w:sz w:val="20"/>
                <w:szCs w:val="20"/>
              </w:rPr>
            </w:pPr>
          </w:p>
        </w:tc>
        <w:tc>
          <w:tcPr>
            <w:tcW w:w="1394" w:type="dxa"/>
            <w:shd w:val="clear" w:color="auto" w:fill="auto"/>
            <w:noWrap/>
            <w:vAlign w:val="center"/>
            <w:hideMark/>
          </w:tcPr>
          <w:p w14:paraId="2DC46889" w14:textId="77777777" w:rsidR="006073B4" w:rsidRPr="008932D4" w:rsidRDefault="006073B4" w:rsidP="000C31C0">
            <w:pPr>
              <w:spacing w:after="0" w:line="240" w:lineRule="auto"/>
              <w:ind w:firstLine="34"/>
              <w:jc w:val="center"/>
              <w:rPr>
                <w:rFonts w:cs="Times New Roman"/>
                <w:sz w:val="20"/>
                <w:szCs w:val="20"/>
              </w:rPr>
            </w:pPr>
            <w:r>
              <w:rPr>
                <w:rFonts w:cs="Times New Roman"/>
                <w:b/>
                <w:bCs/>
                <w:sz w:val="20"/>
                <w:szCs w:val="20"/>
              </w:rPr>
              <w:t>Budžets</w:t>
            </w:r>
          </w:p>
        </w:tc>
        <w:tc>
          <w:tcPr>
            <w:tcW w:w="1393" w:type="dxa"/>
            <w:shd w:val="clear" w:color="auto" w:fill="auto"/>
            <w:noWrap/>
            <w:vAlign w:val="center"/>
            <w:hideMark/>
          </w:tcPr>
          <w:p w14:paraId="62EB22F0" w14:textId="77777777" w:rsidR="006073B4" w:rsidRPr="008932D4" w:rsidRDefault="006073B4" w:rsidP="000C31C0">
            <w:pPr>
              <w:spacing w:after="0" w:line="240" w:lineRule="auto"/>
              <w:ind w:firstLine="34"/>
              <w:jc w:val="center"/>
              <w:rPr>
                <w:rFonts w:cs="Times New Roman"/>
                <w:sz w:val="20"/>
                <w:szCs w:val="20"/>
              </w:rPr>
            </w:pPr>
            <w:r w:rsidRPr="008932D4">
              <w:rPr>
                <w:rFonts w:cs="Times New Roman"/>
                <w:b/>
                <w:bCs/>
                <w:sz w:val="20"/>
                <w:szCs w:val="20"/>
              </w:rPr>
              <w:t>prognoze</w:t>
            </w:r>
          </w:p>
        </w:tc>
        <w:tc>
          <w:tcPr>
            <w:tcW w:w="1354" w:type="dxa"/>
            <w:shd w:val="clear" w:color="auto" w:fill="auto"/>
            <w:noWrap/>
            <w:vAlign w:val="center"/>
            <w:hideMark/>
          </w:tcPr>
          <w:p w14:paraId="71A842DA" w14:textId="77777777" w:rsidR="006073B4" w:rsidRPr="008932D4" w:rsidRDefault="006073B4" w:rsidP="000C31C0">
            <w:pPr>
              <w:spacing w:after="0" w:line="240" w:lineRule="auto"/>
              <w:ind w:firstLine="34"/>
              <w:jc w:val="center"/>
              <w:rPr>
                <w:rFonts w:cs="Times New Roman"/>
                <w:sz w:val="20"/>
                <w:szCs w:val="20"/>
              </w:rPr>
            </w:pPr>
            <w:r>
              <w:rPr>
                <w:rFonts w:cs="Times New Roman"/>
                <w:b/>
                <w:bCs/>
                <w:sz w:val="20"/>
                <w:szCs w:val="20"/>
              </w:rPr>
              <w:t>2015. gada prognoze</w:t>
            </w:r>
          </w:p>
        </w:tc>
        <w:tc>
          <w:tcPr>
            <w:tcW w:w="1331" w:type="dxa"/>
            <w:shd w:val="clear" w:color="auto" w:fill="auto"/>
            <w:noWrap/>
            <w:vAlign w:val="center"/>
            <w:hideMark/>
          </w:tcPr>
          <w:p w14:paraId="5F199416" w14:textId="77777777" w:rsidR="006073B4" w:rsidRPr="008932D4" w:rsidRDefault="006073B4" w:rsidP="000C31C0">
            <w:pPr>
              <w:spacing w:after="0" w:line="240" w:lineRule="auto"/>
              <w:ind w:firstLine="34"/>
              <w:jc w:val="center"/>
              <w:rPr>
                <w:rFonts w:cs="Times New Roman"/>
                <w:sz w:val="20"/>
                <w:szCs w:val="20"/>
              </w:rPr>
            </w:pPr>
            <w:r w:rsidRPr="008932D4">
              <w:rPr>
                <w:rFonts w:cs="Times New Roman"/>
                <w:b/>
                <w:bCs/>
                <w:sz w:val="20"/>
                <w:szCs w:val="20"/>
              </w:rPr>
              <w:t>prognoze</w:t>
            </w:r>
          </w:p>
        </w:tc>
        <w:tc>
          <w:tcPr>
            <w:tcW w:w="1383" w:type="dxa"/>
            <w:shd w:val="clear" w:color="auto" w:fill="auto"/>
            <w:noWrap/>
            <w:vAlign w:val="center"/>
            <w:hideMark/>
          </w:tcPr>
          <w:p w14:paraId="73530999" w14:textId="77777777" w:rsidR="006073B4" w:rsidRPr="008932D4" w:rsidRDefault="006073B4" w:rsidP="000C31C0">
            <w:pPr>
              <w:spacing w:after="0" w:line="240" w:lineRule="auto"/>
              <w:ind w:firstLine="34"/>
              <w:jc w:val="center"/>
              <w:rPr>
                <w:rFonts w:cs="Times New Roman"/>
                <w:sz w:val="20"/>
                <w:szCs w:val="20"/>
              </w:rPr>
            </w:pPr>
            <w:r>
              <w:rPr>
                <w:rFonts w:cs="Times New Roman"/>
                <w:b/>
                <w:bCs/>
                <w:sz w:val="20"/>
                <w:szCs w:val="20"/>
              </w:rPr>
              <w:t>2015. gada prognoze</w:t>
            </w:r>
          </w:p>
        </w:tc>
        <w:tc>
          <w:tcPr>
            <w:tcW w:w="1463" w:type="dxa"/>
            <w:shd w:val="clear" w:color="auto" w:fill="auto"/>
            <w:noWrap/>
            <w:vAlign w:val="center"/>
            <w:hideMark/>
          </w:tcPr>
          <w:p w14:paraId="53A42B37" w14:textId="77777777" w:rsidR="006073B4" w:rsidRPr="008932D4" w:rsidRDefault="006073B4" w:rsidP="000C31C0">
            <w:pPr>
              <w:spacing w:after="0" w:line="240" w:lineRule="auto"/>
              <w:ind w:firstLine="34"/>
              <w:jc w:val="center"/>
              <w:rPr>
                <w:rFonts w:cs="Times New Roman"/>
                <w:sz w:val="20"/>
                <w:szCs w:val="20"/>
              </w:rPr>
            </w:pPr>
            <w:r w:rsidRPr="008932D4">
              <w:rPr>
                <w:rFonts w:cs="Times New Roman"/>
                <w:b/>
                <w:bCs/>
                <w:sz w:val="20"/>
                <w:szCs w:val="20"/>
              </w:rPr>
              <w:t>prognoze</w:t>
            </w:r>
          </w:p>
        </w:tc>
        <w:tc>
          <w:tcPr>
            <w:tcW w:w="1463" w:type="dxa"/>
            <w:tcBorders>
              <w:right w:val="single" w:sz="4" w:space="0" w:color="auto"/>
            </w:tcBorders>
            <w:shd w:val="clear" w:color="auto" w:fill="auto"/>
            <w:noWrap/>
            <w:vAlign w:val="center"/>
            <w:hideMark/>
          </w:tcPr>
          <w:p w14:paraId="5C1AC7E7" w14:textId="77777777" w:rsidR="006073B4" w:rsidRPr="008932D4" w:rsidRDefault="006073B4" w:rsidP="000C31C0">
            <w:pPr>
              <w:spacing w:after="0" w:line="240" w:lineRule="auto"/>
              <w:ind w:firstLine="34"/>
              <w:jc w:val="center"/>
              <w:rPr>
                <w:rFonts w:cs="Times New Roman"/>
                <w:sz w:val="20"/>
                <w:szCs w:val="20"/>
              </w:rPr>
            </w:pPr>
            <w:r w:rsidRPr="008932D4">
              <w:rPr>
                <w:rFonts w:cs="Times New Roman"/>
                <w:b/>
                <w:bCs/>
                <w:sz w:val="20"/>
                <w:szCs w:val="20"/>
              </w:rPr>
              <w:t>prognoze</w:t>
            </w:r>
          </w:p>
        </w:tc>
      </w:tr>
      <w:tr w:rsidR="00EB6CF6" w:rsidRPr="008932D4" w14:paraId="6296DC84" w14:textId="77777777" w:rsidTr="00855D12">
        <w:trPr>
          <w:trHeight w:val="288"/>
        </w:trPr>
        <w:tc>
          <w:tcPr>
            <w:tcW w:w="3823" w:type="dxa"/>
            <w:shd w:val="clear" w:color="auto" w:fill="auto"/>
            <w:noWrap/>
            <w:vAlign w:val="bottom"/>
            <w:hideMark/>
          </w:tcPr>
          <w:p w14:paraId="172B70D5" w14:textId="77777777" w:rsidR="00EB6CF6" w:rsidRPr="008932D4" w:rsidRDefault="00EB6CF6" w:rsidP="00EB6CF6">
            <w:pPr>
              <w:spacing w:after="0" w:line="240" w:lineRule="auto"/>
              <w:ind w:firstLine="34"/>
              <w:rPr>
                <w:rFonts w:cs="Times New Roman"/>
                <w:b/>
                <w:bCs/>
                <w:sz w:val="20"/>
                <w:szCs w:val="20"/>
              </w:rPr>
            </w:pPr>
            <w:r w:rsidRPr="008932D4">
              <w:rPr>
                <w:rFonts w:cs="Times New Roman"/>
                <w:b/>
                <w:bCs/>
                <w:sz w:val="20"/>
                <w:szCs w:val="20"/>
              </w:rPr>
              <w:t>AS "Latvenergo" dividendes, tajā skaitā</w:t>
            </w:r>
          </w:p>
        </w:tc>
        <w:tc>
          <w:tcPr>
            <w:tcW w:w="1394" w:type="dxa"/>
            <w:shd w:val="clear" w:color="auto" w:fill="auto"/>
            <w:noWrap/>
            <w:vAlign w:val="bottom"/>
            <w:hideMark/>
          </w:tcPr>
          <w:p w14:paraId="78944BEE" w14:textId="77777777"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77 413 486</w:t>
            </w:r>
          </w:p>
        </w:tc>
        <w:tc>
          <w:tcPr>
            <w:tcW w:w="1393" w:type="dxa"/>
            <w:shd w:val="clear" w:color="auto" w:fill="auto"/>
            <w:noWrap/>
            <w:vAlign w:val="bottom"/>
            <w:hideMark/>
          </w:tcPr>
          <w:p w14:paraId="6C31DE46" w14:textId="77777777"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77 413 486</w:t>
            </w:r>
          </w:p>
        </w:tc>
        <w:tc>
          <w:tcPr>
            <w:tcW w:w="1354" w:type="dxa"/>
            <w:shd w:val="clear" w:color="auto" w:fill="auto"/>
            <w:noWrap/>
            <w:vAlign w:val="bottom"/>
            <w:hideMark/>
          </w:tcPr>
          <w:p w14:paraId="50290429" w14:textId="77777777"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102 759 955</w:t>
            </w:r>
          </w:p>
        </w:tc>
        <w:tc>
          <w:tcPr>
            <w:tcW w:w="1331" w:type="dxa"/>
            <w:shd w:val="clear" w:color="auto" w:fill="auto"/>
            <w:noWrap/>
            <w:vAlign w:val="bottom"/>
            <w:hideMark/>
          </w:tcPr>
          <w:p w14:paraId="509185EA" w14:textId="77777777"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84 970 870</w:t>
            </w:r>
          </w:p>
        </w:tc>
        <w:tc>
          <w:tcPr>
            <w:tcW w:w="1383" w:type="dxa"/>
            <w:shd w:val="clear" w:color="auto" w:fill="auto"/>
            <w:noWrap/>
            <w:vAlign w:val="bottom"/>
            <w:hideMark/>
          </w:tcPr>
          <w:p w14:paraId="79CB46DC" w14:textId="77777777"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111 452 620</w:t>
            </w:r>
          </w:p>
        </w:tc>
        <w:tc>
          <w:tcPr>
            <w:tcW w:w="1463" w:type="dxa"/>
            <w:shd w:val="clear" w:color="auto" w:fill="auto"/>
            <w:noWrap/>
            <w:vAlign w:val="bottom"/>
            <w:hideMark/>
          </w:tcPr>
          <w:p w14:paraId="066A527F" w14:textId="311F072B"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118 292 435</w:t>
            </w:r>
          </w:p>
        </w:tc>
        <w:tc>
          <w:tcPr>
            <w:tcW w:w="1463" w:type="dxa"/>
            <w:tcBorders>
              <w:right w:val="single" w:sz="4" w:space="0" w:color="auto"/>
            </w:tcBorders>
            <w:shd w:val="clear" w:color="auto" w:fill="auto"/>
            <w:noWrap/>
            <w:vAlign w:val="bottom"/>
            <w:hideMark/>
          </w:tcPr>
          <w:p w14:paraId="37EB8D42" w14:textId="0E62D6C3" w:rsidR="00EB6CF6" w:rsidRPr="00537808" w:rsidRDefault="00EB6CF6" w:rsidP="00EB6CF6">
            <w:pPr>
              <w:spacing w:after="0" w:line="240" w:lineRule="auto"/>
              <w:ind w:firstLine="34"/>
              <w:jc w:val="center"/>
              <w:rPr>
                <w:rFonts w:eastAsia="Times New Roman" w:cs="Times New Roman"/>
                <w:b/>
                <w:bCs/>
                <w:color w:val="000000"/>
                <w:sz w:val="20"/>
                <w:szCs w:val="20"/>
                <w:lang w:eastAsia="lv-LV"/>
              </w:rPr>
            </w:pPr>
            <w:r w:rsidRPr="00537808">
              <w:rPr>
                <w:rFonts w:cs="Times New Roman"/>
                <w:b/>
                <w:bCs/>
                <w:color w:val="000000"/>
                <w:sz w:val="20"/>
                <w:szCs w:val="20"/>
              </w:rPr>
              <w:t>133 097 155</w:t>
            </w:r>
          </w:p>
        </w:tc>
      </w:tr>
      <w:tr w:rsidR="00EB6CF6" w:rsidRPr="008932D4" w14:paraId="0AC175CF" w14:textId="77777777" w:rsidTr="005B54FE">
        <w:trPr>
          <w:trHeight w:val="288"/>
        </w:trPr>
        <w:tc>
          <w:tcPr>
            <w:tcW w:w="3823" w:type="dxa"/>
            <w:shd w:val="clear" w:color="auto" w:fill="auto"/>
            <w:noWrap/>
            <w:vAlign w:val="bottom"/>
            <w:hideMark/>
          </w:tcPr>
          <w:p w14:paraId="50968EFE" w14:textId="77777777" w:rsidR="00EB6CF6" w:rsidRPr="008932D4" w:rsidRDefault="00EB6CF6" w:rsidP="00EB6CF6">
            <w:pPr>
              <w:spacing w:after="0" w:line="240" w:lineRule="auto"/>
              <w:ind w:firstLine="34"/>
              <w:rPr>
                <w:rFonts w:cs="Times New Roman"/>
                <w:sz w:val="20"/>
                <w:szCs w:val="20"/>
              </w:rPr>
            </w:pPr>
            <w:r>
              <w:rPr>
                <w:rFonts w:cs="Times New Roman"/>
                <w:sz w:val="20"/>
                <w:szCs w:val="20"/>
              </w:rPr>
              <w:t>tostarp k</w:t>
            </w:r>
            <w:r w:rsidRPr="008932D4">
              <w:rPr>
                <w:rFonts w:cs="Times New Roman"/>
                <w:sz w:val="20"/>
                <w:szCs w:val="20"/>
              </w:rPr>
              <w:t>omplekso risinājumu elektroenerģijas tirgū novirzāmā daļa</w:t>
            </w:r>
          </w:p>
        </w:tc>
        <w:tc>
          <w:tcPr>
            <w:tcW w:w="1394" w:type="dxa"/>
            <w:shd w:val="clear" w:color="auto" w:fill="auto"/>
            <w:noWrap/>
            <w:vAlign w:val="center"/>
            <w:hideMark/>
          </w:tcPr>
          <w:p w14:paraId="3AF87459"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23 665 609</w:t>
            </w:r>
          </w:p>
        </w:tc>
        <w:tc>
          <w:tcPr>
            <w:tcW w:w="1393" w:type="dxa"/>
            <w:shd w:val="clear" w:color="auto" w:fill="auto"/>
            <w:noWrap/>
            <w:vAlign w:val="center"/>
            <w:hideMark/>
          </w:tcPr>
          <w:p w14:paraId="68945E82"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23 665 609</w:t>
            </w:r>
          </w:p>
        </w:tc>
        <w:tc>
          <w:tcPr>
            <w:tcW w:w="1354" w:type="dxa"/>
            <w:shd w:val="clear" w:color="auto" w:fill="auto"/>
            <w:noWrap/>
            <w:vAlign w:val="center"/>
            <w:hideMark/>
          </w:tcPr>
          <w:p w14:paraId="1EFA9BD0"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48 009 955</w:t>
            </w:r>
          </w:p>
        </w:tc>
        <w:tc>
          <w:tcPr>
            <w:tcW w:w="1331" w:type="dxa"/>
            <w:shd w:val="clear" w:color="auto" w:fill="auto"/>
            <w:noWrap/>
            <w:vAlign w:val="center"/>
            <w:hideMark/>
          </w:tcPr>
          <w:p w14:paraId="0F383456"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30 220 870</w:t>
            </w:r>
          </w:p>
        </w:tc>
        <w:tc>
          <w:tcPr>
            <w:tcW w:w="1383" w:type="dxa"/>
            <w:shd w:val="clear" w:color="auto" w:fill="auto"/>
            <w:noWrap/>
            <w:vAlign w:val="center"/>
            <w:hideMark/>
          </w:tcPr>
          <w:p w14:paraId="7A3C7C70"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60 352 620</w:t>
            </w:r>
          </w:p>
        </w:tc>
        <w:tc>
          <w:tcPr>
            <w:tcW w:w="1463" w:type="dxa"/>
            <w:shd w:val="clear" w:color="auto" w:fill="auto"/>
            <w:noWrap/>
            <w:vAlign w:val="center"/>
            <w:hideMark/>
          </w:tcPr>
          <w:p w14:paraId="7D7ED38A"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67 192 435</w:t>
            </w:r>
          </w:p>
        </w:tc>
        <w:tc>
          <w:tcPr>
            <w:tcW w:w="1463" w:type="dxa"/>
            <w:tcBorders>
              <w:right w:val="single" w:sz="4" w:space="0" w:color="auto"/>
            </w:tcBorders>
            <w:shd w:val="clear" w:color="auto" w:fill="auto"/>
            <w:noWrap/>
            <w:vAlign w:val="center"/>
            <w:hideMark/>
          </w:tcPr>
          <w:p w14:paraId="058642E8" w14:textId="77777777" w:rsidR="00EB6CF6" w:rsidRPr="005B54FE" w:rsidRDefault="00EB6CF6" w:rsidP="00EB6CF6">
            <w:pPr>
              <w:spacing w:after="0" w:line="240" w:lineRule="auto"/>
              <w:ind w:firstLine="34"/>
              <w:jc w:val="center"/>
              <w:rPr>
                <w:rFonts w:cs="Times New Roman"/>
                <w:sz w:val="20"/>
                <w:szCs w:val="20"/>
              </w:rPr>
            </w:pPr>
            <w:r w:rsidRPr="00EB6CF6">
              <w:rPr>
                <w:rFonts w:cs="Times New Roman"/>
                <w:sz w:val="20"/>
              </w:rPr>
              <w:t>81 997 155</w:t>
            </w:r>
          </w:p>
        </w:tc>
      </w:tr>
      <w:tr w:rsidR="005B54FE" w:rsidRPr="008932D4" w14:paraId="41513213" w14:textId="77777777" w:rsidTr="005B54FE">
        <w:trPr>
          <w:trHeight w:val="90"/>
        </w:trPr>
        <w:tc>
          <w:tcPr>
            <w:tcW w:w="3823" w:type="dxa"/>
            <w:shd w:val="clear" w:color="auto" w:fill="auto"/>
            <w:noWrap/>
            <w:vAlign w:val="bottom"/>
            <w:hideMark/>
          </w:tcPr>
          <w:p w14:paraId="3AD12A2A" w14:textId="77777777" w:rsidR="005B54FE" w:rsidRPr="008932D4" w:rsidRDefault="005B54FE" w:rsidP="005B54FE">
            <w:pPr>
              <w:spacing w:after="0" w:line="240" w:lineRule="auto"/>
              <w:ind w:firstLine="34"/>
              <w:rPr>
                <w:rFonts w:cs="Times New Roman"/>
                <w:sz w:val="20"/>
                <w:szCs w:val="20"/>
              </w:rPr>
            </w:pPr>
            <w:r>
              <w:rPr>
                <w:rFonts w:cs="Times New Roman"/>
                <w:sz w:val="20"/>
                <w:szCs w:val="20"/>
              </w:rPr>
              <w:t xml:space="preserve">tostarp </w:t>
            </w:r>
            <w:r w:rsidRPr="008932D4">
              <w:rPr>
                <w:rFonts w:cs="Times New Roman"/>
                <w:sz w:val="20"/>
                <w:szCs w:val="20"/>
              </w:rPr>
              <w:t>pārējās budžeta vajadzības</w:t>
            </w:r>
          </w:p>
        </w:tc>
        <w:tc>
          <w:tcPr>
            <w:tcW w:w="1394" w:type="dxa"/>
            <w:shd w:val="clear" w:color="auto" w:fill="auto"/>
            <w:noWrap/>
            <w:vAlign w:val="center"/>
            <w:hideMark/>
          </w:tcPr>
          <w:p w14:paraId="054B6E4B"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53 747 877</w:t>
            </w:r>
          </w:p>
        </w:tc>
        <w:tc>
          <w:tcPr>
            <w:tcW w:w="1393" w:type="dxa"/>
            <w:shd w:val="clear" w:color="auto" w:fill="auto"/>
            <w:noWrap/>
            <w:vAlign w:val="center"/>
            <w:hideMark/>
          </w:tcPr>
          <w:p w14:paraId="39D2EF57"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53 747 877</w:t>
            </w:r>
          </w:p>
        </w:tc>
        <w:tc>
          <w:tcPr>
            <w:tcW w:w="1354" w:type="dxa"/>
            <w:shd w:val="clear" w:color="auto" w:fill="auto"/>
            <w:noWrap/>
            <w:vAlign w:val="center"/>
            <w:hideMark/>
          </w:tcPr>
          <w:p w14:paraId="6C34AA01"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54 750 000</w:t>
            </w:r>
          </w:p>
        </w:tc>
        <w:tc>
          <w:tcPr>
            <w:tcW w:w="1331" w:type="dxa"/>
            <w:shd w:val="clear" w:color="auto" w:fill="auto"/>
            <w:noWrap/>
            <w:vAlign w:val="center"/>
            <w:hideMark/>
          </w:tcPr>
          <w:p w14:paraId="3B6ADA8E"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54 750 000</w:t>
            </w:r>
          </w:p>
        </w:tc>
        <w:tc>
          <w:tcPr>
            <w:tcW w:w="1383" w:type="dxa"/>
            <w:shd w:val="clear" w:color="auto" w:fill="auto"/>
            <w:noWrap/>
            <w:vAlign w:val="center"/>
            <w:hideMark/>
          </w:tcPr>
          <w:p w14:paraId="0D4F4C89"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51 100 000</w:t>
            </w:r>
          </w:p>
        </w:tc>
        <w:tc>
          <w:tcPr>
            <w:tcW w:w="1463" w:type="dxa"/>
            <w:shd w:val="clear" w:color="auto" w:fill="auto"/>
            <w:noWrap/>
            <w:vAlign w:val="center"/>
            <w:hideMark/>
          </w:tcPr>
          <w:p w14:paraId="3637DA2B"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51 100 000</w:t>
            </w:r>
          </w:p>
        </w:tc>
        <w:tc>
          <w:tcPr>
            <w:tcW w:w="1463" w:type="dxa"/>
            <w:tcBorders>
              <w:right w:val="single" w:sz="4" w:space="0" w:color="auto"/>
            </w:tcBorders>
            <w:shd w:val="clear" w:color="auto" w:fill="auto"/>
            <w:noWrap/>
            <w:vAlign w:val="center"/>
            <w:hideMark/>
          </w:tcPr>
          <w:p w14:paraId="17B97885"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51 100 000</w:t>
            </w:r>
          </w:p>
        </w:tc>
      </w:tr>
    </w:tbl>
    <w:p w14:paraId="4D663186" w14:textId="77777777" w:rsidR="006073B4" w:rsidRDefault="006073B4" w:rsidP="006C4361">
      <w:pPr>
        <w:spacing w:after="0" w:line="240" w:lineRule="auto"/>
        <w:ind w:firstLine="851"/>
        <w:rPr>
          <w:sz w:val="28"/>
          <w:szCs w:val="28"/>
        </w:rPr>
      </w:pPr>
    </w:p>
    <w:p w14:paraId="6486AFAE" w14:textId="57924803" w:rsidR="009E7C85" w:rsidRDefault="009E7C85" w:rsidP="009E7C85">
      <w:pPr>
        <w:spacing w:after="0" w:line="240" w:lineRule="auto"/>
        <w:ind w:firstLine="851"/>
        <w:rPr>
          <w:sz w:val="28"/>
          <w:szCs w:val="28"/>
        </w:rPr>
      </w:pPr>
      <w:r>
        <w:rPr>
          <w:sz w:val="28"/>
          <w:szCs w:val="28"/>
        </w:rPr>
        <w:t>R</w:t>
      </w:r>
      <w:r w:rsidRPr="004E1081">
        <w:rPr>
          <w:sz w:val="28"/>
          <w:szCs w:val="28"/>
        </w:rPr>
        <w:t>isinājuma ieviešanai</w:t>
      </w:r>
      <w:r>
        <w:rPr>
          <w:sz w:val="28"/>
          <w:szCs w:val="28"/>
        </w:rPr>
        <w:t xml:space="preserve"> </w:t>
      </w:r>
      <w:r w:rsidRPr="004E1081">
        <w:rPr>
          <w:sz w:val="28"/>
          <w:szCs w:val="28"/>
        </w:rPr>
        <w:t xml:space="preserve">nepieciešams veikt izmaiņas </w:t>
      </w:r>
      <w:r w:rsidR="000F4078">
        <w:rPr>
          <w:sz w:val="28"/>
          <w:szCs w:val="28"/>
        </w:rPr>
        <w:t>ENL</w:t>
      </w:r>
      <w:r>
        <w:rPr>
          <w:sz w:val="28"/>
          <w:szCs w:val="28"/>
        </w:rPr>
        <w:t>, virzot tās Li</w:t>
      </w:r>
      <w:r w:rsidRPr="00310EDD">
        <w:rPr>
          <w:sz w:val="28"/>
          <w:szCs w:val="28"/>
        </w:rPr>
        <w:t>kuma par valsts budžetu 201</w:t>
      </w:r>
      <w:r>
        <w:rPr>
          <w:sz w:val="28"/>
          <w:szCs w:val="28"/>
        </w:rPr>
        <w:t>7. </w:t>
      </w:r>
      <w:r w:rsidRPr="00310EDD">
        <w:rPr>
          <w:sz w:val="28"/>
          <w:szCs w:val="28"/>
        </w:rPr>
        <w:t>gadam pavadošo likumprojektu paketē</w:t>
      </w:r>
      <w:r w:rsidRPr="004E1081">
        <w:rPr>
          <w:sz w:val="28"/>
          <w:szCs w:val="28"/>
        </w:rPr>
        <w:t xml:space="preserve">, </w:t>
      </w:r>
      <w:r>
        <w:rPr>
          <w:sz w:val="28"/>
          <w:szCs w:val="28"/>
        </w:rPr>
        <w:t xml:space="preserve">kā arī veikt grozījumus </w:t>
      </w:r>
      <w:r w:rsidRPr="004E1081">
        <w:rPr>
          <w:sz w:val="28"/>
          <w:szCs w:val="28"/>
        </w:rPr>
        <w:t>Ministru kabineta 2007. gada 13. februāra no</w:t>
      </w:r>
      <w:r>
        <w:rPr>
          <w:sz w:val="28"/>
          <w:szCs w:val="28"/>
        </w:rPr>
        <w:t>teikumos Nr. </w:t>
      </w:r>
      <w:r w:rsidRPr="004E1081">
        <w:rPr>
          <w:sz w:val="28"/>
          <w:szCs w:val="28"/>
        </w:rPr>
        <w:t>128 “Noteikumi par elektroenerģijas nodokļa deklarācijas veidlapu un tās aizpildīšanas kārtību” un Ministru kabineta 2007. gada 12. jūnija noteikumos Nr. 382 “Elektroenerģijas nodokļa at</w:t>
      </w:r>
      <w:r>
        <w:rPr>
          <w:sz w:val="28"/>
          <w:szCs w:val="28"/>
        </w:rPr>
        <w:t>brīvojumu piemērošanas kārtība”.</w:t>
      </w:r>
    </w:p>
    <w:p w14:paraId="1E0E836D" w14:textId="77777777" w:rsidR="00FE3295" w:rsidRDefault="00FE3295" w:rsidP="009E7C85">
      <w:pPr>
        <w:spacing w:after="0" w:line="240" w:lineRule="auto"/>
        <w:ind w:firstLine="851"/>
        <w:rPr>
          <w:sz w:val="28"/>
          <w:szCs w:val="28"/>
        </w:rPr>
      </w:pPr>
    </w:p>
    <w:p w14:paraId="2DD49E94" w14:textId="77777777" w:rsidR="00D304FA" w:rsidRPr="00F82132" w:rsidRDefault="007C65E6" w:rsidP="00D304FA">
      <w:pPr>
        <w:pStyle w:val="Heading2"/>
        <w:spacing w:line="240" w:lineRule="auto"/>
        <w:rPr>
          <w:rFonts w:ascii="Times New Roman" w:hAnsi="Times New Roman" w:cs="Times New Roman"/>
          <w:b/>
          <w:color w:val="auto"/>
          <w:sz w:val="32"/>
          <w:szCs w:val="28"/>
        </w:rPr>
      </w:pPr>
      <w:bookmarkStart w:id="26" w:name="_Toc459890629"/>
      <w:r w:rsidRPr="00F82132">
        <w:rPr>
          <w:rFonts w:ascii="Times New Roman" w:hAnsi="Times New Roman" w:cs="Times New Roman"/>
          <w:b/>
          <w:color w:val="auto"/>
          <w:sz w:val="32"/>
          <w:szCs w:val="28"/>
        </w:rPr>
        <w:t>3</w:t>
      </w:r>
      <w:r w:rsidR="00D304FA" w:rsidRPr="00F82132">
        <w:rPr>
          <w:rFonts w:ascii="Times New Roman" w:hAnsi="Times New Roman" w:cs="Times New Roman"/>
          <w:b/>
          <w:color w:val="auto"/>
          <w:sz w:val="32"/>
          <w:szCs w:val="28"/>
        </w:rPr>
        <w:t>.risinājums</w:t>
      </w:r>
      <w:bookmarkEnd w:id="26"/>
    </w:p>
    <w:p w14:paraId="50D44D29" w14:textId="21E17006" w:rsidR="00D304FA" w:rsidRDefault="00D304FA" w:rsidP="00D304FA">
      <w:pPr>
        <w:spacing w:after="0" w:line="240" w:lineRule="auto"/>
        <w:ind w:firstLine="851"/>
        <w:rPr>
          <w:sz w:val="28"/>
          <w:szCs w:val="28"/>
        </w:rPr>
      </w:pPr>
      <w:r w:rsidRPr="00F82132">
        <w:rPr>
          <w:sz w:val="28"/>
          <w:szCs w:val="28"/>
        </w:rPr>
        <w:t xml:space="preserve">Šis risinājums </w:t>
      </w:r>
      <w:r w:rsidR="004761FF" w:rsidRPr="00F82132">
        <w:rPr>
          <w:sz w:val="28"/>
          <w:szCs w:val="28"/>
        </w:rPr>
        <w:t xml:space="preserve">tāpat kā </w:t>
      </w:r>
      <w:r w:rsidR="007C65E6" w:rsidRPr="00F82132">
        <w:rPr>
          <w:sz w:val="28"/>
          <w:szCs w:val="28"/>
        </w:rPr>
        <w:t>2</w:t>
      </w:r>
      <w:r w:rsidR="004761FF" w:rsidRPr="00F82132">
        <w:rPr>
          <w:sz w:val="28"/>
          <w:szCs w:val="28"/>
        </w:rPr>
        <w:t>. risinājums</w:t>
      </w:r>
      <w:r w:rsidR="004761FF">
        <w:rPr>
          <w:sz w:val="28"/>
          <w:szCs w:val="28"/>
        </w:rPr>
        <w:t xml:space="preserve"> </w:t>
      </w:r>
      <w:r>
        <w:rPr>
          <w:sz w:val="28"/>
          <w:szCs w:val="28"/>
        </w:rPr>
        <w:t xml:space="preserve">paredz </w:t>
      </w:r>
      <w:r w:rsidRPr="004E1081">
        <w:rPr>
          <w:sz w:val="28"/>
          <w:szCs w:val="28"/>
        </w:rPr>
        <w:t xml:space="preserve">elektroenerģijas nodokļa atbrīvojumu, kas ir noteikti </w:t>
      </w:r>
      <w:r w:rsidR="000F4078">
        <w:rPr>
          <w:sz w:val="28"/>
          <w:szCs w:val="28"/>
        </w:rPr>
        <w:t>ENL</w:t>
      </w:r>
      <w:r w:rsidRPr="004E1081">
        <w:rPr>
          <w:sz w:val="28"/>
          <w:szCs w:val="28"/>
        </w:rPr>
        <w:t xml:space="preserve"> 6. panta pirmajā daļā</w:t>
      </w:r>
      <w:r>
        <w:rPr>
          <w:sz w:val="28"/>
          <w:szCs w:val="28"/>
        </w:rPr>
        <w:t>,</w:t>
      </w:r>
      <w:r w:rsidRPr="00D304FA">
        <w:rPr>
          <w:sz w:val="28"/>
          <w:szCs w:val="28"/>
        </w:rPr>
        <w:t xml:space="preserve"> </w:t>
      </w:r>
      <w:r w:rsidRPr="004E1081">
        <w:rPr>
          <w:sz w:val="28"/>
          <w:szCs w:val="28"/>
        </w:rPr>
        <w:t>atcelšanu</w:t>
      </w:r>
      <w:r>
        <w:rPr>
          <w:sz w:val="28"/>
          <w:szCs w:val="28"/>
        </w:rPr>
        <w:t xml:space="preserve"> no 2017. gada 1. janvāra un esošo SEN likmju saglabāšanu</w:t>
      </w:r>
      <w:r w:rsidRPr="00904C7B">
        <w:rPr>
          <w:sz w:val="28"/>
          <w:szCs w:val="28"/>
        </w:rPr>
        <w:t xml:space="preserve"> </w:t>
      </w:r>
      <w:r>
        <w:rPr>
          <w:sz w:val="28"/>
          <w:szCs w:val="28"/>
        </w:rPr>
        <w:t xml:space="preserve">un </w:t>
      </w:r>
      <w:r w:rsidRPr="00904C7B">
        <w:rPr>
          <w:sz w:val="28"/>
          <w:szCs w:val="28"/>
        </w:rPr>
        <w:t xml:space="preserve">piemērošanu </w:t>
      </w:r>
      <w:r>
        <w:rPr>
          <w:sz w:val="28"/>
          <w:szCs w:val="28"/>
        </w:rPr>
        <w:t>līdz</w:t>
      </w:r>
      <w:r w:rsidRPr="00904C7B">
        <w:rPr>
          <w:sz w:val="28"/>
          <w:szCs w:val="28"/>
        </w:rPr>
        <w:t xml:space="preserve"> 2017. gada 31. decembr</w:t>
      </w:r>
      <w:r w:rsidR="004761FF">
        <w:rPr>
          <w:sz w:val="28"/>
          <w:szCs w:val="28"/>
        </w:rPr>
        <w:t xml:space="preserve">im, papildinot to ar </w:t>
      </w:r>
      <w:r w:rsidR="004761FF" w:rsidRPr="004761FF">
        <w:rPr>
          <w:sz w:val="28"/>
          <w:szCs w:val="28"/>
        </w:rPr>
        <w:t>OIK diferencēšan</w:t>
      </w:r>
      <w:r w:rsidR="004761FF">
        <w:rPr>
          <w:sz w:val="28"/>
          <w:szCs w:val="28"/>
        </w:rPr>
        <w:t>u</w:t>
      </w:r>
      <w:r w:rsidR="004761FF" w:rsidRPr="004761FF">
        <w:rPr>
          <w:sz w:val="28"/>
          <w:szCs w:val="28"/>
        </w:rPr>
        <w:t xml:space="preserve"> </w:t>
      </w:r>
      <w:r w:rsidR="006356C1">
        <w:rPr>
          <w:sz w:val="28"/>
          <w:szCs w:val="28"/>
        </w:rPr>
        <w:t>atbilstoši 3.1. nodaļā aprakstītajam</w:t>
      </w:r>
      <w:r w:rsidR="004761FF">
        <w:rPr>
          <w:sz w:val="28"/>
          <w:szCs w:val="28"/>
        </w:rPr>
        <w:t>.</w:t>
      </w:r>
    </w:p>
    <w:p w14:paraId="7BA0FCFA" w14:textId="77777777" w:rsidR="006356C1" w:rsidRDefault="005E770C" w:rsidP="00D304FA">
      <w:pPr>
        <w:spacing w:after="0" w:line="240" w:lineRule="auto"/>
        <w:ind w:firstLine="851"/>
        <w:rPr>
          <w:sz w:val="28"/>
          <w:szCs w:val="28"/>
        </w:rPr>
      </w:pPr>
      <w:r>
        <w:rPr>
          <w:sz w:val="28"/>
          <w:szCs w:val="28"/>
        </w:rPr>
        <w:t>Š</w:t>
      </w:r>
      <w:r w:rsidR="006356C1">
        <w:rPr>
          <w:sz w:val="28"/>
          <w:szCs w:val="28"/>
        </w:rPr>
        <w:t>is risinājums veicina OI</w:t>
      </w:r>
      <w:r>
        <w:rPr>
          <w:sz w:val="28"/>
          <w:szCs w:val="28"/>
        </w:rPr>
        <w:t>K</w:t>
      </w:r>
      <w:r w:rsidR="006356C1">
        <w:rPr>
          <w:sz w:val="28"/>
          <w:szCs w:val="28"/>
        </w:rPr>
        <w:t xml:space="preserve"> sistēmas sakārtošanu, paredzot, ka enerģijas lietotāji segs OI un jaudas maksājumus atbilstoši atbalsta piemērošanas veidam – atbalsta daļa, kura tiek maksāta elektroenerģijas ražotājiem par saražoto elektroenerģijas vienību (</w:t>
      </w:r>
      <w:proofErr w:type="spellStart"/>
      <w:r w:rsidR="006356C1">
        <w:rPr>
          <w:sz w:val="28"/>
          <w:szCs w:val="28"/>
        </w:rPr>
        <w:t>MWh</w:t>
      </w:r>
      <w:proofErr w:type="spellEnd"/>
      <w:r w:rsidR="006356C1">
        <w:rPr>
          <w:sz w:val="28"/>
          <w:szCs w:val="28"/>
        </w:rPr>
        <w:t>), tiks tāpat kā iepriekš segt</w:t>
      </w:r>
      <w:r w:rsidR="009223A0">
        <w:rPr>
          <w:sz w:val="28"/>
          <w:szCs w:val="28"/>
        </w:rPr>
        <w:t>a</w:t>
      </w:r>
      <w:r w:rsidR="006356C1">
        <w:rPr>
          <w:sz w:val="28"/>
          <w:szCs w:val="28"/>
        </w:rPr>
        <w:t xml:space="preserve"> ar </w:t>
      </w:r>
      <w:r w:rsidR="009223A0">
        <w:rPr>
          <w:sz w:val="28"/>
          <w:szCs w:val="28"/>
        </w:rPr>
        <w:t xml:space="preserve">elektroenerģijas </w:t>
      </w:r>
      <w:r w:rsidR="006356C1">
        <w:rPr>
          <w:sz w:val="28"/>
          <w:szCs w:val="28"/>
        </w:rPr>
        <w:t>lietotāju maksājumiem par katru vienību (</w:t>
      </w:r>
      <w:proofErr w:type="spellStart"/>
      <w:r w:rsidR="006356C1">
        <w:rPr>
          <w:sz w:val="28"/>
          <w:szCs w:val="28"/>
        </w:rPr>
        <w:t>MWh</w:t>
      </w:r>
      <w:proofErr w:type="spellEnd"/>
      <w:r w:rsidR="006356C1">
        <w:rPr>
          <w:sz w:val="28"/>
          <w:szCs w:val="28"/>
        </w:rPr>
        <w:t xml:space="preserve">), savukārt atbalsta daļa, kuru elektroenerģijas ražotāji saņem jaudas maksājumu un </w:t>
      </w:r>
      <w:r w:rsidR="009223A0">
        <w:rPr>
          <w:sz w:val="28"/>
          <w:szCs w:val="28"/>
        </w:rPr>
        <w:t xml:space="preserve">garantētas </w:t>
      </w:r>
      <w:r w:rsidR="006356C1">
        <w:rPr>
          <w:sz w:val="28"/>
          <w:szCs w:val="28"/>
        </w:rPr>
        <w:t>maksas par uzstādīto elektrisko jaudu veidā</w:t>
      </w:r>
      <w:r w:rsidR="009223A0">
        <w:rPr>
          <w:sz w:val="28"/>
          <w:szCs w:val="28"/>
        </w:rPr>
        <w:t xml:space="preserve"> (par MW), tiks segta atbilstoši elektroenerģijas lietotāju </w:t>
      </w:r>
      <w:proofErr w:type="spellStart"/>
      <w:r w:rsidR="009223A0">
        <w:rPr>
          <w:sz w:val="28"/>
          <w:szCs w:val="28"/>
        </w:rPr>
        <w:t>pieslēgumu</w:t>
      </w:r>
      <w:proofErr w:type="spellEnd"/>
      <w:r w:rsidR="009223A0">
        <w:rPr>
          <w:sz w:val="28"/>
          <w:szCs w:val="28"/>
        </w:rPr>
        <w:t xml:space="preserve"> jaudai/strāvai (par</w:t>
      </w:r>
      <w:r w:rsidR="00106772">
        <w:rPr>
          <w:sz w:val="28"/>
          <w:szCs w:val="28"/>
        </w:rPr>
        <w:t xml:space="preserve"> objektu,</w:t>
      </w:r>
      <w:r w:rsidR="009223A0">
        <w:rPr>
          <w:sz w:val="28"/>
          <w:szCs w:val="28"/>
        </w:rPr>
        <w:t xml:space="preserve"> MW vai A) </w:t>
      </w:r>
      <w:r w:rsidR="009223A0" w:rsidRPr="004761FF">
        <w:rPr>
          <w:sz w:val="28"/>
          <w:szCs w:val="28"/>
        </w:rPr>
        <w:t>pēc sistēmas tarifu parauga</w:t>
      </w:r>
      <w:r w:rsidR="009223A0">
        <w:rPr>
          <w:sz w:val="28"/>
          <w:szCs w:val="28"/>
        </w:rPr>
        <w:t>.</w:t>
      </w:r>
    </w:p>
    <w:p w14:paraId="6A15EFEA" w14:textId="77777777" w:rsidR="00106772" w:rsidRDefault="005E770C" w:rsidP="00106772">
      <w:pPr>
        <w:spacing w:after="0" w:line="240" w:lineRule="auto"/>
        <w:ind w:firstLine="851"/>
        <w:rPr>
          <w:sz w:val="28"/>
          <w:szCs w:val="28"/>
        </w:rPr>
      </w:pPr>
      <w:r>
        <w:rPr>
          <w:sz w:val="28"/>
          <w:szCs w:val="28"/>
        </w:rPr>
        <w:lastRenderedPageBreak/>
        <w:t xml:space="preserve">Šī risinājuma rezultātā </w:t>
      </w:r>
      <w:r w:rsidRPr="005F0397">
        <w:rPr>
          <w:sz w:val="28"/>
          <w:szCs w:val="28"/>
        </w:rPr>
        <w:t xml:space="preserve">OIK </w:t>
      </w:r>
      <w:r>
        <w:rPr>
          <w:sz w:val="28"/>
          <w:szCs w:val="28"/>
        </w:rPr>
        <w:t xml:space="preserve">vidēji arī turpmāk līdz 2020. gada 31. martam </w:t>
      </w:r>
      <w:r w:rsidRPr="005F0397">
        <w:rPr>
          <w:sz w:val="28"/>
          <w:szCs w:val="28"/>
        </w:rPr>
        <w:t>tiek saglabāts 26,79 EUR/</w:t>
      </w:r>
      <w:proofErr w:type="spellStart"/>
      <w:r w:rsidRPr="005F0397">
        <w:rPr>
          <w:sz w:val="28"/>
          <w:szCs w:val="28"/>
        </w:rPr>
        <w:t>MWh</w:t>
      </w:r>
      <w:proofErr w:type="spellEnd"/>
      <w:r>
        <w:rPr>
          <w:sz w:val="28"/>
          <w:szCs w:val="28"/>
        </w:rPr>
        <w:t>, taču tas paredz faktisku OIK diferencēšanu</w:t>
      </w:r>
      <w:r w:rsidRPr="005F0397">
        <w:rPr>
          <w:sz w:val="28"/>
          <w:szCs w:val="28"/>
        </w:rPr>
        <w:t xml:space="preserve"> </w:t>
      </w:r>
      <w:r>
        <w:rPr>
          <w:sz w:val="28"/>
          <w:szCs w:val="28"/>
        </w:rPr>
        <w:t>starp lietotājiem</w:t>
      </w:r>
      <w:r w:rsidR="00106772">
        <w:rPr>
          <w:sz w:val="28"/>
          <w:szCs w:val="28"/>
        </w:rPr>
        <w:t xml:space="preserve">, atbilstoši to izvēlētajam elektroenerģijas </w:t>
      </w:r>
      <w:proofErr w:type="spellStart"/>
      <w:r w:rsidR="00106772">
        <w:rPr>
          <w:sz w:val="28"/>
          <w:szCs w:val="28"/>
        </w:rPr>
        <w:t>pieslēgumam</w:t>
      </w:r>
      <w:proofErr w:type="spellEnd"/>
      <w:r w:rsidR="00106772">
        <w:rPr>
          <w:sz w:val="28"/>
          <w:szCs w:val="28"/>
        </w:rPr>
        <w:t xml:space="preserve"> un šī </w:t>
      </w:r>
      <w:proofErr w:type="spellStart"/>
      <w:r w:rsidR="00106772">
        <w:rPr>
          <w:sz w:val="28"/>
          <w:szCs w:val="28"/>
        </w:rPr>
        <w:t>pieslēguma</w:t>
      </w:r>
      <w:proofErr w:type="spellEnd"/>
      <w:r w:rsidR="00106772">
        <w:rPr>
          <w:sz w:val="28"/>
          <w:szCs w:val="28"/>
        </w:rPr>
        <w:t xml:space="preserve"> izmantošanas efektivitātei</w:t>
      </w:r>
      <w:r w:rsidRPr="005F0397">
        <w:rPr>
          <w:sz w:val="28"/>
          <w:szCs w:val="28"/>
        </w:rPr>
        <w:t>.</w:t>
      </w:r>
    </w:p>
    <w:p w14:paraId="66A1CFD4" w14:textId="77777777" w:rsidR="000873CC" w:rsidRDefault="00106772" w:rsidP="00106772">
      <w:pPr>
        <w:spacing w:after="0" w:line="240" w:lineRule="auto"/>
        <w:ind w:firstLine="851"/>
        <w:rPr>
          <w:sz w:val="28"/>
          <w:szCs w:val="28"/>
        </w:rPr>
      </w:pPr>
      <w:r>
        <w:rPr>
          <w:sz w:val="28"/>
          <w:szCs w:val="28"/>
        </w:rPr>
        <w:t>Ieviešot šo risinājumu tiek prognozēts elektroenerģijas patēriņa pieaugums, tādējādi mazinot valsts budžeta dotācijas lielumu, lai nodrošinātu OIK izmaksas 26</w:t>
      </w:r>
      <w:r w:rsidR="007C65E6">
        <w:rPr>
          <w:sz w:val="28"/>
          <w:szCs w:val="28"/>
        </w:rPr>
        <w:t>,</w:t>
      </w:r>
      <w:r>
        <w:rPr>
          <w:sz w:val="28"/>
          <w:szCs w:val="28"/>
        </w:rPr>
        <w:t>79EUR/</w:t>
      </w:r>
      <w:proofErr w:type="spellStart"/>
      <w:r>
        <w:rPr>
          <w:sz w:val="28"/>
          <w:szCs w:val="28"/>
        </w:rPr>
        <w:t>MWh</w:t>
      </w:r>
      <w:proofErr w:type="spellEnd"/>
      <w:r>
        <w:rPr>
          <w:sz w:val="28"/>
          <w:szCs w:val="28"/>
        </w:rPr>
        <w:t xml:space="preserve"> līmenī, kā arī tiek prognozēts </w:t>
      </w:r>
      <w:r w:rsidR="0006373D">
        <w:rPr>
          <w:sz w:val="28"/>
          <w:szCs w:val="28"/>
        </w:rPr>
        <w:t xml:space="preserve">nepieciešamā finansējuma apjoma samazinājums </w:t>
      </w:r>
      <w:proofErr w:type="spellStart"/>
      <w:r w:rsidR="0006373D">
        <w:rPr>
          <w:sz w:val="28"/>
          <w:szCs w:val="28"/>
        </w:rPr>
        <w:t>energointensīvo</w:t>
      </w:r>
      <w:proofErr w:type="spellEnd"/>
      <w:r w:rsidR="0006373D">
        <w:rPr>
          <w:sz w:val="28"/>
          <w:szCs w:val="28"/>
        </w:rPr>
        <w:t xml:space="preserve"> uzņēmumu atbalstam</w:t>
      </w:r>
      <w:r w:rsidR="00BB787B">
        <w:rPr>
          <w:sz w:val="28"/>
          <w:szCs w:val="28"/>
        </w:rPr>
        <w:t xml:space="preserve"> </w:t>
      </w:r>
      <w:r w:rsidR="00BB787B" w:rsidRPr="005F0397">
        <w:rPr>
          <w:sz w:val="28"/>
          <w:szCs w:val="28"/>
        </w:rPr>
        <w:t>(</w:t>
      </w:r>
      <w:r w:rsidR="007C65E6" w:rsidRPr="005F0397">
        <w:rPr>
          <w:sz w:val="28"/>
          <w:szCs w:val="28"/>
        </w:rPr>
        <w:t>1</w:t>
      </w:r>
      <w:r w:rsidR="007C65E6">
        <w:rPr>
          <w:sz w:val="28"/>
          <w:szCs w:val="28"/>
        </w:rPr>
        <w:t>7</w:t>
      </w:r>
      <w:r w:rsidR="00BB787B" w:rsidRPr="005F0397">
        <w:rPr>
          <w:sz w:val="28"/>
          <w:szCs w:val="28"/>
        </w:rPr>
        <w:t>. tabula)</w:t>
      </w:r>
      <w:r>
        <w:rPr>
          <w:sz w:val="28"/>
          <w:szCs w:val="28"/>
        </w:rPr>
        <w:t xml:space="preserve">. </w:t>
      </w:r>
      <w:r w:rsidR="0006373D">
        <w:rPr>
          <w:sz w:val="28"/>
          <w:szCs w:val="28"/>
        </w:rPr>
        <w:t>Tādējādi paredzams būtisks efekts uz valsts budžeta izmaksām.</w:t>
      </w:r>
    </w:p>
    <w:p w14:paraId="68AEE077" w14:textId="77777777" w:rsidR="005E770C" w:rsidRDefault="000873CC" w:rsidP="005E770C">
      <w:pPr>
        <w:spacing w:after="0" w:line="240" w:lineRule="auto"/>
        <w:ind w:firstLine="851"/>
        <w:rPr>
          <w:sz w:val="28"/>
          <w:szCs w:val="28"/>
        </w:rPr>
      </w:pPr>
      <w:r>
        <w:rPr>
          <w:sz w:val="28"/>
          <w:szCs w:val="28"/>
        </w:rPr>
        <w:t>Viens no šī risinājuma pozitīvajiem blakusefektiem ir</w:t>
      </w:r>
      <w:r w:rsidR="005E770C">
        <w:rPr>
          <w:sz w:val="28"/>
          <w:szCs w:val="28"/>
        </w:rPr>
        <w:t xml:space="preserve"> O</w:t>
      </w:r>
      <w:r>
        <w:rPr>
          <w:sz w:val="28"/>
          <w:szCs w:val="28"/>
        </w:rPr>
        <w:t>IK maksājumu sloga papildus samazināšana</w:t>
      </w:r>
      <w:r w:rsidR="005E770C">
        <w:rPr>
          <w:sz w:val="28"/>
          <w:szCs w:val="28"/>
        </w:rPr>
        <w:t xml:space="preserve"> </w:t>
      </w:r>
      <w:r w:rsidR="00855D12">
        <w:rPr>
          <w:sz w:val="28"/>
          <w:szCs w:val="28"/>
        </w:rPr>
        <w:t>apstrādes rūpniecībai</w:t>
      </w:r>
      <w:r w:rsidR="00BA140D">
        <w:rPr>
          <w:sz w:val="28"/>
          <w:szCs w:val="28"/>
        </w:rPr>
        <w:t xml:space="preserve"> un daļai mājsaimniecību</w:t>
      </w:r>
      <w:r w:rsidR="005E770C">
        <w:rPr>
          <w:sz w:val="28"/>
          <w:szCs w:val="28"/>
        </w:rPr>
        <w:t>.</w:t>
      </w:r>
    </w:p>
    <w:p w14:paraId="17E61704" w14:textId="77777777" w:rsidR="007E79F0" w:rsidRDefault="007E79F0" w:rsidP="005E770C">
      <w:pPr>
        <w:spacing w:after="0" w:line="240" w:lineRule="auto"/>
        <w:ind w:firstLine="851"/>
        <w:rPr>
          <w:sz w:val="28"/>
          <w:szCs w:val="28"/>
        </w:rPr>
      </w:pPr>
    </w:p>
    <w:p w14:paraId="710DA980" w14:textId="77777777" w:rsidR="00FE3295" w:rsidRPr="00D116AC" w:rsidRDefault="007C65E6" w:rsidP="00FE3295">
      <w:pPr>
        <w:pStyle w:val="Caption"/>
        <w:keepNext/>
        <w:jc w:val="right"/>
        <w:rPr>
          <w:rFonts w:ascii="Times New Roman" w:hAnsi="Times New Roman"/>
          <w:sz w:val="24"/>
          <w:szCs w:val="24"/>
        </w:rPr>
      </w:pPr>
      <w:r>
        <w:rPr>
          <w:rFonts w:ascii="Times New Roman" w:hAnsi="Times New Roman"/>
          <w:sz w:val="24"/>
          <w:szCs w:val="24"/>
        </w:rPr>
        <w:t>17</w:t>
      </w:r>
      <w:r w:rsidR="00FE3295" w:rsidRPr="00D116AC">
        <w:rPr>
          <w:rFonts w:ascii="Times New Roman" w:hAnsi="Times New Roman"/>
          <w:sz w:val="24"/>
          <w:szCs w:val="24"/>
        </w:rPr>
        <w:t>.tabula</w:t>
      </w:r>
    </w:p>
    <w:p w14:paraId="342C846B" w14:textId="77777777" w:rsidR="00FE3295" w:rsidRPr="009E280D" w:rsidRDefault="00045F0A" w:rsidP="00FE3295">
      <w:pPr>
        <w:pStyle w:val="Caption"/>
        <w:keepNext/>
        <w:keepLines/>
        <w:widowControl/>
        <w:jc w:val="center"/>
        <w:rPr>
          <w:rFonts w:ascii="Times New Roman" w:hAnsi="Times New Roman"/>
          <w:sz w:val="24"/>
          <w:szCs w:val="24"/>
        </w:rPr>
      </w:pPr>
      <w:r>
        <w:rPr>
          <w:rFonts w:ascii="Times New Roman" w:hAnsi="Times New Roman"/>
          <w:sz w:val="24"/>
          <w:szCs w:val="24"/>
        </w:rPr>
        <w:t>3</w:t>
      </w:r>
      <w:r w:rsidR="00FE3295" w:rsidRPr="008932D4">
        <w:rPr>
          <w:rFonts w:ascii="Times New Roman" w:hAnsi="Times New Roman"/>
          <w:sz w:val="24"/>
          <w:szCs w:val="24"/>
        </w:rPr>
        <w:t>. risinājuma ietekme uz valsts budžetu</w:t>
      </w:r>
      <w:r w:rsidR="00FE3295">
        <w:rPr>
          <w:rFonts w:ascii="Times New Roman" w:hAnsi="Times New Roman"/>
          <w:sz w:val="24"/>
          <w:szCs w:val="24"/>
        </w:rPr>
        <w:t>, EUR</w:t>
      </w: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76"/>
        <w:gridCol w:w="1276"/>
        <w:gridCol w:w="1191"/>
        <w:gridCol w:w="1219"/>
        <w:gridCol w:w="1267"/>
        <w:gridCol w:w="1284"/>
        <w:gridCol w:w="1276"/>
        <w:gridCol w:w="1276"/>
      </w:tblGrid>
      <w:tr w:rsidR="00FE3295" w:rsidRPr="008932D4" w14:paraId="3BC3CB03" w14:textId="77777777" w:rsidTr="002E5C96">
        <w:trPr>
          <w:trHeight w:val="288"/>
        </w:trPr>
        <w:tc>
          <w:tcPr>
            <w:tcW w:w="4390" w:type="dxa"/>
            <w:shd w:val="clear" w:color="auto" w:fill="auto"/>
            <w:noWrap/>
            <w:vAlign w:val="center"/>
            <w:hideMark/>
          </w:tcPr>
          <w:p w14:paraId="2AE0CC85" w14:textId="77777777" w:rsidR="00FE3295" w:rsidRPr="008932D4" w:rsidRDefault="00FE3295" w:rsidP="005A635B">
            <w:pPr>
              <w:spacing w:after="0" w:line="240" w:lineRule="auto"/>
              <w:ind w:firstLine="34"/>
              <w:jc w:val="center"/>
              <w:rPr>
                <w:rFonts w:cs="Times New Roman"/>
                <w:b/>
                <w:bCs/>
                <w:sz w:val="20"/>
                <w:szCs w:val="20"/>
              </w:rPr>
            </w:pPr>
          </w:p>
        </w:tc>
        <w:tc>
          <w:tcPr>
            <w:tcW w:w="2552" w:type="dxa"/>
            <w:gridSpan w:val="2"/>
            <w:shd w:val="clear" w:color="auto" w:fill="auto"/>
            <w:noWrap/>
            <w:vAlign w:val="center"/>
            <w:hideMark/>
          </w:tcPr>
          <w:p w14:paraId="0D12E761"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2016</w:t>
            </w:r>
          </w:p>
        </w:tc>
        <w:tc>
          <w:tcPr>
            <w:tcW w:w="2410" w:type="dxa"/>
            <w:gridSpan w:val="2"/>
            <w:shd w:val="clear" w:color="auto" w:fill="auto"/>
            <w:noWrap/>
            <w:vAlign w:val="center"/>
            <w:hideMark/>
          </w:tcPr>
          <w:p w14:paraId="29433EA5"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2017</w:t>
            </w:r>
          </w:p>
        </w:tc>
        <w:tc>
          <w:tcPr>
            <w:tcW w:w="2551" w:type="dxa"/>
            <w:gridSpan w:val="2"/>
            <w:shd w:val="clear" w:color="auto" w:fill="auto"/>
            <w:noWrap/>
            <w:vAlign w:val="center"/>
            <w:hideMark/>
          </w:tcPr>
          <w:p w14:paraId="13C70195" w14:textId="77777777" w:rsidR="00FE3295" w:rsidRPr="008932D4" w:rsidRDefault="00FE3295" w:rsidP="005A635B">
            <w:pPr>
              <w:spacing w:after="0" w:line="240" w:lineRule="auto"/>
              <w:ind w:firstLine="34"/>
              <w:jc w:val="center"/>
              <w:rPr>
                <w:rFonts w:cs="Times New Roman"/>
                <w:b/>
                <w:bCs/>
                <w:sz w:val="20"/>
                <w:szCs w:val="20"/>
              </w:rPr>
            </w:pPr>
            <w:r>
              <w:rPr>
                <w:rFonts w:cs="Times New Roman"/>
                <w:b/>
                <w:bCs/>
                <w:sz w:val="20"/>
                <w:szCs w:val="20"/>
              </w:rPr>
              <w:t>2</w:t>
            </w:r>
            <w:r w:rsidRPr="008932D4">
              <w:rPr>
                <w:rFonts w:cs="Times New Roman"/>
                <w:b/>
                <w:bCs/>
                <w:sz w:val="20"/>
                <w:szCs w:val="20"/>
              </w:rPr>
              <w:t>018</w:t>
            </w:r>
          </w:p>
        </w:tc>
        <w:tc>
          <w:tcPr>
            <w:tcW w:w="1276" w:type="dxa"/>
            <w:shd w:val="clear" w:color="auto" w:fill="auto"/>
            <w:vAlign w:val="center"/>
          </w:tcPr>
          <w:p w14:paraId="54946919" w14:textId="77777777" w:rsidR="00FE3295" w:rsidRPr="008932D4" w:rsidRDefault="00FE3295" w:rsidP="005A635B">
            <w:pPr>
              <w:spacing w:after="0" w:line="240" w:lineRule="auto"/>
              <w:ind w:firstLine="34"/>
              <w:jc w:val="center"/>
              <w:rPr>
                <w:rFonts w:cs="Times New Roman"/>
                <w:b/>
                <w:bCs/>
                <w:sz w:val="20"/>
                <w:szCs w:val="20"/>
              </w:rPr>
            </w:pPr>
            <w:r>
              <w:rPr>
                <w:rFonts w:cs="Times New Roman"/>
                <w:b/>
                <w:bCs/>
                <w:sz w:val="20"/>
                <w:szCs w:val="20"/>
              </w:rPr>
              <w:t>2019</w:t>
            </w:r>
          </w:p>
        </w:tc>
        <w:tc>
          <w:tcPr>
            <w:tcW w:w="1276" w:type="dxa"/>
            <w:tcBorders>
              <w:bottom w:val="single" w:sz="4" w:space="0" w:color="auto"/>
            </w:tcBorders>
            <w:vAlign w:val="center"/>
          </w:tcPr>
          <w:p w14:paraId="5C90D838" w14:textId="77777777" w:rsidR="00FE3295" w:rsidRDefault="00FE3295" w:rsidP="005A635B">
            <w:pPr>
              <w:spacing w:after="0" w:line="240" w:lineRule="auto"/>
              <w:ind w:firstLine="34"/>
              <w:jc w:val="center"/>
              <w:rPr>
                <w:rFonts w:cs="Times New Roman"/>
                <w:b/>
                <w:bCs/>
                <w:sz w:val="20"/>
                <w:szCs w:val="20"/>
              </w:rPr>
            </w:pPr>
            <w:r>
              <w:rPr>
                <w:rFonts w:cs="Times New Roman"/>
                <w:b/>
                <w:bCs/>
                <w:sz w:val="20"/>
                <w:szCs w:val="20"/>
              </w:rPr>
              <w:t>2020</w:t>
            </w:r>
          </w:p>
        </w:tc>
      </w:tr>
      <w:tr w:rsidR="00FE3295" w:rsidRPr="008932D4" w14:paraId="7C8248D1" w14:textId="77777777" w:rsidTr="002E5C96">
        <w:trPr>
          <w:trHeight w:val="288"/>
        </w:trPr>
        <w:tc>
          <w:tcPr>
            <w:tcW w:w="4390" w:type="dxa"/>
            <w:shd w:val="clear" w:color="auto" w:fill="auto"/>
            <w:noWrap/>
            <w:vAlign w:val="center"/>
            <w:hideMark/>
          </w:tcPr>
          <w:p w14:paraId="615016CB" w14:textId="77777777" w:rsidR="00FE3295" w:rsidRPr="008932D4" w:rsidRDefault="00FE3295" w:rsidP="005A635B">
            <w:pPr>
              <w:spacing w:after="0" w:line="240" w:lineRule="auto"/>
              <w:ind w:firstLine="34"/>
              <w:jc w:val="center"/>
              <w:rPr>
                <w:rFonts w:cs="Times New Roman"/>
                <w:b/>
                <w:bCs/>
                <w:sz w:val="20"/>
                <w:szCs w:val="20"/>
              </w:rPr>
            </w:pPr>
          </w:p>
        </w:tc>
        <w:tc>
          <w:tcPr>
            <w:tcW w:w="1276" w:type="dxa"/>
            <w:shd w:val="clear" w:color="auto" w:fill="auto"/>
            <w:noWrap/>
            <w:vAlign w:val="center"/>
            <w:hideMark/>
          </w:tcPr>
          <w:p w14:paraId="58874861" w14:textId="77777777" w:rsidR="00FE3295" w:rsidRPr="008932D4" w:rsidRDefault="00FE3295" w:rsidP="005A635B">
            <w:pPr>
              <w:spacing w:after="0" w:line="240" w:lineRule="auto"/>
              <w:ind w:firstLine="34"/>
              <w:jc w:val="center"/>
              <w:rPr>
                <w:rFonts w:cs="Times New Roman"/>
                <w:b/>
                <w:bCs/>
                <w:sz w:val="20"/>
                <w:szCs w:val="20"/>
              </w:rPr>
            </w:pPr>
            <w:r>
              <w:rPr>
                <w:rFonts w:cs="Times New Roman"/>
                <w:b/>
                <w:bCs/>
                <w:sz w:val="20"/>
                <w:szCs w:val="20"/>
              </w:rPr>
              <w:t>Budžets</w:t>
            </w:r>
          </w:p>
        </w:tc>
        <w:tc>
          <w:tcPr>
            <w:tcW w:w="1276" w:type="dxa"/>
            <w:shd w:val="clear" w:color="auto" w:fill="auto"/>
            <w:noWrap/>
            <w:vAlign w:val="center"/>
            <w:hideMark/>
          </w:tcPr>
          <w:p w14:paraId="58F09AE3"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191" w:type="dxa"/>
            <w:shd w:val="clear" w:color="auto" w:fill="auto"/>
            <w:noWrap/>
            <w:vAlign w:val="center"/>
            <w:hideMark/>
          </w:tcPr>
          <w:p w14:paraId="2172D4A7" w14:textId="77777777" w:rsidR="00FE3295" w:rsidRPr="008932D4" w:rsidRDefault="00FE3295" w:rsidP="005A635B">
            <w:pPr>
              <w:spacing w:after="0" w:line="240" w:lineRule="auto"/>
              <w:ind w:firstLine="34"/>
              <w:jc w:val="center"/>
              <w:rPr>
                <w:rFonts w:cs="Times New Roman"/>
                <w:b/>
                <w:bCs/>
                <w:sz w:val="20"/>
                <w:szCs w:val="20"/>
              </w:rPr>
            </w:pPr>
            <w:r>
              <w:rPr>
                <w:rFonts w:cs="Times New Roman"/>
                <w:b/>
                <w:bCs/>
                <w:sz w:val="20"/>
                <w:szCs w:val="20"/>
              </w:rPr>
              <w:t>2015. gada prognoze</w:t>
            </w:r>
          </w:p>
        </w:tc>
        <w:tc>
          <w:tcPr>
            <w:tcW w:w="1219" w:type="dxa"/>
            <w:shd w:val="clear" w:color="auto" w:fill="auto"/>
            <w:noWrap/>
            <w:vAlign w:val="center"/>
            <w:hideMark/>
          </w:tcPr>
          <w:p w14:paraId="4D54CA82"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67" w:type="dxa"/>
            <w:shd w:val="clear" w:color="auto" w:fill="auto"/>
            <w:noWrap/>
            <w:vAlign w:val="center"/>
            <w:hideMark/>
          </w:tcPr>
          <w:p w14:paraId="48E9ADC6" w14:textId="77777777" w:rsidR="00FE3295" w:rsidRPr="008932D4" w:rsidRDefault="00FE3295" w:rsidP="005A635B">
            <w:pPr>
              <w:spacing w:after="0" w:line="240" w:lineRule="auto"/>
              <w:ind w:firstLine="34"/>
              <w:jc w:val="center"/>
              <w:rPr>
                <w:rFonts w:cs="Times New Roman"/>
                <w:b/>
                <w:bCs/>
                <w:sz w:val="20"/>
                <w:szCs w:val="20"/>
              </w:rPr>
            </w:pPr>
            <w:r>
              <w:rPr>
                <w:rFonts w:cs="Times New Roman"/>
                <w:b/>
                <w:bCs/>
                <w:sz w:val="20"/>
                <w:szCs w:val="20"/>
              </w:rPr>
              <w:t>2015. gada prognoze</w:t>
            </w:r>
          </w:p>
        </w:tc>
        <w:tc>
          <w:tcPr>
            <w:tcW w:w="1284" w:type="dxa"/>
            <w:shd w:val="clear" w:color="auto" w:fill="auto"/>
            <w:noWrap/>
            <w:vAlign w:val="center"/>
            <w:hideMark/>
          </w:tcPr>
          <w:p w14:paraId="47BC68E2"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76" w:type="dxa"/>
            <w:tcBorders>
              <w:bottom w:val="single" w:sz="4" w:space="0" w:color="auto"/>
            </w:tcBorders>
            <w:shd w:val="clear" w:color="auto" w:fill="auto"/>
            <w:noWrap/>
            <w:vAlign w:val="center"/>
            <w:hideMark/>
          </w:tcPr>
          <w:p w14:paraId="22108BC8"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prognoze</w:t>
            </w:r>
          </w:p>
        </w:tc>
        <w:tc>
          <w:tcPr>
            <w:tcW w:w="1276" w:type="dxa"/>
            <w:tcBorders>
              <w:bottom w:val="single" w:sz="4" w:space="0" w:color="auto"/>
            </w:tcBorders>
            <w:vAlign w:val="center"/>
          </w:tcPr>
          <w:p w14:paraId="6FCF3DC9" w14:textId="77777777" w:rsidR="00FE3295" w:rsidRPr="008932D4" w:rsidRDefault="00FE3295" w:rsidP="005A635B">
            <w:pPr>
              <w:spacing w:after="0" w:line="240" w:lineRule="auto"/>
              <w:ind w:firstLine="34"/>
              <w:jc w:val="center"/>
              <w:rPr>
                <w:rFonts w:cs="Times New Roman"/>
                <w:b/>
                <w:bCs/>
                <w:sz w:val="20"/>
                <w:szCs w:val="20"/>
              </w:rPr>
            </w:pPr>
            <w:r w:rsidRPr="008932D4">
              <w:rPr>
                <w:rFonts w:cs="Times New Roman"/>
                <w:b/>
                <w:bCs/>
                <w:sz w:val="20"/>
                <w:szCs w:val="20"/>
              </w:rPr>
              <w:t>prognoze</w:t>
            </w:r>
          </w:p>
        </w:tc>
      </w:tr>
      <w:tr w:rsidR="00393FA6" w:rsidRPr="008932D4" w14:paraId="2F4C7F8A" w14:textId="77777777" w:rsidTr="00393FA6">
        <w:trPr>
          <w:trHeight w:val="288"/>
        </w:trPr>
        <w:tc>
          <w:tcPr>
            <w:tcW w:w="4390" w:type="dxa"/>
            <w:shd w:val="clear" w:color="auto" w:fill="auto"/>
            <w:noWrap/>
            <w:vAlign w:val="bottom"/>
            <w:hideMark/>
          </w:tcPr>
          <w:p w14:paraId="2D30836C" w14:textId="77777777" w:rsidR="00393FA6" w:rsidRPr="002E5C96" w:rsidRDefault="00393FA6" w:rsidP="00393FA6">
            <w:pPr>
              <w:spacing w:after="0" w:line="240" w:lineRule="auto"/>
              <w:ind w:firstLine="34"/>
              <w:jc w:val="center"/>
              <w:rPr>
                <w:rFonts w:cs="Times New Roman"/>
                <w:b/>
                <w:bCs/>
                <w:sz w:val="20"/>
                <w:szCs w:val="20"/>
              </w:rPr>
            </w:pPr>
            <w:r w:rsidRPr="002E5C96">
              <w:rPr>
                <w:rFonts w:cs="Times New Roman"/>
                <w:b/>
                <w:bCs/>
                <w:sz w:val="20"/>
                <w:szCs w:val="20"/>
              </w:rPr>
              <w:t>Valsts budžeta izdevumi</w:t>
            </w:r>
          </w:p>
        </w:tc>
        <w:tc>
          <w:tcPr>
            <w:tcW w:w="1276" w:type="dxa"/>
            <w:shd w:val="clear" w:color="auto" w:fill="auto"/>
            <w:noWrap/>
            <w:vAlign w:val="center"/>
            <w:hideMark/>
          </w:tcPr>
          <w:p w14:paraId="392E85B3"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68 624 945</w:t>
            </w:r>
          </w:p>
        </w:tc>
        <w:tc>
          <w:tcPr>
            <w:tcW w:w="1276" w:type="dxa"/>
            <w:shd w:val="clear" w:color="auto" w:fill="auto"/>
            <w:noWrap/>
            <w:vAlign w:val="center"/>
            <w:hideMark/>
          </w:tcPr>
          <w:p w14:paraId="48CBF819"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65 206 351</w:t>
            </w:r>
          </w:p>
        </w:tc>
        <w:tc>
          <w:tcPr>
            <w:tcW w:w="1191" w:type="dxa"/>
            <w:shd w:val="clear" w:color="auto" w:fill="auto"/>
            <w:noWrap/>
            <w:vAlign w:val="center"/>
            <w:hideMark/>
          </w:tcPr>
          <w:p w14:paraId="53F9A947"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96 652 651</w:t>
            </w:r>
          </w:p>
        </w:tc>
        <w:tc>
          <w:tcPr>
            <w:tcW w:w="1219" w:type="dxa"/>
            <w:shd w:val="clear" w:color="auto" w:fill="auto"/>
            <w:noWrap/>
            <w:vAlign w:val="center"/>
            <w:hideMark/>
          </w:tcPr>
          <w:p w14:paraId="2BDFEC99"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78 806 224</w:t>
            </w:r>
          </w:p>
        </w:tc>
        <w:tc>
          <w:tcPr>
            <w:tcW w:w="1267" w:type="dxa"/>
            <w:tcBorders>
              <w:top w:val="single" w:sz="4" w:space="0" w:color="auto"/>
            </w:tcBorders>
            <w:shd w:val="clear" w:color="auto" w:fill="auto"/>
            <w:noWrap/>
            <w:vAlign w:val="center"/>
            <w:hideMark/>
          </w:tcPr>
          <w:p w14:paraId="48848153"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108 995 316</w:t>
            </w:r>
          </w:p>
        </w:tc>
        <w:tc>
          <w:tcPr>
            <w:tcW w:w="1284" w:type="dxa"/>
            <w:tcBorders>
              <w:top w:val="single" w:sz="4" w:space="0" w:color="auto"/>
            </w:tcBorders>
            <w:shd w:val="clear" w:color="auto" w:fill="auto"/>
            <w:noWrap/>
            <w:vAlign w:val="center"/>
            <w:hideMark/>
          </w:tcPr>
          <w:p w14:paraId="1E621B88"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87 272 417</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34C6E3BC" w14:textId="77777777" w:rsidR="00393FA6" w:rsidRPr="00393FA6" w:rsidRDefault="00393FA6" w:rsidP="00393FA6">
            <w:pPr>
              <w:spacing w:after="0" w:line="240" w:lineRule="auto"/>
              <w:ind w:firstLine="34"/>
              <w:jc w:val="center"/>
              <w:rPr>
                <w:rFonts w:cs="Times New Roman"/>
                <w:b/>
                <w:bCs/>
                <w:color w:val="000000"/>
                <w:sz w:val="20"/>
              </w:rPr>
            </w:pPr>
            <w:r w:rsidRPr="00393FA6">
              <w:rPr>
                <w:rFonts w:cs="Times New Roman"/>
                <w:b/>
                <w:bCs/>
                <w:color w:val="000000"/>
                <w:sz w:val="20"/>
              </w:rPr>
              <w:t>89 241 761</w:t>
            </w:r>
          </w:p>
        </w:tc>
        <w:tc>
          <w:tcPr>
            <w:tcW w:w="1276" w:type="dxa"/>
            <w:tcBorders>
              <w:top w:val="single" w:sz="4" w:space="0" w:color="auto"/>
              <w:left w:val="single" w:sz="4" w:space="0" w:color="auto"/>
              <w:bottom w:val="single" w:sz="4" w:space="0" w:color="auto"/>
              <w:right w:val="nil"/>
            </w:tcBorders>
          </w:tcPr>
          <w:p w14:paraId="4D1B6708" w14:textId="77777777" w:rsidR="00393FA6" w:rsidRPr="008932D4" w:rsidRDefault="00393FA6" w:rsidP="00393FA6">
            <w:pPr>
              <w:spacing w:after="0" w:line="240" w:lineRule="auto"/>
              <w:ind w:firstLine="34"/>
              <w:jc w:val="center"/>
              <w:rPr>
                <w:rFonts w:cs="Times New Roman"/>
                <w:b/>
                <w:bCs/>
                <w:sz w:val="20"/>
                <w:szCs w:val="20"/>
              </w:rPr>
            </w:pPr>
          </w:p>
        </w:tc>
      </w:tr>
      <w:tr w:rsidR="005B54FE" w:rsidRPr="005B54FE" w14:paraId="36F5F817" w14:textId="77777777" w:rsidTr="005B54FE">
        <w:trPr>
          <w:trHeight w:val="288"/>
        </w:trPr>
        <w:tc>
          <w:tcPr>
            <w:tcW w:w="4390" w:type="dxa"/>
            <w:shd w:val="clear" w:color="auto" w:fill="auto"/>
            <w:noWrap/>
            <w:vAlign w:val="bottom"/>
          </w:tcPr>
          <w:p w14:paraId="24C59E9C" w14:textId="77777777" w:rsidR="005B54FE" w:rsidRPr="002E5C96" w:rsidRDefault="005B54FE" w:rsidP="005B54FE">
            <w:pPr>
              <w:spacing w:after="0" w:line="240" w:lineRule="auto"/>
              <w:ind w:firstLine="34"/>
              <w:rPr>
                <w:rFonts w:cs="Times New Roman"/>
                <w:sz w:val="20"/>
                <w:szCs w:val="20"/>
              </w:rPr>
            </w:pPr>
            <w:r w:rsidRPr="002E5C96">
              <w:rPr>
                <w:rFonts w:cs="Times New Roman"/>
                <w:sz w:val="20"/>
                <w:szCs w:val="20"/>
              </w:rPr>
              <w:t>OIK dotācija par 1. ceturksni</w:t>
            </w:r>
          </w:p>
        </w:tc>
        <w:tc>
          <w:tcPr>
            <w:tcW w:w="1276" w:type="dxa"/>
            <w:shd w:val="clear" w:color="auto" w:fill="auto"/>
            <w:noWrap/>
            <w:vAlign w:val="center"/>
          </w:tcPr>
          <w:p w14:paraId="4C629978"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0</w:t>
            </w:r>
          </w:p>
        </w:tc>
        <w:tc>
          <w:tcPr>
            <w:tcW w:w="1276" w:type="dxa"/>
            <w:shd w:val="clear" w:color="auto" w:fill="auto"/>
            <w:noWrap/>
            <w:vAlign w:val="center"/>
          </w:tcPr>
          <w:p w14:paraId="7DA65F6A"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0</w:t>
            </w:r>
          </w:p>
        </w:tc>
        <w:tc>
          <w:tcPr>
            <w:tcW w:w="1191" w:type="dxa"/>
            <w:shd w:val="clear" w:color="auto" w:fill="auto"/>
            <w:noWrap/>
            <w:vAlign w:val="center"/>
          </w:tcPr>
          <w:p w14:paraId="72A76901"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19 897 815</w:t>
            </w:r>
          </w:p>
        </w:tc>
        <w:tc>
          <w:tcPr>
            <w:tcW w:w="1219" w:type="dxa"/>
            <w:shd w:val="clear" w:color="auto" w:fill="auto"/>
            <w:noWrap/>
            <w:vAlign w:val="center"/>
          </w:tcPr>
          <w:p w14:paraId="1B74432D"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19 729 623</w:t>
            </w:r>
          </w:p>
        </w:tc>
        <w:tc>
          <w:tcPr>
            <w:tcW w:w="1267" w:type="dxa"/>
            <w:shd w:val="clear" w:color="auto" w:fill="auto"/>
            <w:noWrap/>
            <w:vAlign w:val="center"/>
          </w:tcPr>
          <w:p w14:paraId="5641D9E8"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sz w:val="20"/>
              </w:rPr>
              <w:t>20 384 071</w:t>
            </w:r>
          </w:p>
        </w:tc>
        <w:tc>
          <w:tcPr>
            <w:tcW w:w="1284" w:type="dxa"/>
            <w:shd w:val="clear" w:color="auto" w:fill="auto"/>
            <w:noWrap/>
            <w:vAlign w:val="center"/>
          </w:tcPr>
          <w:p w14:paraId="37517AD7"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16 116 825</w:t>
            </w:r>
          </w:p>
        </w:tc>
        <w:tc>
          <w:tcPr>
            <w:tcW w:w="1276" w:type="dxa"/>
            <w:shd w:val="clear" w:color="auto" w:fill="auto"/>
            <w:noWrap/>
            <w:vAlign w:val="center"/>
          </w:tcPr>
          <w:p w14:paraId="4BE2509D"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18 912 180</w:t>
            </w:r>
          </w:p>
        </w:tc>
        <w:tc>
          <w:tcPr>
            <w:tcW w:w="1276" w:type="dxa"/>
            <w:tcBorders>
              <w:top w:val="single" w:sz="4" w:space="0" w:color="auto"/>
              <w:bottom w:val="single" w:sz="4" w:space="0" w:color="auto"/>
            </w:tcBorders>
            <w:vAlign w:val="center"/>
          </w:tcPr>
          <w:p w14:paraId="443B6DF4" w14:textId="77777777" w:rsidR="005B54FE" w:rsidRPr="005B54FE" w:rsidRDefault="005B54FE" w:rsidP="005B54FE">
            <w:pPr>
              <w:spacing w:after="0" w:line="240" w:lineRule="auto"/>
              <w:jc w:val="center"/>
              <w:rPr>
                <w:rFonts w:cs="Times New Roman"/>
                <w:color w:val="000000"/>
                <w:sz w:val="20"/>
              </w:rPr>
            </w:pPr>
            <w:r w:rsidRPr="005B54FE">
              <w:rPr>
                <w:rFonts w:cs="Times New Roman"/>
                <w:color w:val="000000"/>
                <w:sz w:val="20"/>
              </w:rPr>
              <w:t>19 803 510</w:t>
            </w:r>
          </w:p>
        </w:tc>
      </w:tr>
      <w:tr w:rsidR="005B54FE" w:rsidRPr="008932D4" w14:paraId="2463A05B" w14:textId="77777777" w:rsidTr="005B54FE">
        <w:trPr>
          <w:trHeight w:val="288"/>
        </w:trPr>
        <w:tc>
          <w:tcPr>
            <w:tcW w:w="4390" w:type="dxa"/>
            <w:shd w:val="clear" w:color="auto" w:fill="auto"/>
            <w:noWrap/>
            <w:vAlign w:val="bottom"/>
          </w:tcPr>
          <w:p w14:paraId="153B6B04" w14:textId="77777777" w:rsidR="005B54FE" w:rsidRPr="002E5C96" w:rsidRDefault="005B54FE" w:rsidP="005B54FE">
            <w:pPr>
              <w:spacing w:after="0" w:line="240" w:lineRule="auto"/>
              <w:ind w:firstLine="34"/>
              <w:rPr>
                <w:rFonts w:cs="Times New Roman"/>
                <w:sz w:val="20"/>
                <w:szCs w:val="20"/>
              </w:rPr>
            </w:pPr>
            <w:r w:rsidRPr="002E5C96">
              <w:rPr>
                <w:rFonts w:cs="Times New Roman"/>
                <w:sz w:val="20"/>
                <w:szCs w:val="20"/>
              </w:rPr>
              <w:t>OIK dotācija par 2.–4. ceturksni</w:t>
            </w:r>
          </w:p>
        </w:tc>
        <w:tc>
          <w:tcPr>
            <w:tcW w:w="1276" w:type="dxa"/>
            <w:shd w:val="clear" w:color="auto" w:fill="auto"/>
            <w:noWrap/>
            <w:vAlign w:val="center"/>
          </w:tcPr>
          <w:p w14:paraId="23853812" w14:textId="77777777" w:rsidR="005B54FE" w:rsidRPr="005B54FE" w:rsidRDefault="005B54FE" w:rsidP="005B54FE">
            <w:pPr>
              <w:spacing w:after="0" w:line="240" w:lineRule="auto"/>
              <w:ind w:firstLine="34"/>
              <w:jc w:val="center"/>
              <w:rPr>
                <w:rFonts w:cs="Times New Roman"/>
                <w:sz w:val="20"/>
              </w:rPr>
            </w:pPr>
            <w:r w:rsidRPr="005B54FE">
              <w:rPr>
                <w:rFonts w:cs="Times New Roman"/>
                <w:color w:val="000000"/>
                <w:sz w:val="20"/>
              </w:rPr>
              <w:t>59 693 445</w:t>
            </w:r>
          </w:p>
        </w:tc>
        <w:tc>
          <w:tcPr>
            <w:tcW w:w="1276" w:type="dxa"/>
            <w:shd w:val="clear" w:color="auto" w:fill="auto"/>
            <w:noWrap/>
            <w:vAlign w:val="center"/>
          </w:tcPr>
          <w:p w14:paraId="48C4C62F" w14:textId="77777777" w:rsidR="005B54FE" w:rsidRPr="005B54FE" w:rsidRDefault="005B54FE" w:rsidP="005B54FE">
            <w:pPr>
              <w:spacing w:after="0" w:line="240" w:lineRule="auto"/>
              <w:ind w:firstLine="34"/>
              <w:jc w:val="center"/>
              <w:rPr>
                <w:rFonts w:cs="Times New Roman"/>
                <w:sz w:val="20"/>
              </w:rPr>
            </w:pPr>
            <w:r w:rsidRPr="005B54FE">
              <w:rPr>
                <w:rFonts w:cs="Times New Roman"/>
                <w:color w:val="000000"/>
                <w:sz w:val="20"/>
              </w:rPr>
              <w:t>59 188 869</w:t>
            </w:r>
          </w:p>
        </w:tc>
        <w:tc>
          <w:tcPr>
            <w:tcW w:w="1191" w:type="dxa"/>
            <w:shd w:val="clear" w:color="auto" w:fill="auto"/>
            <w:noWrap/>
            <w:vAlign w:val="center"/>
          </w:tcPr>
          <w:p w14:paraId="3FF3C307" w14:textId="77777777" w:rsidR="005B54FE" w:rsidRPr="005B54FE" w:rsidRDefault="005B54FE" w:rsidP="005B54FE">
            <w:pPr>
              <w:spacing w:after="0" w:line="240" w:lineRule="auto"/>
              <w:ind w:firstLine="34"/>
              <w:jc w:val="center"/>
              <w:rPr>
                <w:rFonts w:cs="Times New Roman"/>
                <w:sz w:val="20"/>
              </w:rPr>
            </w:pPr>
            <w:r w:rsidRPr="005B54FE">
              <w:rPr>
                <w:rFonts w:cs="Times New Roman"/>
                <w:color w:val="000000"/>
                <w:sz w:val="20"/>
              </w:rPr>
              <w:t>61 152 212</w:t>
            </w:r>
          </w:p>
        </w:tc>
        <w:tc>
          <w:tcPr>
            <w:tcW w:w="1219" w:type="dxa"/>
            <w:shd w:val="clear" w:color="auto" w:fill="auto"/>
            <w:noWrap/>
            <w:vAlign w:val="center"/>
          </w:tcPr>
          <w:p w14:paraId="058DC81A" w14:textId="77777777" w:rsidR="005B54FE" w:rsidRPr="005B54FE" w:rsidRDefault="005B54FE" w:rsidP="005B54FE">
            <w:pPr>
              <w:spacing w:after="0" w:line="240" w:lineRule="auto"/>
              <w:ind w:firstLine="34"/>
              <w:jc w:val="center"/>
              <w:rPr>
                <w:rFonts w:cs="Times New Roman"/>
                <w:sz w:val="20"/>
              </w:rPr>
            </w:pPr>
            <w:r w:rsidRPr="005B54FE">
              <w:rPr>
                <w:rFonts w:cs="Times New Roman"/>
                <w:color w:val="000000"/>
                <w:sz w:val="20"/>
              </w:rPr>
              <w:t>48 350 476</w:t>
            </w:r>
          </w:p>
        </w:tc>
        <w:tc>
          <w:tcPr>
            <w:tcW w:w="1267" w:type="dxa"/>
            <w:shd w:val="clear" w:color="auto" w:fill="auto"/>
            <w:noWrap/>
            <w:vAlign w:val="center"/>
          </w:tcPr>
          <w:p w14:paraId="2B4237C8" w14:textId="77777777" w:rsidR="005B54FE" w:rsidRPr="005B54FE" w:rsidRDefault="005B54FE" w:rsidP="005B54FE">
            <w:pPr>
              <w:spacing w:after="0" w:line="240" w:lineRule="auto"/>
              <w:ind w:firstLine="34"/>
              <w:jc w:val="center"/>
              <w:rPr>
                <w:rFonts w:cs="Times New Roman"/>
                <w:sz w:val="20"/>
              </w:rPr>
            </w:pPr>
            <w:r w:rsidRPr="005B54FE">
              <w:rPr>
                <w:rFonts w:cs="Times New Roman"/>
                <w:sz w:val="20"/>
              </w:rPr>
              <w:t>69 508 621</w:t>
            </w:r>
          </w:p>
        </w:tc>
        <w:tc>
          <w:tcPr>
            <w:tcW w:w="1284" w:type="dxa"/>
            <w:shd w:val="clear" w:color="auto" w:fill="auto"/>
            <w:noWrap/>
            <w:vAlign w:val="center"/>
          </w:tcPr>
          <w:p w14:paraId="2662BF30" w14:textId="77777777" w:rsidR="005B54FE" w:rsidRPr="005B54FE" w:rsidRDefault="005B54FE" w:rsidP="005B54FE">
            <w:pPr>
              <w:spacing w:after="0" w:line="240" w:lineRule="auto"/>
              <w:ind w:firstLine="34"/>
              <w:jc w:val="center"/>
              <w:rPr>
                <w:rFonts w:cs="Times New Roman"/>
                <w:sz w:val="20"/>
              </w:rPr>
            </w:pPr>
            <w:r w:rsidRPr="005B54FE">
              <w:rPr>
                <w:rFonts w:cs="Times New Roman"/>
                <w:color w:val="000000"/>
                <w:sz w:val="20"/>
              </w:rPr>
              <w:t>56 736 539</w:t>
            </w:r>
          </w:p>
        </w:tc>
        <w:tc>
          <w:tcPr>
            <w:tcW w:w="1276" w:type="dxa"/>
            <w:tcBorders>
              <w:right w:val="single" w:sz="4" w:space="0" w:color="auto"/>
            </w:tcBorders>
            <w:shd w:val="clear" w:color="auto" w:fill="auto"/>
            <w:noWrap/>
            <w:vAlign w:val="center"/>
          </w:tcPr>
          <w:p w14:paraId="354D4B83" w14:textId="77777777" w:rsidR="005B54FE" w:rsidRPr="005B54FE" w:rsidRDefault="005B54FE" w:rsidP="005B54FE">
            <w:pPr>
              <w:spacing w:after="0" w:line="240" w:lineRule="auto"/>
              <w:ind w:firstLine="34"/>
              <w:jc w:val="center"/>
              <w:rPr>
                <w:rFonts w:cs="Times New Roman"/>
                <w:sz w:val="20"/>
              </w:rPr>
            </w:pPr>
            <w:r w:rsidRPr="005B54FE">
              <w:rPr>
                <w:rFonts w:cs="Times New Roman"/>
                <w:color w:val="000000"/>
                <w:sz w:val="20"/>
              </w:rPr>
              <w:t>59 410 529</w:t>
            </w:r>
          </w:p>
        </w:tc>
        <w:tc>
          <w:tcPr>
            <w:tcW w:w="1276" w:type="dxa"/>
            <w:vMerge w:val="restart"/>
            <w:tcBorders>
              <w:top w:val="single" w:sz="4" w:space="0" w:color="auto"/>
              <w:left w:val="single" w:sz="4" w:space="0" w:color="auto"/>
              <w:bottom w:val="nil"/>
              <w:right w:val="nil"/>
            </w:tcBorders>
          </w:tcPr>
          <w:p w14:paraId="7156A778" w14:textId="77777777" w:rsidR="005B54FE" w:rsidRPr="008932D4" w:rsidRDefault="005B54FE" w:rsidP="005B54FE">
            <w:pPr>
              <w:spacing w:after="0" w:line="240" w:lineRule="auto"/>
              <w:ind w:firstLine="34"/>
              <w:rPr>
                <w:rFonts w:cs="Times New Roman"/>
                <w:sz w:val="20"/>
                <w:szCs w:val="20"/>
              </w:rPr>
            </w:pPr>
          </w:p>
        </w:tc>
      </w:tr>
      <w:tr w:rsidR="00FE3295" w:rsidRPr="008932D4" w14:paraId="3697FE33" w14:textId="77777777" w:rsidTr="000C31C0">
        <w:trPr>
          <w:trHeight w:val="359"/>
        </w:trPr>
        <w:tc>
          <w:tcPr>
            <w:tcW w:w="4390" w:type="dxa"/>
            <w:shd w:val="clear" w:color="auto" w:fill="auto"/>
            <w:noWrap/>
            <w:vAlign w:val="bottom"/>
            <w:hideMark/>
          </w:tcPr>
          <w:p w14:paraId="1D0B7CFB" w14:textId="77777777" w:rsidR="00FE3295" w:rsidRPr="002E5C96" w:rsidRDefault="00FE3295" w:rsidP="005A635B">
            <w:pPr>
              <w:spacing w:after="0" w:line="240" w:lineRule="auto"/>
              <w:ind w:firstLine="34"/>
              <w:rPr>
                <w:rFonts w:cs="Times New Roman"/>
                <w:sz w:val="20"/>
                <w:szCs w:val="20"/>
              </w:rPr>
            </w:pPr>
            <w:r w:rsidRPr="002E5C96">
              <w:rPr>
                <w:rFonts w:cs="Times New Roman"/>
                <w:sz w:val="20"/>
                <w:szCs w:val="20"/>
              </w:rPr>
              <w:t>OIK dotācija energoietilpīgo uzņēmumu atbalstam</w:t>
            </w:r>
          </w:p>
        </w:tc>
        <w:tc>
          <w:tcPr>
            <w:tcW w:w="1276" w:type="dxa"/>
            <w:shd w:val="clear" w:color="auto" w:fill="auto"/>
            <w:noWrap/>
            <w:vAlign w:val="center"/>
            <w:hideMark/>
          </w:tcPr>
          <w:p w14:paraId="5CC66C51" w14:textId="77777777" w:rsidR="00FE3295" w:rsidRPr="002E5C96" w:rsidRDefault="00FE3295" w:rsidP="005A635B">
            <w:pPr>
              <w:spacing w:after="0" w:line="240" w:lineRule="auto"/>
              <w:ind w:firstLine="34"/>
              <w:jc w:val="center"/>
              <w:rPr>
                <w:rFonts w:cs="Times New Roman"/>
                <w:sz w:val="20"/>
                <w:szCs w:val="20"/>
              </w:rPr>
            </w:pPr>
            <w:r w:rsidRPr="002E5C96">
              <w:rPr>
                <w:rFonts w:cs="Times New Roman"/>
                <w:sz w:val="20"/>
                <w:szCs w:val="20"/>
              </w:rPr>
              <w:t>0</w:t>
            </w:r>
          </w:p>
        </w:tc>
        <w:tc>
          <w:tcPr>
            <w:tcW w:w="1276" w:type="dxa"/>
            <w:shd w:val="clear" w:color="auto" w:fill="auto"/>
            <w:noWrap/>
            <w:vAlign w:val="center"/>
            <w:hideMark/>
          </w:tcPr>
          <w:p w14:paraId="4336560A" w14:textId="77777777" w:rsidR="00FE3295" w:rsidRPr="002E5C96" w:rsidRDefault="00FE3295" w:rsidP="005A635B">
            <w:pPr>
              <w:spacing w:after="0" w:line="240" w:lineRule="auto"/>
              <w:ind w:firstLine="34"/>
              <w:jc w:val="center"/>
              <w:rPr>
                <w:rFonts w:cs="Times New Roman"/>
                <w:sz w:val="20"/>
                <w:szCs w:val="20"/>
              </w:rPr>
            </w:pPr>
            <w:r w:rsidRPr="002E5C96">
              <w:rPr>
                <w:rFonts w:cs="Times New Roman"/>
                <w:sz w:val="20"/>
                <w:szCs w:val="20"/>
              </w:rPr>
              <w:t>0</w:t>
            </w:r>
          </w:p>
        </w:tc>
        <w:tc>
          <w:tcPr>
            <w:tcW w:w="1191" w:type="dxa"/>
            <w:shd w:val="clear" w:color="auto" w:fill="auto"/>
            <w:noWrap/>
            <w:vAlign w:val="center"/>
            <w:hideMark/>
          </w:tcPr>
          <w:p w14:paraId="168F85B7" w14:textId="77777777" w:rsidR="00FE3295" w:rsidRPr="002E5C96" w:rsidRDefault="00FE3295" w:rsidP="005A635B">
            <w:pPr>
              <w:spacing w:after="0" w:line="240" w:lineRule="auto"/>
              <w:ind w:firstLine="34"/>
              <w:jc w:val="center"/>
              <w:rPr>
                <w:rFonts w:cs="Times New Roman"/>
                <w:sz w:val="20"/>
                <w:szCs w:val="20"/>
              </w:rPr>
            </w:pPr>
            <w:r w:rsidRPr="002E5C96">
              <w:rPr>
                <w:rFonts w:cs="Times New Roman"/>
                <w:sz w:val="20"/>
                <w:szCs w:val="20"/>
              </w:rPr>
              <w:t>3 500 000</w:t>
            </w:r>
          </w:p>
        </w:tc>
        <w:tc>
          <w:tcPr>
            <w:tcW w:w="1219" w:type="dxa"/>
            <w:shd w:val="clear" w:color="auto" w:fill="auto"/>
            <w:noWrap/>
            <w:vAlign w:val="center"/>
            <w:hideMark/>
          </w:tcPr>
          <w:p w14:paraId="1B098D48" w14:textId="77777777" w:rsidR="00FE3295" w:rsidRPr="002E5C96" w:rsidRDefault="00FE3295" w:rsidP="005A635B">
            <w:pPr>
              <w:spacing w:after="0" w:line="240" w:lineRule="auto"/>
              <w:ind w:firstLine="34"/>
              <w:jc w:val="center"/>
              <w:rPr>
                <w:rFonts w:cs="Times New Roman"/>
                <w:sz w:val="20"/>
                <w:szCs w:val="20"/>
              </w:rPr>
            </w:pPr>
            <w:r w:rsidRPr="002E5C96">
              <w:rPr>
                <w:rFonts w:cs="Times New Roman"/>
                <w:sz w:val="20"/>
                <w:szCs w:val="20"/>
              </w:rPr>
              <w:t>3 500 000</w:t>
            </w:r>
          </w:p>
        </w:tc>
        <w:tc>
          <w:tcPr>
            <w:tcW w:w="1267" w:type="dxa"/>
            <w:shd w:val="clear" w:color="auto" w:fill="auto"/>
            <w:noWrap/>
            <w:vAlign w:val="center"/>
            <w:hideMark/>
          </w:tcPr>
          <w:p w14:paraId="587DC7CA" w14:textId="77777777" w:rsidR="00FE3295" w:rsidRPr="002E5C96" w:rsidRDefault="00FE3295" w:rsidP="005A635B">
            <w:pPr>
              <w:spacing w:after="0" w:line="240" w:lineRule="auto"/>
              <w:ind w:firstLine="34"/>
              <w:jc w:val="center"/>
              <w:rPr>
                <w:rFonts w:cs="Times New Roman"/>
                <w:sz w:val="20"/>
                <w:szCs w:val="20"/>
              </w:rPr>
            </w:pPr>
            <w:r w:rsidRPr="002E5C96">
              <w:rPr>
                <w:rFonts w:cs="Times New Roman"/>
                <w:sz w:val="20"/>
                <w:szCs w:val="20"/>
              </w:rPr>
              <w:t>7 000 000</w:t>
            </w:r>
          </w:p>
        </w:tc>
        <w:tc>
          <w:tcPr>
            <w:tcW w:w="1284" w:type="dxa"/>
            <w:shd w:val="clear" w:color="auto" w:fill="auto"/>
            <w:noWrap/>
            <w:vAlign w:val="center"/>
            <w:hideMark/>
          </w:tcPr>
          <w:p w14:paraId="6C6678E8" w14:textId="77777777" w:rsidR="00FE3295" w:rsidRPr="002E5C96" w:rsidRDefault="00FE3295" w:rsidP="005A635B">
            <w:pPr>
              <w:spacing w:after="0" w:line="240" w:lineRule="auto"/>
              <w:ind w:firstLine="34"/>
              <w:jc w:val="center"/>
              <w:rPr>
                <w:rFonts w:cs="Times New Roman"/>
                <w:sz w:val="20"/>
                <w:szCs w:val="20"/>
              </w:rPr>
            </w:pPr>
            <w:r w:rsidRPr="002E5C96">
              <w:rPr>
                <w:rFonts w:cs="Times New Roman"/>
                <w:sz w:val="20"/>
                <w:szCs w:val="20"/>
              </w:rPr>
              <w:t>7 000 000</w:t>
            </w:r>
          </w:p>
        </w:tc>
        <w:tc>
          <w:tcPr>
            <w:tcW w:w="1276" w:type="dxa"/>
            <w:tcBorders>
              <w:right w:val="single" w:sz="4" w:space="0" w:color="auto"/>
            </w:tcBorders>
            <w:shd w:val="clear" w:color="auto" w:fill="auto"/>
            <w:noWrap/>
            <w:vAlign w:val="center"/>
            <w:hideMark/>
          </w:tcPr>
          <w:p w14:paraId="32394508" w14:textId="77777777" w:rsidR="00FE3295" w:rsidRPr="002E5C96" w:rsidRDefault="00F91DA9" w:rsidP="00F91DA9">
            <w:pPr>
              <w:spacing w:after="0" w:line="240" w:lineRule="auto"/>
              <w:ind w:firstLine="34"/>
              <w:jc w:val="center"/>
              <w:rPr>
                <w:rFonts w:cs="Times New Roman"/>
                <w:sz w:val="20"/>
                <w:szCs w:val="20"/>
              </w:rPr>
            </w:pPr>
            <w:r w:rsidRPr="002E5C96">
              <w:rPr>
                <w:rFonts w:cs="Times New Roman"/>
                <w:sz w:val="20"/>
                <w:szCs w:val="20"/>
              </w:rPr>
              <w:t>3</w:t>
            </w:r>
            <w:r w:rsidR="00FE3295" w:rsidRPr="002E5C96">
              <w:rPr>
                <w:rFonts w:cs="Times New Roman"/>
                <w:sz w:val="20"/>
                <w:szCs w:val="20"/>
              </w:rPr>
              <w:t xml:space="preserve"> </w:t>
            </w:r>
            <w:r w:rsidRPr="002E5C96">
              <w:rPr>
                <w:rFonts w:cs="Times New Roman"/>
                <w:sz w:val="20"/>
                <w:szCs w:val="20"/>
              </w:rPr>
              <w:t>5</w:t>
            </w:r>
            <w:r w:rsidR="00FE3295" w:rsidRPr="002E5C96">
              <w:rPr>
                <w:rFonts w:cs="Times New Roman"/>
                <w:sz w:val="20"/>
                <w:szCs w:val="20"/>
              </w:rPr>
              <w:t>00 000</w:t>
            </w:r>
          </w:p>
        </w:tc>
        <w:tc>
          <w:tcPr>
            <w:tcW w:w="1276" w:type="dxa"/>
            <w:vMerge/>
            <w:tcBorders>
              <w:top w:val="nil"/>
              <w:left w:val="single" w:sz="4" w:space="0" w:color="auto"/>
              <w:bottom w:val="nil"/>
              <w:right w:val="nil"/>
            </w:tcBorders>
          </w:tcPr>
          <w:p w14:paraId="5A1A1B59" w14:textId="77777777" w:rsidR="00FE3295" w:rsidRPr="008932D4" w:rsidRDefault="00FE3295" w:rsidP="005A635B">
            <w:pPr>
              <w:spacing w:after="0" w:line="240" w:lineRule="auto"/>
              <w:ind w:firstLine="34"/>
              <w:rPr>
                <w:rFonts w:cs="Times New Roman"/>
                <w:sz w:val="20"/>
                <w:szCs w:val="20"/>
              </w:rPr>
            </w:pPr>
          </w:p>
        </w:tc>
      </w:tr>
      <w:tr w:rsidR="009657D1" w:rsidRPr="008932D4" w14:paraId="00B632CF" w14:textId="77777777" w:rsidTr="00537808">
        <w:trPr>
          <w:trHeight w:val="201"/>
        </w:trPr>
        <w:tc>
          <w:tcPr>
            <w:tcW w:w="4390" w:type="dxa"/>
            <w:shd w:val="clear" w:color="auto" w:fill="auto"/>
            <w:vAlign w:val="center"/>
            <w:hideMark/>
          </w:tcPr>
          <w:p w14:paraId="7FFFAE55" w14:textId="77777777" w:rsidR="009657D1" w:rsidRPr="002E5C96" w:rsidRDefault="009657D1" w:rsidP="009657D1">
            <w:pPr>
              <w:spacing w:after="0" w:line="240" w:lineRule="auto"/>
              <w:ind w:firstLine="34"/>
              <w:jc w:val="left"/>
              <w:rPr>
                <w:rFonts w:cs="Times New Roman"/>
                <w:sz w:val="20"/>
                <w:szCs w:val="20"/>
              </w:rPr>
            </w:pPr>
            <w:r w:rsidRPr="002E5C96">
              <w:rPr>
                <w:rFonts w:cs="Times New Roman"/>
                <w:sz w:val="20"/>
                <w:szCs w:val="20"/>
              </w:rPr>
              <w:t>Aizsargātie lietotāji</w:t>
            </w:r>
          </w:p>
        </w:tc>
        <w:tc>
          <w:tcPr>
            <w:tcW w:w="1276" w:type="dxa"/>
            <w:shd w:val="clear" w:color="auto" w:fill="auto"/>
            <w:noWrap/>
            <w:vAlign w:val="bottom"/>
          </w:tcPr>
          <w:p w14:paraId="0ED001D8" w14:textId="1D6AFC17"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8 931 500</w:t>
            </w:r>
          </w:p>
        </w:tc>
        <w:tc>
          <w:tcPr>
            <w:tcW w:w="1276" w:type="dxa"/>
            <w:shd w:val="clear" w:color="auto" w:fill="auto"/>
            <w:noWrap/>
            <w:vAlign w:val="bottom"/>
          </w:tcPr>
          <w:p w14:paraId="5CE384D2" w14:textId="2C55B2A8"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6 017 481</w:t>
            </w:r>
          </w:p>
        </w:tc>
        <w:tc>
          <w:tcPr>
            <w:tcW w:w="1191" w:type="dxa"/>
            <w:shd w:val="clear" w:color="auto" w:fill="auto"/>
            <w:noWrap/>
            <w:vAlign w:val="bottom"/>
          </w:tcPr>
          <w:p w14:paraId="1F6B65D3" w14:textId="6EB3A8A0"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12 102 624</w:t>
            </w:r>
          </w:p>
        </w:tc>
        <w:tc>
          <w:tcPr>
            <w:tcW w:w="1219" w:type="dxa"/>
            <w:shd w:val="clear" w:color="auto" w:fill="auto"/>
            <w:noWrap/>
            <w:vAlign w:val="bottom"/>
          </w:tcPr>
          <w:p w14:paraId="762E1AF4" w14:textId="7D58FAE8"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7 226 125</w:t>
            </w:r>
          </w:p>
        </w:tc>
        <w:tc>
          <w:tcPr>
            <w:tcW w:w="1267" w:type="dxa"/>
            <w:shd w:val="clear" w:color="auto" w:fill="auto"/>
            <w:noWrap/>
            <w:vAlign w:val="bottom"/>
          </w:tcPr>
          <w:p w14:paraId="61CCF188" w14:textId="599E8EFD"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12 102 624</w:t>
            </w:r>
          </w:p>
        </w:tc>
        <w:tc>
          <w:tcPr>
            <w:tcW w:w="1284" w:type="dxa"/>
            <w:shd w:val="clear" w:color="auto" w:fill="auto"/>
            <w:noWrap/>
            <w:vAlign w:val="bottom"/>
          </w:tcPr>
          <w:p w14:paraId="0E5AE805" w14:textId="32E071BA"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7 419 052</w:t>
            </w:r>
          </w:p>
        </w:tc>
        <w:tc>
          <w:tcPr>
            <w:tcW w:w="1276" w:type="dxa"/>
            <w:tcBorders>
              <w:right w:val="single" w:sz="4" w:space="0" w:color="auto"/>
            </w:tcBorders>
            <w:shd w:val="clear" w:color="auto" w:fill="auto"/>
            <w:noWrap/>
            <w:vAlign w:val="bottom"/>
          </w:tcPr>
          <w:p w14:paraId="5083B3B9" w14:textId="6777C309" w:rsidR="009657D1" w:rsidRPr="002E5C96" w:rsidRDefault="009657D1" w:rsidP="009657D1">
            <w:pPr>
              <w:spacing w:after="0" w:line="240" w:lineRule="auto"/>
              <w:ind w:firstLine="34"/>
              <w:jc w:val="center"/>
              <w:rPr>
                <w:rFonts w:cs="Times New Roman"/>
                <w:sz w:val="20"/>
                <w:szCs w:val="20"/>
              </w:rPr>
            </w:pPr>
            <w:r w:rsidRPr="008111D6">
              <w:rPr>
                <w:rFonts w:cs="Times New Roman"/>
                <w:color w:val="000000"/>
                <w:sz w:val="20"/>
                <w:szCs w:val="20"/>
              </w:rPr>
              <w:t>7 419 052</w:t>
            </w:r>
          </w:p>
        </w:tc>
        <w:tc>
          <w:tcPr>
            <w:tcW w:w="1276" w:type="dxa"/>
            <w:vMerge/>
            <w:tcBorders>
              <w:top w:val="nil"/>
              <w:left w:val="single" w:sz="4" w:space="0" w:color="auto"/>
              <w:bottom w:val="nil"/>
              <w:right w:val="nil"/>
            </w:tcBorders>
          </w:tcPr>
          <w:p w14:paraId="6792AAFA" w14:textId="77777777" w:rsidR="009657D1" w:rsidRPr="008932D4" w:rsidRDefault="009657D1" w:rsidP="009657D1">
            <w:pPr>
              <w:spacing w:after="0" w:line="240" w:lineRule="auto"/>
              <w:ind w:firstLine="34"/>
              <w:rPr>
                <w:rFonts w:cs="Times New Roman"/>
                <w:sz w:val="20"/>
                <w:szCs w:val="20"/>
              </w:rPr>
            </w:pPr>
          </w:p>
        </w:tc>
      </w:tr>
      <w:tr w:rsidR="009657D1" w:rsidRPr="008932D4" w14:paraId="343020EE" w14:textId="77777777" w:rsidTr="0068316B">
        <w:trPr>
          <w:trHeight w:val="288"/>
        </w:trPr>
        <w:tc>
          <w:tcPr>
            <w:tcW w:w="4390" w:type="dxa"/>
            <w:shd w:val="clear" w:color="auto" w:fill="auto"/>
            <w:noWrap/>
            <w:vAlign w:val="bottom"/>
            <w:hideMark/>
          </w:tcPr>
          <w:p w14:paraId="68C7D795" w14:textId="77777777" w:rsidR="009657D1" w:rsidRPr="002E5C96" w:rsidRDefault="009657D1" w:rsidP="009657D1">
            <w:pPr>
              <w:spacing w:after="0" w:line="240" w:lineRule="auto"/>
              <w:ind w:firstLine="34"/>
              <w:jc w:val="center"/>
              <w:rPr>
                <w:rFonts w:cs="Times New Roman"/>
                <w:b/>
                <w:bCs/>
                <w:sz w:val="20"/>
                <w:szCs w:val="20"/>
              </w:rPr>
            </w:pPr>
            <w:r w:rsidRPr="002E5C96">
              <w:rPr>
                <w:rFonts w:cs="Times New Roman"/>
                <w:b/>
                <w:bCs/>
                <w:sz w:val="20"/>
                <w:szCs w:val="20"/>
              </w:rPr>
              <w:t>Valsts budžeta ieņēmumi</w:t>
            </w:r>
          </w:p>
        </w:tc>
        <w:tc>
          <w:tcPr>
            <w:tcW w:w="1276" w:type="dxa"/>
            <w:shd w:val="clear" w:color="auto" w:fill="auto"/>
            <w:noWrap/>
            <w:vAlign w:val="bottom"/>
            <w:hideMark/>
          </w:tcPr>
          <w:p w14:paraId="55A66BA9"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68 624 945</w:t>
            </w:r>
          </w:p>
        </w:tc>
        <w:tc>
          <w:tcPr>
            <w:tcW w:w="1276" w:type="dxa"/>
            <w:shd w:val="clear" w:color="auto" w:fill="auto"/>
            <w:noWrap/>
            <w:vAlign w:val="bottom"/>
            <w:hideMark/>
          </w:tcPr>
          <w:p w14:paraId="6C7D1359"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65 237 101</w:t>
            </w:r>
          </w:p>
        </w:tc>
        <w:tc>
          <w:tcPr>
            <w:tcW w:w="1191" w:type="dxa"/>
            <w:shd w:val="clear" w:color="auto" w:fill="auto"/>
            <w:noWrap/>
            <w:vAlign w:val="bottom"/>
            <w:hideMark/>
          </w:tcPr>
          <w:p w14:paraId="155C3F30"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96 652 651</w:t>
            </w:r>
          </w:p>
        </w:tc>
        <w:tc>
          <w:tcPr>
            <w:tcW w:w="1219" w:type="dxa"/>
            <w:shd w:val="clear" w:color="auto" w:fill="auto"/>
            <w:noWrap/>
            <w:vAlign w:val="bottom"/>
            <w:hideMark/>
          </w:tcPr>
          <w:p w14:paraId="0EF0BFAD"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78 806 224</w:t>
            </w:r>
          </w:p>
        </w:tc>
        <w:tc>
          <w:tcPr>
            <w:tcW w:w="1267" w:type="dxa"/>
            <w:shd w:val="clear" w:color="auto" w:fill="auto"/>
            <w:noWrap/>
            <w:vAlign w:val="bottom"/>
            <w:hideMark/>
          </w:tcPr>
          <w:p w14:paraId="44F5FBE8"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108 995 316</w:t>
            </w:r>
          </w:p>
        </w:tc>
        <w:tc>
          <w:tcPr>
            <w:tcW w:w="1284" w:type="dxa"/>
            <w:shd w:val="clear" w:color="auto" w:fill="auto"/>
            <w:noWrap/>
            <w:vAlign w:val="bottom"/>
            <w:hideMark/>
          </w:tcPr>
          <w:p w14:paraId="2BCDC5A1"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87 272 417</w:t>
            </w:r>
          </w:p>
        </w:tc>
        <w:tc>
          <w:tcPr>
            <w:tcW w:w="1276" w:type="dxa"/>
            <w:tcBorders>
              <w:right w:val="single" w:sz="4" w:space="0" w:color="auto"/>
            </w:tcBorders>
            <w:shd w:val="clear" w:color="auto" w:fill="auto"/>
            <w:noWrap/>
            <w:vAlign w:val="bottom"/>
            <w:hideMark/>
          </w:tcPr>
          <w:p w14:paraId="10237CDF" w14:textId="77777777" w:rsidR="009657D1" w:rsidRPr="00393FA6" w:rsidRDefault="009657D1" w:rsidP="009657D1">
            <w:pPr>
              <w:spacing w:after="0" w:line="240" w:lineRule="auto"/>
              <w:ind w:firstLine="34"/>
              <w:jc w:val="center"/>
              <w:rPr>
                <w:rFonts w:cs="Times New Roman"/>
                <w:b/>
                <w:bCs/>
                <w:color w:val="000000"/>
                <w:sz w:val="20"/>
              </w:rPr>
            </w:pPr>
            <w:r w:rsidRPr="00393FA6">
              <w:rPr>
                <w:rFonts w:cs="Times New Roman"/>
                <w:b/>
                <w:bCs/>
                <w:color w:val="000000"/>
                <w:sz w:val="20"/>
              </w:rPr>
              <w:t>89 241 761</w:t>
            </w:r>
          </w:p>
        </w:tc>
        <w:tc>
          <w:tcPr>
            <w:tcW w:w="1276" w:type="dxa"/>
            <w:vMerge/>
            <w:tcBorders>
              <w:top w:val="nil"/>
              <w:left w:val="single" w:sz="4" w:space="0" w:color="auto"/>
              <w:bottom w:val="nil"/>
              <w:right w:val="nil"/>
            </w:tcBorders>
          </w:tcPr>
          <w:p w14:paraId="3C7A2026" w14:textId="77777777" w:rsidR="009657D1" w:rsidRPr="008932D4" w:rsidRDefault="009657D1" w:rsidP="009657D1">
            <w:pPr>
              <w:spacing w:after="0" w:line="240" w:lineRule="auto"/>
              <w:ind w:firstLine="34"/>
              <w:rPr>
                <w:rFonts w:cs="Times New Roman"/>
                <w:b/>
                <w:bCs/>
                <w:sz w:val="20"/>
                <w:szCs w:val="20"/>
              </w:rPr>
            </w:pPr>
          </w:p>
        </w:tc>
      </w:tr>
      <w:tr w:rsidR="009657D1" w:rsidRPr="008932D4" w14:paraId="751C18B5" w14:textId="77777777" w:rsidTr="002E5C96">
        <w:trPr>
          <w:trHeight w:val="288"/>
        </w:trPr>
        <w:tc>
          <w:tcPr>
            <w:tcW w:w="4390" w:type="dxa"/>
            <w:shd w:val="clear" w:color="auto" w:fill="auto"/>
            <w:noWrap/>
            <w:vAlign w:val="bottom"/>
            <w:hideMark/>
          </w:tcPr>
          <w:p w14:paraId="356C1D1C" w14:textId="77777777" w:rsidR="009657D1" w:rsidRPr="002E5C96" w:rsidRDefault="009657D1" w:rsidP="009657D1">
            <w:pPr>
              <w:spacing w:after="0" w:line="240" w:lineRule="auto"/>
              <w:ind w:firstLine="34"/>
              <w:rPr>
                <w:rFonts w:cs="Times New Roman"/>
                <w:sz w:val="20"/>
                <w:szCs w:val="20"/>
              </w:rPr>
            </w:pPr>
            <w:r w:rsidRPr="002E5C96">
              <w:rPr>
                <w:rFonts w:cs="Times New Roman"/>
                <w:sz w:val="20"/>
                <w:szCs w:val="20"/>
              </w:rPr>
              <w:t>SEN</w:t>
            </w:r>
          </w:p>
        </w:tc>
        <w:tc>
          <w:tcPr>
            <w:tcW w:w="1276" w:type="dxa"/>
            <w:shd w:val="clear" w:color="auto" w:fill="auto"/>
            <w:noWrap/>
            <w:vAlign w:val="center"/>
            <w:hideMark/>
          </w:tcPr>
          <w:p w14:paraId="0FA57C10"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33 876 000</w:t>
            </w:r>
          </w:p>
        </w:tc>
        <w:tc>
          <w:tcPr>
            <w:tcW w:w="1276" w:type="dxa"/>
            <w:shd w:val="clear" w:color="000000" w:fill="FFFFFF"/>
            <w:noWrap/>
            <w:vAlign w:val="center"/>
            <w:hideMark/>
          </w:tcPr>
          <w:p w14:paraId="5A9530D3"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30 993 894</w:t>
            </w:r>
          </w:p>
        </w:tc>
        <w:tc>
          <w:tcPr>
            <w:tcW w:w="1191" w:type="dxa"/>
            <w:shd w:val="clear" w:color="auto" w:fill="auto"/>
            <w:noWrap/>
            <w:vAlign w:val="center"/>
            <w:hideMark/>
          </w:tcPr>
          <w:p w14:paraId="287F05A4"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37 009 000</w:t>
            </w:r>
          </w:p>
        </w:tc>
        <w:tc>
          <w:tcPr>
            <w:tcW w:w="1219" w:type="dxa"/>
            <w:shd w:val="clear" w:color="000000" w:fill="FFFFFF"/>
            <w:noWrap/>
            <w:vAlign w:val="center"/>
            <w:hideMark/>
          </w:tcPr>
          <w:p w14:paraId="2C082924"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32 627 027</w:t>
            </w:r>
          </w:p>
        </w:tc>
        <w:tc>
          <w:tcPr>
            <w:tcW w:w="1267" w:type="dxa"/>
            <w:shd w:val="clear" w:color="auto" w:fill="auto"/>
            <w:noWrap/>
            <w:vAlign w:val="center"/>
            <w:hideMark/>
          </w:tcPr>
          <w:p w14:paraId="501F0545"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37 009 000</w:t>
            </w:r>
          </w:p>
        </w:tc>
        <w:tc>
          <w:tcPr>
            <w:tcW w:w="1284" w:type="dxa"/>
            <w:shd w:val="clear" w:color="000000" w:fill="FFFFFF"/>
            <w:noWrap/>
            <w:vAlign w:val="center"/>
            <w:hideMark/>
          </w:tcPr>
          <w:p w14:paraId="511A14F0"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5 803 140</w:t>
            </w:r>
          </w:p>
        </w:tc>
        <w:tc>
          <w:tcPr>
            <w:tcW w:w="1276" w:type="dxa"/>
            <w:tcBorders>
              <w:right w:val="single" w:sz="4" w:space="0" w:color="auto"/>
            </w:tcBorders>
            <w:shd w:val="clear" w:color="auto" w:fill="auto"/>
            <w:noWrap/>
            <w:vAlign w:val="center"/>
            <w:hideMark/>
          </w:tcPr>
          <w:p w14:paraId="70A2121A"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0</w:t>
            </w:r>
          </w:p>
        </w:tc>
        <w:tc>
          <w:tcPr>
            <w:tcW w:w="1276" w:type="dxa"/>
            <w:vMerge/>
            <w:tcBorders>
              <w:top w:val="nil"/>
              <w:left w:val="single" w:sz="4" w:space="0" w:color="auto"/>
              <w:bottom w:val="nil"/>
              <w:right w:val="nil"/>
            </w:tcBorders>
          </w:tcPr>
          <w:p w14:paraId="149D6443" w14:textId="77777777" w:rsidR="009657D1" w:rsidRPr="008932D4" w:rsidRDefault="009657D1" w:rsidP="009657D1">
            <w:pPr>
              <w:spacing w:after="0" w:line="240" w:lineRule="auto"/>
              <w:ind w:firstLine="34"/>
              <w:rPr>
                <w:rFonts w:cs="Times New Roman"/>
                <w:sz w:val="20"/>
                <w:szCs w:val="20"/>
              </w:rPr>
            </w:pPr>
          </w:p>
        </w:tc>
      </w:tr>
      <w:tr w:rsidR="009657D1" w:rsidRPr="008932D4" w14:paraId="18342802" w14:textId="77777777" w:rsidTr="002E5C96">
        <w:trPr>
          <w:trHeight w:val="288"/>
        </w:trPr>
        <w:tc>
          <w:tcPr>
            <w:tcW w:w="4390" w:type="dxa"/>
            <w:shd w:val="clear" w:color="auto" w:fill="auto"/>
            <w:noWrap/>
            <w:vAlign w:val="bottom"/>
            <w:hideMark/>
          </w:tcPr>
          <w:p w14:paraId="51ECC4B3" w14:textId="77777777" w:rsidR="009657D1" w:rsidRPr="002E5C96" w:rsidRDefault="009657D1" w:rsidP="009657D1">
            <w:pPr>
              <w:spacing w:after="0" w:line="240" w:lineRule="auto"/>
              <w:ind w:firstLine="34"/>
              <w:rPr>
                <w:rFonts w:cs="Times New Roman"/>
                <w:sz w:val="20"/>
                <w:szCs w:val="20"/>
              </w:rPr>
            </w:pPr>
            <w:r w:rsidRPr="002E5C96">
              <w:rPr>
                <w:rFonts w:cs="Times New Roman"/>
                <w:sz w:val="20"/>
                <w:szCs w:val="20"/>
              </w:rPr>
              <w:t>PVN</w:t>
            </w:r>
          </w:p>
        </w:tc>
        <w:tc>
          <w:tcPr>
            <w:tcW w:w="1276" w:type="dxa"/>
            <w:shd w:val="clear" w:color="auto" w:fill="auto"/>
            <w:noWrap/>
            <w:vAlign w:val="center"/>
            <w:hideMark/>
          </w:tcPr>
          <w:p w14:paraId="0342E511"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276" w:type="dxa"/>
            <w:shd w:val="clear" w:color="auto" w:fill="auto"/>
            <w:noWrap/>
            <w:vAlign w:val="center"/>
            <w:hideMark/>
          </w:tcPr>
          <w:p w14:paraId="385A6F14"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191" w:type="dxa"/>
            <w:shd w:val="clear" w:color="auto" w:fill="auto"/>
            <w:noWrap/>
            <w:vAlign w:val="center"/>
            <w:hideMark/>
          </w:tcPr>
          <w:p w14:paraId="00642B10"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219" w:type="dxa"/>
            <w:shd w:val="clear" w:color="auto" w:fill="auto"/>
            <w:noWrap/>
            <w:vAlign w:val="center"/>
            <w:hideMark/>
          </w:tcPr>
          <w:p w14:paraId="1DD4B24C"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267" w:type="dxa"/>
            <w:shd w:val="clear" w:color="auto" w:fill="auto"/>
            <w:noWrap/>
            <w:vAlign w:val="center"/>
            <w:hideMark/>
          </w:tcPr>
          <w:p w14:paraId="03C8CAE8"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284" w:type="dxa"/>
            <w:shd w:val="clear" w:color="auto" w:fill="auto"/>
            <w:noWrap/>
            <w:vAlign w:val="center"/>
            <w:hideMark/>
          </w:tcPr>
          <w:p w14:paraId="491CD81C"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276" w:type="dxa"/>
            <w:tcBorders>
              <w:right w:val="single" w:sz="4" w:space="0" w:color="auto"/>
            </w:tcBorders>
            <w:shd w:val="clear" w:color="auto" w:fill="auto"/>
            <w:noWrap/>
            <w:vAlign w:val="center"/>
            <w:hideMark/>
          </w:tcPr>
          <w:p w14:paraId="729B7BFE"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9 533 241</w:t>
            </w:r>
          </w:p>
        </w:tc>
        <w:tc>
          <w:tcPr>
            <w:tcW w:w="1276" w:type="dxa"/>
            <w:vMerge/>
            <w:tcBorders>
              <w:top w:val="nil"/>
              <w:left w:val="single" w:sz="4" w:space="0" w:color="auto"/>
              <w:bottom w:val="nil"/>
              <w:right w:val="nil"/>
            </w:tcBorders>
          </w:tcPr>
          <w:p w14:paraId="51F0A699" w14:textId="77777777" w:rsidR="009657D1" w:rsidRPr="008932D4" w:rsidRDefault="009657D1" w:rsidP="009657D1">
            <w:pPr>
              <w:spacing w:after="0" w:line="240" w:lineRule="auto"/>
              <w:ind w:firstLine="34"/>
              <w:rPr>
                <w:rFonts w:cs="Times New Roman"/>
                <w:sz w:val="20"/>
                <w:szCs w:val="20"/>
              </w:rPr>
            </w:pPr>
          </w:p>
        </w:tc>
      </w:tr>
      <w:tr w:rsidR="009657D1" w:rsidRPr="008932D4" w14:paraId="2033D1A9" w14:textId="77777777" w:rsidTr="00393FA6">
        <w:trPr>
          <w:trHeight w:val="288"/>
        </w:trPr>
        <w:tc>
          <w:tcPr>
            <w:tcW w:w="4390" w:type="dxa"/>
            <w:shd w:val="clear" w:color="auto" w:fill="auto"/>
            <w:noWrap/>
            <w:vAlign w:val="bottom"/>
            <w:hideMark/>
          </w:tcPr>
          <w:p w14:paraId="23EF81D6" w14:textId="77777777" w:rsidR="009657D1" w:rsidRPr="002E5C96" w:rsidRDefault="009657D1" w:rsidP="009657D1">
            <w:pPr>
              <w:spacing w:after="0" w:line="240" w:lineRule="auto"/>
              <w:ind w:firstLine="34"/>
              <w:rPr>
                <w:rFonts w:cs="Times New Roman"/>
                <w:sz w:val="20"/>
                <w:szCs w:val="20"/>
              </w:rPr>
            </w:pPr>
            <w:r w:rsidRPr="002E5C96">
              <w:rPr>
                <w:rFonts w:cs="Times New Roman"/>
                <w:sz w:val="20"/>
                <w:szCs w:val="20"/>
              </w:rPr>
              <w:t>PVN (aizsargātie lietotāji)</w:t>
            </w:r>
          </w:p>
        </w:tc>
        <w:tc>
          <w:tcPr>
            <w:tcW w:w="1276" w:type="dxa"/>
            <w:shd w:val="clear" w:color="auto" w:fill="auto"/>
            <w:noWrap/>
            <w:vAlign w:val="center"/>
            <w:hideMark/>
          </w:tcPr>
          <w:p w14:paraId="3654AF8E"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1 550 095</w:t>
            </w:r>
          </w:p>
        </w:tc>
        <w:tc>
          <w:tcPr>
            <w:tcW w:w="1276" w:type="dxa"/>
            <w:shd w:val="clear" w:color="auto" w:fill="auto"/>
            <w:noWrap/>
            <w:vAlign w:val="center"/>
            <w:hideMark/>
          </w:tcPr>
          <w:p w14:paraId="69DFB8FE"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1 044 356</w:t>
            </w:r>
          </w:p>
        </w:tc>
        <w:tc>
          <w:tcPr>
            <w:tcW w:w="1191" w:type="dxa"/>
            <w:shd w:val="clear" w:color="auto" w:fill="auto"/>
            <w:noWrap/>
            <w:vAlign w:val="center"/>
            <w:hideMark/>
          </w:tcPr>
          <w:p w14:paraId="46C8E361"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2 100 455</w:t>
            </w:r>
          </w:p>
        </w:tc>
        <w:tc>
          <w:tcPr>
            <w:tcW w:w="1219" w:type="dxa"/>
            <w:shd w:val="clear" w:color="auto" w:fill="auto"/>
            <w:noWrap/>
            <w:vAlign w:val="center"/>
            <w:hideMark/>
          </w:tcPr>
          <w:p w14:paraId="23C7EACA"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1 254 121</w:t>
            </w:r>
          </w:p>
        </w:tc>
        <w:tc>
          <w:tcPr>
            <w:tcW w:w="1267" w:type="dxa"/>
            <w:shd w:val="clear" w:color="auto" w:fill="auto"/>
            <w:noWrap/>
            <w:vAlign w:val="center"/>
            <w:hideMark/>
          </w:tcPr>
          <w:p w14:paraId="47870619"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2 100 455</w:t>
            </w:r>
          </w:p>
        </w:tc>
        <w:tc>
          <w:tcPr>
            <w:tcW w:w="1284" w:type="dxa"/>
            <w:shd w:val="clear" w:color="auto" w:fill="auto"/>
            <w:noWrap/>
            <w:vAlign w:val="center"/>
            <w:hideMark/>
          </w:tcPr>
          <w:p w14:paraId="2201C832"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1 287 604</w:t>
            </w:r>
          </w:p>
        </w:tc>
        <w:tc>
          <w:tcPr>
            <w:tcW w:w="1276" w:type="dxa"/>
            <w:tcBorders>
              <w:right w:val="single" w:sz="4" w:space="0" w:color="auto"/>
            </w:tcBorders>
            <w:shd w:val="clear" w:color="auto" w:fill="auto"/>
            <w:noWrap/>
            <w:vAlign w:val="center"/>
            <w:hideMark/>
          </w:tcPr>
          <w:p w14:paraId="3969FB35" w14:textId="77777777" w:rsidR="009657D1" w:rsidRPr="002E5C96" w:rsidRDefault="009657D1" w:rsidP="009657D1">
            <w:pPr>
              <w:spacing w:after="0" w:line="240" w:lineRule="auto"/>
              <w:ind w:firstLine="34"/>
              <w:jc w:val="center"/>
              <w:rPr>
                <w:rFonts w:cs="Times New Roman"/>
                <w:sz w:val="20"/>
                <w:szCs w:val="20"/>
              </w:rPr>
            </w:pPr>
            <w:r w:rsidRPr="00393FA6">
              <w:rPr>
                <w:rFonts w:cs="Times New Roman"/>
                <w:sz w:val="20"/>
                <w:szCs w:val="20"/>
              </w:rPr>
              <w:t>1 287 604</w:t>
            </w:r>
          </w:p>
        </w:tc>
        <w:tc>
          <w:tcPr>
            <w:tcW w:w="1276" w:type="dxa"/>
            <w:vMerge/>
            <w:tcBorders>
              <w:top w:val="nil"/>
              <w:left w:val="single" w:sz="4" w:space="0" w:color="auto"/>
              <w:bottom w:val="nil"/>
              <w:right w:val="nil"/>
            </w:tcBorders>
          </w:tcPr>
          <w:p w14:paraId="31D70050" w14:textId="77777777" w:rsidR="009657D1" w:rsidRPr="008932D4" w:rsidRDefault="009657D1" w:rsidP="009657D1">
            <w:pPr>
              <w:spacing w:after="0" w:line="240" w:lineRule="auto"/>
              <w:ind w:firstLine="34"/>
              <w:rPr>
                <w:rFonts w:cs="Times New Roman"/>
                <w:sz w:val="20"/>
                <w:szCs w:val="20"/>
              </w:rPr>
            </w:pPr>
          </w:p>
        </w:tc>
      </w:tr>
      <w:tr w:rsidR="009657D1" w:rsidRPr="008932D4" w14:paraId="1AB4C251" w14:textId="77777777" w:rsidTr="00393FA6">
        <w:trPr>
          <w:trHeight w:val="249"/>
        </w:trPr>
        <w:tc>
          <w:tcPr>
            <w:tcW w:w="4390" w:type="dxa"/>
            <w:shd w:val="clear" w:color="auto" w:fill="auto"/>
            <w:vAlign w:val="bottom"/>
          </w:tcPr>
          <w:p w14:paraId="7EFEF6A4" w14:textId="77777777" w:rsidR="009657D1" w:rsidRPr="002E5C96" w:rsidRDefault="009657D1" w:rsidP="009657D1">
            <w:pPr>
              <w:spacing w:after="0" w:line="240" w:lineRule="auto"/>
              <w:ind w:firstLine="34"/>
              <w:rPr>
                <w:rFonts w:cs="Times New Roman"/>
                <w:sz w:val="20"/>
                <w:szCs w:val="20"/>
              </w:rPr>
            </w:pPr>
            <w:r w:rsidRPr="002E5C96">
              <w:rPr>
                <w:rFonts w:cs="Times New Roman"/>
                <w:sz w:val="20"/>
                <w:szCs w:val="20"/>
              </w:rPr>
              <w:t>Elektroenerģijas nodokļa papildu ieņēmumi</w:t>
            </w:r>
          </w:p>
        </w:tc>
        <w:tc>
          <w:tcPr>
            <w:tcW w:w="1276" w:type="dxa"/>
            <w:shd w:val="clear" w:color="auto" w:fill="auto"/>
            <w:noWrap/>
            <w:vAlign w:val="center"/>
          </w:tcPr>
          <w:p w14:paraId="1648DEE7"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0</w:t>
            </w:r>
          </w:p>
        </w:tc>
        <w:tc>
          <w:tcPr>
            <w:tcW w:w="1276" w:type="dxa"/>
            <w:shd w:val="clear" w:color="auto" w:fill="auto"/>
            <w:noWrap/>
            <w:vAlign w:val="center"/>
          </w:tcPr>
          <w:p w14:paraId="049BF7FF"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0</w:t>
            </w:r>
          </w:p>
        </w:tc>
        <w:tc>
          <w:tcPr>
            <w:tcW w:w="1191" w:type="dxa"/>
            <w:shd w:val="clear" w:color="auto" w:fill="auto"/>
            <w:noWrap/>
            <w:vAlign w:val="center"/>
          </w:tcPr>
          <w:p w14:paraId="6E85AE53"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0</w:t>
            </w:r>
          </w:p>
        </w:tc>
        <w:tc>
          <w:tcPr>
            <w:tcW w:w="1219" w:type="dxa"/>
            <w:shd w:val="clear" w:color="auto" w:fill="auto"/>
            <w:noWrap/>
            <w:vAlign w:val="center"/>
          </w:tcPr>
          <w:p w14:paraId="197DAB4D"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4 700 000</w:t>
            </w:r>
          </w:p>
        </w:tc>
        <w:tc>
          <w:tcPr>
            <w:tcW w:w="1267" w:type="dxa"/>
            <w:shd w:val="clear" w:color="auto" w:fill="auto"/>
            <w:noWrap/>
            <w:vAlign w:val="center"/>
          </w:tcPr>
          <w:p w14:paraId="05217A46"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0</w:t>
            </w:r>
          </w:p>
        </w:tc>
        <w:tc>
          <w:tcPr>
            <w:tcW w:w="1284" w:type="dxa"/>
            <w:shd w:val="clear" w:color="auto" w:fill="auto"/>
            <w:noWrap/>
            <w:vAlign w:val="center"/>
          </w:tcPr>
          <w:p w14:paraId="705C85FA"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4 700 000</w:t>
            </w:r>
          </w:p>
        </w:tc>
        <w:tc>
          <w:tcPr>
            <w:tcW w:w="1276" w:type="dxa"/>
            <w:tcBorders>
              <w:right w:val="single" w:sz="4" w:space="0" w:color="auto"/>
            </w:tcBorders>
            <w:shd w:val="clear" w:color="auto" w:fill="auto"/>
            <w:noWrap/>
            <w:vAlign w:val="center"/>
          </w:tcPr>
          <w:p w14:paraId="288CAAA7" w14:textId="77777777" w:rsidR="009657D1" w:rsidRPr="002E5C96" w:rsidRDefault="009657D1" w:rsidP="009657D1">
            <w:pPr>
              <w:spacing w:after="0" w:line="240" w:lineRule="auto"/>
              <w:ind w:firstLine="34"/>
              <w:jc w:val="center"/>
              <w:rPr>
                <w:rFonts w:cs="Times New Roman"/>
                <w:sz w:val="20"/>
                <w:szCs w:val="20"/>
              </w:rPr>
            </w:pPr>
            <w:r w:rsidRPr="002E5C96">
              <w:rPr>
                <w:rFonts w:cs="Times New Roman"/>
                <w:sz w:val="20"/>
                <w:szCs w:val="20"/>
              </w:rPr>
              <w:t>4 700 000</w:t>
            </w:r>
          </w:p>
        </w:tc>
        <w:tc>
          <w:tcPr>
            <w:tcW w:w="1276" w:type="dxa"/>
            <w:vMerge/>
            <w:tcBorders>
              <w:top w:val="nil"/>
              <w:left w:val="single" w:sz="4" w:space="0" w:color="auto"/>
              <w:bottom w:val="nil"/>
              <w:right w:val="nil"/>
            </w:tcBorders>
          </w:tcPr>
          <w:p w14:paraId="377B929F" w14:textId="77777777" w:rsidR="009657D1" w:rsidRPr="008932D4" w:rsidRDefault="009657D1" w:rsidP="009657D1">
            <w:pPr>
              <w:spacing w:after="0" w:line="240" w:lineRule="auto"/>
              <w:ind w:firstLine="34"/>
              <w:rPr>
                <w:rFonts w:cs="Times New Roman"/>
                <w:sz w:val="20"/>
                <w:szCs w:val="20"/>
              </w:rPr>
            </w:pPr>
          </w:p>
        </w:tc>
      </w:tr>
      <w:tr w:rsidR="009657D1" w:rsidRPr="008932D4" w14:paraId="593B6E95" w14:textId="77777777" w:rsidTr="00393FA6">
        <w:trPr>
          <w:trHeight w:val="464"/>
        </w:trPr>
        <w:tc>
          <w:tcPr>
            <w:tcW w:w="4390" w:type="dxa"/>
            <w:shd w:val="clear" w:color="auto" w:fill="auto"/>
            <w:vAlign w:val="bottom"/>
          </w:tcPr>
          <w:p w14:paraId="238F6E20" w14:textId="77777777" w:rsidR="009657D1" w:rsidRPr="002E5C96" w:rsidRDefault="009657D1" w:rsidP="009657D1">
            <w:pPr>
              <w:spacing w:after="0" w:line="240" w:lineRule="auto"/>
              <w:ind w:firstLine="34"/>
              <w:rPr>
                <w:rFonts w:cs="Times New Roman"/>
                <w:sz w:val="20"/>
                <w:szCs w:val="20"/>
              </w:rPr>
            </w:pPr>
            <w:r w:rsidRPr="002E5C96">
              <w:rPr>
                <w:rFonts w:cs="Times New Roman"/>
                <w:sz w:val="20"/>
                <w:szCs w:val="20"/>
              </w:rPr>
              <w:t>AS "Latvenergo" dividendes komplekso risinājumu elektroenerģijas tirgū novirzāmā daļa</w:t>
            </w:r>
          </w:p>
        </w:tc>
        <w:tc>
          <w:tcPr>
            <w:tcW w:w="1276" w:type="dxa"/>
            <w:shd w:val="clear" w:color="auto" w:fill="auto"/>
            <w:noWrap/>
            <w:vAlign w:val="center"/>
          </w:tcPr>
          <w:p w14:paraId="50808D27"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23 665 609</w:t>
            </w:r>
          </w:p>
        </w:tc>
        <w:tc>
          <w:tcPr>
            <w:tcW w:w="1276" w:type="dxa"/>
            <w:shd w:val="clear" w:color="auto" w:fill="auto"/>
            <w:noWrap/>
            <w:vAlign w:val="center"/>
          </w:tcPr>
          <w:p w14:paraId="6EB3EE9A"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23 665 609</w:t>
            </w:r>
          </w:p>
        </w:tc>
        <w:tc>
          <w:tcPr>
            <w:tcW w:w="1191" w:type="dxa"/>
            <w:shd w:val="clear" w:color="auto" w:fill="auto"/>
            <w:noWrap/>
            <w:vAlign w:val="center"/>
          </w:tcPr>
          <w:p w14:paraId="07D57732"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48 009 955</w:t>
            </w:r>
          </w:p>
        </w:tc>
        <w:tc>
          <w:tcPr>
            <w:tcW w:w="1219" w:type="dxa"/>
            <w:shd w:val="clear" w:color="auto" w:fill="auto"/>
            <w:noWrap/>
            <w:vAlign w:val="center"/>
          </w:tcPr>
          <w:p w14:paraId="234A6659"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30 691 835</w:t>
            </w:r>
          </w:p>
        </w:tc>
        <w:tc>
          <w:tcPr>
            <w:tcW w:w="1267" w:type="dxa"/>
            <w:shd w:val="clear" w:color="auto" w:fill="auto"/>
            <w:noWrap/>
            <w:vAlign w:val="center"/>
          </w:tcPr>
          <w:p w14:paraId="78452C1C"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60 352 620</w:t>
            </w:r>
          </w:p>
        </w:tc>
        <w:tc>
          <w:tcPr>
            <w:tcW w:w="1284" w:type="dxa"/>
            <w:shd w:val="clear" w:color="auto" w:fill="auto"/>
            <w:noWrap/>
            <w:vAlign w:val="center"/>
          </w:tcPr>
          <w:p w14:paraId="10BA2ED4"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65 948 431</w:t>
            </w:r>
          </w:p>
        </w:tc>
        <w:tc>
          <w:tcPr>
            <w:tcW w:w="1276" w:type="dxa"/>
            <w:tcBorders>
              <w:right w:val="single" w:sz="4" w:space="0" w:color="auto"/>
            </w:tcBorders>
            <w:shd w:val="clear" w:color="auto" w:fill="auto"/>
            <w:noWrap/>
            <w:vAlign w:val="center"/>
          </w:tcPr>
          <w:p w14:paraId="51A329D8" w14:textId="77777777" w:rsidR="009657D1" w:rsidRPr="00EB6CF6" w:rsidRDefault="009657D1" w:rsidP="009657D1">
            <w:pPr>
              <w:spacing w:after="0" w:line="240" w:lineRule="auto"/>
              <w:ind w:firstLine="34"/>
              <w:jc w:val="center"/>
              <w:rPr>
                <w:rFonts w:cs="Times New Roman"/>
                <w:sz w:val="20"/>
                <w:szCs w:val="20"/>
              </w:rPr>
            </w:pPr>
            <w:r w:rsidRPr="00393FA6">
              <w:rPr>
                <w:rFonts w:cs="Times New Roman"/>
                <w:sz w:val="20"/>
                <w:szCs w:val="20"/>
              </w:rPr>
              <w:t>73 720 916</w:t>
            </w:r>
          </w:p>
        </w:tc>
        <w:tc>
          <w:tcPr>
            <w:tcW w:w="1276" w:type="dxa"/>
            <w:vMerge/>
            <w:tcBorders>
              <w:top w:val="nil"/>
              <w:left w:val="single" w:sz="4" w:space="0" w:color="auto"/>
              <w:bottom w:val="nil"/>
              <w:right w:val="nil"/>
            </w:tcBorders>
          </w:tcPr>
          <w:p w14:paraId="7B893176" w14:textId="77777777" w:rsidR="009657D1" w:rsidRPr="008932D4" w:rsidRDefault="009657D1" w:rsidP="009657D1">
            <w:pPr>
              <w:spacing w:after="0" w:line="240" w:lineRule="auto"/>
              <w:ind w:firstLine="34"/>
              <w:rPr>
                <w:rFonts w:cs="Times New Roman"/>
                <w:sz w:val="20"/>
                <w:szCs w:val="20"/>
              </w:rPr>
            </w:pPr>
          </w:p>
        </w:tc>
      </w:tr>
      <w:tr w:rsidR="009657D1" w:rsidRPr="008932D4" w14:paraId="0FE052F6" w14:textId="77777777" w:rsidTr="002E5C96">
        <w:trPr>
          <w:trHeight w:val="288"/>
        </w:trPr>
        <w:tc>
          <w:tcPr>
            <w:tcW w:w="4390" w:type="dxa"/>
            <w:shd w:val="clear" w:color="auto" w:fill="auto"/>
            <w:noWrap/>
            <w:vAlign w:val="bottom"/>
            <w:hideMark/>
          </w:tcPr>
          <w:p w14:paraId="580E2790" w14:textId="77777777" w:rsidR="009657D1" w:rsidRPr="002E5C96" w:rsidRDefault="009657D1" w:rsidP="009657D1">
            <w:pPr>
              <w:spacing w:after="0" w:line="240" w:lineRule="auto"/>
              <w:ind w:firstLine="34"/>
              <w:jc w:val="center"/>
              <w:rPr>
                <w:rFonts w:cs="Times New Roman"/>
                <w:b/>
                <w:bCs/>
                <w:sz w:val="20"/>
                <w:szCs w:val="20"/>
              </w:rPr>
            </w:pPr>
            <w:r w:rsidRPr="002E5C96">
              <w:rPr>
                <w:rFonts w:cs="Times New Roman"/>
                <w:b/>
                <w:bCs/>
                <w:sz w:val="20"/>
                <w:szCs w:val="20"/>
              </w:rPr>
              <w:lastRenderedPageBreak/>
              <w:t>Bilance</w:t>
            </w:r>
          </w:p>
        </w:tc>
        <w:tc>
          <w:tcPr>
            <w:tcW w:w="1276" w:type="dxa"/>
            <w:shd w:val="clear" w:color="auto" w:fill="auto"/>
            <w:noWrap/>
            <w:vAlign w:val="center"/>
            <w:hideMark/>
          </w:tcPr>
          <w:p w14:paraId="3210AC8F" w14:textId="77777777" w:rsidR="009657D1" w:rsidRPr="002E5C96" w:rsidRDefault="009657D1" w:rsidP="009657D1">
            <w:pPr>
              <w:spacing w:after="0" w:line="240" w:lineRule="auto"/>
              <w:ind w:firstLine="34"/>
              <w:jc w:val="center"/>
              <w:rPr>
                <w:rFonts w:cs="Times New Roman"/>
                <w:b/>
                <w:sz w:val="20"/>
                <w:szCs w:val="20"/>
              </w:rPr>
            </w:pPr>
          </w:p>
        </w:tc>
        <w:tc>
          <w:tcPr>
            <w:tcW w:w="1276" w:type="dxa"/>
            <w:shd w:val="clear" w:color="auto" w:fill="auto"/>
            <w:noWrap/>
            <w:vAlign w:val="center"/>
            <w:hideMark/>
          </w:tcPr>
          <w:p w14:paraId="44B8BD58" w14:textId="77777777" w:rsidR="009657D1" w:rsidRPr="002E5C96" w:rsidRDefault="009657D1" w:rsidP="009657D1">
            <w:pPr>
              <w:spacing w:after="0" w:line="240" w:lineRule="auto"/>
              <w:ind w:firstLine="34"/>
              <w:jc w:val="center"/>
              <w:rPr>
                <w:rFonts w:cs="Times New Roman"/>
                <w:b/>
                <w:sz w:val="20"/>
                <w:szCs w:val="20"/>
              </w:rPr>
            </w:pPr>
            <w:r w:rsidRPr="002E5C96">
              <w:rPr>
                <w:rFonts w:cs="Times New Roman"/>
                <w:b/>
                <w:sz w:val="20"/>
                <w:szCs w:val="20"/>
              </w:rPr>
              <w:t>+30 750</w:t>
            </w:r>
          </w:p>
        </w:tc>
        <w:tc>
          <w:tcPr>
            <w:tcW w:w="1191" w:type="dxa"/>
            <w:shd w:val="clear" w:color="auto" w:fill="auto"/>
            <w:noWrap/>
            <w:vAlign w:val="center"/>
            <w:hideMark/>
          </w:tcPr>
          <w:p w14:paraId="7E44B92C" w14:textId="77777777" w:rsidR="009657D1" w:rsidRPr="002E5C96" w:rsidRDefault="009657D1" w:rsidP="009657D1">
            <w:pPr>
              <w:spacing w:after="0" w:line="240" w:lineRule="auto"/>
              <w:ind w:firstLine="34"/>
              <w:jc w:val="center"/>
              <w:rPr>
                <w:rFonts w:cs="Times New Roman"/>
                <w:b/>
                <w:sz w:val="20"/>
                <w:szCs w:val="20"/>
              </w:rPr>
            </w:pPr>
          </w:p>
        </w:tc>
        <w:tc>
          <w:tcPr>
            <w:tcW w:w="1219" w:type="dxa"/>
            <w:shd w:val="clear" w:color="auto" w:fill="auto"/>
            <w:noWrap/>
            <w:vAlign w:val="center"/>
            <w:hideMark/>
          </w:tcPr>
          <w:p w14:paraId="2D80D5E1" w14:textId="77777777" w:rsidR="009657D1" w:rsidRPr="002E5C96" w:rsidRDefault="009657D1" w:rsidP="009657D1">
            <w:pPr>
              <w:spacing w:after="0" w:line="240" w:lineRule="auto"/>
              <w:ind w:firstLine="34"/>
              <w:jc w:val="center"/>
              <w:rPr>
                <w:rFonts w:cs="Times New Roman"/>
                <w:b/>
                <w:sz w:val="20"/>
                <w:szCs w:val="20"/>
              </w:rPr>
            </w:pPr>
            <w:r w:rsidRPr="002E5C96">
              <w:rPr>
                <w:rFonts w:cs="Times New Roman"/>
                <w:b/>
                <w:sz w:val="20"/>
                <w:szCs w:val="20"/>
              </w:rPr>
              <w:t>0</w:t>
            </w:r>
          </w:p>
        </w:tc>
        <w:tc>
          <w:tcPr>
            <w:tcW w:w="1267" w:type="dxa"/>
            <w:shd w:val="clear" w:color="auto" w:fill="auto"/>
            <w:noWrap/>
            <w:vAlign w:val="center"/>
            <w:hideMark/>
          </w:tcPr>
          <w:p w14:paraId="4299ED2F" w14:textId="77777777" w:rsidR="009657D1" w:rsidRPr="002E5C96" w:rsidRDefault="009657D1" w:rsidP="009657D1">
            <w:pPr>
              <w:spacing w:after="0" w:line="240" w:lineRule="auto"/>
              <w:ind w:firstLine="34"/>
              <w:jc w:val="center"/>
              <w:rPr>
                <w:rFonts w:cs="Times New Roman"/>
                <w:b/>
                <w:sz w:val="20"/>
                <w:szCs w:val="20"/>
              </w:rPr>
            </w:pPr>
          </w:p>
        </w:tc>
        <w:tc>
          <w:tcPr>
            <w:tcW w:w="1284" w:type="dxa"/>
            <w:shd w:val="clear" w:color="auto" w:fill="auto"/>
            <w:noWrap/>
            <w:vAlign w:val="center"/>
            <w:hideMark/>
          </w:tcPr>
          <w:p w14:paraId="262CF2C0" w14:textId="77777777" w:rsidR="009657D1" w:rsidRPr="002E5C96" w:rsidRDefault="009657D1" w:rsidP="009657D1">
            <w:pPr>
              <w:spacing w:after="0" w:line="240" w:lineRule="auto"/>
              <w:ind w:firstLine="34"/>
              <w:jc w:val="center"/>
              <w:rPr>
                <w:rFonts w:cs="Times New Roman"/>
                <w:b/>
                <w:sz w:val="20"/>
                <w:szCs w:val="20"/>
              </w:rPr>
            </w:pPr>
            <w:r w:rsidRPr="002E5C96">
              <w:rPr>
                <w:rFonts w:cs="Times New Roman"/>
                <w:b/>
                <w:sz w:val="20"/>
                <w:szCs w:val="20"/>
              </w:rPr>
              <w:t>0</w:t>
            </w:r>
          </w:p>
        </w:tc>
        <w:tc>
          <w:tcPr>
            <w:tcW w:w="1276" w:type="dxa"/>
            <w:tcBorders>
              <w:right w:val="single" w:sz="4" w:space="0" w:color="auto"/>
            </w:tcBorders>
            <w:shd w:val="clear" w:color="auto" w:fill="auto"/>
            <w:noWrap/>
            <w:vAlign w:val="center"/>
            <w:hideMark/>
          </w:tcPr>
          <w:p w14:paraId="25697EF3" w14:textId="77777777" w:rsidR="009657D1" w:rsidRPr="002E5C96" w:rsidRDefault="009657D1" w:rsidP="009657D1">
            <w:pPr>
              <w:spacing w:after="0" w:line="240" w:lineRule="auto"/>
              <w:ind w:firstLine="34"/>
              <w:jc w:val="center"/>
              <w:rPr>
                <w:rFonts w:cs="Times New Roman"/>
                <w:b/>
                <w:sz w:val="20"/>
                <w:szCs w:val="20"/>
              </w:rPr>
            </w:pPr>
            <w:r w:rsidRPr="002E5C96">
              <w:rPr>
                <w:rFonts w:cs="Times New Roman"/>
                <w:b/>
                <w:sz w:val="20"/>
                <w:szCs w:val="20"/>
              </w:rPr>
              <w:t>0</w:t>
            </w:r>
          </w:p>
        </w:tc>
        <w:tc>
          <w:tcPr>
            <w:tcW w:w="1276" w:type="dxa"/>
            <w:vMerge/>
            <w:tcBorders>
              <w:top w:val="nil"/>
              <w:left w:val="single" w:sz="4" w:space="0" w:color="auto"/>
              <w:bottom w:val="nil"/>
              <w:right w:val="nil"/>
            </w:tcBorders>
          </w:tcPr>
          <w:p w14:paraId="5B3809E4" w14:textId="77777777" w:rsidR="009657D1" w:rsidRPr="008932D4" w:rsidRDefault="009657D1" w:rsidP="009657D1">
            <w:pPr>
              <w:spacing w:after="0" w:line="240" w:lineRule="auto"/>
              <w:ind w:firstLine="34"/>
              <w:rPr>
                <w:rFonts w:cs="Times New Roman"/>
                <w:sz w:val="20"/>
                <w:szCs w:val="20"/>
              </w:rPr>
            </w:pPr>
          </w:p>
        </w:tc>
      </w:tr>
      <w:tr w:rsidR="009657D1" w:rsidRPr="008932D4" w14:paraId="1CDC9210" w14:textId="77777777" w:rsidTr="00855D12">
        <w:trPr>
          <w:trHeight w:val="288"/>
        </w:trPr>
        <w:tc>
          <w:tcPr>
            <w:tcW w:w="4390" w:type="dxa"/>
            <w:shd w:val="clear" w:color="auto" w:fill="auto"/>
            <w:noWrap/>
            <w:vAlign w:val="bottom"/>
          </w:tcPr>
          <w:p w14:paraId="2BDB66C2" w14:textId="77777777" w:rsidR="009657D1" w:rsidRPr="00026C11" w:rsidRDefault="009657D1" w:rsidP="009657D1">
            <w:pPr>
              <w:spacing w:after="0" w:line="240" w:lineRule="auto"/>
              <w:ind w:firstLine="34"/>
              <w:jc w:val="center"/>
              <w:rPr>
                <w:rFonts w:cs="Times New Roman"/>
                <w:b/>
                <w:bCs/>
                <w:sz w:val="20"/>
                <w:szCs w:val="20"/>
              </w:rPr>
            </w:pPr>
            <w:r w:rsidRPr="00026C11">
              <w:rPr>
                <w:rFonts w:cs="Times New Roman"/>
                <w:b/>
                <w:sz w:val="20"/>
                <w:szCs w:val="20"/>
              </w:rPr>
              <w:t>Vidēji OIK, EUR/</w:t>
            </w:r>
            <w:proofErr w:type="spellStart"/>
            <w:r w:rsidRPr="00026C11">
              <w:rPr>
                <w:rFonts w:cs="Times New Roman"/>
                <w:b/>
                <w:sz w:val="20"/>
                <w:szCs w:val="20"/>
              </w:rPr>
              <w:t>MWh</w:t>
            </w:r>
            <w:proofErr w:type="spellEnd"/>
          </w:p>
        </w:tc>
        <w:tc>
          <w:tcPr>
            <w:tcW w:w="8789" w:type="dxa"/>
            <w:gridSpan w:val="7"/>
            <w:tcBorders>
              <w:right w:val="single" w:sz="4" w:space="0" w:color="auto"/>
            </w:tcBorders>
            <w:shd w:val="clear" w:color="auto" w:fill="auto"/>
            <w:noWrap/>
            <w:vAlign w:val="center"/>
          </w:tcPr>
          <w:p w14:paraId="1B01ED95" w14:textId="77777777" w:rsidR="009657D1" w:rsidRPr="002E5C96" w:rsidRDefault="009657D1" w:rsidP="009657D1">
            <w:pPr>
              <w:spacing w:after="0" w:line="240" w:lineRule="auto"/>
              <w:ind w:firstLine="34"/>
              <w:jc w:val="center"/>
              <w:rPr>
                <w:rFonts w:cs="Times New Roman"/>
                <w:b/>
                <w:sz w:val="20"/>
                <w:szCs w:val="20"/>
                <w:highlight w:val="cyan"/>
              </w:rPr>
            </w:pPr>
            <w:r w:rsidRPr="002E5C96">
              <w:rPr>
                <w:rFonts w:cs="Times New Roman"/>
                <w:b/>
                <w:sz w:val="20"/>
                <w:szCs w:val="20"/>
              </w:rPr>
              <w:t>26,79</w:t>
            </w:r>
          </w:p>
        </w:tc>
        <w:tc>
          <w:tcPr>
            <w:tcW w:w="1276" w:type="dxa"/>
            <w:vMerge/>
            <w:tcBorders>
              <w:top w:val="nil"/>
              <w:left w:val="single" w:sz="4" w:space="0" w:color="auto"/>
              <w:bottom w:val="nil"/>
              <w:right w:val="nil"/>
            </w:tcBorders>
          </w:tcPr>
          <w:p w14:paraId="34041D16" w14:textId="77777777" w:rsidR="009657D1" w:rsidRPr="008932D4" w:rsidRDefault="009657D1" w:rsidP="009657D1">
            <w:pPr>
              <w:spacing w:after="0" w:line="240" w:lineRule="auto"/>
              <w:ind w:firstLine="34"/>
              <w:rPr>
                <w:rFonts w:cs="Times New Roman"/>
                <w:sz w:val="20"/>
                <w:szCs w:val="20"/>
              </w:rPr>
            </w:pPr>
          </w:p>
        </w:tc>
      </w:tr>
      <w:tr w:rsidR="009657D1" w:rsidRPr="008932D4" w14:paraId="77101F45" w14:textId="77777777" w:rsidTr="0068316B">
        <w:trPr>
          <w:trHeight w:val="288"/>
        </w:trPr>
        <w:tc>
          <w:tcPr>
            <w:tcW w:w="4390" w:type="dxa"/>
            <w:shd w:val="clear" w:color="auto" w:fill="auto"/>
            <w:noWrap/>
            <w:vAlign w:val="bottom"/>
          </w:tcPr>
          <w:p w14:paraId="54DC24B6" w14:textId="77777777" w:rsidR="009657D1" w:rsidRPr="00026C11" w:rsidRDefault="009657D1" w:rsidP="009657D1">
            <w:pPr>
              <w:spacing w:after="0" w:line="240" w:lineRule="auto"/>
              <w:ind w:firstLine="34"/>
              <w:jc w:val="center"/>
              <w:rPr>
                <w:rFonts w:cs="Times New Roman"/>
                <w:b/>
                <w:bCs/>
                <w:sz w:val="20"/>
                <w:szCs w:val="20"/>
              </w:rPr>
            </w:pPr>
            <w:r w:rsidRPr="00026C11">
              <w:rPr>
                <w:rFonts w:cs="Times New Roman"/>
                <w:b/>
                <w:bCs/>
                <w:sz w:val="20"/>
                <w:szCs w:val="20"/>
              </w:rPr>
              <w:t xml:space="preserve">-vidējai mājsaimniecībai (1 fāze 100 </w:t>
            </w:r>
            <w:proofErr w:type="spellStart"/>
            <w:r w:rsidRPr="00026C11">
              <w:rPr>
                <w:rFonts w:cs="Times New Roman"/>
                <w:b/>
                <w:bCs/>
                <w:sz w:val="20"/>
                <w:szCs w:val="20"/>
              </w:rPr>
              <w:t>kWh</w:t>
            </w:r>
            <w:proofErr w:type="spellEnd"/>
            <w:r w:rsidRPr="00026C11">
              <w:rPr>
                <w:rFonts w:cs="Times New Roman"/>
                <w:b/>
                <w:bCs/>
                <w:sz w:val="20"/>
                <w:szCs w:val="20"/>
              </w:rPr>
              <w:t>/mēnesī), EUR/</w:t>
            </w:r>
            <w:proofErr w:type="spellStart"/>
            <w:r w:rsidRPr="00026C11">
              <w:rPr>
                <w:rFonts w:cs="Times New Roman"/>
                <w:b/>
                <w:bCs/>
                <w:sz w:val="20"/>
                <w:szCs w:val="20"/>
              </w:rPr>
              <w:t>MWh</w:t>
            </w:r>
            <w:proofErr w:type="spellEnd"/>
          </w:p>
        </w:tc>
        <w:tc>
          <w:tcPr>
            <w:tcW w:w="2552" w:type="dxa"/>
            <w:gridSpan w:val="2"/>
            <w:vMerge w:val="restart"/>
            <w:shd w:val="clear" w:color="auto" w:fill="auto"/>
            <w:noWrap/>
            <w:vAlign w:val="center"/>
          </w:tcPr>
          <w:p w14:paraId="1C793D1A" w14:textId="77777777" w:rsidR="009657D1" w:rsidRDefault="009657D1" w:rsidP="009657D1">
            <w:pPr>
              <w:spacing w:after="0" w:line="240" w:lineRule="auto"/>
              <w:ind w:firstLine="34"/>
              <w:jc w:val="center"/>
              <w:rPr>
                <w:rFonts w:cs="Times New Roman"/>
                <w:b/>
                <w:sz w:val="20"/>
                <w:szCs w:val="20"/>
              </w:rPr>
            </w:pPr>
            <w:r w:rsidRPr="002E5C96">
              <w:rPr>
                <w:rFonts w:cs="Times New Roman"/>
                <w:b/>
                <w:sz w:val="20"/>
                <w:szCs w:val="20"/>
              </w:rPr>
              <w:t>26,79</w:t>
            </w:r>
          </w:p>
        </w:tc>
        <w:tc>
          <w:tcPr>
            <w:tcW w:w="1191" w:type="dxa"/>
            <w:vMerge w:val="restart"/>
            <w:shd w:val="clear" w:color="auto" w:fill="auto"/>
            <w:noWrap/>
            <w:vAlign w:val="center"/>
          </w:tcPr>
          <w:p w14:paraId="7229BFE5" w14:textId="77777777" w:rsidR="009657D1" w:rsidRPr="006073B4" w:rsidRDefault="009657D1" w:rsidP="009657D1">
            <w:pPr>
              <w:spacing w:after="0" w:line="240" w:lineRule="auto"/>
              <w:ind w:firstLine="34"/>
              <w:jc w:val="center"/>
              <w:rPr>
                <w:rFonts w:cs="Times New Roman"/>
                <w:b/>
                <w:sz w:val="20"/>
                <w:szCs w:val="20"/>
              </w:rPr>
            </w:pPr>
            <w:r w:rsidRPr="002E5C96">
              <w:rPr>
                <w:rFonts w:cs="Times New Roman"/>
                <w:b/>
                <w:sz w:val="20"/>
                <w:szCs w:val="20"/>
              </w:rPr>
              <w:t>26,79</w:t>
            </w:r>
          </w:p>
        </w:tc>
        <w:tc>
          <w:tcPr>
            <w:tcW w:w="1219" w:type="dxa"/>
            <w:shd w:val="clear" w:color="auto" w:fill="auto"/>
            <w:noWrap/>
            <w:vAlign w:val="center"/>
          </w:tcPr>
          <w:p w14:paraId="46B3AFE6" w14:textId="77777777" w:rsidR="009657D1" w:rsidRPr="007E79F0" w:rsidRDefault="009657D1" w:rsidP="009657D1">
            <w:pPr>
              <w:spacing w:after="0" w:line="240" w:lineRule="auto"/>
              <w:ind w:firstLine="34"/>
              <w:jc w:val="center"/>
              <w:rPr>
                <w:rFonts w:cs="Times New Roman"/>
                <w:b/>
                <w:sz w:val="20"/>
                <w:szCs w:val="20"/>
              </w:rPr>
            </w:pPr>
            <w:r w:rsidRPr="007E79F0">
              <w:rPr>
                <w:rFonts w:cs="Times New Roman"/>
                <w:b/>
                <w:sz w:val="20"/>
                <w:szCs w:val="20"/>
              </w:rPr>
              <w:t>2</w:t>
            </w:r>
            <w:r>
              <w:rPr>
                <w:rFonts w:cs="Times New Roman"/>
                <w:b/>
                <w:sz w:val="20"/>
                <w:szCs w:val="20"/>
              </w:rPr>
              <w:t>2</w:t>
            </w:r>
            <w:r w:rsidRPr="007E79F0">
              <w:rPr>
                <w:rFonts w:cs="Times New Roman"/>
                <w:b/>
                <w:sz w:val="20"/>
                <w:szCs w:val="20"/>
              </w:rPr>
              <w:t>,5</w:t>
            </w:r>
          </w:p>
        </w:tc>
        <w:tc>
          <w:tcPr>
            <w:tcW w:w="1267" w:type="dxa"/>
            <w:vMerge w:val="restart"/>
            <w:shd w:val="clear" w:color="auto" w:fill="auto"/>
            <w:noWrap/>
            <w:vAlign w:val="center"/>
          </w:tcPr>
          <w:p w14:paraId="766FE032" w14:textId="77777777" w:rsidR="009657D1" w:rsidRPr="006073B4" w:rsidRDefault="009657D1" w:rsidP="009657D1">
            <w:pPr>
              <w:spacing w:after="0" w:line="240" w:lineRule="auto"/>
              <w:ind w:firstLine="34"/>
              <w:jc w:val="center"/>
              <w:rPr>
                <w:rFonts w:cs="Times New Roman"/>
                <w:b/>
                <w:sz w:val="20"/>
                <w:szCs w:val="20"/>
              </w:rPr>
            </w:pPr>
            <w:r w:rsidRPr="002E5C96">
              <w:rPr>
                <w:rFonts w:cs="Times New Roman"/>
                <w:b/>
                <w:sz w:val="20"/>
                <w:szCs w:val="20"/>
              </w:rPr>
              <w:t>26,79</w:t>
            </w:r>
          </w:p>
        </w:tc>
        <w:tc>
          <w:tcPr>
            <w:tcW w:w="1284" w:type="dxa"/>
            <w:shd w:val="clear" w:color="auto" w:fill="auto"/>
            <w:noWrap/>
            <w:vAlign w:val="center"/>
          </w:tcPr>
          <w:p w14:paraId="3CF8CF9B" w14:textId="77777777" w:rsidR="009657D1" w:rsidRPr="00846A74" w:rsidRDefault="009657D1" w:rsidP="009657D1">
            <w:pPr>
              <w:spacing w:after="0" w:line="240" w:lineRule="auto"/>
              <w:ind w:firstLine="34"/>
              <w:jc w:val="center"/>
              <w:rPr>
                <w:rFonts w:cs="Times New Roman"/>
                <w:b/>
                <w:sz w:val="20"/>
                <w:szCs w:val="20"/>
              </w:rPr>
            </w:pPr>
            <w:r w:rsidRPr="001D68EA">
              <w:rPr>
                <w:rFonts w:cs="Times New Roman"/>
                <w:b/>
                <w:sz w:val="20"/>
                <w:szCs w:val="20"/>
              </w:rPr>
              <w:t>2</w:t>
            </w:r>
            <w:r>
              <w:rPr>
                <w:rFonts w:cs="Times New Roman"/>
                <w:b/>
                <w:sz w:val="20"/>
                <w:szCs w:val="20"/>
              </w:rPr>
              <w:t>2</w:t>
            </w:r>
            <w:r w:rsidRPr="001D68EA">
              <w:rPr>
                <w:rFonts w:cs="Times New Roman"/>
                <w:b/>
                <w:sz w:val="20"/>
                <w:szCs w:val="20"/>
              </w:rPr>
              <w:t>,</w:t>
            </w:r>
            <w:r>
              <w:rPr>
                <w:rFonts w:cs="Times New Roman"/>
                <w:b/>
                <w:sz w:val="20"/>
                <w:szCs w:val="20"/>
              </w:rPr>
              <w:t>8</w:t>
            </w:r>
          </w:p>
        </w:tc>
        <w:tc>
          <w:tcPr>
            <w:tcW w:w="1276" w:type="dxa"/>
            <w:tcBorders>
              <w:right w:val="single" w:sz="4" w:space="0" w:color="auto"/>
            </w:tcBorders>
            <w:shd w:val="clear" w:color="auto" w:fill="auto"/>
            <w:noWrap/>
            <w:vAlign w:val="center"/>
          </w:tcPr>
          <w:p w14:paraId="30414773"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23,1</w:t>
            </w:r>
          </w:p>
        </w:tc>
        <w:tc>
          <w:tcPr>
            <w:tcW w:w="1276" w:type="dxa"/>
            <w:tcBorders>
              <w:top w:val="nil"/>
              <w:left w:val="single" w:sz="4" w:space="0" w:color="auto"/>
              <w:bottom w:val="nil"/>
              <w:right w:val="nil"/>
            </w:tcBorders>
          </w:tcPr>
          <w:p w14:paraId="535ECDF5" w14:textId="77777777" w:rsidR="009657D1" w:rsidRPr="008932D4" w:rsidRDefault="009657D1" w:rsidP="009657D1">
            <w:pPr>
              <w:spacing w:after="0" w:line="240" w:lineRule="auto"/>
              <w:ind w:firstLine="34"/>
              <w:rPr>
                <w:rFonts w:cs="Times New Roman"/>
                <w:sz w:val="20"/>
                <w:szCs w:val="20"/>
              </w:rPr>
            </w:pPr>
          </w:p>
        </w:tc>
      </w:tr>
      <w:tr w:rsidR="009657D1" w:rsidRPr="008932D4" w14:paraId="5D6E5900" w14:textId="77777777" w:rsidTr="008177C7">
        <w:trPr>
          <w:trHeight w:val="288"/>
        </w:trPr>
        <w:tc>
          <w:tcPr>
            <w:tcW w:w="4390" w:type="dxa"/>
            <w:shd w:val="clear" w:color="auto" w:fill="auto"/>
            <w:noWrap/>
            <w:vAlign w:val="bottom"/>
          </w:tcPr>
          <w:p w14:paraId="408C9027" w14:textId="77777777" w:rsidR="009657D1" w:rsidRPr="00026C11" w:rsidRDefault="009657D1" w:rsidP="009657D1">
            <w:pPr>
              <w:spacing w:after="0" w:line="240" w:lineRule="auto"/>
              <w:ind w:firstLine="34"/>
              <w:jc w:val="center"/>
              <w:rPr>
                <w:rFonts w:cs="Times New Roman"/>
                <w:b/>
                <w:bCs/>
                <w:sz w:val="20"/>
                <w:szCs w:val="20"/>
              </w:rPr>
            </w:pPr>
            <w:r w:rsidRPr="00026C11">
              <w:rPr>
                <w:rFonts w:cs="Times New Roman"/>
                <w:b/>
                <w:bCs/>
                <w:sz w:val="20"/>
                <w:szCs w:val="20"/>
              </w:rPr>
              <w:t xml:space="preserve">-vidēji pie 0,4 </w:t>
            </w:r>
            <w:proofErr w:type="spellStart"/>
            <w:r w:rsidRPr="00026C11">
              <w:rPr>
                <w:rFonts w:cs="Times New Roman"/>
                <w:b/>
                <w:bCs/>
                <w:sz w:val="20"/>
                <w:szCs w:val="20"/>
              </w:rPr>
              <w:t>kV</w:t>
            </w:r>
            <w:proofErr w:type="spellEnd"/>
            <w:r w:rsidRPr="00026C11">
              <w:rPr>
                <w:rFonts w:cs="Times New Roman"/>
                <w:b/>
                <w:bCs/>
                <w:sz w:val="20"/>
                <w:szCs w:val="20"/>
              </w:rPr>
              <w:t xml:space="preserve"> sprieguma, EUR/</w:t>
            </w:r>
            <w:proofErr w:type="spellStart"/>
            <w:r w:rsidRPr="00026C11">
              <w:rPr>
                <w:rFonts w:cs="Times New Roman"/>
                <w:b/>
                <w:bCs/>
                <w:sz w:val="20"/>
                <w:szCs w:val="20"/>
              </w:rPr>
              <w:t>MWh</w:t>
            </w:r>
            <w:proofErr w:type="spellEnd"/>
          </w:p>
        </w:tc>
        <w:tc>
          <w:tcPr>
            <w:tcW w:w="2552" w:type="dxa"/>
            <w:gridSpan w:val="2"/>
            <w:vMerge/>
            <w:shd w:val="clear" w:color="auto" w:fill="auto"/>
            <w:noWrap/>
            <w:vAlign w:val="center"/>
          </w:tcPr>
          <w:p w14:paraId="6B830C32" w14:textId="77777777" w:rsidR="009657D1" w:rsidRDefault="009657D1" w:rsidP="009657D1">
            <w:pPr>
              <w:spacing w:after="0" w:line="240" w:lineRule="auto"/>
              <w:ind w:firstLine="34"/>
              <w:jc w:val="center"/>
              <w:rPr>
                <w:rFonts w:cs="Times New Roman"/>
                <w:b/>
                <w:sz w:val="20"/>
                <w:szCs w:val="20"/>
              </w:rPr>
            </w:pPr>
          </w:p>
        </w:tc>
        <w:tc>
          <w:tcPr>
            <w:tcW w:w="1191" w:type="dxa"/>
            <w:vMerge/>
            <w:shd w:val="clear" w:color="auto" w:fill="auto"/>
            <w:noWrap/>
            <w:vAlign w:val="center"/>
          </w:tcPr>
          <w:p w14:paraId="1D77C6D0" w14:textId="77777777" w:rsidR="009657D1" w:rsidRPr="006073B4" w:rsidRDefault="009657D1" w:rsidP="009657D1">
            <w:pPr>
              <w:spacing w:after="0" w:line="240" w:lineRule="auto"/>
              <w:ind w:firstLine="34"/>
              <w:jc w:val="center"/>
              <w:rPr>
                <w:rFonts w:cs="Times New Roman"/>
                <w:b/>
                <w:sz w:val="20"/>
                <w:szCs w:val="20"/>
              </w:rPr>
            </w:pPr>
          </w:p>
        </w:tc>
        <w:tc>
          <w:tcPr>
            <w:tcW w:w="1219" w:type="dxa"/>
            <w:shd w:val="clear" w:color="auto" w:fill="auto"/>
            <w:noWrap/>
            <w:vAlign w:val="center"/>
          </w:tcPr>
          <w:p w14:paraId="1712DBBA" w14:textId="77777777" w:rsidR="009657D1" w:rsidRPr="007E79F0" w:rsidRDefault="009657D1" w:rsidP="009657D1">
            <w:pPr>
              <w:spacing w:after="0" w:line="240" w:lineRule="auto"/>
              <w:ind w:firstLine="34"/>
              <w:jc w:val="center"/>
              <w:rPr>
                <w:rFonts w:cs="Times New Roman"/>
                <w:b/>
                <w:sz w:val="20"/>
                <w:szCs w:val="20"/>
              </w:rPr>
            </w:pPr>
            <w:r>
              <w:rPr>
                <w:rFonts w:cs="Times New Roman"/>
                <w:b/>
                <w:sz w:val="20"/>
                <w:szCs w:val="20"/>
              </w:rPr>
              <w:t>30,9</w:t>
            </w:r>
          </w:p>
        </w:tc>
        <w:tc>
          <w:tcPr>
            <w:tcW w:w="1267" w:type="dxa"/>
            <w:vMerge/>
            <w:shd w:val="clear" w:color="auto" w:fill="auto"/>
            <w:noWrap/>
            <w:vAlign w:val="center"/>
          </w:tcPr>
          <w:p w14:paraId="498430F5" w14:textId="77777777" w:rsidR="009657D1" w:rsidRPr="006073B4" w:rsidRDefault="009657D1" w:rsidP="009657D1">
            <w:pPr>
              <w:spacing w:after="0" w:line="240" w:lineRule="auto"/>
              <w:ind w:firstLine="34"/>
              <w:jc w:val="center"/>
              <w:rPr>
                <w:rFonts w:cs="Times New Roman"/>
                <w:b/>
                <w:sz w:val="20"/>
                <w:szCs w:val="20"/>
              </w:rPr>
            </w:pPr>
          </w:p>
        </w:tc>
        <w:tc>
          <w:tcPr>
            <w:tcW w:w="1284" w:type="dxa"/>
            <w:shd w:val="clear" w:color="auto" w:fill="auto"/>
            <w:noWrap/>
          </w:tcPr>
          <w:p w14:paraId="6F56FE4B"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31,0</w:t>
            </w:r>
          </w:p>
        </w:tc>
        <w:tc>
          <w:tcPr>
            <w:tcW w:w="1276" w:type="dxa"/>
            <w:tcBorders>
              <w:right w:val="single" w:sz="4" w:space="0" w:color="auto"/>
            </w:tcBorders>
            <w:shd w:val="clear" w:color="auto" w:fill="auto"/>
            <w:noWrap/>
            <w:vAlign w:val="center"/>
          </w:tcPr>
          <w:p w14:paraId="77667489"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31,16</w:t>
            </w:r>
          </w:p>
        </w:tc>
        <w:tc>
          <w:tcPr>
            <w:tcW w:w="1276" w:type="dxa"/>
            <w:tcBorders>
              <w:top w:val="nil"/>
              <w:left w:val="single" w:sz="4" w:space="0" w:color="auto"/>
              <w:bottom w:val="nil"/>
              <w:right w:val="nil"/>
            </w:tcBorders>
          </w:tcPr>
          <w:p w14:paraId="30919E30" w14:textId="77777777" w:rsidR="009657D1" w:rsidRPr="008932D4" w:rsidRDefault="009657D1" w:rsidP="009657D1">
            <w:pPr>
              <w:spacing w:after="0" w:line="240" w:lineRule="auto"/>
              <w:ind w:firstLine="34"/>
              <w:rPr>
                <w:rFonts w:cs="Times New Roman"/>
                <w:sz w:val="20"/>
                <w:szCs w:val="20"/>
              </w:rPr>
            </w:pPr>
          </w:p>
        </w:tc>
      </w:tr>
      <w:tr w:rsidR="009657D1" w:rsidRPr="008932D4" w14:paraId="1B80C278" w14:textId="77777777" w:rsidTr="008177C7">
        <w:trPr>
          <w:trHeight w:val="288"/>
        </w:trPr>
        <w:tc>
          <w:tcPr>
            <w:tcW w:w="4390" w:type="dxa"/>
            <w:shd w:val="clear" w:color="auto" w:fill="auto"/>
            <w:noWrap/>
            <w:vAlign w:val="bottom"/>
          </w:tcPr>
          <w:p w14:paraId="6D592C5D" w14:textId="77777777" w:rsidR="009657D1" w:rsidRPr="00026C11" w:rsidRDefault="009657D1" w:rsidP="009657D1">
            <w:pPr>
              <w:spacing w:after="0" w:line="240" w:lineRule="auto"/>
              <w:ind w:firstLine="34"/>
              <w:jc w:val="center"/>
              <w:rPr>
                <w:rFonts w:cs="Times New Roman"/>
                <w:b/>
                <w:bCs/>
                <w:sz w:val="20"/>
                <w:szCs w:val="20"/>
              </w:rPr>
            </w:pPr>
            <w:r w:rsidRPr="00026C11">
              <w:rPr>
                <w:rFonts w:cs="Times New Roman"/>
                <w:b/>
                <w:bCs/>
                <w:sz w:val="20"/>
                <w:szCs w:val="20"/>
              </w:rPr>
              <w:t xml:space="preserve">- vidēji pie 6-20 </w:t>
            </w:r>
            <w:proofErr w:type="spellStart"/>
            <w:r w:rsidRPr="00026C11">
              <w:rPr>
                <w:rFonts w:cs="Times New Roman"/>
                <w:b/>
                <w:bCs/>
                <w:sz w:val="20"/>
                <w:szCs w:val="20"/>
              </w:rPr>
              <w:t>kV</w:t>
            </w:r>
            <w:proofErr w:type="spellEnd"/>
            <w:r w:rsidRPr="00026C11">
              <w:rPr>
                <w:rFonts w:cs="Times New Roman"/>
                <w:b/>
                <w:bCs/>
                <w:sz w:val="20"/>
                <w:szCs w:val="20"/>
              </w:rPr>
              <w:t xml:space="preserve"> sprieguma, EUR/</w:t>
            </w:r>
            <w:proofErr w:type="spellStart"/>
            <w:r w:rsidRPr="00026C11">
              <w:rPr>
                <w:rFonts w:cs="Times New Roman"/>
                <w:b/>
                <w:bCs/>
                <w:sz w:val="20"/>
                <w:szCs w:val="20"/>
              </w:rPr>
              <w:t>MWh</w:t>
            </w:r>
            <w:proofErr w:type="spellEnd"/>
          </w:p>
        </w:tc>
        <w:tc>
          <w:tcPr>
            <w:tcW w:w="2552" w:type="dxa"/>
            <w:gridSpan w:val="2"/>
            <w:vMerge/>
            <w:shd w:val="clear" w:color="auto" w:fill="auto"/>
            <w:noWrap/>
            <w:vAlign w:val="center"/>
          </w:tcPr>
          <w:p w14:paraId="1107E40C" w14:textId="77777777" w:rsidR="009657D1" w:rsidRDefault="009657D1" w:rsidP="009657D1">
            <w:pPr>
              <w:spacing w:after="0" w:line="240" w:lineRule="auto"/>
              <w:ind w:firstLine="34"/>
              <w:jc w:val="center"/>
              <w:rPr>
                <w:rFonts w:cs="Times New Roman"/>
                <w:b/>
                <w:sz w:val="20"/>
                <w:szCs w:val="20"/>
              </w:rPr>
            </w:pPr>
          </w:p>
        </w:tc>
        <w:tc>
          <w:tcPr>
            <w:tcW w:w="1191" w:type="dxa"/>
            <w:vMerge/>
            <w:shd w:val="clear" w:color="auto" w:fill="auto"/>
            <w:noWrap/>
            <w:vAlign w:val="center"/>
          </w:tcPr>
          <w:p w14:paraId="76C4685D" w14:textId="77777777" w:rsidR="009657D1" w:rsidRPr="006073B4" w:rsidRDefault="009657D1" w:rsidP="009657D1">
            <w:pPr>
              <w:spacing w:after="0" w:line="240" w:lineRule="auto"/>
              <w:ind w:firstLine="34"/>
              <w:jc w:val="center"/>
              <w:rPr>
                <w:rFonts w:cs="Times New Roman"/>
                <w:b/>
                <w:sz w:val="20"/>
                <w:szCs w:val="20"/>
              </w:rPr>
            </w:pPr>
          </w:p>
        </w:tc>
        <w:tc>
          <w:tcPr>
            <w:tcW w:w="1219" w:type="dxa"/>
            <w:shd w:val="clear" w:color="auto" w:fill="auto"/>
            <w:noWrap/>
            <w:vAlign w:val="center"/>
          </w:tcPr>
          <w:p w14:paraId="67E4A6FA" w14:textId="77777777" w:rsidR="009657D1" w:rsidRPr="007E79F0" w:rsidRDefault="009657D1" w:rsidP="009657D1">
            <w:pPr>
              <w:spacing w:after="0" w:line="240" w:lineRule="auto"/>
              <w:ind w:firstLine="34"/>
              <w:jc w:val="center"/>
              <w:rPr>
                <w:rFonts w:cs="Times New Roman"/>
                <w:b/>
                <w:sz w:val="20"/>
                <w:szCs w:val="20"/>
              </w:rPr>
            </w:pPr>
            <w:r w:rsidRPr="007E79F0">
              <w:rPr>
                <w:rFonts w:cs="Times New Roman"/>
                <w:b/>
                <w:sz w:val="20"/>
                <w:szCs w:val="20"/>
              </w:rPr>
              <w:t>22,</w:t>
            </w:r>
            <w:r>
              <w:rPr>
                <w:rFonts w:cs="Times New Roman"/>
                <w:b/>
                <w:sz w:val="20"/>
                <w:szCs w:val="20"/>
              </w:rPr>
              <w:t>9</w:t>
            </w:r>
          </w:p>
        </w:tc>
        <w:tc>
          <w:tcPr>
            <w:tcW w:w="1267" w:type="dxa"/>
            <w:vMerge/>
            <w:shd w:val="clear" w:color="auto" w:fill="auto"/>
            <w:noWrap/>
            <w:vAlign w:val="center"/>
          </w:tcPr>
          <w:p w14:paraId="49E6B3F0" w14:textId="77777777" w:rsidR="009657D1" w:rsidRPr="006073B4" w:rsidRDefault="009657D1" w:rsidP="009657D1">
            <w:pPr>
              <w:spacing w:after="0" w:line="240" w:lineRule="auto"/>
              <w:ind w:firstLine="34"/>
              <w:jc w:val="center"/>
              <w:rPr>
                <w:rFonts w:cs="Times New Roman"/>
                <w:b/>
                <w:sz w:val="20"/>
                <w:szCs w:val="20"/>
              </w:rPr>
            </w:pPr>
          </w:p>
        </w:tc>
        <w:tc>
          <w:tcPr>
            <w:tcW w:w="1284" w:type="dxa"/>
            <w:shd w:val="clear" w:color="auto" w:fill="auto"/>
            <w:noWrap/>
          </w:tcPr>
          <w:p w14:paraId="3291E657"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22,7</w:t>
            </w:r>
          </w:p>
        </w:tc>
        <w:tc>
          <w:tcPr>
            <w:tcW w:w="1276" w:type="dxa"/>
            <w:tcBorders>
              <w:right w:val="single" w:sz="4" w:space="0" w:color="auto"/>
            </w:tcBorders>
            <w:shd w:val="clear" w:color="auto" w:fill="auto"/>
            <w:noWrap/>
            <w:vAlign w:val="center"/>
          </w:tcPr>
          <w:p w14:paraId="223E5D84"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22,4</w:t>
            </w:r>
          </w:p>
        </w:tc>
        <w:tc>
          <w:tcPr>
            <w:tcW w:w="1276" w:type="dxa"/>
            <w:tcBorders>
              <w:top w:val="nil"/>
              <w:left w:val="single" w:sz="4" w:space="0" w:color="auto"/>
              <w:bottom w:val="nil"/>
              <w:right w:val="nil"/>
            </w:tcBorders>
          </w:tcPr>
          <w:p w14:paraId="4D96567C" w14:textId="77777777" w:rsidR="009657D1" w:rsidRPr="008932D4" w:rsidRDefault="009657D1" w:rsidP="009657D1">
            <w:pPr>
              <w:spacing w:after="0" w:line="240" w:lineRule="auto"/>
              <w:ind w:firstLine="34"/>
              <w:rPr>
                <w:rFonts w:cs="Times New Roman"/>
                <w:sz w:val="20"/>
                <w:szCs w:val="20"/>
              </w:rPr>
            </w:pPr>
          </w:p>
        </w:tc>
      </w:tr>
      <w:tr w:rsidR="009657D1" w:rsidRPr="008932D4" w14:paraId="6B26FA52" w14:textId="77777777" w:rsidTr="008177C7">
        <w:trPr>
          <w:trHeight w:val="288"/>
        </w:trPr>
        <w:tc>
          <w:tcPr>
            <w:tcW w:w="4390" w:type="dxa"/>
            <w:shd w:val="clear" w:color="auto" w:fill="auto"/>
            <w:noWrap/>
            <w:vAlign w:val="bottom"/>
          </w:tcPr>
          <w:p w14:paraId="35B12CE4" w14:textId="77777777" w:rsidR="009657D1" w:rsidRPr="00026C11" w:rsidRDefault="009657D1" w:rsidP="009657D1">
            <w:pPr>
              <w:spacing w:after="0" w:line="240" w:lineRule="auto"/>
              <w:ind w:firstLine="34"/>
              <w:jc w:val="center"/>
              <w:rPr>
                <w:rFonts w:cs="Times New Roman"/>
                <w:b/>
                <w:bCs/>
                <w:sz w:val="20"/>
                <w:szCs w:val="20"/>
              </w:rPr>
            </w:pPr>
            <w:r w:rsidRPr="00026C11">
              <w:rPr>
                <w:rFonts w:cs="Times New Roman"/>
                <w:b/>
                <w:bCs/>
                <w:sz w:val="20"/>
                <w:szCs w:val="20"/>
              </w:rPr>
              <w:t xml:space="preserve">- vidēji pie 110 </w:t>
            </w:r>
            <w:proofErr w:type="spellStart"/>
            <w:r w:rsidRPr="00026C11">
              <w:rPr>
                <w:rFonts w:cs="Times New Roman"/>
                <w:b/>
                <w:bCs/>
                <w:sz w:val="20"/>
                <w:szCs w:val="20"/>
              </w:rPr>
              <w:t>kV</w:t>
            </w:r>
            <w:proofErr w:type="spellEnd"/>
            <w:r w:rsidRPr="00026C11">
              <w:rPr>
                <w:rFonts w:cs="Times New Roman"/>
                <w:b/>
                <w:bCs/>
                <w:sz w:val="20"/>
                <w:szCs w:val="20"/>
              </w:rPr>
              <w:t xml:space="preserve"> sprieguma, EUR/</w:t>
            </w:r>
            <w:proofErr w:type="spellStart"/>
            <w:r w:rsidRPr="00026C11">
              <w:rPr>
                <w:rFonts w:cs="Times New Roman"/>
                <w:b/>
                <w:bCs/>
                <w:sz w:val="20"/>
                <w:szCs w:val="20"/>
              </w:rPr>
              <w:t>MWh</w:t>
            </w:r>
            <w:proofErr w:type="spellEnd"/>
          </w:p>
        </w:tc>
        <w:tc>
          <w:tcPr>
            <w:tcW w:w="2552" w:type="dxa"/>
            <w:gridSpan w:val="2"/>
            <w:vMerge/>
            <w:shd w:val="clear" w:color="auto" w:fill="auto"/>
            <w:noWrap/>
            <w:vAlign w:val="center"/>
          </w:tcPr>
          <w:p w14:paraId="6914029D" w14:textId="77777777" w:rsidR="009657D1" w:rsidRDefault="009657D1" w:rsidP="009657D1">
            <w:pPr>
              <w:spacing w:after="0" w:line="240" w:lineRule="auto"/>
              <w:ind w:firstLine="34"/>
              <w:jc w:val="center"/>
              <w:rPr>
                <w:rFonts w:cs="Times New Roman"/>
                <w:b/>
                <w:sz w:val="20"/>
                <w:szCs w:val="20"/>
              </w:rPr>
            </w:pPr>
          </w:p>
        </w:tc>
        <w:tc>
          <w:tcPr>
            <w:tcW w:w="1191" w:type="dxa"/>
            <w:vMerge/>
            <w:shd w:val="clear" w:color="auto" w:fill="auto"/>
            <w:noWrap/>
            <w:vAlign w:val="center"/>
          </w:tcPr>
          <w:p w14:paraId="3FB52E6E" w14:textId="77777777" w:rsidR="009657D1" w:rsidRPr="006073B4" w:rsidRDefault="009657D1" w:rsidP="009657D1">
            <w:pPr>
              <w:spacing w:after="0" w:line="240" w:lineRule="auto"/>
              <w:ind w:firstLine="34"/>
              <w:jc w:val="center"/>
              <w:rPr>
                <w:rFonts w:cs="Times New Roman"/>
                <w:b/>
                <w:sz w:val="20"/>
                <w:szCs w:val="20"/>
              </w:rPr>
            </w:pPr>
          </w:p>
        </w:tc>
        <w:tc>
          <w:tcPr>
            <w:tcW w:w="1219" w:type="dxa"/>
            <w:shd w:val="clear" w:color="auto" w:fill="auto"/>
            <w:noWrap/>
            <w:vAlign w:val="center"/>
          </w:tcPr>
          <w:p w14:paraId="24C3134B" w14:textId="77777777" w:rsidR="009657D1" w:rsidRPr="007E79F0" w:rsidRDefault="009657D1" w:rsidP="009657D1">
            <w:pPr>
              <w:spacing w:after="0" w:line="240" w:lineRule="auto"/>
              <w:ind w:firstLine="34"/>
              <w:jc w:val="center"/>
              <w:rPr>
                <w:rFonts w:cs="Times New Roman"/>
                <w:b/>
                <w:sz w:val="20"/>
                <w:szCs w:val="20"/>
              </w:rPr>
            </w:pPr>
            <w:r w:rsidRPr="007E79F0">
              <w:rPr>
                <w:rFonts w:cs="Times New Roman"/>
                <w:b/>
                <w:sz w:val="20"/>
                <w:szCs w:val="20"/>
              </w:rPr>
              <w:t>19,</w:t>
            </w:r>
            <w:r>
              <w:rPr>
                <w:rFonts w:cs="Times New Roman"/>
                <w:b/>
                <w:sz w:val="20"/>
                <w:szCs w:val="20"/>
              </w:rPr>
              <w:t>9</w:t>
            </w:r>
          </w:p>
        </w:tc>
        <w:tc>
          <w:tcPr>
            <w:tcW w:w="1267" w:type="dxa"/>
            <w:vMerge/>
            <w:shd w:val="clear" w:color="auto" w:fill="auto"/>
            <w:noWrap/>
            <w:vAlign w:val="center"/>
          </w:tcPr>
          <w:p w14:paraId="6AC7FC36" w14:textId="77777777" w:rsidR="009657D1" w:rsidRPr="006073B4" w:rsidRDefault="009657D1" w:rsidP="009657D1">
            <w:pPr>
              <w:spacing w:after="0" w:line="240" w:lineRule="auto"/>
              <w:ind w:firstLine="34"/>
              <w:jc w:val="center"/>
              <w:rPr>
                <w:rFonts w:cs="Times New Roman"/>
                <w:b/>
                <w:sz w:val="20"/>
                <w:szCs w:val="20"/>
              </w:rPr>
            </w:pPr>
          </w:p>
        </w:tc>
        <w:tc>
          <w:tcPr>
            <w:tcW w:w="1284" w:type="dxa"/>
            <w:shd w:val="clear" w:color="auto" w:fill="auto"/>
            <w:noWrap/>
          </w:tcPr>
          <w:p w14:paraId="152386E6"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19,8</w:t>
            </w:r>
          </w:p>
        </w:tc>
        <w:tc>
          <w:tcPr>
            <w:tcW w:w="1276" w:type="dxa"/>
            <w:tcBorders>
              <w:right w:val="single" w:sz="4" w:space="0" w:color="auto"/>
            </w:tcBorders>
            <w:shd w:val="clear" w:color="auto" w:fill="auto"/>
            <w:noWrap/>
            <w:vAlign w:val="center"/>
          </w:tcPr>
          <w:p w14:paraId="0EFAF2F5" w14:textId="77777777" w:rsidR="009657D1" w:rsidRPr="00846A74" w:rsidRDefault="009657D1" w:rsidP="009657D1">
            <w:pPr>
              <w:spacing w:after="0" w:line="240" w:lineRule="auto"/>
              <w:ind w:firstLine="34"/>
              <w:jc w:val="center"/>
              <w:rPr>
                <w:rFonts w:cs="Times New Roman"/>
                <w:b/>
                <w:sz w:val="20"/>
                <w:szCs w:val="20"/>
              </w:rPr>
            </w:pPr>
            <w:r>
              <w:rPr>
                <w:rFonts w:cs="Times New Roman"/>
                <w:b/>
                <w:sz w:val="20"/>
                <w:szCs w:val="20"/>
              </w:rPr>
              <w:t>19,7</w:t>
            </w:r>
          </w:p>
        </w:tc>
        <w:tc>
          <w:tcPr>
            <w:tcW w:w="1276" w:type="dxa"/>
            <w:tcBorders>
              <w:top w:val="nil"/>
              <w:left w:val="single" w:sz="4" w:space="0" w:color="auto"/>
              <w:bottom w:val="nil"/>
              <w:right w:val="nil"/>
            </w:tcBorders>
          </w:tcPr>
          <w:p w14:paraId="4C476CD5" w14:textId="77777777" w:rsidR="009657D1" w:rsidRPr="008932D4" w:rsidRDefault="009657D1" w:rsidP="009657D1">
            <w:pPr>
              <w:spacing w:after="0" w:line="240" w:lineRule="auto"/>
              <w:ind w:firstLine="34"/>
              <w:rPr>
                <w:rFonts w:cs="Times New Roman"/>
                <w:sz w:val="20"/>
                <w:szCs w:val="20"/>
              </w:rPr>
            </w:pPr>
          </w:p>
        </w:tc>
      </w:tr>
    </w:tbl>
    <w:p w14:paraId="515E1EEA" w14:textId="77777777" w:rsidR="00FE3295" w:rsidRDefault="00FE3295" w:rsidP="00FE3295">
      <w:pPr>
        <w:spacing w:after="0" w:line="240" w:lineRule="auto"/>
        <w:ind w:firstLine="851"/>
        <w:rPr>
          <w:sz w:val="28"/>
          <w:szCs w:val="28"/>
        </w:rPr>
      </w:pPr>
    </w:p>
    <w:p w14:paraId="22D4CC0E" w14:textId="77777777" w:rsidR="00FE3295" w:rsidRPr="00D116AC" w:rsidRDefault="007C65E6" w:rsidP="00FE3295">
      <w:pPr>
        <w:pStyle w:val="Caption"/>
        <w:keepNext/>
        <w:jc w:val="right"/>
        <w:rPr>
          <w:rFonts w:ascii="Times New Roman" w:hAnsi="Times New Roman"/>
          <w:sz w:val="24"/>
          <w:szCs w:val="24"/>
        </w:rPr>
      </w:pPr>
      <w:r>
        <w:rPr>
          <w:rFonts w:ascii="Times New Roman" w:hAnsi="Times New Roman"/>
          <w:sz w:val="24"/>
          <w:szCs w:val="24"/>
        </w:rPr>
        <w:t>18</w:t>
      </w:r>
      <w:r w:rsidR="00FE3295" w:rsidRPr="00D116AC">
        <w:rPr>
          <w:rFonts w:ascii="Times New Roman" w:hAnsi="Times New Roman"/>
          <w:sz w:val="24"/>
          <w:szCs w:val="24"/>
        </w:rPr>
        <w:t>.tabula</w:t>
      </w:r>
    </w:p>
    <w:p w14:paraId="58A4EEC8" w14:textId="77777777" w:rsidR="00FE3295" w:rsidRPr="00A60F7B" w:rsidRDefault="00FE3295" w:rsidP="00FE3295">
      <w:pPr>
        <w:pStyle w:val="Caption"/>
        <w:keepNext/>
        <w:keepLines/>
        <w:widowControl/>
        <w:jc w:val="center"/>
        <w:rPr>
          <w:rFonts w:ascii="Times New Roman" w:hAnsi="Times New Roman"/>
          <w:sz w:val="24"/>
          <w:szCs w:val="24"/>
        </w:rPr>
      </w:pPr>
      <w:r w:rsidRPr="00A60F7B">
        <w:rPr>
          <w:rFonts w:ascii="Times New Roman" w:hAnsi="Times New Roman"/>
          <w:sz w:val="24"/>
          <w:szCs w:val="24"/>
        </w:rPr>
        <w:t>Valsts budžetā iemaksājamās AS "Latvenergo" dividendes, EUR</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394"/>
        <w:gridCol w:w="1393"/>
        <w:gridCol w:w="1300"/>
        <w:gridCol w:w="1331"/>
        <w:gridCol w:w="1383"/>
        <w:gridCol w:w="1402"/>
        <w:gridCol w:w="1393"/>
      </w:tblGrid>
      <w:tr w:rsidR="00FE3295" w:rsidRPr="00A60F7B" w14:paraId="4B6D0B21" w14:textId="77777777" w:rsidTr="005A635B">
        <w:trPr>
          <w:trHeight w:val="288"/>
        </w:trPr>
        <w:tc>
          <w:tcPr>
            <w:tcW w:w="3823" w:type="dxa"/>
            <w:shd w:val="clear" w:color="auto" w:fill="auto"/>
            <w:noWrap/>
            <w:vAlign w:val="bottom"/>
          </w:tcPr>
          <w:p w14:paraId="4A694340" w14:textId="77777777" w:rsidR="00FE3295" w:rsidRPr="00A60F7B" w:rsidRDefault="00FE3295" w:rsidP="005A635B">
            <w:pPr>
              <w:spacing w:after="0" w:line="240" w:lineRule="auto"/>
              <w:ind w:firstLine="34"/>
              <w:rPr>
                <w:rFonts w:cs="Times New Roman"/>
                <w:sz w:val="20"/>
                <w:szCs w:val="20"/>
              </w:rPr>
            </w:pPr>
          </w:p>
        </w:tc>
        <w:tc>
          <w:tcPr>
            <w:tcW w:w="2787" w:type="dxa"/>
            <w:gridSpan w:val="2"/>
            <w:shd w:val="clear" w:color="auto" w:fill="auto"/>
            <w:noWrap/>
            <w:vAlign w:val="center"/>
          </w:tcPr>
          <w:p w14:paraId="4345CADD"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2016</w:t>
            </w:r>
          </w:p>
        </w:tc>
        <w:tc>
          <w:tcPr>
            <w:tcW w:w="2631" w:type="dxa"/>
            <w:gridSpan w:val="2"/>
            <w:shd w:val="clear" w:color="auto" w:fill="auto"/>
            <w:noWrap/>
            <w:vAlign w:val="center"/>
          </w:tcPr>
          <w:p w14:paraId="6784473D"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2017</w:t>
            </w:r>
          </w:p>
        </w:tc>
        <w:tc>
          <w:tcPr>
            <w:tcW w:w="2785" w:type="dxa"/>
            <w:gridSpan w:val="2"/>
            <w:shd w:val="clear" w:color="auto" w:fill="auto"/>
            <w:noWrap/>
            <w:vAlign w:val="center"/>
          </w:tcPr>
          <w:p w14:paraId="58ADEFE3"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2018</w:t>
            </w:r>
          </w:p>
        </w:tc>
        <w:tc>
          <w:tcPr>
            <w:tcW w:w="1393" w:type="dxa"/>
            <w:tcBorders>
              <w:right w:val="single" w:sz="4" w:space="0" w:color="auto"/>
            </w:tcBorders>
            <w:shd w:val="clear" w:color="auto" w:fill="auto"/>
            <w:noWrap/>
            <w:vAlign w:val="center"/>
          </w:tcPr>
          <w:p w14:paraId="23D8B38E"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2019</w:t>
            </w:r>
          </w:p>
        </w:tc>
      </w:tr>
      <w:tr w:rsidR="00FE3295" w:rsidRPr="00A60F7B" w14:paraId="4C3B53E8" w14:textId="77777777" w:rsidTr="005A635B">
        <w:trPr>
          <w:trHeight w:val="288"/>
        </w:trPr>
        <w:tc>
          <w:tcPr>
            <w:tcW w:w="3823" w:type="dxa"/>
            <w:shd w:val="clear" w:color="auto" w:fill="auto"/>
            <w:noWrap/>
            <w:vAlign w:val="bottom"/>
            <w:hideMark/>
          </w:tcPr>
          <w:p w14:paraId="3150C1D6" w14:textId="77777777" w:rsidR="00FE3295" w:rsidRPr="00A60F7B" w:rsidRDefault="00FE3295" w:rsidP="005A635B">
            <w:pPr>
              <w:spacing w:after="0" w:line="240" w:lineRule="auto"/>
              <w:ind w:firstLine="34"/>
              <w:rPr>
                <w:rFonts w:cs="Times New Roman"/>
                <w:sz w:val="20"/>
                <w:szCs w:val="20"/>
              </w:rPr>
            </w:pPr>
          </w:p>
        </w:tc>
        <w:tc>
          <w:tcPr>
            <w:tcW w:w="1394" w:type="dxa"/>
            <w:shd w:val="clear" w:color="auto" w:fill="auto"/>
            <w:noWrap/>
            <w:vAlign w:val="center"/>
            <w:hideMark/>
          </w:tcPr>
          <w:p w14:paraId="02290836"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Budžets</w:t>
            </w:r>
          </w:p>
        </w:tc>
        <w:tc>
          <w:tcPr>
            <w:tcW w:w="1393" w:type="dxa"/>
            <w:shd w:val="clear" w:color="auto" w:fill="auto"/>
            <w:noWrap/>
            <w:vAlign w:val="center"/>
            <w:hideMark/>
          </w:tcPr>
          <w:p w14:paraId="7B2CAE72"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prognoze</w:t>
            </w:r>
          </w:p>
        </w:tc>
        <w:tc>
          <w:tcPr>
            <w:tcW w:w="1300" w:type="dxa"/>
            <w:shd w:val="clear" w:color="auto" w:fill="auto"/>
            <w:noWrap/>
            <w:vAlign w:val="center"/>
            <w:hideMark/>
          </w:tcPr>
          <w:p w14:paraId="7C2D3968"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2015. gada prognoze</w:t>
            </w:r>
          </w:p>
        </w:tc>
        <w:tc>
          <w:tcPr>
            <w:tcW w:w="1331" w:type="dxa"/>
            <w:shd w:val="clear" w:color="auto" w:fill="auto"/>
            <w:noWrap/>
            <w:vAlign w:val="center"/>
            <w:hideMark/>
          </w:tcPr>
          <w:p w14:paraId="6E005492"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prognoze</w:t>
            </w:r>
          </w:p>
        </w:tc>
        <w:tc>
          <w:tcPr>
            <w:tcW w:w="1383" w:type="dxa"/>
            <w:shd w:val="clear" w:color="auto" w:fill="auto"/>
            <w:noWrap/>
            <w:vAlign w:val="center"/>
            <w:hideMark/>
          </w:tcPr>
          <w:p w14:paraId="1DB966BE"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2015. gada prognoze</w:t>
            </w:r>
          </w:p>
        </w:tc>
        <w:tc>
          <w:tcPr>
            <w:tcW w:w="1402" w:type="dxa"/>
            <w:shd w:val="clear" w:color="auto" w:fill="auto"/>
            <w:noWrap/>
            <w:vAlign w:val="center"/>
            <w:hideMark/>
          </w:tcPr>
          <w:p w14:paraId="6CA74AAE"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prognoze</w:t>
            </w:r>
          </w:p>
        </w:tc>
        <w:tc>
          <w:tcPr>
            <w:tcW w:w="1393" w:type="dxa"/>
            <w:tcBorders>
              <w:right w:val="single" w:sz="4" w:space="0" w:color="auto"/>
            </w:tcBorders>
            <w:shd w:val="clear" w:color="auto" w:fill="auto"/>
            <w:noWrap/>
            <w:vAlign w:val="center"/>
            <w:hideMark/>
          </w:tcPr>
          <w:p w14:paraId="68E8F63C" w14:textId="77777777" w:rsidR="00FE3295" w:rsidRPr="00A60F7B" w:rsidRDefault="00FE3295" w:rsidP="005A635B">
            <w:pPr>
              <w:spacing w:after="0" w:line="240" w:lineRule="auto"/>
              <w:ind w:firstLine="34"/>
              <w:jc w:val="center"/>
              <w:rPr>
                <w:rFonts w:cs="Times New Roman"/>
                <w:sz w:val="20"/>
                <w:szCs w:val="20"/>
              </w:rPr>
            </w:pPr>
            <w:r w:rsidRPr="00A60F7B">
              <w:rPr>
                <w:rFonts w:cs="Times New Roman"/>
                <w:b/>
                <w:bCs/>
                <w:sz w:val="20"/>
                <w:szCs w:val="20"/>
              </w:rPr>
              <w:t>prognoze</w:t>
            </w:r>
          </w:p>
        </w:tc>
      </w:tr>
      <w:tr w:rsidR="009507A1" w:rsidRPr="00A60F7B" w14:paraId="7F989DBC" w14:textId="77777777" w:rsidTr="0068316B">
        <w:trPr>
          <w:trHeight w:val="288"/>
        </w:trPr>
        <w:tc>
          <w:tcPr>
            <w:tcW w:w="3823" w:type="dxa"/>
            <w:shd w:val="clear" w:color="auto" w:fill="auto"/>
            <w:noWrap/>
            <w:vAlign w:val="center"/>
            <w:hideMark/>
          </w:tcPr>
          <w:p w14:paraId="1B0ECBA4" w14:textId="77777777" w:rsidR="009507A1" w:rsidRPr="00A60F7B" w:rsidRDefault="009507A1" w:rsidP="009507A1">
            <w:pPr>
              <w:spacing w:after="0" w:line="240" w:lineRule="auto"/>
              <w:ind w:firstLine="34"/>
              <w:jc w:val="center"/>
              <w:rPr>
                <w:rFonts w:cs="Times New Roman"/>
                <w:b/>
                <w:bCs/>
                <w:sz w:val="20"/>
                <w:szCs w:val="20"/>
              </w:rPr>
            </w:pPr>
            <w:r w:rsidRPr="00A60F7B">
              <w:rPr>
                <w:rFonts w:cs="Times New Roman"/>
                <w:b/>
                <w:bCs/>
                <w:sz w:val="20"/>
                <w:szCs w:val="20"/>
              </w:rPr>
              <w:t>AS "Latvenergo" dividendes, tajā skaitā</w:t>
            </w:r>
          </w:p>
        </w:tc>
        <w:tc>
          <w:tcPr>
            <w:tcW w:w="1394" w:type="dxa"/>
            <w:shd w:val="clear" w:color="auto" w:fill="auto"/>
            <w:noWrap/>
            <w:vAlign w:val="bottom"/>
            <w:hideMark/>
          </w:tcPr>
          <w:p w14:paraId="21A71CAF" w14:textId="77777777"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77 413 486</w:t>
            </w:r>
          </w:p>
        </w:tc>
        <w:tc>
          <w:tcPr>
            <w:tcW w:w="1393" w:type="dxa"/>
            <w:shd w:val="clear" w:color="auto" w:fill="auto"/>
            <w:noWrap/>
            <w:vAlign w:val="bottom"/>
            <w:hideMark/>
          </w:tcPr>
          <w:p w14:paraId="230431B4" w14:textId="77777777"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77 413 486</w:t>
            </w:r>
          </w:p>
        </w:tc>
        <w:tc>
          <w:tcPr>
            <w:tcW w:w="1300" w:type="dxa"/>
            <w:shd w:val="clear" w:color="auto" w:fill="auto"/>
            <w:noWrap/>
            <w:vAlign w:val="bottom"/>
            <w:hideMark/>
          </w:tcPr>
          <w:p w14:paraId="72F38ED8" w14:textId="77777777"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102 759 955</w:t>
            </w:r>
          </w:p>
        </w:tc>
        <w:tc>
          <w:tcPr>
            <w:tcW w:w="1331" w:type="dxa"/>
            <w:shd w:val="clear" w:color="auto" w:fill="auto"/>
            <w:noWrap/>
            <w:vAlign w:val="bottom"/>
            <w:hideMark/>
          </w:tcPr>
          <w:p w14:paraId="04BBE71D" w14:textId="77777777"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85 441 835</w:t>
            </w:r>
          </w:p>
        </w:tc>
        <w:tc>
          <w:tcPr>
            <w:tcW w:w="1383" w:type="dxa"/>
            <w:shd w:val="clear" w:color="auto" w:fill="auto"/>
            <w:noWrap/>
            <w:vAlign w:val="bottom"/>
            <w:hideMark/>
          </w:tcPr>
          <w:p w14:paraId="379DF3B7" w14:textId="77777777"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111 452 620</w:t>
            </w:r>
          </w:p>
        </w:tc>
        <w:tc>
          <w:tcPr>
            <w:tcW w:w="1402" w:type="dxa"/>
            <w:shd w:val="clear" w:color="auto" w:fill="auto"/>
            <w:noWrap/>
            <w:vAlign w:val="bottom"/>
            <w:hideMark/>
          </w:tcPr>
          <w:p w14:paraId="419B8574" w14:textId="60935891"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117 048</w:t>
            </w:r>
            <w:r w:rsidR="00E14981">
              <w:rPr>
                <w:rFonts w:cs="Times New Roman"/>
                <w:b/>
                <w:bCs/>
                <w:color w:val="000000"/>
                <w:sz w:val="20"/>
              </w:rPr>
              <w:t> </w:t>
            </w:r>
            <w:r w:rsidRPr="009507A1">
              <w:rPr>
                <w:rFonts w:cs="Times New Roman"/>
                <w:b/>
                <w:bCs/>
                <w:color w:val="000000"/>
                <w:sz w:val="20"/>
              </w:rPr>
              <w:t>431</w:t>
            </w:r>
          </w:p>
        </w:tc>
        <w:tc>
          <w:tcPr>
            <w:tcW w:w="1393" w:type="dxa"/>
            <w:tcBorders>
              <w:right w:val="single" w:sz="4" w:space="0" w:color="auto"/>
            </w:tcBorders>
            <w:shd w:val="clear" w:color="auto" w:fill="auto"/>
            <w:noWrap/>
            <w:vAlign w:val="bottom"/>
            <w:hideMark/>
          </w:tcPr>
          <w:p w14:paraId="065B820B" w14:textId="0FB989F8" w:rsidR="009507A1" w:rsidRPr="009507A1" w:rsidRDefault="009507A1" w:rsidP="009507A1">
            <w:pPr>
              <w:spacing w:after="0" w:line="240" w:lineRule="auto"/>
              <w:ind w:firstLine="34"/>
              <w:jc w:val="center"/>
              <w:rPr>
                <w:rFonts w:cs="Times New Roman"/>
                <w:b/>
                <w:bCs/>
                <w:color w:val="000000"/>
                <w:sz w:val="20"/>
              </w:rPr>
            </w:pPr>
            <w:r w:rsidRPr="009507A1">
              <w:rPr>
                <w:rFonts w:cs="Times New Roman"/>
                <w:b/>
                <w:bCs/>
                <w:color w:val="000000"/>
                <w:sz w:val="20"/>
              </w:rPr>
              <w:t>124 820</w:t>
            </w:r>
            <w:r w:rsidR="00E14981">
              <w:rPr>
                <w:rFonts w:cs="Times New Roman"/>
                <w:b/>
                <w:bCs/>
                <w:color w:val="000000"/>
                <w:sz w:val="20"/>
              </w:rPr>
              <w:t> </w:t>
            </w:r>
            <w:r w:rsidRPr="009507A1">
              <w:rPr>
                <w:rFonts w:cs="Times New Roman"/>
                <w:b/>
                <w:bCs/>
                <w:color w:val="000000"/>
                <w:sz w:val="20"/>
              </w:rPr>
              <w:t>916</w:t>
            </w:r>
          </w:p>
        </w:tc>
      </w:tr>
      <w:tr w:rsidR="00393FA6" w:rsidRPr="00A60F7B" w14:paraId="70D148E2" w14:textId="77777777" w:rsidTr="005B54FE">
        <w:trPr>
          <w:trHeight w:val="288"/>
        </w:trPr>
        <w:tc>
          <w:tcPr>
            <w:tcW w:w="3823" w:type="dxa"/>
            <w:shd w:val="clear" w:color="auto" w:fill="auto"/>
            <w:noWrap/>
            <w:vAlign w:val="center"/>
            <w:hideMark/>
          </w:tcPr>
          <w:p w14:paraId="1CE828EA" w14:textId="77777777" w:rsidR="00393FA6" w:rsidRPr="00A60F7B" w:rsidRDefault="00393FA6" w:rsidP="00393FA6">
            <w:pPr>
              <w:spacing w:after="0" w:line="240" w:lineRule="auto"/>
              <w:ind w:firstLine="34"/>
              <w:jc w:val="center"/>
              <w:rPr>
                <w:rFonts w:cs="Times New Roman"/>
                <w:sz w:val="20"/>
                <w:szCs w:val="20"/>
              </w:rPr>
            </w:pPr>
            <w:r w:rsidRPr="00A60F7B">
              <w:rPr>
                <w:rFonts w:cs="Times New Roman"/>
                <w:sz w:val="20"/>
                <w:szCs w:val="20"/>
              </w:rPr>
              <w:t>tostarp komplekso risinājumu elektroenerģijas tirgū novirzāmā daļa</w:t>
            </w:r>
          </w:p>
        </w:tc>
        <w:tc>
          <w:tcPr>
            <w:tcW w:w="1394" w:type="dxa"/>
            <w:shd w:val="clear" w:color="auto" w:fill="auto"/>
            <w:noWrap/>
            <w:vAlign w:val="center"/>
            <w:hideMark/>
          </w:tcPr>
          <w:p w14:paraId="117656FA"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23 665 609</w:t>
            </w:r>
          </w:p>
        </w:tc>
        <w:tc>
          <w:tcPr>
            <w:tcW w:w="1393" w:type="dxa"/>
            <w:shd w:val="clear" w:color="auto" w:fill="auto"/>
            <w:noWrap/>
            <w:vAlign w:val="center"/>
            <w:hideMark/>
          </w:tcPr>
          <w:p w14:paraId="03F3709E"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23 665 609</w:t>
            </w:r>
          </w:p>
        </w:tc>
        <w:tc>
          <w:tcPr>
            <w:tcW w:w="1300" w:type="dxa"/>
            <w:shd w:val="clear" w:color="auto" w:fill="auto"/>
            <w:noWrap/>
            <w:vAlign w:val="center"/>
            <w:hideMark/>
          </w:tcPr>
          <w:p w14:paraId="2D340EED"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48 009 955</w:t>
            </w:r>
          </w:p>
        </w:tc>
        <w:tc>
          <w:tcPr>
            <w:tcW w:w="1331" w:type="dxa"/>
            <w:shd w:val="clear" w:color="auto" w:fill="auto"/>
            <w:noWrap/>
            <w:vAlign w:val="center"/>
            <w:hideMark/>
          </w:tcPr>
          <w:p w14:paraId="412D7669"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30 691 835</w:t>
            </w:r>
          </w:p>
        </w:tc>
        <w:tc>
          <w:tcPr>
            <w:tcW w:w="1383" w:type="dxa"/>
            <w:shd w:val="clear" w:color="auto" w:fill="auto"/>
            <w:noWrap/>
            <w:vAlign w:val="center"/>
            <w:hideMark/>
          </w:tcPr>
          <w:p w14:paraId="08246B98"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60 352 620</w:t>
            </w:r>
          </w:p>
        </w:tc>
        <w:tc>
          <w:tcPr>
            <w:tcW w:w="1402" w:type="dxa"/>
            <w:shd w:val="clear" w:color="auto" w:fill="auto"/>
            <w:noWrap/>
            <w:vAlign w:val="center"/>
            <w:hideMark/>
          </w:tcPr>
          <w:p w14:paraId="78406AB3"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65 948 431</w:t>
            </w:r>
          </w:p>
        </w:tc>
        <w:tc>
          <w:tcPr>
            <w:tcW w:w="1393" w:type="dxa"/>
            <w:tcBorders>
              <w:right w:val="single" w:sz="4" w:space="0" w:color="auto"/>
            </w:tcBorders>
            <w:shd w:val="clear" w:color="auto" w:fill="auto"/>
            <w:noWrap/>
            <w:vAlign w:val="center"/>
            <w:hideMark/>
          </w:tcPr>
          <w:p w14:paraId="5A4A55FA" w14:textId="77777777" w:rsidR="00393FA6" w:rsidRPr="005B54FE" w:rsidRDefault="00393FA6" w:rsidP="00393FA6">
            <w:pPr>
              <w:spacing w:after="0" w:line="240" w:lineRule="auto"/>
              <w:ind w:firstLine="34"/>
              <w:jc w:val="center"/>
              <w:rPr>
                <w:rFonts w:cs="Times New Roman"/>
                <w:sz w:val="20"/>
                <w:szCs w:val="20"/>
              </w:rPr>
            </w:pPr>
            <w:r w:rsidRPr="00393FA6">
              <w:rPr>
                <w:rFonts w:cs="Times New Roman"/>
                <w:sz w:val="20"/>
                <w:szCs w:val="20"/>
              </w:rPr>
              <w:t>73 720 916</w:t>
            </w:r>
          </w:p>
        </w:tc>
      </w:tr>
      <w:tr w:rsidR="005B54FE" w:rsidRPr="008932D4" w14:paraId="67EC87A5" w14:textId="77777777" w:rsidTr="005B54FE">
        <w:trPr>
          <w:trHeight w:val="288"/>
        </w:trPr>
        <w:tc>
          <w:tcPr>
            <w:tcW w:w="3823" w:type="dxa"/>
            <w:shd w:val="clear" w:color="auto" w:fill="auto"/>
            <w:noWrap/>
            <w:vAlign w:val="center"/>
            <w:hideMark/>
          </w:tcPr>
          <w:p w14:paraId="27E609FA" w14:textId="77777777" w:rsidR="005B54FE" w:rsidRPr="00A60F7B" w:rsidRDefault="005B54FE" w:rsidP="005B54FE">
            <w:pPr>
              <w:spacing w:after="0" w:line="240" w:lineRule="auto"/>
              <w:ind w:firstLine="34"/>
              <w:jc w:val="center"/>
              <w:rPr>
                <w:rFonts w:cs="Times New Roman"/>
                <w:sz w:val="20"/>
                <w:szCs w:val="20"/>
              </w:rPr>
            </w:pPr>
            <w:r w:rsidRPr="00A60F7B">
              <w:rPr>
                <w:rFonts w:cs="Times New Roman"/>
                <w:sz w:val="20"/>
                <w:szCs w:val="20"/>
              </w:rPr>
              <w:t>tostarp pārējās budžeta vajadzības</w:t>
            </w:r>
          </w:p>
        </w:tc>
        <w:tc>
          <w:tcPr>
            <w:tcW w:w="1394" w:type="dxa"/>
            <w:shd w:val="clear" w:color="auto" w:fill="auto"/>
            <w:noWrap/>
            <w:vAlign w:val="center"/>
            <w:hideMark/>
          </w:tcPr>
          <w:p w14:paraId="3F1989AC"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53 747 877</w:t>
            </w:r>
          </w:p>
        </w:tc>
        <w:tc>
          <w:tcPr>
            <w:tcW w:w="1393" w:type="dxa"/>
            <w:shd w:val="clear" w:color="auto" w:fill="auto"/>
            <w:noWrap/>
            <w:vAlign w:val="center"/>
            <w:hideMark/>
          </w:tcPr>
          <w:p w14:paraId="51C35AC2"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53 747 877</w:t>
            </w:r>
          </w:p>
        </w:tc>
        <w:tc>
          <w:tcPr>
            <w:tcW w:w="1300" w:type="dxa"/>
            <w:shd w:val="clear" w:color="auto" w:fill="auto"/>
            <w:noWrap/>
            <w:vAlign w:val="center"/>
            <w:hideMark/>
          </w:tcPr>
          <w:p w14:paraId="4E7DA50F"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54 750 000</w:t>
            </w:r>
          </w:p>
        </w:tc>
        <w:tc>
          <w:tcPr>
            <w:tcW w:w="1331" w:type="dxa"/>
            <w:shd w:val="clear" w:color="auto" w:fill="auto"/>
            <w:noWrap/>
            <w:vAlign w:val="center"/>
            <w:hideMark/>
          </w:tcPr>
          <w:p w14:paraId="45320F75"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54 750 000</w:t>
            </w:r>
          </w:p>
        </w:tc>
        <w:tc>
          <w:tcPr>
            <w:tcW w:w="1383" w:type="dxa"/>
            <w:shd w:val="clear" w:color="auto" w:fill="auto"/>
            <w:noWrap/>
            <w:vAlign w:val="center"/>
            <w:hideMark/>
          </w:tcPr>
          <w:p w14:paraId="2C87E1A2"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51 100 000</w:t>
            </w:r>
          </w:p>
        </w:tc>
        <w:tc>
          <w:tcPr>
            <w:tcW w:w="1402" w:type="dxa"/>
            <w:shd w:val="clear" w:color="auto" w:fill="auto"/>
            <w:noWrap/>
            <w:vAlign w:val="center"/>
            <w:hideMark/>
          </w:tcPr>
          <w:p w14:paraId="73E7CD6E"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51 100 000</w:t>
            </w:r>
          </w:p>
        </w:tc>
        <w:tc>
          <w:tcPr>
            <w:tcW w:w="1393" w:type="dxa"/>
            <w:tcBorders>
              <w:right w:val="single" w:sz="4" w:space="0" w:color="auto"/>
            </w:tcBorders>
            <w:shd w:val="clear" w:color="auto" w:fill="auto"/>
            <w:noWrap/>
            <w:vAlign w:val="center"/>
            <w:hideMark/>
          </w:tcPr>
          <w:p w14:paraId="1EC0DD0A" w14:textId="77777777" w:rsidR="005B54FE" w:rsidRPr="005B54FE" w:rsidRDefault="005B54FE" w:rsidP="005B54FE">
            <w:pPr>
              <w:spacing w:after="0" w:line="240" w:lineRule="auto"/>
              <w:ind w:firstLine="34"/>
              <w:jc w:val="center"/>
              <w:rPr>
                <w:rFonts w:cs="Times New Roman"/>
                <w:sz w:val="20"/>
                <w:szCs w:val="20"/>
              </w:rPr>
            </w:pPr>
            <w:r w:rsidRPr="005B54FE">
              <w:rPr>
                <w:rFonts w:cs="Times New Roman"/>
                <w:color w:val="000000"/>
                <w:sz w:val="20"/>
              </w:rPr>
              <w:t>51 100 000</w:t>
            </w:r>
          </w:p>
        </w:tc>
      </w:tr>
    </w:tbl>
    <w:p w14:paraId="01625E06" w14:textId="77777777" w:rsidR="00FE3295" w:rsidRDefault="00FE3295" w:rsidP="00FE3295">
      <w:pPr>
        <w:spacing w:after="0" w:line="240" w:lineRule="auto"/>
        <w:ind w:firstLine="851"/>
        <w:rPr>
          <w:sz w:val="28"/>
          <w:szCs w:val="28"/>
        </w:rPr>
      </w:pPr>
    </w:p>
    <w:p w14:paraId="7AEA87C3" w14:textId="6F7C8811" w:rsidR="00537808" w:rsidRDefault="00FE3295" w:rsidP="00FE3295">
      <w:pPr>
        <w:spacing w:after="0" w:line="240" w:lineRule="auto"/>
        <w:ind w:firstLine="851"/>
        <w:rPr>
          <w:sz w:val="28"/>
          <w:szCs w:val="28"/>
        </w:rPr>
        <w:sectPr w:rsidR="00537808" w:rsidSect="008932D4">
          <w:pgSz w:w="16838" w:h="11906" w:orient="landscape"/>
          <w:pgMar w:top="1797" w:right="1440" w:bottom="1797" w:left="1440" w:header="709" w:footer="709" w:gutter="0"/>
          <w:cols w:space="708"/>
          <w:docGrid w:linePitch="360"/>
        </w:sectPr>
      </w:pPr>
      <w:r>
        <w:rPr>
          <w:sz w:val="28"/>
          <w:szCs w:val="28"/>
        </w:rPr>
        <w:t>R</w:t>
      </w:r>
      <w:r w:rsidRPr="004E1081">
        <w:rPr>
          <w:sz w:val="28"/>
          <w:szCs w:val="28"/>
        </w:rPr>
        <w:t>isinājuma ieviešanai</w:t>
      </w:r>
      <w:r>
        <w:rPr>
          <w:sz w:val="28"/>
          <w:szCs w:val="28"/>
        </w:rPr>
        <w:t xml:space="preserve"> </w:t>
      </w:r>
      <w:r w:rsidRPr="004E1081">
        <w:rPr>
          <w:sz w:val="28"/>
          <w:szCs w:val="28"/>
        </w:rPr>
        <w:t xml:space="preserve">nepieciešams veikt izmaiņas </w:t>
      </w:r>
      <w:r>
        <w:rPr>
          <w:sz w:val="28"/>
          <w:szCs w:val="28"/>
        </w:rPr>
        <w:t xml:space="preserve">Elektroenerģijas tirgus likumā un </w:t>
      </w:r>
      <w:r w:rsidR="000F4078">
        <w:rPr>
          <w:sz w:val="28"/>
          <w:szCs w:val="28"/>
        </w:rPr>
        <w:t>ENL</w:t>
      </w:r>
      <w:r>
        <w:rPr>
          <w:sz w:val="28"/>
          <w:szCs w:val="28"/>
        </w:rPr>
        <w:t>, virzot tās Li</w:t>
      </w:r>
      <w:r w:rsidRPr="00310EDD">
        <w:rPr>
          <w:sz w:val="28"/>
          <w:szCs w:val="28"/>
        </w:rPr>
        <w:t>kuma par valsts budžetu 201</w:t>
      </w:r>
      <w:r>
        <w:rPr>
          <w:sz w:val="28"/>
          <w:szCs w:val="28"/>
        </w:rPr>
        <w:t>7. </w:t>
      </w:r>
      <w:r w:rsidRPr="00310EDD">
        <w:rPr>
          <w:sz w:val="28"/>
          <w:szCs w:val="28"/>
        </w:rPr>
        <w:t>gadam pavadošo likumprojektu paketē</w:t>
      </w:r>
      <w:r w:rsidRPr="004E1081">
        <w:rPr>
          <w:sz w:val="28"/>
          <w:szCs w:val="28"/>
        </w:rPr>
        <w:t xml:space="preserve">, </w:t>
      </w:r>
      <w:r>
        <w:rPr>
          <w:sz w:val="28"/>
          <w:szCs w:val="28"/>
        </w:rPr>
        <w:t xml:space="preserve">kā arī veikt grozījumus </w:t>
      </w:r>
      <w:r w:rsidRPr="004E1081">
        <w:rPr>
          <w:sz w:val="28"/>
          <w:szCs w:val="28"/>
        </w:rPr>
        <w:t>Ministru kabineta 2007. gada 13. februāra no</w:t>
      </w:r>
      <w:r>
        <w:rPr>
          <w:sz w:val="28"/>
          <w:szCs w:val="28"/>
        </w:rPr>
        <w:t>teikumos Nr. </w:t>
      </w:r>
      <w:r w:rsidRPr="004E1081">
        <w:rPr>
          <w:sz w:val="28"/>
          <w:szCs w:val="28"/>
        </w:rPr>
        <w:t>128 “Noteikumi par elektroenerģijas nodokļa deklarācijas veidlapu un tās aizpildīšanas kārtību” un Ministru kabineta 2007. gada 12. jūnija noteikumos Nr. 382 “Elektroenerģijas nodokļa at</w:t>
      </w:r>
      <w:r>
        <w:rPr>
          <w:sz w:val="28"/>
          <w:szCs w:val="28"/>
        </w:rPr>
        <w:t>brīvojumu piemērošanas kārtība”</w:t>
      </w:r>
      <w:r w:rsidR="00600CD4">
        <w:rPr>
          <w:sz w:val="28"/>
          <w:szCs w:val="28"/>
        </w:rPr>
        <w:t>,</w:t>
      </w:r>
      <w:r>
        <w:rPr>
          <w:sz w:val="28"/>
          <w:szCs w:val="28"/>
        </w:rPr>
        <w:t xml:space="preserve"> </w:t>
      </w:r>
      <w:r w:rsidR="00600CD4" w:rsidRPr="0006373D">
        <w:rPr>
          <w:sz w:val="28"/>
          <w:szCs w:val="28"/>
        </w:rPr>
        <w:t xml:space="preserve">Ministru kabineta </w:t>
      </w:r>
      <w:r w:rsidR="00201AC8">
        <w:rPr>
          <w:sz w:val="28"/>
          <w:szCs w:val="28"/>
        </w:rPr>
        <w:t>2016.gada 12.jūlija noteikumos</w:t>
      </w:r>
      <w:r w:rsidR="00201AC8" w:rsidRPr="00201AC8">
        <w:rPr>
          <w:sz w:val="28"/>
          <w:szCs w:val="28"/>
        </w:rPr>
        <w:t xml:space="preserve"> Nr.459 “Aizsargātā lietotāja tirdzniecības pakalpojuma sniegšanas un sadales sistēmas pakalpojuma kompensēšanas kārtība”</w:t>
      </w:r>
      <w:r w:rsidR="00600CD4">
        <w:rPr>
          <w:sz w:val="28"/>
          <w:szCs w:val="28"/>
        </w:rPr>
        <w:t xml:space="preserve"> </w:t>
      </w:r>
      <w:r>
        <w:rPr>
          <w:sz w:val="28"/>
          <w:szCs w:val="28"/>
        </w:rPr>
        <w:t xml:space="preserve">un </w:t>
      </w:r>
      <w:r w:rsidRPr="0006373D">
        <w:rPr>
          <w:sz w:val="28"/>
          <w:szCs w:val="28"/>
        </w:rPr>
        <w:t>Sabiedrisko pakalpojumu regulēšanas komisijas izstrādātajā OIK aprēķināšanas metodikā.</w:t>
      </w:r>
    </w:p>
    <w:p w14:paraId="35BDC773" w14:textId="526B56B7" w:rsidR="004761FF" w:rsidRDefault="004761FF" w:rsidP="00FE3295">
      <w:pPr>
        <w:spacing w:after="0" w:line="240" w:lineRule="auto"/>
        <w:ind w:firstLine="851"/>
        <w:rPr>
          <w:sz w:val="28"/>
          <w:szCs w:val="28"/>
        </w:rPr>
      </w:pPr>
    </w:p>
    <w:p w14:paraId="4C995441" w14:textId="55A165BF" w:rsidR="000F6DB0" w:rsidRDefault="000F6DB0" w:rsidP="00F21E9C">
      <w:pPr>
        <w:spacing w:after="0" w:line="240" w:lineRule="auto"/>
        <w:rPr>
          <w:sz w:val="28"/>
          <w:szCs w:val="28"/>
        </w:rPr>
      </w:pPr>
    </w:p>
    <w:p w14:paraId="2C57AC75" w14:textId="77777777" w:rsidR="00537808" w:rsidRDefault="00537808" w:rsidP="00537808">
      <w:pPr>
        <w:pStyle w:val="Heading2"/>
        <w:spacing w:line="240" w:lineRule="auto"/>
        <w:rPr>
          <w:rFonts w:ascii="Times New Roman" w:hAnsi="Times New Roman" w:cs="Times New Roman"/>
          <w:b/>
          <w:color w:val="auto"/>
          <w:sz w:val="32"/>
          <w:szCs w:val="28"/>
        </w:rPr>
      </w:pPr>
      <w:bookmarkStart w:id="27" w:name="_Toc459890630"/>
      <w:r w:rsidRPr="00596965">
        <w:rPr>
          <w:rFonts w:ascii="Times New Roman" w:hAnsi="Times New Roman" w:cs="Times New Roman"/>
          <w:b/>
          <w:color w:val="auto"/>
          <w:sz w:val="32"/>
          <w:szCs w:val="28"/>
        </w:rPr>
        <w:t>Risinājumu ietekme uz elektroenerģijas lietotāju ikmēneša izmaksām</w:t>
      </w:r>
      <w:bookmarkEnd w:id="27"/>
    </w:p>
    <w:p w14:paraId="26C3D4B1" w14:textId="77777777" w:rsidR="00537808" w:rsidRPr="00537808" w:rsidRDefault="00537808" w:rsidP="00537808">
      <w:pPr>
        <w:spacing w:after="0" w:line="240" w:lineRule="auto"/>
        <w:rPr>
          <w:rFonts w:eastAsiaTheme="minorHAnsi" w:cs="Times New Roman"/>
          <w:sz w:val="28"/>
          <w:szCs w:val="28"/>
        </w:rPr>
      </w:pPr>
      <w:r w:rsidRPr="00537808">
        <w:rPr>
          <w:rFonts w:eastAsiaTheme="minorHAnsi" w:cs="Times New Roman"/>
          <w:sz w:val="28"/>
          <w:szCs w:val="28"/>
        </w:rPr>
        <w:t>1.risinājums paredz, ka 2019.gadā valsts budžeta līdzekļi netiek novirzīti OIK līmeņa saglabāšanai 26,79EUR/</w:t>
      </w:r>
      <w:proofErr w:type="spellStart"/>
      <w:r w:rsidRPr="00537808">
        <w:rPr>
          <w:rFonts w:eastAsiaTheme="minorHAnsi" w:cs="Times New Roman"/>
          <w:sz w:val="28"/>
          <w:szCs w:val="28"/>
        </w:rPr>
        <w:t>MWh</w:t>
      </w:r>
      <w:proofErr w:type="spellEnd"/>
      <w:r w:rsidRPr="00537808">
        <w:rPr>
          <w:rFonts w:eastAsiaTheme="minorHAnsi" w:cs="Times New Roman"/>
          <w:sz w:val="28"/>
          <w:szCs w:val="28"/>
        </w:rPr>
        <w:t xml:space="preserve"> līmenī, tādējādi bez šāda atbalsta par katru patērēto elektroenerģijas </w:t>
      </w:r>
      <w:proofErr w:type="spellStart"/>
      <w:r w:rsidRPr="00537808">
        <w:rPr>
          <w:rFonts w:eastAsiaTheme="minorHAnsi" w:cs="Times New Roman"/>
          <w:sz w:val="28"/>
          <w:szCs w:val="28"/>
        </w:rPr>
        <w:t>MWh</w:t>
      </w:r>
      <w:proofErr w:type="spellEnd"/>
      <w:r w:rsidRPr="00537808">
        <w:rPr>
          <w:rFonts w:eastAsiaTheme="minorHAnsi" w:cs="Times New Roman"/>
          <w:sz w:val="28"/>
          <w:szCs w:val="28"/>
        </w:rPr>
        <w:t xml:space="preserve"> patērētāji tieši maksātu 40,43EUR/</w:t>
      </w:r>
      <w:proofErr w:type="spellStart"/>
      <w:r w:rsidRPr="00537808">
        <w:rPr>
          <w:rFonts w:eastAsiaTheme="minorHAnsi" w:cs="Times New Roman"/>
          <w:sz w:val="28"/>
          <w:szCs w:val="28"/>
        </w:rPr>
        <w:t>MWh</w:t>
      </w:r>
      <w:proofErr w:type="spellEnd"/>
      <w:r w:rsidRPr="00537808">
        <w:rPr>
          <w:rFonts w:eastAsiaTheme="minorHAnsi" w:cs="Times New Roman"/>
          <w:sz w:val="28"/>
          <w:szCs w:val="28"/>
        </w:rPr>
        <w:t>. Šī risinājuma ietekme uz elektroenerģijas rēķiniem ilustratīvi ir attēlota 19.tabulā (salīdzināšanas nolūkos netiek ņemtas vērā izmaiņas AS “Sadales tīkls” tarifos, kas tiek piemēroti kopš 2016.gada 1.augustā).</w:t>
      </w:r>
    </w:p>
    <w:p w14:paraId="41C345B8" w14:textId="77777777" w:rsidR="00537808" w:rsidRPr="00537808" w:rsidRDefault="00537808" w:rsidP="00537808">
      <w:pPr>
        <w:spacing w:after="0" w:line="240" w:lineRule="auto"/>
        <w:rPr>
          <w:rFonts w:eastAsiaTheme="minorHAnsi" w:cs="Times New Roman"/>
          <w:sz w:val="28"/>
          <w:szCs w:val="28"/>
        </w:rPr>
      </w:pPr>
    </w:p>
    <w:p w14:paraId="7B567F41" w14:textId="77777777" w:rsidR="00537808" w:rsidRPr="00537808" w:rsidRDefault="00537808" w:rsidP="00537808">
      <w:pPr>
        <w:spacing w:after="0" w:line="240" w:lineRule="auto"/>
        <w:jc w:val="right"/>
        <w:rPr>
          <w:rFonts w:eastAsiaTheme="minorHAnsi" w:cs="Times New Roman"/>
          <w:b/>
          <w:szCs w:val="24"/>
        </w:rPr>
      </w:pPr>
      <w:r w:rsidRPr="00537808">
        <w:rPr>
          <w:rFonts w:eastAsiaTheme="minorHAnsi" w:cs="Times New Roman"/>
          <w:b/>
          <w:szCs w:val="24"/>
        </w:rPr>
        <w:t>19.tabula</w:t>
      </w:r>
    </w:p>
    <w:p w14:paraId="405CD188" w14:textId="77777777" w:rsidR="00537808" w:rsidRPr="00537808" w:rsidRDefault="00537808" w:rsidP="00537808">
      <w:pPr>
        <w:spacing w:after="0" w:line="240" w:lineRule="auto"/>
        <w:jc w:val="center"/>
        <w:rPr>
          <w:rFonts w:eastAsiaTheme="minorHAnsi" w:cs="Times New Roman"/>
          <w:b/>
          <w:szCs w:val="24"/>
        </w:rPr>
      </w:pPr>
      <w:r w:rsidRPr="00537808">
        <w:rPr>
          <w:rFonts w:eastAsiaTheme="minorHAnsi" w:cs="Times New Roman"/>
          <w:b/>
          <w:szCs w:val="24"/>
        </w:rPr>
        <w:t>1.risinājuma ilustratīva ietekme uz elektroenerģijas lietotāju ikmēneša izmaksām</w:t>
      </w:r>
    </w:p>
    <w:tbl>
      <w:tblPr>
        <w:tblW w:w="8630" w:type="dxa"/>
        <w:tblLook w:val="04A0" w:firstRow="1" w:lastRow="0" w:firstColumn="1" w:lastColumn="0" w:noHBand="0" w:noVBand="1"/>
      </w:tblPr>
      <w:tblGrid>
        <w:gridCol w:w="2483"/>
        <w:gridCol w:w="1744"/>
        <w:gridCol w:w="2147"/>
        <w:gridCol w:w="2256"/>
      </w:tblGrid>
      <w:tr w:rsidR="00537808" w:rsidRPr="00537808" w14:paraId="5CA318F2" w14:textId="77777777" w:rsidTr="009246C2">
        <w:trPr>
          <w:trHeight w:val="1200"/>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F1E0E"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6190DC25"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2147" w:type="dxa"/>
            <w:tcBorders>
              <w:top w:val="single" w:sz="4" w:space="0" w:color="auto"/>
              <w:left w:val="nil"/>
              <w:bottom w:val="single" w:sz="4" w:space="0" w:color="auto"/>
              <w:right w:val="single" w:sz="4" w:space="0" w:color="auto"/>
            </w:tcBorders>
            <w:shd w:val="clear" w:color="auto" w:fill="auto"/>
            <w:vAlign w:val="bottom"/>
            <w:hideMark/>
          </w:tcPr>
          <w:p w14:paraId="0D5A6836"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2016.gadā ar OIK atbalstu, nodrošinot OIK 26,79EUR/</w:t>
            </w:r>
            <w:proofErr w:type="spellStart"/>
            <w:r w:rsidRPr="00537808">
              <w:rPr>
                <w:rFonts w:eastAsia="Times New Roman" w:cs="Times New Roman"/>
                <w:color w:val="000000"/>
                <w:szCs w:val="24"/>
              </w:rPr>
              <w:t>MWh</w:t>
            </w:r>
            <w:proofErr w:type="spellEnd"/>
            <w:r w:rsidRPr="00537808">
              <w:rPr>
                <w:rFonts w:eastAsia="Times New Roman" w:cs="Times New Roman"/>
                <w:color w:val="000000"/>
                <w:szCs w:val="24"/>
              </w:rPr>
              <w:t xml:space="preserve"> mēnesī </w:t>
            </w:r>
          </w:p>
        </w:tc>
        <w:tc>
          <w:tcPr>
            <w:tcW w:w="2256" w:type="dxa"/>
            <w:tcBorders>
              <w:top w:val="single" w:sz="4" w:space="0" w:color="auto"/>
              <w:left w:val="nil"/>
              <w:bottom w:val="single" w:sz="4" w:space="0" w:color="auto"/>
              <w:right w:val="single" w:sz="4" w:space="0" w:color="auto"/>
            </w:tcBorders>
            <w:shd w:val="clear" w:color="auto" w:fill="auto"/>
            <w:vAlign w:val="bottom"/>
            <w:hideMark/>
          </w:tcPr>
          <w:p w14:paraId="605CA141"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2019.gadā bez OIK atbalsta, OIK 40,43EUR/</w:t>
            </w:r>
            <w:proofErr w:type="spellStart"/>
            <w:r w:rsidRPr="00537808">
              <w:rPr>
                <w:rFonts w:eastAsia="Times New Roman" w:cs="Times New Roman"/>
                <w:color w:val="000000"/>
                <w:szCs w:val="24"/>
              </w:rPr>
              <w:t>MWh</w:t>
            </w:r>
            <w:proofErr w:type="spellEnd"/>
            <w:r w:rsidRPr="00537808">
              <w:rPr>
                <w:rFonts w:eastAsia="Times New Roman" w:cs="Times New Roman"/>
                <w:color w:val="000000"/>
                <w:szCs w:val="24"/>
              </w:rPr>
              <w:t xml:space="preserve"> mēnesī</w:t>
            </w:r>
          </w:p>
        </w:tc>
      </w:tr>
      <w:tr w:rsidR="00537808" w:rsidRPr="00537808" w14:paraId="24712CAD" w14:textId="77777777" w:rsidTr="009246C2">
        <w:trPr>
          <w:trHeight w:val="563"/>
        </w:trPr>
        <w:tc>
          <w:tcPr>
            <w:tcW w:w="2483" w:type="dxa"/>
            <w:vMerge w:val="restart"/>
            <w:tcBorders>
              <w:top w:val="nil"/>
              <w:left w:val="single" w:sz="4" w:space="0" w:color="auto"/>
              <w:bottom w:val="single" w:sz="4" w:space="0" w:color="auto"/>
              <w:right w:val="single" w:sz="4" w:space="0" w:color="auto"/>
            </w:tcBorders>
            <w:shd w:val="clear" w:color="auto" w:fill="auto"/>
            <w:vAlign w:val="bottom"/>
            <w:hideMark/>
          </w:tcPr>
          <w:p w14:paraId="7800F00D"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Pensionārs lauku mājā (patēriņš 178kWh/mēnesī)</w:t>
            </w:r>
          </w:p>
        </w:tc>
        <w:tc>
          <w:tcPr>
            <w:tcW w:w="1744" w:type="dxa"/>
            <w:tcBorders>
              <w:top w:val="nil"/>
              <w:left w:val="nil"/>
              <w:bottom w:val="single" w:sz="4" w:space="0" w:color="auto"/>
              <w:right w:val="single" w:sz="4" w:space="0" w:color="auto"/>
            </w:tcBorders>
            <w:shd w:val="clear" w:color="auto" w:fill="auto"/>
            <w:vAlign w:val="bottom"/>
            <w:hideMark/>
          </w:tcPr>
          <w:p w14:paraId="57061164"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EUR/mēnesī</w:t>
            </w:r>
          </w:p>
        </w:tc>
        <w:tc>
          <w:tcPr>
            <w:tcW w:w="2147" w:type="dxa"/>
            <w:tcBorders>
              <w:top w:val="nil"/>
              <w:left w:val="nil"/>
              <w:bottom w:val="single" w:sz="4" w:space="0" w:color="auto"/>
              <w:right w:val="single" w:sz="4" w:space="0" w:color="auto"/>
            </w:tcBorders>
            <w:shd w:val="clear" w:color="auto" w:fill="auto"/>
            <w:noWrap/>
            <w:vAlign w:val="bottom"/>
            <w:hideMark/>
          </w:tcPr>
          <w:p w14:paraId="1ED60E1C"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31,54</w:t>
            </w:r>
          </w:p>
        </w:tc>
        <w:tc>
          <w:tcPr>
            <w:tcW w:w="2256" w:type="dxa"/>
            <w:tcBorders>
              <w:top w:val="nil"/>
              <w:left w:val="nil"/>
              <w:bottom w:val="single" w:sz="4" w:space="0" w:color="auto"/>
              <w:right w:val="single" w:sz="4" w:space="0" w:color="auto"/>
            </w:tcBorders>
            <w:shd w:val="clear" w:color="auto" w:fill="auto"/>
            <w:noWrap/>
            <w:vAlign w:val="bottom"/>
            <w:hideMark/>
          </w:tcPr>
          <w:p w14:paraId="14E8076A"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34,48</w:t>
            </w:r>
          </w:p>
        </w:tc>
      </w:tr>
      <w:tr w:rsidR="00537808" w:rsidRPr="00537808" w14:paraId="33E953C8" w14:textId="77777777" w:rsidTr="009246C2">
        <w:trPr>
          <w:trHeight w:val="300"/>
        </w:trPr>
        <w:tc>
          <w:tcPr>
            <w:tcW w:w="2483" w:type="dxa"/>
            <w:vMerge/>
            <w:tcBorders>
              <w:top w:val="nil"/>
              <w:left w:val="single" w:sz="4" w:space="0" w:color="auto"/>
              <w:bottom w:val="single" w:sz="4" w:space="0" w:color="auto"/>
              <w:right w:val="single" w:sz="4" w:space="0" w:color="auto"/>
            </w:tcBorders>
            <w:vAlign w:val="center"/>
            <w:hideMark/>
          </w:tcPr>
          <w:p w14:paraId="24CBA10C" w14:textId="77777777" w:rsidR="00537808" w:rsidRPr="00537808" w:rsidRDefault="00537808" w:rsidP="00537808">
            <w:pPr>
              <w:spacing w:after="0" w:line="240" w:lineRule="auto"/>
              <w:jc w:val="left"/>
              <w:rPr>
                <w:rFonts w:eastAsia="Times New Roman" w:cs="Times New Roman"/>
                <w:color w:val="000000"/>
                <w:szCs w:val="24"/>
              </w:rPr>
            </w:pPr>
          </w:p>
        </w:tc>
        <w:tc>
          <w:tcPr>
            <w:tcW w:w="1744" w:type="dxa"/>
            <w:tcBorders>
              <w:top w:val="nil"/>
              <w:left w:val="nil"/>
              <w:bottom w:val="single" w:sz="4" w:space="0" w:color="auto"/>
              <w:right w:val="single" w:sz="4" w:space="0" w:color="auto"/>
            </w:tcBorders>
            <w:shd w:val="clear" w:color="auto" w:fill="auto"/>
            <w:vAlign w:val="bottom"/>
            <w:hideMark/>
          </w:tcPr>
          <w:p w14:paraId="32EE05AE"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izmaiņas %</w:t>
            </w:r>
          </w:p>
        </w:tc>
        <w:tc>
          <w:tcPr>
            <w:tcW w:w="2147" w:type="dxa"/>
            <w:tcBorders>
              <w:top w:val="nil"/>
              <w:left w:val="nil"/>
              <w:bottom w:val="single" w:sz="4" w:space="0" w:color="auto"/>
              <w:right w:val="single" w:sz="4" w:space="0" w:color="auto"/>
            </w:tcBorders>
            <w:shd w:val="clear" w:color="auto" w:fill="auto"/>
            <w:noWrap/>
            <w:vAlign w:val="bottom"/>
            <w:hideMark/>
          </w:tcPr>
          <w:p w14:paraId="705CA027"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2256" w:type="dxa"/>
            <w:tcBorders>
              <w:top w:val="nil"/>
              <w:left w:val="nil"/>
              <w:bottom w:val="single" w:sz="4" w:space="0" w:color="auto"/>
              <w:right w:val="single" w:sz="4" w:space="0" w:color="auto"/>
            </w:tcBorders>
            <w:shd w:val="clear" w:color="auto" w:fill="auto"/>
            <w:noWrap/>
            <w:vAlign w:val="bottom"/>
            <w:hideMark/>
          </w:tcPr>
          <w:p w14:paraId="2C78DDFF"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+9,31%</w:t>
            </w:r>
          </w:p>
        </w:tc>
      </w:tr>
      <w:tr w:rsidR="00537808" w:rsidRPr="00537808" w14:paraId="16A98610" w14:textId="77777777" w:rsidTr="009246C2">
        <w:trPr>
          <w:trHeight w:val="503"/>
        </w:trPr>
        <w:tc>
          <w:tcPr>
            <w:tcW w:w="2483" w:type="dxa"/>
            <w:vMerge w:val="restart"/>
            <w:tcBorders>
              <w:top w:val="nil"/>
              <w:left w:val="single" w:sz="4" w:space="0" w:color="auto"/>
              <w:bottom w:val="single" w:sz="4" w:space="0" w:color="auto"/>
              <w:right w:val="single" w:sz="4" w:space="0" w:color="auto"/>
            </w:tcBorders>
            <w:shd w:val="clear" w:color="auto" w:fill="auto"/>
            <w:vAlign w:val="bottom"/>
            <w:hideMark/>
          </w:tcPr>
          <w:p w14:paraId="193FF8D3"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xml:space="preserve">Maznodrošināta vai trūcīga ģimene (patēriņš 58 </w:t>
            </w:r>
            <w:proofErr w:type="spellStart"/>
            <w:r w:rsidRPr="00537808">
              <w:rPr>
                <w:rFonts w:eastAsia="Times New Roman" w:cs="Times New Roman"/>
                <w:color w:val="000000"/>
                <w:szCs w:val="24"/>
              </w:rPr>
              <w:t>kWh</w:t>
            </w:r>
            <w:proofErr w:type="spellEnd"/>
            <w:r w:rsidRPr="00537808">
              <w:rPr>
                <w:rFonts w:eastAsia="Times New Roman" w:cs="Times New Roman"/>
                <w:color w:val="000000"/>
                <w:szCs w:val="24"/>
              </w:rPr>
              <w:t>/mēnesī)</w:t>
            </w:r>
          </w:p>
        </w:tc>
        <w:tc>
          <w:tcPr>
            <w:tcW w:w="1744" w:type="dxa"/>
            <w:tcBorders>
              <w:top w:val="nil"/>
              <w:left w:val="nil"/>
              <w:bottom w:val="single" w:sz="4" w:space="0" w:color="auto"/>
              <w:right w:val="single" w:sz="4" w:space="0" w:color="auto"/>
            </w:tcBorders>
            <w:shd w:val="clear" w:color="auto" w:fill="auto"/>
            <w:vAlign w:val="bottom"/>
            <w:hideMark/>
          </w:tcPr>
          <w:p w14:paraId="46396FF9"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EUR/mēnesī</w:t>
            </w:r>
          </w:p>
        </w:tc>
        <w:tc>
          <w:tcPr>
            <w:tcW w:w="2147" w:type="dxa"/>
            <w:tcBorders>
              <w:top w:val="nil"/>
              <w:left w:val="nil"/>
              <w:bottom w:val="single" w:sz="4" w:space="0" w:color="auto"/>
              <w:right w:val="single" w:sz="4" w:space="0" w:color="auto"/>
            </w:tcBorders>
            <w:shd w:val="clear" w:color="auto" w:fill="auto"/>
            <w:noWrap/>
            <w:vAlign w:val="bottom"/>
            <w:hideMark/>
          </w:tcPr>
          <w:p w14:paraId="24897B93"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9,19</w:t>
            </w:r>
          </w:p>
        </w:tc>
        <w:tc>
          <w:tcPr>
            <w:tcW w:w="2256" w:type="dxa"/>
            <w:tcBorders>
              <w:top w:val="nil"/>
              <w:left w:val="nil"/>
              <w:bottom w:val="single" w:sz="4" w:space="0" w:color="auto"/>
              <w:right w:val="single" w:sz="4" w:space="0" w:color="auto"/>
            </w:tcBorders>
            <w:shd w:val="clear" w:color="auto" w:fill="auto"/>
            <w:noWrap/>
            <w:vAlign w:val="bottom"/>
            <w:hideMark/>
          </w:tcPr>
          <w:p w14:paraId="49568141"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10,14</w:t>
            </w:r>
          </w:p>
        </w:tc>
      </w:tr>
      <w:tr w:rsidR="00537808" w:rsidRPr="00537808" w14:paraId="5C329B8E" w14:textId="77777777" w:rsidTr="009246C2">
        <w:trPr>
          <w:trHeight w:val="300"/>
        </w:trPr>
        <w:tc>
          <w:tcPr>
            <w:tcW w:w="2483" w:type="dxa"/>
            <w:vMerge/>
            <w:tcBorders>
              <w:top w:val="nil"/>
              <w:left w:val="single" w:sz="4" w:space="0" w:color="auto"/>
              <w:bottom w:val="single" w:sz="4" w:space="0" w:color="auto"/>
              <w:right w:val="single" w:sz="4" w:space="0" w:color="auto"/>
            </w:tcBorders>
            <w:vAlign w:val="center"/>
            <w:hideMark/>
          </w:tcPr>
          <w:p w14:paraId="0088D96D" w14:textId="77777777" w:rsidR="00537808" w:rsidRPr="00537808" w:rsidRDefault="00537808" w:rsidP="00537808">
            <w:pPr>
              <w:spacing w:after="0" w:line="240" w:lineRule="auto"/>
              <w:jc w:val="left"/>
              <w:rPr>
                <w:rFonts w:eastAsia="Times New Roman" w:cs="Times New Roman"/>
                <w:color w:val="000000"/>
                <w:szCs w:val="24"/>
              </w:rPr>
            </w:pPr>
          </w:p>
        </w:tc>
        <w:tc>
          <w:tcPr>
            <w:tcW w:w="1744" w:type="dxa"/>
            <w:tcBorders>
              <w:top w:val="nil"/>
              <w:left w:val="nil"/>
              <w:bottom w:val="single" w:sz="4" w:space="0" w:color="auto"/>
              <w:right w:val="single" w:sz="4" w:space="0" w:color="auto"/>
            </w:tcBorders>
            <w:shd w:val="clear" w:color="auto" w:fill="auto"/>
            <w:vAlign w:val="bottom"/>
            <w:hideMark/>
          </w:tcPr>
          <w:p w14:paraId="1D09D443"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izmaiņas %</w:t>
            </w:r>
          </w:p>
        </w:tc>
        <w:tc>
          <w:tcPr>
            <w:tcW w:w="2147" w:type="dxa"/>
            <w:tcBorders>
              <w:top w:val="nil"/>
              <w:left w:val="nil"/>
              <w:bottom w:val="single" w:sz="4" w:space="0" w:color="auto"/>
              <w:right w:val="single" w:sz="4" w:space="0" w:color="auto"/>
            </w:tcBorders>
            <w:shd w:val="clear" w:color="auto" w:fill="auto"/>
            <w:noWrap/>
            <w:vAlign w:val="bottom"/>
            <w:hideMark/>
          </w:tcPr>
          <w:p w14:paraId="1D20C185"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2256" w:type="dxa"/>
            <w:tcBorders>
              <w:top w:val="nil"/>
              <w:left w:val="nil"/>
              <w:bottom w:val="single" w:sz="4" w:space="0" w:color="auto"/>
              <w:right w:val="single" w:sz="4" w:space="0" w:color="auto"/>
            </w:tcBorders>
            <w:shd w:val="clear" w:color="auto" w:fill="auto"/>
            <w:noWrap/>
            <w:vAlign w:val="bottom"/>
            <w:hideMark/>
          </w:tcPr>
          <w:p w14:paraId="0CACCC9F"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+10,42%</w:t>
            </w:r>
          </w:p>
        </w:tc>
      </w:tr>
      <w:tr w:rsidR="00537808" w:rsidRPr="00537808" w14:paraId="19FECE57" w14:textId="77777777" w:rsidTr="009246C2">
        <w:trPr>
          <w:trHeight w:val="552"/>
        </w:trPr>
        <w:tc>
          <w:tcPr>
            <w:tcW w:w="2483" w:type="dxa"/>
            <w:vMerge w:val="restart"/>
            <w:tcBorders>
              <w:top w:val="nil"/>
              <w:left w:val="single" w:sz="4" w:space="0" w:color="auto"/>
              <w:bottom w:val="single" w:sz="4" w:space="0" w:color="auto"/>
              <w:right w:val="single" w:sz="4" w:space="0" w:color="auto"/>
            </w:tcBorders>
            <w:shd w:val="clear" w:color="auto" w:fill="auto"/>
            <w:vAlign w:val="bottom"/>
            <w:hideMark/>
          </w:tcPr>
          <w:p w14:paraId="1C868A17"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xml:space="preserve">Mazs ražojošs uzņēmums (patēriņš 15,6 </w:t>
            </w:r>
            <w:proofErr w:type="spellStart"/>
            <w:r w:rsidRPr="00537808">
              <w:rPr>
                <w:rFonts w:eastAsia="Times New Roman" w:cs="Times New Roman"/>
                <w:color w:val="000000"/>
                <w:szCs w:val="24"/>
              </w:rPr>
              <w:t>MWh</w:t>
            </w:r>
            <w:proofErr w:type="spellEnd"/>
            <w:r w:rsidRPr="00537808">
              <w:rPr>
                <w:rFonts w:eastAsia="Times New Roman" w:cs="Times New Roman"/>
                <w:color w:val="000000"/>
                <w:szCs w:val="24"/>
              </w:rPr>
              <w:t>/mēnesī)</w:t>
            </w:r>
          </w:p>
        </w:tc>
        <w:tc>
          <w:tcPr>
            <w:tcW w:w="1744" w:type="dxa"/>
            <w:tcBorders>
              <w:top w:val="nil"/>
              <w:left w:val="nil"/>
              <w:bottom w:val="single" w:sz="4" w:space="0" w:color="auto"/>
              <w:right w:val="single" w:sz="4" w:space="0" w:color="auto"/>
            </w:tcBorders>
            <w:shd w:val="clear" w:color="auto" w:fill="auto"/>
            <w:vAlign w:val="bottom"/>
            <w:hideMark/>
          </w:tcPr>
          <w:p w14:paraId="706C5AEF"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EUR/mēnesī</w:t>
            </w:r>
          </w:p>
        </w:tc>
        <w:tc>
          <w:tcPr>
            <w:tcW w:w="2147" w:type="dxa"/>
            <w:tcBorders>
              <w:top w:val="nil"/>
              <w:left w:val="nil"/>
              <w:bottom w:val="single" w:sz="4" w:space="0" w:color="auto"/>
              <w:right w:val="single" w:sz="4" w:space="0" w:color="auto"/>
            </w:tcBorders>
            <w:shd w:val="clear" w:color="auto" w:fill="auto"/>
            <w:noWrap/>
            <w:vAlign w:val="bottom"/>
            <w:hideMark/>
          </w:tcPr>
          <w:p w14:paraId="07E98714"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2008,50</w:t>
            </w:r>
          </w:p>
        </w:tc>
        <w:tc>
          <w:tcPr>
            <w:tcW w:w="2256" w:type="dxa"/>
            <w:tcBorders>
              <w:top w:val="nil"/>
              <w:left w:val="nil"/>
              <w:bottom w:val="single" w:sz="4" w:space="0" w:color="auto"/>
              <w:right w:val="single" w:sz="4" w:space="0" w:color="auto"/>
            </w:tcBorders>
            <w:shd w:val="clear" w:color="auto" w:fill="auto"/>
            <w:noWrap/>
            <w:vAlign w:val="bottom"/>
            <w:hideMark/>
          </w:tcPr>
          <w:p w14:paraId="24EFAE4F"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2221,75</w:t>
            </w:r>
          </w:p>
        </w:tc>
      </w:tr>
      <w:tr w:rsidR="00537808" w:rsidRPr="00537808" w14:paraId="026D2FDB" w14:textId="77777777" w:rsidTr="009246C2">
        <w:trPr>
          <w:trHeight w:val="300"/>
        </w:trPr>
        <w:tc>
          <w:tcPr>
            <w:tcW w:w="2483" w:type="dxa"/>
            <w:vMerge/>
            <w:tcBorders>
              <w:top w:val="nil"/>
              <w:left w:val="single" w:sz="4" w:space="0" w:color="auto"/>
              <w:bottom w:val="single" w:sz="4" w:space="0" w:color="auto"/>
              <w:right w:val="single" w:sz="4" w:space="0" w:color="auto"/>
            </w:tcBorders>
            <w:vAlign w:val="center"/>
            <w:hideMark/>
          </w:tcPr>
          <w:p w14:paraId="5F3E9793" w14:textId="77777777" w:rsidR="00537808" w:rsidRPr="00537808" w:rsidRDefault="00537808" w:rsidP="00537808">
            <w:pPr>
              <w:spacing w:after="0" w:line="240" w:lineRule="auto"/>
              <w:jc w:val="left"/>
              <w:rPr>
                <w:rFonts w:eastAsia="Times New Roman" w:cs="Times New Roman"/>
                <w:color w:val="000000"/>
                <w:szCs w:val="24"/>
              </w:rPr>
            </w:pPr>
          </w:p>
        </w:tc>
        <w:tc>
          <w:tcPr>
            <w:tcW w:w="1744" w:type="dxa"/>
            <w:tcBorders>
              <w:top w:val="nil"/>
              <w:left w:val="nil"/>
              <w:bottom w:val="single" w:sz="4" w:space="0" w:color="auto"/>
              <w:right w:val="single" w:sz="4" w:space="0" w:color="auto"/>
            </w:tcBorders>
            <w:shd w:val="clear" w:color="auto" w:fill="auto"/>
            <w:vAlign w:val="bottom"/>
            <w:hideMark/>
          </w:tcPr>
          <w:p w14:paraId="7F49D68A"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izmaiņas %</w:t>
            </w:r>
          </w:p>
        </w:tc>
        <w:tc>
          <w:tcPr>
            <w:tcW w:w="2147" w:type="dxa"/>
            <w:tcBorders>
              <w:top w:val="nil"/>
              <w:left w:val="nil"/>
              <w:bottom w:val="single" w:sz="4" w:space="0" w:color="auto"/>
              <w:right w:val="single" w:sz="4" w:space="0" w:color="auto"/>
            </w:tcBorders>
            <w:shd w:val="clear" w:color="auto" w:fill="auto"/>
            <w:noWrap/>
            <w:vAlign w:val="bottom"/>
            <w:hideMark/>
          </w:tcPr>
          <w:p w14:paraId="4EB85ACD"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2256" w:type="dxa"/>
            <w:tcBorders>
              <w:top w:val="nil"/>
              <w:left w:val="nil"/>
              <w:bottom w:val="single" w:sz="4" w:space="0" w:color="auto"/>
              <w:right w:val="single" w:sz="4" w:space="0" w:color="auto"/>
            </w:tcBorders>
            <w:shd w:val="clear" w:color="auto" w:fill="auto"/>
            <w:noWrap/>
            <w:vAlign w:val="bottom"/>
            <w:hideMark/>
          </w:tcPr>
          <w:p w14:paraId="11804F41"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+10,62%</w:t>
            </w:r>
          </w:p>
        </w:tc>
      </w:tr>
      <w:tr w:rsidR="00537808" w:rsidRPr="00537808" w14:paraId="46B1471E" w14:textId="77777777" w:rsidTr="009246C2">
        <w:trPr>
          <w:trHeight w:val="552"/>
        </w:trPr>
        <w:tc>
          <w:tcPr>
            <w:tcW w:w="2483" w:type="dxa"/>
            <w:vMerge w:val="restart"/>
            <w:tcBorders>
              <w:top w:val="nil"/>
              <w:left w:val="single" w:sz="4" w:space="0" w:color="auto"/>
              <w:bottom w:val="single" w:sz="4" w:space="0" w:color="auto"/>
              <w:right w:val="single" w:sz="4" w:space="0" w:color="auto"/>
            </w:tcBorders>
            <w:shd w:val="clear" w:color="auto" w:fill="auto"/>
            <w:vAlign w:val="bottom"/>
            <w:hideMark/>
          </w:tcPr>
          <w:p w14:paraId="31D1A3B9"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xml:space="preserve">Vidējs ražojošs uzņēmums (patēriņš 412 </w:t>
            </w:r>
            <w:proofErr w:type="spellStart"/>
            <w:r w:rsidRPr="00537808">
              <w:rPr>
                <w:rFonts w:eastAsia="Times New Roman" w:cs="Times New Roman"/>
                <w:color w:val="000000"/>
                <w:szCs w:val="24"/>
              </w:rPr>
              <w:t>MWh</w:t>
            </w:r>
            <w:proofErr w:type="spellEnd"/>
            <w:r w:rsidRPr="00537808">
              <w:rPr>
                <w:rFonts w:eastAsia="Times New Roman" w:cs="Times New Roman"/>
                <w:color w:val="000000"/>
                <w:szCs w:val="24"/>
              </w:rPr>
              <w:t>/ mēnesī)</w:t>
            </w:r>
          </w:p>
        </w:tc>
        <w:tc>
          <w:tcPr>
            <w:tcW w:w="1744" w:type="dxa"/>
            <w:tcBorders>
              <w:top w:val="nil"/>
              <w:left w:val="nil"/>
              <w:bottom w:val="single" w:sz="4" w:space="0" w:color="auto"/>
              <w:right w:val="single" w:sz="4" w:space="0" w:color="auto"/>
            </w:tcBorders>
            <w:shd w:val="clear" w:color="auto" w:fill="auto"/>
            <w:vAlign w:val="bottom"/>
            <w:hideMark/>
          </w:tcPr>
          <w:p w14:paraId="5282CEC5"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EUR/mēnesī</w:t>
            </w:r>
          </w:p>
        </w:tc>
        <w:tc>
          <w:tcPr>
            <w:tcW w:w="2147" w:type="dxa"/>
            <w:tcBorders>
              <w:top w:val="nil"/>
              <w:left w:val="nil"/>
              <w:bottom w:val="single" w:sz="4" w:space="0" w:color="auto"/>
              <w:right w:val="single" w:sz="4" w:space="0" w:color="auto"/>
            </w:tcBorders>
            <w:shd w:val="clear" w:color="auto" w:fill="auto"/>
            <w:noWrap/>
            <w:vAlign w:val="bottom"/>
            <w:hideMark/>
          </w:tcPr>
          <w:p w14:paraId="7F432EE2"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39687,76</w:t>
            </w:r>
          </w:p>
        </w:tc>
        <w:tc>
          <w:tcPr>
            <w:tcW w:w="2256" w:type="dxa"/>
            <w:tcBorders>
              <w:top w:val="nil"/>
              <w:left w:val="nil"/>
              <w:bottom w:val="single" w:sz="4" w:space="0" w:color="auto"/>
              <w:right w:val="single" w:sz="4" w:space="0" w:color="auto"/>
            </w:tcBorders>
            <w:shd w:val="clear" w:color="auto" w:fill="auto"/>
            <w:noWrap/>
            <w:vAlign w:val="bottom"/>
            <w:hideMark/>
          </w:tcPr>
          <w:p w14:paraId="4F6A93B4"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45319,68</w:t>
            </w:r>
          </w:p>
        </w:tc>
      </w:tr>
      <w:tr w:rsidR="00537808" w:rsidRPr="00537808" w14:paraId="2A012589" w14:textId="77777777" w:rsidTr="009246C2">
        <w:trPr>
          <w:trHeight w:val="300"/>
        </w:trPr>
        <w:tc>
          <w:tcPr>
            <w:tcW w:w="2483" w:type="dxa"/>
            <w:vMerge/>
            <w:tcBorders>
              <w:top w:val="nil"/>
              <w:left w:val="single" w:sz="4" w:space="0" w:color="auto"/>
              <w:bottom w:val="single" w:sz="4" w:space="0" w:color="auto"/>
              <w:right w:val="single" w:sz="4" w:space="0" w:color="auto"/>
            </w:tcBorders>
            <w:vAlign w:val="center"/>
            <w:hideMark/>
          </w:tcPr>
          <w:p w14:paraId="1A0224DD" w14:textId="77777777" w:rsidR="00537808" w:rsidRPr="00537808" w:rsidRDefault="00537808" w:rsidP="00537808">
            <w:pPr>
              <w:spacing w:after="0" w:line="240" w:lineRule="auto"/>
              <w:jc w:val="left"/>
              <w:rPr>
                <w:rFonts w:eastAsia="Times New Roman" w:cs="Times New Roman"/>
                <w:color w:val="000000"/>
                <w:szCs w:val="24"/>
              </w:rPr>
            </w:pPr>
          </w:p>
        </w:tc>
        <w:tc>
          <w:tcPr>
            <w:tcW w:w="1744" w:type="dxa"/>
            <w:tcBorders>
              <w:top w:val="nil"/>
              <w:left w:val="nil"/>
              <w:bottom w:val="single" w:sz="4" w:space="0" w:color="auto"/>
              <w:right w:val="single" w:sz="4" w:space="0" w:color="auto"/>
            </w:tcBorders>
            <w:shd w:val="clear" w:color="auto" w:fill="auto"/>
            <w:vAlign w:val="bottom"/>
            <w:hideMark/>
          </w:tcPr>
          <w:p w14:paraId="5F4CF964"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izmaiņas %</w:t>
            </w:r>
          </w:p>
        </w:tc>
        <w:tc>
          <w:tcPr>
            <w:tcW w:w="2147" w:type="dxa"/>
            <w:tcBorders>
              <w:top w:val="nil"/>
              <w:left w:val="nil"/>
              <w:bottom w:val="single" w:sz="4" w:space="0" w:color="auto"/>
              <w:right w:val="single" w:sz="4" w:space="0" w:color="auto"/>
            </w:tcBorders>
            <w:shd w:val="clear" w:color="auto" w:fill="auto"/>
            <w:noWrap/>
            <w:vAlign w:val="bottom"/>
            <w:hideMark/>
          </w:tcPr>
          <w:p w14:paraId="270859A1"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2256" w:type="dxa"/>
            <w:tcBorders>
              <w:top w:val="nil"/>
              <w:left w:val="nil"/>
              <w:bottom w:val="single" w:sz="4" w:space="0" w:color="auto"/>
              <w:right w:val="single" w:sz="4" w:space="0" w:color="auto"/>
            </w:tcBorders>
            <w:shd w:val="clear" w:color="auto" w:fill="auto"/>
            <w:noWrap/>
            <w:vAlign w:val="bottom"/>
            <w:hideMark/>
          </w:tcPr>
          <w:p w14:paraId="06634956"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+14,19%</w:t>
            </w:r>
          </w:p>
        </w:tc>
      </w:tr>
      <w:tr w:rsidR="00537808" w:rsidRPr="00537808" w14:paraId="2C21FB18" w14:textId="77777777" w:rsidTr="009246C2">
        <w:trPr>
          <w:trHeight w:val="790"/>
        </w:trPr>
        <w:tc>
          <w:tcPr>
            <w:tcW w:w="2483" w:type="dxa"/>
            <w:vMerge w:val="restart"/>
            <w:tcBorders>
              <w:top w:val="nil"/>
              <w:left w:val="single" w:sz="4" w:space="0" w:color="auto"/>
              <w:bottom w:val="single" w:sz="4" w:space="0" w:color="auto"/>
              <w:right w:val="single" w:sz="4" w:space="0" w:color="auto"/>
            </w:tcBorders>
            <w:shd w:val="clear" w:color="auto" w:fill="auto"/>
            <w:vAlign w:val="bottom"/>
            <w:hideMark/>
          </w:tcPr>
          <w:p w14:paraId="0909C294"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xml:space="preserve">Liels </w:t>
            </w:r>
            <w:proofErr w:type="spellStart"/>
            <w:r w:rsidRPr="00537808">
              <w:rPr>
                <w:rFonts w:eastAsia="Times New Roman" w:cs="Times New Roman"/>
                <w:color w:val="000000"/>
                <w:szCs w:val="24"/>
              </w:rPr>
              <w:t>energointensīvs</w:t>
            </w:r>
            <w:proofErr w:type="spellEnd"/>
            <w:r w:rsidRPr="00537808">
              <w:rPr>
                <w:rFonts w:eastAsia="Times New Roman" w:cs="Times New Roman"/>
                <w:color w:val="000000"/>
                <w:szCs w:val="24"/>
              </w:rPr>
              <w:t xml:space="preserve"> ražojošs uzņēmums (patēriņš 6374MWh/mēnesī)</w:t>
            </w:r>
          </w:p>
        </w:tc>
        <w:tc>
          <w:tcPr>
            <w:tcW w:w="1744" w:type="dxa"/>
            <w:tcBorders>
              <w:top w:val="nil"/>
              <w:left w:val="nil"/>
              <w:bottom w:val="single" w:sz="4" w:space="0" w:color="auto"/>
              <w:right w:val="single" w:sz="4" w:space="0" w:color="auto"/>
            </w:tcBorders>
            <w:shd w:val="clear" w:color="auto" w:fill="auto"/>
            <w:vAlign w:val="bottom"/>
            <w:hideMark/>
          </w:tcPr>
          <w:p w14:paraId="567A5805"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EUR/mēnesī</w:t>
            </w:r>
          </w:p>
        </w:tc>
        <w:tc>
          <w:tcPr>
            <w:tcW w:w="2147" w:type="dxa"/>
            <w:tcBorders>
              <w:top w:val="nil"/>
              <w:left w:val="nil"/>
              <w:bottom w:val="single" w:sz="4" w:space="0" w:color="auto"/>
              <w:right w:val="single" w:sz="4" w:space="0" w:color="auto"/>
            </w:tcBorders>
            <w:shd w:val="clear" w:color="auto" w:fill="auto"/>
            <w:noWrap/>
            <w:vAlign w:val="bottom"/>
            <w:hideMark/>
          </w:tcPr>
          <w:p w14:paraId="2E8F90C2"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612668,88</w:t>
            </w:r>
          </w:p>
        </w:tc>
        <w:tc>
          <w:tcPr>
            <w:tcW w:w="2256" w:type="dxa"/>
            <w:tcBorders>
              <w:top w:val="nil"/>
              <w:left w:val="nil"/>
              <w:bottom w:val="single" w:sz="4" w:space="0" w:color="auto"/>
              <w:right w:val="single" w:sz="4" w:space="0" w:color="auto"/>
            </w:tcBorders>
            <w:shd w:val="clear" w:color="auto" w:fill="auto"/>
            <w:noWrap/>
            <w:vAlign w:val="bottom"/>
            <w:hideMark/>
          </w:tcPr>
          <w:p w14:paraId="54B12D41"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699610,24</w:t>
            </w:r>
          </w:p>
        </w:tc>
      </w:tr>
      <w:tr w:rsidR="00537808" w:rsidRPr="00537808" w14:paraId="30EDDD1C" w14:textId="77777777" w:rsidTr="009246C2">
        <w:trPr>
          <w:trHeight w:val="300"/>
        </w:trPr>
        <w:tc>
          <w:tcPr>
            <w:tcW w:w="2483" w:type="dxa"/>
            <w:vMerge/>
            <w:tcBorders>
              <w:top w:val="nil"/>
              <w:left w:val="single" w:sz="4" w:space="0" w:color="auto"/>
              <w:bottom w:val="single" w:sz="4" w:space="0" w:color="auto"/>
              <w:right w:val="single" w:sz="4" w:space="0" w:color="auto"/>
            </w:tcBorders>
            <w:vAlign w:val="center"/>
            <w:hideMark/>
          </w:tcPr>
          <w:p w14:paraId="2EAA9173" w14:textId="77777777" w:rsidR="00537808" w:rsidRPr="00537808" w:rsidRDefault="00537808" w:rsidP="00537808">
            <w:pPr>
              <w:spacing w:after="0" w:line="240" w:lineRule="auto"/>
              <w:jc w:val="left"/>
              <w:rPr>
                <w:rFonts w:eastAsia="Times New Roman" w:cs="Times New Roman"/>
                <w:color w:val="000000"/>
                <w:szCs w:val="24"/>
              </w:rPr>
            </w:pPr>
          </w:p>
        </w:tc>
        <w:tc>
          <w:tcPr>
            <w:tcW w:w="1744" w:type="dxa"/>
            <w:tcBorders>
              <w:top w:val="nil"/>
              <w:left w:val="nil"/>
              <w:bottom w:val="single" w:sz="4" w:space="0" w:color="auto"/>
              <w:right w:val="single" w:sz="4" w:space="0" w:color="auto"/>
            </w:tcBorders>
            <w:shd w:val="clear" w:color="auto" w:fill="auto"/>
            <w:vAlign w:val="bottom"/>
            <w:hideMark/>
          </w:tcPr>
          <w:p w14:paraId="609AB86D"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izmaiņas %</w:t>
            </w:r>
          </w:p>
        </w:tc>
        <w:tc>
          <w:tcPr>
            <w:tcW w:w="2147" w:type="dxa"/>
            <w:tcBorders>
              <w:top w:val="nil"/>
              <w:left w:val="nil"/>
              <w:bottom w:val="single" w:sz="4" w:space="0" w:color="auto"/>
              <w:right w:val="single" w:sz="4" w:space="0" w:color="auto"/>
            </w:tcBorders>
            <w:shd w:val="clear" w:color="auto" w:fill="auto"/>
            <w:noWrap/>
            <w:vAlign w:val="bottom"/>
            <w:hideMark/>
          </w:tcPr>
          <w:p w14:paraId="2AA20AA9" w14:textId="77777777" w:rsidR="00537808" w:rsidRPr="00537808" w:rsidRDefault="00537808" w:rsidP="00537808">
            <w:pPr>
              <w:spacing w:after="0" w:line="240" w:lineRule="auto"/>
              <w:jc w:val="left"/>
              <w:rPr>
                <w:rFonts w:eastAsia="Times New Roman" w:cs="Times New Roman"/>
                <w:color w:val="000000"/>
                <w:szCs w:val="24"/>
              </w:rPr>
            </w:pPr>
            <w:r w:rsidRPr="00537808">
              <w:rPr>
                <w:rFonts w:eastAsia="Times New Roman" w:cs="Times New Roman"/>
                <w:color w:val="000000"/>
                <w:szCs w:val="24"/>
              </w:rPr>
              <w:t> </w:t>
            </w:r>
          </w:p>
        </w:tc>
        <w:tc>
          <w:tcPr>
            <w:tcW w:w="2256" w:type="dxa"/>
            <w:tcBorders>
              <w:top w:val="nil"/>
              <w:left w:val="nil"/>
              <w:bottom w:val="single" w:sz="4" w:space="0" w:color="auto"/>
              <w:right w:val="single" w:sz="4" w:space="0" w:color="auto"/>
            </w:tcBorders>
            <w:shd w:val="clear" w:color="auto" w:fill="auto"/>
            <w:noWrap/>
            <w:vAlign w:val="bottom"/>
            <w:hideMark/>
          </w:tcPr>
          <w:p w14:paraId="257FBFCD" w14:textId="77777777" w:rsidR="00537808" w:rsidRPr="00537808" w:rsidRDefault="00537808" w:rsidP="00537808">
            <w:pPr>
              <w:spacing w:after="0" w:line="240" w:lineRule="auto"/>
              <w:jc w:val="right"/>
              <w:rPr>
                <w:rFonts w:eastAsia="Times New Roman" w:cs="Times New Roman"/>
                <w:color w:val="000000"/>
                <w:szCs w:val="24"/>
              </w:rPr>
            </w:pPr>
            <w:r w:rsidRPr="00537808">
              <w:rPr>
                <w:rFonts w:eastAsia="Times New Roman" w:cs="Times New Roman"/>
                <w:color w:val="000000"/>
                <w:szCs w:val="24"/>
              </w:rPr>
              <w:t>+14,19%</w:t>
            </w:r>
          </w:p>
        </w:tc>
      </w:tr>
    </w:tbl>
    <w:p w14:paraId="30485982" w14:textId="77777777" w:rsidR="00537808" w:rsidRPr="00537808" w:rsidRDefault="00537808" w:rsidP="00537808">
      <w:pPr>
        <w:spacing w:after="0" w:line="240" w:lineRule="auto"/>
        <w:rPr>
          <w:rFonts w:eastAsiaTheme="minorHAnsi" w:cs="Times New Roman"/>
          <w:sz w:val="28"/>
          <w:szCs w:val="28"/>
        </w:rPr>
      </w:pPr>
    </w:p>
    <w:p w14:paraId="629E9E00" w14:textId="77777777" w:rsidR="00537808" w:rsidRPr="00537808" w:rsidRDefault="00537808" w:rsidP="00537808">
      <w:pPr>
        <w:spacing w:after="0" w:line="240" w:lineRule="auto"/>
        <w:rPr>
          <w:rFonts w:eastAsiaTheme="minorHAnsi" w:cs="Times New Roman"/>
          <w:sz w:val="28"/>
          <w:szCs w:val="28"/>
        </w:rPr>
      </w:pPr>
      <w:r w:rsidRPr="00537808">
        <w:rPr>
          <w:rFonts w:eastAsiaTheme="minorHAnsi" w:cs="Times New Roman"/>
          <w:sz w:val="28"/>
          <w:szCs w:val="28"/>
        </w:rPr>
        <w:t>2.risinājums paredz, ka 2019.gadā valsts budžeta līdzekļi tiek novirzīti OIK līmeņa saglabāšanai 26,79EUR/</w:t>
      </w:r>
      <w:proofErr w:type="spellStart"/>
      <w:r w:rsidRPr="00537808">
        <w:rPr>
          <w:rFonts w:eastAsiaTheme="minorHAnsi" w:cs="Times New Roman"/>
          <w:sz w:val="28"/>
          <w:szCs w:val="28"/>
        </w:rPr>
        <w:t>MWh</w:t>
      </w:r>
      <w:proofErr w:type="spellEnd"/>
      <w:r w:rsidRPr="00537808">
        <w:rPr>
          <w:rFonts w:eastAsiaTheme="minorHAnsi" w:cs="Times New Roman"/>
          <w:sz w:val="28"/>
          <w:szCs w:val="28"/>
        </w:rPr>
        <w:t xml:space="preserve">, tādējādi nodrošinot </w:t>
      </w:r>
      <w:r w:rsidRPr="00537808">
        <w:rPr>
          <w:rFonts w:eastAsiaTheme="minorHAnsi" w:cs="Times New Roman"/>
          <w:sz w:val="28"/>
          <w:szCs w:val="28"/>
          <w:u w:val="single"/>
        </w:rPr>
        <w:t xml:space="preserve">nemainīgu </w:t>
      </w:r>
      <w:r w:rsidRPr="00537808">
        <w:rPr>
          <w:rFonts w:eastAsiaTheme="minorHAnsi" w:cs="Times New Roman"/>
          <w:sz w:val="28"/>
          <w:szCs w:val="28"/>
        </w:rPr>
        <w:t xml:space="preserve">līdzšinējo OIK izmaksu līmeni elektroenerģijas patērētājiem. </w:t>
      </w:r>
    </w:p>
    <w:p w14:paraId="7A2054AA" w14:textId="77777777" w:rsidR="00537808" w:rsidRPr="00537808" w:rsidRDefault="00537808" w:rsidP="00537808">
      <w:pPr>
        <w:spacing w:after="0" w:line="240" w:lineRule="auto"/>
        <w:rPr>
          <w:rFonts w:eastAsiaTheme="minorHAnsi" w:cs="Times New Roman"/>
          <w:sz w:val="28"/>
          <w:szCs w:val="28"/>
        </w:rPr>
      </w:pPr>
    </w:p>
    <w:p w14:paraId="455D08D3" w14:textId="77777777" w:rsidR="00537808" w:rsidRPr="00537808" w:rsidRDefault="00537808" w:rsidP="00537808">
      <w:pPr>
        <w:spacing w:after="0" w:line="240" w:lineRule="auto"/>
        <w:rPr>
          <w:rFonts w:eastAsiaTheme="minorHAnsi" w:cs="Times New Roman"/>
          <w:sz w:val="28"/>
          <w:szCs w:val="28"/>
        </w:rPr>
      </w:pPr>
      <w:r w:rsidRPr="00537808">
        <w:rPr>
          <w:rFonts w:eastAsiaTheme="minorHAnsi" w:cs="Times New Roman"/>
          <w:sz w:val="28"/>
          <w:szCs w:val="28"/>
        </w:rPr>
        <w:t xml:space="preserve">3.risinājums paredz sistēmisku OIK risinājumu, kas paredz diferencēt OIK maksājumus atkarībā no patērētāja pieprasītās elektroenerģijas </w:t>
      </w:r>
      <w:proofErr w:type="spellStart"/>
      <w:r w:rsidRPr="00537808">
        <w:rPr>
          <w:rFonts w:eastAsiaTheme="minorHAnsi" w:cs="Times New Roman"/>
          <w:sz w:val="28"/>
          <w:szCs w:val="28"/>
        </w:rPr>
        <w:t>pieslēguma</w:t>
      </w:r>
      <w:proofErr w:type="spellEnd"/>
      <w:r w:rsidRPr="00537808">
        <w:rPr>
          <w:rFonts w:eastAsiaTheme="minorHAnsi" w:cs="Times New Roman"/>
          <w:sz w:val="28"/>
          <w:szCs w:val="28"/>
        </w:rPr>
        <w:t xml:space="preserve"> jaudas. Šī risinājuma ietekme uz patērētājiem maksājamo OIK ir </w:t>
      </w:r>
      <w:r w:rsidRPr="00537808">
        <w:rPr>
          <w:rFonts w:eastAsiaTheme="minorHAnsi" w:cs="Times New Roman"/>
          <w:sz w:val="28"/>
          <w:szCs w:val="28"/>
        </w:rPr>
        <w:lastRenderedPageBreak/>
        <w:t xml:space="preserve">atspoguļota 10. un 11.tabulā, kā arī 7.attēlā. Šajā risinājumā ietekme uz patērētājiem ir tieši atkarīga no izvēlētās </w:t>
      </w:r>
      <w:proofErr w:type="spellStart"/>
      <w:r w:rsidRPr="00537808">
        <w:rPr>
          <w:rFonts w:eastAsiaTheme="minorHAnsi" w:cs="Times New Roman"/>
          <w:sz w:val="28"/>
          <w:szCs w:val="28"/>
        </w:rPr>
        <w:t>pieslēguma</w:t>
      </w:r>
      <w:proofErr w:type="spellEnd"/>
      <w:r w:rsidRPr="00537808">
        <w:rPr>
          <w:rFonts w:eastAsiaTheme="minorHAnsi" w:cs="Times New Roman"/>
          <w:sz w:val="28"/>
          <w:szCs w:val="28"/>
        </w:rPr>
        <w:t xml:space="preserve"> jaudas un šīs jaudas efektīvas izmantošanas. Risinājums paredz, ka aizsargātajiem lietotājiem ar nelielu elektroenerģijas patēriņu, izmaksu pieaugumu kompensēs aizsargātā lietotāja mehānisma ietvaros.</w:t>
      </w:r>
    </w:p>
    <w:p w14:paraId="089DBF62" w14:textId="77777777" w:rsidR="00537808" w:rsidRPr="00537808" w:rsidRDefault="00537808" w:rsidP="00537808"/>
    <w:p w14:paraId="50CD9B2E" w14:textId="77777777" w:rsidR="004761FF" w:rsidRPr="00D304FA" w:rsidRDefault="00005DA0" w:rsidP="004761FF">
      <w:pPr>
        <w:pStyle w:val="Heading1"/>
        <w:numPr>
          <w:ilvl w:val="0"/>
          <w:numId w:val="1"/>
        </w:numPr>
        <w:spacing w:after="120" w:line="276" w:lineRule="auto"/>
        <w:ind w:left="357" w:hanging="357"/>
      </w:pPr>
      <w:bookmarkStart w:id="28" w:name="_Toc459890631"/>
      <w:r>
        <w:t>Se</w:t>
      </w:r>
      <w:r w:rsidR="004761FF">
        <w:t>cinājumi</w:t>
      </w:r>
      <w:bookmarkEnd w:id="28"/>
    </w:p>
    <w:p w14:paraId="7AC7267F" w14:textId="77777777" w:rsidR="0002087C" w:rsidRDefault="0002087C" w:rsidP="0002087C">
      <w:pPr>
        <w:spacing w:after="0" w:line="240" w:lineRule="auto"/>
        <w:ind w:firstLine="851"/>
        <w:rPr>
          <w:sz w:val="28"/>
          <w:szCs w:val="28"/>
        </w:rPr>
      </w:pPr>
      <w:r w:rsidRPr="0002087C">
        <w:rPr>
          <w:sz w:val="28"/>
          <w:szCs w:val="28"/>
        </w:rPr>
        <w:t>Elektroenerģijas izmaksas ir svarīgas gan uzņēmumu konkurētspējas, gan mājsaimniecību maksātspējas uzlabošanai. Līdz ar to ir svarīgi sabalansēt dažādas komponentes, kā piemēram</w:t>
      </w:r>
      <w:r>
        <w:rPr>
          <w:sz w:val="28"/>
          <w:szCs w:val="28"/>
        </w:rPr>
        <w:t xml:space="preserve"> SEN,</w:t>
      </w:r>
      <w:r w:rsidRPr="0002087C">
        <w:rPr>
          <w:sz w:val="28"/>
          <w:szCs w:val="28"/>
        </w:rPr>
        <w:t xml:space="preserve"> elektroenerģijas nodokli</w:t>
      </w:r>
      <w:r>
        <w:rPr>
          <w:sz w:val="28"/>
          <w:szCs w:val="28"/>
        </w:rPr>
        <w:t xml:space="preserve"> un elektroenerģijas lietotāju maksājumus par </w:t>
      </w:r>
      <w:r w:rsidRPr="0002087C">
        <w:rPr>
          <w:sz w:val="28"/>
          <w:szCs w:val="28"/>
        </w:rPr>
        <w:t>OIK</w:t>
      </w:r>
      <w:r>
        <w:rPr>
          <w:sz w:val="28"/>
          <w:szCs w:val="28"/>
        </w:rPr>
        <w:t xml:space="preserve">. </w:t>
      </w:r>
    </w:p>
    <w:p w14:paraId="451CE0D4" w14:textId="77777777" w:rsidR="00C80C47" w:rsidRDefault="0002087C" w:rsidP="00C80C47">
      <w:pPr>
        <w:spacing w:after="0" w:line="240" w:lineRule="auto"/>
        <w:ind w:firstLine="851"/>
        <w:rPr>
          <w:sz w:val="28"/>
          <w:szCs w:val="28"/>
        </w:rPr>
      </w:pPr>
      <w:r>
        <w:rPr>
          <w:sz w:val="28"/>
          <w:szCs w:val="28"/>
        </w:rPr>
        <w:t>Izvērtējot iespējamās alternatīvas,</w:t>
      </w:r>
      <w:r w:rsidRPr="0002087C">
        <w:rPr>
          <w:sz w:val="28"/>
          <w:szCs w:val="28"/>
        </w:rPr>
        <w:t xml:space="preserve"> Ekonomikas ministrija </w:t>
      </w:r>
      <w:r>
        <w:rPr>
          <w:sz w:val="28"/>
          <w:szCs w:val="28"/>
        </w:rPr>
        <w:t>atbalsta</w:t>
      </w:r>
      <w:r w:rsidRPr="0002087C">
        <w:rPr>
          <w:sz w:val="28"/>
          <w:szCs w:val="28"/>
        </w:rPr>
        <w:t xml:space="preserve"> </w:t>
      </w:r>
      <w:r>
        <w:rPr>
          <w:sz w:val="28"/>
          <w:szCs w:val="28"/>
        </w:rPr>
        <w:t xml:space="preserve">konceptuālā ziņojuma </w:t>
      </w:r>
      <w:r w:rsidR="007C65E6" w:rsidRPr="00F82132">
        <w:rPr>
          <w:sz w:val="28"/>
          <w:szCs w:val="28"/>
        </w:rPr>
        <w:t>3</w:t>
      </w:r>
      <w:r w:rsidRPr="00F82132">
        <w:rPr>
          <w:sz w:val="28"/>
          <w:szCs w:val="28"/>
        </w:rPr>
        <w:t>.risinājumu</w:t>
      </w:r>
      <w:r w:rsidR="000738A1">
        <w:rPr>
          <w:sz w:val="28"/>
          <w:szCs w:val="28"/>
        </w:rPr>
        <w:t>, kurš veicina OIK sistēmas sakārtošanu</w:t>
      </w:r>
      <w:r w:rsidR="0006373D">
        <w:rPr>
          <w:sz w:val="28"/>
          <w:szCs w:val="28"/>
        </w:rPr>
        <w:t xml:space="preserve">, tautsaimniecības izaugsmi un </w:t>
      </w:r>
      <w:r w:rsidR="00834ECE">
        <w:rPr>
          <w:sz w:val="28"/>
          <w:szCs w:val="28"/>
        </w:rPr>
        <w:t>ilgtermiņā samazina nepieciešamo</w:t>
      </w:r>
      <w:r w:rsidR="0006373D">
        <w:rPr>
          <w:sz w:val="28"/>
          <w:szCs w:val="28"/>
        </w:rPr>
        <w:t xml:space="preserve"> valsts budžeta finansējum</w:t>
      </w:r>
      <w:r w:rsidR="00834ECE">
        <w:rPr>
          <w:sz w:val="28"/>
          <w:szCs w:val="28"/>
        </w:rPr>
        <w:t>u</w:t>
      </w:r>
      <w:r w:rsidR="0006373D">
        <w:rPr>
          <w:sz w:val="28"/>
          <w:szCs w:val="28"/>
        </w:rPr>
        <w:t xml:space="preserve"> </w:t>
      </w:r>
      <w:r w:rsidR="00834ECE">
        <w:rPr>
          <w:sz w:val="28"/>
          <w:szCs w:val="28"/>
        </w:rPr>
        <w:t>elektroenerģijas lietotāju atbalstam</w:t>
      </w:r>
      <w:r w:rsidR="000738A1">
        <w:rPr>
          <w:sz w:val="28"/>
          <w:szCs w:val="28"/>
        </w:rPr>
        <w:t>.</w:t>
      </w:r>
      <w:r w:rsidR="00C80C47">
        <w:rPr>
          <w:sz w:val="28"/>
          <w:szCs w:val="28"/>
        </w:rPr>
        <w:t xml:space="preserve"> </w:t>
      </w:r>
    </w:p>
    <w:p w14:paraId="7FEA073E" w14:textId="77777777" w:rsidR="0008052B" w:rsidRDefault="0008052B" w:rsidP="00C80C47">
      <w:pPr>
        <w:spacing w:after="0" w:line="240" w:lineRule="auto"/>
        <w:ind w:firstLine="851"/>
        <w:rPr>
          <w:sz w:val="28"/>
          <w:szCs w:val="28"/>
        </w:rPr>
      </w:pPr>
    </w:p>
    <w:p w14:paraId="5024DABF" w14:textId="77777777" w:rsidR="0008052B" w:rsidRDefault="0008052B" w:rsidP="00C80C47">
      <w:pPr>
        <w:spacing w:after="0" w:line="240" w:lineRule="auto"/>
        <w:ind w:firstLine="851"/>
        <w:rPr>
          <w:sz w:val="28"/>
          <w:szCs w:val="28"/>
        </w:rPr>
      </w:pPr>
    </w:p>
    <w:p w14:paraId="30E8A9BA" w14:textId="77777777" w:rsidR="0008052B" w:rsidRDefault="0008052B" w:rsidP="0008052B">
      <w:pPr>
        <w:spacing w:after="0" w:line="276" w:lineRule="auto"/>
        <w:jc w:val="left"/>
        <w:rPr>
          <w:rFonts w:eastAsia="Calibri" w:cs="Times New Roman"/>
          <w:bCs/>
          <w:sz w:val="28"/>
          <w:szCs w:val="28"/>
          <w:lang w:eastAsia="lv-LV"/>
        </w:rPr>
      </w:pPr>
      <w:r>
        <w:rPr>
          <w:rFonts w:eastAsia="Calibri" w:cs="Times New Roman"/>
          <w:bCs/>
          <w:sz w:val="28"/>
          <w:szCs w:val="28"/>
          <w:lang w:eastAsia="lv-LV"/>
        </w:rPr>
        <w:t>Iesniedzējs:</w:t>
      </w:r>
    </w:p>
    <w:p w14:paraId="68C42454" w14:textId="77777777" w:rsidR="0008052B" w:rsidRDefault="0008052B" w:rsidP="0008052B">
      <w:pPr>
        <w:spacing w:after="0" w:line="276" w:lineRule="auto"/>
        <w:jc w:val="left"/>
        <w:rPr>
          <w:rFonts w:eastAsia="Calibri" w:cs="Times New Roman"/>
          <w:bCs/>
          <w:sz w:val="28"/>
          <w:szCs w:val="28"/>
          <w:lang w:eastAsia="lv-LV"/>
        </w:rPr>
      </w:pPr>
      <w:r>
        <w:rPr>
          <w:rFonts w:eastAsia="Calibri" w:cs="Times New Roman"/>
          <w:bCs/>
          <w:sz w:val="28"/>
          <w:szCs w:val="28"/>
          <w:lang w:eastAsia="lv-LV"/>
        </w:rPr>
        <w:t>Ministru prezidenta biedrs,</w:t>
      </w:r>
    </w:p>
    <w:p w14:paraId="47B28999" w14:textId="77777777" w:rsidR="0008052B" w:rsidRPr="000E1EFE" w:rsidRDefault="0008052B" w:rsidP="0008052B">
      <w:pPr>
        <w:spacing w:after="0" w:line="276" w:lineRule="auto"/>
        <w:jc w:val="left"/>
        <w:rPr>
          <w:rFonts w:eastAsia="Calibri" w:cs="Times New Roman"/>
          <w:bCs/>
          <w:sz w:val="28"/>
          <w:szCs w:val="28"/>
          <w:lang w:eastAsia="lv-LV"/>
        </w:rPr>
      </w:pPr>
      <w:r>
        <w:rPr>
          <w:rFonts w:eastAsia="Calibri" w:cs="Times New Roman"/>
          <w:bCs/>
          <w:sz w:val="28"/>
          <w:szCs w:val="28"/>
          <w:lang w:eastAsia="lv-LV"/>
        </w:rPr>
        <w:t>Ekonomikas ministrs</w:t>
      </w:r>
      <w:r w:rsidRPr="000E1EFE">
        <w:rPr>
          <w:rFonts w:eastAsia="Calibri" w:cs="Times New Roman"/>
          <w:bCs/>
          <w:sz w:val="28"/>
          <w:szCs w:val="28"/>
          <w:lang w:eastAsia="lv-LV"/>
        </w:rPr>
        <w:t>                                    </w:t>
      </w:r>
      <w:r>
        <w:rPr>
          <w:rFonts w:eastAsia="Calibri" w:cs="Times New Roman"/>
          <w:bCs/>
          <w:sz w:val="28"/>
          <w:szCs w:val="28"/>
          <w:lang w:eastAsia="lv-LV"/>
        </w:rPr>
        <w:t>                           A. Ašeradens</w:t>
      </w:r>
    </w:p>
    <w:p w14:paraId="27559FAE" w14:textId="77777777" w:rsidR="0008052B" w:rsidRPr="000E1EFE" w:rsidRDefault="0008052B" w:rsidP="0008052B">
      <w:pPr>
        <w:spacing w:after="0" w:line="276" w:lineRule="auto"/>
        <w:jc w:val="left"/>
        <w:rPr>
          <w:rFonts w:eastAsia="Calibri" w:cs="Times New Roman"/>
          <w:bCs/>
          <w:sz w:val="28"/>
          <w:szCs w:val="28"/>
          <w:lang w:eastAsia="lv-LV"/>
        </w:rPr>
      </w:pPr>
    </w:p>
    <w:p w14:paraId="1ADB9BAC" w14:textId="77777777" w:rsidR="0008052B" w:rsidRPr="000E1EFE" w:rsidRDefault="0008052B" w:rsidP="0008052B">
      <w:pPr>
        <w:spacing w:after="0" w:line="276" w:lineRule="auto"/>
        <w:jc w:val="left"/>
        <w:rPr>
          <w:rFonts w:eastAsia="Calibri" w:cs="Times New Roman"/>
          <w:bCs/>
          <w:sz w:val="28"/>
          <w:szCs w:val="28"/>
          <w:lang w:eastAsia="lv-LV"/>
        </w:rPr>
      </w:pPr>
      <w:r w:rsidRPr="000E1EFE">
        <w:rPr>
          <w:rFonts w:eastAsia="Calibri" w:cs="Times New Roman"/>
          <w:bCs/>
          <w:sz w:val="28"/>
          <w:szCs w:val="28"/>
          <w:lang w:eastAsia="lv-LV"/>
        </w:rPr>
        <w:t xml:space="preserve">Vīza: </w:t>
      </w:r>
    </w:p>
    <w:p w14:paraId="75EFD791" w14:textId="77777777" w:rsidR="0008052B" w:rsidRPr="000E1EFE" w:rsidRDefault="0008052B" w:rsidP="0008052B">
      <w:pPr>
        <w:spacing w:after="0" w:line="276" w:lineRule="auto"/>
        <w:jc w:val="left"/>
        <w:rPr>
          <w:rFonts w:eastAsia="Calibri" w:cs="Times New Roman"/>
          <w:bCs/>
          <w:sz w:val="28"/>
          <w:szCs w:val="28"/>
          <w:lang w:eastAsia="lv-LV"/>
        </w:rPr>
      </w:pPr>
      <w:r>
        <w:rPr>
          <w:rFonts w:eastAsia="Calibri" w:cs="Times New Roman"/>
          <w:bCs/>
          <w:sz w:val="28"/>
          <w:szCs w:val="28"/>
          <w:lang w:eastAsia="lv-LV"/>
        </w:rPr>
        <w:t>Valsts s</w:t>
      </w:r>
      <w:r w:rsidRPr="000E1EFE">
        <w:rPr>
          <w:rFonts w:eastAsia="Calibri" w:cs="Times New Roman"/>
          <w:bCs/>
          <w:sz w:val="28"/>
          <w:szCs w:val="28"/>
          <w:lang w:eastAsia="lv-LV"/>
        </w:rPr>
        <w:t>ekretār</w:t>
      </w:r>
      <w:r>
        <w:rPr>
          <w:rFonts w:eastAsia="Calibri" w:cs="Times New Roman"/>
          <w:bCs/>
          <w:sz w:val="28"/>
          <w:szCs w:val="28"/>
          <w:lang w:eastAsia="lv-LV"/>
        </w:rPr>
        <w:t>s</w:t>
      </w:r>
      <w:r w:rsidRPr="000E1EFE">
        <w:rPr>
          <w:rFonts w:eastAsia="Calibri" w:cs="Times New Roman"/>
          <w:bCs/>
          <w:sz w:val="28"/>
          <w:szCs w:val="28"/>
          <w:lang w:eastAsia="lv-LV"/>
        </w:rPr>
        <w:t>                                                 </w:t>
      </w:r>
      <w:r w:rsidR="00EA4C76">
        <w:rPr>
          <w:rFonts w:eastAsia="Calibri" w:cs="Times New Roman"/>
          <w:bCs/>
          <w:sz w:val="28"/>
          <w:szCs w:val="28"/>
          <w:lang w:eastAsia="lv-LV"/>
        </w:rPr>
        <w:t>                               </w:t>
      </w:r>
      <w:proofErr w:type="spellStart"/>
      <w:r w:rsidR="00EA4C76">
        <w:rPr>
          <w:rFonts w:eastAsia="Calibri" w:cs="Times New Roman"/>
          <w:bCs/>
          <w:sz w:val="28"/>
          <w:szCs w:val="28"/>
          <w:lang w:eastAsia="lv-LV"/>
        </w:rPr>
        <w:t>J.Stinka</w:t>
      </w:r>
      <w:proofErr w:type="spellEnd"/>
    </w:p>
    <w:p w14:paraId="0D2DDDD3" w14:textId="77777777" w:rsidR="0008052B" w:rsidRPr="000E1EFE" w:rsidRDefault="0008052B" w:rsidP="0008052B">
      <w:pPr>
        <w:spacing w:after="0" w:line="276" w:lineRule="auto"/>
        <w:jc w:val="left"/>
        <w:rPr>
          <w:rFonts w:eastAsia="Calibri" w:cs="Times New Roman"/>
          <w:bCs/>
          <w:sz w:val="28"/>
          <w:szCs w:val="28"/>
          <w:lang w:eastAsia="lv-LV"/>
        </w:rPr>
      </w:pPr>
    </w:p>
    <w:p w14:paraId="33A39CC7" w14:textId="77777777" w:rsidR="0008052B" w:rsidRDefault="0008052B" w:rsidP="0008052B">
      <w:pPr>
        <w:spacing w:after="0" w:line="276" w:lineRule="auto"/>
        <w:jc w:val="left"/>
        <w:rPr>
          <w:rFonts w:eastAsia="Calibri" w:cs="Times New Roman"/>
          <w:bCs/>
          <w:sz w:val="20"/>
          <w:szCs w:val="20"/>
          <w:lang w:eastAsia="lv-LV"/>
        </w:rPr>
      </w:pPr>
    </w:p>
    <w:p w14:paraId="26C24FD1" w14:textId="77777777" w:rsidR="0008052B" w:rsidRDefault="0008052B" w:rsidP="0008052B">
      <w:pPr>
        <w:spacing w:after="0" w:line="276" w:lineRule="auto"/>
        <w:jc w:val="left"/>
        <w:rPr>
          <w:rFonts w:eastAsia="Calibri" w:cs="Times New Roman"/>
          <w:bCs/>
          <w:sz w:val="20"/>
          <w:szCs w:val="20"/>
          <w:lang w:eastAsia="lv-LV"/>
        </w:rPr>
      </w:pPr>
      <w:bookmarkStart w:id="29" w:name="_GoBack"/>
      <w:bookmarkEnd w:id="29"/>
    </w:p>
    <w:p w14:paraId="077CD062" w14:textId="77777777" w:rsidR="0008052B" w:rsidRPr="00F45E36" w:rsidRDefault="0008052B" w:rsidP="0008052B">
      <w:pPr>
        <w:spacing w:after="0" w:line="276" w:lineRule="auto"/>
        <w:jc w:val="left"/>
        <w:rPr>
          <w:rFonts w:eastAsia="Calibri" w:cs="Times New Roman"/>
          <w:bCs/>
          <w:sz w:val="20"/>
          <w:szCs w:val="20"/>
          <w:lang w:eastAsia="lv-LV"/>
        </w:rPr>
      </w:pPr>
    </w:p>
    <w:p w14:paraId="5A52EFB4" w14:textId="287D8364" w:rsidR="0008052B" w:rsidRPr="00F45E36" w:rsidRDefault="009E5A85" w:rsidP="0008052B">
      <w:pPr>
        <w:spacing w:after="0" w:line="276" w:lineRule="auto"/>
        <w:jc w:val="left"/>
        <w:rPr>
          <w:rFonts w:eastAsia="Calibri" w:cs="Times New Roman"/>
          <w:bCs/>
          <w:sz w:val="20"/>
          <w:szCs w:val="20"/>
          <w:lang w:eastAsia="lv-LV"/>
        </w:rPr>
      </w:pPr>
      <w:r>
        <w:rPr>
          <w:rFonts w:eastAsia="Calibri" w:cs="Times New Roman"/>
          <w:bCs/>
          <w:sz w:val="20"/>
          <w:szCs w:val="20"/>
          <w:lang w:eastAsia="lv-LV"/>
        </w:rPr>
        <w:t>25</w:t>
      </w:r>
      <w:r w:rsidR="0008052B" w:rsidRPr="00F45E36">
        <w:rPr>
          <w:rFonts w:eastAsia="Calibri" w:cs="Times New Roman"/>
          <w:bCs/>
          <w:sz w:val="20"/>
          <w:szCs w:val="20"/>
          <w:lang w:eastAsia="lv-LV"/>
        </w:rPr>
        <w:t>.08.201</w:t>
      </w:r>
      <w:r w:rsidR="00EA4C76">
        <w:rPr>
          <w:rFonts w:eastAsia="Calibri" w:cs="Times New Roman"/>
          <w:bCs/>
          <w:sz w:val="20"/>
          <w:szCs w:val="20"/>
          <w:lang w:eastAsia="lv-LV"/>
        </w:rPr>
        <w:t>6</w:t>
      </w:r>
      <w:r w:rsidR="0008052B" w:rsidRPr="00F45E36">
        <w:rPr>
          <w:rFonts w:eastAsia="Calibri" w:cs="Times New Roman"/>
          <w:bCs/>
          <w:sz w:val="20"/>
          <w:szCs w:val="20"/>
          <w:lang w:eastAsia="lv-LV"/>
        </w:rPr>
        <w:t xml:space="preserve">. </w:t>
      </w:r>
      <w:r w:rsidR="00381BBF">
        <w:rPr>
          <w:rFonts w:eastAsia="Calibri" w:cs="Times New Roman"/>
          <w:bCs/>
          <w:sz w:val="20"/>
          <w:szCs w:val="20"/>
          <w:lang w:eastAsia="lv-LV"/>
        </w:rPr>
        <w:t>14:38</w:t>
      </w:r>
    </w:p>
    <w:p w14:paraId="3AC2BDC2" w14:textId="62F7AC6C" w:rsidR="0008052B" w:rsidRDefault="00381BBF" w:rsidP="0008052B">
      <w:pPr>
        <w:spacing w:after="0" w:line="276" w:lineRule="auto"/>
        <w:jc w:val="left"/>
        <w:rPr>
          <w:rFonts w:eastAsia="Calibri" w:cs="Times New Roman"/>
          <w:bCs/>
          <w:sz w:val="20"/>
          <w:szCs w:val="20"/>
          <w:lang w:eastAsia="lv-LV"/>
        </w:rPr>
      </w:pPr>
      <w:r>
        <w:rPr>
          <w:rFonts w:eastAsia="Calibri" w:cs="Times New Roman"/>
          <w:bCs/>
          <w:sz w:val="20"/>
          <w:szCs w:val="20"/>
          <w:lang w:eastAsia="lv-LV"/>
        </w:rPr>
        <w:t>9536</w:t>
      </w:r>
    </w:p>
    <w:p w14:paraId="7929C413" w14:textId="77777777" w:rsidR="009E5A85" w:rsidRDefault="009E5A85" w:rsidP="0008052B">
      <w:pPr>
        <w:spacing w:after="0" w:line="276" w:lineRule="auto"/>
        <w:jc w:val="left"/>
        <w:rPr>
          <w:rFonts w:eastAsia="Calibri" w:cs="Times New Roman"/>
          <w:bCs/>
          <w:sz w:val="20"/>
          <w:szCs w:val="20"/>
          <w:lang w:eastAsia="lv-LV"/>
        </w:rPr>
      </w:pPr>
    </w:p>
    <w:p w14:paraId="66A61A4A" w14:textId="004F317A" w:rsidR="009E5A85" w:rsidRPr="00F45E36" w:rsidRDefault="009E5A85" w:rsidP="0008052B">
      <w:pPr>
        <w:spacing w:after="0" w:line="276" w:lineRule="auto"/>
        <w:jc w:val="left"/>
        <w:rPr>
          <w:rFonts w:eastAsia="Calibri" w:cs="Times New Roman"/>
          <w:bCs/>
          <w:sz w:val="20"/>
          <w:szCs w:val="20"/>
          <w:lang w:eastAsia="lv-LV"/>
        </w:rPr>
      </w:pPr>
      <w:proofErr w:type="spellStart"/>
      <w:r>
        <w:rPr>
          <w:rFonts w:eastAsia="Calibri" w:cs="Times New Roman"/>
          <w:bCs/>
          <w:sz w:val="20"/>
          <w:szCs w:val="20"/>
          <w:lang w:eastAsia="lv-LV"/>
        </w:rPr>
        <w:t>R.Meijers</w:t>
      </w:r>
      <w:proofErr w:type="spellEnd"/>
      <w:r>
        <w:rPr>
          <w:rFonts w:eastAsia="Calibri" w:cs="Times New Roman"/>
          <w:bCs/>
          <w:sz w:val="20"/>
          <w:szCs w:val="20"/>
          <w:lang w:eastAsia="lv-LV"/>
        </w:rPr>
        <w:br/>
        <w:t xml:space="preserve">67013176, </w:t>
      </w:r>
      <w:hyperlink r:id="rId19" w:history="1">
        <w:r w:rsidRPr="002E23C8">
          <w:rPr>
            <w:rStyle w:val="Hyperlink"/>
            <w:rFonts w:eastAsia="Calibri" w:cs="Times New Roman"/>
            <w:bCs/>
            <w:sz w:val="20"/>
            <w:szCs w:val="20"/>
            <w:lang w:eastAsia="lv-LV"/>
          </w:rPr>
          <w:t>Roberts.Meijers@em.gov.lv</w:t>
        </w:r>
      </w:hyperlink>
      <w:r>
        <w:rPr>
          <w:rFonts w:eastAsia="Calibri" w:cs="Times New Roman"/>
          <w:bCs/>
          <w:sz w:val="20"/>
          <w:szCs w:val="20"/>
          <w:lang w:eastAsia="lv-LV"/>
        </w:rPr>
        <w:t xml:space="preserve"> </w:t>
      </w:r>
    </w:p>
    <w:p w14:paraId="5BF68E7F" w14:textId="77777777" w:rsidR="0008052B" w:rsidRPr="00F45E36" w:rsidRDefault="0008052B" w:rsidP="0008052B">
      <w:pPr>
        <w:spacing w:after="0" w:line="276" w:lineRule="auto"/>
        <w:jc w:val="left"/>
        <w:rPr>
          <w:rFonts w:eastAsia="Calibri" w:cs="Times New Roman"/>
          <w:bCs/>
          <w:sz w:val="20"/>
          <w:szCs w:val="20"/>
          <w:lang w:eastAsia="lv-LV"/>
        </w:rPr>
      </w:pPr>
      <w:proofErr w:type="spellStart"/>
      <w:r w:rsidRPr="00F45E36">
        <w:rPr>
          <w:rFonts w:eastAsia="Calibri" w:cs="Times New Roman"/>
          <w:bCs/>
          <w:sz w:val="20"/>
          <w:szCs w:val="20"/>
          <w:lang w:eastAsia="lv-LV"/>
        </w:rPr>
        <w:t>I.Iļjina</w:t>
      </w:r>
      <w:proofErr w:type="spellEnd"/>
    </w:p>
    <w:p w14:paraId="1CC581DE" w14:textId="77777777" w:rsidR="0008052B" w:rsidRDefault="0008052B" w:rsidP="0008052B">
      <w:pPr>
        <w:spacing w:after="0" w:line="276" w:lineRule="auto"/>
        <w:jc w:val="left"/>
        <w:rPr>
          <w:rFonts w:eastAsia="Calibri" w:cs="Times New Roman"/>
          <w:bCs/>
          <w:sz w:val="20"/>
          <w:szCs w:val="20"/>
          <w:lang w:eastAsia="lv-LV"/>
        </w:rPr>
      </w:pPr>
      <w:r w:rsidRPr="00F45E36">
        <w:rPr>
          <w:rFonts w:eastAsia="Calibri" w:cs="Times New Roman"/>
          <w:bCs/>
          <w:sz w:val="20"/>
          <w:szCs w:val="20"/>
          <w:lang w:eastAsia="lv-LV"/>
        </w:rPr>
        <w:t>67013</w:t>
      </w:r>
      <w:r w:rsidR="00EA4C76">
        <w:rPr>
          <w:rFonts w:eastAsia="Calibri" w:cs="Times New Roman"/>
          <w:bCs/>
          <w:sz w:val="20"/>
          <w:szCs w:val="20"/>
          <w:lang w:eastAsia="lv-LV"/>
        </w:rPr>
        <w:t>095</w:t>
      </w:r>
      <w:r w:rsidRPr="00F45E36">
        <w:rPr>
          <w:rFonts w:eastAsia="Calibri" w:cs="Times New Roman"/>
          <w:bCs/>
          <w:sz w:val="20"/>
          <w:szCs w:val="20"/>
          <w:lang w:eastAsia="lv-LV"/>
        </w:rPr>
        <w:t xml:space="preserve">, </w:t>
      </w:r>
      <w:hyperlink r:id="rId20" w:history="1">
        <w:r w:rsidRPr="00392A43">
          <w:rPr>
            <w:rStyle w:val="Hyperlink"/>
            <w:rFonts w:eastAsia="Calibri" w:cs="Times New Roman"/>
            <w:bCs/>
            <w:sz w:val="20"/>
            <w:szCs w:val="20"/>
            <w:lang w:eastAsia="lv-LV"/>
          </w:rPr>
          <w:t>Inga.Iljina@em.gov.lv</w:t>
        </w:r>
      </w:hyperlink>
    </w:p>
    <w:sectPr w:rsidR="0008052B" w:rsidSect="005E770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F15A" w14:textId="77777777" w:rsidR="00972550" w:rsidRDefault="00972550" w:rsidP="00F77AD2">
      <w:pPr>
        <w:spacing w:after="0" w:line="240" w:lineRule="auto"/>
      </w:pPr>
      <w:r>
        <w:separator/>
      </w:r>
    </w:p>
  </w:endnote>
  <w:endnote w:type="continuationSeparator" w:id="0">
    <w:p w14:paraId="14505A46" w14:textId="77777777" w:rsidR="00972550" w:rsidRDefault="00972550" w:rsidP="00F77AD2">
      <w:pPr>
        <w:spacing w:after="0" w:line="240" w:lineRule="auto"/>
      </w:pPr>
      <w:r>
        <w:continuationSeparator/>
      </w:r>
    </w:p>
  </w:endnote>
  <w:endnote w:type="continuationNotice" w:id="1">
    <w:p w14:paraId="5024E5DD" w14:textId="77777777" w:rsidR="00972550" w:rsidRDefault="00972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52890"/>
      <w:docPartObj>
        <w:docPartGallery w:val="Page Numbers (Bottom of Page)"/>
        <w:docPartUnique/>
      </w:docPartObj>
    </w:sdtPr>
    <w:sdtEndPr>
      <w:rPr>
        <w:noProof/>
      </w:rPr>
    </w:sdtEndPr>
    <w:sdtContent>
      <w:p w14:paraId="6A587AE6" w14:textId="77777777" w:rsidR="00972550" w:rsidRDefault="00972550">
        <w:pPr>
          <w:pStyle w:val="Footer"/>
          <w:jc w:val="right"/>
        </w:pPr>
        <w:r>
          <w:fldChar w:fldCharType="begin"/>
        </w:r>
        <w:r>
          <w:instrText xml:space="preserve"> PAGE   \* MERGEFORMAT </w:instrText>
        </w:r>
        <w:r>
          <w:fldChar w:fldCharType="separate"/>
        </w:r>
        <w:r w:rsidR="00381BBF">
          <w:rPr>
            <w:noProof/>
          </w:rPr>
          <w:t>38</w:t>
        </w:r>
        <w:r>
          <w:rPr>
            <w:noProof/>
          </w:rPr>
          <w:fldChar w:fldCharType="end"/>
        </w:r>
      </w:p>
    </w:sdtContent>
  </w:sdt>
  <w:p w14:paraId="5F6FABEF" w14:textId="63D6A2F0" w:rsidR="00972550" w:rsidRDefault="009E5A85">
    <w:pPr>
      <w:pStyle w:val="Footer"/>
    </w:pPr>
    <w:r>
      <w:t>EMkonc_25</w:t>
    </w:r>
    <w:r w:rsidR="00972550">
      <w:t>0816_KomPas, Konceptuāls ziņojums “</w:t>
    </w:r>
    <w:r w:rsidR="00972550" w:rsidRPr="00B41498">
      <w:t>Kompleksi pasākumi elektroenerģijas tirgus attīstībai</w:t>
    </w:r>
    <w:r w:rsidR="0097255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1C4C" w14:textId="77777777" w:rsidR="00972550" w:rsidRDefault="00972550" w:rsidP="00F77AD2">
      <w:pPr>
        <w:spacing w:after="0" w:line="240" w:lineRule="auto"/>
      </w:pPr>
      <w:r>
        <w:separator/>
      </w:r>
    </w:p>
  </w:footnote>
  <w:footnote w:type="continuationSeparator" w:id="0">
    <w:p w14:paraId="6164A049" w14:textId="77777777" w:rsidR="00972550" w:rsidRDefault="00972550" w:rsidP="00F77AD2">
      <w:pPr>
        <w:spacing w:after="0" w:line="240" w:lineRule="auto"/>
      </w:pPr>
      <w:r>
        <w:continuationSeparator/>
      </w:r>
    </w:p>
  </w:footnote>
  <w:footnote w:type="continuationNotice" w:id="1">
    <w:p w14:paraId="1FA29D27" w14:textId="77777777" w:rsidR="00972550" w:rsidRDefault="00972550">
      <w:pPr>
        <w:spacing w:after="0" w:line="240" w:lineRule="auto"/>
      </w:pPr>
    </w:p>
  </w:footnote>
  <w:footnote w:id="2">
    <w:p w14:paraId="4B3D0BB0" w14:textId="77777777" w:rsidR="00972550" w:rsidRPr="00537D18" w:rsidRDefault="00972550" w:rsidP="002317CE">
      <w:pPr>
        <w:spacing w:line="240" w:lineRule="auto"/>
        <w:rPr>
          <w:szCs w:val="20"/>
        </w:rPr>
      </w:pPr>
      <w:r w:rsidRPr="00537D18">
        <w:rPr>
          <w:rStyle w:val="FootnoteReference"/>
          <w:sz w:val="20"/>
          <w:szCs w:val="20"/>
        </w:rPr>
        <w:footnoteRef/>
      </w:r>
      <w:r w:rsidRPr="00537D18">
        <w:rPr>
          <w:sz w:val="20"/>
          <w:szCs w:val="20"/>
        </w:rPr>
        <w:t xml:space="preserve"> </w:t>
      </w:r>
      <w:r>
        <w:rPr>
          <w:sz w:val="20"/>
          <w:szCs w:val="20"/>
        </w:rPr>
        <w:t xml:space="preserve">EK </w:t>
      </w:r>
      <w:r w:rsidRPr="005929BD">
        <w:rPr>
          <w:sz w:val="20"/>
          <w:szCs w:val="20"/>
        </w:rPr>
        <w:t>2015.gada 14.decembra vēstul</w:t>
      </w:r>
      <w:r>
        <w:rPr>
          <w:sz w:val="20"/>
          <w:szCs w:val="20"/>
        </w:rPr>
        <w:t>e</w:t>
      </w:r>
      <w:r w:rsidRPr="005929BD">
        <w:rPr>
          <w:sz w:val="20"/>
          <w:szCs w:val="20"/>
        </w:rPr>
        <w:t xml:space="preserve"> Nr. B2/AV/DB/D*2015/138244</w:t>
      </w:r>
      <w:r>
        <w:rPr>
          <w:sz w:val="20"/>
          <w:szCs w:val="20"/>
        </w:rPr>
        <w:t>.</w:t>
      </w:r>
    </w:p>
  </w:footnote>
  <w:footnote w:id="3">
    <w:p w14:paraId="7FF63F37" w14:textId="77777777" w:rsidR="00972550" w:rsidRPr="00537D18" w:rsidRDefault="00972550" w:rsidP="002317CE">
      <w:pPr>
        <w:spacing w:line="240" w:lineRule="auto"/>
        <w:rPr>
          <w:szCs w:val="20"/>
        </w:rPr>
      </w:pPr>
      <w:r w:rsidRPr="00537D18">
        <w:rPr>
          <w:rStyle w:val="FootnoteReference"/>
          <w:sz w:val="20"/>
          <w:szCs w:val="20"/>
        </w:rPr>
        <w:footnoteRef/>
      </w:r>
      <w:r w:rsidRPr="00537D18">
        <w:rPr>
          <w:sz w:val="20"/>
          <w:szCs w:val="20"/>
        </w:rPr>
        <w:t xml:space="preserve"> Ministru kabineta 2016. gada 5. jūlija noteikumi Nr. 443 “Grozījumi Ministru kabineta 2009. gada 10. marta noteikumos Nr. 221 “</w:t>
      </w:r>
      <w:hyperlink r:id="rId1" w:tgtFrame="_blank" w:history="1">
        <w:r w:rsidRPr="00537D18">
          <w:rPr>
            <w:sz w:val="20"/>
            <w:szCs w:val="20"/>
          </w:rPr>
          <w:t>Noteikumi par elektroenerģijas ražošanu un cenu noteikšanu, ražojot elektroenerģiju koģenerācijā</w:t>
        </w:r>
      </w:hyperlink>
      <w:r w:rsidRPr="00537D18">
        <w:rPr>
          <w:sz w:val="20"/>
          <w:szCs w:val="20"/>
        </w:rPr>
        <w:t>””(prot. Nr. 33 29. §) un Ministru kabineta 2016. gada 5. jūlijā noteikumi Nr. 444 “Grozījumi Ministru kabineta 2010. gada 16. marta noteikumos Nr. 262 “</w:t>
      </w:r>
      <w:hyperlink r:id="rId2" w:tgtFrame="_blank" w:history="1">
        <w:r w:rsidRPr="00537D18">
          <w:rPr>
            <w:sz w:val="20"/>
            <w:szCs w:val="20"/>
          </w:rPr>
          <w:t>Noteikumi par elektroenerģijas ražošanu, izmantojot atjaunojamos energoresursus, un cenu noteikšanas kārtību</w:t>
        </w:r>
      </w:hyperlink>
      <w:r w:rsidRPr="00537D18">
        <w:rPr>
          <w:sz w:val="20"/>
          <w:szCs w:val="20"/>
        </w:rPr>
        <w:t>”” (prot. Nr. 33 30. §)</w:t>
      </w:r>
    </w:p>
  </w:footnote>
  <w:footnote w:id="4">
    <w:p w14:paraId="24E430D8" w14:textId="77777777" w:rsidR="00972550" w:rsidRDefault="00972550" w:rsidP="00F77AD2">
      <w:pPr>
        <w:pStyle w:val="FootnoteText"/>
      </w:pPr>
      <w:r w:rsidRPr="007534A4">
        <w:rPr>
          <w:rStyle w:val="FootnoteReference"/>
        </w:rPr>
        <w:footnoteRef/>
      </w:r>
      <w:r w:rsidRPr="007534A4">
        <w:t xml:space="preserve"> Jaunais atbalsta mehānisms darbosies paralēli pašreizējam mehānismam, kura ietvaros</w:t>
      </w:r>
      <w:r>
        <w:t xml:space="preserve"> jaunas tiesības saņemt atbalstu netiek piešķirtas</w:t>
      </w:r>
      <w:r w:rsidRPr="007534A4">
        <w:t xml:space="preserve"> kopš 2012. gada.</w:t>
      </w:r>
    </w:p>
  </w:footnote>
  <w:footnote w:id="5">
    <w:p w14:paraId="61329EB7" w14:textId="77777777" w:rsidR="00972550" w:rsidRDefault="00972550" w:rsidP="00EF1EC7">
      <w:pPr>
        <w:pStyle w:val="FootnoteText"/>
      </w:pPr>
      <w:r>
        <w:rPr>
          <w:rStyle w:val="FootnoteReference"/>
        </w:rPr>
        <w:footnoteRef/>
      </w:r>
      <w:r>
        <w:t xml:space="preserve"> 2013.gada 13.augusta Ministru kabineta sēdes </w:t>
      </w:r>
      <w:r w:rsidRPr="00B51296">
        <w:t>prot</w:t>
      </w:r>
      <w:r>
        <w:t>okola N</w:t>
      </w:r>
      <w:r w:rsidRPr="00B51296">
        <w:t>r.4</w:t>
      </w:r>
      <w:r>
        <w:t>4</w:t>
      </w:r>
      <w:r w:rsidRPr="00B51296">
        <w:t>., </w:t>
      </w:r>
      <w:r>
        <w:t>156.</w:t>
      </w:r>
      <w:r w:rsidRPr="00B51296">
        <w:t>§</w:t>
      </w:r>
      <w:r>
        <w:t xml:space="preserve">; 2014.gada 19.novembra Ministru kabineta sēdes </w:t>
      </w:r>
      <w:r w:rsidRPr="00B51296">
        <w:t>prot</w:t>
      </w:r>
      <w:r>
        <w:t>okola N</w:t>
      </w:r>
      <w:r w:rsidRPr="00B51296">
        <w:t>r.</w:t>
      </w:r>
      <w:r>
        <w:t>63</w:t>
      </w:r>
      <w:r w:rsidRPr="00B51296">
        <w:t>., </w:t>
      </w:r>
      <w:r>
        <w:t xml:space="preserve">23.§; 2015.gada 31.augusta Ministru kabineta sēdes </w:t>
      </w:r>
      <w:r w:rsidRPr="00B51296">
        <w:t>prot</w:t>
      </w:r>
      <w:r>
        <w:t>okola N</w:t>
      </w:r>
      <w:r w:rsidRPr="00B51296">
        <w:t>r.4</w:t>
      </w:r>
      <w:r>
        <w:t>3</w:t>
      </w:r>
      <w:r w:rsidRPr="00B51296">
        <w:t>., </w:t>
      </w:r>
      <w:r>
        <w:t>2.</w:t>
      </w:r>
      <w:r w:rsidRPr="00B51296">
        <w:t>§</w:t>
      </w:r>
      <w:r>
        <w:t>.</w:t>
      </w:r>
    </w:p>
  </w:footnote>
  <w:footnote w:id="6">
    <w:p w14:paraId="6DFFC0EC" w14:textId="77777777" w:rsidR="00972550" w:rsidRDefault="00972550" w:rsidP="00EF1EC7">
      <w:pPr>
        <w:pStyle w:val="FootnoteText"/>
      </w:pPr>
      <w:r>
        <w:rPr>
          <w:rStyle w:val="FootnoteReference"/>
        </w:rPr>
        <w:footnoteRef/>
      </w:r>
      <w:r>
        <w:t xml:space="preserve"> Saskaņā ar likumu „Par vidēja termiņa budžeta ietvaru 2016., 2017. un 2018.gadam”</w:t>
      </w:r>
    </w:p>
  </w:footnote>
  <w:footnote w:id="7">
    <w:p w14:paraId="079913E6" w14:textId="77777777" w:rsidR="00972550" w:rsidRDefault="00972550" w:rsidP="00BF7EF2">
      <w:pPr>
        <w:pStyle w:val="FootnoteText"/>
      </w:pPr>
      <w:r>
        <w:rPr>
          <w:rStyle w:val="FootnoteReference"/>
        </w:rPr>
        <w:footnoteRef/>
      </w:r>
      <w:r>
        <w:t xml:space="preserve"> </w:t>
      </w:r>
      <w:r>
        <w:rPr>
          <w:bCs/>
        </w:rPr>
        <w:t>Valsts atbalsta lieta</w:t>
      </w:r>
      <w:r w:rsidRPr="00BF7EF2">
        <w:rPr>
          <w:bCs/>
        </w:rPr>
        <w:t xml:space="preserve"> SA.42854 (2015/N) “Atbalsts </w:t>
      </w:r>
      <w:proofErr w:type="spellStart"/>
      <w:r w:rsidRPr="00BF7EF2">
        <w:rPr>
          <w:bCs/>
        </w:rPr>
        <w:t>energointensīvajiem</w:t>
      </w:r>
      <w:proofErr w:type="spellEnd"/>
      <w:r w:rsidRPr="00BF7EF2">
        <w:rPr>
          <w:bCs/>
        </w:rPr>
        <w:t xml:space="preserve"> komersantiem”</w:t>
      </w:r>
    </w:p>
  </w:footnote>
  <w:footnote w:id="8">
    <w:p w14:paraId="169D2344" w14:textId="77777777" w:rsidR="00972550" w:rsidRDefault="00972550" w:rsidP="00F45744">
      <w:pPr>
        <w:pStyle w:val="FootnoteText"/>
      </w:pPr>
      <w:r>
        <w:rPr>
          <w:rStyle w:val="FootnoteReference"/>
        </w:rPr>
        <w:footnoteRef/>
      </w:r>
      <w:r>
        <w:t xml:space="preserve"> Saskaņā ar 2015.gada prognozēm, kas izstrādātas Konceptuālā ziņojuma “Kompleksi pasākumi elektroenerģijas tirgus attīstībai </w:t>
      </w:r>
    </w:p>
  </w:footnote>
  <w:footnote w:id="9">
    <w:p w14:paraId="255EB0D6" w14:textId="77777777" w:rsidR="00972550" w:rsidRDefault="00972550" w:rsidP="00F45744">
      <w:pPr>
        <w:pStyle w:val="FootnoteText"/>
      </w:pPr>
      <w:r>
        <w:rPr>
          <w:rStyle w:val="FootnoteReference"/>
        </w:rPr>
        <w:footnoteRef/>
      </w:r>
      <w:r>
        <w:t xml:space="preserve"> 2016.gada februāris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3F9"/>
    <w:multiLevelType w:val="hybridMultilevel"/>
    <w:tmpl w:val="194E0822"/>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4C05C5"/>
    <w:multiLevelType w:val="hybridMultilevel"/>
    <w:tmpl w:val="AFEC5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C722A"/>
    <w:multiLevelType w:val="hybridMultilevel"/>
    <w:tmpl w:val="0CF0CCC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33352F29"/>
    <w:multiLevelType w:val="hybridMultilevel"/>
    <w:tmpl w:val="F46C916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368A18A3"/>
    <w:multiLevelType w:val="hybridMultilevel"/>
    <w:tmpl w:val="67549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BE3DCC"/>
    <w:multiLevelType w:val="hybridMultilevel"/>
    <w:tmpl w:val="04242F3A"/>
    <w:lvl w:ilvl="0" w:tplc="4D02C3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428AD"/>
    <w:multiLevelType w:val="hybridMultilevel"/>
    <w:tmpl w:val="82B83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72423B"/>
    <w:multiLevelType w:val="hybridMultilevel"/>
    <w:tmpl w:val="0C80D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03531"/>
    <w:multiLevelType w:val="hybridMultilevel"/>
    <w:tmpl w:val="7450B9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1F1732"/>
    <w:multiLevelType w:val="hybridMultilevel"/>
    <w:tmpl w:val="62E2F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7169B7"/>
    <w:multiLevelType w:val="hybridMultilevel"/>
    <w:tmpl w:val="0E24EFCE"/>
    <w:lvl w:ilvl="0" w:tplc="04260001">
      <w:start w:val="698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46A01"/>
    <w:multiLevelType w:val="hybridMultilevel"/>
    <w:tmpl w:val="0D8AB950"/>
    <w:lvl w:ilvl="0" w:tplc="242AB3BE">
      <w:start w:val="1"/>
      <w:numFmt w:val="bullet"/>
      <w:lvlText w:val="•"/>
      <w:lvlJc w:val="left"/>
      <w:pPr>
        <w:ind w:left="2062" w:hanging="360"/>
      </w:pPr>
      <w:rPr>
        <w:rFonts w:ascii="Times New Roman" w:eastAsiaTheme="minorEastAsia" w:hAnsi="Times New Roman"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627B45AF"/>
    <w:multiLevelType w:val="hybridMultilevel"/>
    <w:tmpl w:val="251C1EEC"/>
    <w:lvl w:ilvl="0" w:tplc="242AB3BE">
      <w:start w:val="1"/>
      <w:numFmt w:val="bullet"/>
      <w:lvlText w:val="•"/>
      <w:lvlJc w:val="left"/>
      <w:pPr>
        <w:ind w:left="1211" w:hanging="360"/>
      </w:pPr>
      <w:rPr>
        <w:rFonts w:ascii="Times New Roman" w:eastAsiaTheme="minorEastAsia" w:hAnsi="Times New Roman" w:cstheme="minorBidi"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3" w15:restartNumberingAfterBreak="0">
    <w:nsid w:val="6C7B7550"/>
    <w:multiLevelType w:val="hybridMultilevel"/>
    <w:tmpl w:val="43FA3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9B476F"/>
    <w:multiLevelType w:val="hybridMultilevel"/>
    <w:tmpl w:val="447CB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F5A8A"/>
    <w:multiLevelType w:val="hybridMultilevel"/>
    <w:tmpl w:val="924A8586"/>
    <w:lvl w:ilvl="0" w:tplc="04260011">
      <w:start w:val="1"/>
      <w:numFmt w:val="decimal"/>
      <w:lvlText w:val="%1)"/>
      <w:lvlJc w:val="left"/>
      <w:pPr>
        <w:ind w:left="1640" w:hanging="360"/>
      </w:pPr>
    </w:lvl>
    <w:lvl w:ilvl="1" w:tplc="04260019" w:tentative="1">
      <w:start w:val="1"/>
      <w:numFmt w:val="lowerLetter"/>
      <w:lvlText w:val="%2."/>
      <w:lvlJc w:val="left"/>
      <w:pPr>
        <w:ind w:left="2360" w:hanging="360"/>
      </w:pPr>
    </w:lvl>
    <w:lvl w:ilvl="2" w:tplc="0426001B" w:tentative="1">
      <w:start w:val="1"/>
      <w:numFmt w:val="lowerRoman"/>
      <w:lvlText w:val="%3."/>
      <w:lvlJc w:val="right"/>
      <w:pPr>
        <w:ind w:left="3080" w:hanging="180"/>
      </w:pPr>
    </w:lvl>
    <w:lvl w:ilvl="3" w:tplc="0426000F" w:tentative="1">
      <w:start w:val="1"/>
      <w:numFmt w:val="decimal"/>
      <w:lvlText w:val="%4."/>
      <w:lvlJc w:val="left"/>
      <w:pPr>
        <w:ind w:left="3800" w:hanging="360"/>
      </w:pPr>
    </w:lvl>
    <w:lvl w:ilvl="4" w:tplc="04260019" w:tentative="1">
      <w:start w:val="1"/>
      <w:numFmt w:val="lowerLetter"/>
      <w:lvlText w:val="%5."/>
      <w:lvlJc w:val="left"/>
      <w:pPr>
        <w:ind w:left="4520" w:hanging="360"/>
      </w:pPr>
    </w:lvl>
    <w:lvl w:ilvl="5" w:tplc="0426001B" w:tentative="1">
      <w:start w:val="1"/>
      <w:numFmt w:val="lowerRoman"/>
      <w:lvlText w:val="%6."/>
      <w:lvlJc w:val="right"/>
      <w:pPr>
        <w:ind w:left="5240" w:hanging="180"/>
      </w:pPr>
    </w:lvl>
    <w:lvl w:ilvl="6" w:tplc="0426000F" w:tentative="1">
      <w:start w:val="1"/>
      <w:numFmt w:val="decimal"/>
      <w:lvlText w:val="%7."/>
      <w:lvlJc w:val="left"/>
      <w:pPr>
        <w:ind w:left="5960" w:hanging="360"/>
      </w:pPr>
    </w:lvl>
    <w:lvl w:ilvl="7" w:tplc="04260019" w:tentative="1">
      <w:start w:val="1"/>
      <w:numFmt w:val="lowerLetter"/>
      <w:lvlText w:val="%8."/>
      <w:lvlJc w:val="left"/>
      <w:pPr>
        <w:ind w:left="6680" w:hanging="360"/>
      </w:pPr>
    </w:lvl>
    <w:lvl w:ilvl="8" w:tplc="0426001B" w:tentative="1">
      <w:start w:val="1"/>
      <w:numFmt w:val="lowerRoman"/>
      <w:lvlText w:val="%9."/>
      <w:lvlJc w:val="right"/>
      <w:pPr>
        <w:ind w:left="7400" w:hanging="180"/>
      </w:pPr>
    </w:lvl>
  </w:abstractNum>
  <w:abstractNum w:abstractNumId="16" w15:restartNumberingAfterBreak="0">
    <w:nsid w:val="763E678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816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0E16AA"/>
    <w:multiLevelType w:val="hybridMultilevel"/>
    <w:tmpl w:val="194E0822"/>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6"/>
  </w:num>
  <w:num w:numId="6">
    <w:abstractNumId w:val="10"/>
  </w:num>
  <w:num w:numId="7">
    <w:abstractNumId w:val="7"/>
  </w:num>
  <w:num w:numId="8">
    <w:abstractNumId w:val="2"/>
  </w:num>
  <w:num w:numId="9">
    <w:abstractNumId w:val="12"/>
  </w:num>
  <w:num w:numId="10">
    <w:abstractNumId w:val="11"/>
  </w:num>
  <w:num w:numId="11">
    <w:abstractNumId w:val="1"/>
  </w:num>
  <w:num w:numId="12">
    <w:abstractNumId w:val="3"/>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D2"/>
    <w:rsid w:val="00002A85"/>
    <w:rsid w:val="000045BB"/>
    <w:rsid w:val="00005005"/>
    <w:rsid w:val="00005DA0"/>
    <w:rsid w:val="00006932"/>
    <w:rsid w:val="000151BB"/>
    <w:rsid w:val="00015983"/>
    <w:rsid w:val="0002087C"/>
    <w:rsid w:val="0002502A"/>
    <w:rsid w:val="0002670F"/>
    <w:rsid w:val="00026C11"/>
    <w:rsid w:val="00032EB0"/>
    <w:rsid w:val="00033914"/>
    <w:rsid w:val="00045F0A"/>
    <w:rsid w:val="00053C4F"/>
    <w:rsid w:val="0006373D"/>
    <w:rsid w:val="0006724B"/>
    <w:rsid w:val="000710D1"/>
    <w:rsid w:val="00072722"/>
    <w:rsid w:val="000738A1"/>
    <w:rsid w:val="00077294"/>
    <w:rsid w:val="0008052B"/>
    <w:rsid w:val="0008141D"/>
    <w:rsid w:val="000873CC"/>
    <w:rsid w:val="00090077"/>
    <w:rsid w:val="000951E0"/>
    <w:rsid w:val="000A4800"/>
    <w:rsid w:val="000A7875"/>
    <w:rsid w:val="000C31C0"/>
    <w:rsid w:val="000D5762"/>
    <w:rsid w:val="000D6575"/>
    <w:rsid w:val="000F4078"/>
    <w:rsid w:val="000F6DB0"/>
    <w:rsid w:val="00106772"/>
    <w:rsid w:val="00110E6C"/>
    <w:rsid w:val="0012228A"/>
    <w:rsid w:val="00123689"/>
    <w:rsid w:val="0014263F"/>
    <w:rsid w:val="0015072B"/>
    <w:rsid w:val="00152175"/>
    <w:rsid w:val="00152A5C"/>
    <w:rsid w:val="001531E7"/>
    <w:rsid w:val="001637E3"/>
    <w:rsid w:val="00163FF6"/>
    <w:rsid w:val="00182B01"/>
    <w:rsid w:val="001923C8"/>
    <w:rsid w:val="001951DF"/>
    <w:rsid w:val="001A02AE"/>
    <w:rsid w:val="001A67B9"/>
    <w:rsid w:val="001B02D5"/>
    <w:rsid w:val="001B1650"/>
    <w:rsid w:val="001D68EA"/>
    <w:rsid w:val="001E453A"/>
    <w:rsid w:val="001E7904"/>
    <w:rsid w:val="00200644"/>
    <w:rsid w:val="00201AC8"/>
    <w:rsid w:val="00201F91"/>
    <w:rsid w:val="00203FC2"/>
    <w:rsid w:val="00227FCB"/>
    <w:rsid w:val="002317CE"/>
    <w:rsid w:val="00244A2C"/>
    <w:rsid w:val="00244CAE"/>
    <w:rsid w:val="002500BF"/>
    <w:rsid w:val="00252C44"/>
    <w:rsid w:val="00253FDD"/>
    <w:rsid w:val="00270941"/>
    <w:rsid w:val="00280326"/>
    <w:rsid w:val="002973D0"/>
    <w:rsid w:val="002A69DE"/>
    <w:rsid w:val="002B07C2"/>
    <w:rsid w:val="002B556F"/>
    <w:rsid w:val="002C2F4E"/>
    <w:rsid w:val="002C5D57"/>
    <w:rsid w:val="002D4E0D"/>
    <w:rsid w:val="002D5ABB"/>
    <w:rsid w:val="002E19E9"/>
    <w:rsid w:val="002E1AF0"/>
    <w:rsid w:val="002E596E"/>
    <w:rsid w:val="002E5C96"/>
    <w:rsid w:val="00300EBB"/>
    <w:rsid w:val="00310EDD"/>
    <w:rsid w:val="00324AE7"/>
    <w:rsid w:val="00361D26"/>
    <w:rsid w:val="003818AF"/>
    <w:rsid w:val="00381BBF"/>
    <w:rsid w:val="00387AF8"/>
    <w:rsid w:val="00390F68"/>
    <w:rsid w:val="00393FA6"/>
    <w:rsid w:val="003A20FC"/>
    <w:rsid w:val="003C15FB"/>
    <w:rsid w:val="003C4D02"/>
    <w:rsid w:val="003E410D"/>
    <w:rsid w:val="003F2D81"/>
    <w:rsid w:val="003F3DD3"/>
    <w:rsid w:val="00401387"/>
    <w:rsid w:val="00411D5C"/>
    <w:rsid w:val="0042216C"/>
    <w:rsid w:val="004236D2"/>
    <w:rsid w:val="00431838"/>
    <w:rsid w:val="00442A25"/>
    <w:rsid w:val="00446EBF"/>
    <w:rsid w:val="00456773"/>
    <w:rsid w:val="0046188F"/>
    <w:rsid w:val="004633CE"/>
    <w:rsid w:val="004761FF"/>
    <w:rsid w:val="00480726"/>
    <w:rsid w:val="00480B55"/>
    <w:rsid w:val="0048150D"/>
    <w:rsid w:val="00486E2A"/>
    <w:rsid w:val="004874C6"/>
    <w:rsid w:val="00491FF1"/>
    <w:rsid w:val="00496AD2"/>
    <w:rsid w:val="004A1899"/>
    <w:rsid w:val="004A209F"/>
    <w:rsid w:val="004A4FBB"/>
    <w:rsid w:val="004A5EB7"/>
    <w:rsid w:val="004B0104"/>
    <w:rsid w:val="004B6F52"/>
    <w:rsid w:val="004C0C97"/>
    <w:rsid w:val="004D5597"/>
    <w:rsid w:val="004D7DCA"/>
    <w:rsid w:val="004E1081"/>
    <w:rsid w:val="004E7A07"/>
    <w:rsid w:val="004F7489"/>
    <w:rsid w:val="00501945"/>
    <w:rsid w:val="00501B2D"/>
    <w:rsid w:val="00506FD4"/>
    <w:rsid w:val="005110A2"/>
    <w:rsid w:val="00514EC3"/>
    <w:rsid w:val="0052276D"/>
    <w:rsid w:val="0052706C"/>
    <w:rsid w:val="00537808"/>
    <w:rsid w:val="00537D18"/>
    <w:rsid w:val="0054210A"/>
    <w:rsid w:val="00554DC9"/>
    <w:rsid w:val="00556373"/>
    <w:rsid w:val="00566378"/>
    <w:rsid w:val="00571B44"/>
    <w:rsid w:val="00575079"/>
    <w:rsid w:val="00576C17"/>
    <w:rsid w:val="005811A8"/>
    <w:rsid w:val="005827B0"/>
    <w:rsid w:val="005853C3"/>
    <w:rsid w:val="00591227"/>
    <w:rsid w:val="005929BD"/>
    <w:rsid w:val="005931A6"/>
    <w:rsid w:val="00594A21"/>
    <w:rsid w:val="00596965"/>
    <w:rsid w:val="00597552"/>
    <w:rsid w:val="005A635B"/>
    <w:rsid w:val="005A7D0B"/>
    <w:rsid w:val="005B5020"/>
    <w:rsid w:val="005B54FE"/>
    <w:rsid w:val="005B685E"/>
    <w:rsid w:val="005C6FAD"/>
    <w:rsid w:val="005E2AC5"/>
    <w:rsid w:val="005E6165"/>
    <w:rsid w:val="005E770C"/>
    <w:rsid w:val="005F0397"/>
    <w:rsid w:val="005F7969"/>
    <w:rsid w:val="00600CD4"/>
    <w:rsid w:val="006073B4"/>
    <w:rsid w:val="0061441C"/>
    <w:rsid w:val="006150D8"/>
    <w:rsid w:val="00620947"/>
    <w:rsid w:val="00625472"/>
    <w:rsid w:val="0062797F"/>
    <w:rsid w:val="006325E7"/>
    <w:rsid w:val="006333F1"/>
    <w:rsid w:val="00633CAA"/>
    <w:rsid w:val="006356C1"/>
    <w:rsid w:val="00657982"/>
    <w:rsid w:val="006670CD"/>
    <w:rsid w:val="00672566"/>
    <w:rsid w:val="00681F2E"/>
    <w:rsid w:val="0068316B"/>
    <w:rsid w:val="006A1F2B"/>
    <w:rsid w:val="006B5F78"/>
    <w:rsid w:val="006C2332"/>
    <w:rsid w:val="006C4361"/>
    <w:rsid w:val="006C6374"/>
    <w:rsid w:val="006E035F"/>
    <w:rsid w:val="006F1C47"/>
    <w:rsid w:val="006F76D0"/>
    <w:rsid w:val="00707E6B"/>
    <w:rsid w:val="00720928"/>
    <w:rsid w:val="0072659E"/>
    <w:rsid w:val="00726A55"/>
    <w:rsid w:val="0073583B"/>
    <w:rsid w:val="007372A7"/>
    <w:rsid w:val="00744FEE"/>
    <w:rsid w:val="00746CDD"/>
    <w:rsid w:val="00761B53"/>
    <w:rsid w:val="00785271"/>
    <w:rsid w:val="007868AB"/>
    <w:rsid w:val="00794124"/>
    <w:rsid w:val="007B3079"/>
    <w:rsid w:val="007C3A00"/>
    <w:rsid w:val="007C65E6"/>
    <w:rsid w:val="007D1AA5"/>
    <w:rsid w:val="007D3C35"/>
    <w:rsid w:val="007E6709"/>
    <w:rsid w:val="007E79F0"/>
    <w:rsid w:val="007F0DE6"/>
    <w:rsid w:val="007F33D1"/>
    <w:rsid w:val="007F4E0B"/>
    <w:rsid w:val="007F5336"/>
    <w:rsid w:val="00800EBF"/>
    <w:rsid w:val="00804D3C"/>
    <w:rsid w:val="00807D82"/>
    <w:rsid w:val="00807D89"/>
    <w:rsid w:val="008109B5"/>
    <w:rsid w:val="008177C7"/>
    <w:rsid w:val="008214A1"/>
    <w:rsid w:val="00834ECE"/>
    <w:rsid w:val="00846A74"/>
    <w:rsid w:val="008505E5"/>
    <w:rsid w:val="00855D12"/>
    <w:rsid w:val="00862FA7"/>
    <w:rsid w:val="00867903"/>
    <w:rsid w:val="00890BA4"/>
    <w:rsid w:val="008932D4"/>
    <w:rsid w:val="008A006D"/>
    <w:rsid w:val="008B059B"/>
    <w:rsid w:val="008C29E0"/>
    <w:rsid w:val="008C5481"/>
    <w:rsid w:val="008F69D8"/>
    <w:rsid w:val="00904C7B"/>
    <w:rsid w:val="00905646"/>
    <w:rsid w:val="009223A0"/>
    <w:rsid w:val="0092720C"/>
    <w:rsid w:val="00932A58"/>
    <w:rsid w:val="009362B4"/>
    <w:rsid w:val="00942F82"/>
    <w:rsid w:val="00943F29"/>
    <w:rsid w:val="00946D55"/>
    <w:rsid w:val="009507A1"/>
    <w:rsid w:val="00962E4C"/>
    <w:rsid w:val="00963062"/>
    <w:rsid w:val="0096411D"/>
    <w:rsid w:val="009657D1"/>
    <w:rsid w:val="00972550"/>
    <w:rsid w:val="009878B2"/>
    <w:rsid w:val="00993640"/>
    <w:rsid w:val="00995D85"/>
    <w:rsid w:val="009B6D0F"/>
    <w:rsid w:val="009C0039"/>
    <w:rsid w:val="009D3C2D"/>
    <w:rsid w:val="009E5A85"/>
    <w:rsid w:val="009E7C85"/>
    <w:rsid w:val="00A16AF6"/>
    <w:rsid w:val="00A253D6"/>
    <w:rsid w:val="00A30464"/>
    <w:rsid w:val="00A33EA4"/>
    <w:rsid w:val="00A34190"/>
    <w:rsid w:val="00A54E62"/>
    <w:rsid w:val="00A55D2D"/>
    <w:rsid w:val="00A56192"/>
    <w:rsid w:val="00A60F7B"/>
    <w:rsid w:val="00A616C4"/>
    <w:rsid w:val="00A82B3A"/>
    <w:rsid w:val="00A8412E"/>
    <w:rsid w:val="00AA53A1"/>
    <w:rsid w:val="00AA7404"/>
    <w:rsid w:val="00AB5A35"/>
    <w:rsid w:val="00AC5FC4"/>
    <w:rsid w:val="00AD412D"/>
    <w:rsid w:val="00B02E16"/>
    <w:rsid w:val="00B04F43"/>
    <w:rsid w:val="00B12ACB"/>
    <w:rsid w:val="00B223FD"/>
    <w:rsid w:val="00B312B2"/>
    <w:rsid w:val="00B32775"/>
    <w:rsid w:val="00B3784F"/>
    <w:rsid w:val="00B402FB"/>
    <w:rsid w:val="00B51296"/>
    <w:rsid w:val="00B51CA9"/>
    <w:rsid w:val="00B52BB0"/>
    <w:rsid w:val="00B530E0"/>
    <w:rsid w:val="00B53588"/>
    <w:rsid w:val="00B56E8B"/>
    <w:rsid w:val="00B71667"/>
    <w:rsid w:val="00B71E51"/>
    <w:rsid w:val="00B735E6"/>
    <w:rsid w:val="00B81149"/>
    <w:rsid w:val="00B87372"/>
    <w:rsid w:val="00BA140D"/>
    <w:rsid w:val="00BA5AD4"/>
    <w:rsid w:val="00BB0D82"/>
    <w:rsid w:val="00BB5C8B"/>
    <w:rsid w:val="00BB5EDC"/>
    <w:rsid w:val="00BB720A"/>
    <w:rsid w:val="00BB787B"/>
    <w:rsid w:val="00BD2955"/>
    <w:rsid w:val="00BD32C9"/>
    <w:rsid w:val="00BF0766"/>
    <w:rsid w:val="00BF45DB"/>
    <w:rsid w:val="00BF7EF2"/>
    <w:rsid w:val="00C01038"/>
    <w:rsid w:val="00C10800"/>
    <w:rsid w:val="00C1568C"/>
    <w:rsid w:val="00C15FEE"/>
    <w:rsid w:val="00C314C5"/>
    <w:rsid w:val="00C3471D"/>
    <w:rsid w:val="00C37481"/>
    <w:rsid w:val="00C470F8"/>
    <w:rsid w:val="00C53B46"/>
    <w:rsid w:val="00C560D7"/>
    <w:rsid w:val="00C71F09"/>
    <w:rsid w:val="00C80C47"/>
    <w:rsid w:val="00C91D43"/>
    <w:rsid w:val="00C92BEA"/>
    <w:rsid w:val="00C95453"/>
    <w:rsid w:val="00CA09A1"/>
    <w:rsid w:val="00CB1871"/>
    <w:rsid w:val="00CC7F88"/>
    <w:rsid w:val="00CD5711"/>
    <w:rsid w:val="00CE1D9C"/>
    <w:rsid w:val="00D066BD"/>
    <w:rsid w:val="00D14B06"/>
    <w:rsid w:val="00D15B16"/>
    <w:rsid w:val="00D2101E"/>
    <w:rsid w:val="00D2577B"/>
    <w:rsid w:val="00D2599A"/>
    <w:rsid w:val="00D25E09"/>
    <w:rsid w:val="00D304FA"/>
    <w:rsid w:val="00D31119"/>
    <w:rsid w:val="00D42C68"/>
    <w:rsid w:val="00D444AF"/>
    <w:rsid w:val="00D56598"/>
    <w:rsid w:val="00D62726"/>
    <w:rsid w:val="00D62A7C"/>
    <w:rsid w:val="00D702A8"/>
    <w:rsid w:val="00D71E2F"/>
    <w:rsid w:val="00D721E3"/>
    <w:rsid w:val="00D905BA"/>
    <w:rsid w:val="00D96266"/>
    <w:rsid w:val="00DA1E42"/>
    <w:rsid w:val="00DB68BC"/>
    <w:rsid w:val="00DB7032"/>
    <w:rsid w:val="00DB79EB"/>
    <w:rsid w:val="00DC2499"/>
    <w:rsid w:val="00DD3263"/>
    <w:rsid w:val="00DE3812"/>
    <w:rsid w:val="00DF11D9"/>
    <w:rsid w:val="00E10797"/>
    <w:rsid w:val="00E14981"/>
    <w:rsid w:val="00E23F9A"/>
    <w:rsid w:val="00E327BE"/>
    <w:rsid w:val="00E34206"/>
    <w:rsid w:val="00E3490E"/>
    <w:rsid w:val="00E4383C"/>
    <w:rsid w:val="00E468BD"/>
    <w:rsid w:val="00E51F03"/>
    <w:rsid w:val="00E52784"/>
    <w:rsid w:val="00E81BC9"/>
    <w:rsid w:val="00EA027A"/>
    <w:rsid w:val="00EA3C17"/>
    <w:rsid w:val="00EA4C76"/>
    <w:rsid w:val="00EA54B1"/>
    <w:rsid w:val="00EB5CE5"/>
    <w:rsid w:val="00EB6CF6"/>
    <w:rsid w:val="00ED394B"/>
    <w:rsid w:val="00ED7680"/>
    <w:rsid w:val="00EE4C63"/>
    <w:rsid w:val="00EE53E1"/>
    <w:rsid w:val="00EF16F8"/>
    <w:rsid w:val="00EF1B6A"/>
    <w:rsid w:val="00EF1EC7"/>
    <w:rsid w:val="00EF35DF"/>
    <w:rsid w:val="00EF3640"/>
    <w:rsid w:val="00F0429A"/>
    <w:rsid w:val="00F0621B"/>
    <w:rsid w:val="00F064ED"/>
    <w:rsid w:val="00F16CE6"/>
    <w:rsid w:val="00F17D10"/>
    <w:rsid w:val="00F21E9C"/>
    <w:rsid w:val="00F25B8B"/>
    <w:rsid w:val="00F26754"/>
    <w:rsid w:val="00F341DF"/>
    <w:rsid w:val="00F35452"/>
    <w:rsid w:val="00F406C8"/>
    <w:rsid w:val="00F41D9F"/>
    <w:rsid w:val="00F45744"/>
    <w:rsid w:val="00F471F4"/>
    <w:rsid w:val="00F50844"/>
    <w:rsid w:val="00F50A47"/>
    <w:rsid w:val="00F77AD2"/>
    <w:rsid w:val="00F82132"/>
    <w:rsid w:val="00F83C30"/>
    <w:rsid w:val="00F91DA9"/>
    <w:rsid w:val="00FC5C0F"/>
    <w:rsid w:val="00FE3295"/>
    <w:rsid w:val="00FF1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72824"/>
  <w15:docId w15:val="{B865A9FF-E522-46E5-AAB7-E6B4AC64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26"/>
    <w:pPr>
      <w:spacing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F77AD2"/>
    <w:pPr>
      <w:keepNext/>
      <w:keepLines/>
      <w:spacing w:before="240" w:after="240"/>
      <w:jc w:val="lef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80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189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AD2"/>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F77AD2"/>
    <w:pPr>
      <w:spacing w:line="259" w:lineRule="auto"/>
      <w:outlineLvl w:val="9"/>
    </w:pPr>
    <w:rPr>
      <w:b w:val="0"/>
      <w:color w:val="2E74B5" w:themeColor="accent1" w:themeShade="BF"/>
      <w:lang w:val="en-US"/>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unhideWhenUsed/>
    <w:rsid w:val="00F77AD2"/>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F77AD2"/>
    <w:rPr>
      <w:rFonts w:ascii="Times New Roman" w:eastAsiaTheme="minorEastAsia" w:hAnsi="Times New Roman"/>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unhideWhenUsed/>
    <w:qFormat/>
    <w:rsid w:val="00F77AD2"/>
    <w:rPr>
      <w:vertAlign w:val="superscript"/>
    </w:rPr>
  </w:style>
  <w:style w:type="character" w:styleId="CommentReference">
    <w:name w:val="annotation reference"/>
    <w:basedOn w:val="DefaultParagraphFont"/>
    <w:uiPriority w:val="99"/>
    <w:semiHidden/>
    <w:unhideWhenUsed/>
    <w:rsid w:val="00F77AD2"/>
    <w:rPr>
      <w:sz w:val="16"/>
      <w:szCs w:val="16"/>
    </w:rPr>
  </w:style>
  <w:style w:type="paragraph" w:styleId="CommentText">
    <w:name w:val="annotation text"/>
    <w:basedOn w:val="Normal"/>
    <w:link w:val="CommentTextChar"/>
    <w:uiPriority w:val="99"/>
    <w:unhideWhenUsed/>
    <w:rsid w:val="00F77AD2"/>
    <w:pPr>
      <w:spacing w:line="240" w:lineRule="auto"/>
    </w:pPr>
    <w:rPr>
      <w:sz w:val="20"/>
      <w:szCs w:val="20"/>
    </w:rPr>
  </w:style>
  <w:style w:type="character" w:customStyle="1" w:styleId="CommentTextChar">
    <w:name w:val="Comment Text Char"/>
    <w:basedOn w:val="DefaultParagraphFont"/>
    <w:link w:val="CommentText"/>
    <w:uiPriority w:val="99"/>
    <w:rsid w:val="00F77AD2"/>
    <w:rPr>
      <w:rFonts w:ascii="Times New Roman" w:eastAsiaTheme="minorEastAsia" w:hAnsi="Times New Roman"/>
      <w:sz w:val="20"/>
      <w:szCs w:val="20"/>
    </w:rPr>
  </w:style>
  <w:style w:type="paragraph" w:customStyle="1" w:styleId="FootnoteRefernece">
    <w:name w:val="Footnote Refernece"/>
    <w:aliases w:val="ftref,Odwołanie przypisu,Footnotes refss,Ref,de nota al pie,-E Fußnotenzeichen,E,E FNZ"/>
    <w:basedOn w:val="Normal"/>
    <w:next w:val="Normal"/>
    <w:link w:val="FootnoteReference"/>
    <w:rsid w:val="00F77AD2"/>
    <w:pPr>
      <w:spacing w:line="240" w:lineRule="exact"/>
      <w:textAlignment w:val="baseline"/>
    </w:pPr>
    <w:rPr>
      <w:rFonts w:asciiTheme="minorHAnsi" w:eastAsiaTheme="minorHAnsi" w:hAnsiTheme="minorHAnsi"/>
      <w:sz w:val="22"/>
      <w:vertAlign w:val="superscript"/>
    </w:rPr>
  </w:style>
  <w:style w:type="paragraph" w:styleId="BalloonText">
    <w:name w:val="Balloon Text"/>
    <w:basedOn w:val="Normal"/>
    <w:link w:val="BalloonTextChar"/>
    <w:uiPriority w:val="99"/>
    <w:semiHidden/>
    <w:unhideWhenUsed/>
    <w:rsid w:val="00F7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D2"/>
    <w:rPr>
      <w:rFonts w:ascii="Segoe UI" w:eastAsiaTheme="minorEastAsia" w:hAnsi="Segoe UI" w:cs="Segoe UI"/>
      <w:sz w:val="18"/>
      <w:szCs w:val="18"/>
    </w:rPr>
  </w:style>
  <w:style w:type="paragraph" w:styleId="BodyText">
    <w:name w:val="Body Text"/>
    <w:basedOn w:val="Normal"/>
    <w:link w:val="BodyTextChar"/>
    <w:semiHidden/>
    <w:rsid w:val="008C29E0"/>
    <w:pPr>
      <w:spacing w:after="0" w:line="240" w:lineRule="auto"/>
      <w:jc w:val="left"/>
    </w:pPr>
    <w:rPr>
      <w:rFonts w:eastAsia="Times New Roman" w:cs="Times New Roman"/>
      <w:i/>
      <w:szCs w:val="20"/>
      <w:lang w:eastAsia="lv-LV"/>
    </w:rPr>
  </w:style>
  <w:style w:type="character" w:customStyle="1" w:styleId="BodyTextChar">
    <w:name w:val="Body Text Char"/>
    <w:basedOn w:val="DefaultParagraphFont"/>
    <w:link w:val="BodyText"/>
    <w:semiHidden/>
    <w:rsid w:val="008C29E0"/>
    <w:rPr>
      <w:rFonts w:ascii="Times New Roman" w:eastAsia="Times New Roman" w:hAnsi="Times New Roman" w:cs="Times New Roman"/>
      <w:i/>
      <w:sz w:val="24"/>
      <w:szCs w:val="20"/>
      <w:lang w:eastAsia="lv-LV"/>
    </w:rPr>
  </w:style>
  <w:style w:type="paragraph" w:styleId="BodyText2">
    <w:name w:val="Body Text 2"/>
    <w:basedOn w:val="Normal"/>
    <w:link w:val="BodyText2Char"/>
    <w:semiHidden/>
    <w:rsid w:val="008C29E0"/>
    <w:pPr>
      <w:spacing w:after="0" w:line="240" w:lineRule="auto"/>
    </w:pPr>
    <w:rPr>
      <w:rFonts w:eastAsia="Times New Roman" w:cs="Times New Roman"/>
      <w:szCs w:val="20"/>
      <w:lang w:eastAsia="lv-LV"/>
    </w:rPr>
  </w:style>
  <w:style w:type="character" w:customStyle="1" w:styleId="BodyText2Char">
    <w:name w:val="Body Text 2 Char"/>
    <w:basedOn w:val="DefaultParagraphFont"/>
    <w:link w:val="BodyText2"/>
    <w:semiHidden/>
    <w:rsid w:val="008C29E0"/>
    <w:rPr>
      <w:rFonts w:ascii="Times New Roman" w:eastAsia="Times New Roman" w:hAnsi="Times New Roman" w:cs="Times New Roman"/>
      <w:sz w:val="24"/>
      <w:szCs w:val="20"/>
      <w:lang w:eastAsia="lv-LV"/>
    </w:rPr>
  </w:style>
  <w:style w:type="paragraph" w:styleId="Caption">
    <w:name w:val="caption"/>
    <w:basedOn w:val="Normal"/>
    <w:next w:val="Normal"/>
    <w:link w:val="CaptionChar"/>
    <w:unhideWhenUsed/>
    <w:rsid w:val="008C29E0"/>
    <w:pPr>
      <w:widowControl w:val="0"/>
      <w:adjustRightInd w:val="0"/>
      <w:spacing w:after="120" w:line="0" w:lineRule="atLeast"/>
      <w:textAlignment w:val="baseline"/>
    </w:pPr>
    <w:rPr>
      <w:rFonts w:ascii="Arial" w:eastAsia="Times New Roman" w:hAnsi="Arial" w:cs="Times New Roman"/>
      <w:b/>
      <w:bCs/>
      <w:color w:val="000000"/>
      <w:sz w:val="14"/>
      <w:szCs w:val="18"/>
    </w:rPr>
  </w:style>
  <w:style w:type="character" w:customStyle="1" w:styleId="CaptionChar">
    <w:name w:val="Caption Char"/>
    <w:link w:val="Caption"/>
    <w:rsid w:val="008C29E0"/>
    <w:rPr>
      <w:rFonts w:ascii="Arial" w:eastAsia="Times New Roman" w:hAnsi="Arial" w:cs="Times New Roman"/>
      <w:b/>
      <w:bCs/>
      <w:color w:val="000000"/>
      <w:sz w:val="14"/>
      <w:szCs w:val="18"/>
    </w:rPr>
  </w:style>
  <w:style w:type="character" w:customStyle="1" w:styleId="Heading3Char">
    <w:name w:val="Heading 3 Char"/>
    <w:basedOn w:val="DefaultParagraphFont"/>
    <w:link w:val="Heading3"/>
    <w:uiPriority w:val="9"/>
    <w:rsid w:val="004A189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A18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B685E"/>
    <w:rPr>
      <w:b/>
      <w:bCs/>
    </w:rPr>
  </w:style>
  <w:style w:type="character" w:customStyle="1" w:styleId="CommentSubjectChar">
    <w:name w:val="Comment Subject Char"/>
    <w:basedOn w:val="CommentTextChar"/>
    <w:link w:val="CommentSubject"/>
    <w:uiPriority w:val="99"/>
    <w:semiHidden/>
    <w:rsid w:val="005B685E"/>
    <w:rPr>
      <w:rFonts w:ascii="Times New Roman" w:eastAsiaTheme="minorEastAsia" w:hAnsi="Times New Roman"/>
      <w:b/>
      <w:bCs/>
      <w:sz w:val="20"/>
      <w:szCs w:val="20"/>
    </w:rPr>
  </w:style>
  <w:style w:type="paragraph" w:styleId="ListParagraph">
    <w:name w:val="List Paragraph"/>
    <w:basedOn w:val="Normal"/>
    <w:uiPriority w:val="34"/>
    <w:qFormat/>
    <w:rsid w:val="00EF1EC7"/>
    <w:pPr>
      <w:ind w:left="720"/>
      <w:contextualSpacing/>
    </w:pPr>
  </w:style>
  <w:style w:type="paragraph" w:styleId="NormalWeb">
    <w:name w:val="Normal (Web)"/>
    <w:basedOn w:val="Normal"/>
    <w:uiPriority w:val="99"/>
    <w:unhideWhenUsed/>
    <w:rsid w:val="00594A21"/>
    <w:rPr>
      <w:rFonts w:cs="Times New Roman"/>
      <w:szCs w:val="24"/>
    </w:rPr>
  </w:style>
  <w:style w:type="table" w:styleId="TableGrid">
    <w:name w:val="Table Grid"/>
    <w:basedOn w:val="TableNormal"/>
    <w:uiPriority w:val="59"/>
    <w:rsid w:val="00D6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A3C17"/>
    <w:pPr>
      <w:spacing w:after="100"/>
    </w:pPr>
  </w:style>
  <w:style w:type="character" w:customStyle="1" w:styleId="Heading2Char">
    <w:name w:val="Heading 2 Char"/>
    <w:basedOn w:val="DefaultParagraphFont"/>
    <w:link w:val="Heading2"/>
    <w:uiPriority w:val="9"/>
    <w:rsid w:val="0048072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45744"/>
    <w:pPr>
      <w:spacing w:after="100"/>
      <w:ind w:left="240"/>
    </w:pPr>
  </w:style>
  <w:style w:type="paragraph" w:styleId="TOC3">
    <w:name w:val="toc 3"/>
    <w:basedOn w:val="Normal"/>
    <w:next w:val="Normal"/>
    <w:autoRedefine/>
    <w:uiPriority w:val="39"/>
    <w:unhideWhenUsed/>
    <w:rsid w:val="00F45744"/>
    <w:pPr>
      <w:spacing w:after="100"/>
      <w:ind w:left="480"/>
    </w:pPr>
  </w:style>
  <w:style w:type="paragraph" w:styleId="BodyTextIndent2">
    <w:name w:val="Body Text Indent 2"/>
    <w:basedOn w:val="Normal"/>
    <w:link w:val="BodyTextIndent2Char"/>
    <w:uiPriority w:val="99"/>
    <w:unhideWhenUsed/>
    <w:rsid w:val="00F45744"/>
    <w:pPr>
      <w:spacing w:after="120" w:line="480" w:lineRule="auto"/>
      <w:ind w:left="283"/>
    </w:pPr>
  </w:style>
  <w:style w:type="character" w:customStyle="1" w:styleId="BodyTextIndent2Char">
    <w:name w:val="Body Text Indent 2 Char"/>
    <w:basedOn w:val="DefaultParagraphFont"/>
    <w:link w:val="BodyTextIndent2"/>
    <w:uiPriority w:val="99"/>
    <w:rsid w:val="00F45744"/>
    <w:rPr>
      <w:rFonts w:ascii="Times New Roman" w:eastAsiaTheme="minorEastAsia" w:hAnsi="Times New Roman"/>
      <w:sz w:val="24"/>
    </w:rPr>
  </w:style>
  <w:style w:type="table" w:customStyle="1" w:styleId="PlainTable21">
    <w:name w:val="Plain Table 21"/>
    <w:basedOn w:val="TableNormal"/>
    <w:uiPriority w:val="42"/>
    <w:rsid w:val="004E10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v213">
    <w:name w:val="tv213"/>
    <w:basedOn w:val="Normal"/>
    <w:rsid w:val="004E1081"/>
    <w:pPr>
      <w:spacing w:before="100" w:beforeAutospacing="1" w:after="100" w:afterAutospacing="1" w:line="240" w:lineRule="auto"/>
      <w:jc w:val="left"/>
    </w:pPr>
    <w:rPr>
      <w:rFonts w:eastAsia="Times New Roman" w:cs="Times New Roman"/>
      <w:szCs w:val="24"/>
      <w:lang w:eastAsia="lv-LV"/>
    </w:rPr>
  </w:style>
  <w:style w:type="character" w:customStyle="1" w:styleId="apple-converted-space">
    <w:name w:val="apple-converted-space"/>
    <w:basedOn w:val="DefaultParagraphFont"/>
    <w:rsid w:val="004E1081"/>
  </w:style>
  <w:style w:type="paragraph" w:styleId="Revision">
    <w:name w:val="Revision"/>
    <w:hidden/>
    <w:uiPriority w:val="99"/>
    <w:semiHidden/>
    <w:rsid w:val="00C80C47"/>
    <w:pPr>
      <w:spacing w:after="0" w:line="240" w:lineRule="auto"/>
    </w:pPr>
    <w:rPr>
      <w:rFonts w:ascii="Times New Roman" w:eastAsiaTheme="minorEastAsia" w:hAnsi="Times New Roman"/>
      <w:sz w:val="24"/>
    </w:rPr>
  </w:style>
  <w:style w:type="paragraph" w:styleId="Header">
    <w:name w:val="header"/>
    <w:basedOn w:val="Normal"/>
    <w:link w:val="HeaderChar"/>
    <w:uiPriority w:val="99"/>
    <w:unhideWhenUsed/>
    <w:rsid w:val="005A7D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D0B"/>
    <w:rPr>
      <w:rFonts w:ascii="Times New Roman" w:eastAsiaTheme="minorEastAsia" w:hAnsi="Times New Roman"/>
      <w:sz w:val="24"/>
    </w:rPr>
  </w:style>
  <w:style w:type="paragraph" w:styleId="Footer">
    <w:name w:val="footer"/>
    <w:basedOn w:val="Normal"/>
    <w:link w:val="FooterChar"/>
    <w:uiPriority w:val="99"/>
    <w:unhideWhenUsed/>
    <w:rsid w:val="005A7D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D0B"/>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85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96897250">
      <w:bodyDiv w:val="1"/>
      <w:marLeft w:val="0"/>
      <w:marRight w:val="0"/>
      <w:marTop w:val="0"/>
      <w:marBottom w:val="0"/>
      <w:divBdr>
        <w:top w:val="none" w:sz="0" w:space="0" w:color="auto"/>
        <w:left w:val="none" w:sz="0" w:space="0" w:color="auto"/>
        <w:bottom w:val="none" w:sz="0" w:space="0" w:color="auto"/>
        <w:right w:val="none" w:sz="0" w:space="0" w:color="auto"/>
      </w:divBdr>
    </w:div>
    <w:div w:id="215822561">
      <w:bodyDiv w:val="1"/>
      <w:marLeft w:val="0"/>
      <w:marRight w:val="0"/>
      <w:marTop w:val="0"/>
      <w:marBottom w:val="0"/>
      <w:divBdr>
        <w:top w:val="none" w:sz="0" w:space="0" w:color="auto"/>
        <w:left w:val="none" w:sz="0" w:space="0" w:color="auto"/>
        <w:bottom w:val="none" w:sz="0" w:space="0" w:color="auto"/>
        <w:right w:val="none" w:sz="0" w:space="0" w:color="auto"/>
      </w:divBdr>
    </w:div>
    <w:div w:id="238709490">
      <w:bodyDiv w:val="1"/>
      <w:marLeft w:val="0"/>
      <w:marRight w:val="0"/>
      <w:marTop w:val="0"/>
      <w:marBottom w:val="0"/>
      <w:divBdr>
        <w:top w:val="none" w:sz="0" w:space="0" w:color="auto"/>
        <w:left w:val="none" w:sz="0" w:space="0" w:color="auto"/>
        <w:bottom w:val="none" w:sz="0" w:space="0" w:color="auto"/>
        <w:right w:val="none" w:sz="0" w:space="0" w:color="auto"/>
      </w:divBdr>
    </w:div>
    <w:div w:id="249778858">
      <w:bodyDiv w:val="1"/>
      <w:marLeft w:val="0"/>
      <w:marRight w:val="0"/>
      <w:marTop w:val="0"/>
      <w:marBottom w:val="0"/>
      <w:divBdr>
        <w:top w:val="none" w:sz="0" w:space="0" w:color="auto"/>
        <w:left w:val="none" w:sz="0" w:space="0" w:color="auto"/>
        <w:bottom w:val="none" w:sz="0" w:space="0" w:color="auto"/>
        <w:right w:val="none" w:sz="0" w:space="0" w:color="auto"/>
      </w:divBdr>
    </w:div>
    <w:div w:id="291250197">
      <w:bodyDiv w:val="1"/>
      <w:marLeft w:val="0"/>
      <w:marRight w:val="0"/>
      <w:marTop w:val="0"/>
      <w:marBottom w:val="0"/>
      <w:divBdr>
        <w:top w:val="none" w:sz="0" w:space="0" w:color="auto"/>
        <w:left w:val="none" w:sz="0" w:space="0" w:color="auto"/>
        <w:bottom w:val="none" w:sz="0" w:space="0" w:color="auto"/>
        <w:right w:val="none" w:sz="0" w:space="0" w:color="auto"/>
      </w:divBdr>
    </w:div>
    <w:div w:id="342557293">
      <w:bodyDiv w:val="1"/>
      <w:marLeft w:val="0"/>
      <w:marRight w:val="0"/>
      <w:marTop w:val="0"/>
      <w:marBottom w:val="0"/>
      <w:divBdr>
        <w:top w:val="none" w:sz="0" w:space="0" w:color="auto"/>
        <w:left w:val="none" w:sz="0" w:space="0" w:color="auto"/>
        <w:bottom w:val="none" w:sz="0" w:space="0" w:color="auto"/>
        <w:right w:val="none" w:sz="0" w:space="0" w:color="auto"/>
      </w:divBdr>
    </w:div>
    <w:div w:id="351539245">
      <w:bodyDiv w:val="1"/>
      <w:marLeft w:val="0"/>
      <w:marRight w:val="0"/>
      <w:marTop w:val="0"/>
      <w:marBottom w:val="0"/>
      <w:divBdr>
        <w:top w:val="none" w:sz="0" w:space="0" w:color="auto"/>
        <w:left w:val="none" w:sz="0" w:space="0" w:color="auto"/>
        <w:bottom w:val="none" w:sz="0" w:space="0" w:color="auto"/>
        <w:right w:val="none" w:sz="0" w:space="0" w:color="auto"/>
      </w:divBdr>
    </w:div>
    <w:div w:id="405613366">
      <w:bodyDiv w:val="1"/>
      <w:marLeft w:val="0"/>
      <w:marRight w:val="0"/>
      <w:marTop w:val="0"/>
      <w:marBottom w:val="0"/>
      <w:divBdr>
        <w:top w:val="none" w:sz="0" w:space="0" w:color="auto"/>
        <w:left w:val="none" w:sz="0" w:space="0" w:color="auto"/>
        <w:bottom w:val="none" w:sz="0" w:space="0" w:color="auto"/>
        <w:right w:val="none" w:sz="0" w:space="0" w:color="auto"/>
      </w:divBdr>
    </w:div>
    <w:div w:id="552354443">
      <w:bodyDiv w:val="1"/>
      <w:marLeft w:val="0"/>
      <w:marRight w:val="0"/>
      <w:marTop w:val="0"/>
      <w:marBottom w:val="0"/>
      <w:divBdr>
        <w:top w:val="none" w:sz="0" w:space="0" w:color="auto"/>
        <w:left w:val="none" w:sz="0" w:space="0" w:color="auto"/>
        <w:bottom w:val="none" w:sz="0" w:space="0" w:color="auto"/>
        <w:right w:val="none" w:sz="0" w:space="0" w:color="auto"/>
      </w:divBdr>
    </w:div>
    <w:div w:id="567617503">
      <w:bodyDiv w:val="1"/>
      <w:marLeft w:val="0"/>
      <w:marRight w:val="0"/>
      <w:marTop w:val="0"/>
      <w:marBottom w:val="0"/>
      <w:divBdr>
        <w:top w:val="none" w:sz="0" w:space="0" w:color="auto"/>
        <w:left w:val="none" w:sz="0" w:space="0" w:color="auto"/>
        <w:bottom w:val="none" w:sz="0" w:space="0" w:color="auto"/>
        <w:right w:val="none" w:sz="0" w:space="0" w:color="auto"/>
      </w:divBdr>
    </w:div>
    <w:div w:id="619923396">
      <w:bodyDiv w:val="1"/>
      <w:marLeft w:val="0"/>
      <w:marRight w:val="0"/>
      <w:marTop w:val="0"/>
      <w:marBottom w:val="0"/>
      <w:divBdr>
        <w:top w:val="none" w:sz="0" w:space="0" w:color="auto"/>
        <w:left w:val="none" w:sz="0" w:space="0" w:color="auto"/>
        <w:bottom w:val="none" w:sz="0" w:space="0" w:color="auto"/>
        <w:right w:val="none" w:sz="0" w:space="0" w:color="auto"/>
      </w:divBdr>
    </w:div>
    <w:div w:id="631444661">
      <w:bodyDiv w:val="1"/>
      <w:marLeft w:val="0"/>
      <w:marRight w:val="0"/>
      <w:marTop w:val="0"/>
      <w:marBottom w:val="0"/>
      <w:divBdr>
        <w:top w:val="none" w:sz="0" w:space="0" w:color="auto"/>
        <w:left w:val="none" w:sz="0" w:space="0" w:color="auto"/>
        <w:bottom w:val="none" w:sz="0" w:space="0" w:color="auto"/>
        <w:right w:val="none" w:sz="0" w:space="0" w:color="auto"/>
      </w:divBdr>
    </w:div>
    <w:div w:id="634722832">
      <w:bodyDiv w:val="1"/>
      <w:marLeft w:val="0"/>
      <w:marRight w:val="0"/>
      <w:marTop w:val="0"/>
      <w:marBottom w:val="0"/>
      <w:divBdr>
        <w:top w:val="none" w:sz="0" w:space="0" w:color="auto"/>
        <w:left w:val="none" w:sz="0" w:space="0" w:color="auto"/>
        <w:bottom w:val="none" w:sz="0" w:space="0" w:color="auto"/>
        <w:right w:val="none" w:sz="0" w:space="0" w:color="auto"/>
      </w:divBdr>
    </w:div>
    <w:div w:id="669990245">
      <w:bodyDiv w:val="1"/>
      <w:marLeft w:val="0"/>
      <w:marRight w:val="0"/>
      <w:marTop w:val="0"/>
      <w:marBottom w:val="0"/>
      <w:divBdr>
        <w:top w:val="none" w:sz="0" w:space="0" w:color="auto"/>
        <w:left w:val="none" w:sz="0" w:space="0" w:color="auto"/>
        <w:bottom w:val="none" w:sz="0" w:space="0" w:color="auto"/>
        <w:right w:val="none" w:sz="0" w:space="0" w:color="auto"/>
      </w:divBdr>
    </w:div>
    <w:div w:id="714155629">
      <w:bodyDiv w:val="1"/>
      <w:marLeft w:val="0"/>
      <w:marRight w:val="0"/>
      <w:marTop w:val="0"/>
      <w:marBottom w:val="0"/>
      <w:divBdr>
        <w:top w:val="none" w:sz="0" w:space="0" w:color="auto"/>
        <w:left w:val="none" w:sz="0" w:space="0" w:color="auto"/>
        <w:bottom w:val="none" w:sz="0" w:space="0" w:color="auto"/>
        <w:right w:val="none" w:sz="0" w:space="0" w:color="auto"/>
      </w:divBdr>
    </w:div>
    <w:div w:id="746149301">
      <w:bodyDiv w:val="1"/>
      <w:marLeft w:val="0"/>
      <w:marRight w:val="0"/>
      <w:marTop w:val="0"/>
      <w:marBottom w:val="0"/>
      <w:divBdr>
        <w:top w:val="none" w:sz="0" w:space="0" w:color="auto"/>
        <w:left w:val="none" w:sz="0" w:space="0" w:color="auto"/>
        <w:bottom w:val="none" w:sz="0" w:space="0" w:color="auto"/>
        <w:right w:val="none" w:sz="0" w:space="0" w:color="auto"/>
      </w:divBdr>
    </w:div>
    <w:div w:id="788546477">
      <w:bodyDiv w:val="1"/>
      <w:marLeft w:val="0"/>
      <w:marRight w:val="0"/>
      <w:marTop w:val="0"/>
      <w:marBottom w:val="0"/>
      <w:divBdr>
        <w:top w:val="none" w:sz="0" w:space="0" w:color="auto"/>
        <w:left w:val="none" w:sz="0" w:space="0" w:color="auto"/>
        <w:bottom w:val="none" w:sz="0" w:space="0" w:color="auto"/>
        <w:right w:val="none" w:sz="0" w:space="0" w:color="auto"/>
      </w:divBdr>
    </w:div>
    <w:div w:id="790244686">
      <w:bodyDiv w:val="1"/>
      <w:marLeft w:val="0"/>
      <w:marRight w:val="0"/>
      <w:marTop w:val="0"/>
      <w:marBottom w:val="0"/>
      <w:divBdr>
        <w:top w:val="none" w:sz="0" w:space="0" w:color="auto"/>
        <w:left w:val="none" w:sz="0" w:space="0" w:color="auto"/>
        <w:bottom w:val="none" w:sz="0" w:space="0" w:color="auto"/>
        <w:right w:val="none" w:sz="0" w:space="0" w:color="auto"/>
      </w:divBdr>
    </w:div>
    <w:div w:id="797335597">
      <w:bodyDiv w:val="1"/>
      <w:marLeft w:val="0"/>
      <w:marRight w:val="0"/>
      <w:marTop w:val="0"/>
      <w:marBottom w:val="0"/>
      <w:divBdr>
        <w:top w:val="none" w:sz="0" w:space="0" w:color="auto"/>
        <w:left w:val="none" w:sz="0" w:space="0" w:color="auto"/>
        <w:bottom w:val="none" w:sz="0" w:space="0" w:color="auto"/>
        <w:right w:val="none" w:sz="0" w:space="0" w:color="auto"/>
      </w:divBdr>
    </w:div>
    <w:div w:id="801311189">
      <w:bodyDiv w:val="1"/>
      <w:marLeft w:val="0"/>
      <w:marRight w:val="0"/>
      <w:marTop w:val="0"/>
      <w:marBottom w:val="0"/>
      <w:divBdr>
        <w:top w:val="none" w:sz="0" w:space="0" w:color="auto"/>
        <w:left w:val="none" w:sz="0" w:space="0" w:color="auto"/>
        <w:bottom w:val="none" w:sz="0" w:space="0" w:color="auto"/>
        <w:right w:val="none" w:sz="0" w:space="0" w:color="auto"/>
      </w:divBdr>
    </w:div>
    <w:div w:id="832600178">
      <w:bodyDiv w:val="1"/>
      <w:marLeft w:val="0"/>
      <w:marRight w:val="0"/>
      <w:marTop w:val="0"/>
      <w:marBottom w:val="0"/>
      <w:divBdr>
        <w:top w:val="none" w:sz="0" w:space="0" w:color="auto"/>
        <w:left w:val="none" w:sz="0" w:space="0" w:color="auto"/>
        <w:bottom w:val="none" w:sz="0" w:space="0" w:color="auto"/>
        <w:right w:val="none" w:sz="0" w:space="0" w:color="auto"/>
      </w:divBdr>
    </w:div>
    <w:div w:id="834607766">
      <w:bodyDiv w:val="1"/>
      <w:marLeft w:val="0"/>
      <w:marRight w:val="0"/>
      <w:marTop w:val="0"/>
      <w:marBottom w:val="0"/>
      <w:divBdr>
        <w:top w:val="none" w:sz="0" w:space="0" w:color="auto"/>
        <w:left w:val="none" w:sz="0" w:space="0" w:color="auto"/>
        <w:bottom w:val="none" w:sz="0" w:space="0" w:color="auto"/>
        <w:right w:val="none" w:sz="0" w:space="0" w:color="auto"/>
      </w:divBdr>
    </w:div>
    <w:div w:id="841238320">
      <w:bodyDiv w:val="1"/>
      <w:marLeft w:val="0"/>
      <w:marRight w:val="0"/>
      <w:marTop w:val="0"/>
      <w:marBottom w:val="0"/>
      <w:divBdr>
        <w:top w:val="none" w:sz="0" w:space="0" w:color="auto"/>
        <w:left w:val="none" w:sz="0" w:space="0" w:color="auto"/>
        <w:bottom w:val="none" w:sz="0" w:space="0" w:color="auto"/>
        <w:right w:val="none" w:sz="0" w:space="0" w:color="auto"/>
      </w:divBdr>
    </w:div>
    <w:div w:id="911427920">
      <w:bodyDiv w:val="1"/>
      <w:marLeft w:val="0"/>
      <w:marRight w:val="0"/>
      <w:marTop w:val="0"/>
      <w:marBottom w:val="0"/>
      <w:divBdr>
        <w:top w:val="none" w:sz="0" w:space="0" w:color="auto"/>
        <w:left w:val="none" w:sz="0" w:space="0" w:color="auto"/>
        <w:bottom w:val="none" w:sz="0" w:space="0" w:color="auto"/>
        <w:right w:val="none" w:sz="0" w:space="0" w:color="auto"/>
      </w:divBdr>
    </w:div>
    <w:div w:id="911963858">
      <w:bodyDiv w:val="1"/>
      <w:marLeft w:val="0"/>
      <w:marRight w:val="0"/>
      <w:marTop w:val="0"/>
      <w:marBottom w:val="0"/>
      <w:divBdr>
        <w:top w:val="none" w:sz="0" w:space="0" w:color="auto"/>
        <w:left w:val="none" w:sz="0" w:space="0" w:color="auto"/>
        <w:bottom w:val="none" w:sz="0" w:space="0" w:color="auto"/>
        <w:right w:val="none" w:sz="0" w:space="0" w:color="auto"/>
      </w:divBdr>
    </w:div>
    <w:div w:id="947153384">
      <w:bodyDiv w:val="1"/>
      <w:marLeft w:val="0"/>
      <w:marRight w:val="0"/>
      <w:marTop w:val="0"/>
      <w:marBottom w:val="0"/>
      <w:divBdr>
        <w:top w:val="none" w:sz="0" w:space="0" w:color="auto"/>
        <w:left w:val="none" w:sz="0" w:space="0" w:color="auto"/>
        <w:bottom w:val="none" w:sz="0" w:space="0" w:color="auto"/>
        <w:right w:val="none" w:sz="0" w:space="0" w:color="auto"/>
      </w:divBdr>
    </w:div>
    <w:div w:id="974289845">
      <w:bodyDiv w:val="1"/>
      <w:marLeft w:val="0"/>
      <w:marRight w:val="0"/>
      <w:marTop w:val="0"/>
      <w:marBottom w:val="0"/>
      <w:divBdr>
        <w:top w:val="none" w:sz="0" w:space="0" w:color="auto"/>
        <w:left w:val="none" w:sz="0" w:space="0" w:color="auto"/>
        <w:bottom w:val="none" w:sz="0" w:space="0" w:color="auto"/>
        <w:right w:val="none" w:sz="0" w:space="0" w:color="auto"/>
      </w:divBdr>
    </w:div>
    <w:div w:id="1019619927">
      <w:bodyDiv w:val="1"/>
      <w:marLeft w:val="0"/>
      <w:marRight w:val="0"/>
      <w:marTop w:val="0"/>
      <w:marBottom w:val="0"/>
      <w:divBdr>
        <w:top w:val="none" w:sz="0" w:space="0" w:color="auto"/>
        <w:left w:val="none" w:sz="0" w:space="0" w:color="auto"/>
        <w:bottom w:val="none" w:sz="0" w:space="0" w:color="auto"/>
        <w:right w:val="none" w:sz="0" w:space="0" w:color="auto"/>
      </w:divBdr>
    </w:div>
    <w:div w:id="1042557266">
      <w:bodyDiv w:val="1"/>
      <w:marLeft w:val="0"/>
      <w:marRight w:val="0"/>
      <w:marTop w:val="0"/>
      <w:marBottom w:val="0"/>
      <w:divBdr>
        <w:top w:val="none" w:sz="0" w:space="0" w:color="auto"/>
        <w:left w:val="none" w:sz="0" w:space="0" w:color="auto"/>
        <w:bottom w:val="none" w:sz="0" w:space="0" w:color="auto"/>
        <w:right w:val="none" w:sz="0" w:space="0" w:color="auto"/>
      </w:divBdr>
    </w:div>
    <w:div w:id="1060640701">
      <w:bodyDiv w:val="1"/>
      <w:marLeft w:val="0"/>
      <w:marRight w:val="0"/>
      <w:marTop w:val="0"/>
      <w:marBottom w:val="0"/>
      <w:divBdr>
        <w:top w:val="none" w:sz="0" w:space="0" w:color="auto"/>
        <w:left w:val="none" w:sz="0" w:space="0" w:color="auto"/>
        <w:bottom w:val="none" w:sz="0" w:space="0" w:color="auto"/>
        <w:right w:val="none" w:sz="0" w:space="0" w:color="auto"/>
      </w:divBdr>
    </w:div>
    <w:div w:id="1110859285">
      <w:bodyDiv w:val="1"/>
      <w:marLeft w:val="0"/>
      <w:marRight w:val="0"/>
      <w:marTop w:val="0"/>
      <w:marBottom w:val="0"/>
      <w:divBdr>
        <w:top w:val="none" w:sz="0" w:space="0" w:color="auto"/>
        <w:left w:val="none" w:sz="0" w:space="0" w:color="auto"/>
        <w:bottom w:val="none" w:sz="0" w:space="0" w:color="auto"/>
        <w:right w:val="none" w:sz="0" w:space="0" w:color="auto"/>
      </w:divBdr>
    </w:div>
    <w:div w:id="1138835609">
      <w:bodyDiv w:val="1"/>
      <w:marLeft w:val="0"/>
      <w:marRight w:val="0"/>
      <w:marTop w:val="0"/>
      <w:marBottom w:val="0"/>
      <w:divBdr>
        <w:top w:val="none" w:sz="0" w:space="0" w:color="auto"/>
        <w:left w:val="none" w:sz="0" w:space="0" w:color="auto"/>
        <w:bottom w:val="none" w:sz="0" w:space="0" w:color="auto"/>
        <w:right w:val="none" w:sz="0" w:space="0" w:color="auto"/>
      </w:divBdr>
    </w:div>
    <w:div w:id="1145468459">
      <w:bodyDiv w:val="1"/>
      <w:marLeft w:val="0"/>
      <w:marRight w:val="0"/>
      <w:marTop w:val="0"/>
      <w:marBottom w:val="0"/>
      <w:divBdr>
        <w:top w:val="none" w:sz="0" w:space="0" w:color="auto"/>
        <w:left w:val="none" w:sz="0" w:space="0" w:color="auto"/>
        <w:bottom w:val="none" w:sz="0" w:space="0" w:color="auto"/>
        <w:right w:val="none" w:sz="0" w:space="0" w:color="auto"/>
      </w:divBdr>
    </w:div>
    <w:div w:id="1148014283">
      <w:bodyDiv w:val="1"/>
      <w:marLeft w:val="0"/>
      <w:marRight w:val="0"/>
      <w:marTop w:val="0"/>
      <w:marBottom w:val="0"/>
      <w:divBdr>
        <w:top w:val="none" w:sz="0" w:space="0" w:color="auto"/>
        <w:left w:val="none" w:sz="0" w:space="0" w:color="auto"/>
        <w:bottom w:val="none" w:sz="0" w:space="0" w:color="auto"/>
        <w:right w:val="none" w:sz="0" w:space="0" w:color="auto"/>
      </w:divBdr>
    </w:div>
    <w:div w:id="1160535257">
      <w:bodyDiv w:val="1"/>
      <w:marLeft w:val="0"/>
      <w:marRight w:val="0"/>
      <w:marTop w:val="0"/>
      <w:marBottom w:val="0"/>
      <w:divBdr>
        <w:top w:val="none" w:sz="0" w:space="0" w:color="auto"/>
        <w:left w:val="none" w:sz="0" w:space="0" w:color="auto"/>
        <w:bottom w:val="none" w:sz="0" w:space="0" w:color="auto"/>
        <w:right w:val="none" w:sz="0" w:space="0" w:color="auto"/>
      </w:divBdr>
    </w:div>
    <w:div w:id="1301955477">
      <w:bodyDiv w:val="1"/>
      <w:marLeft w:val="0"/>
      <w:marRight w:val="0"/>
      <w:marTop w:val="0"/>
      <w:marBottom w:val="0"/>
      <w:divBdr>
        <w:top w:val="none" w:sz="0" w:space="0" w:color="auto"/>
        <w:left w:val="none" w:sz="0" w:space="0" w:color="auto"/>
        <w:bottom w:val="none" w:sz="0" w:space="0" w:color="auto"/>
        <w:right w:val="none" w:sz="0" w:space="0" w:color="auto"/>
      </w:divBdr>
    </w:div>
    <w:div w:id="1350983219">
      <w:bodyDiv w:val="1"/>
      <w:marLeft w:val="0"/>
      <w:marRight w:val="0"/>
      <w:marTop w:val="0"/>
      <w:marBottom w:val="0"/>
      <w:divBdr>
        <w:top w:val="none" w:sz="0" w:space="0" w:color="auto"/>
        <w:left w:val="none" w:sz="0" w:space="0" w:color="auto"/>
        <w:bottom w:val="none" w:sz="0" w:space="0" w:color="auto"/>
        <w:right w:val="none" w:sz="0" w:space="0" w:color="auto"/>
      </w:divBdr>
    </w:div>
    <w:div w:id="1373773901">
      <w:bodyDiv w:val="1"/>
      <w:marLeft w:val="0"/>
      <w:marRight w:val="0"/>
      <w:marTop w:val="0"/>
      <w:marBottom w:val="0"/>
      <w:divBdr>
        <w:top w:val="none" w:sz="0" w:space="0" w:color="auto"/>
        <w:left w:val="none" w:sz="0" w:space="0" w:color="auto"/>
        <w:bottom w:val="none" w:sz="0" w:space="0" w:color="auto"/>
        <w:right w:val="none" w:sz="0" w:space="0" w:color="auto"/>
      </w:divBdr>
    </w:div>
    <w:div w:id="1430420246">
      <w:bodyDiv w:val="1"/>
      <w:marLeft w:val="0"/>
      <w:marRight w:val="0"/>
      <w:marTop w:val="0"/>
      <w:marBottom w:val="0"/>
      <w:divBdr>
        <w:top w:val="none" w:sz="0" w:space="0" w:color="auto"/>
        <w:left w:val="none" w:sz="0" w:space="0" w:color="auto"/>
        <w:bottom w:val="none" w:sz="0" w:space="0" w:color="auto"/>
        <w:right w:val="none" w:sz="0" w:space="0" w:color="auto"/>
      </w:divBdr>
    </w:div>
    <w:div w:id="1453790760">
      <w:bodyDiv w:val="1"/>
      <w:marLeft w:val="0"/>
      <w:marRight w:val="0"/>
      <w:marTop w:val="0"/>
      <w:marBottom w:val="0"/>
      <w:divBdr>
        <w:top w:val="none" w:sz="0" w:space="0" w:color="auto"/>
        <w:left w:val="none" w:sz="0" w:space="0" w:color="auto"/>
        <w:bottom w:val="none" w:sz="0" w:space="0" w:color="auto"/>
        <w:right w:val="none" w:sz="0" w:space="0" w:color="auto"/>
      </w:divBdr>
    </w:div>
    <w:div w:id="1491289478">
      <w:bodyDiv w:val="1"/>
      <w:marLeft w:val="0"/>
      <w:marRight w:val="0"/>
      <w:marTop w:val="0"/>
      <w:marBottom w:val="0"/>
      <w:divBdr>
        <w:top w:val="none" w:sz="0" w:space="0" w:color="auto"/>
        <w:left w:val="none" w:sz="0" w:space="0" w:color="auto"/>
        <w:bottom w:val="none" w:sz="0" w:space="0" w:color="auto"/>
        <w:right w:val="none" w:sz="0" w:space="0" w:color="auto"/>
      </w:divBdr>
    </w:div>
    <w:div w:id="1576403038">
      <w:bodyDiv w:val="1"/>
      <w:marLeft w:val="0"/>
      <w:marRight w:val="0"/>
      <w:marTop w:val="0"/>
      <w:marBottom w:val="0"/>
      <w:divBdr>
        <w:top w:val="none" w:sz="0" w:space="0" w:color="auto"/>
        <w:left w:val="none" w:sz="0" w:space="0" w:color="auto"/>
        <w:bottom w:val="none" w:sz="0" w:space="0" w:color="auto"/>
        <w:right w:val="none" w:sz="0" w:space="0" w:color="auto"/>
      </w:divBdr>
    </w:div>
    <w:div w:id="1579711915">
      <w:bodyDiv w:val="1"/>
      <w:marLeft w:val="0"/>
      <w:marRight w:val="0"/>
      <w:marTop w:val="0"/>
      <w:marBottom w:val="0"/>
      <w:divBdr>
        <w:top w:val="none" w:sz="0" w:space="0" w:color="auto"/>
        <w:left w:val="none" w:sz="0" w:space="0" w:color="auto"/>
        <w:bottom w:val="none" w:sz="0" w:space="0" w:color="auto"/>
        <w:right w:val="none" w:sz="0" w:space="0" w:color="auto"/>
      </w:divBdr>
    </w:div>
    <w:div w:id="1637107082">
      <w:bodyDiv w:val="1"/>
      <w:marLeft w:val="0"/>
      <w:marRight w:val="0"/>
      <w:marTop w:val="0"/>
      <w:marBottom w:val="0"/>
      <w:divBdr>
        <w:top w:val="none" w:sz="0" w:space="0" w:color="auto"/>
        <w:left w:val="none" w:sz="0" w:space="0" w:color="auto"/>
        <w:bottom w:val="none" w:sz="0" w:space="0" w:color="auto"/>
        <w:right w:val="none" w:sz="0" w:space="0" w:color="auto"/>
      </w:divBdr>
    </w:div>
    <w:div w:id="1655255572">
      <w:bodyDiv w:val="1"/>
      <w:marLeft w:val="0"/>
      <w:marRight w:val="0"/>
      <w:marTop w:val="0"/>
      <w:marBottom w:val="0"/>
      <w:divBdr>
        <w:top w:val="none" w:sz="0" w:space="0" w:color="auto"/>
        <w:left w:val="none" w:sz="0" w:space="0" w:color="auto"/>
        <w:bottom w:val="none" w:sz="0" w:space="0" w:color="auto"/>
        <w:right w:val="none" w:sz="0" w:space="0" w:color="auto"/>
      </w:divBdr>
    </w:div>
    <w:div w:id="1709984771">
      <w:bodyDiv w:val="1"/>
      <w:marLeft w:val="0"/>
      <w:marRight w:val="0"/>
      <w:marTop w:val="0"/>
      <w:marBottom w:val="0"/>
      <w:divBdr>
        <w:top w:val="none" w:sz="0" w:space="0" w:color="auto"/>
        <w:left w:val="none" w:sz="0" w:space="0" w:color="auto"/>
        <w:bottom w:val="none" w:sz="0" w:space="0" w:color="auto"/>
        <w:right w:val="none" w:sz="0" w:space="0" w:color="auto"/>
      </w:divBdr>
    </w:div>
    <w:div w:id="1735812883">
      <w:bodyDiv w:val="1"/>
      <w:marLeft w:val="0"/>
      <w:marRight w:val="0"/>
      <w:marTop w:val="0"/>
      <w:marBottom w:val="0"/>
      <w:divBdr>
        <w:top w:val="none" w:sz="0" w:space="0" w:color="auto"/>
        <w:left w:val="none" w:sz="0" w:space="0" w:color="auto"/>
        <w:bottom w:val="none" w:sz="0" w:space="0" w:color="auto"/>
        <w:right w:val="none" w:sz="0" w:space="0" w:color="auto"/>
      </w:divBdr>
    </w:div>
    <w:div w:id="1790390201">
      <w:bodyDiv w:val="1"/>
      <w:marLeft w:val="0"/>
      <w:marRight w:val="0"/>
      <w:marTop w:val="0"/>
      <w:marBottom w:val="0"/>
      <w:divBdr>
        <w:top w:val="none" w:sz="0" w:space="0" w:color="auto"/>
        <w:left w:val="none" w:sz="0" w:space="0" w:color="auto"/>
        <w:bottom w:val="none" w:sz="0" w:space="0" w:color="auto"/>
        <w:right w:val="none" w:sz="0" w:space="0" w:color="auto"/>
      </w:divBdr>
    </w:div>
    <w:div w:id="1811708157">
      <w:bodyDiv w:val="1"/>
      <w:marLeft w:val="0"/>
      <w:marRight w:val="0"/>
      <w:marTop w:val="0"/>
      <w:marBottom w:val="0"/>
      <w:divBdr>
        <w:top w:val="none" w:sz="0" w:space="0" w:color="auto"/>
        <w:left w:val="none" w:sz="0" w:space="0" w:color="auto"/>
        <w:bottom w:val="none" w:sz="0" w:space="0" w:color="auto"/>
        <w:right w:val="none" w:sz="0" w:space="0" w:color="auto"/>
      </w:divBdr>
    </w:div>
    <w:div w:id="1855026004">
      <w:bodyDiv w:val="1"/>
      <w:marLeft w:val="0"/>
      <w:marRight w:val="0"/>
      <w:marTop w:val="0"/>
      <w:marBottom w:val="0"/>
      <w:divBdr>
        <w:top w:val="none" w:sz="0" w:space="0" w:color="auto"/>
        <w:left w:val="none" w:sz="0" w:space="0" w:color="auto"/>
        <w:bottom w:val="none" w:sz="0" w:space="0" w:color="auto"/>
        <w:right w:val="none" w:sz="0" w:space="0" w:color="auto"/>
      </w:divBdr>
    </w:div>
    <w:div w:id="1879271107">
      <w:bodyDiv w:val="1"/>
      <w:marLeft w:val="0"/>
      <w:marRight w:val="0"/>
      <w:marTop w:val="0"/>
      <w:marBottom w:val="0"/>
      <w:divBdr>
        <w:top w:val="none" w:sz="0" w:space="0" w:color="auto"/>
        <w:left w:val="none" w:sz="0" w:space="0" w:color="auto"/>
        <w:bottom w:val="none" w:sz="0" w:space="0" w:color="auto"/>
        <w:right w:val="none" w:sz="0" w:space="0" w:color="auto"/>
      </w:divBdr>
    </w:div>
    <w:div w:id="1914003316">
      <w:bodyDiv w:val="1"/>
      <w:marLeft w:val="0"/>
      <w:marRight w:val="0"/>
      <w:marTop w:val="0"/>
      <w:marBottom w:val="0"/>
      <w:divBdr>
        <w:top w:val="none" w:sz="0" w:space="0" w:color="auto"/>
        <w:left w:val="none" w:sz="0" w:space="0" w:color="auto"/>
        <w:bottom w:val="none" w:sz="0" w:space="0" w:color="auto"/>
        <w:right w:val="none" w:sz="0" w:space="0" w:color="auto"/>
      </w:divBdr>
    </w:div>
    <w:div w:id="1953517365">
      <w:bodyDiv w:val="1"/>
      <w:marLeft w:val="0"/>
      <w:marRight w:val="0"/>
      <w:marTop w:val="0"/>
      <w:marBottom w:val="0"/>
      <w:divBdr>
        <w:top w:val="none" w:sz="0" w:space="0" w:color="auto"/>
        <w:left w:val="none" w:sz="0" w:space="0" w:color="auto"/>
        <w:bottom w:val="none" w:sz="0" w:space="0" w:color="auto"/>
        <w:right w:val="none" w:sz="0" w:space="0" w:color="auto"/>
      </w:divBdr>
    </w:div>
    <w:div w:id="2011369577">
      <w:bodyDiv w:val="1"/>
      <w:marLeft w:val="0"/>
      <w:marRight w:val="0"/>
      <w:marTop w:val="0"/>
      <w:marBottom w:val="0"/>
      <w:divBdr>
        <w:top w:val="none" w:sz="0" w:space="0" w:color="auto"/>
        <w:left w:val="none" w:sz="0" w:space="0" w:color="auto"/>
        <w:bottom w:val="none" w:sz="0" w:space="0" w:color="auto"/>
        <w:right w:val="none" w:sz="0" w:space="0" w:color="auto"/>
      </w:divBdr>
    </w:div>
    <w:div w:id="20997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08834-elektroenergijas-tirgus-likums"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Inga.Iljina@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mailto:Roberts.Meijers@em.gov.lv" TargetMode="External"/><Relationship Id="rId4" Type="http://schemas.openxmlformats.org/officeDocument/2006/relationships/settings" Target="settings.xml"/><Relationship Id="rId9" Type="http://schemas.openxmlformats.org/officeDocument/2006/relationships/hyperlink" Target="http://likumi.lv/ta/id/108834-elektroenergijas-tirgus-likums"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207458-noteikumi-par-elektroenergijas-razosanu-izmantojot-atjaunojamos-energoresursus-un-cenu-noteiksanas-kartibu" TargetMode="External"/><Relationship Id="rId1" Type="http://schemas.openxmlformats.org/officeDocument/2006/relationships/hyperlink" Target="http://likumi.lv/ta/id/189260-noteikumi-par-elektroenergijas-razosanu-un-cenu-noteiksanu-razojot-elektroenergiju-kogeneracija"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mbraskoI\AppData\Local\Microsoft\Windows\Temporary%20Internet%20Files\Content.Outlook\ORXX38AE\Copy%20of%20budzeta_ram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311471868485574"/>
          <c:y val="2.957514029668943E-2"/>
          <c:w val="0.86964468268397699"/>
          <c:h val="0.70568402986404799"/>
        </c:manualLayout>
      </c:layout>
      <c:barChart>
        <c:barDir val="col"/>
        <c:grouping val="stacked"/>
        <c:varyColors val="0"/>
        <c:ser>
          <c:idx val="0"/>
          <c:order val="0"/>
          <c:tx>
            <c:strRef>
              <c:f>Sheet1!$B$1</c:f>
              <c:strCache>
                <c:ptCount val="1"/>
                <c:pt idx="0">
                  <c:v>Elektroenerģija</c:v>
                </c:pt>
              </c:strCache>
            </c:strRef>
          </c:tx>
          <c:spPr>
            <a:solidFill>
              <a:schemeClr val="accent1"/>
            </a:solidFill>
            <a:ln>
              <a:noFill/>
            </a:ln>
            <a:effectLst/>
          </c:spPr>
          <c:invertIfNegative val="0"/>
          <c:cat>
            <c:strRef>
              <c:f>Sheet1!$A$2:$A$11</c:f>
              <c:strCache>
                <c:ptCount val="10"/>
                <c:pt idx="0">
                  <c:v>Apvienotā Karaliste</c:v>
                </c:pt>
                <c:pt idx="1">
                  <c:v>Vācija</c:v>
                </c:pt>
                <c:pt idx="2">
                  <c:v>Latvija</c:v>
                </c:pt>
                <c:pt idx="3">
                  <c:v>Dānija</c:v>
                </c:pt>
                <c:pt idx="4">
                  <c:v>Lietuva</c:v>
                </c:pt>
                <c:pt idx="5">
                  <c:v>Igaunija</c:v>
                </c:pt>
                <c:pt idx="6">
                  <c:v>Polija</c:v>
                </c:pt>
                <c:pt idx="7">
                  <c:v>Somija</c:v>
                </c:pt>
                <c:pt idx="8">
                  <c:v>Norvēģija</c:v>
                </c:pt>
                <c:pt idx="9">
                  <c:v>Zviedrija</c:v>
                </c:pt>
              </c:strCache>
            </c:strRef>
          </c:cat>
          <c:val>
            <c:numRef>
              <c:f>Sheet1!$B$2:$B$11</c:f>
              <c:numCache>
                <c:formatCode>General</c:formatCode>
                <c:ptCount val="10"/>
                <c:pt idx="0">
                  <c:v>95.3</c:v>
                </c:pt>
                <c:pt idx="1">
                  <c:v>46.1</c:v>
                </c:pt>
                <c:pt idx="2">
                  <c:v>47.6</c:v>
                </c:pt>
                <c:pt idx="3">
                  <c:v>35.299999999999997</c:v>
                </c:pt>
                <c:pt idx="4">
                  <c:v>51.3</c:v>
                </c:pt>
                <c:pt idx="5">
                  <c:v>46</c:v>
                </c:pt>
                <c:pt idx="6">
                  <c:v>48.5</c:v>
                </c:pt>
                <c:pt idx="7">
                  <c:v>45.3</c:v>
                </c:pt>
                <c:pt idx="8">
                  <c:v>22.7</c:v>
                </c:pt>
                <c:pt idx="9">
                  <c:v>33.1</c:v>
                </c:pt>
              </c:numCache>
            </c:numRef>
          </c:val>
        </c:ser>
        <c:ser>
          <c:idx val="1"/>
          <c:order val="1"/>
          <c:tx>
            <c:strRef>
              <c:f>Sheet1!$C$1</c:f>
              <c:strCache>
                <c:ptCount val="1"/>
                <c:pt idx="0">
                  <c:v>Pārvade/sadale</c:v>
                </c:pt>
              </c:strCache>
            </c:strRef>
          </c:tx>
          <c:spPr>
            <a:solidFill>
              <a:schemeClr val="accent3">
                <a:lumMod val="75000"/>
              </a:schemeClr>
            </a:solidFill>
            <a:ln>
              <a:noFill/>
            </a:ln>
            <a:effectLst/>
          </c:spPr>
          <c:invertIfNegative val="0"/>
          <c:cat>
            <c:strRef>
              <c:f>Sheet1!$A$2:$A$11</c:f>
              <c:strCache>
                <c:ptCount val="10"/>
                <c:pt idx="0">
                  <c:v>Apvienotā Karaliste</c:v>
                </c:pt>
                <c:pt idx="1">
                  <c:v>Vācija</c:v>
                </c:pt>
                <c:pt idx="2">
                  <c:v>Latvija</c:v>
                </c:pt>
                <c:pt idx="3">
                  <c:v>Dānija</c:v>
                </c:pt>
                <c:pt idx="4">
                  <c:v>Lietuva</c:v>
                </c:pt>
                <c:pt idx="5">
                  <c:v>Igaunija</c:v>
                </c:pt>
                <c:pt idx="6">
                  <c:v>Polija</c:v>
                </c:pt>
                <c:pt idx="7">
                  <c:v>Somija</c:v>
                </c:pt>
                <c:pt idx="8">
                  <c:v>Norvēģija</c:v>
                </c:pt>
                <c:pt idx="9">
                  <c:v>Zviedrija</c:v>
                </c:pt>
              </c:strCache>
            </c:strRef>
          </c:cat>
          <c:val>
            <c:numRef>
              <c:f>Sheet1!$C$2:$C$11</c:f>
              <c:numCache>
                <c:formatCode>General</c:formatCode>
                <c:ptCount val="10"/>
                <c:pt idx="0">
                  <c:v>39.9</c:v>
                </c:pt>
                <c:pt idx="1">
                  <c:v>24.4</c:v>
                </c:pt>
                <c:pt idx="2">
                  <c:v>32.799999999999997</c:v>
                </c:pt>
                <c:pt idx="3">
                  <c:v>24.2</c:v>
                </c:pt>
                <c:pt idx="4">
                  <c:v>22.2</c:v>
                </c:pt>
                <c:pt idx="5">
                  <c:v>29.4</c:v>
                </c:pt>
                <c:pt idx="6">
                  <c:v>22</c:v>
                </c:pt>
                <c:pt idx="7">
                  <c:v>15.8</c:v>
                </c:pt>
                <c:pt idx="8">
                  <c:v>16.3</c:v>
                </c:pt>
                <c:pt idx="9">
                  <c:v>17.8</c:v>
                </c:pt>
              </c:numCache>
            </c:numRef>
          </c:val>
        </c:ser>
        <c:ser>
          <c:idx val="2"/>
          <c:order val="2"/>
          <c:tx>
            <c:strRef>
              <c:f>Sheet1!$D$1</c:f>
              <c:strCache>
                <c:ptCount val="1"/>
                <c:pt idx="0">
                  <c:v>OIK un citi neatmaksājamie nodokļi un nodevas</c:v>
                </c:pt>
              </c:strCache>
            </c:strRef>
          </c:tx>
          <c:spPr>
            <a:solidFill>
              <a:schemeClr val="accent2"/>
            </a:solidFill>
            <a:ln>
              <a:noFill/>
            </a:ln>
            <a:effectLst/>
          </c:spPr>
          <c:invertIfNegative val="0"/>
          <c:cat>
            <c:strRef>
              <c:f>Sheet1!$A$2:$A$11</c:f>
              <c:strCache>
                <c:ptCount val="10"/>
                <c:pt idx="0">
                  <c:v>Apvienotā Karaliste</c:v>
                </c:pt>
                <c:pt idx="1">
                  <c:v>Vācija</c:v>
                </c:pt>
                <c:pt idx="2">
                  <c:v>Latvija</c:v>
                </c:pt>
                <c:pt idx="3">
                  <c:v>Dānija</c:v>
                </c:pt>
                <c:pt idx="4">
                  <c:v>Lietuva</c:v>
                </c:pt>
                <c:pt idx="5">
                  <c:v>Igaunija</c:v>
                </c:pt>
                <c:pt idx="6">
                  <c:v>Polija</c:v>
                </c:pt>
                <c:pt idx="7">
                  <c:v>Somija</c:v>
                </c:pt>
                <c:pt idx="8">
                  <c:v>Norvēģija</c:v>
                </c:pt>
                <c:pt idx="9">
                  <c:v>Zviedrija</c:v>
                </c:pt>
              </c:strCache>
            </c:strRef>
          </c:cat>
          <c:val>
            <c:numRef>
              <c:f>Sheet1!$D$2:$D$11</c:f>
              <c:numCache>
                <c:formatCode>General</c:formatCode>
                <c:ptCount val="10"/>
                <c:pt idx="0">
                  <c:v>4.4000000000000004</c:v>
                </c:pt>
                <c:pt idx="1">
                  <c:v>59.5</c:v>
                </c:pt>
                <c:pt idx="2">
                  <c:v>26.8</c:v>
                </c:pt>
                <c:pt idx="3">
                  <c:v>31.1</c:v>
                </c:pt>
                <c:pt idx="4">
                  <c:v>16.8</c:v>
                </c:pt>
                <c:pt idx="5">
                  <c:v>13.4</c:v>
                </c:pt>
                <c:pt idx="6">
                  <c:v>4.7</c:v>
                </c:pt>
                <c:pt idx="7">
                  <c:v>7</c:v>
                </c:pt>
                <c:pt idx="8">
                  <c:v>15.3</c:v>
                </c:pt>
                <c:pt idx="9">
                  <c:v>0.5</c:v>
                </c:pt>
              </c:numCache>
            </c:numRef>
          </c:val>
        </c:ser>
        <c:dLbls>
          <c:showLegendKey val="0"/>
          <c:showVal val="0"/>
          <c:showCatName val="0"/>
          <c:showSerName val="0"/>
          <c:showPercent val="0"/>
          <c:showBubbleSize val="0"/>
        </c:dLbls>
        <c:gapWidth val="219"/>
        <c:overlap val="100"/>
        <c:axId val="396055056"/>
        <c:axId val="394860400"/>
      </c:barChart>
      <c:catAx>
        <c:axId val="396055056"/>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vert="horz"/>
          <a:lstStyle/>
          <a:p>
            <a:pPr>
              <a:defRPr/>
            </a:pPr>
            <a:endParaRPr lang="lv-LV"/>
          </a:p>
        </c:txPr>
        <c:crossAx val="394860400"/>
        <c:crosses val="autoZero"/>
        <c:auto val="1"/>
        <c:lblAlgn val="ctr"/>
        <c:lblOffset val="100"/>
        <c:noMultiLvlLbl val="0"/>
      </c:catAx>
      <c:valAx>
        <c:axId val="394860400"/>
        <c:scaling>
          <c:orientation val="minMax"/>
        </c:scaling>
        <c:delete val="0"/>
        <c:axPos val="l"/>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396055056"/>
        <c:crosses val="autoZero"/>
        <c:crossBetween val="between"/>
      </c:valAx>
      <c:dTable>
        <c:showHorzBorder val="1"/>
        <c:showVertBorder val="1"/>
        <c:showOutline val="1"/>
        <c:showKeys val="1"/>
        <c:spPr>
          <a:noFill/>
          <a:ln w="9513" cap="flat" cmpd="sng" algn="ctr">
            <a:solidFill>
              <a:schemeClr val="tx1">
                <a:lumMod val="15000"/>
                <a:lumOff val="85000"/>
              </a:schemeClr>
            </a:solidFill>
            <a:round/>
          </a:ln>
          <a:effectLst/>
        </c:spPr>
        <c:txPr>
          <a:bodyPr rot="0" vert="horz"/>
          <a:lstStyle/>
          <a:p>
            <a:pPr rtl="0">
              <a:defRPr sz="600"/>
            </a:pPr>
            <a:endParaRPr lang="lv-LV"/>
          </a:p>
        </c:txPr>
      </c:dTable>
      <c:spPr>
        <a:noFill/>
        <a:ln w="25367">
          <a:noFill/>
        </a:ln>
      </c:spPr>
    </c:plotArea>
    <c:plotVisOnly val="1"/>
    <c:dispBlanksAs val="gap"/>
    <c:showDLblsOverMax val="0"/>
  </c:chart>
  <c:spPr>
    <a:noFill/>
    <a:ln>
      <a:solidFill>
        <a:sysClr val="windowText" lastClr="000000">
          <a:lumMod val="15000"/>
          <a:lumOff val="85000"/>
        </a:sysClr>
      </a:solidFill>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311471868485574"/>
          <c:y val="2.957514029668943E-2"/>
          <c:w val="0.86964468268397699"/>
          <c:h val="0.70568402986404799"/>
        </c:manualLayout>
      </c:layout>
      <c:barChart>
        <c:barDir val="col"/>
        <c:grouping val="stacked"/>
        <c:varyColors val="0"/>
        <c:ser>
          <c:idx val="0"/>
          <c:order val="0"/>
          <c:tx>
            <c:strRef>
              <c:f>Sheet1!$B$1</c:f>
              <c:strCache>
                <c:ptCount val="1"/>
                <c:pt idx="0">
                  <c:v>Elektroenerģija</c:v>
                </c:pt>
              </c:strCache>
            </c:strRef>
          </c:tx>
          <c:spPr>
            <a:solidFill>
              <a:schemeClr val="accent1"/>
            </a:solidFill>
            <a:ln>
              <a:noFill/>
            </a:ln>
            <a:effectLst/>
          </c:spPr>
          <c:invertIfNegative val="0"/>
          <c:cat>
            <c:strRef>
              <c:f>Sheet1!$A$2:$A$11</c:f>
              <c:strCache>
                <c:ptCount val="10"/>
                <c:pt idx="0">
                  <c:v>Apvienotā Karaliste</c:v>
                </c:pt>
                <c:pt idx="1">
                  <c:v>Vācija</c:v>
                </c:pt>
                <c:pt idx="2">
                  <c:v>Latvija</c:v>
                </c:pt>
                <c:pt idx="3">
                  <c:v>Dānija</c:v>
                </c:pt>
                <c:pt idx="4">
                  <c:v>Lietuva</c:v>
                </c:pt>
                <c:pt idx="5">
                  <c:v>Igaunija</c:v>
                </c:pt>
                <c:pt idx="6">
                  <c:v>Polija</c:v>
                </c:pt>
                <c:pt idx="7">
                  <c:v>Somija</c:v>
                </c:pt>
                <c:pt idx="8">
                  <c:v>Norvēģija</c:v>
                </c:pt>
                <c:pt idx="9">
                  <c:v>Zviedrija</c:v>
                </c:pt>
              </c:strCache>
            </c:strRef>
          </c:cat>
          <c:val>
            <c:numRef>
              <c:f>Sheet1!$B$2:$B$11</c:f>
              <c:numCache>
                <c:formatCode>#,##0.0</c:formatCode>
                <c:ptCount val="10"/>
                <c:pt idx="0">
                  <c:v>94.9</c:v>
                </c:pt>
                <c:pt idx="1">
                  <c:v>43.4</c:v>
                </c:pt>
                <c:pt idx="2">
                  <c:v>43.9</c:v>
                </c:pt>
                <c:pt idx="3">
                  <c:v>50.7</c:v>
                </c:pt>
                <c:pt idx="4">
                  <c:v>31</c:v>
                </c:pt>
                <c:pt idx="5">
                  <c:v>39.200000000000003</c:v>
                </c:pt>
                <c:pt idx="6">
                  <c:v>46</c:v>
                </c:pt>
                <c:pt idx="7">
                  <c:v>39.799999999999997</c:v>
                </c:pt>
                <c:pt idx="8">
                  <c:v>23</c:v>
                </c:pt>
                <c:pt idx="9">
                  <c:v>33.5</c:v>
                </c:pt>
              </c:numCache>
            </c:numRef>
          </c:val>
        </c:ser>
        <c:ser>
          <c:idx val="1"/>
          <c:order val="1"/>
          <c:tx>
            <c:strRef>
              <c:f>Sheet1!$C$1</c:f>
              <c:strCache>
                <c:ptCount val="1"/>
                <c:pt idx="0">
                  <c:v>Pārvade/sadale</c:v>
                </c:pt>
              </c:strCache>
            </c:strRef>
          </c:tx>
          <c:spPr>
            <a:solidFill>
              <a:schemeClr val="accent3">
                <a:lumMod val="75000"/>
              </a:schemeClr>
            </a:solidFill>
            <a:ln>
              <a:noFill/>
            </a:ln>
            <a:effectLst/>
          </c:spPr>
          <c:invertIfNegative val="0"/>
          <c:cat>
            <c:strRef>
              <c:f>Sheet1!$A$2:$A$11</c:f>
              <c:strCache>
                <c:ptCount val="10"/>
                <c:pt idx="0">
                  <c:v>Apvienotā Karaliste</c:v>
                </c:pt>
                <c:pt idx="1">
                  <c:v>Vācija</c:v>
                </c:pt>
                <c:pt idx="2">
                  <c:v>Latvija</c:v>
                </c:pt>
                <c:pt idx="3">
                  <c:v>Dānija</c:v>
                </c:pt>
                <c:pt idx="4">
                  <c:v>Lietuva</c:v>
                </c:pt>
                <c:pt idx="5">
                  <c:v>Igaunija</c:v>
                </c:pt>
                <c:pt idx="6">
                  <c:v>Polija</c:v>
                </c:pt>
                <c:pt idx="7">
                  <c:v>Somija</c:v>
                </c:pt>
                <c:pt idx="8">
                  <c:v>Norvēģija</c:v>
                </c:pt>
                <c:pt idx="9">
                  <c:v>Zviedrija</c:v>
                </c:pt>
              </c:strCache>
            </c:strRef>
          </c:cat>
          <c:val>
            <c:numRef>
              <c:f>Sheet1!$C$2:$C$11</c:f>
              <c:numCache>
                <c:formatCode>#,##0.0</c:formatCode>
                <c:ptCount val="10"/>
                <c:pt idx="0">
                  <c:v>37.700000000000003</c:v>
                </c:pt>
                <c:pt idx="1">
                  <c:v>20.5</c:v>
                </c:pt>
                <c:pt idx="2">
                  <c:v>26.2</c:v>
                </c:pt>
                <c:pt idx="3">
                  <c:v>16.7</c:v>
                </c:pt>
                <c:pt idx="4">
                  <c:v>15.5</c:v>
                </c:pt>
                <c:pt idx="5">
                  <c:v>20.8</c:v>
                </c:pt>
                <c:pt idx="6">
                  <c:v>17.5</c:v>
                </c:pt>
                <c:pt idx="7">
                  <c:v>5.9</c:v>
                </c:pt>
                <c:pt idx="8">
                  <c:v>6.9</c:v>
                </c:pt>
                <c:pt idx="9">
                  <c:v>10.6</c:v>
                </c:pt>
              </c:numCache>
            </c:numRef>
          </c:val>
        </c:ser>
        <c:ser>
          <c:idx val="2"/>
          <c:order val="2"/>
          <c:tx>
            <c:strRef>
              <c:f>Sheet1!$D$1</c:f>
              <c:strCache>
                <c:ptCount val="1"/>
                <c:pt idx="0">
                  <c:v>OIK un citi neatmaksājamie
nodokļi un nodevas</c:v>
                </c:pt>
              </c:strCache>
            </c:strRef>
          </c:tx>
          <c:spPr>
            <a:solidFill>
              <a:schemeClr val="accent2"/>
            </a:solidFill>
            <a:ln>
              <a:noFill/>
            </a:ln>
            <a:effectLst/>
          </c:spPr>
          <c:invertIfNegative val="0"/>
          <c:cat>
            <c:strRef>
              <c:f>Sheet1!$A$2:$A$11</c:f>
              <c:strCache>
                <c:ptCount val="10"/>
                <c:pt idx="0">
                  <c:v>Apvienotā Karaliste</c:v>
                </c:pt>
                <c:pt idx="1">
                  <c:v>Vācija</c:v>
                </c:pt>
                <c:pt idx="2">
                  <c:v>Latvija</c:v>
                </c:pt>
                <c:pt idx="3">
                  <c:v>Dānija</c:v>
                </c:pt>
                <c:pt idx="4">
                  <c:v>Lietuva</c:v>
                </c:pt>
                <c:pt idx="5">
                  <c:v>Igaunija</c:v>
                </c:pt>
                <c:pt idx="6">
                  <c:v>Polija</c:v>
                </c:pt>
                <c:pt idx="7">
                  <c:v>Somija</c:v>
                </c:pt>
                <c:pt idx="8">
                  <c:v>Norvēģija</c:v>
                </c:pt>
                <c:pt idx="9">
                  <c:v>Zviedrija</c:v>
                </c:pt>
              </c:strCache>
            </c:strRef>
          </c:cat>
          <c:val>
            <c:numRef>
              <c:f>Sheet1!$D$2:$D$11</c:f>
              <c:numCache>
                <c:formatCode>#,##0.0</c:formatCode>
                <c:ptCount val="10"/>
                <c:pt idx="0">
                  <c:v>3.3</c:v>
                </c:pt>
                <c:pt idx="1">
                  <c:v>48.5</c:v>
                </c:pt>
                <c:pt idx="2">
                  <c:v>26.8</c:v>
                </c:pt>
                <c:pt idx="3">
                  <c:v>16.8</c:v>
                </c:pt>
                <c:pt idx="4">
                  <c:v>30</c:v>
                </c:pt>
                <c:pt idx="5">
                  <c:v>12.8</c:v>
                </c:pt>
                <c:pt idx="6">
                  <c:v>4.7</c:v>
                </c:pt>
                <c:pt idx="7">
                  <c:v>7</c:v>
                </c:pt>
                <c:pt idx="8">
                  <c:v>15.3</c:v>
                </c:pt>
                <c:pt idx="9">
                  <c:v>0.5</c:v>
                </c:pt>
              </c:numCache>
            </c:numRef>
          </c:val>
        </c:ser>
        <c:dLbls>
          <c:showLegendKey val="0"/>
          <c:showVal val="0"/>
          <c:showCatName val="0"/>
          <c:showSerName val="0"/>
          <c:showPercent val="0"/>
          <c:showBubbleSize val="0"/>
        </c:dLbls>
        <c:gapWidth val="219"/>
        <c:overlap val="100"/>
        <c:axId val="275714968"/>
        <c:axId val="275715360"/>
      </c:barChart>
      <c:catAx>
        <c:axId val="275714968"/>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vert="horz"/>
          <a:lstStyle/>
          <a:p>
            <a:pPr>
              <a:defRPr/>
            </a:pPr>
            <a:endParaRPr lang="lv-LV"/>
          </a:p>
        </c:txPr>
        <c:crossAx val="275715360"/>
        <c:crosses val="autoZero"/>
        <c:auto val="1"/>
        <c:lblAlgn val="ctr"/>
        <c:lblOffset val="100"/>
        <c:noMultiLvlLbl val="0"/>
      </c:catAx>
      <c:valAx>
        <c:axId val="275715360"/>
        <c:scaling>
          <c:orientation val="minMax"/>
        </c:scaling>
        <c:delete val="0"/>
        <c:axPos val="l"/>
        <c:majorGridlines>
          <c:spPr>
            <a:ln w="9513"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lv-LV"/>
          </a:p>
        </c:txPr>
        <c:crossAx val="275714968"/>
        <c:crosses val="autoZero"/>
        <c:crossBetween val="between"/>
      </c:valAx>
      <c:dTable>
        <c:showHorzBorder val="1"/>
        <c:showVertBorder val="1"/>
        <c:showOutline val="1"/>
        <c:showKeys val="1"/>
        <c:spPr>
          <a:noFill/>
          <a:ln w="9513" cap="flat" cmpd="sng" algn="ctr">
            <a:solidFill>
              <a:schemeClr val="tx1">
                <a:lumMod val="15000"/>
                <a:lumOff val="85000"/>
              </a:schemeClr>
            </a:solidFill>
            <a:round/>
          </a:ln>
          <a:effectLst/>
        </c:spPr>
        <c:txPr>
          <a:bodyPr rot="0" vert="horz"/>
          <a:lstStyle/>
          <a:p>
            <a:pPr rtl="0">
              <a:defRPr sz="600"/>
            </a:pPr>
            <a:endParaRPr lang="lv-LV"/>
          </a:p>
        </c:txPr>
      </c:dTable>
      <c:spPr>
        <a:noFill/>
        <a:ln w="25367">
          <a:noFill/>
        </a:ln>
      </c:spPr>
    </c:plotArea>
    <c:plotVisOnly val="1"/>
    <c:dispBlanksAs val="gap"/>
    <c:showDLblsOverMax val="0"/>
  </c:chart>
  <c:spPr>
    <a:noFill/>
    <a:ln>
      <a:solidFill>
        <a:sysClr val="windowText" lastClr="000000">
          <a:lumMod val="15000"/>
          <a:lumOff val="85000"/>
        </a:sysClr>
      </a:solidFill>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Sheet2!$D$12</c:f>
              <c:strCache>
                <c:ptCount val="1"/>
                <c:pt idx="0">
                  <c:v>Plānotie ieņēmumi</c:v>
                </c:pt>
              </c:strCache>
            </c:strRef>
          </c:tx>
          <c:spPr>
            <a:solidFill>
              <a:schemeClr val="accent1"/>
            </a:solidFill>
            <a:ln>
              <a:noFill/>
            </a:ln>
            <a:effectLst/>
          </c:spPr>
          <c:invertIfNegative val="0"/>
          <c:dLbls>
            <c:dLbl>
              <c:idx val="0"/>
              <c:layout>
                <c:manualLayout>
                  <c:x val="0"/>
                  <c:y val="1.44665488585854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78571208203229E-17"/>
                  <c:y val="9.64436590572365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92887318114473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Sheet2!$E$11:$G$11</c:f>
              <c:strCache>
                <c:ptCount val="3"/>
                <c:pt idx="0">
                  <c:v>2014.gads</c:v>
                </c:pt>
                <c:pt idx="1">
                  <c:v>2015.gads</c:v>
                </c:pt>
                <c:pt idx="2">
                  <c:v>2016.gads*</c:v>
                </c:pt>
              </c:strCache>
            </c:strRef>
          </c:cat>
          <c:val>
            <c:numRef>
              <c:f>Sheet2!$E$12:$G$12</c:f>
              <c:numCache>
                <c:formatCode>#,##0.000</c:formatCode>
                <c:ptCount val="3"/>
                <c:pt idx="0">
                  <c:v>32.810400000000001</c:v>
                </c:pt>
                <c:pt idx="1">
                  <c:v>35.475999999999999</c:v>
                </c:pt>
                <c:pt idx="2">
                  <c:v>17.725000000000001</c:v>
                </c:pt>
              </c:numCache>
            </c:numRef>
          </c:val>
        </c:ser>
        <c:ser>
          <c:idx val="1"/>
          <c:order val="1"/>
          <c:tx>
            <c:strRef>
              <c:f>Sheet2!$D$13</c:f>
              <c:strCache>
                <c:ptCount val="1"/>
                <c:pt idx="0">
                  <c:v>Faktiskie ieņēmumi</c:v>
                </c:pt>
              </c:strCache>
            </c:strRef>
          </c:tx>
          <c:spPr>
            <a:solidFill>
              <a:schemeClr val="accent2"/>
            </a:solidFill>
            <a:ln>
              <a:noFill/>
            </a:ln>
            <a:effectLst/>
          </c:spPr>
          <c:invertIfNegative val="0"/>
          <c:dLbls>
            <c:dLbl>
              <c:idx val="0"/>
              <c:layout>
                <c:manualLayout>
                  <c:x val="0"/>
                  <c:y val="9.644365905723664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8933097717171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92887318114473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Sheet2!$E$11:$G$11</c:f>
              <c:strCache>
                <c:ptCount val="3"/>
                <c:pt idx="0">
                  <c:v>2014.gads</c:v>
                </c:pt>
                <c:pt idx="1">
                  <c:v>2015.gads</c:v>
                </c:pt>
                <c:pt idx="2">
                  <c:v>2016.gads*</c:v>
                </c:pt>
              </c:strCache>
            </c:strRef>
          </c:cat>
          <c:val>
            <c:numRef>
              <c:f>Sheet2!$E$13:$G$13</c:f>
              <c:numCache>
                <c:formatCode>#,##0.000</c:formatCode>
                <c:ptCount val="3"/>
                <c:pt idx="0">
                  <c:v>24.976500000000001</c:v>
                </c:pt>
                <c:pt idx="1">
                  <c:v>31.0303</c:v>
                </c:pt>
                <c:pt idx="2">
                  <c:v>15.587999999999999</c:v>
                </c:pt>
              </c:numCache>
            </c:numRef>
          </c:val>
        </c:ser>
        <c:dLbls>
          <c:showLegendKey val="0"/>
          <c:showVal val="0"/>
          <c:showCatName val="0"/>
          <c:showSerName val="0"/>
          <c:showPercent val="0"/>
          <c:showBubbleSize val="0"/>
        </c:dLbls>
        <c:gapWidth val="219"/>
        <c:overlap val="-27"/>
        <c:axId val="398832048"/>
        <c:axId val="398832440"/>
      </c:barChart>
      <c:catAx>
        <c:axId val="39883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98832440"/>
        <c:crosses val="autoZero"/>
        <c:auto val="1"/>
        <c:lblAlgn val="ctr"/>
        <c:lblOffset val="100"/>
        <c:noMultiLvlLbl val="0"/>
      </c:catAx>
      <c:valAx>
        <c:axId val="39883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mlj. EUR</a:t>
                </a:r>
              </a:p>
            </c:rich>
          </c:tx>
          <c:layout/>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98832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0.30542</cdr:x>
      <cdr:y>0.05351</cdr:y>
    </cdr:from>
    <cdr:to>
      <cdr:x>0.37657</cdr:x>
      <cdr:y>0.12177</cdr:y>
    </cdr:to>
    <cdr:sp macro="" textlink="">
      <cdr:nvSpPr>
        <cdr:cNvPr id="2" name="TextBox 1"/>
        <cdr:cNvSpPr txBox="1"/>
      </cdr:nvSpPr>
      <cdr:spPr>
        <a:xfrm xmlns:a="http://schemas.openxmlformats.org/drawingml/2006/main">
          <a:off x="1696602" y="196822"/>
          <a:ext cx="395237" cy="2510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139,6</a:t>
          </a:r>
        </a:p>
      </cdr:txBody>
    </cdr:sp>
  </cdr:relSizeAnchor>
  <cdr:relSizeAnchor xmlns:cdr="http://schemas.openxmlformats.org/drawingml/2006/chartDrawing">
    <cdr:from>
      <cdr:x>0.38151</cdr:x>
      <cdr:y>0.09869</cdr:y>
    </cdr:from>
    <cdr:to>
      <cdr:x>0.44122</cdr:x>
      <cdr:y>0.15461</cdr:y>
    </cdr:to>
    <cdr:sp macro="" textlink="">
      <cdr:nvSpPr>
        <cdr:cNvPr id="3" name="TextBox 2"/>
        <cdr:cNvSpPr txBox="1"/>
      </cdr:nvSpPr>
      <cdr:spPr>
        <a:xfrm xmlns:a="http://schemas.openxmlformats.org/drawingml/2006/main">
          <a:off x="2119302" y="362957"/>
          <a:ext cx="331688" cy="2056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130</a:t>
          </a:r>
        </a:p>
      </cdr:txBody>
    </cdr:sp>
  </cdr:relSizeAnchor>
  <cdr:relSizeAnchor xmlns:cdr="http://schemas.openxmlformats.org/drawingml/2006/chartDrawing">
    <cdr:from>
      <cdr:x>0.43874</cdr:x>
      <cdr:y>0.21172</cdr:y>
    </cdr:from>
    <cdr:to>
      <cdr:x>0.51078</cdr:x>
      <cdr:y>0.29005</cdr:y>
    </cdr:to>
    <cdr:sp macro="" textlink="">
      <cdr:nvSpPr>
        <cdr:cNvPr id="4" name="TextBox 3"/>
        <cdr:cNvSpPr txBox="1"/>
      </cdr:nvSpPr>
      <cdr:spPr>
        <a:xfrm xmlns:a="http://schemas.openxmlformats.org/drawingml/2006/main">
          <a:off x="2437196" y="778691"/>
          <a:ext cx="400180" cy="2880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107,2</a:t>
          </a:r>
        </a:p>
      </cdr:txBody>
    </cdr:sp>
  </cdr:relSizeAnchor>
  <cdr:relSizeAnchor xmlns:cdr="http://schemas.openxmlformats.org/drawingml/2006/chartDrawing">
    <cdr:from>
      <cdr:x>0.39156</cdr:x>
      <cdr:y>0.25242</cdr:y>
    </cdr:from>
    <cdr:to>
      <cdr:x>0.50325</cdr:x>
      <cdr:y>0.46249</cdr:y>
    </cdr:to>
    <cdr:sp macro="" textlink="">
      <cdr:nvSpPr>
        <cdr:cNvPr id="5" name="TextBox 4"/>
        <cdr:cNvSpPr txBox="1"/>
      </cdr:nvSpPr>
      <cdr:spPr>
        <a:xfrm xmlns:a="http://schemas.openxmlformats.org/drawingml/2006/main">
          <a:off x="3151909" y="108975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a:p>
      </cdr:txBody>
    </cdr:sp>
  </cdr:relSizeAnchor>
  <cdr:relSizeAnchor xmlns:cdr="http://schemas.openxmlformats.org/drawingml/2006/chartDrawing">
    <cdr:from>
      <cdr:x>0.51369</cdr:x>
      <cdr:y>0.29005</cdr:y>
    </cdr:from>
    <cdr:to>
      <cdr:x>0.57008</cdr:x>
      <cdr:y>0.35277</cdr:y>
    </cdr:to>
    <cdr:sp macro="" textlink="">
      <cdr:nvSpPr>
        <cdr:cNvPr id="6" name="TextBox 5"/>
        <cdr:cNvSpPr txBox="1"/>
      </cdr:nvSpPr>
      <cdr:spPr>
        <a:xfrm xmlns:a="http://schemas.openxmlformats.org/drawingml/2006/main">
          <a:off x="2853523" y="1066774"/>
          <a:ext cx="313245" cy="2306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90,6</a:t>
          </a:r>
        </a:p>
      </cdr:txBody>
    </cdr:sp>
  </cdr:relSizeAnchor>
  <cdr:relSizeAnchor xmlns:cdr="http://schemas.openxmlformats.org/drawingml/2006/chartDrawing">
    <cdr:from>
      <cdr:x>0.58114</cdr:x>
      <cdr:y>0.28844</cdr:y>
    </cdr:from>
    <cdr:to>
      <cdr:x>0.63191</cdr:x>
      <cdr:y>0.36199</cdr:y>
    </cdr:to>
    <cdr:sp macro="" textlink="">
      <cdr:nvSpPr>
        <cdr:cNvPr id="7" name="TextBox 6"/>
        <cdr:cNvSpPr txBox="1"/>
      </cdr:nvSpPr>
      <cdr:spPr>
        <a:xfrm xmlns:a="http://schemas.openxmlformats.org/drawingml/2006/main">
          <a:off x="3228240" y="1060869"/>
          <a:ext cx="282026" cy="270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90,3</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0.65175</cdr:x>
      <cdr:y>0.29446</cdr:y>
    </cdr:from>
    <cdr:to>
      <cdr:x>0.71431</cdr:x>
      <cdr:y>0.35794</cdr:y>
    </cdr:to>
    <cdr:sp macro="" textlink="">
      <cdr:nvSpPr>
        <cdr:cNvPr id="8" name="TextBox 7"/>
        <cdr:cNvSpPr txBox="1"/>
      </cdr:nvSpPr>
      <cdr:spPr>
        <a:xfrm xmlns:a="http://schemas.openxmlformats.org/drawingml/2006/main">
          <a:off x="3620463" y="1083000"/>
          <a:ext cx="347519" cy="233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88,8</a:t>
          </a:r>
        </a:p>
      </cdr:txBody>
    </cdr:sp>
  </cdr:relSizeAnchor>
  <cdr:relSizeAnchor xmlns:cdr="http://schemas.openxmlformats.org/drawingml/2006/chartDrawing">
    <cdr:from>
      <cdr:x>0.72147</cdr:x>
      <cdr:y>0.36671</cdr:y>
    </cdr:from>
    <cdr:to>
      <cdr:x>0.77366</cdr:x>
      <cdr:y>0.44974</cdr:y>
    </cdr:to>
    <cdr:sp macro="" textlink="">
      <cdr:nvSpPr>
        <cdr:cNvPr id="9" name="TextBox 8"/>
        <cdr:cNvSpPr txBox="1"/>
      </cdr:nvSpPr>
      <cdr:spPr>
        <a:xfrm xmlns:a="http://schemas.openxmlformats.org/drawingml/2006/main">
          <a:off x="4007747" y="1348740"/>
          <a:ext cx="289934" cy="3053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75,2</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0.79157</cdr:x>
      <cdr:y>0.40045</cdr:y>
    </cdr:from>
    <cdr:to>
      <cdr:x>0.85986</cdr:x>
      <cdr:y>0.47148</cdr:y>
    </cdr:to>
    <cdr:sp macro="" textlink="">
      <cdr:nvSpPr>
        <cdr:cNvPr id="10" name="TextBox 9"/>
        <cdr:cNvSpPr txBox="1"/>
      </cdr:nvSpPr>
      <cdr:spPr>
        <a:xfrm xmlns:a="http://schemas.openxmlformats.org/drawingml/2006/main">
          <a:off x="4397170" y="1472833"/>
          <a:ext cx="379349" cy="2612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68,1</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0.85936</cdr:x>
      <cdr:y>0.46496</cdr:y>
    </cdr:from>
    <cdr:to>
      <cdr:x>0.91772</cdr:x>
      <cdr:y>0.54909</cdr:y>
    </cdr:to>
    <cdr:sp macro="" textlink="">
      <cdr:nvSpPr>
        <cdr:cNvPr id="11" name="TextBox 10"/>
        <cdr:cNvSpPr txBox="1"/>
      </cdr:nvSpPr>
      <cdr:spPr>
        <a:xfrm xmlns:a="http://schemas.openxmlformats.org/drawingml/2006/main">
          <a:off x="4773706" y="1710099"/>
          <a:ext cx="324188" cy="3094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54,3</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0.92513</cdr:x>
      <cdr:y>0.4796</cdr:y>
    </cdr:from>
    <cdr:to>
      <cdr:x>0.98491</cdr:x>
      <cdr:y>0.55769</cdr:y>
    </cdr:to>
    <cdr:sp macro="" textlink="">
      <cdr:nvSpPr>
        <cdr:cNvPr id="12" name="TextBox 11"/>
        <cdr:cNvSpPr txBox="1"/>
      </cdr:nvSpPr>
      <cdr:spPr>
        <a:xfrm xmlns:a="http://schemas.openxmlformats.org/drawingml/2006/main">
          <a:off x="5139083" y="1763917"/>
          <a:ext cx="332077" cy="2872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51,4</a:t>
          </a:r>
          <a:endParaRPr lang="lv-LV" sz="1050"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0.20254</cdr:x>
      <cdr:y>0.06801</cdr:y>
    </cdr:from>
    <cdr:to>
      <cdr:x>0.27369</cdr:x>
      <cdr:y>0.13627</cdr:y>
    </cdr:to>
    <cdr:sp macro="" textlink="">
      <cdr:nvSpPr>
        <cdr:cNvPr id="2" name="TextBox 1"/>
        <cdr:cNvSpPr txBox="1"/>
      </cdr:nvSpPr>
      <cdr:spPr>
        <a:xfrm xmlns:a="http://schemas.openxmlformats.org/drawingml/2006/main">
          <a:off x="1125102" y="250145"/>
          <a:ext cx="395237" cy="2510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135,9</a:t>
          </a:r>
        </a:p>
      </cdr:txBody>
    </cdr:sp>
  </cdr:relSizeAnchor>
  <cdr:relSizeAnchor xmlns:cdr="http://schemas.openxmlformats.org/drawingml/2006/chartDrawing">
    <cdr:from>
      <cdr:x>0.28</cdr:x>
      <cdr:y>0.18156</cdr:y>
    </cdr:from>
    <cdr:to>
      <cdr:x>0.33971</cdr:x>
      <cdr:y>0.23748</cdr:y>
    </cdr:to>
    <cdr:sp macro="" textlink="">
      <cdr:nvSpPr>
        <cdr:cNvPr id="3" name="TextBox 2"/>
        <cdr:cNvSpPr txBox="1"/>
      </cdr:nvSpPr>
      <cdr:spPr>
        <a:xfrm xmlns:a="http://schemas.openxmlformats.org/drawingml/2006/main">
          <a:off x="1555400" y="667774"/>
          <a:ext cx="331688" cy="2056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112,4</a:t>
          </a:r>
        </a:p>
      </cdr:txBody>
    </cdr:sp>
  </cdr:relSizeAnchor>
  <cdr:relSizeAnchor xmlns:cdr="http://schemas.openxmlformats.org/drawingml/2006/chartDrawing">
    <cdr:from>
      <cdr:x>0.36741</cdr:x>
      <cdr:y>0.24694</cdr:y>
    </cdr:from>
    <cdr:to>
      <cdr:x>0.43945</cdr:x>
      <cdr:y>0.32527</cdr:y>
    </cdr:to>
    <cdr:sp macro="" textlink="">
      <cdr:nvSpPr>
        <cdr:cNvPr id="4" name="TextBox 3"/>
        <cdr:cNvSpPr txBox="1"/>
      </cdr:nvSpPr>
      <cdr:spPr>
        <a:xfrm xmlns:a="http://schemas.openxmlformats.org/drawingml/2006/main">
          <a:off x="2040952" y="908229"/>
          <a:ext cx="400181" cy="288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96,9</a:t>
          </a:r>
        </a:p>
      </cdr:txBody>
    </cdr:sp>
  </cdr:relSizeAnchor>
  <cdr:relSizeAnchor xmlns:cdr="http://schemas.openxmlformats.org/drawingml/2006/chartDrawing">
    <cdr:from>
      <cdr:x>0.39156</cdr:x>
      <cdr:y>0.25242</cdr:y>
    </cdr:from>
    <cdr:to>
      <cdr:x>0.50325</cdr:x>
      <cdr:y>0.46249</cdr:y>
    </cdr:to>
    <cdr:sp macro="" textlink="">
      <cdr:nvSpPr>
        <cdr:cNvPr id="5" name="TextBox 4"/>
        <cdr:cNvSpPr txBox="1"/>
      </cdr:nvSpPr>
      <cdr:spPr>
        <a:xfrm xmlns:a="http://schemas.openxmlformats.org/drawingml/2006/main">
          <a:off x="3151909" y="108975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a:p>
      </cdr:txBody>
    </cdr:sp>
  </cdr:relSizeAnchor>
  <cdr:relSizeAnchor xmlns:cdr="http://schemas.openxmlformats.org/drawingml/2006/chartDrawing">
    <cdr:from>
      <cdr:x>0.44099</cdr:x>
      <cdr:y>0.31491</cdr:y>
    </cdr:from>
    <cdr:to>
      <cdr:x>0.49738</cdr:x>
      <cdr:y>0.37763</cdr:y>
    </cdr:to>
    <cdr:sp macro="" textlink="">
      <cdr:nvSpPr>
        <cdr:cNvPr id="6" name="TextBox 5"/>
        <cdr:cNvSpPr txBox="1"/>
      </cdr:nvSpPr>
      <cdr:spPr>
        <a:xfrm xmlns:a="http://schemas.openxmlformats.org/drawingml/2006/main">
          <a:off x="2449678" y="1158221"/>
          <a:ext cx="313245" cy="2306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84,2</a:t>
          </a:r>
        </a:p>
      </cdr:txBody>
    </cdr:sp>
  </cdr:relSizeAnchor>
  <cdr:relSizeAnchor xmlns:cdr="http://schemas.openxmlformats.org/drawingml/2006/chartDrawing">
    <cdr:from>
      <cdr:x>0.52078</cdr:x>
      <cdr:y>0.35681</cdr:y>
    </cdr:from>
    <cdr:to>
      <cdr:x>0.57155</cdr:x>
      <cdr:y>0.43036</cdr:y>
    </cdr:to>
    <cdr:sp macro="" textlink="">
      <cdr:nvSpPr>
        <cdr:cNvPr id="7" name="TextBox 6"/>
        <cdr:cNvSpPr txBox="1"/>
      </cdr:nvSpPr>
      <cdr:spPr>
        <a:xfrm xmlns:a="http://schemas.openxmlformats.org/drawingml/2006/main">
          <a:off x="2892941" y="1312319"/>
          <a:ext cx="282026" cy="270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76,5</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0.60237</cdr:x>
      <cdr:y>0.36905</cdr:y>
    </cdr:from>
    <cdr:to>
      <cdr:x>0.66493</cdr:x>
      <cdr:y>0.43253</cdr:y>
    </cdr:to>
    <cdr:sp macro="" textlink="">
      <cdr:nvSpPr>
        <cdr:cNvPr id="8" name="TextBox 7"/>
        <cdr:cNvSpPr txBox="1"/>
      </cdr:nvSpPr>
      <cdr:spPr>
        <a:xfrm xmlns:a="http://schemas.openxmlformats.org/drawingml/2006/main">
          <a:off x="3346138" y="1357320"/>
          <a:ext cx="347520" cy="233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72,8</a:t>
          </a:r>
        </a:p>
      </cdr:txBody>
    </cdr:sp>
  </cdr:relSizeAnchor>
  <cdr:relSizeAnchor xmlns:cdr="http://schemas.openxmlformats.org/drawingml/2006/chartDrawing">
    <cdr:from>
      <cdr:x>0.68306</cdr:x>
      <cdr:y>0.3895</cdr:y>
    </cdr:from>
    <cdr:to>
      <cdr:x>0.73525</cdr:x>
      <cdr:y>0.47253</cdr:y>
    </cdr:to>
    <cdr:sp macro="" textlink="">
      <cdr:nvSpPr>
        <cdr:cNvPr id="9" name="TextBox 8"/>
        <cdr:cNvSpPr txBox="1"/>
      </cdr:nvSpPr>
      <cdr:spPr>
        <a:xfrm xmlns:a="http://schemas.openxmlformats.org/drawingml/2006/main">
          <a:off x="3794391" y="1432550"/>
          <a:ext cx="289915" cy="3053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68,2</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0.76139</cdr:x>
      <cdr:y>0.4626</cdr:y>
    </cdr:from>
    <cdr:to>
      <cdr:x>0.82968</cdr:x>
      <cdr:y>0.53363</cdr:y>
    </cdr:to>
    <cdr:sp macro="" textlink="">
      <cdr:nvSpPr>
        <cdr:cNvPr id="10" name="TextBox 9"/>
        <cdr:cNvSpPr txBox="1"/>
      </cdr:nvSpPr>
      <cdr:spPr>
        <a:xfrm xmlns:a="http://schemas.openxmlformats.org/drawingml/2006/main">
          <a:off x="4229516" y="1701423"/>
          <a:ext cx="379349" cy="2612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52,7</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0.84153</cdr:x>
      <cdr:y>0.49604</cdr:y>
    </cdr:from>
    <cdr:to>
      <cdr:x>0.89989</cdr:x>
      <cdr:y>0.58017</cdr:y>
    </cdr:to>
    <cdr:sp macro="" textlink="">
      <cdr:nvSpPr>
        <cdr:cNvPr id="11" name="TextBox 10"/>
        <cdr:cNvSpPr txBox="1"/>
      </cdr:nvSpPr>
      <cdr:spPr>
        <a:xfrm xmlns:a="http://schemas.openxmlformats.org/drawingml/2006/main">
          <a:off x="4674668" y="1824386"/>
          <a:ext cx="324188" cy="3094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smtClean="0">
              <a:latin typeface="Times New Roman" panose="02020603050405020304" pitchFamily="18" charset="0"/>
              <a:cs typeface="Times New Roman" panose="02020603050405020304" pitchFamily="18" charset="0"/>
            </a:rPr>
            <a:t>45,2</a:t>
          </a:r>
          <a:endParaRPr lang="lv-LV" sz="105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0.9169</cdr:x>
      <cdr:y>0.50032</cdr:y>
    </cdr:from>
    <cdr:to>
      <cdr:x>0.97668</cdr:x>
      <cdr:y>0.57841</cdr:y>
    </cdr:to>
    <cdr:sp macro="" textlink="">
      <cdr:nvSpPr>
        <cdr:cNvPr id="12" name="TextBox 11"/>
        <cdr:cNvSpPr txBox="1"/>
      </cdr:nvSpPr>
      <cdr:spPr>
        <a:xfrm xmlns:a="http://schemas.openxmlformats.org/drawingml/2006/main">
          <a:off x="5093359" y="1840130"/>
          <a:ext cx="332076" cy="2872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50" dirty="0">
              <a:latin typeface="Times New Roman" panose="02020603050405020304" pitchFamily="18" charset="0"/>
              <a:cs typeface="Times New Roman" panose="02020603050405020304" pitchFamily="18" charset="0"/>
            </a:rPr>
            <a:t>44,6</a:t>
          </a:r>
        </a:p>
      </cdr:txBody>
    </cdr:sp>
  </cdr:relSizeAnchor>
</c:userShapes>
</file>

<file path=word/drawings/drawing3.xml><?xml version="1.0" encoding="utf-8"?>
<c:userShapes xmlns:c="http://schemas.openxmlformats.org/drawingml/2006/chart">
  <cdr:relSizeAnchor xmlns:cdr="http://schemas.openxmlformats.org/drawingml/2006/chartDrawing">
    <cdr:from>
      <cdr:x>0.27574</cdr:x>
      <cdr:y>0.45136</cdr:y>
    </cdr:from>
    <cdr:to>
      <cdr:x>0.38141</cdr:x>
      <cdr:y>0.54187</cdr:y>
    </cdr:to>
    <cdr:sp macro="" textlink="">
      <cdr:nvSpPr>
        <cdr:cNvPr id="2" name="TextBox 1"/>
        <cdr:cNvSpPr txBox="1"/>
      </cdr:nvSpPr>
      <cdr:spPr>
        <a:xfrm xmlns:a="http://schemas.openxmlformats.org/drawingml/2006/main">
          <a:off x="1454338" y="1047286"/>
          <a:ext cx="557342" cy="2100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900">
              <a:latin typeface="Times New Roman" panose="02020603050405020304" pitchFamily="18" charset="0"/>
              <a:cs typeface="Times New Roman" panose="02020603050405020304" pitchFamily="18" charset="0"/>
            </a:rPr>
            <a:t>76,1%</a:t>
          </a:r>
        </a:p>
      </cdr:txBody>
    </cdr:sp>
  </cdr:relSizeAnchor>
  <cdr:relSizeAnchor xmlns:cdr="http://schemas.openxmlformats.org/drawingml/2006/chartDrawing">
    <cdr:from>
      <cdr:x>0.5542</cdr:x>
      <cdr:y>0.40793</cdr:y>
    </cdr:from>
    <cdr:to>
      <cdr:x>0.65302</cdr:x>
      <cdr:y>0.50246</cdr:y>
    </cdr:to>
    <cdr:sp macro="" textlink="">
      <cdr:nvSpPr>
        <cdr:cNvPr id="3" name="TextBox 1"/>
        <cdr:cNvSpPr txBox="1"/>
      </cdr:nvSpPr>
      <cdr:spPr>
        <a:xfrm xmlns:a="http://schemas.openxmlformats.org/drawingml/2006/main">
          <a:off x="2923024" y="946514"/>
          <a:ext cx="521215" cy="219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900">
              <a:latin typeface="Times New Roman" panose="02020603050405020304" pitchFamily="18" charset="0"/>
              <a:cs typeface="Times New Roman" panose="02020603050405020304" pitchFamily="18" charset="0"/>
            </a:rPr>
            <a:t>87,5</a:t>
          </a:r>
          <a:r>
            <a:rPr lang="lv-LV" sz="900"/>
            <a:t>%</a:t>
          </a:r>
        </a:p>
      </cdr:txBody>
    </cdr:sp>
  </cdr:relSizeAnchor>
  <cdr:relSizeAnchor xmlns:cdr="http://schemas.openxmlformats.org/drawingml/2006/chartDrawing">
    <cdr:from>
      <cdr:x>0.82829</cdr:x>
      <cdr:y>0.57731</cdr:y>
    </cdr:from>
    <cdr:to>
      <cdr:x>0.92608</cdr:x>
      <cdr:y>0.6601</cdr:y>
    </cdr:to>
    <cdr:sp macro="" textlink="">
      <cdr:nvSpPr>
        <cdr:cNvPr id="4" name="TextBox 1"/>
        <cdr:cNvSpPr txBox="1"/>
      </cdr:nvSpPr>
      <cdr:spPr>
        <a:xfrm xmlns:a="http://schemas.openxmlformats.org/drawingml/2006/main">
          <a:off x="4368642" y="1339517"/>
          <a:ext cx="515778" cy="1921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900">
              <a:latin typeface="Times New Roman" panose="02020603050405020304" pitchFamily="18" charset="0"/>
              <a:cs typeface="Times New Roman" panose="02020603050405020304" pitchFamily="18" charset="0"/>
            </a:rPr>
            <a:t>87,9%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8BED-3FEA-400C-9A32-D3D40B1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46466</Words>
  <Characters>26486</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72807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Iļjina</dc:creator>
  <cp:keywords/>
  <dc:description/>
  <cp:lastModifiedBy>Roberts Meijers</cp:lastModifiedBy>
  <cp:revision>9</cp:revision>
  <cp:lastPrinted>2016-08-10T09:13:00Z</cp:lastPrinted>
  <dcterms:created xsi:type="dcterms:W3CDTF">2016-08-25T06:12:00Z</dcterms:created>
  <dcterms:modified xsi:type="dcterms:W3CDTF">2016-08-25T11:38:00Z</dcterms:modified>
</cp:coreProperties>
</file>