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E2" w:rsidRDefault="00690AE2" w:rsidP="00690AE2">
      <w:pPr>
        <w:pStyle w:val="Heading1"/>
        <w:pBdr>
          <w:bottom w:val="single" w:sz="12" w:space="1" w:color="auto"/>
        </w:pBdr>
      </w:pPr>
      <w:r>
        <w:t>PROJEKTS</w:t>
      </w:r>
    </w:p>
    <w:p w:rsidR="00690AE2" w:rsidRDefault="00690AE2" w:rsidP="00690AE2">
      <w:pPr>
        <w:pStyle w:val="Heading1"/>
        <w:pBdr>
          <w:bottom w:val="single" w:sz="12" w:space="1" w:color="auto"/>
        </w:pBdr>
        <w:jc w:val="center"/>
        <w:rPr>
          <w:b/>
        </w:rPr>
      </w:pPr>
    </w:p>
    <w:p w:rsidR="00690AE2" w:rsidRDefault="00690AE2" w:rsidP="00690AE2">
      <w:pPr>
        <w:pStyle w:val="Heading1"/>
        <w:pBdr>
          <w:bottom w:val="single" w:sz="12" w:space="1" w:color="auto"/>
        </w:pBdr>
        <w:jc w:val="center"/>
        <w:rPr>
          <w:b/>
        </w:rPr>
      </w:pPr>
      <w:r>
        <w:rPr>
          <w:b/>
        </w:rPr>
        <w:t>LATVIJAS  REPUBLIKAS  MINISTRU KABINETA</w:t>
      </w:r>
    </w:p>
    <w:p w:rsidR="00690AE2" w:rsidRDefault="00690AE2" w:rsidP="00690AE2">
      <w:pPr>
        <w:pStyle w:val="Heading1"/>
        <w:pBdr>
          <w:bottom w:val="single" w:sz="12" w:space="1" w:color="auto"/>
        </w:pBdr>
        <w:jc w:val="center"/>
        <w:rPr>
          <w:b/>
        </w:rPr>
      </w:pPr>
      <w:r>
        <w:rPr>
          <w:b/>
        </w:rPr>
        <w:t>SĒDES PROTOKOLLĒMUMS</w:t>
      </w:r>
    </w:p>
    <w:p w:rsidR="00690AE2" w:rsidRDefault="00690AE2" w:rsidP="00690AE2">
      <w:pPr>
        <w:tabs>
          <w:tab w:val="left" w:pos="6804"/>
        </w:tabs>
        <w:jc w:val="both"/>
        <w:rPr>
          <w:sz w:val="28"/>
        </w:rPr>
      </w:pPr>
    </w:p>
    <w:tbl>
      <w:tblPr>
        <w:tblW w:w="0" w:type="auto"/>
        <w:tblLook w:val="01E0" w:firstRow="1" w:lastRow="1" w:firstColumn="1" w:lastColumn="1" w:noHBand="0" w:noVBand="0"/>
      </w:tblPr>
      <w:tblGrid>
        <w:gridCol w:w="3002"/>
        <w:gridCol w:w="1529"/>
        <w:gridCol w:w="4540"/>
      </w:tblGrid>
      <w:tr w:rsidR="00690AE2" w:rsidRPr="00A64ECA" w:rsidTr="00690AE2">
        <w:tc>
          <w:tcPr>
            <w:tcW w:w="3095" w:type="dxa"/>
          </w:tcPr>
          <w:p w:rsidR="00690AE2" w:rsidRPr="00A64ECA" w:rsidRDefault="00690AE2" w:rsidP="00690AE2">
            <w:pPr>
              <w:tabs>
                <w:tab w:val="left" w:pos="6804"/>
              </w:tabs>
              <w:jc w:val="both"/>
              <w:rPr>
                <w:sz w:val="28"/>
              </w:rPr>
            </w:pPr>
            <w:r w:rsidRPr="00A64ECA">
              <w:rPr>
                <w:sz w:val="28"/>
              </w:rPr>
              <w:t>Rīgā</w:t>
            </w:r>
          </w:p>
        </w:tc>
        <w:tc>
          <w:tcPr>
            <w:tcW w:w="1549" w:type="dxa"/>
          </w:tcPr>
          <w:p w:rsidR="00690AE2" w:rsidRPr="00A64ECA" w:rsidRDefault="00690AE2" w:rsidP="00690AE2">
            <w:pPr>
              <w:tabs>
                <w:tab w:val="left" w:pos="6804"/>
              </w:tabs>
              <w:ind w:left="449"/>
              <w:jc w:val="center"/>
              <w:rPr>
                <w:sz w:val="28"/>
              </w:rPr>
            </w:pPr>
            <w:r w:rsidRPr="00A64ECA">
              <w:rPr>
                <w:sz w:val="28"/>
              </w:rPr>
              <w:t>Nr.</w:t>
            </w:r>
          </w:p>
        </w:tc>
        <w:tc>
          <w:tcPr>
            <w:tcW w:w="4643" w:type="dxa"/>
          </w:tcPr>
          <w:p w:rsidR="00690AE2" w:rsidRPr="00A64ECA" w:rsidRDefault="00690AE2" w:rsidP="00474442">
            <w:pPr>
              <w:tabs>
                <w:tab w:val="left" w:pos="6804"/>
              </w:tabs>
              <w:jc w:val="right"/>
              <w:rPr>
                <w:sz w:val="28"/>
              </w:rPr>
            </w:pPr>
            <w:r w:rsidRPr="00A64ECA">
              <w:rPr>
                <w:sz w:val="28"/>
              </w:rPr>
              <w:t>20</w:t>
            </w:r>
            <w:r w:rsidR="00096512">
              <w:rPr>
                <w:sz w:val="28"/>
              </w:rPr>
              <w:t>16</w:t>
            </w:r>
            <w:r w:rsidRPr="00A64ECA">
              <w:rPr>
                <w:sz w:val="28"/>
              </w:rPr>
              <w:t>.gada</w:t>
            </w:r>
            <w:r w:rsidR="004C2348">
              <w:rPr>
                <w:sz w:val="28"/>
              </w:rPr>
              <w:t xml:space="preserve"> _____________</w:t>
            </w:r>
          </w:p>
        </w:tc>
      </w:tr>
      <w:tr w:rsidR="00690AE2" w:rsidRPr="00A64ECA" w:rsidTr="00690AE2">
        <w:tc>
          <w:tcPr>
            <w:tcW w:w="3095" w:type="dxa"/>
          </w:tcPr>
          <w:p w:rsidR="00690AE2" w:rsidRPr="00A64ECA" w:rsidRDefault="00690AE2" w:rsidP="00690AE2">
            <w:pPr>
              <w:tabs>
                <w:tab w:val="left" w:pos="6804"/>
              </w:tabs>
              <w:jc w:val="both"/>
              <w:rPr>
                <w:sz w:val="28"/>
              </w:rPr>
            </w:pPr>
          </w:p>
        </w:tc>
        <w:tc>
          <w:tcPr>
            <w:tcW w:w="1549" w:type="dxa"/>
          </w:tcPr>
          <w:p w:rsidR="00690AE2" w:rsidRPr="00A64ECA" w:rsidRDefault="00690AE2" w:rsidP="00690AE2">
            <w:pPr>
              <w:tabs>
                <w:tab w:val="left" w:pos="6804"/>
              </w:tabs>
              <w:jc w:val="both"/>
              <w:rPr>
                <w:sz w:val="28"/>
              </w:rPr>
            </w:pPr>
          </w:p>
        </w:tc>
        <w:tc>
          <w:tcPr>
            <w:tcW w:w="4643" w:type="dxa"/>
          </w:tcPr>
          <w:p w:rsidR="00690AE2" w:rsidRPr="00A64ECA" w:rsidRDefault="00690AE2" w:rsidP="00690AE2">
            <w:pPr>
              <w:tabs>
                <w:tab w:val="left" w:pos="6804"/>
              </w:tabs>
              <w:jc w:val="both"/>
              <w:rPr>
                <w:sz w:val="28"/>
              </w:rPr>
            </w:pPr>
          </w:p>
        </w:tc>
      </w:tr>
    </w:tbl>
    <w:p w:rsidR="00690AE2" w:rsidRDefault="00690AE2" w:rsidP="00690AE2">
      <w:pPr>
        <w:tabs>
          <w:tab w:val="left" w:pos="6804"/>
        </w:tabs>
        <w:jc w:val="both"/>
        <w:rPr>
          <w:sz w:val="28"/>
        </w:rPr>
      </w:pPr>
    </w:p>
    <w:p w:rsidR="00690AE2" w:rsidRDefault="00690AE2" w:rsidP="00690AE2">
      <w:pPr>
        <w:tabs>
          <w:tab w:val="left" w:pos="3544"/>
          <w:tab w:val="left" w:pos="3828"/>
        </w:tabs>
        <w:ind w:left="3828"/>
        <w:rPr>
          <w:sz w:val="28"/>
        </w:rPr>
      </w:pPr>
      <w:r>
        <w:rPr>
          <w:sz w:val="28"/>
        </w:rPr>
        <w:t>__ .§</w:t>
      </w:r>
    </w:p>
    <w:p w:rsidR="00690AE2" w:rsidRPr="007977AB" w:rsidRDefault="00690AE2" w:rsidP="00690AE2">
      <w:pPr>
        <w:jc w:val="both"/>
        <w:rPr>
          <w:sz w:val="28"/>
          <w:szCs w:val="28"/>
        </w:rPr>
      </w:pPr>
    </w:p>
    <w:p w:rsidR="00A84042" w:rsidRPr="00096512" w:rsidRDefault="00096512" w:rsidP="00A84042">
      <w:pPr>
        <w:ind w:left="85" w:right="85"/>
        <w:jc w:val="center"/>
        <w:rPr>
          <w:sz w:val="28"/>
          <w:szCs w:val="28"/>
        </w:rPr>
      </w:pPr>
      <w:bookmarkStart w:id="0" w:name="OLE_LINK3"/>
      <w:bookmarkStart w:id="1" w:name="OLE_LINK4"/>
      <w:r w:rsidRPr="00096512">
        <w:rPr>
          <w:sz w:val="28"/>
          <w:szCs w:val="28"/>
        </w:rPr>
        <w:t xml:space="preserve">Informatīvais ziņojums par Ministru kabineta 2015.gada 20.oktobra sēdes </w:t>
      </w:r>
      <w:proofErr w:type="spellStart"/>
      <w:r w:rsidRPr="00096512">
        <w:rPr>
          <w:sz w:val="28"/>
          <w:szCs w:val="28"/>
        </w:rPr>
        <w:t>protokollēmumā</w:t>
      </w:r>
      <w:proofErr w:type="spellEnd"/>
      <w:r w:rsidRPr="00096512">
        <w:rPr>
          <w:sz w:val="28"/>
          <w:szCs w:val="28"/>
        </w:rPr>
        <w:t xml:space="preserve"> “</w:t>
      </w:r>
      <w:proofErr w:type="spellStart"/>
      <w:r w:rsidRPr="00096512">
        <w:rPr>
          <w:sz w:val="28"/>
          <w:szCs w:val="28"/>
        </w:rPr>
        <w:t>Protokollēmuma</w:t>
      </w:r>
      <w:proofErr w:type="spellEnd"/>
      <w:r w:rsidRPr="00096512">
        <w:rPr>
          <w:sz w:val="28"/>
          <w:szCs w:val="28"/>
        </w:rPr>
        <w:t xml:space="preserve"> projekts “Par Valsts kontroles revīzijas lietā Nr.5.1-2-17/2012 konstatēto problēmu novēršanu”” dotā uzdevuma izpildi</w:t>
      </w:r>
    </w:p>
    <w:bookmarkEnd w:id="0"/>
    <w:bookmarkEnd w:id="1"/>
    <w:p w:rsidR="00690AE2" w:rsidRPr="00075A2B" w:rsidRDefault="00690AE2" w:rsidP="00690AE2">
      <w:pPr>
        <w:pStyle w:val="Title"/>
        <w:ind w:left="6663"/>
        <w:jc w:val="both"/>
        <w:rPr>
          <w:b w:val="0"/>
          <w:sz w:val="28"/>
          <w:szCs w:val="28"/>
        </w:rPr>
      </w:pPr>
    </w:p>
    <w:p w:rsidR="00A84042" w:rsidRDefault="00A84042" w:rsidP="00A84042">
      <w:pPr>
        <w:numPr>
          <w:ilvl w:val="0"/>
          <w:numId w:val="1"/>
        </w:numPr>
        <w:tabs>
          <w:tab w:val="left" w:pos="709"/>
        </w:tabs>
        <w:spacing w:before="80"/>
        <w:jc w:val="both"/>
        <w:rPr>
          <w:sz w:val="28"/>
          <w:szCs w:val="28"/>
        </w:rPr>
      </w:pPr>
      <w:r w:rsidRPr="00753ADB">
        <w:rPr>
          <w:sz w:val="28"/>
          <w:szCs w:val="28"/>
        </w:rPr>
        <w:t>Pieņemt zināšanai iesniegto informatīvo ziņojumu.</w:t>
      </w:r>
      <w:r w:rsidRPr="007231E4">
        <w:rPr>
          <w:sz w:val="28"/>
          <w:szCs w:val="28"/>
        </w:rPr>
        <w:t xml:space="preserve"> </w:t>
      </w:r>
    </w:p>
    <w:p w:rsidR="00096512" w:rsidRDefault="00096512" w:rsidP="004C60CE">
      <w:pPr>
        <w:numPr>
          <w:ilvl w:val="0"/>
          <w:numId w:val="1"/>
        </w:numPr>
        <w:tabs>
          <w:tab w:val="left" w:pos="709"/>
        </w:tabs>
        <w:spacing w:before="80"/>
        <w:jc w:val="both"/>
        <w:rPr>
          <w:sz w:val="28"/>
          <w:szCs w:val="28"/>
        </w:rPr>
      </w:pPr>
      <w:r>
        <w:rPr>
          <w:sz w:val="28"/>
          <w:szCs w:val="28"/>
        </w:rPr>
        <w:t xml:space="preserve">Ekonomikas ministrijai izstrādāt grozījumus </w:t>
      </w:r>
      <w:r w:rsidR="004C60CE" w:rsidRPr="004C60CE">
        <w:rPr>
          <w:sz w:val="28"/>
          <w:szCs w:val="28"/>
        </w:rPr>
        <w:t xml:space="preserve">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004C60CE" w:rsidRPr="004C60CE">
        <w:rPr>
          <w:sz w:val="28"/>
          <w:szCs w:val="28"/>
        </w:rPr>
        <w:t>pārreģistrāciju</w:t>
      </w:r>
      <w:proofErr w:type="spellEnd"/>
      <w:r w:rsidR="004C60CE" w:rsidRPr="004C60CE">
        <w:rPr>
          <w:sz w:val="28"/>
          <w:szCs w:val="28"/>
        </w:rPr>
        <w:t>, kā arī pra</w:t>
      </w:r>
      <w:r w:rsidR="004C60CE" w:rsidRPr="004C60CE">
        <w:rPr>
          <w:sz w:val="28"/>
          <w:szCs w:val="28"/>
        </w:rPr>
        <w:lastRenderedPageBreak/>
        <w:t>sībām kapitālsabiedrībai speciālās atļaujas (licences) saņemšanai”</w:t>
      </w:r>
      <w:r w:rsidR="00985C2A">
        <w:rPr>
          <w:sz w:val="28"/>
          <w:szCs w:val="28"/>
        </w:rPr>
        <w:t xml:space="preserve"> līdz 2017.gada 1.decembrim, paredzot, ka Patērētāju tiesību aizsardzības centram ir tiesības atteikt </w:t>
      </w:r>
      <w:r w:rsidR="00111451" w:rsidRPr="00111451">
        <w:rPr>
          <w:sz w:val="28"/>
          <w:szCs w:val="28"/>
        </w:rPr>
        <w:t>speciālo atļauju (licenci) patērētāju kreditēšanas pakalpojumu sniegšanai</w:t>
      </w:r>
      <w:r w:rsidR="00111451">
        <w:rPr>
          <w:sz w:val="28"/>
          <w:szCs w:val="28"/>
        </w:rPr>
        <w:t xml:space="preserve"> pret ķīlu, ja Nekustamā īpašuma valsts kadastra sistēmā reģistrētais būves vai telpu</w:t>
      </w:r>
      <w:r w:rsidR="00AC1042">
        <w:rPr>
          <w:sz w:val="28"/>
          <w:szCs w:val="28"/>
        </w:rPr>
        <w:t xml:space="preserve"> grupas</w:t>
      </w:r>
      <w:r w:rsidR="00111451">
        <w:rPr>
          <w:sz w:val="28"/>
          <w:szCs w:val="28"/>
        </w:rPr>
        <w:t xml:space="preserve"> lietošanas veids neatbil</w:t>
      </w:r>
      <w:r w:rsidR="000D2327">
        <w:rPr>
          <w:sz w:val="28"/>
          <w:szCs w:val="28"/>
        </w:rPr>
        <w:t>st</w:t>
      </w:r>
      <w:r w:rsidR="00111451">
        <w:rPr>
          <w:sz w:val="28"/>
          <w:szCs w:val="28"/>
        </w:rPr>
        <w:t xml:space="preserve"> veicamajai darbībai.</w:t>
      </w:r>
    </w:p>
    <w:p w:rsidR="00690AE2" w:rsidRDefault="00690AE2" w:rsidP="00690AE2">
      <w:pPr>
        <w:tabs>
          <w:tab w:val="left" w:pos="709"/>
        </w:tabs>
        <w:spacing w:before="80"/>
        <w:ind w:left="714"/>
        <w:jc w:val="both"/>
        <w:rPr>
          <w:sz w:val="28"/>
          <w:szCs w:val="28"/>
        </w:rPr>
      </w:pPr>
    </w:p>
    <w:p w:rsidR="00FD7D88" w:rsidRDefault="00FD7D88" w:rsidP="00690AE2">
      <w:pPr>
        <w:tabs>
          <w:tab w:val="left" w:pos="709"/>
        </w:tabs>
        <w:spacing w:before="80"/>
        <w:ind w:left="714"/>
        <w:jc w:val="both"/>
        <w:rPr>
          <w:sz w:val="28"/>
          <w:szCs w:val="28"/>
        </w:rPr>
      </w:pPr>
    </w:p>
    <w:tbl>
      <w:tblPr>
        <w:tblW w:w="0" w:type="auto"/>
        <w:tblLook w:val="04A0" w:firstRow="1" w:lastRow="0" w:firstColumn="1" w:lastColumn="0" w:noHBand="0" w:noVBand="1"/>
      </w:tblPr>
      <w:tblGrid>
        <w:gridCol w:w="4534"/>
        <w:gridCol w:w="4537"/>
      </w:tblGrid>
      <w:tr w:rsidR="00690AE2" w:rsidRPr="00060463" w:rsidTr="00474442">
        <w:tc>
          <w:tcPr>
            <w:tcW w:w="4534" w:type="dxa"/>
          </w:tcPr>
          <w:p w:rsidR="00690AE2" w:rsidRPr="00FF5F46" w:rsidRDefault="00690AE2" w:rsidP="00690AE2">
            <w:pPr>
              <w:jc w:val="both"/>
              <w:rPr>
                <w:sz w:val="28"/>
              </w:rPr>
            </w:pPr>
            <w:r w:rsidRPr="00FF5F46">
              <w:rPr>
                <w:sz w:val="28"/>
              </w:rPr>
              <w:t>Ministru prezident</w:t>
            </w:r>
            <w:r w:rsidR="00860261">
              <w:rPr>
                <w:sz w:val="28"/>
              </w:rPr>
              <w:t>s</w:t>
            </w:r>
          </w:p>
          <w:p w:rsidR="00690AE2" w:rsidRPr="00FF5F46" w:rsidRDefault="00690AE2" w:rsidP="00690AE2">
            <w:pPr>
              <w:jc w:val="both"/>
              <w:rPr>
                <w:sz w:val="28"/>
              </w:rPr>
            </w:pPr>
          </w:p>
        </w:tc>
        <w:tc>
          <w:tcPr>
            <w:tcW w:w="4537" w:type="dxa"/>
          </w:tcPr>
          <w:p w:rsidR="00690AE2" w:rsidRPr="00FF5F46" w:rsidRDefault="00860261" w:rsidP="00690AE2">
            <w:pPr>
              <w:jc w:val="right"/>
              <w:rPr>
                <w:sz w:val="28"/>
              </w:rPr>
            </w:pPr>
            <w:proofErr w:type="spellStart"/>
            <w:r>
              <w:rPr>
                <w:sz w:val="28"/>
              </w:rPr>
              <w:t>M.Kučinskis</w:t>
            </w:r>
            <w:proofErr w:type="spellEnd"/>
          </w:p>
        </w:tc>
      </w:tr>
      <w:tr w:rsidR="00690AE2" w:rsidRPr="00060463" w:rsidTr="00474442">
        <w:tc>
          <w:tcPr>
            <w:tcW w:w="4534" w:type="dxa"/>
          </w:tcPr>
          <w:p w:rsidR="00690AE2" w:rsidRPr="00FF5F46" w:rsidRDefault="00860261" w:rsidP="00690AE2">
            <w:pPr>
              <w:jc w:val="both"/>
              <w:rPr>
                <w:sz w:val="28"/>
              </w:rPr>
            </w:pPr>
            <w:r>
              <w:rPr>
                <w:sz w:val="28"/>
              </w:rPr>
              <w:t>Valsts kancelejas direktors</w:t>
            </w:r>
          </w:p>
        </w:tc>
        <w:tc>
          <w:tcPr>
            <w:tcW w:w="4537" w:type="dxa"/>
          </w:tcPr>
          <w:p w:rsidR="00690AE2" w:rsidRPr="00FF5F46" w:rsidRDefault="00860261" w:rsidP="00690AE2">
            <w:pPr>
              <w:jc w:val="right"/>
              <w:rPr>
                <w:sz w:val="28"/>
              </w:rPr>
            </w:pPr>
            <w:proofErr w:type="spellStart"/>
            <w:r>
              <w:rPr>
                <w:sz w:val="28"/>
              </w:rPr>
              <w:t>M.Krieviņš</w:t>
            </w:r>
            <w:proofErr w:type="spellEnd"/>
          </w:p>
        </w:tc>
      </w:tr>
      <w:tr w:rsidR="00690AE2" w:rsidRPr="007E288F" w:rsidTr="00474442">
        <w:tc>
          <w:tcPr>
            <w:tcW w:w="4534" w:type="dxa"/>
          </w:tcPr>
          <w:p w:rsidR="00690AE2" w:rsidRPr="007E288F" w:rsidRDefault="00690AE2" w:rsidP="00690AE2">
            <w:pPr>
              <w:jc w:val="both"/>
              <w:rPr>
                <w:sz w:val="28"/>
                <w:szCs w:val="28"/>
              </w:rPr>
            </w:pPr>
          </w:p>
          <w:p w:rsidR="00690AE2" w:rsidRPr="007E288F" w:rsidRDefault="00690AE2" w:rsidP="00690AE2">
            <w:pPr>
              <w:jc w:val="both"/>
              <w:rPr>
                <w:sz w:val="28"/>
                <w:szCs w:val="28"/>
              </w:rPr>
            </w:pPr>
          </w:p>
          <w:p w:rsidR="00690AE2" w:rsidRPr="007E288F" w:rsidRDefault="00690AE2" w:rsidP="00690AE2">
            <w:pPr>
              <w:jc w:val="both"/>
              <w:rPr>
                <w:sz w:val="28"/>
                <w:szCs w:val="28"/>
              </w:rPr>
            </w:pPr>
            <w:r w:rsidRPr="007E288F">
              <w:rPr>
                <w:sz w:val="28"/>
                <w:szCs w:val="28"/>
              </w:rPr>
              <w:t>Iesniedzējs:</w:t>
            </w:r>
          </w:p>
        </w:tc>
        <w:tc>
          <w:tcPr>
            <w:tcW w:w="4537" w:type="dxa"/>
          </w:tcPr>
          <w:p w:rsidR="00690AE2" w:rsidRPr="007E288F" w:rsidRDefault="00690AE2" w:rsidP="00690AE2">
            <w:pPr>
              <w:jc w:val="right"/>
              <w:rPr>
                <w:sz w:val="28"/>
                <w:szCs w:val="28"/>
              </w:rPr>
            </w:pPr>
          </w:p>
        </w:tc>
      </w:tr>
      <w:tr w:rsidR="00690AE2" w:rsidRPr="007E288F" w:rsidTr="00474442">
        <w:trPr>
          <w:trHeight w:val="758"/>
        </w:trPr>
        <w:tc>
          <w:tcPr>
            <w:tcW w:w="4534" w:type="dxa"/>
          </w:tcPr>
          <w:p w:rsidR="00690AE2" w:rsidRPr="007E288F" w:rsidRDefault="00474442" w:rsidP="00474442">
            <w:pPr>
              <w:spacing w:before="120"/>
              <w:rPr>
                <w:sz w:val="28"/>
                <w:szCs w:val="28"/>
              </w:rPr>
            </w:pPr>
            <w:r w:rsidRPr="00474442">
              <w:rPr>
                <w:bCs/>
                <w:sz w:val="28"/>
                <w:szCs w:val="28"/>
              </w:rPr>
              <w:t>Ministru prezidenta biedrs,</w:t>
            </w:r>
            <w:r>
              <w:rPr>
                <w:bCs/>
                <w:sz w:val="28"/>
                <w:szCs w:val="28"/>
              </w:rPr>
              <w:t xml:space="preserve"> e</w:t>
            </w:r>
            <w:r w:rsidR="00690AE2" w:rsidRPr="007E288F">
              <w:rPr>
                <w:sz w:val="28"/>
                <w:szCs w:val="28"/>
              </w:rPr>
              <w:t>konomikas ministr</w:t>
            </w:r>
            <w:r w:rsidR="00096512">
              <w:rPr>
                <w:sz w:val="28"/>
                <w:szCs w:val="28"/>
              </w:rPr>
              <w:t>s</w:t>
            </w:r>
          </w:p>
        </w:tc>
        <w:tc>
          <w:tcPr>
            <w:tcW w:w="4537" w:type="dxa"/>
          </w:tcPr>
          <w:p w:rsidR="00474442" w:rsidRDefault="00474442" w:rsidP="00690AE2">
            <w:pPr>
              <w:jc w:val="right"/>
              <w:rPr>
                <w:sz w:val="28"/>
                <w:szCs w:val="28"/>
              </w:rPr>
            </w:pPr>
          </w:p>
          <w:p w:rsidR="00690AE2" w:rsidRPr="007E288F" w:rsidRDefault="00096512" w:rsidP="00690AE2">
            <w:pPr>
              <w:jc w:val="right"/>
              <w:rPr>
                <w:sz w:val="28"/>
                <w:szCs w:val="28"/>
              </w:rPr>
            </w:pPr>
            <w:proofErr w:type="spellStart"/>
            <w:r>
              <w:rPr>
                <w:sz w:val="28"/>
                <w:szCs w:val="28"/>
              </w:rPr>
              <w:t>A.Ašeradens</w:t>
            </w:r>
            <w:proofErr w:type="spellEnd"/>
          </w:p>
          <w:p w:rsidR="00690AE2" w:rsidRPr="007E288F" w:rsidRDefault="00690AE2" w:rsidP="00690AE2">
            <w:pPr>
              <w:spacing w:after="120"/>
              <w:jc w:val="right"/>
              <w:rPr>
                <w:sz w:val="28"/>
                <w:szCs w:val="28"/>
              </w:rPr>
            </w:pPr>
          </w:p>
        </w:tc>
      </w:tr>
    </w:tbl>
    <w:p w:rsidR="00C60B16" w:rsidRDefault="00C60B16" w:rsidP="00860261">
      <w:pPr>
        <w:tabs>
          <w:tab w:val="left" w:pos="1035"/>
        </w:tabs>
      </w:pPr>
    </w:p>
    <w:p w:rsidR="00714D62" w:rsidRDefault="00714D62" w:rsidP="00860261">
      <w:pPr>
        <w:tabs>
          <w:tab w:val="left" w:pos="1035"/>
        </w:tabs>
      </w:pPr>
      <w:r>
        <w:t>04.08.2016.</w:t>
      </w:r>
    </w:p>
    <w:p w:rsidR="00714D62" w:rsidRDefault="00714D62" w:rsidP="00860261">
      <w:pPr>
        <w:tabs>
          <w:tab w:val="left" w:pos="1035"/>
        </w:tabs>
      </w:pPr>
      <w:fldSimple w:instr=" NUMWORDS   \* MERGEFORMAT ">
        <w:r w:rsidR="00247FC6">
          <w:rPr>
            <w:noProof/>
          </w:rPr>
          <w:t>144</w:t>
        </w:r>
      </w:fldSimple>
      <w:bookmarkStart w:id="2" w:name="_GoBack"/>
      <w:bookmarkEnd w:id="2"/>
    </w:p>
    <w:p w:rsidR="00714D62" w:rsidRDefault="00714D62" w:rsidP="00860261">
      <w:pPr>
        <w:tabs>
          <w:tab w:val="left" w:pos="1035"/>
        </w:tabs>
      </w:pPr>
      <w:r w:rsidRPr="00714D62">
        <w:t>Ločmele, 67013107</w:t>
      </w:r>
      <w:r>
        <w:t>,</w:t>
      </w:r>
    </w:p>
    <w:p w:rsidR="00714D62" w:rsidRPr="00860261" w:rsidRDefault="00714D62" w:rsidP="00860261">
      <w:pPr>
        <w:tabs>
          <w:tab w:val="left" w:pos="1035"/>
        </w:tabs>
      </w:pPr>
      <w:hyperlink r:id="rId7" w:history="1">
        <w:r w:rsidRPr="00714D62">
          <w:rPr>
            <w:rStyle w:val="Hyperlink"/>
          </w:rPr>
          <w:t>Dana.Locmele@em.gov.lv</w:t>
        </w:r>
      </w:hyperlink>
    </w:p>
    <w:sectPr w:rsidR="00714D62" w:rsidRPr="00860261" w:rsidSect="002E6BB1">
      <w:footerReference w:type="default" r:id="rId8"/>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60" w:rsidRDefault="005E4C60" w:rsidP="00953C7B">
      <w:r>
        <w:separator/>
      </w:r>
    </w:p>
  </w:endnote>
  <w:endnote w:type="continuationSeparator" w:id="0">
    <w:p w:rsidR="005E4C60" w:rsidRDefault="005E4C60" w:rsidP="0095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42" w:rsidRDefault="00474442">
    <w:pPr>
      <w:pStyle w:val="Footer"/>
    </w:pPr>
    <w:r>
      <w:t xml:space="preserve">EMprot_040816; Ministru kabineta sēdes </w:t>
    </w:r>
    <w:proofErr w:type="spellStart"/>
    <w:r>
      <w:t>protokollēmuma</w:t>
    </w:r>
    <w:proofErr w:type="spellEnd"/>
    <w: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60" w:rsidRDefault="005E4C60" w:rsidP="00953C7B">
      <w:r>
        <w:separator/>
      </w:r>
    </w:p>
  </w:footnote>
  <w:footnote w:type="continuationSeparator" w:id="0">
    <w:p w:rsidR="005E4C60" w:rsidRDefault="005E4C60" w:rsidP="00953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16C1"/>
    <w:multiLevelType w:val="hybridMultilevel"/>
    <w:tmpl w:val="0838C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E2"/>
    <w:rsid w:val="00043876"/>
    <w:rsid w:val="0005486E"/>
    <w:rsid w:val="00096512"/>
    <w:rsid w:val="000D2327"/>
    <w:rsid w:val="00111451"/>
    <w:rsid w:val="00247FC6"/>
    <w:rsid w:val="00274BED"/>
    <w:rsid w:val="002E6BB1"/>
    <w:rsid w:val="0030239D"/>
    <w:rsid w:val="003E6323"/>
    <w:rsid w:val="0046166F"/>
    <w:rsid w:val="00474442"/>
    <w:rsid w:val="004C2348"/>
    <w:rsid w:val="004C60CE"/>
    <w:rsid w:val="005E4C60"/>
    <w:rsid w:val="00690AE2"/>
    <w:rsid w:val="006A1FA5"/>
    <w:rsid w:val="006D66EA"/>
    <w:rsid w:val="00714D62"/>
    <w:rsid w:val="007231E4"/>
    <w:rsid w:val="00776A2A"/>
    <w:rsid w:val="007E288F"/>
    <w:rsid w:val="00853155"/>
    <w:rsid w:val="00860261"/>
    <w:rsid w:val="008C3D56"/>
    <w:rsid w:val="00953C7B"/>
    <w:rsid w:val="00985C2A"/>
    <w:rsid w:val="00A7183B"/>
    <w:rsid w:val="00A84042"/>
    <w:rsid w:val="00AC1042"/>
    <w:rsid w:val="00B14EA6"/>
    <w:rsid w:val="00B40621"/>
    <w:rsid w:val="00BA46D5"/>
    <w:rsid w:val="00BF507A"/>
    <w:rsid w:val="00C54FD5"/>
    <w:rsid w:val="00C60B16"/>
    <w:rsid w:val="00CF2606"/>
    <w:rsid w:val="00E041F0"/>
    <w:rsid w:val="00EE3E91"/>
    <w:rsid w:val="00F26246"/>
    <w:rsid w:val="00F7512F"/>
    <w:rsid w:val="00FD7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10C13-04A2-4792-BBA0-AB418411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E2"/>
    <w:rPr>
      <w:rFonts w:eastAsia="Times New Roman"/>
    </w:rPr>
  </w:style>
  <w:style w:type="paragraph" w:styleId="Heading1">
    <w:name w:val="heading 1"/>
    <w:basedOn w:val="Normal"/>
    <w:next w:val="Normal"/>
    <w:link w:val="Heading1Char"/>
    <w:qFormat/>
    <w:rsid w:val="00690AE2"/>
    <w:pPr>
      <w:keepNext/>
      <w:jc w:val="right"/>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0AE2"/>
    <w:rPr>
      <w:rFonts w:eastAsia="Times New Roman" w:cs="Times New Roman"/>
      <w:szCs w:val="20"/>
      <w:lang w:eastAsia="lv-LV"/>
    </w:rPr>
  </w:style>
  <w:style w:type="paragraph" w:styleId="Title">
    <w:name w:val="Title"/>
    <w:basedOn w:val="Normal"/>
    <w:link w:val="TitleChar"/>
    <w:qFormat/>
    <w:rsid w:val="00690AE2"/>
    <w:pPr>
      <w:jc w:val="center"/>
    </w:pPr>
    <w:rPr>
      <w:b/>
      <w:sz w:val="32"/>
    </w:rPr>
  </w:style>
  <w:style w:type="character" w:customStyle="1" w:styleId="TitleChar">
    <w:name w:val="Title Char"/>
    <w:link w:val="Title"/>
    <w:rsid w:val="00690AE2"/>
    <w:rPr>
      <w:rFonts w:eastAsia="Times New Roman" w:cs="Times New Roman"/>
      <w:b/>
      <w:sz w:val="32"/>
      <w:szCs w:val="20"/>
      <w:lang w:eastAsia="lv-LV"/>
    </w:rPr>
  </w:style>
  <w:style w:type="paragraph" w:styleId="Header">
    <w:name w:val="header"/>
    <w:basedOn w:val="Normal"/>
    <w:link w:val="HeaderChar"/>
    <w:unhideWhenUsed/>
    <w:rsid w:val="00953C7B"/>
    <w:pPr>
      <w:tabs>
        <w:tab w:val="center" w:pos="4153"/>
        <w:tab w:val="right" w:pos="8306"/>
      </w:tabs>
    </w:pPr>
  </w:style>
  <w:style w:type="character" w:customStyle="1" w:styleId="HeaderChar">
    <w:name w:val="Header Char"/>
    <w:link w:val="Header"/>
    <w:uiPriority w:val="99"/>
    <w:rsid w:val="00953C7B"/>
    <w:rPr>
      <w:rFonts w:eastAsia="Times New Roman"/>
    </w:rPr>
  </w:style>
  <w:style w:type="paragraph" w:styleId="Footer">
    <w:name w:val="footer"/>
    <w:basedOn w:val="Normal"/>
    <w:link w:val="FooterChar"/>
    <w:uiPriority w:val="99"/>
    <w:unhideWhenUsed/>
    <w:rsid w:val="00953C7B"/>
    <w:pPr>
      <w:tabs>
        <w:tab w:val="center" w:pos="4153"/>
        <w:tab w:val="right" w:pos="8306"/>
      </w:tabs>
    </w:pPr>
  </w:style>
  <w:style w:type="character" w:customStyle="1" w:styleId="FooterChar">
    <w:name w:val="Footer Char"/>
    <w:link w:val="Footer"/>
    <w:uiPriority w:val="99"/>
    <w:rsid w:val="00953C7B"/>
    <w:rPr>
      <w:rFonts w:eastAsia="Times New Roman"/>
    </w:rPr>
  </w:style>
  <w:style w:type="paragraph" w:styleId="BalloonText">
    <w:name w:val="Balloon Text"/>
    <w:basedOn w:val="Normal"/>
    <w:link w:val="BalloonTextChar"/>
    <w:uiPriority w:val="99"/>
    <w:semiHidden/>
    <w:unhideWhenUsed/>
    <w:rsid w:val="00AC1042"/>
    <w:rPr>
      <w:rFonts w:ascii="Segoe UI" w:hAnsi="Segoe UI" w:cs="Segoe UI"/>
      <w:sz w:val="18"/>
      <w:szCs w:val="18"/>
    </w:rPr>
  </w:style>
  <w:style w:type="character" w:customStyle="1" w:styleId="BalloonTextChar">
    <w:name w:val="Balloon Text Char"/>
    <w:link w:val="BalloonText"/>
    <w:uiPriority w:val="99"/>
    <w:semiHidden/>
    <w:rsid w:val="00AC1042"/>
    <w:rPr>
      <w:rFonts w:ascii="Segoe UI" w:eastAsia="Times New Roman" w:hAnsi="Segoe UI" w:cs="Segoe UI"/>
      <w:sz w:val="18"/>
      <w:szCs w:val="18"/>
    </w:rPr>
  </w:style>
  <w:style w:type="character" w:styleId="Hyperlink">
    <w:name w:val="Hyperlink"/>
    <w:basedOn w:val="DefaultParagraphFont"/>
    <w:uiPriority w:val="99"/>
    <w:unhideWhenUsed/>
    <w:rsid w:val="00714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Locmel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1249</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cp:lastModifiedBy>Evija Avota</cp:lastModifiedBy>
  <cp:revision>4</cp:revision>
  <cp:lastPrinted>2016-08-04T06:10:00Z</cp:lastPrinted>
  <dcterms:created xsi:type="dcterms:W3CDTF">2016-08-04T13:49:00Z</dcterms:created>
  <dcterms:modified xsi:type="dcterms:W3CDTF">2016-08-04T13:51:00Z</dcterms:modified>
</cp:coreProperties>
</file>