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FA" w:rsidRDefault="00D33503" w:rsidP="00207F22">
      <w:pPr>
        <w:pStyle w:val="naislab"/>
        <w:spacing w:before="0" w:after="0"/>
        <w:ind w:left="-284" w:right="-285"/>
        <w:jc w:val="center"/>
        <w:rPr>
          <w:b/>
        </w:rPr>
      </w:pPr>
      <w:r>
        <w:rPr>
          <w:b/>
        </w:rPr>
        <w:t xml:space="preserve">Ministru kabineta noteikumu projekta </w:t>
      </w:r>
      <w:r>
        <w:rPr>
          <w:b/>
          <w:bCs/>
        </w:rPr>
        <w:t>„Grozījumi Ministru kabineta 2012.gada 31.jūlija noteikumos Nr.523 „Noteikumi par budžeta pieprasījumu izstrādāšanas un iesniegšanas pamatprincipiem””</w:t>
      </w:r>
      <w:r>
        <w:rPr>
          <w:b/>
        </w:rPr>
        <w:t xml:space="preserve"> sākotnējās ietekmes novērtējuma ziņojums (anotācija)</w:t>
      </w:r>
    </w:p>
    <w:p w:rsidR="000D6D64" w:rsidRDefault="000D6D64" w:rsidP="00207F22">
      <w:pPr>
        <w:pStyle w:val="naislab"/>
        <w:spacing w:before="0" w:after="0"/>
        <w:ind w:left="-284" w:right="-285"/>
        <w:jc w:val="center"/>
        <w:rPr>
          <w:b/>
        </w:rPr>
      </w:pPr>
    </w:p>
    <w:p w:rsidR="00620188" w:rsidRDefault="00620188" w:rsidP="00207F22">
      <w:pPr>
        <w:pStyle w:val="naislab"/>
        <w:spacing w:before="0" w:after="0"/>
        <w:ind w:left="-284" w:right="-285"/>
        <w:jc w:val="center"/>
        <w:rPr>
          <w:b/>
        </w:rPr>
      </w:pPr>
    </w:p>
    <w:tbl>
      <w:tblPr>
        <w:tblW w:w="10065" w:type="dxa"/>
        <w:tblInd w:w="-572" w:type="dxa"/>
        <w:tblLayout w:type="fixed"/>
        <w:tblCellMar>
          <w:left w:w="0" w:type="dxa"/>
          <w:right w:w="0" w:type="dxa"/>
        </w:tblCellMar>
        <w:tblLook w:val="0000" w:firstRow="0" w:lastRow="0" w:firstColumn="0" w:lastColumn="0" w:noHBand="0" w:noVBand="0"/>
      </w:tblPr>
      <w:tblGrid>
        <w:gridCol w:w="425"/>
        <w:gridCol w:w="2836"/>
        <w:gridCol w:w="6804"/>
      </w:tblGrid>
      <w:tr w:rsidR="00D33503" w:rsidTr="00D67302">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3503" w:rsidRDefault="00D33503">
            <w:pPr>
              <w:pStyle w:val="naisnod"/>
              <w:spacing w:before="0" w:after="0"/>
            </w:pPr>
            <w:r>
              <w:t>I. Tiesību akta projekta izstrādes nepieciešamība</w:t>
            </w:r>
          </w:p>
        </w:tc>
      </w:tr>
      <w:tr w:rsidR="00D33503" w:rsidTr="00B30428">
        <w:trPr>
          <w:trHeight w:val="1130"/>
        </w:trPr>
        <w:tc>
          <w:tcPr>
            <w:tcW w:w="425" w:type="dxa"/>
            <w:tcBorders>
              <w:top w:val="single" w:sz="4" w:space="0" w:color="000000"/>
              <w:left w:val="single" w:sz="4" w:space="0" w:color="000000"/>
              <w:bottom w:val="single" w:sz="4" w:space="0" w:color="000000"/>
            </w:tcBorders>
            <w:shd w:val="clear" w:color="auto" w:fill="auto"/>
          </w:tcPr>
          <w:p w:rsidR="00D33503" w:rsidRPr="003B79E9" w:rsidRDefault="00D33503" w:rsidP="003B79E9">
            <w:pPr>
              <w:pStyle w:val="naiskr"/>
              <w:spacing w:before="0" w:after="0"/>
              <w:jc w:val="center"/>
            </w:pPr>
            <w:r w:rsidRPr="003B79E9">
              <w:t>1.</w:t>
            </w:r>
          </w:p>
        </w:tc>
        <w:tc>
          <w:tcPr>
            <w:tcW w:w="2836" w:type="dxa"/>
            <w:tcBorders>
              <w:top w:val="single" w:sz="4" w:space="0" w:color="000000"/>
              <w:left w:val="single" w:sz="4" w:space="0" w:color="000000"/>
              <w:bottom w:val="single" w:sz="4" w:space="0" w:color="000000"/>
            </w:tcBorders>
            <w:shd w:val="clear" w:color="auto" w:fill="auto"/>
          </w:tcPr>
          <w:p w:rsidR="00D33503" w:rsidRPr="00207F22" w:rsidRDefault="00D33503" w:rsidP="003B75CB">
            <w:pPr>
              <w:pStyle w:val="naiskr"/>
              <w:spacing w:before="0" w:after="0"/>
            </w:pPr>
            <w:r w:rsidRPr="00207F22">
              <w:t>Pamatojums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91" w:right="79"/>
              <w:jc w:val="both"/>
            </w:pPr>
            <w:r>
              <w:t>Ministru kabineta noteikumu projekts „Grozījumi Ministru kabineta 2012.gada 31.jūlija noteikumos Nr.523 „Noteikumi par budžeta pieprasījumu izstrādāšanas un iesniegšanas pamatprincipiem”” (turpmāk – noteikumu projekts) sagatavots saskaņā ar:</w:t>
            </w:r>
          </w:p>
          <w:p w:rsidR="00D33503" w:rsidRDefault="00D33503" w:rsidP="001F2469">
            <w:pPr>
              <w:ind w:left="60" w:right="90" w:firstLine="223"/>
              <w:jc w:val="both"/>
            </w:pPr>
            <w:r>
              <w:t>- Valdības rīcības plāna Deklarācijas par Māra Kučinska vadītā Ministru kabineta iecerēto darbību īstenošanai pasākuma Nr. 25.1. otro apakšpunktu “Pilnveidot likuma "Par valsts budžetu 2017.gadam" un turpmāko gadskārtējo valsts budžeta likumu paskaidrojumus, veicinot budžeta uztveramību, pārskatāmību, kā arī palielinot budžeta izdevumu sasaisti ar attīstības plānošanas dokumentos notei</w:t>
            </w:r>
            <w:r w:rsidR="005A2667">
              <w:t>ktajām prioritātēm un mērķiem”;</w:t>
            </w:r>
          </w:p>
          <w:p w:rsidR="00D33503" w:rsidRDefault="00D33503" w:rsidP="001F2469">
            <w:pPr>
              <w:spacing w:after="120"/>
              <w:ind w:left="91" w:right="79" w:firstLine="192"/>
              <w:jc w:val="both"/>
            </w:pPr>
            <w:r>
              <w:t>- Valsts kontroles revīzijas Nr.2.4.1-39/2014 ietvaros izteikto ieteikumu Nr.</w:t>
            </w:r>
            <w:r w:rsidR="00F23818">
              <w:t> </w:t>
            </w:r>
            <w:r>
              <w:t>5.1. “Izvērtēt gadskārtējā un vidēja termiņa valsts budžeta likumā iekļaujamās informācijas detalizācijas pakāpi, un situācijā, ja esošā detalizācijas pakāpe netiks atzīta par lietderīgu un budžeta uztveramību nodrošinošu, ierosināt atbilstošus grozījumus normatīvajos aktos, vienlaikus nosakot normatīvajos aktos detalizācijas pakāpi, kādā informācija par valsts budžeta līdzekļiem ir uzskaitāma ministriju un iestāžu līme</w:t>
            </w:r>
            <w:r w:rsidR="005A2667">
              <w:t>ni”.</w:t>
            </w:r>
          </w:p>
        </w:tc>
      </w:tr>
      <w:tr w:rsidR="00D33503" w:rsidTr="00B30428">
        <w:trPr>
          <w:trHeight w:val="557"/>
        </w:trPr>
        <w:tc>
          <w:tcPr>
            <w:tcW w:w="425" w:type="dxa"/>
            <w:tcBorders>
              <w:top w:val="single" w:sz="4" w:space="0" w:color="000000"/>
              <w:left w:val="single" w:sz="4" w:space="0" w:color="000000"/>
              <w:bottom w:val="single" w:sz="4" w:space="0" w:color="000000"/>
            </w:tcBorders>
            <w:shd w:val="clear" w:color="auto" w:fill="auto"/>
          </w:tcPr>
          <w:p w:rsidR="00D33503" w:rsidRPr="003B79E9" w:rsidRDefault="00D33503" w:rsidP="003B79E9">
            <w:pPr>
              <w:pStyle w:val="naiskr"/>
              <w:spacing w:before="0" w:after="0"/>
              <w:jc w:val="center"/>
            </w:pPr>
            <w:r w:rsidRPr="003B79E9">
              <w:t>2.</w:t>
            </w:r>
          </w:p>
        </w:tc>
        <w:tc>
          <w:tcPr>
            <w:tcW w:w="2836" w:type="dxa"/>
            <w:tcBorders>
              <w:top w:val="single" w:sz="4" w:space="0" w:color="000000"/>
              <w:left w:val="single" w:sz="4" w:space="0" w:color="000000"/>
              <w:bottom w:val="single" w:sz="4" w:space="0" w:color="000000"/>
            </w:tcBorders>
            <w:shd w:val="clear" w:color="auto" w:fill="auto"/>
          </w:tcPr>
          <w:p w:rsidR="00D33503" w:rsidRPr="00207F22" w:rsidRDefault="00D33503" w:rsidP="00207F22">
            <w:pPr>
              <w:pStyle w:val="naiskr"/>
              <w:tabs>
                <w:tab w:val="left" w:pos="170"/>
              </w:tabs>
              <w:spacing w:before="0" w:after="0"/>
              <w:ind w:right="12"/>
            </w:pPr>
            <w:r w:rsidRPr="00207F22">
              <w:t>Pašreizējā situācija un problēmas, kuru risināšanai tiesību akta projekts izstrādāts, tiesiskā regulējuma mērķis un būtība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C0855" w:rsidRDefault="004C0855">
            <w:pPr>
              <w:snapToGrid w:val="0"/>
              <w:spacing w:after="120"/>
              <w:ind w:left="91" w:right="79"/>
              <w:jc w:val="both"/>
            </w:pPr>
            <w:r>
              <w:t>Noteikumu projekta mērķis ir pilnveidot budžeta paskaidrojumus</w:t>
            </w:r>
            <w:r w:rsidR="00A03433">
              <w:t>,</w:t>
            </w:r>
            <w:r>
              <w:t xml:space="preserve"> lai tie būtu pārskatāmi, kā arī sniegtu sabiedrībai uztveramu informāciju par budžetu kā politikas realizācijas instrumentu.</w:t>
            </w:r>
          </w:p>
          <w:p w:rsidR="00F24CA7" w:rsidRDefault="00D33503">
            <w:pPr>
              <w:snapToGrid w:val="0"/>
              <w:spacing w:after="120"/>
              <w:ind w:left="91" w:right="79"/>
              <w:jc w:val="both"/>
            </w:pPr>
            <w:r>
              <w:t>Noteikumu projekts paredz precizēt ministriju un citu centrālo iestāžu budžeta pieprasījumos vidējam termiņam iesniedzamo informāciju, kas tiks izmantota budžeta paskaidrojumu izdevumu sadaļas sagatavošanā. Papildus tiks uzlabota budžeta dokumentācijas uztveramība, samazinot budžeta paskaidrojumos esošās tehniskās informācijas apjomu, tādējādi mazinot administratīvo slogu.</w:t>
            </w:r>
            <w:r w:rsidR="00927579">
              <w:t xml:space="preserve"> </w:t>
            </w:r>
          </w:p>
          <w:p w:rsidR="00D33503" w:rsidRDefault="00927579">
            <w:pPr>
              <w:snapToGrid w:val="0"/>
              <w:spacing w:after="120"/>
              <w:ind w:left="91" w:right="79"/>
              <w:jc w:val="both"/>
            </w:pPr>
            <w:r>
              <w:t xml:space="preserve">Lai sniegtu priekšstatu par izdevumu sadalījumu pa valdības funkcijām, turpmāk budžeta paskaidrojumos lielāks uzsvars tiks likts uz izdevumu atspoguļošanu atbilstoši COFOG </w:t>
            </w:r>
            <w:r w:rsidRPr="00A737CE">
              <w:rPr>
                <w:i/>
              </w:rPr>
              <w:t>(</w:t>
            </w:r>
            <w:proofErr w:type="spellStart"/>
            <w:r w:rsidRPr="00A737CE">
              <w:rPr>
                <w:i/>
              </w:rPr>
              <w:t>Classification</w:t>
            </w:r>
            <w:proofErr w:type="spellEnd"/>
            <w:r w:rsidRPr="00A737CE">
              <w:rPr>
                <w:i/>
              </w:rPr>
              <w:t xml:space="preserve"> </w:t>
            </w:r>
            <w:proofErr w:type="spellStart"/>
            <w:r w:rsidRPr="00A737CE">
              <w:rPr>
                <w:i/>
              </w:rPr>
              <w:t>of</w:t>
            </w:r>
            <w:proofErr w:type="spellEnd"/>
            <w:r w:rsidRPr="00A737CE">
              <w:rPr>
                <w:i/>
              </w:rPr>
              <w:t xml:space="preserve"> </w:t>
            </w:r>
            <w:proofErr w:type="spellStart"/>
            <w:r w:rsidRPr="00A737CE">
              <w:rPr>
                <w:i/>
              </w:rPr>
              <w:t>the</w:t>
            </w:r>
            <w:proofErr w:type="spellEnd"/>
            <w:r w:rsidRPr="00A737CE">
              <w:rPr>
                <w:i/>
              </w:rPr>
              <w:t xml:space="preserve"> </w:t>
            </w:r>
            <w:proofErr w:type="spellStart"/>
            <w:r w:rsidRPr="00A737CE">
              <w:rPr>
                <w:i/>
              </w:rPr>
              <w:t>Functions</w:t>
            </w:r>
            <w:proofErr w:type="spellEnd"/>
            <w:r w:rsidRPr="00A737CE">
              <w:rPr>
                <w:i/>
              </w:rPr>
              <w:t xml:space="preserve"> </w:t>
            </w:r>
            <w:proofErr w:type="spellStart"/>
            <w:r w:rsidRPr="00A737CE">
              <w:rPr>
                <w:i/>
              </w:rPr>
              <w:t>of</w:t>
            </w:r>
            <w:proofErr w:type="spellEnd"/>
            <w:r w:rsidRPr="00A737CE">
              <w:rPr>
                <w:i/>
              </w:rPr>
              <w:t xml:space="preserve"> </w:t>
            </w:r>
            <w:proofErr w:type="spellStart"/>
            <w:r w:rsidRPr="00A737CE">
              <w:rPr>
                <w:i/>
              </w:rPr>
              <w:t>Government</w:t>
            </w:r>
            <w:proofErr w:type="spellEnd"/>
            <w:r w:rsidRPr="00A737CE">
              <w:rPr>
                <w:i/>
              </w:rPr>
              <w:t>)</w:t>
            </w:r>
            <w:r>
              <w:t xml:space="preserve"> klasifikatoram.</w:t>
            </w:r>
            <w:r w:rsidR="00F24CA7">
              <w:t xml:space="preserve"> Klasifikatorā norādītais izdevumu sadalījums var tikt izmantots kā informācijas avots par kādas noteiktas politikas īstenošanas izdevumu apjomu starpnozaru līmenī.</w:t>
            </w:r>
          </w:p>
          <w:p w:rsidR="00D33503" w:rsidRDefault="00D33503">
            <w:pPr>
              <w:snapToGrid w:val="0"/>
              <w:spacing w:after="120"/>
              <w:ind w:left="91" w:right="79"/>
              <w:jc w:val="both"/>
              <w:rPr>
                <w:bCs/>
              </w:rPr>
            </w:pPr>
            <w:r>
              <w:t xml:space="preserve">1. </w:t>
            </w:r>
            <w:r>
              <w:rPr>
                <w:bCs/>
              </w:rPr>
              <w:t>Noteikumu projekta paskaidrojumu veidlapa Nr.7(</w:t>
            </w:r>
            <w:proofErr w:type="spellStart"/>
            <w:r>
              <w:rPr>
                <w:bCs/>
              </w:rPr>
              <w:t>pb</w:t>
            </w:r>
            <w:proofErr w:type="spellEnd"/>
            <w:r>
              <w:rPr>
                <w:bCs/>
              </w:rPr>
              <w:t xml:space="preserve">) „Paskaidrojums par ministrijas (citas centrālās valsts iestādes) valsts pamatbudžeta līdzekļu pieprasījumu vidējam termiņam” (17.pielikums) un </w:t>
            </w:r>
            <w:proofErr w:type="spellStart"/>
            <w:r w:rsidR="00080C55">
              <w:rPr>
                <w:bCs/>
              </w:rPr>
              <w:t>jaunizveidotā</w:t>
            </w:r>
            <w:proofErr w:type="spellEnd"/>
            <w:r w:rsidR="00080C55">
              <w:rPr>
                <w:bCs/>
              </w:rPr>
              <w:t xml:space="preserve"> </w:t>
            </w:r>
            <w:r>
              <w:rPr>
                <w:bCs/>
              </w:rPr>
              <w:t>veidlapa Nr.7(</w:t>
            </w:r>
            <w:r w:rsidR="0031769B">
              <w:rPr>
                <w:bCs/>
              </w:rPr>
              <w:t>LM</w:t>
            </w:r>
            <w:r>
              <w:rPr>
                <w:bCs/>
              </w:rPr>
              <w:t xml:space="preserve">) „Paskaidrojums par </w:t>
            </w:r>
            <w:r w:rsidR="0031769B" w:rsidRPr="0031769B">
              <w:rPr>
                <w:bCs/>
              </w:rPr>
              <w:t xml:space="preserve">Labklājības </w:t>
            </w:r>
            <w:r>
              <w:rPr>
                <w:bCs/>
              </w:rPr>
              <w:t xml:space="preserve">ministrijas </w:t>
            </w:r>
            <w:r w:rsidR="0031769B" w:rsidRPr="0031769B">
              <w:rPr>
                <w:bCs/>
              </w:rPr>
              <w:t xml:space="preserve">valsts pamatbudžeta un </w:t>
            </w:r>
            <w:r>
              <w:rPr>
                <w:bCs/>
              </w:rPr>
              <w:t>valsts speciālā budžeta līdzekļu pieprasījumu vidējam termiņam” (18.pielikums) tiks papildinātas ar</w:t>
            </w:r>
            <w:r w:rsidR="004C0855">
              <w:rPr>
                <w:bCs/>
              </w:rPr>
              <w:t xml:space="preserve"> šādām sadaļām</w:t>
            </w:r>
            <w:r>
              <w:rPr>
                <w:bCs/>
              </w:rPr>
              <w:t>:</w:t>
            </w:r>
          </w:p>
          <w:p w:rsidR="00D33503" w:rsidRDefault="00D33503">
            <w:pPr>
              <w:snapToGrid w:val="0"/>
              <w:spacing w:after="120"/>
              <w:ind w:left="91" w:right="79"/>
              <w:jc w:val="both"/>
              <w:rPr>
                <w:bCs/>
              </w:rPr>
            </w:pPr>
            <w:r>
              <w:rPr>
                <w:bCs/>
              </w:rPr>
              <w:lastRenderedPageBreak/>
              <w:t xml:space="preserve">1.1. ministrijas </w:t>
            </w:r>
            <w:r w:rsidR="004C0855">
              <w:rPr>
                <w:bCs/>
              </w:rPr>
              <w:t xml:space="preserve">vai </w:t>
            </w:r>
            <w:r>
              <w:rPr>
                <w:bCs/>
              </w:rPr>
              <w:t>citas centrālās valsts iestādes</w:t>
            </w:r>
            <w:r w:rsidR="004C0855">
              <w:rPr>
                <w:bCs/>
              </w:rPr>
              <w:t xml:space="preserve"> (turpmāk – ministrija)</w:t>
            </w:r>
            <w:r>
              <w:rPr>
                <w:bCs/>
              </w:rPr>
              <w:t xml:space="preserve"> atbildībā esošās darbības jom</w:t>
            </w:r>
            <w:r w:rsidR="004C0855">
              <w:rPr>
                <w:bCs/>
              </w:rPr>
              <w:t>as</w:t>
            </w:r>
            <w:r>
              <w:rPr>
                <w:bCs/>
              </w:rPr>
              <w:t>, kurās tiek īstenota noteikta politika vai darbības virziens</w:t>
            </w:r>
            <w:r w:rsidR="004C0855">
              <w:rPr>
                <w:bCs/>
              </w:rPr>
              <w:t>. Šī informācija aizstās pašreiz budžeta paskaidrojumos sniegto informāciju par ministrijas funkcijām</w:t>
            </w:r>
            <w:r w:rsidR="00167128">
              <w:rPr>
                <w:bCs/>
              </w:rPr>
              <w:t xml:space="preserve">. </w:t>
            </w:r>
            <w:r w:rsidR="00C606D3" w:rsidRPr="009D78B8">
              <w:rPr>
                <w:color w:val="000000" w:themeColor="text1"/>
              </w:rPr>
              <w:t>Ministrijas definējamās darbības jomas var balstīties gan  uz</w:t>
            </w:r>
            <w:r w:rsidR="00C606D3">
              <w:rPr>
                <w:color w:val="000000" w:themeColor="text1"/>
              </w:rPr>
              <w:t xml:space="preserve"> nolikumu</w:t>
            </w:r>
            <w:r w:rsidR="00C606D3" w:rsidRPr="009D78B8">
              <w:rPr>
                <w:color w:val="000000" w:themeColor="text1"/>
              </w:rPr>
              <w:t>, gan  Ministru kabineta</w:t>
            </w:r>
            <w:r w:rsidR="00C606D3">
              <w:rPr>
                <w:color w:val="000000" w:themeColor="text1"/>
              </w:rPr>
              <w:t xml:space="preserve"> 2015.gada 28.aprīļa instrukciju</w:t>
            </w:r>
            <w:r w:rsidR="00C606D3" w:rsidRPr="009D78B8">
              <w:rPr>
                <w:color w:val="000000" w:themeColor="text1"/>
              </w:rPr>
              <w:t xml:space="preserve"> Nr.3 “Kārtība, kādā izstrādā un aktualizē institūcijas darbības stratēģiju un novērtē tās ieviešanu”, </w:t>
            </w:r>
            <w:r w:rsidR="00C606D3">
              <w:t xml:space="preserve">un atbilstoši iestādes specifikai tās var tikt formulētas vispārīgāk vai konkrētāk (nekā abos minētajos dokumentos). </w:t>
            </w:r>
            <w:r w:rsidR="00C606D3">
              <w:rPr>
                <w:bCs/>
              </w:rPr>
              <w:t>Turpmāk paskaidrojumos katrai formulētai darbības jomai būs jāizstrādā politikas (vai darbības virziena) un resursu vadības karte</w:t>
            </w:r>
            <w:r w:rsidR="005349DA">
              <w:rPr>
                <w:bCs/>
              </w:rPr>
              <w:t xml:space="preserve"> </w:t>
            </w:r>
            <w:r w:rsidR="005349DA" w:rsidRPr="005349DA">
              <w:rPr>
                <w:bCs/>
              </w:rPr>
              <w:t>(turpmāk –</w:t>
            </w:r>
            <w:r w:rsidR="005349DA">
              <w:rPr>
                <w:bCs/>
              </w:rPr>
              <w:t xml:space="preserve"> Karte)</w:t>
            </w:r>
            <w:r w:rsidR="00C606D3">
              <w:rPr>
                <w:bCs/>
              </w:rPr>
              <w:t xml:space="preserve">. </w:t>
            </w:r>
            <w:r w:rsidR="00C606D3">
              <w:t xml:space="preserve">Formulējot darbības jomas un izstrādājot tām </w:t>
            </w:r>
            <w:r w:rsidR="005349DA">
              <w:t>K</w:t>
            </w:r>
            <w:r w:rsidR="00C606D3">
              <w:t>artes ir primāri jānodrošina mērķis – sniegt sabiedrībai iespējami aptverošāku un raksturojošāku priekšstatu par nozares darbu sabiedrības interesēs un ieguldītajiem resursiem.</w:t>
            </w:r>
            <w:r w:rsidR="004C0855">
              <w:rPr>
                <w:bCs/>
              </w:rPr>
              <w:t xml:space="preserve"> </w:t>
            </w:r>
          </w:p>
          <w:p w:rsidR="00D33503" w:rsidRDefault="00F23818">
            <w:pPr>
              <w:snapToGrid w:val="0"/>
              <w:spacing w:after="120"/>
              <w:ind w:left="91" w:right="79"/>
              <w:jc w:val="both"/>
              <w:rPr>
                <w:bCs/>
              </w:rPr>
            </w:pPr>
            <w:r>
              <w:rPr>
                <w:bCs/>
              </w:rPr>
              <w:t>1.2. ministrijas</w:t>
            </w:r>
            <w:r w:rsidR="00D33503">
              <w:rPr>
                <w:bCs/>
              </w:rPr>
              <w:t xml:space="preserve"> galvenie</w:t>
            </w:r>
            <w:r w:rsidR="00417020">
              <w:rPr>
                <w:bCs/>
              </w:rPr>
              <w:t xml:space="preserve"> plānotie</w:t>
            </w:r>
            <w:r w:rsidR="00D33503">
              <w:rPr>
                <w:bCs/>
              </w:rPr>
              <w:t xml:space="preserve"> pasākum</w:t>
            </w:r>
            <w:r w:rsidR="00417020">
              <w:rPr>
                <w:bCs/>
              </w:rPr>
              <w:t>i</w:t>
            </w:r>
            <w:r w:rsidR="00D33503">
              <w:rPr>
                <w:bCs/>
              </w:rPr>
              <w:t xml:space="preserve"> n+1 gadam</w:t>
            </w:r>
            <w:r w:rsidR="00417020">
              <w:rPr>
                <w:bCs/>
              </w:rPr>
              <w:t>.</w:t>
            </w:r>
            <w:r w:rsidR="00D33503">
              <w:rPr>
                <w:bCs/>
              </w:rPr>
              <w:t xml:space="preserve"> </w:t>
            </w:r>
            <w:r w:rsidR="00792701" w:rsidRPr="00792701">
              <w:rPr>
                <w:bCs/>
              </w:rPr>
              <w:t>Šie pasākumi var izrietēt no Valdības rīcības plānā, ministrijas darba plānā n+1 gadā plānotiem pasākumiem, tie var būt būtiskāki</w:t>
            </w:r>
            <w:r w:rsidR="00C606D3">
              <w:rPr>
                <w:bCs/>
              </w:rPr>
              <w:t>e</w:t>
            </w:r>
            <w:r w:rsidR="00792701" w:rsidRPr="00792701">
              <w:rPr>
                <w:bCs/>
              </w:rPr>
              <w:t xml:space="preserve"> pasākumi, kuru īstenošana plānota politikas plānošanas dokumentos, pasākumi, kuri plānoti jaunajās politikas iniciatīvās vai kuriem piešķirts papildu finansējums, optimizācijas pasākumi vai no ministrijas darbības stratēģijas izrietoši pasākumi. </w:t>
            </w:r>
            <w:r w:rsidR="00417020">
              <w:rPr>
                <w:bCs/>
              </w:rPr>
              <w:t>Šie pasākumi</w:t>
            </w:r>
            <w:r w:rsidR="00D33503">
              <w:rPr>
                <w:bCs/>
              </w:rPr>
              <w:t xml:space="preserve"> var tik formulēti pēc līdzīga principa kā publiskajos gada pārskatos</w:t>
            </w:r>
            <w:r w:rsidR="00417020">
              <w:rPr>
                <w:bCs/>
              </w:rPr>
              <w:t xml:space="preserve"> tiek formulēta sadaļa par nākamajā gadā plānotajiem pasākumiem. Šīs informācijas mērķis ir formulēt ministrijas īsu uzrunu/vēstījumu sabiedrībai un sniegt priekšstatu par attiecīgā budžeta gada svarīgākajiem veicamajiem darbiem</w:t>
            </w:r>
            <w:r w:rsidR="00D33503">
              <w:rPr>
                <w:bCs/>
              </w:rPr>
              <w:t>;</w:t>
            </w:r>
          </w:p>
          <w:p w:rsidR="00541D12" w:rsidRDefault="00D33503" w:rsidP="00CA2B34">
            <w:pPr>
              <w:ind w:left="142" w:right="142"/>
              <w:jc w:val="both"/>
              <w:rPr>
                <w:rFonts w:cs="Calibri"/>
              </w:rPr>
            </w:pPr>
            <w:r>
              <w:rPr>
                <w:bCs/>
              </w:rPr>
              <w:t xml:space="preserve">1.3. </w:t>
            </w:r>
            <w:r>
              <w:t>politikas</w:t>
            </w:r>
            <w:r w:rsidR="00FE6B7D">
              <w:t xml:space="preserve"> </w:t>
            </w:r>
            <w:r>
              <w:t>un resursu vadības kart</w:t>
            </w:r>
            <w:r w:rsidR="00417020">
              <w:t>es</w:t>
            </w:r>
            <w:r>
              <w:t xml:space="preserve"> (</w:t>
            </w:r>
            <w:r w:rsidR="00223DD2">
              <w:t xml:space="preserve">valsts budžeta izdevumu pārskatīšanas </w:t>
            </w:r>
            <w:r>
              <w:t xml:space="preserve">sarunās ar nozaru ministrijām lietots nosaukums “mērinstrumentu panelis”), </w:t>
            </w:r>
            <w:r w:rsidR="00417020">
              <w:t xml:space="preserve">par katru </w:t>
            </w:r>
            <w:r w:rsidR="0011343F">
              <w:t xml:space="preserve">anotācijas </w:t>
            </w:r>
            <w:r w:rsidR="00417020">
              <w:t xml:space="preserve">1.1.punktā </w:t>
            </w:r>
            <w:r w:rsidR="0011343F">
              <w:t>minēto</w:t>
            </w:r>
            <w:r w:rsidR="008650B8">
              <w:t xml:space="preserve"> </w:t>
            </w:r>
            <w:r w:rsidR="00417020">
              <w:t>formulēto</w:t>
            </w:r>
            <w:r>
              <w:t xml:space="preserve"> darbības jomu</w:t>
            </w:r>
            <w:r w:rsidR="00417020">
              <w:t xml:space="preserve">. </w:t>
            </w:r>
            <w:r w:rsidR="00C606D3">
              <w:t xml:space="preserve">(Ja darbības jomā netiek īstenota politika, tad nosaukumā lieto „darbības virziena un resursu vadības karte”.) </w:t>
            </w:r>
            <w:r w:rsidR="00223DD2">
              <w:t xml:space="preserve">Attiecīgi </w:t>
            </w:r>
            <w:r>
              <w:t xml:space="preserve"> katr</w:t>
            </w:r>
            <w:r w:rsidR="00223DD2">
              <w:t>ai</w:t>
            </w:r>
            <w:r>
              <w:t xml:space="preserve"> jom</w:t>
            </w:r>
            <w:r w:rsidR="00223DD2">
              <w:t>ai</w:t>
            </w:r>
            <w:r>
              <w:t xml:space="preserve"> tiks definēts mērķis</w:t>
            </w:r>
            <w:r w:rsidR="00223DD2">
              <w:t xml:space="preserve"> (ka</w:t>
            </w:r>
            <w:r w:rsidR="00A03433">
              <w:t>m</w:t>
            </w:r>
            <w:r w:rsidR="00223DD2">
              <w:t xml:space="preserve"> </w:t>
            </w:r>
            <w:r w:rsidR="00A03433">
              <w:t>būtu jā</w:t>
            </w:r>
            <w:r w:rsidR="00223DD2">
              <w:t>izriet no attīstības plānošanas dokumentiem</w:t>
            </w:r>
            <w:r w:rsidR="00C329B6">
              <w:t xml:space="preserve"> vai normatīvajiem aktiem</w:t>
            </w:r>
            <w:r w:rsidR="00223DD2">
              <w:t>)</w:t>
            </w:r>
            <w:r>
              <w:t xml:space="preserve">, </w:t>
            </w:r>
            <w:r w:rsidR="008650B8">
              <w:t xml:space="preserve">svarīgākie </w:t>
            </w:r>
            <w:r>
              <w:t>sasniedzami</w:t>
            </w:r>
            <w:r w:rsidR="00223DD2">
              <w:t>e</w:t>
            </w:r>
            <w:r>
              <w:t xml:space="preserve"> un mērāmi</w:t>
            </w:r>
            <w:r w:rsidR="00223DD2">
              <w:t>e</w:t>
            </w:r>
            <w:r>
              <w:t xml:space="preserve"> rezultāti un </w:t>
            </w:r>
            <w:r w:rsidR="00F67291">
              <w:t xml:space="preserve">norādīti </w:t>
            </w:r>
            <w:r>
              <w:t>ieguldīt</w:t>
            </w:r>
            <w:r w:rsidR="00F67291">
              <w:t>ie</w:t>
            </w:r>
            <w:r>
              <w:t xml:space="preserve"> resursi</w:t>
            </w:r>
            <w:r w:rsidR="00223DD2">
              <w:t>. Tād</w:t>
            </w:r>
            <w:r w:rsidR="00C329B6">
              <w:t>ē</w:t>
            </w:r>
            <w:r w:rsidR="00223DD2">
              <w:t xml:space="preserve">jādi budžeta dokumentācijā tiks veidota sasaiste starp sasniedzamajiem politikas mērķiem un rezultātiem un valsts budžeta </w:t>
            </w:r>
            <w:r w:rsidR="003E61B5">
              <w:t>izdevumiem</w:t>
            </w:r>
            <w:r w:rsidR="00300BF3">
              <w:t xml:space="preserve"> </w:t>
            </w:r>
            <w:r w:rsidR="00FE6B7D">
              <w:t>–</w:t>
            </w:r>
            <w:r w:rsidR="00245DB7">
              <w:t xml:space="preserve"> </w:t>
            </w:r>
            <w:r w:rsidR="005349DA">
              <w:t>K</w:t>
            </w:r>
            <w:r w:rsidR="008B0B16" w:rsidRPr="008871C8">
              <w:t>artes sniegs priekšstatu par rezultātu sasniegšanā ieguldītajiem resursiem</w:t>
            </w:r>
            <w:r w:rsidR="00300BF3">
              <w:t>.</w:t>
            </w:r>
            <w:r w:rsidR="008B0B16" w:rsidRPr="008871C8">
              <w:t xml:space="preserve"> Lai </w:t>
            </w:r>
            <w:r w:rsidR="008871C8" w:rsidRPr="000E583B">
              <w:t xml:space="preserve">turpmāk </w:t>
            </w:r>
            <w:r w:rsidR="008B0B16" w:rsidRPr="008871C8">
              <w:t xml:space="preserve">nodrošinātu iespēju analizēt </w:t>
            </w:r>
            <w:r w:rsidR="005349DA">
              <w:t>K</w:t>
            </w:r>
            <w:r w:rsidR="008B0B16" w:rsidRPr="008871C8">
              <w:t>artēs norādītos plānotos</w:t>
            </w:r>
            <w:r w:rsidR="003D7FE5" w:rsidRPr="008871C8">
              <w:t xml:space="preserve"> finansiālos</w:t>
            </w:r>
            <w:r w:rsidR="008B0B16" w:rsidRPr="008871C8">
              <w:t xml:space="preserve"> rādītājus un šo rādītāju izpildi un sasaistīt to ar jau pastāvošo budžeta struktūru, ieteicams katru ieguldījuma rādītāju</w:t>
            </w:r>
            <w:r w:rsidR="008871C8">
              <w:t xml:space="preserve"> </w:t>
            </w:r>
            <w:r w:rsidR="001F67C5" w:rsidRPr="008871C8">
              <w:t xml:space="preserve">(programmu (apakšprogrammu) izdevumi, amata vietas) attiecināt ne vairāk kā uz vienu </w:t>
            </w:r>
            <w:r w:rsidR="005349DA">
              <w:t>K</w:t>
            </w:r>
            <w:r w:rsidR="001F67C5" w:rsidRPr="008871C8">
              <w:t xml:space="preserve">arti – t.i., veidot </w:t>
            </w:r>
            <w:r w:rsidR="005349DA">
              <w:t>K</w:t>
            </w:r>
            <w:r w:rsidR="001F67C5" w:rsidRPr="008871C8">
              <w:t xml:space="preserve">artes tā, lai nebūtu nepieciešams vienu programmu (apakšprogrammu) sadalīt starp vairākām kartēm. Turpretī vairāku programmu (apakšprogrammu) attiecināšana uz vienu </w:t>
            </w:r>
            <w:r w:rsidR="005349DA">
              <w:t>K</w:t>
            </w:r>
            <w:r w:rsidR="001F67C5" w:rsidRPr="008871C8">
              <w:t xml:space="preserve">arti ir pieļaujama. Tādējādi informācija par </w:t>
            </w:r>
            <w:r w:rsidR="005349DA">
              <w:t>K</w:t>
            </w:r>
            <w:r w:rsidR="001F67C5" w:rsidRPr="008871C8">
              <w:t>artēs norādīto plānoto ieguldījumu faktisko izpildi būtu iegūstama bez papildu</w:t>
            </w:r>
            <w:r w:rsidR="00CD57C7">
              <w:t>s</w:t>
            </w:r>
            <w:r w:rsidR="001F67C5" w:rsidRPr="008871C8">
              <w:t xml:space="preserve"> iekšējās analītikas veikšanas, izmantojot jau esošo budžeta izpildes informāciju. Ja tomēr ministrija uzskata, ka programma </w:t>
            </w:r>
            <w:r w:rsidR="001F67C5" w:rsidRPr="008871C8">
              <w:lastRenderedPageBreak/>
              <w:t xml:space="preserve">(apakšprogramma) ir iesaistīta vairāk kā vienas darbības jomas politikas rādītāju </w:t>
            </w:r>
            <w:r w:rsidR="001F67C5" w:rsidRPr="008871C8">
              <w:rPr>
                <w:rFonts w:cs="Calibri"/>
              </w:rPr>
              <w:t xml:space="preserve">sasniegšanā, tad ministrija var </w:t>
            </w:r>
            <w:r w:rsidR="00541D12" w:rsidRPr="00541D12">
              <w:rPr>
                <w:rFonts w:cs="Calibri"/>
              </w:rPr>
              <w:t>veikt šādas darbības:</w:t>
            </w:r>
          </w:p>
          <w:p w:rsidR="001F67C5" w:rsidRDefault="00541D12" w:rsidP="00CA2B34">
            <w:pPr>
              <w:ind w:left="142" w:right="142"/>
              <w:jc w:val="both"/>
              <w:rPr>
                <w:rFonts w:cs="Calibri"/>
              </w:rPr>
            </w:pPr>
            <w:r>
              <w:rPr>
                <w:rFonts w:cs="Calibri"/>
              </w:rPr>
              <w:t xml:space="preserve">- </w:t>
            </w:r>
            <w:r w:rsidR="001F67C5" w:rsidRPr="008871C8">
              <w:rPr>
                <w:rFonts w:cs="Calibri"/>
              </w:rPr>
              <w:t xml:space="preserve">pārskatīt attiecīgās programmas </w:t>
            </w:r>
            <w:r w:rsidR="001F67C5" w:rsidRPr="008871C8">
              <w:t>(apakšprogrammas)</w:t>
            </w:r>
            <w:r w:rsidR="001F67C5" w:rsidRPr="008871C8">
              <w:rPr>
                <w:rFonts w:cs="Calibri"/>
              </w:rPr>
              <w:t xml:space="preserve"> saturu un sadalīt to (divās vai vairākās) programmās </w:t>
            </w:r>
            <w:r w:rsidR="001F67C5" w:rsidRPr="008871C8">
              <w:t>(apakšprogrammās)</w:t>
            </w:r>
            <w:r w:rsidR="001F67C5" w:rsidRPr="008871C8">
              <w:rPr>
                <w:rFonts w:cs="Calibri"/>
              </w:rPr>
              <w:t xml:space="preserve">, lai izpildītos augstāk minētais, ka katra atsevišķa programma </w:t>
            </w:r>
            <w:r w:rsidR="001F67C5" w:rsidRPr="008871C8">
              <w:t>(apakšprogramma)</w:t>
            </w:r>
            <w:r w:rsidR="001F67C5" w:rsidRPr="008871C8">
              <w:rPr>
                <w:rFonts w:cs="Calibri"/>
              </w:rPr>
              <w:t xml:space="preserve"> attiecināma ne vairāk kā uz vienu </w:t>
            </w:r>
            <w:r w:rsidR="005349DA">
              <w:rPr>
                <w:rFonts w:cs="Calibri"/>
              </w:rPr>
              <w:t>K</w:t>
            </w:r>
            <w:r w:rsidR="001F67C5" w:rsidRPr="008871C8">
              <w:rPr>
                <w:rFonts w:cs="Calibri"/>
              </w:rPr>
              <w:t>arti;</w:t>
            </w:r>
          </w:p>
          <w:p w:rsidR="00541D12" w:rsidRPr="00541D12" w:rsidRDefault="00541D12" w:rsidP="001C722B">
            <w:pPr>
              <w:spacing w:after="120"/>
              <w:ind w:left="142" w:right="142"/>
              <w:jc w:val="both"/>
              <w:rPr>
                <w:rFonts w:cs="Calibri"/>
                <w:szCs w:val="22"/>
                <w:lang w:eastAsia="en-US"/>
              </w:rPr>
            </w:pPr>
            <w:r w:rsidRPr="008871C8">
              <w:t xml:space="preserve">- </w:t>
            </w:r>
            <w:r w:rsidRPr="008871C8">
              <w:rPr>
                <w:rFonts w:cs="Calibri"/>
              </w:rPr>
              <w:t xml:space="preserve">ņemot vērā darbības jomas specifiku, </w:t>
            </w:r>
            <w:r w:rsidR="00D003C0">
              <w:rPr>
                <w:rFonts w:cs="Calibri"/>
              </w:rPr>
              <w:t xml:space="preserve">nodrošināt </w:t>
            </w:r>
            <w:r w:rsidRPr="008871C8">
              <w:rPr>
                <w:rFonts w:cs="Calibri"/>
              </w:rPr>
              <w:t xml:space="preserve">programmas </w:t>
            </w:r>
            <w:r w:rsidRPr="008871C8">
              <w:t>(apakšprogrammas)</w:t>
            </w:r>
            <w:r w:rsidRPr="008871C8">
              <w:rPr>
                <w:rFonts w:cs="Calibri"/>
              </w:rPr>
              <w:t xml:space="preserve"> rādītāju (izdevumu un cilvēkresursu) sadalīšanu starp vairākām </w:t>
            </w:r>
            <w:r w:rsidR="00245DB7">
              <w:rPr>
                <w:rFonts w:cs="Calibri"/>
              </w:rPr>
              <w:t>K</w:t>
            </w:r>
            <w:r w:rsidRPr="008871C8">
              <w:rPr>
                <w:rFonts w:cs="Calibri"/>
              </w:rPr>
              <w:t xml:space="preserve">artēm, </w:t>
            </w:r>
            <w:r w:rsidR="00D003C0">
              <w:rPr>
                <w:rFonts w:cs="Calibri"/>
              </w:rPr>
              <w:t>uzturot</w:t>
            </w:r>
            <w:r w:rsidRPr="008871C8">
              <w:rPr>
                <w:rFonts w:cs="Calibri"/>
              </w:rPr>
              <w:t xml:space="preserve"> kvalitatīvu un salīdzināmu informāciju par plānotajiem un faktiskajiem ieguldījuma rādītājiem</w:t>
            </w:r>
            <w:r w:rsidR="006B484F">
              <w:rPr>
                <w:rFonts w:cs="Calibri"/>
              </w:rPr>
              <w:t xml:space="preserve"> (piemēram, ES vai citu ĀFP</w:t>
            </w:r>
            <w:r w:rsidR="00D003C0">
              <w:rPr>
                <w:rFonts w:cs="Calibri"/>
              </w:rPr>
              <w:t xml:space="preserve"> projektu līmenī vai pasākumu līmenī)</w:t>
            </w:r>
            <w:r w:rsidRPr="008871C8">
              <w:rPr>
                <w:rFonts w:cs="Calibri"/>
              </w:rPr>
              <w:t>;</w:t>
            </w:r>
          </w:p>
          <w:p w:rsidR="00D33503" w:rsidRDefault="00D33503" w:rsidP="00DD2B58">
            <w:pPr>
              <w:snapToGrid w:val="0"/>
              <w:spacing w:after="120"/>
              <w:ind w:left="91" w:right="79"/>
              <w:jc w:val="both"/>
            </w:pPr>
            <w:r>
              <w:t>1.4. tabul</w:t>
            </w:r>
            <w:r w:rsidR="00223DD2">
              <w:t>a</w:t>
            </w:r>
            <w:r>
              <w:t xml:space="preserve"> “Jaunajām politikas iniciatīvām vai </w:t>
            </w:r>
            <w:r w:rsidR="00080C55">
              <w:t xml:space="preserve">citiem </w:t>
            </w:r>
            <w:r>
              <w:t>prioritāriem pasākumiem</w:t>
            </w:r>
            <w:r w:rsidR="00322C79">
              <w:t xml:space="preserve"> papildu piešķirtais finansējums</w:t>
            </w:r>
            <w:r>
              <w:t xml:space="preserve"> no n+1 līdz n+3 gadam”</w:t>
            </w:r>
            <w:r w:rsidR="00223DD2">
              <w:t>.</w:t>
            </w:r>
            <w:r w:rsidR="00E57353">
              <w:t xml:space="preserve"> </w:t>
            </w:r>
            <w:r w:rsidR="00E57353" w:rsidRPr="00E57353">
              <w:t>Termins “</w:t>
            </w:r>
            <w:r w:rsidR="00E57353">
              <w:t xml:space="preserve">citi </w:t>
            </w:r>
            <w:r w:rsidR="00E57353" w:rsidRPr="00E57353">
              <w:t>prioritārie pasākumi” aptver visus citus pasākumus, kas nav jaunās politikas iniciatīvas Ministru kabineta 2012</w:t>
            </w:r>
            <w:r w:rsidR="00DD041A">
              <w:t>.gada 11.decembra noteikumu Nr. </w:t>
            </w:r>
            <w:r w:rsidR="00E57353" w:rsidRPr="00E57353">
              <w:t>867 izpratnē  un kam ir piešķirts papildu finansējums. Tie var būt neatliekamie pasākumi, Saeimas otrā lasījuma atbalstītie pasākumi u.tml.</w:t>
            </w:r>
            <w:r w:rsidR="00A80BA8">
              <w:t xml:space="preserve"> </w:t>
            </w:r>
            <w:r w:rsidR="00223DD2">
              <w:t xml:space="preserve">Šī tabula ir balstīta uz budžeta paskaidrojumos jau šobrīd esošo tabulu par jaunajām politikas iniciatīvām, taču informācija par izdevumiem tiek papildināta ar </w:t>
            </w:r>
            <w:r>
              <w:t xml:space="preserve">jauno politikas iniciatīvu </w:t>
            </w:r>
            <w:r w:rsidR="00D30C99">
              <w:t>un citu</w:t>
            </w:r>
            <w:r>
              <w:t xml:space="preserve"> prioritāro pasākumu īstenošanas rezultātā sagaidāmiem darbības rezultātiem un to rezultatīvajiem rādītājiem</w:t>
            </w:r>
            <w:r w:rsidR="00896F39">
              <w:t xml:space="preserve">, lai sniegtu sabiedrībai priekšstatu par līdzekļu izlietojumu. </w:t>
            </w:r>
            <w:r w:rsidR="00DD041A" w:rsidRPr="00DD041A">
              <w:t>Sagaidāmos darbības rezultātus un to rezultatīvos rādītājus  aizpilda tikai tām jaunajām politikas iniciatīvām un citiem prioritāriem pasākumiem, kuriem ir atbalstīts finansējums vismaz trijiem gadiem</w:t>
            </w:r>
            <w:r w:rsidR="00DD041A">
              <w:t xml:space="preserve"> (savukārt </w:t>
            </w:r>
            <w:r w:rsidR="00DD041A" w:rsidRPr="00D30C99">
              <w:t>īstermiņa pasākumu rezultāts pēc būtības jau ir ietverts pasākumu nosaukumā</w:t>
            </w:r>
            <w:r w:rsidR="00DD041A">
              <w:t>).</w:t>
            </w:r>
            <w:r w:rsidR="00DD041A" w:rsidRPr="00DD041A">
              <w:t xml:space="preserve"> </w:t>
            </w:r>
            <w:r w:rsidR="00896F39">
              <w:t xml:space="preserve">Atbilstoši spēkā esošajam </w:t>
            </w:r>
            <w:r w:rsidR="003E61B5">
              <w:t xml:space="preserve">normatīvajam </w:t>
            </w:r>
            <w:r w:rsidR="00896F39">
              <w:t>regulējumam, ministrijas</w:t>
            </w:r>
            <w:r w:rsidR="00DD041A">
              <w:t xml:space="preserve"> jau tagad</w:t>
            </w:r>
            <w:r w:rsidR="00896F39">
              <w:t xml:space="preserve"> norāda sagaidāmos darbības rezultātus savos jauno politikas iniciatīvu pieprasījumos. Līdz ar to, ja pieprasījums tiek atbalstīts pilnā apmērā, tad paskaidrojumos norāda rezultatīvo rādītāju vērtības no jauno politikas iniciatīvu pieprasījumiem, bet</w:t>
            </w:r>
            <w:r w:rsidR="00FE3E7E">
              <w:t xml:space="preserve">, </w:t>
            </w:r>
            <w:r w:rsidR="00FE3E7E" w:rsidRPr="00FE3E7E">
              <w:t>ja atbalstītais papildu finansējums atšķirsies no pieprasītā finansējuma</w:t>
            </w:r>
            <w:r w:rsidR="00896F39">
              <w:t>, tad ministrija precizē</w:t>
            </w:r>
            <w:r w:rsidR="00401A2D">
              <w:t>s</w:t>
            </w:r>
            <w:r w:rsidR="00896F39">
              <w:t xml:space="preserve"> rezultatīvo rādītāju plānotās vērtības atbilstoši </w:t>
            </w:r>
            <w:r w:rsidR="003E61B5">
              <w:t xml:space="preserve">akceptētajam </w:t>
            </w:r>
            <w:r w:rsidR="00401A2D">
              <w:t xml:space="preserve">papildu </w:t>
            </w:r>
            <w:r w:rsidR="003E61B5">
              <w:t>piešķīrumam</w:t>
            </w:r>
            <w:r w:rsidR="00896F39">
              <w:t xml:space="preserve">. Noteikumu projekts paredz arī to, ka pēc budžeta likumprojekta izskatīšanas Saeimā otrajā lasījumā, šajā tabulā </w:t>
            </w:r>
            <w:r w:rsidR="003E61B5">
              <w:t>būs jāiekļauj</w:t>
            </w:r>
            <w:r w:rsidR="00896F39">
              <w:t xml:space="preserve"> visi atbalstītie Saeimas otrā lasījuma priekšlikumi</w:t>
            </w:r>
            <w:r>
              <w:t>;</w:t>
            </w:r>
          </w:p>
          <w:p w:rsidR="00D33503" w:rsidRDefault="00D33503">
            <w:pPr>
              <w:snapToGrid w:val="0"/>
              <w:spacing w:after="120"/>
              <w:ind w:left="91" w:right="79"/>
              <w:jc w:val="both"/>
            </w:pPr>
            <w:r>
              <w:t>1.5. tabul</w:t>
            </w:r>
            <w:r w:rsidR="00F9568E">
              <w:t>a</w:t>
            </w:r>
            <w:r>
              <w:t xml:space="preserve"> “Budžeta optimizācijas pasākumi no n+1 līdz n+3</w:t>
            </w:r>
            <w:r w:rsidR="00F9568E">
              <w:t xml:space="preserve"> gadam</w:t>
            </w:r>
            <w:r>
              <w:t>”</w:t>
            </w:r>
            <w:r w:rsidR="00F9568E">
              <w:t>. Arī šī tabula balstās uz budžeta paskaidrojumos jau šobrīd esošo tabulu par optimizācijas pasākumiem, informāciju par finansējuma izmaiņām papildinot ar</w:t>
            </w:r>
            <w:r>
              <w:t xml:space="preserve"> norādītiem  optimizācijas pasākumu īstenošanas rezultātā sagaidāmiem darbības rezultātiem un to rezultatīvajiem rādītājiem, ja tos ir iespējams nodefinēt</w:t>
            </w:r>
            <w:r w:rsidR="003D52A7">
              <w:t>. Šīs informācijas mērķis ir sniegt sabiedrībai priekšstatu par to, kas netiks izdarīts,  kādi pasākumi netiks īstenoti, vai kādi pasākumi tiks īstenoti efektīvāk optimizācijas pasākumu rezultātā</w:t>
            </w:r>
            <w:r w:rsidR="00F44158">
              <w:t>.</w:t>
            </w:r>
          </w:p>
          <w:p w:rsidR="00D33503" w:rsidRDefault="00D33503">
            <w:pPr>
              <w:snapToGrid w:val="0"/>
              <w:spacing w:after="120"/>
              <w:ind w:left="91" w:right="79"/>
              <w:jc w:val="both"/>
              <w:rPr>
                <w:bCs/>
              </w:rPr>
            </w:pPr>
            <w:r>
              <w:t xml:space="preserve">2. </w:t>
            </w:r>
            <w:r>
              <w:rPr>
                <w:bCs/>
              </w:rPr>
              <w:t>Noteikumu projekta paskaidrojumu veidlap</w:t>
            </w:r>
            <w:r w:rsidR="00E66BC8">
              <w:rPr>
                <w:bCs/>
              </w:rPr>
              <w:t>ā</w:t>
            </w:r>
            <w:r>
              <w:rPr>
                <w:bCs/>
              </w:rPr>
              <w:t>s Nr.7(</w:t>
            </w:r>
            <w:proofErr w:type="spellStart"/>
            <w:r>
              <w:rPr>
                <w:bCs/>
              </w:rPr>
              <w:t>pb</w:t>
            </w:r>
            <w:proofErr w:type="spellEnd"/>
            <w:r>
              <w:rPr>
                <w:bCs/>
              </w:rPr>
              <w:t xml:space="preserve">) „Paskaidrojums par ministrijas (citas centrālās valsts iestādes) valsts </w:t>
            </w:r>
            <w:r>
              <w:rPr>
                <w:bCs/>
              </w:rPr>
              <w:lastRenderedPageBreak/>
              <w:t>pamatbudžeta līdzekļu pieprasījumu vidējam termiņam” (17.pielikums) un veidlap</w:t>
            </w:r>
            <w:r w:rsidR="00E0494F">
              <w:rPr>
                <w:bCs/>
              </w:rPr>
              <w:t>ā</w:t>
            </w:r>
            <w:r>
              <w:rPr>
                <w:bCs/>
              </w:rPr>
              <w:t xml:space="preserve"> Nr.7(</w:t>
            </w:r>
            <w:r w:rsidR="007B3950">
              <w:rPr>
                <w:bCs/>
              </w:rPr>
              <w:t>LM</w:t>
            </w:r>
            <w:r>
              <w:rPr>
                <w:bCs/>
              </w:rPr>
              <w:t>) „Paskaidrojums par</w:t>
            </w:r>
            <w:r w:rsidR="007B3950">
              <w:t xml:space="preserve"> </w:t>
            </w:r>
            <w:r w:rsidR="007B3950" w:rsidRPr="007B3950">
              <w:rPr>
                <w:bCs/>
              </w:rPr>
              <w:t>Labklājības</w:t>
            </w:r>
            <w:r w:rsidR="007B3950">
              <w:rPr>
                <w:bCs/>
              </w:rPr>
              <w:t xml:space="preserve"> </w:t>
            </w:r>
            <w:r>
              <w:rPr>
                <w:bCs/>
              </w:rPr>
              <w:t xml:space="preserve"> ministrijas </w:t>
            </w:r>
            <w:r w:rsidR="007B3950" w:rsidRPr="007B3950">
              <w:rPr>
                <w:bCs/>
              </w:rPr>
              <w:t xml:space="preserve">valsts pamatbudžeta un </w:t>
            </w:r>
            <w:r>
              <w:rPr>
                <w:bCs/>
              </w:rPr>
              <w:t xml:space="preserve">valsts speciālā budžeta līdzekļu pieprasījumu vidējam termiņam” (18.pielikums) </w:t>
            </w:r>
            <w:r w:rsidR="00E66BC8">
              <w:rPr>
                <w:bCs/>
              </w:rPr>
              <w:t xml:space="preserve">turpmāk </w:t>
            </w:r>
            <w:r w:rsidR="003E61B5">
              <w:rPr>
                <w:bCs/>
              </w:rPr>
              <w:t>nebūs jā</w:t>
            </w:r>
            <w:r w:rsidR="00E66BC8">
              <w:rPr>
                <w:bCs/>
              </w:rPr>
              <w:t xml:space="preserve">ietver šāda </w:t>
            </w:r>
            <w:r w:rsidR="003E61B5">
              <w:rPr>
                <w:bCs/>
              </w:rPr>
              <w:t xml:space="preserve">veida </w:t>
            </w:r>
            <w:r w:rsidR="00E66BC8">
              <w:rPr>
                <w:bCs/>
              </w:rPr>
              <w:t>informācij</w:t>
            </w:r>
            <w:r w:rsidR="003E61B5">
              <w:rPr>
                <w:bCs/>
              </w:rPr>
              <w:t>u</w:t>
            </w:r>
            <w:r>
              <w:rPr>
                <w:bCs/>
              </w:rPr>
              <w:t>:</w:t>
            </w:r>
          </w:p>
          <w:p w:rsidR="00D33503" w:rsidRDefault="00D33503">
            <w:pPr>
              <w:snapToGrid w:val="0"/>
              <w:spacing w:after="120"/>
              <w:ind w:left="91" w:right="79"/>
              <w:jc w:val="both"/>
              <w:rPr>
                <w:bCs/>
              </w:rPr>
            </w:pPr>
            <w:r>
              <w:rPr>
                <w:bCs/>
              </w:rPr>
              <w:t xml:space="preserve">2.1. dublējoša informācija par </w:t>
            </w:r>
            <w:r w:rsidR="00C329B6">
              <w:rPr>
                <w:bCs/>
              </w:rPr>
              <w:t xml:space="preserve">vairākiem </w:t>
            </w:r>
            <w:r>
              <w:rPr>
                <w:bCs/>
              </w:rPr>
              <w:t xml:space="preserve">finanšu rādītājiem, kura </w:t>
            </w:r>
            <w:r w:rsidR="00E66BC8">
              <w:rPr>
                <w:bCs/>
              </w:rPr>
              <w:t xml:space="preserve">jau </w:t>
            </w:r>
            <w:r>
              <w:rPr>
                <w:bCs/>
              </w:rPr>
              <w:t xml:space="preserve">tiek atspoguļota </w:t>
            </w:r>
            <w:r w:rsidR="00E66BC8">
              <w:rPr>
                <w:bCs/>
              </w:rPr>
              <w:t>l</w:t>
            </w:r>
            <w:r>
              <w:rPr>
                <w:bCs/>
              </w:rPr>
              <w:t>ikuma par valsts budžetu pielikumos</w:t>
            </w:r>
            <w:r w:rsidR="00066EAC">
              <w:rPr>
                <w:bCs/>
              </w:rPr>
              <w:t xml:space="preserve"> – resora kopsavilkuma finansiālo rādītāju tabulas, resora kopsavilkuma finansiālie rādītāji sadalījumā pa valsts pamatfunkciju bloku un ES projektu bloku, budžeta programmu (apakšprogrammu) atsevišķie finansiālie rādītāji</w:t>
            </w:r>
            <w:r>
              <w:rPr>
                <w:bCs/>
              </w:rPr>
              <w:t>;</w:t>
            </w:r>
          </w:p>
          <w:p w:rsidR="00D0379E" w:rsidRDefault="00D0379E">
            <w:pPr>
              <w:snapToGrid w:val="0"/>
              <w:spacing w:after="120"/>
              <w:ind w:left="91" w:right="79"/>
              <w:jc w:val="both"/>
              <w:rPr>
                <w:bCs/>
              </w:rPr>
            </w:pPr>
            <w:r>
              <w:rPr>
                <w:bCs/>
              </w:rPr>
              <w:t>2.2. f</w:t>
            </w:r>
            <w:r w:rsidRPr="00D0379E">
              <w:rPr>
                <w:bCs/>
              </w:rPr>
              <w:t>inanšu rādītāji, amatu vietu skaits un darbības rezultatīvie rādītāji</w:t>
            </w:r>
            <w:r w:rsidR="00416C03">
              <w:rPr>
                <w:bCs/>
              </w:rPr>
              <w:t xml:space="preserve"> </w:t>
            </w:r>
            <w:r w:rsidRPr="00D0379E">
              <w:rPr>
                <w:bCs/>
              </w:rPr>
              <w:t>par n-3 un n-2 gadiem, lai mazinātu detalizācijas pakāpi un lai informācija būtu pārskatāmāka, kā arī mazinot administratīvo slogu</w:t>
            </w:r>
            <w:r w:rsidR="000D6D64">
              <w:rPr>
                <w:bCs/>
              </w:rPr>
              <w:t>;</w:t>
            </w:r>
          </w:p>
          <w:p w:rsidR="00D33503" w:rsidRDefault="00D33503">
            <w:pPr>
              <w:snapToGrid w:val="0"/>
              <w:spacing w:after="120"/>
              <w:ind w:left="91" w:right="79"/>
              <w:jc w:val="both"/>
              <w:rPr>
                <w:bCs/>
              </w:rPr>
            </w:pPr>
            <w:r>
              <w:rPr>
                <w:bCs/>
              </w:rPr>
              <w:t>2.</w:t>
            </w:r>
            <w:r w:rsidR="00B63A67">
              <w:rPr>
                <w:bCs/>
              </w:rPr>
              <w:t>3</w:t>
            </w:r>
            <w:r>
              <w:rPr>
                <w:bCs/>
              </w:rPr>
              <w:t xml:space="preserve">. informācija par ministriju sniegtajiem skaidrojumiem par apropriāciju apmēra izmaiņām n gadā </w:t>
            </w:r>
            <w:r w:rsidR="00C329B6">
              <w:rPr>
                <w:bCs/>
              </w:rPr>
              <w:t>pēc sākotnējā plāna pieņemšanas</w:t>
            </w:r>
            <w:r w:rsidR="003E61B5">
              <w:rPr>
                <w:bCs/>
              </w:rPr>
              <w:t>, jo</w:t>
            </w:r>
            <w:r w:rsidR="00C329B6">
              <w:rPr>
                <w:bCs/>
              </w:rPr>
              <w:t xml:space="preserve"> </w:t>
            </w:r>
            <w:r w:rsidR="003E61B5">
              <w:rPr>
                <w:bCs/>
              </w:rPr>
              <w:t xml:space="preserve">par </w:t>
            </w:r>
            <w:r w:rsidR="00C329B6">
              <w:rPr>
                <w:bCs/>
              </w:rPr>
              <w:t>apropriāciju apmēra izmaiņām Saeima tiek regulāri informēta budžeta izpildes procesā</w:t>
            </w:r>
            <w:r>
              <w:rPr>
                <w:bCs/>
              </w:rPr>
              <w:t>;</w:t>
            </w:r>
          </w:p>
          <w:p w:rsidR="00066EAC" w:rsidRDefault="00D33503">
            <w:pPr>
              <w:snapToGrid w:val="0"/>
              <w:spacing w:after="120"/>
              <w:ind w:left="91" w:right="79"/>
              <w:jc w:val="both"/>
              <w:rPr>
                <w:bCs/>
              </w:rPr>
            </w:pPr>
            <w:r>
              <w:rPr>
                <w:bCs/>
              </w:rPr>
              <w:t>2.</w:t>
            </w:r>
            <w:r w:rsidR="00B63A67">
              <w:rPr>
                <w:bCs/>
              </w:rPr>
              <w:t>4</w:t>
            </w:r>
            <w:r>
              <w:rPr>
                <w:bCs/>
              </w:rPr>
              <w:t xml:space="preserve">. budžeta programmu (apakšprogrammu) sadaļā informācija par sasaisti ar spēkā esošajiem attīstības plānošanas dokumentiem, jo </w:t>
            </w:r>
            <w:r w:rsidR="005349DA">
              <w:rPr>
                <w:bCs/>
              </w:rPr>
              <w:t>K</w:t>
            </w:r>
            <w:r>
              <w:rPr>
                <w:bCs/>
              </w:rPr>
              <w:t xml:space="preserve">artēs katrā jomā tiks </w:t>
            </w:r>
            <w:r w:rsidR="008650B8">
              <w:rPr>
                <w:bCs/>
              </w:rPr>
              <w:t xml:space="preserve">nosaukts svarīgākais </w:t>
            </w:r>
            <w:r>
              <w:rPr>
                <w:bCs/>
              </w:rPr>
              <w:t>mērķis, rezultatīvie rādītāji un  rezultāti, kas izrietēs no attīstības plānošanas dokumentiem vai normatīvajiem aktiem</w:t>
            </w:r>
            <w:r w:rsidR="00451913">
              <w:rPr>
                <w:bCs/>
              </w:rPr>
              <w:t xml:space="preserve">. Šeit ir svarīgi uzsvērt, ka </w:t>
            </w:r>
            <w:r w:rsidR="005349DA">
              <w:t>K</w:t>
            </w:r>
            <w:r w:rsidR="00451913">
              <w:t>artē norādāmiem politikas rezultatīvajiem rādītājiem ir patiešām jāizriet no  attīstības plānošanas dokumentiem</w:t>
            </w:r>
            <w:r w:rsidR="00451913" w:rsidRPr="00DF29F1">
              <w:t xml:space="preserve"> </w:t>
            </w:r>
            <w:r w:rsidR="00451913">
              <w:t xml:space="preserve">(t.sk. stratēģijām) </w:t>
            </w:r>
            <w:r w:rsidR="00451913" w:rsidRPr="00DF29F1">
              <w:t>vai normatīv</w:t>
            </w:r>
            <w:r w:rsidR="00451913">
              <w:t>ajiem aktiem, lai nodrošinātu budžeta plānošanas un politikas plānošanas sasaisti</w:t>
            </w:r>
            <w:r w:rsidR="00066EAC">
              <w:rPr>
                <w:bCs/>
              </w:rPr>
              <w:t>;</w:t>
            </w:r>
          </w:p>
          <w:p w:rsidR="00BE4977" w:rsidRDefault="00066EAC">
            <w:pPr>
              <w:snapToGrid w:val="0"/>
              <w:spacing w:after="120"/>
              <w:ind w:left="91" w:right="79"/>
              <w:jc w:val="both"/>
              <w:rPr>
                <w:bCs/>
              </w:rPr>
            </w:pPr>
            <w:r>
              <w:rPr>
                <w:bCs/>
              </w:rPr>
              <w:t>2.</w:t>
            </w:r>
            <w:r w:rsidR="00B63A67">
              <w:rPr>
                <w:bCs/>
              </w:rPr>
              <w:t>5</w:t>
            </w:r>
            <w:r w:rsidR="00D33503">
              <w:rPr>
                <w:bCs/>
              </w:rPr>
              <w:t>.</w:t>
            </w:r>
            <w:r>
              <w:rPr>
                <w:bCs/>
              </w:rPr>
              <w:t xml:space="preserve"> informācija par ministrijas programmu (apakšprogrammu) procentuālo īpatsvaru ministrijas kopējos izdevumos</w:t>
            </w:r>
            <w:r w:rsidR="00F23818">
              <w:rPr>
                <w:bCs/>
              </w:rPr>
              <w:t>;</w:t>
            </w:r>
          </w:p>
          <w:p w:rsidR="00D33503" w:rsidRDefault="00BE4977">
            <w:pPr>
              <w:snapToGrid w:val="0"/>
              <w:spacing w:after="120"/>
              <w:ind w:left="91" w:right="79"/>
              <w:jc w:val="both"/>
              <w:rPr>
                <w:bCs/>
              </w:rPr>
            </w:pPr>
            <w:r>
              <w:rPr>
                <w:bCs/>
              </w:rPr>
              <w:t>2.</w:t>
            </w:r>
            <w:r w:rsidR="00B63A67">
              <w:rPr>
                <w:bCs/>
              </w:rPr>
              <w:t>6</w:t>
            </w:r>
            <w:r>
              <w:rPr>
                <w:bCs/>
              </w:rPr>
              <w:t xml:space="preserve">. tiek vienkāršota, saīsināta un sistematizēta informācija par </w:t>
            </w:r>
            <w:r w:rsidR="00383754">
              <w:rPr>
                <w:bCs/>
              </w:rPr>
              <w:t xml:space="preserve">finansiālo rādītāju </w:t>
            </w:r>
            <w:r w:rsidR="0001242F">
              <w:rPr>
                <w:bCs/>
              </w:rPr>
              <w:t>izmaiņām, salīdzinot n+1 gada projektu</w:t>
            </w:r>
            <w:r w:rsidR="00383754">
              <w:rPr>
                <w:bCs/>
              </w:rPr>
              <w:t xml:space="preserve"> ar n gada plānu – turpmāk netiks skaidrotas resursu izmaiņas un finansēšanas pozīciju izmaiņas (jo šīs izmaiņas primāri seko izmaiņām izdevumos), izņemot gadījumus</w:t>
            </w:r>
            <w:r w:rsidR="003E61B5">
              <w:rPr>
                <w:bCs/>
              </w:rPr>
              <w:t>,</w:t>
            </w:r>
            <w:r w:rsidR="00383754">
              <w:rPr>
                <w:bCs/>
              </w:rPr>
              <w:t xml:space="preserve"> ja finansēšanas pozīcijas ir tiešā veidā vērstas uz programmas (apakšprogrammas) mērķa sasniegšanu (rādītāji “Aizņēmumi”, </w:t>
            </w:r>
            <w:r w:rsidR="00F23818">
              <w:rPr>
                <w:bCs/>
              </w:rPr>
              <w:t xml:space="preserve">“Aizdevumi”, </w:t>
            </w:r>
            <w:r w:rsidR="00383754">
              <w:rPr>
                <w:bCs/>
              </w:rPr>
              <w:t xml:space="preserve">“Akcijas un </w:t>
            </w:r>
            <w:r w:rsidR="00F23818">
              <w:rPr>
                <w:bCs/>
              </w:rPr>
              <w:t>cita līdzdalība komersantu pašu kapitālā</w:t>
            </w:r>
            <w:r w:rsidR="00383754">
              <w:rPr>
                <w:bCs/>
              </w:rPr>
              <w:t>”). Savukārt</w:t>
            </w:r>
            <w:r w:rsidR="003E61B5">
              <w:rPr>
                <w:bCs/>
              </w:rPr>
              <w:t>,</w:t>
            </w:r>
            <w:r w:rsidR="00383754">
              <w:rPr>
                <w:bCs/>
              </w:rPr>
              <w:t xml:space="preserve"> informācija par izdevumu izmaiņām tiks sistematizēta tā, lai viena pasākuma izmaiņas tiktu skaidrotas paskaidrojumos vienreiz un vienuviet, novēršot pašreizējo situāciju, kad pasākuma samazinājums </w:t>
            </w:r>
            <w:r w:rsidR="00956D08">
              <w:rPr>
                <w:bCs/>
              </w:rPr>
              <w:t>un palielinājums tiek skaidroti atsevišķās sadaļās, lai arī pēc būtības izmaiņas nenot</w:t>
            </w:r>
            <w:r w:rsidR="005037C5">
              <w:rPr>
                <w:bCs/>
              </w:rPr>
              <w:t>i</w:t>
            </w:r>
            <w:r w:rsidR="00956D08">
              <w:rPr>
                <w:bCs/>
              </w:rPr>
              <w:t xml:space="preserve">ek. Turpmāk ministrijām nebūs jānorāda izmaiņu sadalījums pa </w:t>
            </w:r>
            <w:r w:rsidR="00B23046">
              <w:rPr>
                <w:bCs/>
              </w:rPr>
              <w:t xml:space="preserve">izdevumu </w:t>
            </w:r>
            <w:r w:rsidR="00956D08">
              <w:rPr>
                <w:bCs/>
              </w:rPr>
              <w:t xml:space="preserve">ekonomiskās klasifikācijas kodiem, tādējādi </w:t>
            </w:r>
            <w:r w:rsidR="008650B8">
              <w:rPr>
                <w:bCs/>
              </w:rPr>
              <w:t>uzsvars tiks likts uz</w:t>
            </w:r>
            <w:r w:rsidR="00956D08">
              <w:rPr>
                <w:bCs/>
              </w:rPr>
              <w:t xml:space="preserve"> pasākuma būtības aprakstu.</w:t>
            </w:r>
            <w:r w:rsidR="008650B8">
              <w:rPr>
                <w:bCs/>
              </w:rPr>
              <w:t xml:space="preserve"> </w:t>
            </w:r>
            <w:r w:rsidR="00066EAC">
              <w:rPr>
                <w:bCs/>
              </w:rPr>
              <w:t xml:space="preserve"> </w:t>
            </w:r>
            <w:r w:rsidR="006C29A7">
              <w:rPr>
                <w:bCs/>
              </w:rPr>
              <w:t xml:space="preserve">Tā kā saskaņā ar 2016. gada </w:t>
            </w:r>
            <w:r w:rsidR="006C29A7" w:rsidRPr="001F54AC">
              <w:rPr>
                <w:bCs/>
              </w:rPr>
              <w:t>31.</w:t>
            </w:r>
            <w:r w:rsidR="006C29A7">
              <w:rPr>
                <w:bCs/>
              </w:rPr>
              <w:t xml:space="preserve"> </w:t>
            </w:r>
            <w:r w:rsidR="006C29A7" w:rsidRPr="001F54AC">
              <w:rPr>
                <w:bCs/>
              </w:rPr>
              <w:t>maija M</w:t>
            </w:r>
            <w:r w:rsidR="006C29A7">
              <w:rPr>
                <w:bCs/>
              </w:rPr>
              <w:t>inistru kabineta</w:t>
            </w:r>
            <w:r w:rsidR="006C29A7" w:rsidRPr="001F54AC">
              <w:rPr>
                <w:bCs/>
              </w:rPr>
              <w:t xml:space="preserve"> sēdes protokola Nr.26 39.§ 23.punktā paredzēto</w:t>
            </w:r>
            <w:r w:rsidR="006C29A7">
              <w:rPr>
                <w:bCs/>
              </w:rPr>
              <w:t xml:space="preserve"> </w:t>
            </w:r>
            <w:proofErr w:type="spellStart"/>
            <w:r w:rsidR="006C29A7">
              <w:rPr>
                <w:bCs/>
              </w:rPr>
              <w:t>a</w:t>
            </w:r>
            <w:r w:rsidR="006C29A7" w:rsidRPr="001F54AC">
              <w:rPr>
                <w:bCs/>
              </w:rPr>
              <w:t>pakšpozīcija</w:t>
            </w:r>
            <w:proofErr w:type="spellEnd"/>
            <w:r w:rsidR="006C29A7" w:rsidRPr="001F54AC">
              <w:rPr>
                <w:bCs/>
              </w:rPr>
              <w:t xml:space="preserve"> “Atalgojums” vairs netiks izdalīta valsts budžeta likuma struktūrā, </w:t>
            </w:r>
            <w:r w:rsidR="006C29A7">
              <w:rPr>
                <w:bCs/>
              </w:rPr>
              <w:t>tad arī</w:t>
            </w:r>
            <w:r w:rsidR="006C29A7" w:rsidRPr="001F54AC">
              <w:rPr>
                <w:bCs/>
              </w:rPr>
              <w:t xml:space="preserve"> paskaidrojumu veidlapu Nr.7(</w:t>
            </w:r>
            <w:proofErr w:type="spellStart"/>
            <w:r w:rsidR="006C29A7" w:rsidRPr="001F54AC">
              <w:rPr>
                <w:bCs/>
              </w:rPr>
              <w:t>pb</w:t>
            </w:r>
            <w:proofErr w:type="spellEnd"/>
            <w:r w:rsidR="006C29A7" w:rsidRPr="001F54AC">
              <w:rPr>
                <w:bCs/>
              </w:rPr>
              <w:t xml:space="preserve">) un </w:t>
            </w:r>
            <w:r w:rsidR="006C29A7" w:rsidRPr="001F54AC">
              <w:rPr>
                <w:bCs/>
              </w:rPr>
              <w:lastRenderedPageBreak/>
              <w:t>Nr.7(</w:t>
            </w:r>
            <w:r w:rsidR="006C29A7">
              <w:rPr>
                <w:bCs/>
              </w:rPr>
              <w:t>LM</w:t>
            </w:r>
            <w:r w:rsidR="006C29A7" w:rsidRPr="001F54AC">
              <w:rPr>
                <w:bCs/>
              </w:rPr>
              <w:t>) tabulā “Finansiālie rādītāji no</w:t>
            </w:r>
            <w:r w:rsidR="006C29A7">
              <w:rPr>
                <w:bCs/>
              </w:rPr>
              <w:t xml:space="preserve"> n-1 līdz n+3 gadam” rādītājs </w:t>
            </w:r>
            <w:r w:rsidR="006C29A7" w:rsidRPr="001F54AC">
              <w:rPr>
                <w:bCs/>
                <w:i/>
              </w:rPr>
              <w:t xml:space="preserve">“t.sk. atalgojums, </w:t>
            </w:r>
            <w:proofErr w:type="spellStart"/>
            <w:r w:rsidR="006C29A7" w:rsidRPr="001F54AC">
              <w:rPr>
                <w:bCs/>
                <w:i/>
              </w:rPr>
              <w:t>euro</w:t>
            </w:r>
            <w:proofErr w:type="spellEnd"/>
            <w:r w:rsidR="006C29A7" w:rsidRPr="001F54AC">
              <w:rPr>
                <w:bCs/>
                <w:i/>
              </w:rPr>
              <w:t>”</w:t>
            </w:r>
            <w:r w:rsidR="006C29A7" w:rsidRPr="001F54AC">
              <w:rPr>
                <w:bCs/>
              </w:rPr>
              <w:t xml:space="preserve"> </w:t>
            </w:r>
            <w:r w:rsidR="006C29A7">
              <w:rPr>
                <w:bCs/>
              </w:rPr>
              <w:t>turpmāk</w:t>
            </w:r>
            <w:r w:rsidR="006C29A7" w:rsidRPr="001F54AC">
              <w:rPr>
                <w:bCs/>
              </w:rPr>
              <w:t xml:space="preserve"> </w:t>
            </w:r>
            <w:r w:rsidR="006C29A7">
              <w:rPr>
                <w:bCs/>
              </w:rPr>
              <w:t xml:space="preserve">netiks </w:t>
            </w:r>
            <w:r w:rsidR="006C29A7" w:rsidRPr="001F54AC">
              <w:rPr>
                <w:bCs/>
              </w:rPr>
              <w:t>atspoguļots.</w:t>
            </w:r>
          </w:p>
          <w:p w:rsidR="00E0494F" w:rsidRDefault="00E0494F">
            <w:pPr>
              <w:snapToGrid w:val="0"/>
              <w:spacing w:after="120"/>
              <w:ind w:left="91" w:right="79"/>
              <w:jc w:val="both"/>
              <w:rPr>
                <w:bCs/>
              </w:rPr>
            </w:pPr>
            <w:r>
              <w:rPr>
                <w:bCs/>
              </w:rPr>
              <w:t>3. Noteikumu projekta paskaidrojumu veidlapā Nr.7(</w:t>
            </w:r>
            <w:proofErr w:type="spellStart"/>
            <w:r>
              <w:rPr>
                <w:bCs/>
              </w:rPr>
              <w:t>pb</w:t>
            </w:r>
            <w:proofErr w:type="spellEnd"/>
            <w:r>
              <w:rPr>
                <w:bCs/>
              </w:rPr>
              <w:t>) „Paskaidrojums par ministrijas (citas centrālās valsts iestādes) valsts pamatbudžeta līdzekļu pieprasījumu vidējam termiņam” (17.pielikums) un veidlapā Nr.7(</w:t>
            </w:r>
            <w:r w:rsidR="00936191">
              <w:rPr>
                <w:bCs/>
              </w:rPr>
              <w:t>LM</w:t>
            </w:r>
            <w:r>
              <w:rPr>
                <w:bCs/>
              </w:rPr>
              <w:t>) „Paskaidrojums par</w:t>
            </w:r>
            <w:r w:rsidR="00936191">
              <w:t xml:space="preserve"> </w:t>
            </w:r>
            <w:r w:rsidR="00936191" w:rsidRPr="00936191">
              <w:rPr>
                <w:bCs/>
              </w:rPr>
              <w:t>Labklājības</w:t>
            </w:r>
            <w:r w:rsidR="00936191">
              <w:rPr>
                <w:bCs/>
              </w:rPr>
              <w:t xml:space="preserve"> </w:t>
            </w:r>
            <w:r>
              <w:rPr>
                <w:bCs/>
              </w:rPr>
              <w:t xml:space="preserve"> ministrijas  </w:t>
            </w:r>
            <w:r w:rsidR="00936191" w:rsidRPr="00936191">
              <w:rPr>
                <w:bCs/>
              </w:rPr>
              <w:t xml:space="preserve">valsts pamatbudžeta un </w:t>
            </w:r>
            <w:r>
              <w:rPr>
                <w:bCs/>
              </w:rPr>
              <w:t xml:space="preserve">valsts speciālā budžeta līdzekļu pieprasījumu vidējam termiņam” (18.pielikums) </w:t>
            </w:r>
            <w:r w:rsidR="00C329B6">
              <w:rPr>
                <w:bCs/>
              </w:rPr>
              <w:t xml:space="preserve">jau šobrīd esošā informācija par izdevumiem un to izmaiņām pa gadiem, vidējo amata vietu skaitu, vidējo atlīdzību </w:t>
            </w:r>
            <w:r>
              <w:rPr>
                <w:bCs/>
              </w:rPr>
              <w:t>tiks pārstrukturēta</w:t>
            </w:r>
            <w:r w:rsidR="00C329B6">
              <w:rPr>
                <w:bCs/>
              </w:rPr>
              <w:t>.</w:t>
            </w:r>
            <w:r>
              <w:rPr>
                <w:bCs/>
              </w:rPr>
              <w:t xml:space="preserve"> </w:t>
            </w:r>
            <w:r w:rsidR="00C329B6">
              <w:rPr>
                <w:bCs/>
              </w:rPr>
              <w:t>T</w:t>
            </w:r>
            <w:r>
              <w:rPr>
                <w:bCs/>
              </w:rPr>
              <w:t xml:space="preserve">urpmāk </w:t>
            </w:r>
            <w:r w:rsidR="00C329B6">
              <w:rPr>
                <w:bCs/>
              </w:rPr>
              <w:t>šī informācija</w:t>
            </w:r>
            <w:r w:rsidR="00D609AD">
              <w:rPr>
                <w:bCs/>
              </w:rPr>
              <w:t xml:space="preserve"> </w:t>
            </w:r>
            <w:r w:rsidR="005037C5">
              <w:rPr>
                <w:bCs/>
              </w:rPr>
              <w:t xml:space="preserve">paskaidrojumos </w:t>
            </w:r>
            <w:r w:rsidR="00D609AD">
              <w:rPr>
                <w:bCs/>
              </w:rPr>
              <w:t>tiks</w:t>
            </w:r>
            <w:r>
              <w:rPr>
                <w:bCs/>
              </w:rPr>
              <w:t xml:space="preserve"> </w:t>
            </w:r>
            <w:r w:rsidR="005037C5">
              <w:rPr>
                <w:bCs/>
              </w:rPr>
              <w:t xml:space="preserve">atspoguļota </w:t>
            </w:r>
            <w:r>
              <w:rPr>
                <w:bCs/>
              </w:rPr>
              <w:t>kompaktākā veid</w:t>
            </w:r>
            <w:r w:rsidR="005037C5">
              <w:rPr>
                <w:bCs/>
              </w:rPr>
              <w:t>ā</w:t>
            </w:r>
            <w:r w:rsidR="00C329B6">
              <w:rPr>
                <w:bCs/>
              </w:rPr>
              <w:t>.</w:t>
            </w:r>
            <w:r w:rsidR="001F54AC">
              <w:rPr>
                <w:bCs/>
              </w:rPr>
              <w:t xml:space="preserve"> </w:t>
            </w:r>
          </w:p>
          <w:p w:rsidR="00D33503" w:rsidRDefault="00E0494F" w:rsidP="00595FCB">
            <w:pPr>
              <w:snapToGrid w:val="0"/>
              <w:spacing w:after="120"/>
              <w:ind w:left="91" w:right="79"/>
              <w:jc w:val="both"/>
              <w:rPr>
                <w:bCs/>
              </w:rPr>
            </w:pPr>
            <w:r>
              <w:rPr>
                <w:bCs/>
              </w:rPr>
              <w:t>4</w:t>
            </w:r>
            <w:r w:rsidR="00D33503">
              <w:rPr>
                <w:bCs/>
              </w:rPr>
              <w:t>.  Noteikumu proje</w:t>
            </w:r>
            <w:r w:rsidR="00595FCB">
              <w:rPr>
                <w:bCs/>
              </w:rPr>
              <w:t>kta paskaidrojumu veidlapas Nr.</w:t>
            </w:r>
            <w:r w:rsidR="00D33503">
              <w:rPr>
                <w:bCs/>
              </w:rPr>
              <w:t>8 "Jauno politikas iniciatīvu</w:t>
            </w:r>
            <w:r w:rsidR="005037C5">
              <w:rPr>
                <w:bCs/>
              </w:rPr>
              <w:t xml:space="preserve"> un</w:t>
            </w:r>
            <w:r w:rsidR="005349DA">
              <w:rPr>
                <w:bCs/>
              </w:rPr>
              <w:t xml:space="preserve"> citu</w:t>
            </w:r>
            <w:r w:rsidR="005037C5">
              <w:rPr>
                <w:bCs/>
              </w:rPr>
              <w:t xml:space="preserve"> prioritāru p</w:t>
            </w:r>
            <w:r w:rsidR="00A608F1">
              <w:rPr>
                <w:bCs/>
              </w:rPr>
              <w:t>a</w:t>
            </w:r>
            <w:r w:rsidR="005037C5">
              <w:rPr>
                <w:bCs/>
              </w:rPr>
              <w:t>sākumu</w:t>
            </w:r>
            <w:r w:rsidR="00D33503">
              <w:rPr>
                <w:bCs/>
              </w:rPr>
              <w:t xml:space="preserve"> saraksts vidējam termiņam" (</w:t>
            </w:r>
            <w:r w:rsidR="00595FCB">
              <w:rPr>
                <w:bCs/>
              </w:rPr>
              <w:t>19.pielikums) un veidlapas Nr.</w:t>
            </w:r>
            <w:r w:rsidR="00D33503">
              <w:rPr>
                <w:bCs/>
              </w:rPr>
              <w:t xml:space="preserve">9 "Optimizācijas pasākumu un reformu saraksts vidējam termiņam" (20.pielikums) tabulas tiks papildinātas ar kolonu “Funkciju klasifikācijas kods”, lai varētu veikt </w:t>
            </w:r>
            <w:r>
              <w:rPr>
                <w:bCs/>
              </w:rPr>
              <w:t xml:space="preserve">minēto pasākumu </w:t>
            </w:r>
            <w:r w:rsidR="00D33503">
              <w:rPr>
                <w:bCs/>
              </w:rPr>
              <w:t>uzskaiti un analīzi dalījumā pa funkciju klasifikācijas kodiem.</w:t>
            </w:r>
          </w:p>
          <w:p w:rsidR="00C514AC" w:rsidRDefault="00C514AC" w:rsidP="00C514AC">
            <w:pPr>
              <w:snapToGrid w:val="0"/>
              <w:spacing w:after="120"/>
              <w:ind w:left="91" w:right="79"/>
              <w:jc w:val="both"/>
              <w:rPr>
                <w:bCs/>
              </w:rPr>
            </w:pPr>
            <w:r>
              <w:rPr>
                <w:bCs/>
              </w:rPr>
              <w:t>5. Noteikumu projekts</w:t>
            </w:r>
            <w:r w:rsidRPr="00C514AC">
              <w:rPr>
                <w:bCs/>
              </w:rPr>
              <w:t xml:space="preserve"> </w:t>
            </w:r>
            <w:r>
              <w:rPr>
                <w:bCs/>
              </w:rPr>
              <w:t>papildināts ar veidlapu</w:t>
            </w:r>
            <w:r>
              <w:t xml:space="preserve"> </w:t>
            </w:r>
            <w:r w:rsidRPr="00C514AC">
              <w:rPr>
                <w:bCs/>
              </w:rPr>
              <w:t>Nr.9.</w:t>
            </w:r>
            <w:r w:rsidRPr="00C514AC">
              <w:rPr>
                <w:bCs/>
                <w:vertAlign w:val="superscript"/>
              </w:rPr>
              <w:t>1</w:t>
            </w:r>
            <w:r w:rsidRPr="00C514AC">
              <w:rPr>
                <w:bCs/>
              </w:rPr>
              <w:t xml:space="preserve"> “Reformas no n+1 līdz n+3 gadam” (20.</w:t>
            </w:r>
            <w:r w:rsidRPr="00C514AC">
              <w:rPr>
                <w:bCs/>
                <w:vertAlign w:val="superscript"/>
              </w:rPr>
              <w:t>1</w:t>
            </w:r>
            <w:r w:rsidRPr="00C514AC">
              <w:rPr>
                <w:bCs/>
              </w:rPr>
              <w:t>pielikums)</w:t>
            </w:r>
            <w:r>
              <w:rPr>
                <w:bCs/>
              </w:rPr>
              <w:t>, kur</w:t>
            </w:r>
            <w:r w:rsidRPr="00C514AC">
              <w:rPr>
                <w:bCs/>
              </w:rPr>
              <w:t xml:space="preserve"> ministrija</w:t>
            </w:r>
            <w:r>
              <w:rPr>
                <w:bCs/>
              </w:rPr>
              <w:t>s</w:t>
            </w:r>
            <w:r w:rsidRPr="00C514AC">
              <w:rPr>
                <w:bCs/>
              </w:rPr>
              <w:t xml:space="preserve"> sniedz skaidrojumu par Ministru kabineta, Ministru prezidenta, vai konstitucionālo iestāžu apstiprinātām reformām no n+1 līdz n+3 gadam, kam gadskārtējā valsts budžeta likuma projektā tiek plānots finansējums.</w:t>
            </w:r>
            <w:r w:rsidR="0089274D">
              <w:rPr>
                <w:bCs/>
              </w:rPr>
              <w:t xml:space="preserve"> </w:t>
            </w:r>
            <w:r w:rsidR="0089274D" w:rsidRPr="0089274D">
              <w:rPr>
                <w:bCs/>
              </w:rPr>
              <w:t>Tabulā norāda reformas īstenošanai nepieciešamo finansējumu (papildu piešķīrumus un arī finansējuma iekšējās pārdales, ja tādas tiek veiktas), kā arī sniedz  skaidrojumu  par reformas ietekmi un kompensējošiem pasākumiem (sagaidāmā ieguvuma un samazinājuma ietekmes apraksts).</w:t>
            </w:r>
          </w:p>
          <w:p w:rsidR="004B4A94" w:rsidRPr="004B4A94" w:rsidRDefault="00C514AC" w:rsidP="00B15AA8">
            <w:pPr>
              <w:snapToGrid w:val="0"/>
              <w:ind w:left="91" w:right="79"/>
              <w:jc w:val="both"/>
              <w:rPr>
                <w:bCs/>
              </w:rPr>
            </w:pPr>
            <w:r w:rsidRPr="00080C55">
              <w:rPr>
                <w:bCs/>
              </w:rPr>
              <w:t>6.</w:t>
            </w:r>
            <w:r w:rsidR="00A92FA4" w:rsidRPr="00080C55">
              <w:rPr>
                <w:bCs/>
              </w:rPr>
              <w:t xml:space="preserve"> </w:t>
            </w:r>
            <w:r w:rsidR="004B4A94" w:rsidRPr="004B4A94">
              <w:rPr>
                <w:bCs/>
              </w:rPr>
              <w:t>Darba likuma regulējums neparedz darbinieku dalīšanu "štata un ārštata darbiniekos", bet gan paredz normālu darba laiku, nepilnu darba laiku, beztermiņa un terminētas darba tiesiskās attiecības (piemēram, sezonas darbiem). Arī Valsts un pašvaldību institūciju amatpersonu un darbinieku atlīdzības likums” (turpmāk – Atlīdzības likums) neparedz šādu dalījumu. Valsts pārvaldē nodarbināti ir ierēdņi un darbinieki, kas tiek iekļauti iestādes amatu sarakstā. Ministru kabineta 2010.gada 21.jūnija noteikumos Nr. 541 “Noteikumi par valsts un pašvaldību institūciju amatpersonu un darbinieku atlīdzības uzskaites sistēmu” (turpmāk – Atlīdzības uzskaites sistēma) no 2016.gada 27.maija ir stājušies spēkā grozījumi, kas nosaka ka iestādes kopējam amata vietu skaitam, kas tiek uzrādīts Atlīdzības uzskaites sistēmā ir jābūt vienādam ar amata vietu skaitu, kas norādīts ar iestādes vadītāja parakstu apstiprinātajā amatu sarakstā konkrētajā pārskatu periodā.</w:t>
            </w:r>
          </w:p>
          <w:p w:rsidR="004B4A94" w:rsidRDefault="004B4A94" w:rsidP="004B4A94">
            <w:pPr>
              <w:snapToGrid w:val="0"/>
              <w:ind w:left="91" w:right="79"/>
              <w:jc w:val="both"/>
              <w:rPr>
                <w:bCs/>
              </w:rPr>
            </w:pPr>
            <w:r w:rsidRPr="004B4A94">
              <w:rPr>
                <w:bCs/>
              </w:rPr>
              <w:t xml:space="preserve">Normatīvais regulējums, kurā tiek izmantots termins “ārštata” ir tikai Ministru kabineta 2004.gada 18.maija noteikumi Nr.495 “Noteikumi par Ministru kabineta locekļa ārštata konsultatīvā darbinieka statusu un kompetenci”. Lai turpmāk korekti un precīzi izmantotu jēdzienu “ārštata darbinieks” saskaņā ar spēkā esošajiem normatīvajiem </w:t>
            </w:r>
            <w:r w:rsidRPr="004B4A94">
              <w:rPr>
                <w:bCs/>
              </w:rPr>
              <w:lastRenderedPageBreak/>
              <w:t>aktiem, tiek precizēt</w:t>
            </w:r>
            <w:r w:rsidR="00D9405B">
              <w:rPr>
                <w:bCs/>
              </w:rPr>
              <w:t>a</w:t>
            </w:r>
            <w:r w:rsidRPr="004B4A94">
              <w:rPr>
                <w:bCs/>
              </w:rPr>
              <w:t xml:space="preserve"> 33.pielikum</w:t>
            </w:r>
            <w:r w:rsidR="00D9405B">
              <w:rPr>
                <w:bCs/>
              </w:rPr>
              <w:t>a veidlapa Nr. </w:t>
            </w:r>
            <w:r w:rsidR="00D9405B" w:rsidRPr="004B4A94">
              <w:rPr>
                <w:bCs/>
              </w:rPr>
              <w:t>20 “Valsts budžeta programmu (apakšprogrammu) atlīdzības pieprasījums n+1 gadam”</w:t>
            </w:r>
            <w:r>
              <w:rPr>
                <w:bCs/>
              </w:rPr>
              <w:t>:</w:t>
            </w:r>
          </w:p>
          <w:p w:rsidR="004B4A94" w:rsidRDefault="004B4A94" w:rsidP="004B4A94">
            <w:pPr>
              <w:snapToGrid w:val="0"/>
              <w:ind w:left="91" w:right="79"/>
              <w:jc w:val="both"/>
              <w:rPr>
                <w:bCs/>
              </w:rPr>
            </w:pPr>
            <w:r>
              <w:rPr>
                <w:bCs/>
              </w:rPr>
              <w:t xml:space="preserve">- </w:t>
            </w:r>
            <w:r w:rsidRPr="004B4A94">
              <w:rPr>
                <w:bCs/>
              </w:rPr>
              <w:t>tiek papildināta ar jaunu piezīmi, kas nosaka – par ārštata darbiniek</w:t>
            </w:r>
            <w:r w:rsidR="00073DAF">
              <w:rPr>
                <w:bCs/>
              </w:rPr>
              <w:t>iem</w:t>
            </w:r>
            <w:r w:rsidRPr="004B4A94">
              <w:rPr>
                <w:bCs/>
              </w:rPr>
              <w:t xml:space="preserve"> uzskatāmi tie strādājošie, kas pieņemti darbā saskaņā ar Ministru kabineta 2004.gada 18.maija noteikumiem Nr.495 “Noteikumi par Ministru kabineta locekļa ārštata konsultatīvā darbinieka statusu un kompetenci”</w:t>
            </w:r>
            <w:r>
              <w:rPr>
                <w:bCs/>
              </w:rPr>
              <w:t>;</w:t>
            </w:r>
          </w:p>
          <w:p w:rsidR="004B4A94" w:rsidRDefault="004B4A94" w:rsidP="004B4A94">
            <w:pPr>
              <w:snapToGrid w:val="0"/>
              <w:ind w:left="91" w:right="79"/>
              <w:jc w:val="both"/>
              <w:rPr>
                <w:bCs/>
              </w:rPr>
            </w:pPr>
            <w:r>
              <w:rPr>
                <w:bCs/>
              </w:rPr>
              <w:t xml:space="preserve">- </w:t>
            </w:r>
            <w:r w:rsidRPr="004B4A94">
              <w:rPr>
                <w:bCs/>
              </w:rPr>
              <w:t>3.sadaļas nosaukums tiek izteikts šādā redakcijā: “3.</w:t>
            </w:r>
            <w:r w:rsidR="002851FA">
              <w:rPr>
                <w:bCs/>
              </w:rPr>
              <w:t> </w:t>
            </w:r>
            <w:r w:rsidRPr="004B4A94">
              <w:rPr>
                <w:bCs/>
              </w:rPr>
              <w:t>Atlīdzība par ārštata darbinieku un uz līgumattiecību pamata nodarbināto, kas nav amatu sarakstā, pakalpojumiem”</w:t>
            </w:r>
            <w:r w:rsidR="00D9405B">
              <w:rPr>
                <w:bCs/>
              </w:rPr>
              <w:t>;</w:t>
            </w:r>
            <w:r w:rsidRPr="004B4A94">
              <w:rPr>
                <w:bCs/>
              </w:rPr>
              <w:t xml:space="preserve"> </w:t>
            </w:r>
          </w:p>
          <w:p w:rsidR="00A92FA4" w:rsidRPr="00B15AA8" w:rsidRDefault="004B4A94" w:rsidP="002851FA">
            <w:pPr>
              <w:snapToGrid w:val="0"/>
              <w:spacing w:after="120"/>
              <w:ind w:left="91" w:right="79"/>
              <w:jc w:val="both"/>
              <w:rPr>
                <w:bCs/>
              </w:rPr>
            </w:pPr>
            <w:r>
              <w:rPr>
                <w:bCs/>
              </w:rPr>
              <w:t xml:space="preserve">- </w:t>
            </w:r>
            <w:r w:rsidRPr="004B4A94">
              <w:rPr>
                <w:bCs/>
              </w:rPr>
              <w:t xml:space="preserve"> piektās kolonnas nosaukumā vārd</w:t>
            </w:r>
            <w:r w:rsidR="002851FA">
              <w:rPr>
                <w:bCs/>
              </w:rPr>
              <w:t>s</w:t>
            </w:r>
            <w:r w:rsidRPr="004B4A94">
              <w:rPr>
                <w:bCs/>
              </w:rPr>
              <w:t xml:space="preserve"> “pieprasījums” aizstāt</w:t>
            </w:r>
            <w:r w:rsidR="002851FA">
              <w:rPr>
                <w:bCs/>
              </w:rPr>
              <w:t>s</w:t>
            </w:r>
            <w:r w:rsidRPr="004B4A94">
              <w:rPr>
                <w:bCs/>
              </w:rPr>
              <w:t xml:space="preserve"> ar vārdu “projekts”</w:t>
            </w:r>
            <w:r w:rsidR="00B15AA8">
              <w:rPr>
                <w:bCs/>
              </w:rPr>
              <w:t>.</w:t>
            </w:r>
          </w:p>
        </w:tc>
      </w:tr>
      <w:tr w:rsidR="00D33503" w:rsidTr="00B30428">
        <w:trPr>
          <w:trHeight w:val="476"/>
        </w:trPr>
        <w:tc>
          <w:tcPr>
            <w:tcW w:w="425" w:type="dxa"/>
            <w:tcBorders>
              <w:top w:val="single" w:sz="4" w:space="0" w:color="000000"/>
              <w:left w:val="single" w:sz="4" w:space="0" w:color="000000"/>
              <w:bottom w:val="single" w:sz="4" w:space="0" w:color="000000"/>
            </w:tcBorders>
            <w:shd w:val="clear" w:color="auto" w:fill="auto"/>
          </w:tcPr>
          <w:p w:rsidR="00D33503" w:rsidRPr="003B79E9" w:rsidRDefault="00D33503" w:rsidP="003B79E9">
            <w:pPr>
              <w:pStyle w:val="naiskr"/>
              <w:spacing w:before="0" w:after="0"/>
              <w:jc w:val="center"/>
            </w:pPr>
            <w:r w:rsidRPr="003B79E9">
              <w:lastRenderedPageBreak/>
              <w:t>3.</w:t>
            </w:r>
          </w:p>
        </w:tc>
        <w:tc>
          <w:tcPr>
            <w:tcW w:w="2836" w:type="dxa"/>
            <w:tcBorders>
              <w:top w:val="single" w:sz="4" w:space="0" w:color="000000"/>
              <w:left w:val="single" w:sz="4" w:space="0" w:color="000000"/>
              <w:bottom w:val="single" w:sz="4" w:space="0" w:color="000000"/>
            </w:tcBorders>
            <w:shd w:val="clear" w:color="auto" w:fill="auto"/>
          </w:tcPr>
          <w:p w:rsidR="00D33503" w:rsidRPr="00207F22" w:rsidRDefault="00D33503">
            <w:pPr>
              <w:pStyle w:val="naiskr"/>
              <w:spacing w:before="0" w:after="0"/>
            </w:pPr>
            <w:r w:rsidRPr="00207F22">
              <w:t>Projekta izstrādē iesaistītās institūcijas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320D6F" w:rsidP="008833B0">
            <w:pPr>
              <w:spacing w:after="120"/>
              <w:ind w:left="142" w:right="79"/>
              <w:jc w:val="both"/>
            </w:pPr>
            <w:r>
              <w:t xml:space="preserve">Budžeta paskaidrojumu pilnveidošanas jautājums tika apspriests ar nozaru ministrijām valsts budžeta izdevumu pārskatīšanas procesā. Pamatojoties uz Finanšu ministrijas ieteikumiem, nozaru ministrijas izstrādāja piemērus savu politiku/darbības jomu mērinstrumentu paneļiem (noteikumu projektā tās ir politikas un resursu vadības kartes), kas tika analizēti un veiksmīgākie piemēri tika izmantoti par pamatu šī noteikumu projekta izstrādei. </w:t>
            </w:r>
            <w:r w:rsidR="00BD24A2" w:rsidRPr="00BD24A2">
              <w:t>Finanšu ministrija š.g. 7. un 11. jūlijā organizēja tikšanās ar nozaru ministriju un citu centrālo valsts iestāžu ekspertiem par likumprojekta "Par valsts budžetu 2017.gadam" paskaidrojumu sagatavošanu pilnveidotā saturā un izskatā.</w:t>
            </w:r>
            <w:r w:rsidR="00BD24A2">
              <w:t xml:space="preserve"> </w:t>
            </w:r>
            <w:r>
              <w:t xml:space="preserve">Tādējādi nozaru ministrijas </w:t>
            </w:r>
            <w:r w:rsidR="001F1263">
              <w:t>jau ir praktiski strādājušas pie noteikumu projekt</w:t>
            </w:r>
            <w:r w:rsidR="00B23046">
              <w:t>ā</w:t>
            </w:r>
            <w:r w:rsidR="001F1263">
              <w:t xml:space="preserve"> paredzēta</w:t>
            </w:r>
            <w:r w:rsidR="00B23046">
              <w:t>jā</w:t>
            </w:r>
            <w:r w:rsidR="001F1263">
              <w:t xml:space="preserve">m novitātēm un </w:t>
            </w:r>
            <w:r>
              <w:t xml:space="preserve">ir sniegušas ieguldījumu </w:t>
            </w:r>
            <w:r w:rsidR="001F1263">
              <w:t xml:space="preserve">jaunā budžeta paskaidrojumu modeļa izstrādei. </w:t>
            </w:r>
            <w:r w:rsidR="00D33503">
              <w:t xml:space="preserve">Finanšu ministrija projekta izstrādē iesaistīja </w:t>
            </w:r>
            <w:r w:rsidR="001F1263">
              <w:t xml:space="preserve">arī </w:t>
            </w:r>
            <w:r w:rsidR="00D33503">
              <w:t>savas padotības iestādes</w:t>
            </w:r>
            <w:r w:rsidR="001F1263">
              <w:t>, lai nodrošinātu ierosināto izmaiņu optimālāku praktisku pielietojumu</w:t>
            </w:r>
            <w:r w:rsidR="00D33503">
              <w:t>.</w:t>
            </w:r>
          </w:p>
        </w:tc>
      </w:tr>
      <w:tr w:rsidR="00D33503" w:rsidTr="00B30428">
        <w:tc>
          <w:tcPr>
            <w:tcW w:w="425" w:type="dxa"/>
            <w:tcBorders>
              <w:top w:val="single" w:sz="4" w:space="0" w:color="000000"/>
              <w:left w:val="single" w:sz="4" w:space="0" w:color="000000"/>
              <w:bottom w:val="single" w:sz="4" w:space="0" w:color="000000"/>
            </w:tcBorders>
            <w:shd w:val="clear" w:color="auto" w:fill="auto"/>
          </w:tcPr>
          <w:p w:rsidR="00D33503" w:rsidRPr="003B79E9" w:rsidRDefault="00D33503" w:rsidP="003B79E9">
            <w:pPr>
              <w:pStyle w:val="naiskr"/>
              <w:spacing w:before="0" w:after="0"/>
              <w:jc w:val="center"/>
            </w:pPr>
            <w:r w:rsidRPr="003B79E9">
              <w:t>4.</w:t>
            </w:r>
          </w:p>
        </w:tc>
        <w:tc>
          <w:tcPr>
            <w:tcW w:w="2836" w:type="dxa"/>
            <w:tcBorders>
              <w:top w:val="single" w:sz="4" w:space="0" w:color="000000"/>
              <w:left w:val="single" w:sz="4" w:space="0" w:color="000000"/>
              <w:bottom w:val="single" w:sz="4" w:space="0" w:color="000000"/>
            </w:tcBorders>
            <w:shd w:val="clear" w:color="auto" w:fill="auto"/>
          </w:tcPr>
          <w:p w:rsidR="00D33503" w:rsidRPr="00207F22" w:rsidRDefault="00D33503">
            <w:pPr>
              <w:pStyle w:val="naiskr"/>
              <w:spacing w:before="0" w:after="0"/>
            </w:pPr>
            <w:r w:rsidRPr="00207F22">
              <w:t>Cita informācija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1F1263" w:rsidP="00831338">
            <w:pPr>
              <w:pStyle w:val="naiskr"/>
              <w:spacing w:before="0" w:after="120"/>
              <w:ind w:left="142" w:right="79"/>
              <w:jc w:val="both"/>
            </w:pPr>
            <w:r>
              <w:t>Noteikumu projektā ietvert</w:t>
            </w:r>
            <w:r w:rsidR="00B23046">
              <w:t>o regulējumu</w:t>
            </w:r>
            <w:r>
              <w:t xml:space="preserve"> paredzēts </w:t>
            </w:r>
            <w:r w:rsidR="00B23046">
              <w:t>piemērot jau</w:t>
            </w:r>
            <w:r>
              <w:t xml:space="preserve"> sagatavojot likumprojekta “Par valsts bu</w:t>
            </w:r>
            <w:r w:rsidR="006F767D">
              <w:t>džetu 2017.gadam” paskaidrojumus</w:t>
            </w:r>
            <w:r w:rsidR="00D33503">
              <w:t>.</w:t>
            </w:r>
          </w:p>
        </w:tc>
      </w:tr>
    </w:tbl>
    <w:p w:rsidR="00D33503" w:rsidRDefault="00D33503">
      <w:pPr>
        <w:pStyle w:val="naisf"/>
        <w:spacing w:before="0" w:after="0"/>
        <w:ind w:firstLine="0"/>
      </w:pPr>
    </w:p>
    <w:p w:rsidR="00703A06" w:rsidRPr="00020CB9" w:rsidRDefault="00703A06">
      <w:pPr>
        <w:pStyle w:val="naisf"/>
        <w:spacing w:before="0" w:after="0"/>
        <w:ind w:firstLine="0"/>
      </w:pPr>
    </w:p>
    <w:tbl>
      <w:tblPr>
        <w:tblW w:w="10058" w:type="dxa"/>
        <w:tblInd w:w="-572" w:type="dxa"/>
        <w:tblLayout w:type="fixed"/>
        <w:tblCellMar>
          <w:left w:w="0" w:type="dxa"/>
          <w:right w:w="0" w:type="dxa"/>
        </w:tblCellMar>
        <w:tblLook w:val="0000" w:firstRow="0" w:lastRow="0" w:firstColumn="0" w:lastColumn="0" w:noHBand="0" w:noVBand="0"/>
      </w:tblPr>
      <w:tblGrid>
        <w:gridCol w:w="425"/>
        <w:gridCol w:w="2836"/>
        <w:gridCol w:w="6797"/>
      </w:tblGrid>
      <w:tr w:rsidR="00D33503" w:rsidTr="00D67302">
        <w:trPr>
          <w:trHeight w:val="476"/>
        </w:trPr>
        <w:tc>
          <w:tcPr>
            <w:tcW w:w="10058" w:type="dxa"/>
            <w:gridSpan w:val="3"/>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142" w:right="81"/>
            </w:pPr>
            <w:r>
              <w:rPr>
                <w:rFonts w:eastAsia="Calibri"/>
                <w:b/>
                <w:bCs/>
                <w:lang w:eastAsia="en-US"/>
              </w:rPr>
              <w:t>II. Tiesību akta projekta ietekme uz sabiedrību, tautsaimniecības attīstību un administratīvo slogu</w:t>
            </w:r>
          </w:p>
        </w:tc>
      </w:tr>
      <w:tr w:rsidR="00D33503" w:rsidTr="00B30428">
        <w:trPr>
          <w:trHeight w:val="476"/>
        </w:trPr>
        <w:tc>
          <w:tcPr>
            <w:tcW w:w="425"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 xml:space="preserve"> 1.</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 xml:space="preserve">Sabiedrības </w:t>
            </w:r>
            <w:proofErr w:type="spellStart"/>
            <w:r>
              <w:t>mērķgrupas</w:t>
            </w:r>
            <w:proofErr w:type="spellEnd"/>
            <w:r>
              <w:t>, kuras tiesiskais regulējums ietekmē vai varētu ietekmēt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ind w:left="142" w:right="81"/>
              <w:jc w:val="both"/>
            </w:pPr>
            <w:r>
              <w:t>Ministriju un citu centrālo valsts iestāžu darbinieki.</w:t>
            </w:r>
          </w:p>
        </w:tc>
      </w:tr>
      <w:tr w:rsidR="00D33503" w:rsidTr="00B30428">
        <w:trPr>
          <w:trHeight w:val="476"/>
        </w:trPr>
        <w:tc>
          <w:tcPr>
            <w:tcW w:w="425"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 xml:space="preserve"> 2.</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 xml:space="preserve"> Tiesiskā regulējuma ietekme uz tautsaimniecību un administratīvo slogu</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rsidP="00C606D3">
            <w:pPr>
              <w:ind w:left="142" w:right="81"/>
              <w:jc w:val="both"/>
            </w:pPr>
            <w:r>
              <w:t xml:space="preserve">Noteikumu projekts sagatavots, lai pilnveidotu budžeta paskaidrojumus un tie būtu pārskatāmi, kā arī sniegtu sabiedrībai uztveramu informāciju par budžetu kā politikas realizācijas instrumentu. Tādējādi lēmuma pieņēmējiem budžeta sagatavošanas procesā informācija būs pieejama pietiekošā detalizācijas pakāpē un sabiedrība gūs skaidru priekšstatu par budžeta līdzekļu izlietojumu. </w:t>
            </w:r>
            <w:r w:rsidR="003E05BD">
              <w:t xml:space="preserve">Tiks uzlabota budžeta dokumentācijas uztveramība, samazinot budžeta paskaidrojumos esošās tehniskās informācijas apjomu, tādējādi </w:t>
            </w:r>
            <w:r w:rsidR="00C606D3">
              <w:t xml:space="preserve">turpmākajos gados </w:t>
            </w:r>
            <w:r w:rsidR="003E05BD">
              <w:t>mazinot slogu budžeta pieprasījumu sagatavotājiem.</w:t>
            </w:r>
          </w:p>
        </w:tc>
      </w:tr>
      <w:tr w:rsidR="00D33503" w:rsidTr="00B30428">
        <w:trPr>
          <w:trHeight w:val="476"/>
        </w:trPr>
        <w:tc>
          <w:tcPr>
            <w:tcW w:w="425"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 xml:space="preserve"> 3.</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 xml:space="preserve"> Administratīvo izmaksu monetārs novērtējums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142" w:right="81"/>
            </w:pPr>
            <w:r>
              <w:t>Projekts šo jomu neskar.</w:t>
            </w:r>
          </w:p>
          <w:p w:rsidR="00D33503" w:rsidRDefault="00D33503">
            <w:pPr>
              <w:pStyle w:val="naiskr"/>
              <w:spacing w:before="0" w:after="0"/>
              <w:ind w:left="142" w:right="81"/>
            </w:pPr>
          </w:p>
        </w:tc>
      </w:tr>
      <w:tr w:rsidR="00D33503" w:rsidTr="00B30428">
        <w:tc>
          <w:tcPr>
            <w:tcW w:w="425"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 xml:space="preserve"> 4.</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 xml:space="preserve"> Cita informācija</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142" w:right="81"/>
            </w:pPr>
            <w:r>
              <w:t>Nav</w:t>
            </w:r>
          </w:p>
        </w:tc>
      </w:tr>
    </w:tbl>
    <w:p w:rsidR="00D33503" w:rsidRDefault="00D33503">
      <w:pPr>
        <w:pStyle w:val="naisf"/>
        <w:spacing w:before="0" w:after="0"/>
        <w:ind w:firstLine="0"/>
      </w:pPr>
    </w:p>
    <w:p w:rsidR="00703A06" w:rsidRPr="00020CB9" w:rsidRDefault="00703A06">
      <w:pPr>
        <w:pStyle w:val="naisf"/>
        <w:spacing w:before="0" w:after="0"/>
        <w:ind w:firstLine="0"/>
      </w:pPr>
    </w:p>
    <w:tbl>
      <w:tblPr>
        <w:tblW w:w="10058" w:type="dxa"/>
        <w:tblInd w:w="-572" w:type="dxa"/>
        <w:tblLayout w:type="fixed"/>
        <w:tblCellMar>
          <w:left w:w="0" w:type="dxa"/>
          <w:right w:w="0" w:type="dxa"/>
        </w:tblCellMar>
        <w:tblLook w:val="0000" w:firstRow="0" w:lastRow="0" w:firstColumn="0" w:lastColumn="0" w:noHBand="0" w:noVBand="0"/>
      </w:tblPr>
      <w:tblGrid>
        <w:gridCol w:w="425"/>
        <w:gridCol w:w="2836"/>
        <w:gridCol w:w="6797"/>
      </w:tblGrid>
      <w:tr w:rsidR="00D33503" w:rsidTr="00D67302">
        <w:trPr>
          <w:trHeight w:val="268"/>
        </w:trPr>
        <w:tc>
          <w:tcPr>
            <w:tcW w:w="10058" w:type="dxa"/>
            <w:gridSpan w:val="3"/>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142" w:right="81"/>
              <w:jc w:val="center"/>
            </w:pPr>
            <w:r>
              <w:rPr>
                <w:rFonts w:eastAsia="Calibri"/>
                <w:b/>
                <w:bCs/>
                <w:lang w:eastAsia="en-US"/>
              </w:rPr>
              <w:t>VI. Sabiedrības līdzdalība un komunikācijas aktivitātes</w:t>
            </w:r>
          </w:p>
        </w:tc>
      </w:tr>
      <w:tr w:rsidR="00D33503" w:rsidTr="00B30428">
        <w:trPr>
          <w:trHeight w:val="476"/>
        </w:trPr>
        <w:tc>
          <w:tcPr>
            <w:tcW w:w="425" w:type="dxa"/>
            <w:tcBorders>
              <w:top w:val="single" w:sz="4" w:space="0" w:color="000000"/>
              <w:left w:val="single" w:sz="4" w:space="0" w:color="000000"/>
              <w:bottom w:val="single" w:sz="4" w:space="0" w:color="000000"/>
            </w:tcBorders>
            <w:shd w:val="clear" w:color="auto" w:fill="auto"/>
          </w:tcPr>
          <w:p w:rsidR="00D33503" w:rsidRDefault="00D33503" w:rsidP="00A608F1">
            <w:pPr>
              <w:pStyle w:val="naiskr"/>
              <w:spacing w:before="0" w:after="0"/>
              <w:jc w:val="center"/>
            </w:pPr>
            <w:r>
              <w:t>1.</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Plānotās sabiedrības līdzdalības un komunikācijas aktivitātes saistībā ar projektu</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142" w:right="81"/>
              <w:jc w:val="both"/>
            </w:pPr>
            <w:r>
              <w:t>Uzziņa par projekta izstrādi tika publicēta Finanšu ministrijas mājas lapā sadaļā “Sabiedrības līdzdalība”.</w:t>
            </w:r>
          </w:p>
        </w:tc>
      </w:tr>
      <w:tr w:rsidR="00D33503" w:rsidTr="00B30428">
        <w:trPr>
          <w:trHeight w:val="252"/>
        </w:trPr>
        <w:tc>
          <w:tcPr>
            <w:tcW w:w="425" w:type="dxa"/>
            <w:tcBorders>
              <w:top w:val="single" w:sz="4" w:space="0" w:color="000000"/>
              <w:left w:val="single" w:sz="4" w:space="0" w:color="000000"/>
              <w:bottom w:val="single" w:sz="4" w:space="0" w:color="000000"/>
            </w:tcBorders>
            <w:shd w:val="clear" w:color="auto" w:fill="auto"/>
          </w:tcPr>
          <w:p w:rsidR="00D33503" w:rsidRDefault="00D33503" w:rsidP="00A608F1">
            <w:pPr>
              <w:pStyle w:val="naiskr"/>
              <w:spacing w:before="0" w:after="0"/>
              <w:jc w:val="center"/>
            </w:pPr>
            <w:r>
              <w:t>2.</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Sabiedrības līdzdalība projekta izstrādē</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142" w:right="81"/>
            </w:pPr>
            <w:r>
              <w:t>Projekts šo jomu neskar.</w:t>
            </w:r>
          </w:p>
        </w:tc>
      </w:tr>
      <w:tr w:rsidR="00D33503" w:rsidTr="00B30428">
        <w:trPr>
          <w:trHeight w:val="316"/>
        </w:trPr>
        <w:tc>
          <w:tcPr>
            <w:tcW w:w="425" w:type="dxa"/>
            <w:tcBorders>
              <w:top w:val="single" w:sz="4" w:space="0" w:color="000000"/>
              <w:left w:val="single" w:sz="4" w:space="0" w:color="000000"/>
              <w:bottom w:val="single" w:sz="4" w:space="0" w:color="000000"/>
            </w:tcBorders>
            <w:shd w:val="clear" w:color="auto" w:fill="auto"/>
          </w:tcPr>
          <w:p w:rsidR="00D33503" w:rsidRDefault="00D33503" w:rsidP="00A608F1">
            <w:pPr>
              <w:pStyle w:val="naiskr"/>
              <w:spacing w:before="0" w:after="0"/>
              <w:jc w:val="center"/>
            </w:pPr>
            <w:r>
              <w:t>3.</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Sabiedrības līdzdalības rezultāti</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142" w:right="81"/>
            </w:pPr>
            <w:r>
              <w:t>Projekts šo jomu neskar.</w:t>
            </w:r>
          </w:p>
        </w:tc>
      </w:tr>
      <w:tr w:rsidR="00D33503" w:rsidTr="00B30428">
        <w:tc>
          <w:tcPr>
            <w:tcW w:w="425" w:type="dxa"/>
            <w:tcBorders>
              <w:top w:val="single" w:sz="4" w:space="0" w:color="000000"/>
              <w:left w:val="single" w:sz="4" w:space="0" w:color="000000"/>
              <w:bottom w:val="single" w:sz="4" w:space="0" w:color="000000"/>
            </w:tcBorders>
            <w:shd w:val="clear" w:color="auto" w:fill="auto"/>
          </w:tcPr>
          <w:p w:rsidR="00D33503" w:rsidRDefault="00D33503" w:rsidP="00A608F1">
            <w:pPr>
              <w:pStyle w:val="naiskr"/>
              <w:spacing w:before="0" w:after="0"/>
              <w:jc w:val="center"/>
            </w:pPr>
            <w:r>
              <w:t>4.</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pPr>
            <w:r>
              <w:t>Cita informācija</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142" w:right="81"/>
            </w:pPr>
            <w:r>
              <w:t>Nav</w:t>
            </w:r>
          </w:p>
        </w:tc>
      </w:tr>
    </w:tbl>
    <w:p w:rsidR="00D33503" w:rsidRPr="004D716C" w:rsidRDefault="00D33503">
      <w:pPr>
        <w:pStyle w:val="naisf"/>
        <w:spacing w:before="0" w:after="0"/>
        <w:ind w:firstLine="0"/>
        <w:rPr>
          <w:sz w:val="52"/>
          <w:szCs w:val="52"/>
        </w:rPr>
      </w:pPr>
    </w:p>
    <w:tbl>
      <w:tblPr>
        <w:tblW w:w="10065" w:type="dxa"/>
        <w:tblInd w:w="-572" w:type="dxa"/>
        <w:tblLayout w:type="fixed"/>
        <w:tblCellMar>
          <w:top w:w="28" w:type="dxa"/>
          <w:left w:w="33" w:type="dxa"/>
          <w:bottom w:w="28" w:type="dxa"/>
          <w:right w:w="28" w:type="dxa"/>
        </w:tblCellMar>
        <w:tblLook w:val="0000" w:firstRow="0" w:lastRow="0" w:firstColumn="0" w:lastColumn="0" w:noHBand="0" w:noVBand="0"/>
      </w:tblPr>
      <w:tblGrid>
        <w:gridCol w:w="425"/>
        <w:gridCol w:w="2836"/>
        <w:gridCol w:w="6804"/>
      </w:tblGrid>
      <w:tr w:rsidR="00D33503" w:rsidTr="00D67302">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nod"/>
              <w:spacing w:before="0" w:after="0"/>
              <w:ind w:left="57" w:right="57"/>
            </w:pPr>
            <w:r>
              <w:t>VII. Tiesību akta projekta izpildes nodrošināšana un tās ietekme uz institūcijām</w:t>
            </w:r>
          </w:p>
        </w:tc>
      </w:tr>
      <w:tr w:rsidR="00D33503" w:rsidTr="00B30428">
        <w:trPr>
          <w:trHeight w:val="427"/>
        </w:trPr>
        <w:tc>
          <w:tcPr>
            <w:tcW w:w="425" w:type="dxa"/>
            <w:tcBorders>
              <w:top w:val="single" w:sz="4" w:space="0" w:color="000000"/>
              <w:left w:val="single" w:sz="4" w:space="0" w:color="000000"/>
              <w:bottom w:val="single" w:sz="4" w:space="0" w:color="000000"/>
            </w:tcBorders>
            <w:shd w:val="clear" w:color="auto" w:fill="auto"/>
          </w:tcPr>
          <w:p w:rsidR="00D33503" w:rsidRDefault="00D33503">
            <w:pPr>
              <w:pStyle w:val="naisnod"/>
              <w:spacing w:before="0" w:after="0"/>
              <w:ind w:left="57" w:right="57"/>
              <w:jc w:val="left"/>
            </w:pPr>
            <w:r>
              <w:rPr>
                <w:b w:val="0"/>
              </w:rPr>
              <w:t>1.</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f"/>
              <w:spacing w:before="0" w:after="0"/>
              <w:ind w:left="57" w:right="57" w:firstLine="0"/>
              <w:jc w:val="left"/>
            </w:pPr>
            <w:r>
              <w:t xml:space="preserve">Projekta izpildē iesaistītās institūcijas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rsidP="00CB48E0">
            <w:pPr>
              <w:pStyle w:val="naisnod"/>
              <w:spacing w:before="0" w:after="0"/>
              <w:ind w:left="108" w:right="57"/>
              <w:jc w:val="both"/>
            </w:pPr>
            <w:r>
              <w:rPr>
                <w:b w:val="0"/>
              </w:rPr>
              <w:t>Ministrijas un citas centrālās valsts iestādes, kas izstrādā un iesniedz Finanšu ministrijā budžeta pieprasījumu</w:t>
            </w:r>
            <w:r w:rsidR="003E05BD">
              <w:rPr>
                <w:b w:val="0"/>
              </w:rPr>
              <w:t>s</w:t>
            </w:r>
            <w:r>
              <w:rPr>
                <w:b w:val="0"/>
              </w:rPr>
              <w:t xml:space="preserve"> vidējam termiņam.</w:t>
            </w:r>
          </w:p>
        </w:tc>
      </w:tr>
      <w:tr w:rsidR="00D33503" w:rsidTr="00B30428">
        <w:trPr>
          <w:trHeight w:val="463"/>
        </w:trPr>
        <w:tc>
          <w:tcPr>
            <w:tcW w:w="425" w:type="dxa"/>
            <w:tcBorders>
              <w:top w:val="single" w:sz="4" w:space="0" w:color="000000"/>
              <w:left w:val="single" w:sz="4" w:space="0" w:color="000000"/>
              <w:bottom w:val="single" w:sz="4" w:space="0" w:color="000000"/>
            </w:tcBorders>
            <w:shd w:val="clear" w:color="auto" w:fill="auto"/>
          </w:tcPr>
          <w:p w:rsidR="00D33503" w:rsidRDefault="00D33503" w:rsidP="00A608F1">
            <w:pPr>
              <w:pStyle w:val="naisnod"/>
              <w:spacing w:before="0" w:after="0"/>
              <w:ind w:right="57"/>
            </w:pPr>
            <w:r>
              <w:rPr>
                <w:b w:val="0"/>
              </w:rPr>
              <w:t>2.</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f"/>
              <w:spacing w:before="0" w:after="0"/>
              <w:ind w:left="57" w:right="57" w:firstLine="0"/>
              <w:jc w:val="left"/>
              <w:rPr>
                <w:iCs/>
              </w:rPr>
            </w:pPr>
            <w:r>
              <w:t xml:space="preserve">Projekta izpildes ietekme uz pārvaldes funkcijām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rsidP="00A608F1">
            <w:pPr>
              <w:pStyle w:val="naisnod"/>
              <w:spacing w:before="0" w:after="0"/>
              <w:ind w:left="57" w:right="57"/>
              <w:jc w:val="both"/>
            </w:pPr>
            <w:r>
              <w:rPr>
                <w:b w:val="0"/>
                <w:iCs/>
              </w:rPr>
              <w:t>Projekt</w:t>
            </w:r>
            <w:r w:rsidR="001F1263">
              <w:rPr>
                <w:b w:val="0"/>
                <w:iCs/>
              </w:rPr>
              <w:t>a izpildi paredzēts nodrošināt esošo funkciju ietvaros</w:t>
            </w:r>
            <w:r>
              <w:rPr>
                <w:b w:val="0"/>
                <w:iCs/>
              </w:rPr>
              <w:t>.</w:t>
            </w:r>
          </w:p>
        </w:tc>
      </w:tr>
      <w:tr w:rsidR="00D33503" w:rsidTr="00B30428">
        <w:trPr>
          <w:trHeight w:val="725"/>
        </w:trPr>
        <w:tc>
          <w:tcPr>
            <w:tcW w:w="425" w:type="dxa"/>
            <w:tcBorders>
              <w:top w:val="single" w:sz="4" w:space="0" w:color="000000"/>
              <w:left w:val="single" w:sz="4" w:space="0" w:color="000000"/>
              <w:bottom w:val="single" w:sz="4" w:space="0" w:color="000000"/>
            </w:tcBorders>
            <w:shd w:val="clear" w:color="auto" w:fill="auto"/>
          </w:tcPr>
          <w:p w:rsidR="00D33503" w:rsidRDefault="00D33503">
            <w:pPr>
              <w:pStyle w:val="naisnod"/>
              <w:spacing w:before="0" w:after="0"/>
              <w:ind w:left="57" w:right="57"/>
              <w:jc w:val="left"/>
            </w:pPr>
            <w:r>
              <w:rPr>
                <w:b w:val="0"/>
              </w:rPr>
              <w:t>3.</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f"/>
              <w:spacing w:before="0" w:after="0"/>
              <w:ind w:left="57" w:right="57" w:firstLine="0"/>
              <w:jc w:val="left"/>
            </w:pPr>
            <w:r>
              <w:t>Projekta izpildes ietekme uz pārvaldes institucionālo struktūru.</w:t>
            </w:r>
          </w:p>
          <w:p w:rsidR="00D33503" w:rsidRDefault="00D33503">
            <w:pPr>
              <w:pStyle w:val="naisf"/>
              <w:spacing w:before="0" w:after="0"/>
              <w:ind w:left="57" w:right="57" w:firstLine="0"/>
              <w:jc w:val="left"/>
              <w:rPr>
                <w:iCs/>
              </w:rPr>
            </w:pPr>
            <w:r>
              <w:t>Jaunu institūciju izveide, esošo institūciju likvidācija vai reorganizācija, to ietekme uz institūcijas cilvēkresursiem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nod"/>
              <w:spacing w:before="0" w:after="0"/>
              <w:ind w:left="57" w:right="57"/>
              <w:jc w:val="left"/>
            </w:pPr>
            <w:r>
              <w:rPr>
                <w:b w:val="0"/>
                <w:iCs/>
              </w:rPr>
              <w:t>Projekts šo jomu neskar.</w:t>
            </w:r>
          </w:p>
        </w:tc>
      </w:tr>
      <w:tr w:rsidR="00D33503" w:rsidTr="00B30428">
        <w:trPr>
          <w:trHeight w:val="195"/>
        </w:trPr>
        <w:tc>
          <w:tcPr>
            <w:tcW w:w="425"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ind w:left="57" w:right="57"/>
            </w:pPr>
            <w:r>
              <w:t>4.</w:t>
            </w:r>
          </w:p>
        </w:tc>
        <w:tc>
          <w:tcPr>
            <w:tcW w:w="2836" w:type="dxa"/>
            <w:tcBorders>
              <w:top w:val="single" w:sz="4" w:space="0" w:color="000000"/>
              <w:left w:val="single" w:sz="4" w:space="0" w:color="000000"/>
              <w:bottom w:val="single" w:sz="4" w:space="0" w:color="000000"/>
            </w:tcBorders>
            <w:shd w:val="clear" w:color="auto" w:fill="auto"/>
          </w:tcPr>
          <w:p w:rsidR="00D33503" w:rsidRDefault="00D33503">
            <w:pPr>
              <w:pStyle w:val="naiskr"/>
              <w:spacing w:before="0" w:after="0"/>
              <w:ind w:left="57" w:right="57"/>
            </w:pPr>
            <w:r>
              <w:t>Cita informācija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33503" w:rsidRDefault="00D33503">
            <w:pPr>
              <w:pStyle w:val="naiskr"/>
              <w:spacing w:before="0" w:after="0"/>
              <w:ind w:left="57" w:right="57"/>
            </w:pPr>
            <w:r>
              <w:t>Nav</w:t>
            </w:r>
          </w:p>
        </w:tc>
      </w:tr>
    </w:tbl>
    <w:p w:rsidR="000D6D64" w:rsidRDefault="000D6D64">
      <w:pPr>
        <w:pStyle w:val="naisf"/>
        <w:tabs>
          <w:tab w:val="left" w:pos="5760"/>
        </w:tabs>
        <w:spacing w:before="0" w:after="0"/>
        <w:ind w:firstLine="0"/>
        <w:rPr>
          <w:i/>
        </w:rPr>
      </w:pPr>
    </w:p>
    <w:p w:rsidR="00D33503" w:rsidRDefault="00D33503">
      <w:pPr>
        <w:pStyle w:val="naisf"/>
        <w:tabs>
          <w:tab w:val="left" w:pos="5760"/>
        </w:tabs>
        <w:spacing w:before="0" w:after="0"/>
        <w:ind w:firstLine="0"/>
        <w:rPr>
          <w:sz w:val="28"/>
          <w:szCs w:val="28"/>
        </w:rPr>
      </w:pPr>
      <w:r>
        <w:rPr>
          <w:i/>
        </w:rPr>
        <w:t>Anotācijas III - V  sadaļa –  projekts šīs jomas neskar.</w:t>
      </w:r>
    </w:p>
    <w:p w:rsidR="00D33503" w:rsidRDefault="00D33503">
      <w:pPr>
        <w:rPr>
          <w:sz w:val="28"/>
          <w:szCs w:val="28"/>
        </w:rPr>
      </w:pPr>
    </w:p>
    <w:p w:rsidR="000D6D64" w:rsidRDefault="000D6D64">
      <w:pPr>
        <w:rPr>
          <w:sz w:val="28"/>
          <w:szCs w:val="28"/>
        </w:rPr>
      </w:pPr>
    </w:p>
    <w:p w:rsidR="003B1397" w:rsidRDefault="003B1397">
      <w:pPr>
        <w:rPr>
          <w:sz w:val="28"/>
          <w:szCs w:val="28"/>
        </w:rPr>
      </w:pPr>
    </w:p>
    <w:p w:rsidR="00D33503" w:rsidRDefault="00D33503">
      <w:pPr>
        <w:rPr>
          <w:sz w:val="18"/>
          <w:szCs w:val="18"/>
        </w:rPr>
      </w:pPr>
      <w:r>
        <w:rPr>
          <w:sz w:val="28"/>
          <w:szCs w:val="28"/>
        </w:rPr>
        <w:t xml:space="preserve">Finanšu ministre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D.Reizniece</w:t>
      </w:r>
      <w:proofErr w:type="spellEnd"/>
      <w:r>
        <w:rPr>
          <w:sz w:val="28"/>
          <w:szCs w:val="28"/>
        </w:rPr>
        <w:t>-Ozola</w:t>
      </w:r>
    </w:p>
    <w:p w:rsidR="00D33503" w:rsidRDefault="00D33503">
      <w:pPr>
        <w:jc w:val="both"/>
        <w:rPr>
          <w:sz w:val="18"/>
          <w:szCs w:val="18"/>
        </w:rPr>
      </w:pPr>
    </w:p>
    <w:p w:rsidR="003857FD" w:rsidRDefault="003857FD">
      <w:pPr>
        <w:jc w:val="both"/>
        <w:rPr>
          <w:sz w:val="18"/>
          <w:szCs w:val="18"/>
        </w:rPr>
      </w:pPr>
    </w:p>
    <w:p w:rsidR="00620188" w:rsidRDefault="00620188">
      <w:pPr>
        <w:jc w:val="both"/>
        <w:rPr>
          <w:sz w:val="18"/>
          <w:szCs w:val="18"/>
        </w:rPr>
      </w:pPr>
    </w:p>
    <w:p w:rsidR="003857FD" w:rsidRDefault="003857FD">
      <w:pPr>
        <w:jc w:val="both"/>
        <w:rPr>
          <w:sz w:val="18"/>
          <w:szCs w:val="18"/>
        </w:rPr>
      </w:pPr>
    </w:p>
    <w:p w:rsidR="00D33503" w:rsidRPr="00A7109C" w:rsidRDefault="0048069B">
      <w:pPr>
        <w:jc w:val="both"/>
        <w:rPr>
          <w:sz w:val="18"/>
          <w:szCs w:val="18"/>
        </w:rPr>
      </w:pPr>
      <w:r>
        <w:rPr>
          <w:sz w:val="18"/>
          <w:szCs w:val="18"/>
        </w:rPr>
        <w:t>15.08.2016 16:27</w:t>
      </w:r>
      <w:bookmarkStart w:id="0" w:name="_GoBack"/>
      <w:bookmarkEnd w:id="0"/>
    </w:p>
    <w:p w:rsidR="00A7109C" w:rsidRPr="00A7109C" w:rsidRDefault="00BA554E">
      <w:pPr>
        <w:jc w:val="both"/>
        <w:rPr>
          <w:sz w:val="18"/>
          <w:szCs w:val="18"/>
        </w:rPr>
      </w:pPr>
      <w:fldSimple w:instr=" NUMWORDS   \* MERGEFORMAT ">
        <w:r w:rsidRPr="00BA554E">
          <w:rPr>
            <w:noProof/>
            <w:sz w:val="18"/>
            <w:szCs w:val="18"/>
          </w:rPr>
          <w:t>2308</w:t>
        </w:r>
      </w:fldSimple>
    </w:p>
    <w:p w:rsidR="00D33503" w:rsidRDefault="00D33503">
      <w:pPr>
        <w:jc w:val="both"/>
        <w:rPr>
          <w:sz w:val="18"/>
          <w:szCs w:val="18"/>
        </w:rPr>
      </w:pPr>
      <w:proofErr w:type="spellStart"/>
      <w:r>
        <w:rPr>
          <w:sz w:val="18"/>
          <w:szCs w:val="18"/>
        </w:rPr>
        <w:t>I.Klinsone</w:t>
      </w:r>
      <w:proofErr w:type="spellEnd"/>
    </w:p>
    <w:p w:rsidR="00D33503" w:rsidRDefault="00D33503">
      <w:pPr>
        <w:jc w:val="both"/>
      </w:pPr>
      <w:r>
        <w:rPr>
          <w:sz w:val="18"/>
          <w:szCs w:val="18"/>
        </w:rPr>
        <w:t>67095531, ieva.klinsone@fm.gov.lv</w:t>
      </w:r>
    </w:p>
    <w:sectPr w:rsidR="00D33503" w:rsidSect="005D231D">
      <w:headerReference w:type="default" r:id="rId8"/>
      <w:footerReference w:type="default" r:id="rId9"/>
      <w:headerReference w:type="first" r:id="rId10"/>
      <w:footerReference w:type="first" r:id="rId11"/>
      <w:pgSz w:w="11906" w:h="16838"/>
      <w:pgMar w:top="1134" w:right="1134" w:bottom="1418" w:left="1701" w:header="567" w:footer="6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43" w:rsidRDefault="00401543">
      <w:pPr>
        <w:spacing w:line="240" w:lineRule="auto"/>
      </w:pPr>
      <w:r>
        <w:separator/>
      </w:r>
    </w:p>
  </w:endnote>
  <w:endnote w:type="continuationSeparator" w:id="0">
    <w:p w:rsidR="00401543" w:rsidRDefault="00401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font297">
    <w:altName w:val="Times New Roman"/>
    <w:charset w:val="01"/>
    <w:family w:val="auto"/>
    <w:pitch w:val="variable"/>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DejaVu Sans">
    <w:altName w:val="Times New Roman"/>
    <w:charset w:val="01"/>
    <w:family w:val="auto"/>
    <w:pitch w:val="variable"/>
  </w:font>
  <w:font w:name="Lohit Hindi">
    <w:altName w:val="Times New Roman"/>
    <w:charset w:val="01"/>
    <w:family w:val="auto"/>
    <w:pitch w:val="variable"/>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03" w:rsidRDefault="00F70E3C" w:rsidP="00B32129">
    <w:pPr>
      <w:pStyle w:val="naislab"/>
      <w:spacing w:before="0" w:after="0"/>
      <w:ind w:left="-567" w:right="-285"/>
      <w:jc w:val="both"/>
    </w:pPr>
    <w:r w:rsidRPr="00F70E3C">
      <w:rPr>
        <w:sz w:val="18"/>
        <w:szCs w:val="18"/>
      </w:rPr>
      <w:fldChar w:fldCharType="begin"/>
    </w:r>
    <w:r w:rsidRPr="00F70E3C">
      <w:rPr>
        <w:sz w:val="18"/>
        <w:szCs w:val="18"/>
      </w:rPr>
      <w:instrText xml:space="preserve"> FILENAME \* MERGEFORMAT </w:instrText>
    </w:r>
    <w:r w:rsidRPr="00F70E3C">
      <w:rPr>
        <w:sz w:val="18"/>
        <w:szCs w:val="18"/>
      </w:rPr>
      <w:fldChar w:fldCharType="separate"/>
    </w:r>
    <w:r w:rsidR="00BA554E">
      <w:rPr>
        <w:noProof/>
        <w:sz w:val="18"/>
        <w:szCs w:val="18"/>
      </w:rPr>
      <w:t>FMAnot_150816_523.docx</w:t>
    </w:r>
    <w:r w:rsidRPr="00F70E3C">
      <w:rPr>
        <w:noProof/>
        <w:sz w:val="18"/>
        <w:szCs w:val="18"/>
      </w:rPr>
      <w:fldChar w:fldCharType="end"/>
    </w:r>
    <w:r w:rsidR="00D33503" w:rsidRPr="00F70E3C">
      <w:rPr>
        <w:sz w:val="18"/>
        <w:szCs w:val="18"/>
      </w:rPr>
      <w:t>;</w:t>
    </w:r>
    <w:r w:rsidR="00D33503">
      <w:rPr>
        <w:sz w:val="18"/>
        <w:szCs w:val="18"/>
      </w:rPr>
      <w:t xml:space="preserve">  Ministru kabineta noteikumu projekta „Grozījumi Ministru kabineta 2012.gada 31.jūlija noteikumos Nr.523 „Noteikumi par budžeta pieprasījumu izstrādāšanas un iesniegšanas pamatprincipiem””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C9" w:rsidRPr="00141DC9" w:rsidRDefault="00F70E3C" w:rsidP="00B32129">
    <w:pPr>
      <w:pStyle w:val="Footer"/>
      <w:ind w:left="-567" w:right="-285"/>
      <w:jc w:val="both"/>
      <w:rPr>
        <w:sz w:val="18"/>
        <w:szCs w:val="18"/>
      </w:rPr>
    </w:pPr>
    <w:r w:rsidRPr="00F70E3C">
      <w:rPr>
        <w:sz w:val="18"/>
        <w:szCs w:val="18"/>
      </w:rPr>
      <w:fldChar w:fldCharType="begin"/>
    </w:r>
    <w:r w:rsidRPr="00F70E3C">
      <w:rPr>
        <w:sz w:val="18"/>
        <w:szCs w:val="18"/>
      </w:rPr>
      <w:instrText xml:space="preserve"> FILENAME \* MERGEFORMAT </w:instrText>
    </w:r>
    <w:r w:rsidRPr="00F70E3C">
      <w:rPr>
        <w:sz w:val="18"/>
        <w:szCs w:val="18"/>
      </w:rPr>
      <w:fldChar w:fldCharType="separate"/>
    </w:r>
    <w:r w:rsidR="00BA554E">
      <w:rPr>
        <w:noProof/>
        <w:sz w:val="18"/>
        <w:szCs w:val="18"/>
      </w:rPr>
      <w:t>FMAnot_150816_523.docx</w:t>
    </w:r>
    <w:r w:rsidRPr="00F70E3C">
      <w:rPr>
        <w:noProof/>
        <w:sz w:val="18"/>
        <w:szCs w:val="18"/>
      </w:rPr>
      <w:fldChar w:fldCharType="end"/>
    </w:r>
    <w:r w:rsidR="00141DC9" w:rsidRPr="00141DC9">
      <w:rPr>
        <w:sz w:val="18"/>
        <w:szCs w:val="18"/>
      </w:rPr>
      <w:t>;  Ministru kabineta noteikumu projekta „Grozījumi Ministru kabineta 2012.gada 31.jūlija noteikumos Nr.523 „Noteikumi par budžeta pieprasījumu izstrādāšanas un iesniegšanas pamatprincipiem””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43" w:rsidRDefault="00401543">
      <w:pPr>
        <w:spacing w:line="240" w:lineRule="auto"/>
      </w:pPr>
      <w:r>
        <w:separator/>
      </w:r>
    </w:p>
  </w:footnote>
  <w:footnote w:type="continuationSeparator" w:id="0">
    <w:p w:rsidR="00401543" w:rsidRDefault="004015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34870"/>
      <w:docPartObj>
        <w:docPartGallery w:val="Page Numbers (Top of Page)"/>
        <w:docPartUnique/>
      </w:docPartObj>
    </w:sdtPr>
    <w:sdtEndPr>
      <w:rPr>
        <w:noProof/>
      </w:rPr>
    </w:sdtEndPr>
    <w:sdtContent>
      <w:p w:rsidR="006E5B29" w:rsidRDefault="00B32E82">
        <w:pPr>
          <w:pStyle w:val="Header"/>
          <w:jc w:val="center"/>
        </w:pPr>
        <w:r>
          <w:fldChar w:fldCharType="begin"/>
        </w:r>
        <w:r w:rsidR="006E5B29">
          <w:instrText xml:space="preserve"> PAGE   \* MERGEFORMAT </w:instrText>
        </w:r>
        <w:r>
          <w:fldChar w:fldCharType="separate"/>
        </w:r>
        <w:r w:rsidR="0048069B">
          <w:rPr>
            <w:noProof/>
          </w:rPr>
          <w:t>6</w:t>
        </w:r>
        <w:r>
          <w:rPr>
            <w:noProof/>
          </w:rPr>
          <w:fldChar w:fldCharType="end"/>
        </w:r>
      </w:p>
    </w:sdtContent>
  </w:sdt>
  <w:p w:rsidR="003E05BD" w:rsidRDefault="003E05BD" w:rsidP="00BB760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05" w:rsidRDefault="00BB7605">
    <w:pPr>
      <w:pStyle w:val="Header"/>
      <w:jc w:val="center"/>
    </w:pPr>
  </w:p>
  <w:p w:rsidR="00BB7605" w:rsidRDefault="00BB7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E76381"/>
    <w:multiLevelType w:val="hybridMultilevel"/>
    <w:tmpl w:val="83FA7A78"/>
    <w:lvl w:ilvl="0" w:tplc="E83AAAD6">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BD"/>
    <w:rsid w:val="0001242F"/>
    <w:rsid w:val="00020CB9"/>
    <w:rsid w:val="00030592"/>
    <w:rsid w:val="000459BD"/>
    <w:rsid w:val="00066EAC"/>
    <w:rsid w:val="00073DAF"/>
    <w:rsid w:val="00080C55"/>
    <w:rsid w:val="000B5172"/>
    <w:rsid w:val="000B5676"/>
    <w:rsid w:val="000D6D64"/>
    <w:rsid w:val="000E6BB0"/>
    <w:rsid w:val="0011343F"/>
    <w:rsid w:val="00141DC9"/>
    <w:rsid w:val="00167128"/>
    <w:rsid w:val="0018005D"/>
    <w:rsid w:val="001C722B"/>
    <w:rsid w:val="001E43A8"/>
    <w:rsid w:val="001F1263"/>
    <w:rsid w:val="001F2469"/>
    <w:rsid w:val="001F54AC"/>
    <w:rsid w:val="001F67C5"/>
    <w:rsid w:val="00207F22"/>
    <w:rsid w:val="00214DA5"/>
    <w:rsid w:val="002157C0"/>
    <w:rsid w:val="00223DD2"/>
    <w:rsid w:val="00245DB7"/>
    <w:rsid w:val="00253817"/>
    <w:rsid w:val="002746EE"/>
    <w:rsid w:val="002851FA"/>
    <w:rsid w:val="002C4FA6"/>
    <w:rsid w:val="00300163"/>
    <w:rsid w:val="00300BF3"/>
    <w:rsid w:val="00313611"/>
    <w:rsid w:val="0031769B"/>
    <w:rsid w:val="00320D6F"/>
    <w:rsid w:val="00322C79"/>
    <w:rsid w:val="003242A1"/>
    <w:rsid w:val="00367F6F"/>
    <w:rsid w:val="003722BE"/>
    <w:rsid w:val="00383754"/>
    <w:rsid w:val="003857FD"/>
    <w:rsid w:val="003B1397"/>
    <w:rsid w:val="003B6755"/>
    <w:rsid w:val="003B75CB"/>
    <w:rsid w:val="003B7807"/>
    <w:rsid w:val="003B79E9"/>
    <w:rsid w:val="003D52A7"/>
    <w:rsid w:val="003D7FE5"/>
    <w:rsid w:val="003E05BD"/>
    <w:rsid w:val="003E61B5"/>
    <w:rsid w:val="00401543"/>
    <w:rsid w:val="00401A2D"/>
    <w:rsid w:val="00401E7B"/>
    <w:rsid w:val="00416C03"/>
    <w:rsid w:val="00417020"/>
    <w:rsid w:val="00436A22"/>
    <w:rsid w:val="00451913"/>
    <w:rsid w:val="004730E9"/>
    <w:rsid w:val="0048069B"/>
    <w:rsid w:val="00493A1F"/>
    <w:rsid w:val="004B4A94"/>
    <w:rsid w:val="004C0855"/>
    <w:rsid w:val="004D716C"/>
    <w:rsid w:val="005037C5"/>
    <w:rsid w:val="0051362E"/>
    <w:rsid w:val="00522DC9"/>
    <w:rsid w:val="005349DA"/>
    <w:rsid w:val="00541D12"/>
    <w:rsid w:val="0054272A"/>
    <w:rsid w:val="0055366C"/>
    <w:rsid w:val="00595FCB"/>
    <w:rsid w:val="005A2667"/>
    <w:rsid w:val="005A2D03"/>
    <w:rsid w:val="005A7C2D"/>
    <w:rsid w:val="005D231D"/>
    <w:rsid w:val="005E1904"/>
    <w:rsid w:val="00620188"/>
    <w:rsid w:val="00643CA9"/>
    <w:rsid w:val="00657E65"/>
    <w:rsid w:val="00681D74"/>
    <w:rsid w:val="006B484F"/>
    <w:rsid w:val="006C29A7"/>
    <w:rsid w:val="006E5B29"/>
    <w:rsid w:val="006F767D"/>
    <w:rsid w:val="00703A06"/>
    <w:rsid w:val="00765F41"/>
    <w:rsid w:val="00792701"/>
    <w:rsid w:val="007B3600"/>
    <w:rsid w:val="007B3950"/>
    <w:rsid w:val="007E4FC4"/>
    <w:rsid w:val="007E5674"/>
    <w:rsid w:val="00822856"/>
    <w:rsid w:val="00825632"/>
    <w:rsid w:val="00831338"/>
    <w:rsid w:val="00843FE2"/>
    <w:rsid w:val="008650B8"/>
    <w:rsid w:val="00872DD4"/>
    <w:rsid w:val="008833B0"/>
    <w:rsid w:val="008871C8"/>
    <w:rsid w:val="0089274D"/>
    <w:rsid w:val="00896F39"/>
    <w:rsid w:val="008B0B16"/>
    <w:rsid w:val="008C4FDB"/>
    <w:rsid w:val="00927579"/>
    <w:rsid w:val="00936191"/>
    <w:rsid w:val="00956D08"/>
    <w:rsid w:val="009E6DFA"/>
    <w:rsid w:val="00A03433"/>
    <w:rsid w:val="00A32FB2"/>
    <w:rsid w:val="00A608F1"/>
    <w:rsid w:val="00A7109C"/>
    <w:rsid w:val="00A71725"/>
    <w:rsid w:val="00A737CE"/>
    <w:rsid w:val="00A7443E"/>
    <w:rsid w:val="00A80BA8"/>
    <w:rsid w:val="00A92FA4"/>
    <w:rsid w:val="00AA04C2"/>
    <w:rsid w:val="00AA6F2E"/>
    <w:rsid w:val="00AB2C42"/>
    <w:rsid w:val="00AE461D"/>
    <w:rsid w:val="00B15AA8"/>
    <w:rsid w:val="00B23046"/>
    <w:rsid w:val="00B30428"/>
    <w:rsid w:val="00B32129"/>
    <w:rsid w:val="00B32E82"/>
    <w:rsid w:val="00B34A67"/>
    <w:rsid w:val="00B63A67"/>
    <w:rsid w:val="00B72807"/>
    <w:rsid w:val="00B945B1"/>
    <w:rsid w:val="00BA554E"/>
    <w:rsid w:val="00BB35E5"/>
    <w:rsid w:val="00BB7605"/>
    <w:rsid w:val="00BD24A2"/>
    <w:rsid w:val="00BE4977"/>
    <w:rsid w:val="00C05095"/>
    <w:rsid w:val="00C15DD9"/>
    <w:rsid w:val="00C3008F"/>
    <w:rsid w:val="00C329B6"/>
    <w:rsid w:val="00C514AC"/>
    <w:rsid w:val="00C606D3"/>
    <w:rsid w:val="00CA24AF"/>
    <w:rsid w:val="00CA2B34"/>
    <w:rsid w:val="00CB48E0"/>
    <w:rsid w:val="00CD57C7"/>
    <w:rsid w:val="00CD7431"/>
    <w:rsid w:val="00D003C0"/>
    <w:rsid w:val="00D02B2F"/>
    <w:rsid w:val="00D0379E"/>
    <w:rsid w:val="00D30C99"/>
    <w:rsid w:val="00D33503"/>
    <w:rsid w:val="00D442EF"/>
    <w:rsid w:val="00D609AD"/>
    <w:rsid w:val="00D64605"/>
    <w:rsid w:val="00D67302"/>
    <w:rsid w:val="00D9405B"/>
    <w:rsid w:val="00DD041A"/>
    <w:rsid w:val="00DD2B58"/>
    <w:rsid w:val="00E0494F"/>
    <w:rsid w:val="00E36821"/>
    <w:rsid w:val="00E57353"/>
    <w:rsid w:val="00E646E7"/>
    <w:rsid w:val="00E66BC8"/>
    <w:rsid w:val="00E90FD2"/>
    <w:rsid w:val="00EA1813"/>
    <w:rsid w:val="00EC4579"/>
    <w:rsid w:val="00F23818"/>
    <w:rsid w:val="00F24756"/>
    <w:rsid w:val="00F24CA7"/>
    <w:rsid w:val="00F44158"/>
    <w:rsid w:val="00F67291"/>
    <w:rsid w:val="00F67D6C"/>
    <w:rsid w:val="00F70E3C"/>
    <w:rsid w:val="00F8680C"/>
    <w:rsid w:val="00F94923"/>
    <w:rsid w:val="00F9568E"/>
    <w:rsid w:val="00FE3E7E"/>
    <w:rsid w:val="00FE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BAA636B-8A2A-4940-B1A1-1D497BDF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82"/>
    <w:pPr>
      <w:suppressAutoHyphens/>
      <w:spacing w:line="100" w:lineRule="atLeast"/>
    </w:pPr>
    <w:rPr>
      <w:kern w:val="1"/>
      <w:sz w:val="24"/>
      <w:szCs w:val="24"/>
    </w:rPr>
  </w:style>
  <w:style w:type="paragraph" w:styleId="Heading1">
    <w:name w:val="heading 1"/>
    <w:basedOn w:val="Normal"/>
    <w:next w:val="BodyText"/>
    <w:qFormat/>
    <w:rsid w:val="00B32E82"/>
    <w:pPr>
      <w:keepNext/>
      <w:ind w:firstLine="567"/>
      <w:jc w:val="center"/>
      <w:outlineLvl w:val="0"/>
    </w:pPr>
    <w:rPr>
      <w:szCs w:val="20"/>
      <w:lang w:val="en-US" w:eastAsia="en-US"/>
    </w:rPr>
  </w:style>
  <w:style w:type="paragraph" w:styleId="Heading2">
    <w:name w:val="heading 2"/>
    <w:basedOn w:val="Normal"/>
    <w:next w:val="BodyText"/>
    <w:qFormat/>
    <w:rsid w:val="00B32E82"/>
    <w:pPr>
      <w:keepNext/>
      <w:numPr>
        <w:ilvl w:val="1"/>
        <w:numId w:val="1"/>
      </w:numPr>
      <w:spacing w:before="240" w:after="60"/>
      <w:ind w:left="0" w:firstLine="567"/>
      <w:jc w:val="both"/>
      <w:outlineLvl w:val="1"/>
    </w:pPr>
    <w:rPr>
      <w:rFonts w:ascii="Arial" w:hAnsi="Arial" w:cs="Arial"/>
      <w:b/>
      <w:bCs/>
      <w:i/>
      <w:iCs/>
      <w:sz w:val="28"/>
      <w:szCs w:val="28"/>
      <w:lang w:val="en-US" w:eastAsia="en-US"/>
    </w:rPr>
  </w:style>
  <w:style w:type="paragraph" w:styleId="Heading3">
    <w:name w:val="heading 3"/>
    <w:basedOn w:val="Normal"/>
    <w:next w:val="BodyText"/>
    <w:qFormat/>
    <w:rsid w:val="00B32E82"/>
    <w:pPr>
      <w:keepNext/>
      <w:keepLines/>
      <w:numPr>
        <w:ilvl w:val="2"/>
        <w:numId w:val="1"/>
      </w:numPr>
      <w:spacing w:before="200" w:line="360" w:lineRule="auto"/>
      <w:ind w:left="0" w:firstLine="567"/>
      <w:jc w:val="both"/>
      <w:outlineLvl w:val="2"/>
    </w:pPr>
    <w:rPr>
      <w:rFonts w:ascii="Cambria" w:hAnsi="Cambria" w:cs="font297"/>
      <w:b/>
      <w:bCs/>
      <w:color w:val="4F81BD"/>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32E82"/>
  </w:style>
  <w:style w:type="character" w:customStyle="1" w:styleId="WW8Num1z1">
    <w:name w:val="WW8Num1z1"/>
    <w:rsid w:val="00B32E82"/>
  </w:style>
  <w:style w:type="character" w:customStyle="1" w:styleId="WW8Num1z2">
    <w:name w:val="WW8Num1z2"/>
    <w:rsid w:val="00B32E82"/>
  </w:style>
  <w:style w:type="character" w:customStyle="1" w:styleId="WW8Num1z3">
    <w:name w:val="WW8Num1z3"/>
    <w:rsid w:val="00B32E82"/>
  </w:style>
  <w:style w:type="character" w:customStyle="1" w:styleId="WW8Num1z4">
    <w:name w:val="WW8Num1z4"/>
    <w:rsid w:val="00B32E82"/>
  </w:style>
  <w:style w:type="character" w:customStyle="1" w:styleId="WW8Num1z5">
    <w:name w:val="WW8Num1z5"/>
    <w:rsid w:val="00B32E82"/>
  </w:style>
  <w:style w:type="character" w:customStyle="1" w:styleId="WW8Num1z6">
    <w:name w:val="WW8Num1z6"/>
    <w:rsid w:val="00B32E82"/>
  </w:style>
  <w:style w:type="character" w:customStyle="1" w:styleId="WW8Num1z7">
    <w:name w:val="WW8Num1z7"/>
    <w:rsid w:val="00B32E82"/>
  </w:style>
  <w:style w:type="character" w:customStyle="1" w:styleId="WW8Num1z8">
    <w:name w:val="WW8Num1z8"/>
    <w:rsid w:val="00B32E82"/>
  </w:style>
  <w:style w:type="character" w:customStyle="1" w:styleId="apaks2Char">
    <w:name w:val="apaks2 Char"/>
    <w:rsid w:val="00B32E82"/>
    <w:rPr>
      <w:rFonts w:ascii="Times New Roman" w:hAnsi="Times New Roman" w:cs="Times New Roman"/>
      <w:b/>
      <w:sz w:val="24"/>
    </w:rPr>
  </w:style>
  <w:style w:type="character" w:customStyle="1" w:styleId="satursChar">
    <w:name w:val="saturs Char"/>
    <w:rsid w:val="00B32E82"/>
    <w:rPr>
      <w:rFonts w:ascii="Times New Roman" w:hAnsi="Times New Roman" w:cs="Times New Roman"/>
      <w:b/>
      <w:caps/>
      <w:color w:val="000000"/>
      <w:sz w:val="28"/>
    </w:rPr>
  </w:style>
  <w:style w:type="character" w:customStyle="1" w:styleId="Heading1Char">
    <w:name w:val="Heading 1 Char"/>
    <w:rsid w:val="00B32E82"/>
    <w:rPr>
      <w:rFonts w:ascii="Times New Roman" w:eastAsia="Times New Roman" w:hAnsi="Times New Roman" w:cs="Times New Roman"/>
      <w:sz w:val="24"/>
      <w:szCs w:val="20"/>
      <w:lang w:val="en-US"/>
    </w:rPr>
  </w:style>
  <w:style w:type="character" w:customStyle="1" w:styleId="Heading2Char">
    <w:name w:val="Heading 2 Char"/>
    <w:rsid w:val="00B32E82"/>
    <w:rPr>
      <w:rFonts w:ascii="Arial" w:eastAsia="Times New Roman" w:hAnsi="Arial" w:cs="Arial"/>
      <w:b/>
      <w:bCs/>
      <w:i/>
      <w:iCs/>
      <w:sz w:val="28"/>
      <w:szCs w:val="28"/>
      <w:lang w:val="en-US"/>
    </w:rPr>
  </w:style>
  <w:style w:type="character" w:customStyle="1" w:styleId="Heading3Char">
    <w:name w:val="Heading 3 Char"/>
    <w:rsid w:val="00B32E82"/>
    <w:rPr>
      <w:rFonts w:ascii="Cambria" w:hAnsi="Cambria" w:cs="font297"/>
      <w:b/>
      <w:bCs/>
      <w:color w:val="4F81BD"/>
      <w:sz w:val="24"/>
    </w:rPr>
  </w:style>
  <w:style w:type="character" w:customStyle="1" w:styleId="TitleChar">
    <w:name w:val="Title Char"/>
    <w:rsid w:val="00B32E82"/>
    <w:rPr>
      <w:rFonts w:ascii="Times New Roman" w:eastAsia="Times New Roman" w:hAnsi="Times New Roman" w:cs="Times New Roman"/>
      <w:sz w:val="28"/>
      <w:szCs w:val="20"/>
      <w:lang w:val="en-US"/>
    </w:rPr>
  </w:style>
  <w:style w:type="character" w:customStyle="1" w:styleId="HeaderChar">
    <w:name w:val="Header Char"/>
    <w:uiPriority w:val="99"/>
    <w:rsid w:val="00B32E82"/>
    <w:rPr>
      <w:rFonts w:ascii="Times New Roman" w:eastAsia="Times New Roman" w:hAnsi="Times New Roman" w:cs="Times New Roman"/>
      <w:sz w:val="24"/>
      <w:szCs w:val="24"/>
      <w:lang w:eastAsia="lv-LV"/>
    </w:rPr>
  </w:style>
  <w:style w:type="character" w:customStyle="1" w:styleId="PageNumber1">
    <w:name w:val="Page Number1"/>
    <w:basedOn w:val="DefaultParagraphFont"/>
    <w:rsid w:val="00B32E82"/>
  </w:style>
  <w:style w:type="character" w:customStyle="1" w:styleId="FootnoteTextChar">
    <w:name w:val="Footnote Text Char"/>
    <w:rsid w:val="00B32E82"/>
    <w:rPr>
      <w:rFonts w:ascii="Times New Roman" w:eastAsia="Times New Roman" w:hAnsi="Times New Roman" w:cs="Times New Roman"/>
      <w:sz w:val="20"/>
      <w:szCs w:val="20"/>
      <w:lang w:eastAsia="lv-LV"/>
    </w:rPr>
  </w:style>
  <w:style w:type="character" w:customStyle="1" w:styleId="FooterChar">
    <w:name w:val="Footer Char"/>
    <w:rsid w:val="00B32E82"/>
    <w:rPr>
      <w:rFonts w:ascii="Times New Roman" w:eastAsia="Times New Roman" w:hAnsi="Times New Roman" w:cs="Times New Roman"/>
      <w:sz w:val="24"/>
      <w:szCs w:val="24"/>
      <w:lang w:eastAsia="lv-LV"/>
    </w:rPr>
  </w:style>
  <w:style w:type="character" w:customStyle="1" w:styleId="BalloonTextChar">
    <w:name w:val="Balloon Text Char"/>
    <w:rsid w:val="00B32E82"/>
    <w:rPr>
      <w:rFonts w:ascii="Tahoma" w:eastAsia="Times New Roman" w:hAnsi="Tahoma" w:cs="Tahoma"/>
      <w:sz w:val="16"/>
      <w:szCs w:val="16"/>
      <w:lang w:eastAsia="lv-LV"/>
    </w:rPr>
  </w:style>
  <w:style w:type="character" w:customStyle="1" w:styleId="CommentReference1">
    <w:name w:val="Comment Reference1"/>
    <w:rsid w:val="00B32E82"/>
    <w:rPr>
      <w:sz w:val="16"/>
      <w:szCs w:val="16"/>
    </w:rPr>
  </w:style>
  <w:style w:type="character" w:customStyle="1" w:styleId="CommentTextChar">
    <w:name w:val="Comment Text Char"/>
    <w:rsid w:val="00B32E82"/>
    <w:rPr>
      <w:rFonts w:ascii="Times New Roman" w:eastAsia="Times New Roman" w:hAnsi="Times New Roman" w:cs="Times New Roman"/>
      <w:sz w:val="20"/>
      <w:szCs w:val="20"/>
      <w:lang w:eastAsia="lv-LV"/>
    </w:rPr>
  </w:style>
  <w:style w:type="character" w:customStyle="1" w:styleId="CommentSubjectChar">
    <w:name w:val="Comment Subject Char"/>
    <w:rsid w:val="00B32E82"/>
    <w:rPr>
      <w:rFonts w:ascii="Times New Roman" w:eastAsia="Times New Roman" w:hAnsi="Times New Roman" w:cs="Times New Roman"/>
      <w:b/>
      <w:bCs/>
      <w:sz w:val="20"/>
      <w:szCs w:val="20"/>
      <w:lang w:eastAsia="lv-LV"/>
    </w:rPr>
  </w:style>
  <w:style w:type="character" w:customStyle="1" w:styleId="tvhtml">
    <w:name w:val="tv_html"/>
    <w:rsid w:val="00B32E82"/>
  </w:style>
  <w:style w:type="character" w:customStyle="1" w:styleId="ListLabel1">
    <w:name w:val="ListLabel 1"/>
    <w:rsid w:val="00B32E82"/>
    <w:rPr>
      <w:rFonts w:eastAsia="Times New Roman" w:cs="Times New Roman"/>
    </w:rPr>
  </w:style>
  <w:style w:type="character" w:customStyle="1" w:styleId="ListLabel2">
    <w:name w:val="ListLabel 2"/>
    <w:rsid w:val="00B32E82"/>
    <w:rPr>
      <w:rFonts w:cs="Courier New"/>
    </w:rPr>
  </w:style>
  <w:style w:type="paragraph" w:customStyle="1" w:styleId="Virsraksts">
    <w:name w:val="Virsraksts"/>
    <w:basedOn w:val="Normal"/>
    <w:next w:val="BodyText"/>
    <w:rsid w:val="00B32E82"/>
    <w:pPr>
      <w:keepNext/>
      <w:spacing w:before="240" w:after="120"/>
    </w:pPr>
    <w:rPr>
      <w:rFonts w:ascii="Liberation Sans" w:eastAsia="DejaVu Sans" w:hAnsi="Liberation Sans" w:cs="Lohit Hindi"/>
      <w:sz w:val="28"/>
      <w:szCs w:val="28"/>
    </w:rPr>
  </w:style>
  <w:style w:type="paragraph" w:styleId="BodyText">
    <w:name w:val="Body Text"/>
    <w:basedOn w:val="Normal"/>
    <w:rsid w:val="00B32E82"/>
    <w:pPr>
      <w:spacing w:after="120"/>
    </w:pPr>
  </w:style>
  <w:style w:type="paragraph" w:styleId="List">
    <w:name w:val="List"/>
    <w:basedOn w:val="BodyText"/>
    <w:rsid w:val="00B32E82"/>
    <w:rPr>
      <w:rFonts w:cs="Lohit Hindi"/>
    </w:rPr>
  </w:style>
  <w:style w:type="paragraph" w:styleId="Caption">
    <w:name w:val="caption"/>
    <w:basedOn w:val="Normal"/>
    <w:qFormat/>
    <w:rsid w:val="00B32E82"/>
    <w:pPr>
      <w:suppressLineNumbers/>
      <w:spacing w:before="120" w:after="120"/>
    </w:pPr>
    <w:rPr>
      <w:rFonts w:cs="Lohit Hindi"/>
      <w:i/>
      <w:iCs/>
    </w:rPr>
  </w:style>
  <w:style w:type="paragraph" w:customStyle="1" w:styleId="Rdtjs">
    <w:name w:val="Rādītājs"/>
    <w:basedOn w:val="Normal"/>
    <w:rsid w:val="00B32E82"/>
    <w:pPr>
      <w:suppressLineNumbers/>
    </w:pPr>
    <w:rPr>
      <w:rFonts w:cs="Lohit Hindi"/>
    </w:rPr>
  </w:style>
  <w:style w:type="paragraph" w:customStyle="1" w:styleId="virsraks">
    <w:name w:val="virsraks"/>
    <w:basedOn w:val="Normal"/>
    <w:rsid w:val="00B32E82"/>
    <w:pPr>
      <w:spacing w:after="240" w:line="360" w:lineRule="auto"/>
      <w:ind w:firstLine="567"/>
    </w:pPr>
    <w:rPr>
      <w:rFonts w:cs="Calibri"/>
      <w:b/>
      <w:caps/>
      <w:sz w:val="28"/>
      <w:lang w:eastAsia="en-US"/>
    </w:rPr>
  </w:style>
  <w:style w:type="paragraph" w:customStyle="1" w:styleId="apaks">
    <w:name w:val="apaks"/>
    <w:basedOn w:val="Normal"/>
    <w:rsid w:val="00B32E82"/>
    <w:pPr>
      <w:spacing w:before="240" w:after="240" w:line="360" w:lineRule="auto"/>
      <w:ind w:firstLine="567"/>
    </w:pPr>
    <w:rPr>
      <w:rFonts w:cs="Calibri"/>
      <w:b/>
      <w:lang w:eastAsia="en-US"/>
    </w:rPr>
  </w:style>
  <w:style w:type="paragraph" w:customStyle="1" w:styleId="attels">
    <w:name w:val="attels"/>
    <w:basedOn w:val="Normal"/>
    <w:rsid w:val="00B32E82"/>
    <w:pPr>
      <w:spacing w:before="240" w:line="360" w:lineRule="auto"/>
      <w:jc w:val="center"/>
    </w:pPr>
    <w:rPr>
      <w:rFonts w:cs="Calibri"/>
      <w:lang w:eastAsia="en-US"/>
    </w:rPr>
  </w:style>
  <w:style w:type="paragraph" w:customStyle="1" w:styleId="Tabula">
    <w:name w:val="Tabula"/>
    <w:basedOn w:val="Normal"/>
    <w:rsid w:val="00B32E82"/>
    <w:pPr>
      <w:tabs>
        <w:tab w:val="right" w:leader="dot" w:pos="9072"/>
      </w:tabs>
      <w:spacing w:line="360" w:lineRule="auto"/>
      <w:jc w:val="center"/>
    </w:pPr>
    <w:rPr>
      <w:rFonts w:eastAsia="Calibri"/>
      <w:lang w:eastAsia="en-US"/>
    </w:rPr>
  </w:style>
  <w:style w:type="paragraph" w:customStyle="1" w:styleId="anotacija">
    <w:name w:val="anotacija"/>
    <w:basedOn w:val="Normal"/>
    <w:rsid w:val="00B32E82"/>
    <w:pPr>
      <w:spacing w:after="240" w:line="360" w:lineRule="auto"/>
      <w:jc w:val="center"/>
    </w:pPr>
    <w:rPr>
      <w:rFonts w:cs="Calibri"/>
      <w:b/>
      <w:caps/>
      <w:sz w:val="28"/>
      <w:szCs w:val="22"/>
      <w:lang w:eastAsia="en-US"/>
    </w:rPr>
  </w:style>
  <w:style w:type="paragraph" w:customStyle="1" w:styleId="formulas">
    <w:name w:val="formulas"/>
    <w:basedOn w:val="Normal"/>
    <w:rsid w:val="00B32E82"/>
    <w:pPr>
      <w:spacing w:before="120" w:after="120" w:line="360" w:lineRule="auto"/>
      <w:ind w:left="357"/>
      <w:jc w:val="right"/>
    </w:pPr>
    <w:rPr>
      <w:rFonts w:cs="Calibri"/>
      <w:lang w:eastAsia="en-US"/>
    </w:rPr>
  </w:style>
  <w:style w:type="paragraph" w:customStyle="1" w:styleId="pecatt">
    <w:name w:val="pec att"/>
    <w:basedOn w:val="attels"/>
    <w:rsid w:val="00B32E82"/>
    <w:pPr>
      <w:spacing w:before="0" w:after="240"/>
    </w:pPr>
  </w:style>
  <w:style w:type="paragraph" w:customStyle="1" w:styleId="pecfor">
    <w:name w:val="pec for"/>
    <w:basedOn w:val="Normal"/>
    <w:rsid w:val="00B32E82"/>
    <w:pPr>
      <w:spacing w:after="240" w:line="360" w:lineRule="auto"/>
      <w:ind w:firstLine="567"/>
      <w:jc w:val="both"/>
    </w:pPr>
    <w:rPr>
      <w:rFonts w:cs="Calibri"/>
      <w:lang w:eastAsia="en-US"/>
    </w:rPr>
  </w:style>
  <w:style w:type="paragraph" w:customStyle="1" w:styleId="par">
    <w:name w:val="par"/>
    <w:rsid w:val="00B32E82"/>
    <w:pPr>
      <w:widowControl w:val="0"/>
      <w:suppressAutoHyphens/>
      <w:spacing w:after="200" w:line="276" w:lineRule="auto"/>
    </w:pPr>
    <w:rPr>
      <w:rFonts w:ascii="Cambria Math" w:eastAsia="DejaVu Sans" w:hAnsi="Cambria Math" w:cs="font297"/>
      <w:i/>
      <w:kern w:val="1"/>
      <w:sz w:val="22"/>
      <w:szCs w:val="24"/>
      <w:lang w:eastAsia="en-US"/>
    </w:rPr>
  </w:style>
  <w:style w:type="paragraph" w:styleId="ListParagraph">
    <w:name w:val="List Paragraph"/>
    <w:basedOn w:val="Normal"/>
    <w:uiPriority w:val="34"/>
    <w:qFormat/>
    <w:rsid w:val="00B32E82"/>
    <w:pPr>
      <w:spacing w:line="360" w:lineRule="auto"/>
      <w:ind w:left="720" w:firstLine="567"/>
      <w:contextualSpacing/>
      <w:jc w:val="both"/>
    </w:pPr>
    <w:rPr>
      <w:rFonts w:cs="Calibri"/>
      <w:szCs w:val="22"/>
      <w:lang w:eastAsia="en-US"/>
    </w:rPr>
  </w:style>
  <w:style w:type="paragraph" w:customStyle="1" w:styleId="apaks2">
    <w:name w:val="apaks2"/>
    <w:basedOn w:val="Normal"/>
    <w:rsid w:val="00B32E82"/>
    <w:pPr>
      <w:spacing w:before="240" w:after="240" w:line="360" w:lineRule="auto"/>
      <w:ind w:firstLine="567"/>
    </w:pPr>
    <w:rPr>
      <w:rFonts w:cs="Calibri"/>
      <w:b/>
      <w:szCs w:val="22"/>
      <w:lang w:eastAsia="en-US"/>
    </w:rPr>
  </w:style>
  <w:style w:type="paragraph" w:customStyle="1" w:styleId="saturs">
    <w:name w:val="saturs"/>
    <w:basedOn w:val="Normal"/>
    <w:rsid w:val="00B32E82"/>
    <w:pPr>
      <w:spacing w:after="240" w:line="360" w:lineRule="auto"/>
      <w:jc w:val="center"/>
    </w:pPr>
    <w:rPr>
      <w:rFonts w:cs="Calibri"/>
      <w:b/>
      <w:caps/>
      <w:color w:val="000000"/>
      <w:sz w:val="28"/>
      <w:szCs w:val="22"/>
      <w:lang w:eastAsia="en-US"/>
    </w:rPr>
  </w:style>
  <w:style w:type="paragraph" w:styleId="Title">
    <w:name w:val="Title"/>
    <w:basedOn w:val="Normal"/>
    <w:next w:val="BodyText"/>
    <w:qFormat/>
    <w:rsid w:val="00B32E82"/>
    <w:pPr>
      <w:tabs>
        <w:tab w:val="left" w:pos="1843"/>
      </w:tabs>
      <w:ind w:firstLine="567"/>
      <w:jc w:val="center"/>
    </w:pPr>
    <w:rPr>
      <w:sz w:val="28"/>
      <w:szCs w:val="20"/>
      <w:lang w:val="en-US" w:eastAsia="en-US"/>
    </w:rPr>
  </w:style>
  <w:style w:type="paragraph" w:styleId="Header">
    <w:name w:val="header"/>
    <w:basedOn w:val="Normal"/>
    <w:uiPriority w:val="99"/>
    <w:rsid w:val="00B32E82"/>
    <w:pPr>
      <w:tabs>
        <w:tab w:val="center" w:pos="4153"/>
        <w:tab w:val="right" w:pos="8306"/>
      </w:tabs>
    </w:pPr>
  </w:style>
  <w:style w:type="paragraph" w:customStyle="1" w:styleId="naisf">
    <w:name w:val="naisf"/>
    <w:basedOn w:val="Normal"/>
    <w:rsid w:val="00B32E82"/>
    <w:pPr>
      <w:spacing w:before="75" w:after="75"/>
      <w:ind w:firstLine="375"/>
      <w:jc w:val="both"/>
    </w:pPr>
  </w:style>
  <w:style w:type="paragraph" w:customStyle="1" w:styleId="naisnod">
    <w:name w:val="naisnod"/>
    <w:basedOn w:val="Normal"/>
    <w:rsid w:val="00B32E82"/>
    <w:pPr>
      <w:spacing w:before="150" w:after="150"/>
      <w:jc w:val="center"/>
    </w:pPr>
    <w:rPr>
      <w:b/>
      <w:bCs/>
    </w:rPr>
  </w:style>
  <w:style w:type="paragraph" w:customStyle="1" w:styleId="naislab">
    <w:name w:val="naislab"/>
    <w:basedOn w:val="Normal"/>
    <w:rsid w:val="00B32E82"/>
    <w:pPr>
      <w:spacing w:before="75" w:after="75"/>
      <w:jc w:val="right"/>
    </w:pPr>
  </w:style>
  <w:style w:type="paragraph" w:customStyle="1" w:styleId="naiskr">
    <w:name w:val="naiskr"/>
    <w:basedOn w:val="Normal"/>
    <w:rsid w:val="00B32E82"/>
    <w:pPr>
      <w:spacing w:before="75" w:after="75"/>
    </w:pPr>
  </w:style>
  <w:style w:type="paragraph" w:customStyle="1" w:styleId="FootnoteText1">
    <w:name w:val="Footnote Text1"/>
    <w:basedOn w:val="Normal"/>
    <w:rsid w:val="00B32E82"/>
    <w:rPr>
      <w:sz w:val="20"/>
      <w:szCs w:val="20"/>
    </w:rPr>
  </w:style>
  <w:style w:type="paragraph" w:styleId="Footer">
    <w:name w:val="footer"/>
    <w:basedOn w:val="Normal"/>
    <w:rsid w:val="00B32E82"/>
    <w:pPr>
      <w:tabs>
        <w:tab w:val="center" w:pos="4153"/>
        <w:tab w:val="right" w:pos="8306"/>
      </w:tabs>
    </w:pPr>
  </w:style>
  <w:style w:type="paragraph" w:styleId="BalloonText">
    <w:name w:val="Balloon Text"/>
    <w:basedOn w:val="Normal"/>
    <w:rsid w:val="00B32E82"/>
    <w:rPr>
      <w:rFonts w:ascii="Tahoma" w:hAnsi="Tahoma" w:cs="Tahoma"/>
      <w:sz w:val="16"/>
      <w:szCs w:val="16"/>
    </w:rPr>
  </w:style>
  <w:style w:type="paragraph" w:customStyle="1" w:styleId="CommentText1">
    <w:name w:val="Comment Text1"/>
    <w:basedOn w:val="Normal"/>
    <w:rsid w:val="00B32E82"/>
    <w:rPr>
      <w:sz w:val="20"/>
      <w:szCs w:val="20"/>
    </w:rPr>
  </w:style>
  <w:style w:type="paragraph" w:customStyle="1" w:styleId="CommentSubject1">
    <w:name w:val="Comment Subject1"/>
    <w:basedOn w:val="CommentText1"/>
    <w:rsid w:val="00B32E82"/>
    <w:rPr>
      <w:b/>
      <w:bCs/>
    </w:rPr>
  </w:style>
  <w:style w:type="paragraph" w:customStyle="1" w:styleId="Default">
    <w:name w:val="Default"/>
    <w:rsid w:val="00B32E82"/>
    <w:pPr>
      <w:suppressAutoHyphens/>
      <w:spacing w:line="100" w:lineRule="atLeast"/>
    </w:pPr>
    <w:rPr>
      <w:rFonts w:eastAsia="DejaVu Sans"/>
      <w:color w:val="000000"/>
      <w:kern w:val="1"/>
      <w:sz w:val="24"/>
      <w:szCs w:val="24"/>
      <w:lang w:eastAsia="en-US"/>
    </w:rPr>
  </w:style>
  <w:style w:type="paragraph" w:customStyle="1" w:styleId="Ietvarasaturs">
    <w:name w:val="Ietvara saturs"/>
    <w:basedOn w:val="Normal"/>
    <w:rsid w:val="00B32E82"/>
  </w:style>
  <w:style w:type="paragraph" w:customStyle="1" w:styleId="Saturardtjs">
    <w:name w:val="Satura rādītājs"/>
    <w:basedOn w:val="Normal"/>
    <w:rsid w:val="00B32E82"/>
    <w:pPr>
      <w:suppressLineNumbers/>
    </w:pPr>
  </w:style>
  <w:style w:type="paragraph" w:customStyle="1" w:styleId="Tabulasvirsraksts">
    <w:name w:val="Tabulas virsraksts"/>
    <w:basedOn w:val="Saturardtjs"/>
    <w:rsid w:val="00B32E82"/>
    <w:pPr>
      <w:jc w:val="center"/>
    </w:pPr>
    <w:rPr>
      <w:b/>
      <w:bCs/>
    </w:rPr>
  </w:style>
  <w:style w:type="character" w:styleId="CommentReference">
    <w:name w:val="annotation reference"/>
    <w:uiPriority w:val="99"/>
    <w:semiHidden/>
    <w:unhideWhenUsed/>
    <w:rsid w:val="004C0855"/>
    <w:rPr>
      <w:sz w:val="16"/>
      <w:szCs w:val="16"/>
    </w:rPr>
  </w:style>
  <w:style w:type="paragraph" w:styleId="CommentText">
    <w:name w:val="annotation text"/>
    <w:basedOn w:val="Normal"/>
    <w:link w:val="CommentTextChar1"/>
    <w:uiPriority w:val="99"/>
    <w:semiHidden/>
    <w:unhideWhenUsed/>
    <w:rsid w:val="004C0855"/>
    <w:rPr>
      <w:sz w:val="20"/>
      <w:szCs w:val="20"/>
    </w:rPr>
  </w:style>
  <w:style w:type="character" w:customStyle="1" w:styleId="CommentTextChar1">
    <w:name w:val="Comment Text Char1"/>
    <w:link w:val="CommentText"/>
    <w:uiPriority w:val="99"/>
    <w:semiHidden/>
    <w:rsid w:val="004C0855"/>
    <w:rPr>
      <w:kern w:val="1"/>
    </w:rPr>
  </w:style>
  <w:style w:type="paragraph" w:styleId="CommentSubject">
    <w:name w:val="annotation subject"/>
    <w:basedOn w:val="CommentText"/>
    <w:next w:val="CommentText"/>
    <w:link w:val="CommentSubjectChar1"/>
    <w:uiPriority w:val="99"/>
    <w:semiHidden/>
    <w:unhideWhenUsed/>
    <w:rsid w:val="004C0855"/>
    <w:rPr>
      <w:b/>
      <w:bCs/>
    </w:rPr>
  </w:style>
  <w:style w:type="character" w:customStyle="1" w:styleId="CommentSubjectChar1">
    <w:name w:val="Comment Subject Char1"/>
    <w:link w:val="CommentSubject"/>
    <w:uiPriority w:val="99"/>
    <w:semiHidden/>
    <w:rsid w:val="004C0855"/>
    <w:rPr>
      <w:b/>
      <w:bCs/>
      <w:kern w:val="1"/>
    </w:rPr>
  </w:style>
  <w:style w:type="paragraph" w:styleId="EndnoteText">
    <w:name w:val="endnote text"/>
    <w:basedOn w:val="Normal"/>
    <w:link w:val="EndnoteTextChar"/>
    <w:uiPriority w:val="99"/>
    <w:semiHidden/>
    <w:unhideWhenUsed/>
    <w:rsid w:val="00223DD2"/>
    <w:rPr>
      <w:sz w:val="20"/>
      <w:szCs w:val="20"/>
    </w:rPr>
  </w:style>
  <w:style w:type="character" w:customStyle="1" w:styleId="EndnoteTextChar">
    <w:name w:val="Endnote Text Char"/>
    <w:link w:val="EndnoteText"/>
    <w:uiPriority w:val="99"/>
    <w:semiHidden/>
    <w:rsid w:val="00223DD2"/>
    <w:rPr>
      <w:kern w:val="1"/>
    </w:rPr>
  </w:style>
  <w:style w:type="character" w:styleId="EndnoteReference">
    <w:name w:val="endnote reference"/>
    <w:uiPriority w:val="99"/>
    <w:semiHidden/>
    <w:unhideWhenUsed/>
    <w:rsid w:val="00223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8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B13A-3759-4876-ADDE-03385DF5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12327</Words>
  <Characters>7027</Characters>
  <Application>Microsoft Office Word</Application>
  <DocSecurity>0</DocSecurity>
  <Lines>58</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Ieva Klinsone</dc:creator>
  <cp:keywords/>
  <dc:description/>
  <cp:lastModifiedBy>Gunta Puidīte</cp:lastModifiedBy>
  <cp:revision>9</cp:revision>
  <cp:lastPrinted>2016-07-21T08:59:00Z</cp:lastPrinted>
  <dcterms:created xsi:type="dcterms:W3CDTF">2016-08-15T07:36:00Z</dcterms:created>
  <dcterms:modified xsi:type="dcterms:W3CDTF">2016-08-17T09:39:00Z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Finanšu ministrija</vt:lpwstr>
  </property>
  <property fmtid="{D5CDD505-2E9C-101B-9397-08002B2CF9AE}" pid="4" name="ContentTypeId">
    <vt:lpwstr>0x0101001B7EA197AA1D704C9843F1E46D9D5619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