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25D7" w14:textId="25A926E8" w:rsidR="000B2411" w:rsidRPr="00E341CF" w:rsidRDefault="00DC689C" w:rsidP="00322288">
      <w:pPr>
        <w:pStyle w:val="naislab"/>
        <w:spacing w:before="0" w:after="0"/>
        <w:ind w:left="-284" w:right="-285"/>
        <w:jc w:val="center"/>
        <w:outlineLvl w:val="0"/>
        <w:rPr>
          <w:b/>
        </w:rPr>
      </w:pPr>
      <w:r w:rsidRPr="00E341CF">
        <w:rPr>
          <w:b/>
        </w:rPr>
        <w:t>Ministru kabineta noteikum</w:t>
      </w:r>
      <w:r w:rsidR="007578EB" w:rsidRPr="00E341CF">
        <w:rPr>
          <w:b/>
        </w:rPr>
        <w:t>u</w:t>
      </w:r>
      <w:r w:rsidRPr="00E341CF">
        <w:rPr>
          <w:b/>
        </w:rPr>
        <w:t xml:space="preserve"> projekta </w:t>
      </w:r>
      <w:r w:rsidR="00283D6B" w:rsidRPr="00E341CF">
        <w:rPr>
          <w:b/>
        </w:rPr>
        <w:t>„</w:t>
      </w:r>
      <w:r w:rsidR="00F1446B" w:rsidRPr="00E341CF">
        <w:rPr>
          <w:b/>
        </w:rPr>
        <w:t>Grozījumi Ministru kabineta 2005.gada 27.decembra noteikumos Nr.103</w:t>
      </w:r>
      <w:r w:rsidR="003E4364" w:rsidRPr="00E341CF">
        <w:rPr>
          <w:b/>
        </w:rPr>
        <w:t>2</w:t>
      </w:r>
      <w:r w:rsidR="00F1446B" w:rsidRPr="00E341CF">
        <w:rPr>
          <w:b/>
        </w:rPr>
        <w:t xml:space="preserve"> </w:t>
      </w:r>
      <w:r w:rsidR="00D934AF" w:rsidRPr="00E341CF">
        <w:rPr>
          <w:b/>
        </w:rPr>
        <w:t>„</w:t>
      </w:r>
      <w:r w:rsidR="00F1446B" w:rsidRPr="00E341CF">
        <w:rPr>
          <w:b/>
        </w:rPr>
        <w:t>Noteikumi par budžetu</w:t>
      </w:r>
      <w:r w:rsidR="003E4364" w:rsidRPr="00E341CF">
        <w:rPr>
          <w:b/>
        </w:rPr>
        <w:t xml:space="preserve"> ieņēmumu klasifikāciju</w:t>
      </w:r>
      <w:r w:rsidR="002B57DA" w:rsidRPr="00E341CF">
        <w:rPr>
          <w:b/>
        </w:rPr>
        <w:t>”</w:t>
      </w:r>
      <w:r w:rsidR="00283D6B" w:rsidRPr="00E341CF">
        <w:rPr>
          <w:b/>
        </w:rPr>
        <w:t>”</w:t>
      </w:r>
      <w:r w:rsidR="00743B6F" w:rsidRPr="00E341CF">
        <w:rPr>
          <w:b/>
        </w:rPr>
        <w:t xml:space="preserve"> </w:t>
      </w:r>
      <w:r w:rsidRPr="00E341CF">
        <w:rPr>
          <w:b/>
        </w:rPr>
        <w:t>sākotnējās ietekmes novērtējuma ziņojums (anotācija)</w:t>
      </w: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671"/>
        <w:gridCol w:w="7654"/>
      </w:tblGrid>
      <w:tr w:rsidR="00E341CF" w:rsidRPr="00E341CF" w14:paraId="4815BFD4" w14:textId="77777777" w:rsidTr="000C4416">
        <w:tc>
          <w:tcPr>
            <w:tcW w:w="9634" w:type="dxa"/>
            <w:gridSpan w:val="3"/>
            <w:vAlign w:val="center"/>
          </w:tcPr>
          <w:p w14:paraId="05C3EADC" w14:textId="77777777" w:rsidR="00DC689C" w:rsidRPr="00E341CF" w:rsidRDefault="00DC689C" w:rsidP="0023237B">
            <w:pPr>
              <w:pStyle w:val="naisnod"/>
              <w:spacing w:before="0" w:after="0"/>
            </w:pPr>
            <w:r w:rsidRPr="00E341CF">
              <w:t>I. Tiesību akta projekta izstrādes nepieciešamība</w:t>
            </w:r>
          </w:p>
        </w:tc>
      </w:tr>
      <w:tr w:rsidR="00E341CF" w:rsidRPr="00E341CF" w14:paraId="0119DDC0" w14:textId="77777777" w:rsidTr="000B2411">
        <w:trPr>
          <w:trHeight w:val="408"/>
        </w:trPr>
        <w:tc>
          <w:tcPr>
            <w:tcW w:w="309" w:type="dxa"/>
          </w:tcPr>
          <w:p w14:paraId="056D13EB" w14:textId="77777777" w:rsidR="00DC689C" w:rsidRPr="00E341CF" w:rsidRDefault="00DC689C" w:rsidP="0023237B">
            <w:pPr>
              <w:pStyle w:val="naiskr"/>
              <w:spacing w:before="0" w:after="0"/>
              <w:rPr>
                <w:sz w:val="22"/>
                <w:szCs w:val="22"/>
              </w:rPr>
            </w:pPr>
            <w:r w:rsidRPr="00E341CF">
              <w:rPr>
                <w:sz w:val="22"/>
                <w:szCs w:val="22"/>
              </w:rPr>
              <w:t>1.</w:t>
            </w:r>
          </w:p>
        </w:tc>
        <w:tc>
          <w:tcPr>
            <w:tcW w:w="1671" w:type="dxa"/>
          </w:tcPr>
          <w:p w14:paraId="44A1C110" w14:textId="77777777" w:rsidR="00DC689C" w:rsidRPr="00E341CF" w:rsidRDefault="00DC689C" w:rsidP="0023237B">
            <w:pPr>
              <w:pStyle w:val="naiskr"/>
              <w:spacing w:before="0" w:after="0"/>
              <w:ind w:hanging="10"/>
              <w:rPr>
                <w:sz w:val="22"/>
                <w:szCs w:val="22"/>
              </w:rPr>
            </w:pPr>
            <w:r w:rsidRPr="00E341CF">
              <w:rPr>
                <w:sz w:val="22"/>
                <w:szCs w:val="22"/>
              </w:rPr>
              <w:t>Pamatojums</w:t>
            </w:r>
          </w:p>
        </w:tc>
        <w:tc>
          <w:tcPr>
            <w:tcW w:w="7654" w:type="dxa"/>
          </w:tcPr>
          <w:p w14:paraId="0C78607A" w14:textId="0D8A11B8" w:rsidR="00641C65" w:rsidRPr="00E341CF" w:rsidRDefault="00F132DD" w:rsidP="00F84E79">
            <w:pPr>
              <w:pStyle w:val="naiskr"/>
              <w:spacing w:before="0" w:after="0"/>
              <w:ind w:left="141" w:right="81"/>
              <w:jc w:val="both"/>
            </w:pPr>
            <w:r w:rsidRPr="00F132DD">
              <w:t>Ministru kabineta noteikumu projekts „Grozījumi Ministru kabineta 2005.gada 27.decembra noteikumos Nr.103</w:t>
            </w:r>
            <w:r>
              <w:t>2</w:t>
            </w:r>
            <w:r w:rsidRPr="00F132DD">
              <w:t xml:space="preserve"> "Noteikumi par budžetu </w:t>
            </w:r>
            <w:r>
              <w:t xml:space="preserve">ieņēmumu </w:t>
            </w:r>
            <w:r w:rsidRPr="00F132DD">
              <w:t xml:space="preserve">klasifikāciju”” (turpmāk – noteikumu projekts) sagatavots pēc Finanšu ministrijas iniciatīvas, lai pilnveidotu </w:t>
            </w:r>
            <w:r>
              <w:t xml:space="preserve">ieņēmumu </w:t>
            </w:r>
            <w:r w:rsidRPr="00F132DD">
              <w:t>klasifikāciju.</w:t>
            </w:r>
          </w:p>
        </w:tc>
      </w:tr>
      <w:tr w:rsidR="00E341CF" w:rsidRPr="00E341CF" w14:paraId="1C5723FF" w14:textId="77777777" w:rsidTr="000B2411">
        <w:trPr>
          <w:trHeight w:val="269"/>
        </w:trPr>
        <w:tc>
          <w:tcPr>
            <w:tcW w:w="309" w:type="dxa"/>
          </w:tcPr>
          <w:p w14:paraId="585CAF6B" w14:textId="77777777" w:rsidR="00DC689C" w:rsidRPr="00E341CF" w:rsidRDefault="00DC689C" w:rsidP="00671B74">
            <w:pPr>
              <w:pStyle w:val="naiskr"/>
              <w:spacing w:before="0" w:after="0"/>
              <w:rPr>
                <w:sz w:val="22"/>
                <w:szCs w:val="22"/>
              </w:rPr>
            </w:pPr>
            <w:r w:rsidRPr="00E341CF">
              <w:rPr>
                <w:sz w:val="22"/>
                <w:szCs w:val="22"/>
              </w:rPr>
              <w:t>2.</w:t>
            </w:r>
          </w:p>
        </w:tc>
        <w:tc>
          <w:tcPr>
            <w:tcW w:w="1671" w:type="dxa"/>
          </w:tcPr>
          <w:p w14:paraId="76C27D33" w14:textId="77777777" w:rsidR="00DC689C" w:rsidRPr="00E341CF" w:rsidRDefault="00DC689C" w:rsidP="00671B74">
            <w:pPr>
              <w:pStyle w:val="naiskr"/>
              <w:tabs>
                <w:tab w:val="left" w:pos="170"/>
              </w:tabs>
              <w:spacing w:before="0" w:after="0"/>
              <w:rPr>
                <w:sz w:val="22"/>
                <w:szCs w:val="22"/>
              </w:rPr>
            </w:pPr>
            <w:r w:rsidRPr="00E341CF">
              <w:rPr>
                <w:sz w:val="22"/>
                <w:szCs w:val="22"/>
              </w:rPr>
              <w:t>Pašreizējā situācija un problēmas</w:t>
            </w:r>
            <w:r w:rsidR="00C90FFC" w:rsidRPr="00E341CF">
              <w:rPr>
                <w:sz w:val="22"/>
                <w:szCs w:val="22"/>
              </w:rPr>
              <w:t>, kuru risināšanai tiesību akta projekts izstrādāts, tiesiskā regulējuma mērķis un būtība</w:t>
            </w:r>
          </w:p>
        </w:tc>
        <w:tc>
          <w:tcPr>
            <w:tcW w:w="7654" w:type="dxa"/>
          </w:tcPr>
          <w:p w14:paraId="28C060B6" w14:textId="77777777" w:rsidR="00F84E79" w:rsidRDefault="00AB5672" w:rsidP="00601509">
            <w:pPr>
              <w:spacing w:after="120"/>
              <w:ind w:left="113" w:right="142" w:firstLine="425"/>
              <w:jc w:val="both"/>
              <w:rPr>
                <w:rFonts w:eastAsia="Calibri"/>
                <w:lang w:eastAsia="en-US"/>
              </w:rPr>
            </w:pPr>
            <w:r>
              <w:rPr>
                <w:rFonts w:eastAsia="Calibri"/>
                <w:lang w:eastAsia="en-US"/>
              </w:rPr>
              <w:t xml:space="preserve">Noteikumu projekts tika sagatavots, </w:t>
            </w:r>
            <w:r w:rsidR="00814B36">
              <w:rPr>
                <w:rFonts w:eastAsia="Calibri"/>
                <w:lang w:eastAsia="en-US"/>
              </w:rPr>
              <w:t xml:space="preserve">lai </w:t>
            </w:r>
            <w:r w:rsidR="00361E18">
              <w:rPr>
                <w:rFonts w:eastAsia="Calibri"/>
                <w:lang w:eastAsia="en-US"/>
              </w:rPr>
              <w:t>harmonizētu</w:t>
            </w:r>
            <w:r w:rsidR="00814B36">
              <w:rPr>
                <w:rFonts w:eastAsia="Calibri"/>
                <w:lang w:eastAsia="en-US"/>
              </w:rPr>
              <w:t xml:space="preserve"> ieņēmumu  klasifikācijas pozīcijas ar </w:t>
            </w:r>
            <w:r w:rsidR="00D73772">
              <w:rPr>
                <w:rFonts w:eastAsia="Calibri"/>
                <w:lang w:eastAsia="en-US"/>
              </w:rPr>
              <w:t xml:space="preserve">spēkā esošajiem </w:t>
            </w:r>
            <w:r w:rsidR="00814B36">
              <w:rPr>
                <w:rFonts w:eastAsia="Calibri"/>
                <w:lang w:eastAsia="en-US"/>
              </w:rPr>
              <w:t>normatīvajiem aktiem un ieņēmumu klasifikācijas piemērošanu padarītu ērtāku</w:t>
            </w:r>
            <w:r w:rsidR="000F0A87">
              <w:rPr>
                <w:rFonts w:eastAsia="Calibri"/>
                <w:lang w:eastAsia="en-US"/>
              </w:rPr>
              <w:t xml:space="preserve"> tās lietotājiem</w:t>
            </w:r>
            <w:r w:rsidR="00814B36">
              <w:rPr>
                <w:rFonts w:eastAsia="Calibri"/>
                <w:lang w:eastAsia="en-US"/>
              </w:rPr>
              <w:t>. Lai sasniegtu šo mērķi</w:t>
            </w:r>
            <w:r w:rsidR="00D73772">
              <w:rPr>
                <w:rFonts w:eastAsia="Calibri"/>
                <w:lang w:eastAsia="en-US"/>
              </w:rPr>
              <w:t>,</w:t>
            </w:r>
            <w:r w:rsidR="00814B36">
              <w:rPr>
                <w:rFonts w:eastAsia="Calibri"/>
                <w:lang w:eastAsia="en-US"/>
              </w:rPr>
              <w:t xml:space="preserve"> tika analizēts </w:t>
            </w:r>
            <w:r w:rsidR="0064386B">
              <w:rPr>
                <w:rFonts w:eastAsia="Calibri"/>
                <w:lang w:eastAsia="en-US"/>
              </w:rPr>
              <w:t xml:space="preserve">Valsts kasē </w:t>
            </w:r>
            <w:r w:rsidR="00814B36">
              <w:rPr>
                <w:rFonts w:eastAsia="Calibri"/>
                <w:lang w:eastAsia="en-US"/>
              </w:rPr>
              <w:t>veikto maksājumu skait</w:t>
            </w:r>
            <w:r w:rsidR="0064386B">
              <w:rPr>
                <w:rFonts w:eastAsia="Calibri"/>
                <w:lang w:eastAsia="en-US"/>
              </w:rPr>
              <w:t>s</w:t>
            </w:r>
            <w:r w:rsidR="00814B36">
              <w:rPr>
                <w:rFonts w:eastAsia="Calibri"/>
                <w:lang w:eastAsia="en-US"/>
              </w:rPr>
              <w:t xml:space="preserve"> ieņēmumu klasifikācijas kod</w:t>
            </w:r>
            <w:r w:rsidR="00D73772">
              <w:rPr>
                <w:rFonts w:eastAsia="Calibri"/>
                <w:lang w:eastAsia="en-US"/>
              </w:rPr>
              <w:t>os</w:t>
            </w:r>
            <w:r w:rsidR="00814B36">
              <w:rPr>
                <w:rFonts w:eastAsia="Calibri"/>
                <w:lang w:eastAsia="en-US"/>
              </w:rPr>
              <w:t xml:space="preserve"> 2015.gadā, vienlaikus ņemot vērā arī konkrēto ieņēmumu pozīciju būtiskumu. </w:t>
            </w:r>
            <w:r w:rsidR="00D73772">
              <w:rPr>
                <w:rFonts w:eastAsia="Calibri"/>
                <w:lang w:eastAsia="en-US"/>
              </w:rPr>
              <w:t>Sagaidāmais i</w:t>
            </w:r>
            <w:r w:rsidR="00814B36">
              <w:rPr>
                <w:rFonts w:eastAsia="Calibri"/>
                <w:lang w:eastAsia="en-US"/>
              </w:rPr>
              <w:t xml:space="preserve">eguvums būs, ka </w:t>
            </w:r>
            <w:r w:rsidR="00D73772">
              <w:rPr>
                <w:rFonts w:eastAsia="Calibri"/>
                <w:lang w:eastAsia="en-US"/>
              </w:rPr>
              <w:t xml:space="preserve">samazinoties </w:t>
            </w:r>
            <w:r w:rsidR="00814B36">
              <w:rPr>
                <w:rFonts w:eastAsia="Calibri"/>
                <w:lang w:eastAsia="en-US"/>
              </w:rPr>
              <w:t>ieņēmumu klasifikācija</w:t>
            </w:r>
            <w:r w:rsidR="00D73772">
              <w:rPr>
                <w:rFonts w:eastAsia="Calibri"/>
                <w:lang w:eastAsia="en-US"/>
              </w:rPr>
              <w:t>s kodu detalizācijai,</w:t>
            </w:r>
            <w:r w:rsidR="00814B36">
              <w:rPr>
                <w:rFonts w:eastAsia="Calibri"/>
                <w:lang w:eastAsia="en-US"/>
              </w:rPr>
              <w:t xml:space="preserve"> </w:t>
            </w:r>
            <w:r w:rsidR="00D73772">
              <w:rPr>
                <w:rFonts w:eastAsia="Calibri"/>
                <w:lang w:eastAsia="en-US"/>
              </w:rPr>
              <w:t>kļūs</w:t>
            </w:r>
            <w:r w:rsidR="00814B36">
              <w:rPr>
                <w:rFonts w:eastAsia="Calibri"/>
                <w:lang w:eastAsia="en-US"/>
              </w:rPr>
              <w:t xml:space="preserve"> mazāks kļūdaino maksājumu skaits, kur piemērots nepareizs ieņēmumu kods</w:t>
            </w:r>
            <w:r w:rsidR="00D73772">
              <w:rPr>
                <w:rFonts w:eastAsia="Calibri"/>
                <w:lang w:eastAsia="en-US"/>
              </w:rPr>
              <w:t xml:space="preserve">, tādējādi veicinot </w:t>
            </w:r>
            <w:r w:rsidR="00F84E79">
              <w:rPr>
                <w:rFonts w:eastAsia="Calibri"/>
                <w:lang w:eastAsia="en-US"/>
              </w:rPr>
              <w:t xml:space="preserve">ieņēmumu </w:t>
            </w:r>
            <w:r w:rsidR="00D73772">
              <w:rPr>
                <w:rFonts w:eastAsia="Calibri"/>
                <w:lang w:eastAsia="en-US"/>
              </w:rPr>
              <w:t>klasifikācijas korekt</w:t>
            </w:r>
            <w:r w:rsidR="00B258BF">
              <w:rPr>
                <w:rFonts w:eastAsia="Calibri"/>
                <w:lang w:eastAsia="en-US"/>
              </w:rPr>
              <w:t>u</w:t>
            </w:r>
            <w:r w:rsidR="00D73772">
              <w:rPr>
                <w:rFonts w:eastAsia="Calibri"/>
                <w:lang w:eastAsia="en-US"/>
              </w:rPr>
              <w:t xml:space="preserve"> piemērošanu</w:t>
            </w:r>
            <w:r w:rsidR="00814B36">
              <w:rPr>
                <w:rFonts w:eastAsia="Calibri"/>
                <w:lang w:eastAsia="en-US"/>
              </w:rPr>
              <w:t>.</w:t>
            </w:r>
            <w:r w:rsidR="00F84E79">
              <w:rPr>
                <w:rFonts w:eastAsia="Calibri"/>
                <w:lang w:eastAsia="en-US"/>
              </w:rPr>
              <w:t xml:space="preserve"> </w:t>
            </w:r>
          </w:p>
          <w:p w14:paraId="0C377DA1" w14:textId="60543692" w:rsidR="00364132" w:rsidRDefault="00062F73" w:rsidP="00601509">
            <w:pPr>
              <w:spacing w:after="120"/>
              <w:ind w:left="113" w:right="142" w:firstLine="425"/>
              <w:jc w:val="both"/>
              <w:rPr>
                <w:rFonts w:eastAsia="Calibri"/>
                <w:lang w:eastAsia="en-US"/>
              </w:rPr>
            </w:pPr>
            <w:r>
              <w:rPr>
                <w:rFonts w:eastAsia="Calibri"/>
                <w:lang w:eastAsia="en-US"/>
              </w:rPr>
              <w:t>1</w:t>
            </w:r>
            <w:r w:rsidR="00BC76D1">
              <w:rPr>
                <w:rFonts w:eastAsia="Calibri"/>
                <w:lang w:eastAsia="en-US"/>
              </w:rPr>
              <w:t>.</w:t>
            </w:r>
            <w:r>
              <w:rPr>
                <w:rFonts w:eastAsia="Calibri"/>
                <w:lang w:eastAsia="en-US"/>
              </w:rPr>
              <w:t> </w:t>
            </w:r>
            <w:r w:rsidR="00364132" w:rsidRPr="00364132">
              <w:rPr>
                <w:rFonts w:eastAsia="Calibri"/>
                <w:lang w:eastAsia="en-US"/>
              </w:rPr>
              <w:t xml:space="preserve">Noteikumu projekts paredz visā </w:t>
            </w:r>
            <w:r w:rsidR="00364132">
              <w:rPr>
                <w:rFonts w:eastAsia="Calibri"/>
                <w:lang w:eastAsia="en-US"/>
              </w:rPr>
              <w:t>ieņēmumu</w:t>
            </w:r>
            <w:r w:rsidR="00364132" w:rsidRPr="00364132">
              <w:rPr>
                <w:rFonts w:eastAsia="Calibri"/>
                <w:lang w:eastAsia="en-US"/>
              </w:rPr>
              <w:t xml:space="preserve"> klasifikācijā vārdus „saistību nodošana</w:t>
            </w:r>
            <w:r w:rsidR="00364132">
              <w:rPr>
                <w:rFonts w:eastAsia="Calibri"/>
                <w:lang w:eastAsia="en-US"/>
              </w:rPr>
              <w:t xml:space="preserve"> bilancē</w:t>
            </w:r>
            <w:r w:rsidR="00364132" w:rsidRPr="00364132">
              <w:rPr>
                <w:rFonts w:eastAsia="Calibri"/>
                <w:lang w:eastAsia="en-US"/>
              </w:rPr>
              <w:t xml:space="preserve">” </w:t>
            </w:r>
            <w:r w:rsidR="00F84E79">
              <w:rPr>
                <w:rFonts w:eastAsia="Calibri"/>
                <w:lang w:eastAsia="en-US"/>
              </w:rPr>
              <w:t xml:space="preserve">aizstāt </w:t>
            </w:r>
            <w:r w:rsidR="00364132" w:rsidRPr="00364132">
              <w:rPr>
                <w:rFonts w:eastAsia="Calibri"/>
                <w:lang w:eastAsia="en-US"/>
              </w:rPr>
              <w:t>ar vārdiem „pasīvu nodošana</w:t>
            </w:r>
            <w:r w:rsidR="00364132">
              <w:rPr>
                <w:rFonts w:eastAsia="Calibri"/>
                <w:lang w:eastAsia="en-US"/>
              </w:rPr>
              <w:t xml:space="preserve"> bilancē</w:t>
            </w:r>
            <w:r w:rsidR="00364132" w:rsidRPr="00364132">
              <w:rPr>
                <w:rFonts w:eastAsia="Calibri"/>
                <w:lang w:eastAsia="en-US"/>
              </w:rPr>
              <w:t>”, jo reorganizējot budžeta iestādi nav kur attiecināt ieņēmumus, kas radušies bilances pašu kapitāla un uzkrājumu posteņu nodošanas rezultātā, kas ir bilances pasīva posteņi, bet nav saistības.</w:t>
            </w:r>
          </w:p>
          <w:p w14:paraId="3ED4859F" w14:textId="344633A1" w:rsidR="00767C9D" w:rsidRDefault="00814B36" w:rsidP="00601509">
            <w:pPr>
              <w:spacing w:after="120"/>
              <w:ind w:left="113" w:right="142" w:firstLine="425"/>
              <w:jc w:val="both"/>
              <w:rPr>
                <w:rFonts w:eastAsia="Calibri"/>
                <w:lang w:eastAsia="en-US"/>
              </w:rPr>
            </w:pPr>
            <w:r>
              <w:rPr>
                <w:rFonts w:eastAsia="Calibri"/>
                <w:lang w:eastAsia="en-US"/>
              </w:rPr>
              <w:t xml:space="preserve"> </w:t>
            </w:r>
            <w:r w:rsidR="00062F73">
              <w:rPr>
                <w:rFonts w:eastAsia="Calibri"/>
                <w:lang w:eastAsia="en-US"/>
              </w:rPr>
              <w:t>2.</w:t>
            </w:r>
            <w:r w:rsidR="00805C4F">
              <w:rPr>
                <w:rFonts w:eastAsia="Calibri"/>
                <w:lang w:eastAsia="en-US"/>
              </w:rPr>
              <w:t> </w:t>
            </w:r>
            <w:r w:rsidR="00641A07" w:rsidRPr="000F1BED">
              <w:t>Noteikumu projekts paredz svītrot 1.1.apakšgrupas kodu 1.1.1.3. „Pašvaldībā iekasētais iedzīvotāju ienākuma nodoklis”, ņemot vērā to, ka līgumu ar Finanšu ministriju par iedzīvotāju ienākuma nodokļa tiešu ieskaitīšanu pašvaldību budžetos vairs nav un sākot jau ar 2015.gada 1.janvāri visus iedzīvotāju ienākuma nodokļa maksājumus nodokļa maksātāji ieskaita iedzīvotāju ienākuma nodokļa kontā Valsts kasē atbilstoši Ministru kabineta 2014.gada 16.decembra noteikumiem Nr.785 „Kārtība, kādā iedzīvotāju ienākuma nodokli, ar nodokli saistīto nokavējuma naudu un soda naudu ieskaita budžetā”. Tādējādi noteikumu projekts paredz, ka budžeta ieņēmumu klasifikācija tiek harmonizēta ar noteikumiem Nr.785, lai sakārtotu normatīvo regulējumu</w:t>
            </w:r>
            <w:r w:rsidR="00641A07">
              <w:t>.</w:t>
            </w:r>
            <w:r w:rsidR="00767C9D">
              <w:rPr>
                <w:rFonts w:eastAsia="Calibri"/>
                <w:lang w:eastAsia="en-US"/>
              </w:rPr>
              <w:t xml:space="preserve"> </w:t>
            </w:r>
          </w:p>
          <w:p w14:paraId="10F7B87B" w14:textId="0F2572D3" w:rsidR="00D61240" w:rsidRDefault="0044559A" w:rsidP="00601509">
            <w:pPr>
              <w:spacing w:after="120"/>
              <w:ind w:left="113" w:right="142" w:firstLine="425"/>
              <w:jc w:val="both"/>
              <w:rPr>
                <w:rFonts w:eastAsia="Calibri"/>
                <w:lang w:eastAsia="en-US"/>
              </w:rPr>
            </w:pPr>
            <w:r>
              <w:rPr>
                <w:rFonts w:eastAsia="Calibri"/>
                <w:lang w:eastAsia="en-US"/>
              </w:rPr>
              <w:t>3</w:t>
            </w:r>
            <w:r w:rsidR="00704A56">
              <w:rPr>
                <w:rFonts w:eastAsia="Calibri"/>
                <w:lang w:eastAsia="en-US"/>
              </w:rPr>
              <w:t xml:space="preserve">. Noteikumu projekts paredz svītrot vairākus nodokļu ieņēmumu kodus – 1.2.2.0. </w:t>
            </w:r>
            <w:r w:rsidR="00704A56" w:rsidRPr="00704A56">
              <w:rPr>
                <w:rFonts w:eastAsia="Calibri"/>
                <w:lang w:eastAsia="en-US"/>
              </w:rPr>
              <w:t>„</w:t>
            </w:r>
            <w:r w:rsidR="00704A56">
              <w:rPr>
                <w:rFonts w:eastAsia="Calibri"/>
                <w:lang w:eastAsia="en-US"/>
              </w:rPr>
              <w:t xml:space="preserve">Peļņas nodokļa parādi”, 2.3.0.0. </w:t>
            </w:r>
            <w:r w:rsidR="00704A56" w:rsidRPr="00704A56">
              <w:rPr>
                <w:rFonts w:eastAsia="Calibri"/>
                <w:lang w:eastAsia="en-US"/>
              </w:rPr>
              <w:t>„</w:t>
            </w:r>
            <w:r w:rsidR="00704A56">
              <w:rPr>
                <w:rFonts w:eastAsia="Calibri"/>
                <w:lang w:eastAsia="en-US"/>
              </w:rPr>
              <w:t xml:space="preserve">Sociālā nodokļa parādi”, </w:t>
            </w:r>
            <w:r w:rsidR="00EF5767">
              <w:rPr>
                <w:rFonts w:eastAsia="Calibri"/>
                <w:lang w:eastAsia="en-US"/>
              </w:rPr>
              <w:t xml:space="preserve">5.1.2.0. </w:t>
            </w:r>
            <w:r w:rsidR="00EF5767" w:rsidRPr="00EF5767">
              <w:rPr>
                <w:rFonts w:eastAsia="Calibri"/>
                <w:lang w:eastAsia="en-US"/>
              </w:rPr>
              <w:t>„</w:t>
            </w:r>
            <w:r w:rsidR="00EF5767">
              <w:rPr>
                <w:rFonts w:eastAsia="Calibri"/>
                <w:lang w:eastAsia="en-US"/>
              </w:rPr>
              <w:t>Apgrozījuma nodokļa parādi”</w:t>
            </w:r>
            <w:r w:rsidR="00AB5672">
              <w:rPr>
                <w:rFonts w:eastAsia="Calibri"/>
                <w:lang w:eastAsia="en-US"/>
              </w:rPr>
              <w:t>,</w:t>
            </w:r>
            <w:r w:rsidR="00704A56">
              <w:rPr>
                <w:rFonts w:eastAsia="Calibri"/>
                <w:lang w:eastAsia="en-US"/>
              </w:rPr>
              <w:t xml:space="preserve"> kurus līdz šim piemēroja </w:t>
            </w:r>
            <w:r w:rsidR="00D61240">
              <w:rPr>
                <w:rFonts w:eastAsia="Calibri"/>
                <w:lang w:eastAsia="en-US"/>
              </w:rPr>
              <w:t xml:space="preserve">agrāk pastāvošo minēto </w:t>
            </w:r>
            <w:r w:rsidR="00704A56">
              <w:rPr>
                <w:rFonts w:eastAsia="Calibri"/>
                <w:lang w:eastAsia="en-US"/>
              </w:rPr>
              <w:t xml:space="preserve">nodokļu </w:t>
            </w:r>
            <w:r w:rsidR="00D61240">
              <w:rPr>
                <w:rFonts w:eastAsia="Calibri"/>
                <w:lang w:eastAsia="en-US"/>
              </w:rPr>
              <w:t xml:space="preserve">saņemtajiem </w:t>
            </w:r>
            <w:r w:rsidR="00704A56">
              <w:rPr>
                <w:rFonts w:eastAsia="Calibri"/>
                <w:lang w:eastAsia="en-US"/>
              </w:rPr>
              <w:t>parādu maksājumiem</w:t>
            </w:r>
            <w:r w:rsidR="00D61240">
              <w:rPr>
                <w:rFonts w:eastAsia="Calibri"/>
                <w:lang w:eastAsia="en-US"/>
              </w:rPr>
              <w:t xml:space="preserve">, taču </w:t>
            </w:r>
            <w:r w:rsidR="00814B36">
              <w:rPr>
                <w:rFonts w:eastAsia="Calibri"/>
                <w:lang w:eastAsia="en-US"/>
              </w:rPr>
              <w:t xml:space="preserve">šādas pozīcijas nav aktuālas, jo </w:t>
            </w:r>
            <w:r w:rsidR="00C427B4">
              <w:rPr>
                <w:rFonts w:eastAsia="Calibri"/>
                <w:lang w:eastAsia="en-US"/>
              </w:rPr>
              <w:t xml:space="preserve">visos gadījumos pagājuši vairāk kā 10 gadi kopš atbilstošie likumi, kas paredzēja šādus nodokļus, zaudējuši spēku. Gadījumā, ja vēl šāda veida parāda maksājumi veicami, tad pēc grozījumu veikšanas klasifikācijā piemērojami </w:t>
            </w:r>
            <w:r w:rsidR="001C4A38">
              <w:rPr>
                <w:rFonts w:eastAsia="Calibri"/>
                <w:lang w:eastAsia="en-US"/>
              </w:rPr>
              <w:t xml:space="preserve">attiecīgi uzņēmuma ienākuma nodokļa, Valsts sociālās apdrošināšanas iemaksu, Pievienotās vērtības nodokļa </w:t>
            </w:r>
            <w:r w:rsidR="00C427B4">
              <w:rPr>
                <w:rFonts w:eastAsia="Calibri"/>
                <w:lang w:eastAsia="en-US"/>
              </w:rPr>
              <w:t>ieņēmumu kodi</w:t>
            </w:r>
            <w:r w:rsidR="001C4A38">
              <w:rPr>
                <w:rFonts w:eastAsia="Calibri"/>
                <w:lang w:eastAsia="en-US"/>
              </w:rPr>
              <w:t xml:space="preserve">. </w:t>
            </w:r>
          </w:p>
          <w:p w14:paraId="5751C76A" w14:textId="2317C6B0" w:rsidR="00FF5E35" w:rsidRPr="00E341CF" w:rsidRDefault="0044559A" w:rsidP="00601509">
            <w:pPr>
              <w:spacing w:after="120"/>
              <w:ind w:left="113" w:right="142" w:firstLine="425"/>
              <w:jc w:val="both"/>
              <w:rPr>
                <w:rFonts w:eastAsia="Calibri"/>
                <w:lang w:eastAsia="en-US"/>
              </w:rPr>
            </w:pPr>
            <w:r>
              <w:rPr>
                <w:rFonts w:eastAsia="Calibri"/>
                <w:lang w:eastAsia="en-US"/>
              </w:rPr>
              <w:t>4</w:t>
            </w:r>
            <w:r w:rsidR="00A0281D">
              <w:rPr>
                <w:rFonts w:eastAsia="Calibri"/>
                <w:lang w:eastAsia="en-US"/>
              </w:rPr>
              <w:t>. </w:t>
            </w:r>
            <w:r w:rsidR="00FF5E35" w:rsidRPr="00E341CF">
              <w:rPr>
                <w:rFonts w:eastAsia="Calibri"/>
                <w:lang w:eastAsia="en-US"/>
              </w:rPr>
              <w:t xml:space="preserve">Noteikumu projekts paredz redakcionāli precizēt ieņēmumu klasifikācijas </w:t>
            </w:r>
            <w:r w:rsidR="00F84E79">
              <w:rPr>
                <w:rFonts w:eastAsia="Calibri"/>
                <w:lang w:eastAsia="en-US"/>
              </w:rPr>
              <w:t xml:space="preserve">1.3.apakšgrupas </w:t>
            </w:r>
            <w:r w:rsidR="00FF5E35" w:rsidRPr="00E341CF">
              <w:rPr>
                <w:rFonts w:eastAsia="Calibri"/>
                <w:lang w:eastAsia="en-US"/>
              </w:rPr>
              <w:t>kodu 2.</w:t>
            </w:r>
            <w:r w:rsidR="00A0281D">
              <w:rPr>
                <w:rFonts w:eastAsia="Calibri"/>
                <w:lang w:eastAsia="en-US"/>
              </w:rPr>
              <w:t>1</w:t>
            </w:r>
            <w:r w:rsidR="00FF5E35" w:rsidRPr="00E341CF">
              <w:rPr>
                <w:rFonts w:eastAsia="Calibri"/>
                <w:lang w:eastAsia="en-US"/>
              </w:rPr>
              <w:t>.</w:t>
            </w:r>
            <w:r w:rsidR="00A0281D">
              <w:rPr>
                <w:rFonts w:eastAsia="Calibri"/>
                <w:lang w:eastAsia="en-US"/>
              </w:rPr>
              <w:t>2</w:t>
            </w:r>
            <w:r w:rsidR="00FF5E35" w:rsidRPr="00E341CF">
              <w:rPr>
                <w:rFonts w:eastAsia="Calibri"/>
                <w:lang w:eastAsia="en-US"/>
              </w:rPr>
              <w:t>.0</w:t>
            </w:r>
            <w:r w:rsidR="00C427B4">
              <w:rPr>
                <w:rFonts w:eastAsia="Calibri"/>
                <w:lang w:eastAsia="en-US"/>
              </w:rPr>
              <w:t>.</w:t>
            </w:r>
          </w:p>
          <w:p w14:paraId="177D5D59" w14:textId="0F2D7397" w:rsidR="00134F6F" w:rsidRDefault="0044559A" w:rsidP="0044559A">
            <w:pPr>
              <w:ind w:left="113" w:right="142" w:firstLine="425"/>
              <w:jc w:val="both"/>
              <w:rPr>
                <w:rFonts w:eastAsia="Calibri"/>
                <w:lang w:eastAsia="en-US"/>
              </w:rPr>
            </w:pPr>
            <w:r>
              <w:rPr>
                <w:rFonts w:eastAsia="Calibri"/>
                <w:lang w:eastAsia="en-US"/>
              </w:rPr>
              <w:t>5</w:t>
            </w:r>
            <w:r w:rsidR="003F00B9" w:rsidRPr="00E341CF">
              <w:rPr>
                <w:rFonts w:eastAsia="Calibri"/>
                <w:lang w:eastAsia="en-US"/>
              </w:rPr>
              <w:t>. </w:t>
            </w:r>
            <w:r w:rsidR="009E6D5A" w:rsidRPr="009E6D5A">
              <w:rPr>
                <w:rFonts w:eastAsia="Calibri"/>
                <w:lang w:eastAsia="en-US"/>
              </w:rPr>
              <w:t xml:space="preserve">Noteikumu projekts paredz svītrot </w:t>
            </w:r>
            <w:r w:rsidR="009E6D5A">
              <w:rPr>
                <w:rFonts w:eastAsia="Calibri"/>
                <w:lang w:eastAsia="en-US"/>
              </w:rPr>
              <w:t xml:space="preserve">pēc skaita pavisam kopā </w:t>
            </w:r>
            <w:r w:rsidR="00F84E79">
              <w:rPr>
                <w:rFonts w:eastAsia="Calibri"/>
                <w:lang w:eastAsia="en-US"/>
              </w:rPr>
              <w:t>60</w:t>
            </w:r>
            <w:r w:rsidR="009E6D5A">
              <w:rPr>
                <w:rFonts w:eastAsia="Calibri"/>
                <w:lang w:eastAsia="en-US"/>
              </w:rPr>
              <w:t xml:space="preserve"> </w:t>
            </w:r>
            <w:r w:rsidR="00AB5672">
              <w:rPr>
                <w:rFonts w:eastAsia="Calibri"/>
                <w:lang w:eastAsia="en-US"/>
              </w:rPr>
              <w:t xml:space="preserve">akcīzes nodokļu </w:t>
            </w:r>
            <w:r w:rsidR="006D3457">
              <w:rPr>
                <w:rFonts w:eastAsia="Calibri"/>
                <w:lang w:eastAsia="en-US"/>
              </w:rPr>
              <w:t xml:space="preserve">(1.6.apakšgrupas) </w:t>
            </w:r>
            <w:r w:rsidR="00AB5672">
              <w:rPr>
                <w:rFonts w:eastAsia="Calibri"/>
                <w:lang w:eastAsia="en-US"/>
              </w:rPr>
              <w:t>ieņēmumu kodus. P</w:t>
            </w:r>
            <w:r w:rsidR="009E6D5A">
              <w:rPr>
                <w:rFonts w:eastAsia="Calibri"/>
                <w:lang w:eastAsia="en-US"/>
              </w:rPr>
              <w:t>amatā tie ir zemāka līmeņa apakškodi, tādējādi saglabājot akcīzes nodokļu ieņēmumu lielākās pozīcijas nemainīgas</w:t>
            </w:r>
            <w:r w:rsidR="00C427B4">
              <w:rPr>
                <w:rFonts w:eastAsia="Calibri"/>
                <w:lang w:eastAsia="en-US"/>
              </w:rPr>
              <w:t xml:space="preserve"> (akcīzes nodoklis alkoholiskajiem dzērieniem; akcīzes nodoklis alum; akcīzes nodoklis tabakas izstrādājumiem; akcīzes nodoklis dabasgāzei; akcīzes nodoklis naftas produktiem; akcīzes nodokļa atmaksas saskaņā ar </w:t>
            </w:r>
            <w:r w:rsidR="00C427B4">
              <w:rPr>
                <w:rFonts w:eastAsia="Calibri"/>
                <w:lang w:eastAsia="en-US"/>
              </w:rPr>
              <w:lastRenderedPageBreak/>
              <w:t>likumu “Par akcīzes nodokli”</w:t>
            </w:r>
            <w:r w:rsidR="00733F2A">
              <w:rPr>
                <w:rFonts w:eastAsia="Calibri"/>
                <w:lang w:eastAsia="en-US"/>
              </w:rPr>
              <w:t>)</w:t>
            </w:r>
            <w:r w:rsidR="00733F2A">
              <w:t>,</w:t>
            </w:r>
            <w:r w:rsidR="005B1ED1">
              <w:t xml:space="preserve"> </w:t>
            </w:r>
            <w:r w:rsidR="005B1ED1" w:rsidRPr="005B1ED1">
              <w:t xml:space="preserve">savukārt, pozīcijas </w:t>
            </w:r>
            <w:r w:rsidR="00D1100B" w:rsidRPr="00D1100B">
              <w:t>„</w:t>
            </w:r>
            <w:r w:rsidR="005B1ED1" w:rsidRPr="005B1ED1">
              <w:t xml:space="preserve">akcīzes nodoklis bezalkoholiskajiem dzērieniem” un </w:t>
            </w:r>
            <w:r w:rsidR="00D1100B" w:rsidRPr="00D1100B">
              <w:t>„</w:t>
            </w:r>
            <w:r w:rsidR="005B1ED1" w:rsidRPr="005B1ED1">
              <w:t>akcīzes nodoklis kafijai” turpmāk ieņēmumu klasifikācijā tiks uzskaitīt</w:t>
            </w:r>
            <w:r w:rsidR="00683908">
              <w:t>as</w:t>
            </w:r>
            <w:r w:rsidR="005B1ED1" w:rsidRPr="005B1ED1">
              <w:t xml:space="preserve"> kopā pozīcijā </w:t>
            </w:r>
            <w:r w:rsidR="00D1100B" w:rsidRPr="00D1100B">
              <w:t>„</w:t>
            </w:r>
            <w:r w:rsidR="005B1ED1" w:rsidRPr="005B1ED1">
              <w:t>akcīzes nodoklis pārējām akcīzes precēm”.</w:t>
            </w:r>
            <w:r w:rsidR="00733F2A">
              <w:t xml:space="preserve"> </w:t>
            </w:r>
            <w:r w:rsidR="009E6D5A">
              <w:rPr>
                <w:rFonts w:eastAsia="Calibri"/>
                <w:lang w:eastAsia="en-US"/>
              </w:rPr>
              <w:t>Grozījumi tiek veikti, lai atvieglotu akcīzes nodokļu ieņēmum</w:t>
            </w:r>
            <w:r w:rsidR="00C427B4">
              <w:rPr>
                <w:rFonts w:eastAsia="Calibri"/>
                <w:lang w:eastAsia="en-US"/>
              </w:rPr>
              <w:t>u</w:t>
            </w:r>
            <w:r w:rsidR="009E6D5A">
              <w:rPr>
                <w:rFonts w:eastAsia="Calibri"/>
                <w:lang w:eastAsia="en-US"/>
              </w:rPr>
              <w:t xml:space="preserve"> klasifikācijas kodu piemērošanu</w:t>
            </w:r>
            <w:r w:rsidR="003939AF">
              <w:rPr>
                <w:rFonts w:eastAsia="Calibri"/>
                <w:lang w:eastAsia="en-US"/>
              </w:rPr>
              <w:t xml:space="preserve">. </w:t>
            </w:r>
            <w:r w:rsidR="00224E03">
              <w:rPr>
                <w:rFonts w:eastAsia="Calibri"/>
                <w:lang w:eastAsia="en-US"/>
              </w:rPr>
              <w:t>Līdz šim s</w:t>
            </w:r>
            <w:r w:rsidR="00224E03" w:rsidRPr="00224E03">
              <w:rPr>
                <w:rFonts w:eastAsia="Calibri"/>
                <w:lang w:eastAsia="en-US"/>
              </w:rPr>
              <w:t>adrumstalotais akcīzes nodokļa kontu skaits nodokļu maksātājiem rad</w:t>
            </w:r>
            <w:r w:rsidR="00224E03">
              <w:rPr>
                <w:rFonts w:eastAsia="Calibri"/>
                <w:lang w:eastAsia="en-US"/>
              </w:rPr>
              <w:t>īja</w:t>
            </w:r>
            <w:r w:rsidR="00224E03" w:rsidRPr="00224E03">
              <w:rPr>
                <w:rFonts w:eastAsia="Calibri"/>
                <w:lang w:eastAsia="en-US"/>
              </w:rPr>
              <w:t xml:space="preserve"> lielu administratīvo slogu, veicot norēķinus ar valsts budžetu, un papildu izdevumus, katru maksājumu ieskaitot atsevišķā valsts budžeta ieņēmumu kontā, attiecīgi palielinot kļūdīšanās risku. Lielais akcīzes nodokļa kontu skaits apgrūtina arī </w:t>
            </w:r>
            <w:r w:rsidR="000F0A87">
              <w:rPr>
                <w:rFonts w:eastAsia="Calibri"/>
                <w:lang w:eastAsia="en-US"/>
              </w:rPr>
              <w:t>Valsts ieņēmumu dienesta</w:t>
            </w:r>
            <w:r w:rsidR="00224E03" w:rsidRPr="00224E03">
              <w:rPr>
                <w:rFonts w:eastAsia="Calibri"/>
                <w:lang w:eastAsia="en-US"/>
              </w:rPr>
              <w:t xml:space="preserve"> darbu, veicot pārkontēšanu kļūdainu maksājumu gadījumā.</w:t>
            </w:r>
            <w:r w:rsidR="00224E03">
              <w:rPr>
                <w:rFonts w:eastAsia="Calibri"/>
                <w:lang w:eastAsia="en-US"/>
              </w:rPr>
              <w:t xml:space="preserve"> </w:t>
            </w:r>
          </w:p>
          <w:p w14:paraId="7B49A94F" w14:textId="505300AE" w:rsidR="00224E03" w:rsidRDefault="000F0A87" w:rsidP="0044559A">
            <w:pPr>
              <w:spacing w:after="120"/>
              <w:ind w:left="113" w:right="142" w:firstLine="459"/>
              <w:jc w:val="both"/>
              <w:rPr>
                <w:rFonts w:eastAsia="Calibri"/>
                <w:lang w:eastAsia="en-US"/>
              </w:rPr>
            </w:pPr>
            <w:r w:rsidRPr="00713EE5">
              <w:rPr>
                <w:rFonts w:eastAsia="Calibri"/>
                <w:lang w:eastAsia="en-US"/>
              </w:rPr>
              <w:t>Tādējādi tiks i</w:t>
            </w:r>
            <w:r w:rsidR="00134F6F" w:rsidRPr="00713EE5">
              <w:rPr>
                <w:rFonts w:eastAsia="Calibri"/>
                <w:lang w:eastAsia="en-US"/>
              </w:rPr>
              <w:t>zveidot</w:t>
            </w:r>
            <w:r w:rsidRPr="00713EE5">
              <w:rPr>
                <w:rFonts w:eastAsia="Calibri"/>
                <w:lang w:eastAsia="en-US"/>
              </w:rPr>
              <w:t>i</w:t>
            </w:r>
            <w:r w:rsidR="00134F6F" w:rsidRPr="00713EE5">
              <w:rPr>
                <w:rFonts w:eastAsia="Calibri"/>
                <w:lang w:eastAsia="en-US"/>
              </w:rPr>
              <w:t xml:space="preserve"> atsevišķ</w:t>
            </w:r>
            <w:r w:rsidRPr="00713EE5">
              <w:rPr>
                <w:rFonts w:eastAsia="Calibri"/>
                <w:lang w:eastAsia="en-US"/>
              </w:rPr>
              <w:t>i</w:t>
            </w:r>
            <w:r w:rsidR="00134F6F" w:rsidRPr="00713EE5">
              <w:rPr>
                <w:rFonts w:eastAsia="Calibri"/>
                <w:lang w:eastAsia="en-US"/>
              </w:rPr>
              <w:t xml:space="preserve"> kont</w:t>
            </w:r>
            <w:r w:rsidRPr="00713EE5">
              <w:rPr>
                <w:rFonts w:eastAsia="Calibri"/>
                <w:lang w:eastAsia="en-US"/>
              </w:rPr>
              <w:t>i</w:t>
            </w:r>
            <w:r w:rsidR="00134F6F" w:rsidRPr="00713EE5">
              <w:rPr>
                <w:rFonts w:eastAsia="Calibri"/>
                <w:lang w:eastAsia="en-US"/>
              </w:rPr>
              <w:t xml:space="preserve"> iekasējamam akcīzes nodoklim un piesaist</w:t>
            </w:r>
            <w:r w:rsidRPr="00713EE5">
              <w:rPr>
                <w:rFonts w:eastAsia="Calibri"/>
                <w:lang w:eastAsia="en-US"/>
              </w:rPr>
              <w:t>ī</w:t>
            </w:r>
            <w:r w:rsidR="00134F6F" w:rsidRPr="00713EE5">
              <w:rPr>
                <w:rFonts w:eastAsia="Calibri"/>
                <w:lang w:eastAsia="en-US"/>
              </w:rPr>
              <w:t>t</w:t>
            </w:r>
            <w:r w:rsidRPr="00713EE5">
              <w:rPr>
                <w:rFonts w:eastAsia="Calibri"/>
                <w:lang w:eastAsia="en-US"/>
              </w:rPr>
              <w:t>i</w:t>
            </w:r>
            <w:r w:rsidR="00134F6F" w:rsidRPr="00713EE5">
              <w:rPr>
                <w:rFonts w:eastAsia="Calibri"/>
                <w:lang w:eastAsia="en-US"/>
              </w:rPr>
              <w:t xml:space="preserve"> konkrētai akcīzes nodokļa deklarācijai, kurā saglabāsies detalizēts sadalījums pa atsevišķām preču kategorijām un tām piemērojamām diferencētajām nodokļa likmēm. </w:t>
            </w:r>
          </w:p>
          <w:p w14:paraId="1B4DFC30" w14:textId="4775D85A" w:rsidR="008C7482" w:rsidRDefault="0044559A" w:rsidP="0044559A">
            <w:pPr>
              <w:widowControl w:val="0"/>
              <w:tabs>
                <w:tab w:val="center" w:pos="4320"/>
                <w:tab w:val="right" w:pos="8640"/>
              </w:tabs>
              <w:spacing w:after="120"/>
              <w:ind w:left="147" w:right="130" w:firstLine="425"/>
              <w:jc w:val="both"/>
              <w:rPr>
                <w:rFonts w:eastAsia="Calibri"/>
                <w:lang w:eastAsia="en-US"/>
              </w:rPr>
            </w:pPr>
            <w:r>
              <w:rPr>
                <w:rFonts w:eastAsia="Calibri"/>
                <w:color w:val="000000"/>
                <w:lang w:eastAsia="en-US"/>
              </w:rPr>
              <w:t>6. </w:t>
            </w:r>
            <w:r w:rsidR="008C7482" w:rsidRPr="008C7482">
              <w:rPr>
                <w:rFonts w:eastAsia="Calibri"/>
                <w:color w:val="000000"/>
                <w:lang w:eastAsia="en-US"/>
              </w:rPr>
              <w:t>Noteikumu projekts paredz precizēt 2.0.grupas kod</w:t>
            </w:r>
            <w:r w:rsidR="008C7482">
              <w:rPr>
                <w:rFonts w:eastAsia="Calibri"/>
                <w:color w:val="000000"/>
                <w:lang w:eastAsia="en-US"/>
              </w:rPr>
              <w:t xml:space="preserve">u 8.8.0.0., </w:t>
            </w:r>
            <w:r w:rsidR="0057762E">
              <w:rPr>
                <w:rFonts w:eastAsia="Calibri"/>
                <w:color w:val="000000"/>
                <w:lang w:eastAsia="en-US"/>
              </w:rPr>
              <w:t xml:space="preserve">papildus </w:t>
            </w:r>
            <w:r w:rsidR="008C7482">
              <w:rPr>
                <w:rFonts w:eastAsia="Calibri"/>
                <w:color w:val="000000"/>
                <w:lang w:eastAsia="en-US"/>
              </w:rPr>
              <w:t>nosakot</w:t>
            </w:r>
            <w:r w:rsidR="0057762E">
              <w:rPr>
                <w:rFonts w:eastAsia="Calibri"/>
                <w:color w:val="000000"/>
                <w:lang w:eastAsia="en-US"/>
              </w:rPr>
              <w:t>,</w:t>
            </w:r>
            <w:r w:rsidR="008C7482">
              <w:rPr>
                <w:rFonts w:eastAsia="Calibri"/>
                <w:color w:val="000000"/>
                <w:lang w:eastAsia="en-US"/>
              </w:rPr>
              <w:t xml:space="preserve"> ka uz šo kodu attiecina </w:t>
            </w:r>
            <w:r w:rsidR="008C7482" w:rsidRPr="008C7482">
              <w:rPr>
                <w:rFonts w:eastAsia="Calibri"/>
                <w:color w:val="000000"/>
                <w:lang w:eastAsia="en-US"/>
              </w:rPr>
              <w:t>ieņēmumus no darījumiem ar Kioto vienībām</w:t>
            </w:r>
            <w:r w:rsidR="0057762E">
              <w:t xml:space="preserve"> </w:t>
            </w:r>
            <w:r w:rsidR="0057762E" w:rsidRPr="0057762E">
              <w:rPr>
                <w:rFonts w:eastAsia="Calibri"/>
                <w:color w:val="000000"/>
                <w:lang w:eastAsia="en-US"/>
              </w:rPr>
              <w:t>saskaņā ar likumu Par piesārņojumu</w:t>
            </w:r>
            <w:r w:rsidR="008C7482">
              <w:rPr>
                <w:rFonts w:eastAsia="Calibri"/>
                <w:color w:val="000000"/>
                <w:lang w:eastAsia="en-US"/>
              </w:rPr>
              <w:t xml:space="preserve">.   </w:t>
            </w:r>
          </w:p>
          <w:p w14:paraId="07C72811" w14:textId="26BD8B08" w:rsidR="005C1BBC" w:rsidRDefault="0044559A" w:rsidP="00BA7343">
            <w:pPr>
              <w:ind w:left="113" w:right="142" w:firstLine="425"/>
              <w:jc w:val="both"/>
              <w:rPr>
                <w:rFonts w:eastAsia="Calibri"/>
                <w:color w:val="000000"/>
                <w:lang w:eastAsia="en-US"/>
              </w:rPr>
            </w:pPr>
            <w:r>
              <w:rPr>
                <w:rFonts w:eastAsia="Calibri"/>
                <w:color w:val="000000"/>
                <w:lang w:eastAsia="en-US"/>
              </w:rPr>
              <w:t>7. </w:t>
            </w:r>
            <w:r w:rsidR="007379DC" w:rsidRPr="008C7482">
              <w:rPr>
                <w:rFonts w:eastAsia="Calibri"/>
                <w:color w:val="000000"/>
                <w:lang w:eastAsia="en-US"/>
              </w:rPr>
              <w:t>Noteikumu projekts paredz precizēt 2.0.grupas kod</w:t>
            </w:r>
            <w:r w:rsidR="007379DC">
              <w:rPr>
                <w:rFonts w:eastAsia="Calibri"/>
                <w:color w:val="000000"/>
                <w:lang w:eastAsia="en-US"/>
              </w:rPr>
              <w:t>u 8.9.3.0.</w:t>
            </w:r>
            <w:r w:rsidR="00BA7343">
              <w:rPr>
                <w:rFonts w:eastAsia="Calibri"/>
                <w:color w:val="000000"/>
                <w:lang w:eastAsia="en-US"/>
              </w:rPr>
              <w:t xml:space="preserve">, nosakot, ka šajā kodā </w:t>
            </w:r>
            <w:r w:rsidR="008E5A11">
              <w:rPr>
                <w:rFonts w:eastAsia="Calibri"/>
                <w:color w:val="000000"/>
                <w:lang w:eastAsia="en-US"/>
              </w:rPr>
              <w:t xml:space="preserve">papildus ieņēmumiem no Latvijai piešķirto emisijas kvotu izsolīšanas </w:t>
            </w:r>
            <w:r w:rsidR="00BA7343">
              <w:rPr>
                <w:rFonts w:eastAsia="Calibri"/>
                <w:color w:val="000000"/>
                <w:lang w:eastAsia="en-US"/>
              </w:rPr>
              <w:t>uzskaita arī ieņēmumus no</w:t>
            </w:r>
            <w:r w:rsidR="00BA7343">
              <w:t xml:space="preserve"> </w:t>
            </w:r>
            <w:r w:rsidR="00BA7343" w:rsidRPr="00BA7343">
              <w:rPr>
                <w:rFonts w:eastAsia="Calibri"/>
                <w:color w:val="000000"/>
                <w:lang w:eastAsia="en-US"/>
              </w:rPr>
              <w:t>darījumiem ar gada emisijas vienībām un Latvijai piešķirtajām emisijas kvotām</w:t>
            </w:r>
            <w:r w:rsidR="008E5A11">
              <w:rPr>
                <w:rFonts w:eastAsia="Calibri"/>
                <w:color w:val="000000"/>
                <w:lang w:eastAsia="en-US"/>
              </w:rPr>
              <w:t>.</w:t>
            </w:r>
            <w:r w:rsidR="008E5A11">
              <w:t xml:space="preserve"> </w:t>
            </w:r>
            <w:r w:rsidR="008E5A11" w:rsidRPr="008E5A11">
              <w:rPr>
                <w:rFonts w:eastAsia="Calibri"/>
                <w:color w:val="000000"/>
                <w:lang w:eastAsia="en-US"/>
              </w:rPr>
              <w:t xml:space="preserve">Līdz šim ir veikta Latvijai piešķirto stacionāro iekārtu emisijas kvotu un aviācijas emisijas kvotu izsolīšana un ieņēmumi attiecīgi ieskaitīti kodā </w:t>
            </w:r>
            <w:r w:rsidR="008E5A11">
              <w:rPr>
                <w:rFonts w:eastAsia="Calibri"/>
                <w:color w:val="000000"/>
                <w:lang w:eastAsia="en-US"/>
              </w:rPr>
              <w:t xml:space="preserve">8.9.3.1. </w:t>
            </w:r>
            <w:r w:rsidR="005C1BBC" w:rsidRPr="005C1BBC">
              <w:rPr>
                <w:rFonts w:eastAsia="Calibri"/>
                <w:color w:val="000000"/>
                <w:lang w:eastAsia="en-US"/>
              </w:rPr>
              <w:t>„</w:t>
            </w:r>
            <w:r w:rsidR="008E5A11" w:rsidRPr="008E5A11">
              <w:rPr>
                <w:rFonts w:eastAsia="Calibri"/>
                <w:color w:val="000000"/>
                <w:lang w:eastAsia="en-US"/>
              </w:rPr>
              <w:t>Ieņēmumi no Latvijai piešķirto stacionāro iekārtu un aviācij</w:t>
            </w:r>
            <w:r w:rsidR="008E5A11">
              <w:rPr>
                <w:rFonts w:eastAsia="Calibri"/>
                <w:color w:val="000000"/>
                <w:lang w:eastAsia="en-US"/>
              </w:rPr>
              <w:t>as emisijas kvotu izsolīšanas”</w:t>
            </w:r>
            <w:r w:rsidR="008E5A11" w:rsidRPr="008E5A11">
              <w:rPr>
                <w:rFonts w:eastAsia="Calibri"/>
                <w:color w:val="000000"/>
                <w:lang w:eastAsia="en-US"/>
              </w:rPr>
              <w:t xml:space="preserve"> un šādu emisijas kvotu izsolīšana noritēs arī turpmāk atbilstoši Regulas Nr.1031/2010</w:t>
            </w:r>
            <w:r w:rsidR="008E5A11" w:rsidRPr="008E5A11">
              <w:rPr>
                <w:rFonts w:eastAsia="Calibri"/>
                <w:color w:val="000000"/>
                <w:vertAlign w:val="superscript"/>
                <w:lang w:eastAsia="en-US"/>
              </w:rPr>
              <w:t>[</w:t>
            </w:r>
            <w:r w:rsidR="008E5A11">
              <w:rPr>
                <w:rStyle w:val="FootnoteReference"/>
                <w:rFonts w:eastAsia="Calibri"/>
                <w:color w:val="000000"/>
                <w:lang w:eastAsia="en-US"/>
              </w:rPr>
              <w:footnoteReference w:id="1"/>
            </w:r>
            <w:r w:rsidR="008E5A11" w:rsidRPr="008E5A11">
              <w:rPr>
                <w:rFonts w:eastAsia="Calibri"/>
                <w:color w:val="000000"/>
                <w:vertAlign w:val="superscript"/>
                <w:lang w:eastAsia="en-US"/>
              </w:rPr>
              <w:t>]</w:t>
            </w:r>
            <w:r w:rsidR="008E5A11" w:rsidRPr="008E5A11">
              <w:rPr>
                <w:rFonts w:eastAsia="Calibri"/>
                <w:color w:val="000000"/>
                <w:lang w:eastAsia="en-US"/>
              </w:rPr>
              <w:t xml:space="preserve"> nosacījumiem. </w:t>
            </w:r>
            <w:r w:rsidR="005C1BBC">
              <w:rPr>
                <w:rFonts w:eastAsia="Calibri"/>
                <w:color w:val="000000"/>
                <w:lang w:eastAsia="en-US"/>
              </w:rPr>
              <w:t xml:space="preserve"> </w:t>
            </w:r>
          </w:p>
          <w:p w14:paraId="4D6DD6FA" w14:textId="01C61E38" w:rsidR="00BA7343" w:rsidRDefault="007379DC" w:rsidP="00BA7343">
            <w:pPr>
              <w:ind w:left="113" w:right="142" w:firstLine="425"/>
              <w:jc w:val="both"/>
              <w:rPr>
                <w:rFonts w:eastAsia="Calibri"/>
                <w:lang w:eastAsia="en-US"/>
              </w:rPr>
            </w:pPr>
            <w:r w:rsidRPr="007379DC">
              <w:rPr>
                <w:rFonts w:eastAsia="Calibri"/>
                <w:lang w:eastAsia="en-US"/>
              </w:rPr>
              <w:t>Saskaņā ar likuma Par piesārņojumu 54.panta septīto daļu finanšu līdzekļus no darījumiem ar gada emisijas vienībām ieskaita likuma Par piesārņojumu 32.</w:t>
            </w:r>
            <w:r w:rsidRPr="00BA7343">
              <w:rPr>
                <w:rFonts w:eastAsia="Calibri"/>
                <w:vertAlign w:val="superscript"/>
                <w:lang w:eastAsia="en-US"/>
              </w:rPr>
              <w:t>2</w:t>
            </w:r>
            <w:r w:rsidRPr="007379DC">
              <w:rPr>
                <w:rFonts w:eastAsia="Calibri"/>
                <w:lang w:eastAsia="en-US"/>
              </w:rPr>
              <w:t xml:space="preserve"> panta 3.</w:t>
            </w:r>
            <w:r w:rsidRPr="00BA7343">
              <w:rPr>
                <w:rFonts w:eastAsia="Calibri"/>
                <w:vertAlign w:val="superscript"/>
                <w:lang w:eastAsia="en-US"/>
              </w:rPr>
              <w:t>1</w:t>
            </w:r>
            <w:r w:rsidRPr="007379DC">
              <w:rPr>
                <w:rFonts w:eastAsia="Calibri"/>
                <w:lang w:eastAsia="en-US"/>
              </w:rPr>
              <w:t xml:space="preserve"> daļā minētajā kontā. Likuma Par piesārņojumu 32.</w:t>
            </w:r>
            <w:r w:rsidRPr="00BA7343">
              <w:rPr>
                <w:rFonts w:eastAsia="Calibri"/>
                <w:vertAlign w:val="superscript"/>
                <w:lang w:eastAsia="en-US"/>
              </w:rPr>
              <w:t xml:space="preserve">2 </w:t>
            </w:r>
            <w:r w:rsidRPr="007379DC">
              <w:rPr>
                <w:rFonts w:eastAsia="Calibri"/>
                <w:lang w:eastAsia="en-US"/>
              </w:rPr>
              <w:t>panta 3.</w:t>
            </w:r>
            <w:r w:rsidRPr="00BA7343">
              <w:rPr>
                <w:rFonts w:eastAsia="Calibri"/>
                <w:vertAlign w:val="superscript"/>
                <w:lang w:eastAsia="en-US"/>
              </w:rPr>
              <w:t>1</w:t>
            </w:r>
            <w:r w:rsidRPr="007379DC">
              <w:rPr>
                <w:rFonts w:eastAsia="Calibri"/>
                <w:lang w:eastAsia="en-US"/>
              </w:rPr>
              <w:t xml:space="preserve"> daļa nosaka, ka finanšu līdzekļus, kas iegūti, izsolot šā panta trešajā daļā minētās emisijas kvotas, ieskaita Valsts kasē atvērtajā valsts pamatbudžeta ieņēmumu kontā atbilstoši valsts budžeta ieņēmumu klasifikācijai.</w:t>
            </w:r>
            <w:r w:rsidR="00BA7343">
              <w:rPr>
                <w:rFonts w:eastAsia="Calibri"/>
                <w:lang w:eastAsia="en-US"/>
              </w:rPr>
              <w:t xml:space="preserve"> </w:t>
            </w:r>
            <w:r w:rsidR="008E5A11">
              <w:rPr>
                <w:rFonts w:eastAsia="Calibri"/>
                <w:lang w:eastAsia="en-US"/>
              </w:rPr>
              <w:t xml:space="preserve"> </w:t>
            </w:r>
            <w:r w:rsidR="005C1BBC">
              <w:rPr>
                <w:rFonts w:eastAsia="Calibri"/>
                <w:lang w:eastAsia="en-US"/>
              </w:rPr>
              <w:t>L</w:t>
            </w:r>
            <w:r w:rsidR="00BA7343" w:rsidRPr="00BA7343">
              <w:rPr>
                <w:rFonts w:eastAsia="Calibri"/>
                <w:lang w:eastAsia="en-US"/>
              </w:rPr>
              <w:t>ai precīzi nodalītu ieņēmumus no Latvijai piešķirto stacionāro iekārtu un aviācijas emisijas kvotu izsolīšanas un no darījumiem ar gada emisijas vienībām</w:t>
            </w:r>
            <w:r w:rsidR="005C1BBC">
              <w:rPr>
                <w:rFonts w:eastAsia="Calibri"/>
                <w:lang w:eastAsia="en-US"/>
              </w:rPr>
              <w:t xml:space="preserve"> </w:t>
            </w:r>
            <w:r w:rsidR="00BA7343" w:rsidRPr="00BA7343">
              <w:rPr>
                <w:rFonts w:eastAsia="Calibri"/>
                <w:lang w:eastAsia="en-US"/>
              </w:rPr>
              <w:t>ir nepieciešams izveidot jaunu kodu</w:t>
            </w:r>
            <w:r w:rsidR="00BA7343">
              <w:rPr>
                <w:rFonts w:eastAsia="Calibri"/>
                <w:lang w:eastAsia="en-US"/>
              </w:rPr>
              <w:t xml:space="preserve"> 8.9.3.3.</w:t>
            </w:r>
            <w:r w:rsidR="005C1BBC">
              <w:rPr>
                <w:rFonts w:eastAsia="Calibri"/>
                <w:lang w:eastAsia="en-US"/>
              </w:rPr>
              <w:t xml:space="preserve"> </w:t>
            </w:r>
            <w:r w:rsidR="005C1BBC" w:rsidRPr="005C1BBC">
              <w:rPr>
                <w:rFonts w:eastAsia="Calibri"/>
                <w:lang w:eastAsia="en-US"/>
              </w:rPr>
              <w:t>„Ieņēmumi no darījumiem ar gada emisijas sadales vienībām</w:t>
            </w:r>
            <w:r w:rsidR="005C1BBC">
              <w:rPr>
                <w:rFonts w:eastAsia="Calibri"/>
                <w:lang w:eastAsia="en-US"/>
              </w:rPr>
              <w:t xml:space="preserve">”.  </w:t>
            </w:r>
          </w:p>
          <w:p w14:paraId="205F6C2D" w14:textId="3179476B" w:rsidR="007379DC" w:rsidRDefault="00F54947" w:rsidP="00966FA0">
            <w:pPr>
              <w:spacing w:after="120"/>
              <w:ind w:left="113" w:right="142" w:firstLine="425"/>
              <w:jc w:val="both"/>
              <w:rPr>
                <w:rFonts w:eastAsia="Calibri"/>
                <w:lang w:eastAsia="en-US"/>
              </w:rPr>
            </w:pPr>
            <w:r>
              <w:rPr>
                <w:rFonts w:eastAsia="Calibri"/>
                <w:lang w:eastAsia="en-US"/>
              </w:rPr>
              <w:t>Ievērojot, ka t</w:t>
            </w:r>
            <w:r w:rsidRPr="00F54947">
              <w:rPr>
                <w:rFonts w:eastAsia="Calibri"/>
                <w:lang w:eastAsia="en-US"/>
              </w:rPr>
              <w:t>uvākajos gados varētu tikt veikti darījumi par emisijas kvotu pārdošanu/izsolīšanu, kas tiešā veidā nav saistīta ar stacionāro iekārtu un aviācijas emisijas kvotu izsolīšanu</w:t>
            </w:r>
            <w:r w:rsidR="005C1BBC">
              <w:rPr>
                <w:rFonts w:eastAsia="Calibri"/>
                <w:lang w:eastAsia="en-US"/>
              </w:rPr>
              <w:t xml:space="preserve"> (kods 8.9.3.1.)</w:t>
            </w:r>
            <w:r w:rsidRPr="00F54947">
              <w:rPr>
                <w:rFonts w:eastAsia="Calibri"/>
                <w:lang w:eastAsia="en-US"/>
              </w:rPr>
              <w:t xml:space="preserve"> </w:t>
            </w:r>
            <w:r>
              <w:rPr>
                <w:rFonts w:eastAsia="Calibri"/>
                <w:lang w:eastAsia="en-US"/>
              </w:rPr>
              <w:t xml:space="preserve">atbilstoši Regulai Nr.1031/2010, tad noteikumu projekts paredz atbilstoši precizēt </w:t>
            </w:r>
            <w:r w:rsidR="008E5A11">
              <w:rPr>
                <w:rFonts w:eastAsia="Calibri"/>
                <w:lang w:eastAsia="en-US"/>
              </w:rPr>
              <w:t xml:space="preserve">arī </w:t>
            </w:r>
            <w:r w:rsidR="00EB0A0E" w:rsidRPr="00EB0A0E">
              <w:rPr>
                <w:rFonts w:eastAsia="Calibri"/>
                <w:lang w:eastAsia="en-US"/>
              </w:rPr>
              <w:t>2.0.grupas kodu 8.9.3.</w:t>
            </w:r>
            <w:r w:rsidR="00EB0A0E">
              <w:rPr>
                <w:rFonts w:eastAsia="Calibri"/>
                <w:lang w:eastAsia="en-US"/>
              </w:rPr>
              <w:t>9.</w:t>
            </w:r>
          </w:p>
          <w:p w14:paraId="39BCCB06" w14:textId="5BF6A687" w:rsidR="008B348F" w:rsidRDefault="00BC76D1" w:rsidP="00966FA0">
            <w:pPr>
              <w:spacing w:after="120"/>
              <w:ind w:left="113" w:right="142" w:firstLine="425"/>
              <w:jc w:val="both"/>
              <w:rPr>
                <w:rFonts w:eastAsia="Calibri"/>
                <w:lang w:eastAsia="en-US"/>
              </w:rPr>
            </w:pPr>
            <w:r>
              <w:rPr>
                <w:rFonts w:eastAsia="Calibri"/>
                <w:lang w:eastAsia="en-US"/>
              </w:rPr>
              <w:t>8</w:t>
            </w:r>
            <w:r w:rsidR="008B348F">
              <w:rPr>
                <w:rFonts w:eastAsia="Calibri"/>
                <w:lang w:eastAsia="en-US"/>
              </w:rPr>
              <w:t>. Noteikumu projekts paredz sv</w:t>
            </w:r>
            <w:r w:rsidR="00AB5672">
              <w:rPr>
                <w:rFonts w:eastAsia="Calibri"/>
                <w:lang w:eastAsia="en-US"/>
              </w:rPr>
              <w:t xml:space="preserve">ītrot 2.0.grupas kodu 9.1.5.0. </w:t>
            </w:r>
            <w:r w:rsidR="00AB5672" w:rsidRPr="00AB5672">
              <w:rPr>
                <w:rFonts w:eastAsia="Calibri"/>
                <w:lang w:eastAsia="en-US"/>
              </w:rPr>
              <w:t>„</w:t>
            </w:r>
            <w:r w:rsidR="008B348F">
              <w:rPr>
                <w:rFonts w:eastAsia="Calibri"/>
                <w:lang w:eastAsia="en-US"/>
              </w:rPr>
              <w:t>Valsts nodeva par iepirkumu pārsūdzību ieviešanu”, jo</w:t>
            </w:r>
            <w:r w:rsidR="003939AF">
              <w:rPr>
                <w:rFonts w:eastAsia="Calibri"/>
                <w:lang w:eastAsia="en-US"/>
              </w:rPr>
              <w:t xml:space="preserve"> </w:t>
            </w:r>
            <w:r w:rsidR="00361E18">
              <w:rPr>
                <w:rFonts w:eastAsia="Calibri"/>
                <w:lang w:eastAsia="en-US"/>
              </w:rPr>
              <w:t>nav normatīvā</w:t>
            </w:r>
            <w:r w:rsidR="003939AF">
              <w:rPr>
                <w:rFonts w:eastAsia="Calibri"/>
                <w:lang w:eastAsia="en-US"/>
              </w:rPr>
              <w:t xml:space="preserve"> regulējum</w:t>
            </w:r>
            <w:r w:rsidR="00361E18">
              <w:rPr>
                <w:rFonts w:eastAsia="Calibri"/>
                <w:lang w:eastAsia="en-US"/>
              </w:rPr>
              <w:t>a</w:t>
            </w:r>
            <w:r w:rsidR="003939AF">
              <w:rPr>
                <w:rFonts w:eastAsia="Calibri"/>
                <w:lang w:eastAsia="en-US"/>
              </w:rPr>
              <w:t xml:space="preserve"> par šād</w:t>
            </w:r>
            <w:r w:rsidR="00361E18">
              <w:rPr>
                <w:rFonts w:eastAsia="Calibri"/>
                <w:lang w:eastAsia="en-US"/>
              </w:rPr>
              <w:t>u</w:t>
            </w:r>
            <w:r w:rsidR="003939AF">
              <w:rPr>
                <w:rFonts w:eastAsia="Calibri"/>
                <w:lang w:eastAsia="en-US"/>
              </w:rPr>
              <w:t xml:space="preserve"> nodev</w:t>
            </w:r>
            <w:r w:rsidR="00361E18">
              <w:rPr>
                <w:rFonts w:eastAsia="Calibri"/>
                <w:lang w:eastAsia="en-US"/>
              </w:rPr>
              <w:t xml:space="preserve">u. </w:t>
            </w:r>
          </w:p>
          <w:p w14:paraId="5BE072BB" w14:textId="7FF730B9" w:rsidR="00D3592A" w:rsidRDefault="00BC76D1" w:rsidP="00966FA0">
            <w:pPr>
              <w:spacing w:after="120"/>
              <w:ind w:left="113" w:right="142" w:firstLine="425"/>
              <w:jc w:val="both"/>
              <w:rPr>
                <w:rFonts w:eastAsia="Calibri"/>
                <w:lang w:eastAsia="en-US"/>
              </w:rPr>
            </w:pPr>
            <w:r>
              <w:rPr>
                <w:rFonts w:eastAsia="Calibri"/>
                <w:lang w:eastAsia="en-US"/>
              </w:rPr>
              <w:t>9</w:t>
            </w:r>
            <w:r w:rsidR="00D3592A">
              <w:rPr>
                <w:rFonts w:eastAsia="Calibri"/>
                <w:lang w:eastAsia="en-US"/>
              </w:rPr>
              <w:t>.</w:t>
            </w:r>
            <w:r w:rsidR="0057762E">
              <w:rPr>
                <w:rFonts w:eastAsia="Calibri"/>
                <w:lang w:eastAsia="en-US"/>
              </w:rPr>
              <w:t> </w:t>
            </w:r>
            <w:r w:rsidR="00D3592A">
              <w:rPr>
                <w:rFonts w:eastAsia="Calibri"/>
                <w:lang w:eastAsia="en-US"/>
              </w:rPr>
              <w:t xml:space="preserve">Noteikumu projekts paredz precizēt 2.0.grupas koda 9.1.9.1. skaidrojumu, nosakot, ka šajā kodā uzskaitāmi visi ieņēmumi par </w:t>
            </w:r>
            <w:r w:rsidR="00361E18">
              <w:rPr>
                <w:rFonts w:eastAsia="Calibri"/>
                <w:lang w:eastAsia="en-US"/>
              </w:rPr>
              <w:lastRenderedPageBreak/>
              <w:t>pakalpoju</w:t>
            </w:r>
            <w:r w:rsidR="00D3592A" w:rsidRPr="00D3592A">
              <w:rPr>
                <w:rFonts w:eastAsia="Calibri"/>
                <w:lang w:eastAsia="en-US"/>
              </w:rPr>
              <w:t>miem, ko sniegu</w:t>
            </w:r>
            <w:r w:rsidR="00275DEB">
              <w:rPr>
                <w:rFonts w:eastAsia="Calibri"/>
                <w:lang w:eastAsia="en-US"/>
              </w:rPr>
              <w:t xml:space="preserve">šas </w:t>
            </w:r>
            <w:r w:rsidR="00D3592A" w:rsidRPr="00D3592A">
              <w:rPr>
                <w:rFonts w:eastAsia="Calibri"/>
                <w:lang w:eastAsia="en-US"/>
              </w:rPr>
              <w:t>konsulārās amatpersonas diplomātiskajās un konsulārajās pārstāvniecībās ārvalstīs</w:t>
            </w:r>
            <w:r w:rsidR="00D3592A">
              <w:rPr>
                <w:rFonts w:eastAsia="Calibri"/>
                <w:lang w:eastAsia="en-US"/>
              </w:rPr>
              <w:t xml:space="preserve">. </w:t>
            </w:r>
          </w:p>
          <w:p w14:paraId="25DEA8F6" w14:textId="6B61B711" w:rsidR="00BF3DD6" w:rsidRPr="00BF3DD6" w:rsidRDefault="00BC76D1" w:rsidP="00BF3DD6">
            <w:pPr>
              <w:spacing w:after="120"/>
              <w:ind w:left="113" w:right="142" w:firstLine="425"/>
              <w:jc w:val="both"/>
              <w:rPr>
                <w:rFonts w:eastAsia="Calibri"/>
                <w:lang w:eastAsia="en-US"/>
              </w:rPr>
            </w:pPr>
            <w:r>
              <w:rPr>
                <w:rFonts w:eastAsia="Calibri"/>
                <w:lang w:eastAsia="en-US"/>
              </w:rPr>
              <w:t>10</w:t>
            </w:r>
            <w:r w:rsidR="008B348F">
              <w:rPr>
                <w:rFonts w:eastAsia="Calibri"/>
                <w:lang w:eastAsia="en-US"/>
              </w:rPr>
              <w:t>.</w:t>
            </w:r>
            <w:r w:rsidR="0057762E">
              <w:rPr>
                <w:rFonts w:eastAsia="Calibri"/>
                <w:lang w:eastAsia="en-US"/>
              </w:rPr>
              <w:t> </w:t>
            </w:r>
            <w:r w:rsidR="008B348F">
              <w:rPr>
                <w:rFonts w:eastAsia="Calibri"/>
                <w:lang w:eastAsia="en-US"/>
              </w:rPr>
              <w:t xml:space="preserve">Noteikumu projekts paredz precizēt </w:t>
            </w:r>
            <w:r w:rsidR="008B348F" w:rsidRPr="008B348F">
              <w:rPr>
                <w:rFonts w:eastAsia="Calibri"/>
                <w:lang w:eastAsia="en-US"/>
              </w:rPr>
              <w:t>2.0.grupas kod</w:t>
            </w:r>
            <w:r w:rsidR="008B348F">
              <w:rPr>
                <w:rFonts w:eastAsia="Calibri"/>
                <w:lang w:eastAsia="en-US"/>
              </w:rPr>
              <w:t>a</w:t>
            </w:r>
            <w:r w:rsidR="008B348F" w:rsidRPr="008B348F">
              <w:rPr>
                <w:rFonts w:eastAsia="Calibri"/>
                <w:lang w:eastAsia="en-US"/>
              </w:rPr>
              <w:t xml:space="preserve"> 9.2.9.2.</w:t>
            </w:r>
            <w:r w:rsidR="008B348F">
              <w:rPr>
                <w:rFonts w:eastAsia="Calibri"/>
                <w:lang w:eastAsia="en-US"/>
              </w:rPr>
              <w:t xml:space="preserve"> nosaukumu</w:t>
            </w:r>
            <w:r w:rsidR="00D73772">
              <w:rPr>
                <w:rFonts w:eastAsia="Calibri"/>
                <w:lang w:eastAsia="en-US"/>
              </w:rPr>
              <w:t xml:space="preserve"> no </w:t>
            </w:r>
            <w:r w:rsidR="00014133" w:rsidRPr="00014133">
              <w:rPr>
                <w:rFonts w:eastAsia="Calibri"/>
                <w:lang w:eastAsia="en-US"/>
              </w:rPr>
              <w:t>„Valsts nodeva par būvprojektēšanai nepieciešamo tehnisko un īpašo noteikumu saņemšanu valsts un pašvaldību institūcijās</w:t>
            </w:r>
            <w:r w:rsidR="00D73772">
              <w:rPr>
                <w:rFonts w:eastAsia="Calibri"/>
                <w:lang w:eastAsia="en-US"/>
              </w:rPr>
              <w:t xml:space="preserve">” uz </w:t>
            </w:r>
            <w:r w:rsidR="00014133" w:rsidRPr="00014133">
              <w:rPr>
                <w:rFonts w:eastAsia="Calibri"/>
                <w:lang w:eastAsia="en-US"/>
              </w:rPr>
              <w:t>„Valsts nodeva par reģistrācijas darbībām būvkomersantu reģistrā</w:t>
            </w:r>
            <w:r w:rsidR="00014133">
              <w:rPr>
                <w:rFonts w:eastAsia="Calibri"/>
                <w:lang w:eastAsia="en-US"/>
              </w:rPr>
              <w:t>”</w:t>
            </w:r>
            <w:r w:rsidR="00BF3DD6">
              <w:rPr>
                <w:rFonts w:eastAsia="Calibri"/>
                <w:lang w:eastAsia="en-US"/>
              </w:rPr>
              <w:t xml:space="preserve">. </w:t>
            </w:r>
            <w:r w:rsidR="00BF3DD6" w:rsidRPr="00BF3DD6">
              <w:rPr>
                <w:rFonts w:eastAsia="Calibri"/>
                <w:lang w:eastAsia="en-US"/>
              </w:rPr>
              <w:t>Likum</w:t>
            </w:r>
            <w:r w:rsidR="0037779B">
              <w:rPr>
                <w:rFonts w:eastAsia="Calibri"/>
                <w:lang w:eastAsia="en-US"/>
              </w:rPr>
              <w:t>a</w:t>
            </w:r>
            <w:r w:rsidR="00BF3DD6" w:rsidRPr="00BF3DD6">
              <w:rPr>
                <w:rFonts w:eastAsia="Calibri"/>
                <w:lang w:eastAsia="en-US"/>
              </w:rPr>
              <w:t xml:space="preserve"> "Par nodokļiem un nodevām" 11.pants nosaka </w:t>
            </w:r>
            <w:r w:rsidR="00D344EE">
              <w:rPr>
                <w:rFonts w:eastAsia="Calibri"/>
                <w:lang w:eastAsia="en-US"/>
              </w:rPr>
              <w:t>šādus valsts nodevas objektus:</w:t>
            </w:r>
          </w:p>
          <w:p w14:paraId="6A04ABDF" w14:textId="603D755E" w:rsidR="00BF3DD6" w:rsidRPr="00BF3DD6" w:rsidRDefault="00D344EE" w:rsidP="00BF3DD6">
            <w:pPr>
              <w:spacing w:after="120"/>
              <w:ind w:left="113" w:right="142" w:firstLine="425"/>
              <w:jc w:val="both"/>
              <w:rPr>
                <w:rFonts w:eastAsia="Calibri"/>
                <w:lang w:eastAsia="en-US"/>
              </w:rPr>
            </w:pPr>
            <w:r w:rsidRPr="00D344EE">
              <w:rPr>
                <w:rFonts w:eastAsia="Calibri"/>
                <w:lang w:eastAsia="en-US"/>
              </w:rPr>
              <w:t>„</w:t>
            </w:r>
            <w:r w:rsidR="00BF3DD6" w:rsidRPr="00BF3DD6">
              <w:rPr>
                <w:rFonts w:eastAsia="Calibri"/>
                <w:lang w:eastAsia="en-US"/>
              </w:rPr>
              <w:t>23</w:t>
            </w:r>
            <w:r w:rsidR="00BF3DD6" w:rsidRPr="00BF3DD6">
              <w:rPr>
                <w:rFonts w:eastAsia="Calibri"/>
                <w:vertAlign w:val="superscript"/>
                <w:lang w:eastAsia="en-US"/>
              </w:rPr>
              <w:t>1</w:t>
            </w:r>
            <w:r w:rsidR="00BF3DD6" w:rsidRPr="00BF3DD6">
              <w:rPr>
                <w:rFonts w:eastAsia="Calibri"/>
                <w:lang w:eastAsia="en-US"/>
              </w:rPr>
              <w:t>) par reģistrācijas darbībām būvkomersantu reģistrā (ikgadējā nodeva);</w:t>
            </w:r>
          </w:p>
          <w:p w14:paraId="5042874B" w14:textId="2981B9DA" w:rsidR="00BF3DD6" w:rsidRPr="00BF3DD6" w:rsidRDefault="00BF3DD6" w:rsidP="00BF3DD6">
            <w:pPr>
              <w:spacing w:after="120"/>
              <w:ind w:left="113" w:right="142" w:firstLine="425"/>
              <w:jc w:val="both"/>
              <w:rPr>
                <w:rFonts w:eastAsia="Calibri"/>
                <w:lang w:eastAsia="en-US"/>
              </w:rPr>
            </w:pPr>
            <w:r w:rsidRPr="00BF3DD6">
              <w:rPr>
                <w:rFonts w:eastAsia="Calibri"/>
                <w:lang w:eastAsia="en-US"/>
              </w:rPr>
              <w:t>49) par būvprojektēšanai nepieciešamo tehnisko un īpašo noteikumu saņemšanu valsts un pašvaldību institūcijās.</w:t>
            </w:r>
            <w:r w:rsidR="00D344EE">
              <w:rPr>
                <w:rFonts w:eastAsia="Calibri"/>
                <w:lang w:eastAsia="en-US"/>
              </w:rPr>
              <w:t>”.</w:t>
            </w:r>
          </w:p>
          <w:p w14:paraId="2F61946D" w14:textId="064EF43B" w:rsidR="008B348F" w:rsidRDefault="00BF3DD6" w:rsidP="00BF3DD6">
            <w:pPr>
              <w:spacing w:after="120"/>
              <w:ind w:left="113" w:right="142" w:firstLine="425"/>
              <w:jc w:val="both"/>
              <w:rPr>
                <w:rFonts w:eastAsia="Calibri"/>
                <w:lang w:eastAsia="en-US"/>
              </w:rPr>
            </w:pPr>
            <w:r w:rsidRPr="00BF3DD6">
              <w:rPr>
                <w:rFonts w:eastAsia="Calibri"/>
                <w:lang w:eastAsia="en-US"/>
              </w:rPr>
              <w:t xml:space="preserve"> </w:t>
            </w:r>
            <w:r>
              <w:rPr>
                <w:rFonts w:eastAsia="Calibri"/>
                <w:lang w:eastAsia="en-US"/>
              </w:rPr>
              <w:t>L</w:t>
            </w:r>
            <w:r w:rsidRPr="00BF3DD6">
              <w:rPr>
                <w:rFonts w:eastAsia="Calibri"/>
                <w:lang w:eastAsia="en-US"/>
              </w:rPr>
              <w:t xml:space="preserve">īdz šim </w:t>
            </w:r>
            <w:r>
              <w:rPr>
                <w:rFonts w:eastAsia="Calibri"/>
                <w:lang w:eastAsia="en-US"/>
              </w:rPr>
              <w:t xml:space="preserve">abu </w:t>
            </w:r>
            <w:r w:rsidR="00D344EE">
              <w:rPr>
                <w:rFonts w:eastAsia="Calibri"/>
                <w:lang w:eastAsia="en-US"/>
              </w:rPr>
              <w:t xml:space="preserve">iepriekš </w:t>
            </w:r>
            <w:r>
              <w:rPr>
                <w:rFonts w:eastAsia="Calibri"/>
                <w:lang w:eastAsia="en-US"/>
              </w:rPr>
              <w:t xml:space="preserve">minēto </w:t>
            </w:r>
            <w:r w:rsidRPr="00BF3DD6">
              <w:rPr>
                <w:rFonts w:eastAsia="Calibri"/>
                <w:lang w:eastAsia="en-US"/>
              </w:rPr>
              <w:t>nodev</w:t>
            </w:r>
            <w:r>
              <w:rPr>
                <w:rFonts w:eastAsia="Calibri"/>
                <w:lang w:eastAsia="en-US"/>
              </w:rPr>
              <w:t>u ieņēmumi</w:t>
            </w:r>
            <w:r w:rsidRPr="00BF3DD6">
              <w:rPr>
                <w:rFonts w:eastAsia="Calibri"/>
                <w:lang w:eastAsia="en-US"/>
              </w:rPr>
              <w:t xml:space="preserve"> </w:t>
            </w:r>
            <w:r w:rsidR="00D73772">
              <w:rPr>
                <w:rFonts w:eastAsia="Calibri"/>
                <w:lang w:eastAsia="en-US"/>
              </w:rPr>
              <w:t>tika</w:t>
            </w:r>
            <w:r w:rsidR="00D73772" w:rsidRPr="00BF3DD6">
              <w:rPr>
                <w:rFonts w:eastAsia="Calibri"/>
                <w:lang w:eastAsia="en-US"/>
              </w:rPr>
              <w:t xml:space="preserve"> </w:t>
            </w:r>
            <w:r w:rsidRPr="00BF3DD6">
              <w:rPr>
                <w:rFonts w:eastAsia="Calibri"/>
                <w:lang w:eastAsia="en-US"/>
              </w:rPr>
              <w:t xml:space="preserve">uzskaitīti budžeta ieņēmumu kontā, kas atvērts </w:t>
            </w:r>
            <w:r w:rsidR="00733F2A">
              <w:rPr>
                <w:rFonts w:eastAsia="Calibri"/>
                <w:lang w:eastAsia="en-US"/>
              </w:rPr>
              <w:t xml:space="preserve">ieņēmumu </w:t>
            </w:r>
            <w:r w:rsidRPr="00BF3DD6">
              <w:rPr>
                <w:rFonts w:eastAsia="Calibri"/>
                <w:lang w:eastAsia="en-US"/>
              </w:rPr>
              <w:t xml:space="preserve">klasifikācijas kodam 9.2.9.2. </w:t>
            </w:r>
            <w:r w:rsidR="003939AF">
              <w:rPr>
                <w:rFonts w:eastAsia="Calibri"/>
                <w:lang w:eastAsia="en-US"/>
              </w:rPr>
              <w:t>Šobrīd</w:t>
            </w:r>
            <w:r w:rsidR="00EB431E">
              <w:rPr>
                <w:rFonts w:eastAsia="Calibri"/>
                <w:lang w:eastAsia="en-US"/>
              </w:rPr>
              <w:t xml:space="preserve"> ieņēmumu klasifikācijas </w:t>
            </w:r>
            <w:r w:rsidR="00733F2A">
              <w:rPr>
                <w:rFonts w:eastAsia="Calibri"/>
                <w:lang w:eastAsia="en-US"/>
              </w:rPr>
              <w:t xml:space="preserve">koda </w:t>
            </w:r>
            <w:r w:rsidR="003939AF">
              <w:rPr>
                <w:rFonts w:eastAsia="Calibri"/>
                <w:lang w:eastAsia="en-US"/>
              </w:rPr>
              <w:t xml:space="preserve"> </w:t>
            </w:r>
            <w:r>
              <w:rPr>
                <w:rFonts w:eastAsia="Calibri"/>
                <w:lang w:eastAsia="en-US"/>
              </w:rPr>
              <w:t xml:space="preserve">9.2.9.2 nosaukums neatspoguļo, ka uz šo kodu būtu attiecināma nodeva </w:t>
            </w:r>
            <w:r>
              <w:t xml:space="preserve"> </w:t>
            </w:r>
            <w:r w:rsidRPr="00BF3DD6">
              <w:rPr>
                <w:rFonts w:eastAsia="Calibri"/>
                <w:lang w:eastAsia="en-US"/>
              </w:rPr>
              <w:t>par reģistrācijas darbībām būvkomersantu reģistrā</w:t>
            </w:r>
            <w:r w:rsidR="003939AF">
              <w:rPr>
                <w:rFonts w:eastAsia="Calibri"/>
                <w:lang w:eastAsia="en-US"/>
              </w:rPr>
              <w:t xml:space="preserve">. </w:t>
            </w:r>
            <w:r w:rsidR="000F0A87">
              <w:rPr>
                <w:rFonts w:eastAsia="Calibri"/>
                <w:lang w:eastAsia="en-US"/>
              </w:rPr>
              <w:t>S</w:t>
            </w:r>
            <w:r w:rsidR="00D73772">
              <w:rPr>
                <w:rFonts w:eastAsia="Calibri"/>
                <w:lang w:eastAsia="en-US"/>
              </w:rPr>
              <w:t>avukārt</w:t>
            </w:r>
            <w:r w:rsidR="00361E18">
              <w:rPr>
                <w:rFonts w:eastAsia="Calibri"/>
                <w:lang w:eastAsia="en-US"/>
              </w:rPr>
              <w:t>,</w:t>
            </w:r>
            <w:r w:rsidR="00D73772">
              <w:rPr>
                <w:rFonts w:eastAsia="Calibri"/>
                <w:lang w:eastAsia="en-US"/>
              </w:rPr>
              <w:t xml:space="preserve"> s</w:t>
            </w:r>
            <w:r w:rsidR="003939AF">
              <w:rPr>
                <w:rFonts w:eastAsia="Calibri"/>
                <w:lang w:eastAsia="en-US"/>
              </w:rPr>
              <w:t xml:space="preserve">peciālajā </w:t>
            </w:r>
            <w:r>
              <w:rPr>
                <w:rFonts w:eastAsia="Calibri"/>
                <w:lang w:eastAsia="en-US"/>
              </w:rPr>
              <w:t xml:space="preserve">normatīvajā regulējumā vairs netiek paredzēta </w:t>
            </w:r>
            <w:r w:rsidRPr="00BF3DD6">
              <w:rPr>
                <w:rFonts w:eastAsia="Calibri"/>
                <w:lang w:eastAsia="en-US"/>
              </w:rPr>
              <w:t>nodeva par būvprojektēšanai nepieciešamo tehnisko un īpašo noteikumu saņemšanu valsts un pašvaldību institūcijās</w:t>
            </w:r>
            <w:r w:rsidR="003939AF">
              <w:rPr>
                <w:rFonts w:eastAsia="Calibri"/>
                <w:lang w:eastAsia="en-US"/>
              </w:rPr>
              <w:t xml:space="preserve"> (iepriekš šāda nodeva bija noteikta Būvniecības likumā</w:t>
            </w:r>
            <w:r>
              <w:rPr>
                <w:rFonts w:eastAsia="Calibri"/>
                <w:lang w:eastAsia="en-US"/>
              </w:rPr>
              <w:t>,</w:t>
            </w:r>
            <w:r w:rsidR="003939AF">
              <w:rPr>
                <w:rFonts w:eastAsia="Calibri"/>
                <w:lang w:eastAsia="en-US"/>
              </w:rPr>
              <w:t xml:space="preserve"> kas </w:t>
            </w:r>
            <w:r w:rsidR="00FD0DA9">
              <w:rPr>
                <w:rFonts w:eastAsia="Calibri"/>
                <w:lang w:eastAsia="en-US"/>
              </w:rPr>
              <w:t xml:space="preserve">zaudējis spēku ar </w:t>
            </w:r>
            <w:r w:rsidR="003939AF">
              <w:rPr>
                <w:rFonts w:eastAsia="Calibri"/>
                <w:lang w:eastAsia="en-US"/>
              </w:rPr>
              <w:t>201</w:t>
            </w:r>
            <w:r w:rsidR="00FD0DA9">
              <w:rPr>
                <w:rFonts w:eastAsia="Calibri"/>
                <w:lang w:eastAsia="en-US"/>
              </w:rPr>
              <w:t>4</w:t>
            </w:r>
            <w:r w:rsidR="003939AF">
              <w:rPr>
                <w:rFonts w:eastAsia="Calibri"/>
                <w:lang w:eastAsia="en-US"/>
              </w:rPr>
              <w:t>.gada 1.</w:t>
            </w:r>
            <w:r w:rsidR="00FD0DA9">
              <w:rPr>
                <w:rFonts w:eastAsia="Calibri"/>
                <w:lang w:eastAsia="en-US"/>
              </w:rPr>
              <w:t>oktobri</w:t>
            </w:r>
            <w:r w:rsidR="003939AF">
              <w:rPr>
                <w:rFonts w:eastAsia="Calibri"/>
                <w:lang w:eastAsia="en-US"/>
              </w:rPr>
              <w:t>)</w:t>
            </w:r>
            <w:r w:rsidR="00FD0DA9">
              <w:rPr>
                <w:rFonts w:eastAsia="Calibri"/>
                <w:lang w:eastAsia="en-US"/>
              </w:rPr>
              <w:t>.</w:t>
            </w:r>
            <w:r>
              <w:rPr>
                <w:rFonts w:eastAsia="Calibri"/>
                <w:lang w:eastAsia="en-US"/>
              </w:rPr>
              <w:t xml:space="preserve"> </w:t>
            </w:r>
            <w:r w:rsidR="00D73772">
              <w:rPr>
                <w:rFonts w:eastAsia="Calibri"/>
                <w:lang w:eastAsia="en-US"/>
              </w:rPr>
              <w:t>Tādējādi jaunais koda 9.2.9.2. nosaukums precīzāk atspoguļos šajā pozīcijā uzskaitāmo ieņēmumu būtību.</w:t>
            </w:r>
          </w:p>
          <w:p w14:paraId="256718F8" w14:textId="63499B89" w:rsidR="009E6D5A" w:rsidRDefault="00B9242C" w:rsidP="00966FA0">
            <w:pPr>
              <w:spacing w:after="120"/>
              <w:ind w:left="113" w:right="142" w:firstLine="425"/>
              <w:jc w:val="both"/>
              <w:rPr>
                <w:rFonts w:eastAsia="Calibri"/>
                <w:lang w:eastAsia="en-US"/>
              </w:rPr>
            </w:pPr>
            <w:r>
              <w:rPr>
                <w:rFonts w:eastAsia="Calibri"/>
                <w:lang w:eastAsia="en-US"/>
              </w:rPr>
              <w:t>1</w:t>
            </w:r>
            <w:r w:rsidR="00BC76D1">
              <w:rPr>
                <w:rFonts w:eastAsia="Calibri"/>
                <w:lang w:eastAsia="en-US"/>
              </w:rPr>
              <w:t>1</w:t>
            </w:r>
            <w:r w:rsidR="00BF3DD6">
              <w:rPr>
                <w:rFonts w:eastAsia="Calibri"/>
                <w:lang w:eastAsia="en-US"/>
              </w:rPr>
              <w:t>.</w:t>
            </w:r>
            <w:r w:rsidR="00D344EE">
              <w:rPr>
                <w:rFonts w:eastAsia="Calibri"/>
                <w:lang w:eastAsia="en-US"/>
              </w:rPr>
              <w:t> </w:t>
            </w:r>
            <w:r w:rsidR="00BF3DD6">
              <w:rPr>
                <w:rFonts w:eastAsia="Calibri"/>
                <w:lang w:eastAsia="en-US"/>
              </w:rPr>
              <w:t xml:space="preserve">Noteikumu projekts paredz svītrot </w:t>
            </w:r>
            <w:r w:rsidR="005D09FF">
              <w:rPr>
                <w:rFonts w:eastAsia="Calibri"/>
                <w:lang w:eastAsia="en-US"/>
              </w:rPr>
              <w:t>2.0</w:t>
            </w:r>
            <w:r w:rsidR="0085065F">
              <w:rPr>
                <w:rFonts w:eastAsia="Calibri"/>
                <w:lang w:eastAsia="en-US"/>
              </w:rPr>
              <w:t>.</w:t>
            </w:r>
            <w:r w:rsidR="005D09FF">
              <w:rPr>
                <w:rFonts w:eastAsia="Calibri"/>
                <w:lang w:eastAsia="en-US"/>
              </w:rPr>
              <w:t xml:space="preserve">grupas kodu 9.3.1.0. </w:t>
            </w:r>
            <w:r w:rsidR="00D344EE" w:rsidRPr="00D344EE">
              <w:rPr>
                <w:rFonts w:eastAsia="Calibri"/>
                <w:lang w:eastAsia="en-US"/>
              </w:rPr>
              <w:t>„</w:t>
            </w:r>
            <w:r w:rsidR="005D09FF">
              <w:rPr>
                <w:rFonts w:eastAsia="Calibri"/>
                <w:lang w:eastAsia="en-US"/>
              </w:rPr>
              <w:t xml:space="preserve">Transportlīdzekļu ikgadējā nodeva” un tā divus apakškodus 9.3.1.1. un 9.3.1.2. Grozījumi veicami, jo </w:t>
            </w:r>
            <w:r w:rsidR="00FD0DA9">
              <w:rPr>
                <w:rFonts w:eastAsia="Calibri"/>
                <w:lang w:eastAsia="en-US"/>
              </w:rPr>
              <w:t xml:space="preserve">sākot ar 2011.gadu minēto </w:t>
            </w:r>
            <w:r w:rsidR="005D09FF">
              <w:rPr>
                <w:rFonts w:eastAsia="Calibri"/>
                <w:lang w:eastAsia="en-US"/>
              </w:rPr>
              <w:t>nodev</w:t>
            </w:r>
            <w:r w:rsidR="00FD0DA9">
              <w:rPr>
                <w:rFonts w:eastAsia="Calibri"/>
                <w:lang w:eastAsia="en-US"/>
              </w:rPr>
              <w:t>u vietā ir maksājams nodoklis</w:t>
            </w:r>
            <w:r w:rsidR="005D09FF">
              <w:rPr>
                <w:rFonts w:eastAsia="Calibri"/>
                <w:lang w:eastAsia="en-US"/>
              </w:rPr>
              <w:t>.</w:t>
            </w:r>
            <w:r w:rsidR="00FD0DA9">
              <w:rPr>
                <w:rFonts w:eastAsia="Calibri"/>
                <w:lang w:eastAsia="en-US"/>
              </w:rPr>
              <w:t xml:space="preserve"> </w:t>
            </w:r>
            <w:r w:rsidR="00FD0DA9" w:rsidRPr="00FD0DA9">
              <w:rPr>
                <w:rFonts w:eastAsia="Calibri"/>
                <w:lang w:eastAsia="en-US"/>
              </w:rPr>
              <w:t xml:space="preserve">Gadījumā, ja vēl šāda veida </w:t>
            </w:r>
            <w:r w:rsidR="00FD0DA9">
              <w:rPr>
                <w:rFonts w:eastAsia="Calibri"/>
                <w:lang w:eastAsia="en-US"/>
              </w:rPr>
              <w:t xml:space="preserve">nodevu </w:t>
            </w:r>
            <w:r w:rsidR="00FD0DA9" w:rsidRPr="00FD0DA9">
              <w:rPr>
                <w:rFonts w:eastAsia="Calibri"/>
                <w:lang w:eastAsia="en-US"/>
              </w:rPr>
              <w:t xml:space="preserve">parāda maksājumi veicami, tad pēc grozījumu veikšanas klasifikācijā piemērojami </w:t>
            </w:r>
            <w:r w:rsidR="00FD0DA9">
              <w:rPr>
                <w:rFonts w:eastAsia="Calibri"/>
                <w:lang w:eastAsia="en-US"/>
              </w:rPr>
              <w:t xml:space="preserve">transportlīdzekļa ekspluatācijas </w:t>
            </w:r>
            <w:r w:rsidR="00FD0DA9" w:rsidRPr="00FD0DA9">
              <w:rPr>
                <w:rFonts w:eastAsia="Calibri"/>
                <w:lang w:eastAsia="en-US"/>
              </w:rPr>
              <w:t>nodokļ</w:t>
            </w:r>
            <w:r w:rsidR="000F0A87">
              <w:rPr>
                <w:rFonts w:eastAsia="Calibri"/>
                <w:lang w:eastAsia="en-US"/>
              </w:rPr>
              <w:t>a</w:t>
            </w:r>
            <w:r w:rsidR="00FD0DA9" w:rsidRPr="00FD0DA9">
              <w:rPr>
                <w:rFonts w:eastAsia="Calibri"/>
                <w:lang w:eastAsia="en-US"/>
              </w:rPr>
              <w:t xml:space="preserve"> ieņēmumu kodi.</w:t>
            </w:r>
            <w:r w:rsidR="00FD0DA9">
              <w:rPr>
                <w:rFonts w:eastAsia="Calibri"/>
                <w:lang w:eastAsia="en-US"/>
              </w:rPr>
              <w:t xml:space="preserve"> </w:t>
            </w:r>
            <w:r w:rsidR="00D344EE">
              <w:rPr>
                <w:rFonts w:eastAsia="Calibri"/>
                <w:lang w:eastAsia="en-US"/>
              </w:rPr>
              <w:t xml:space="preserve"> </w:t>
            </w:r>
          </w:p>
          <w:p w14:paraId="2C2818BD" w14:textId="5E82A4B1" w:rsidR="00EB0A0E" w:rsidRPr="003747BC" w:rsidRDefault="0057762E" w:rsidP="0057762E">
            <w:pPr>
              <w:widowControl w:val="0"/>
              <w:spacing w:after="120"/>
              <w:ind w:left="147" w:right="130" w:firstLine="425"/>
              <w:jc w:val="both"/>
              <w:rPr>
                <w:rFonts w:eastAsia="Calibri"/>
                <w:lang w:eastAsia="en-US"/>
              </w:rPr>
            </w:pPr>
            <w:r w:rsidRPr="003747BC">
              <w:rPr>
                <w:rFonts w:eastAsia="Calibri"/>
                <w:lang w:eastAsia="en-US"/>
              </w:rPr>
              <w:t>12. </w:t>
            </w:r>
            <w:r w:rsidR="003747BC" w:rsidRPr="00BD7526">
              <w:t xml:space="preserve">Noteikumu projekts paredz </w:t>
            </w:r>
            <w:r w:rsidR="003747BC">
              <w:t xml:space="preserve">precizēt 2.0.grupas </w:t>
            </w:r>
            <w:r w:rsidR="003747BC" w:rsidRPr="00BD7526">
              <w:t>kodu 9.3.9.</w:t>
            </w:r>
            <w:r w:rsidR="003747BC">
              <w:t>3</w:t>
            </w:r>
            <w:r w:rsidR="003747BC" w:rsidRPr="00BD7526">
              <w:t>.</w:t>
            </w:r>
            <w:r w:rsidR="003747BC">
              <w:t xml:space="preserve">, ietverot tajā arī valsts nodevu par </w:t>
            </w:r>
            <w:r w:rsidR="003747BC" w:rsidRPr="00BD7526">
              <w:t xml:space="preserve"> šaujamieroča un lielas enerģijas pneimatiskā ieroča dezaktivēšanas apliecinājuma izsniegšanu. Saeimā 2016.gada 2.jūnijā ir pieņemts likums „Grozījumi Ieroču un speciālo līdzekļu aprites likumā”, kura 12.pants paredz papildināt Ieroču un speciālo līdzekļu aprites likumu ar 53.</w:t>
            </w:r>
            <w:r w:rsidR="003747BC" w:rsidRPr="00BD7526">
              <w:rPr>
                <w:vertAlign w:val="superscript"/>
              </w:rPr>
              <w:t>1</w:t>
            </w:r>
            <w:r w:rsidR="003747BC" w:rsidRPr="00BD7526">
              <w:t>pantu. Ieroču un speciālo līdzekļu aprites likuma ar 53.</w:t>
            </w:r>
            <w:r w:rsidR="003747BC" w:rsidRPr="00BD7526">
              <w:rPr>
                <w:vertAlign w:val="superscript"/>
              </w:rPr>
              <w:t>1</w:t>
            </w:r>
            <w:r w:rsidR="003747BC" w:rsidRPr="00BD7526">
              <w:t>panta otrā daļa nosaka, ka par šaujamieroča un lielas enerģijas pneimatiskā ieroča dezaktivēšanas apliecinājuma izsniegšanu maksājama valsts nodeva.</w:t>
            </w:r>
          </w:p>
          <w:p w14:paraId="7AA3007E" w14:textId="7A9F55A2" w:rsidR="005D26D2" w:rsidRPr="00EB0A0E" w:rsidRDefault="0057762E" w:rsidP="0057762E">
            <w:pPr>
              <w:widowControl w:val="0"/>
              <w:spacing w:after="120"/>
              <w:ind w:left="147" w:right="130" w:firstLine="425"/>
              <w:jc w:val="both"/>
              <w:rPr>
                <w:rFonts w:eastAsia="Calibri"/>
                <w:lang w:eastAsia="en-US"/>
              </w:rPr>
            </w:pPr>
            <w:r>
              <w:rPr>
                <w:rFonts w:eastAsia="Calibri"/>
                <w:lang w:eastAsia="en-US"/>
              </w:rPr>
              <w:t>13. </w:t>
            </w:r>
            <w:r w:rsidR="005D26D2">
              <w:rPr>
                <w:rFonts w:eastAsia="Calibri"/>
                <w:lang w:eastAsia="en-US"/>
              </w:rPr>
              <w:t xml:space="preserve">Noteikumu projekts paredz precizēt pielikuma </w:t>
            </w:r>
            <w:r w:rsidR="005D26D2" w:rsidRPr="005D26D2">
              <w:rPr>
                <w:rFonts w:eastAsia="Calibri"/>
                <w:lang w:eastAsia="en-US"/>
              </w:rPr>
              <w:t>2.0 apakšgrupas kodu 9.5.</w:t>
            </w:r>
            <w:r w:rsidR="00680E17">
              <w:rPr>
                <w:rFonts w:eastAsia="Calibri"/>
                <w:lang w:eastAsia="en-US"/>
              </w:rPr>
              <w:t>2</w:t>
            </w:r>
            <w:r w:rsidR="005D26D2" w:rsidRPr="005D26D2">
              <w:rPr>
                <w:rFonts w:eastAsia="Calibri"/>
                <w:lang w:eastAsia="en-US"/>
              </w:rPr>
              <w:t>.</w:t>
            </w:r>
            <w:r w:rsidR="00680E17">
              <w:rPr>
                <w:rFonts w:eastAsia="Calibri"/>
                <w:lang w:eastAsia="en-US"/>
              </w:rPr>
              <w:t>1</w:t>
            </w:r>
            <w:r w:rsidR="005D26D2">
              <w:rPr>
                <w:rFonts w:eastAsia="Calibri"/>
                <w:lang w:eastAsia="en-US"/>
              </w:rPr>
              <w:t xml:space="preserve">., izsakot </w:t>
            </w:r>
            <w:r w:rsidR="005D26D2" w:rsidRPr="005D26D2">
              <w:rPr>
                <w:rFonts w:eastAsia="Calibri"/>
                <w:lang w:eastAsia="en-US"/>
              </w:rPr>
              <w:t>nodevas nosaukumu atbilstoši normatīvajiem aktiem.</w:t>
            </w:r>
            <w:r w:rsidR="005451E0">
              <w:rPr>
                <w:rFonts w:eastAsia="Calibri"/>
                <w:lang w:eastAsia="en-US"/>
              </w:rPr>
              <w:t xml:space="preserve"> </w:t>
            </w:r>
            <w:r w:rsidR="005D26D2">
              <w:rPr>
                <w:rFonts w:eastAsia="Calibri"/>
                <w:lang w:eastAsia="en-US"/>
              </w:rPr>
              <w:t xml:space="preserve">2016.gada 19.janvārī </w:t>
            </w:r>
            <w:r w:rsidRPr="005D26D2">
              <w:rPr>
                <w:rFonts w:eastAsia="Calibri"/>
                <w:lang w:eastAsia="en-US"/>
              </w:rPr>
              <w:t xml:space="preserve">atbilstoši Būvniecības likuma normām </w:t>
            </w:r>
            <w:r w:rsidR="005D26D2" w:rsidRPr="005D26D2">
              <w:rPr>
                <w:rFonts w:eastAsia="Calibri"/>
                <w:lang w:eastAsia="en-US"/>
              </w:rPr>
              <w:t xml:space="preserve">ir veikti grozījumi Ministru kabineta </w:t>
            </w:r>
            <w:r w:rsidR="005D26D2">
              <w:rPr>
                <w:rFonts w:eastAsia="Calibri"/>
                <w:lang w:eastAsia="en-US"/>
              </w:rPr>
              <w:t xml:space="preserve">2005.gada 28.jūnija </w:t>
            </w:r>
            <w:r>
              <w:rPr>
                <w:rFonts w:eastAsia="Calibri"/>
                <w:lang w:eastAsia="en-US"/>
              </w:rPr>
              <w:t xml:space="preserve">noteikumos Nr.480 </w:t>
            </w:r>
            <w:r w:rsidRPr="0057762E">
              <w:rPr>
                <w:rFonts w:eastAsia="Calibri"/>
                <w:lang w:eastAsia="en-US"/>
              </w:rPr>
              <w:t>„</w:t>
            </w:r>
            <w:r w:rsidR="005D26D2" w:rsidRPr="005D26D2">
              <w:rPr>
                <w:rFonts w:eastAsia="Calibri"/>
                <w:lang w:eastAsia="en-US"/>
              </w:rPr>
              <w:t>Noteikumi par kārtību, kādā pašvaldības var uzlikt pašvaldību nodevas”</w:t>
            </w:r>
            <w:r>
              <w:rPr>
                <w:rFonts w:eastAsia="Calibri"/>
                <w:lang w:eastAsia="en-US"/>
              </w:rPr>
              <w:t xml:space="preserve"> </w:t>
            </w:r>
            <w:r w:rsidR="005D26D2" w:rsidRPr="005D26D2">
              <w:rPr>
                <w:rFonts w:eastAsia="Calibri"/>
                <w:lang w:eastAsia="en-US"/>
              </w:rPr>
              <w:t>un pašvaldību budžetos ir maksājama pašvaldības nodeva par būvatļaujas izdošanu vai būvniecības ieceres akceptu</w:t>
            </w:r>
            <w:r>
              <w:rPr>
                <w:rFonts w:eastAsia="Calibri"/>
                <w:lang w:eastAsia="en-US"/>
              </w:rPr>
              <w:t xml:space="preserve"> </w:t>
            </w:r>
            <w:r w:rsidRPr="005D26D2">
              <w:rPr>
                <w:rFonts w:eastAsia="Calibri"/>
                <w:lang w:eastAsia="en-US"/>
              </w:rPr>
              <w:t>(15.punkts)</w:t>
            </w:r>
            <w:r w:rsidR="005D26D2">
              <w:rPr>
                <w:rFonts w:eastAsia="Calibri"/>
                <w:lang w:eastAsia="en-US"/>
              </w:rPr>
              <w:t xml:space="preserve">. </w:t>
            </w:r>
            <w:r>
              <w:rPr>
                <w:rFonts w:eastAsia="Calibri"/>
                <w:lang w:eastAsia="en-US"/>
              </w:rPr>
              <w:t xml:space="preserve">  </w:t>
            </w:r>
          </w:p>
          <w:p w14:paraId="2A25BB82" w14:textId="56B7EF21" w:rsidR="005D09FF" w:rsidRDefault="005D09FF" w:rsidP="00966FA0">
            <w:pPr>
              <w:spacing w:after="120"/>
              <w:ind w:left="113" w:right="142" w:firstLine="425"/>
              <w:jc w:val="both"/>
              <w:rPr>
                <w:rFonts w:eastAsia="Calibri"/>
                <w:u w:val="single"/>
                <w:lang w:eastAsia="en-US"/>
              </w:rPr>
            </w:pPr>
            <w:r>
              <w:rPr>
                <w:rFonts w:eastAsia="Calibri"/>
                <w:lang w:eastAsia="en-US"/>
              </w:rPr>
              <w:t>1</w:t>
            </w:r>
            <w:r w:rsidR="0057762E">
              <w:rPr>
                <w:rFonts w:eastAsia="Calibri"/>
                <w:lang w:eastAsia="en-US"/>
              </w:rPr>
              <w:t>4</w:t>
            </w:r>
            <w:r>
              <w:rPr>
                <w:rFonts w:eastAsia="Calibri"/>
                <w:lang w:eastAsia="en-US"/>
              </w:rPr>
              <w:t xml:space="preserve">. </w:t>
            </w:r>
            <w:r w:rsidR="00D1100B">
              <w:t xml:space="preserve"> N</w:t>
            </w:r>
            <w:r w:rsidR="00D1100B" w:rsidRPr="00D1100B">
              <w:rPr>
                <w:rFonts w:eastAsia="Calibri"/>
                <w:lang w:eastAsia="en-US"/>
              </w:rPr>
              <w:t>oteikumu projekt</w:t>
            </w:r>
            <w:r w:rsidR="00D1100B">
              <w:rPr>
                <w:rFonts w:eastAsia="Calibri"/>
                <w:lang w:eastAsia="en-US"/>
              </w:rPr>
              <w:t xml:space="preserve">s paredz precizēt </w:t>
            </w:r>
            <w:r w:rsidR="00D1100B" w:rsidRPr="00D1100B">
              <w:rPr>
                <w:rFonts w:eastAsia="Calibri"/>
                <w:lang w:eastAsia="en-US"/>
              </w:rPr>
              <w:t>2.0.grupas kod</w:t>
            </w:r>
            <w:r w:rsidR="00D1100B">
              <w:rPr>
                <w:rFonts w:eastAsia="Calibri"/>
                <w:lang w:eastAsia="en-US"/>
              </w:rPr>
              <w:t>a</w:t>
            </w:r>
            <w:r w:rsidR="00D1100B" w:rsidRPr="00D1100B">
              <w:rPr>
                <w:rFonts w:eastAsia="Calibri"/>
                <w:lang w:eastAsia="en-US"/>
              </w:rPr>
              <w:t xml:space="preserve"> </w:t>
            </w:r>
            <w:r w:rsidR="00D1100B">
              <w:rPr>
                <w:rFonts w:eastAsia="Calibri"/>
                <w:lang w:eastAsia="en-US"/>
              </w:rPr>
              <w:t xml:space="preserve">9.9.0.0. </w:t>
            </w:r>
            <w:r w:rsidR="00D1100B" w:rsidRPr="00D1100B">
              <w:rPr>
                <w:rFonts w:eastAsia="Calibri"/>
                <w:lang w:eastAsia="en-US"/>
              </w:rPr>
              <w:t>„</w:t>
            </w:r>
            <w:r w:rsidR="00D1100B">
              <w:rPr>
                <w:rFonts w:eastAsia="Calibri"/>
                <w:lang w:eastAsia="en-US"/>
              </w:rPr>
              <w:t>Pārējās nodevas” skaidrojumu</w:t>
            </w:r>
            <w:r w:rsidR="00D1100B" w:rsidRPr="00D1100B">
              <w:rPr>
                <w:rFonts w:eastAsia="Calibri"/>
                <w:lang w:eastAsia="en-US"/>
              </w:rPr>
              <w:t>, paredzot, ka šaj</w:t>
            </w:r>
            <w:r w:rsidR="00A42E91">
              <w:rPr>
                <w:rFonts w:eastAsia="Calibri"/>
                <w:lang w:eastAsia="en-US"/>
              </w:rPr>
              <w:t>ā</w:t>
            </w:r>
            <w:r w:rsidR="00D1100B" w:rsidRPr="00D1100B">
              <w:rPr>
                <w:rFonts w:eastAsia="Calibri"/>
                <w:lang w:eastAsia="en-US"/>
              </w:rPr>
              <w:t xml:space="preserve"> kod</w:t>
            </w:r>
            <w:r w:rsidR="00A42E91">
              <w:rPr>
                <w:rFonts w:eastAsia="Calibri"/>
                <w:lang w:eastAsia="en-US"/>
              </w:rPr>
              <w:t>ā</w:t>
            </w:r>
            <w:r w:rsidR="00D1100B" w:rsidRPr="00D1100B">
              <w:rPr>
                <w:rFonts w:eastAsia="Calibri"/>
                <w:lang w:eastAsia="en-US"/>
              </w:rPr>
              <w:t xml:space="preserve"> uzskaita tikai tās nodevas, kas nav attiecināmas uz kodiem 9.1.0.0., 9.2.0.0., 9.3.0.0., 9.4.0.0. un 9.5.0.0.</w:t>
            </w:r>
            <w:r w:rsidR="00D1100B">
              <w:rPr>
                <w:rFonts w:eastAsia="Calibri"/>
                <w:lang w:eastAsia="en-US"/>
              </w:rPr>
              <w:t xml:space="preserve">, jo </w:t>
            </w:r>
            <w:r w:rsidR="000E2404" w:rsidRPr="000E2404">
              <w:rPr>
                <w:rFonts w:eastAsia="Calibri"/>
                <w:lang w:eastAsia="en-US"/>
              </w:rPr>
              <w:t>labā prakse būtu, ka nodevas maksājums tiek attiecināts uz konkrēto nodevas objektu</w:t>
            </w:r>
            <w:r w:rsidR="000E2404">
              <w:rPr>
                <w:rFonts w:eastAsia="Calibri"/>
                <w:lang w:eastAsia="en-US"/>
              </w:rPr>
              <w:t xml:space="preserve"> vai </w:t>
            </w:r>
            <w:r w:rsidR="00A42E91">
              <w:rPr>
                <w:rFonts w:eastAsia="Calibri"/>
                <w:lang w:eastAsia="en-US"/>
              </w:rPr>
              <w:t xml:space="preserve">attiecīgi </w:t>
            </w:r>
            <w:r w:rsidR="000E2404">
              <w:rPr>
                <w:rFonts w:eastAsia="Calibri"/>
                <w:lang w:eastAsia="en-US"/>
              </w:rPr>
              <w:t xml:space="preserve">tām pārējām nodevām, kas tematiski ietvertas </w:t>
            </w:r>
            <w:r w:rsidR="000E2404" w:rsidRPr="000E2404">
              <w:rPr>
                <w:rFonts w:eastAsia="Calibri"/>
                <w:lang w:eastAsia="en-US"/>
              </w:rPr>
              <w:t>9.1.0.0., 9.2.0.0., 9.3.0.0., 9.4.0.0. un 9.5.0.0</w:t>
            </w:r>
            <w:r w:rsidR="000E2404">
              <w:rPr>
                <w:rFonts w:eastAsia="Calibri"/>
                <w:lang w:eastAsia="en-US"/>
              </w:rPr>
              <w:t>. apakškodos.</w:t>
            </w:r>
          </w:p>
          <w:p w14:paraId="035FF0F5" w14:textId="38F35504" w:rsidR="0076397D" w:rsidRPr="00EB1107" w:rsidRDefault="00117611" w:rsidP="00966FA0">
            <w:pPr>
              <w:spacing w:after="120"/>
              <w:ind w:left="113" w:right="142" w:firstLine="425"/>
              <w:jc w:val="both"/>
              <w:rPr>
                <w:rFonts w:eastAsia="Calibri"/>
                <w:lang w:eastAsia="en-US"/>
              </w:rPr>
            </w:pPr>
            <w:r w:rsidRPr="00EB1107">
              <w:rPr>
                <w:rFonts w:eastAsia="Calibri"/>
                <w:lang w:eastAsia="en-US"/>
              </w:rPr>
              <w:lastRenderedPageBreak/>
              <w:t>1</w:t>
            </w:r>
            <w:r w:rsidR="00DD253E">
              <w:rPr>
                <w:rFonts w:eastAsia="Calibri"/>
                <w:lang w:eastAsia="en-US"/>
              </w:rPr>
              <w:t>5</w:t>
            </w:r>
            <w:r w:rsidR="0076397D" w:rsidRPr="00EB1107">
              <w:rPr>
                <w:rFonts w:eastAsia="Calibri"/>
                <w:lang w:eastAsia="en-US"/>
              </w:rPr>
              <w:t>. Noteikumu projekts paredz budžeta ieņēmumu klasifikāciju</w:t>
            </w:r>
            <w:r w:rsidR="0037779B" w:rsidRPr="00EB1107">
              <w:rPr>
                <w:rFonts w:eastAsia="Calibri"/>
                <w:lang w:eastAsia="en-US"/>
              </w:rPr>
              <w:t xml:space="preserve"> atbilstoši Tieslietu ministrijas ierosinājumam</w:t>
            </w:r>
            <w:r w:rsidR="0076397D" w:rsidRPr="00EB1107">
              <w:rPr>
                <w:rFonts w:eastAsia="Calibri"/>
                <w:lang w:eastAsia="en-US"/>
              </w:rPr>
              <w:t xml:space="preserve"> papildināt ar jaunu 2.0.grupas kodu 10.1.9.7. „Naudas sodi, ko uzliek Maksātnespējas administrācija”</w:t>
            </w:r>
            <w:r w:rsidR="0064216D" w:rsidRPr="00EB1107">
              <w:rPr>
                <w:rFonts w:eastAsia="Calibri"/>
                <w:lang w:eastAsia="en-US"/>
              </w:rPr>
              <w:t>, lai Maksātnespējas administrācija varētu labāk administrēt piemērotos sodus par pārkāpumiem maksātnespējas jomā.</w:t>
            </w:r>
            <w:r w:rsidR="0076397D" w:rsidRPr="00EB1107">
              <w:rPr>
                <w:rFonts w:eastAsia="Calibri"/>
                <w:lang w:eastAsia="en-US"/>
              </w:rPr>
              <w:t xml:space="preserve"> </w:t>
            </w:r>
            <w:r w:rsidR="0037779B" w:rsidRPr="00EB1107">
              <w:rPr>
                <w:rFonts w:eastAsia="Calibri"/>
                <w:lang w:eastAsia="en-US"/>
              </w:rPr>
              <w:t xml:space="preserve">Šobrīd minēto sodu uzskaitei tiek piemērots kods 10.1.9.9. „Naudas sodi, ko uzliek pārējās iestādes, kas nav </w:t>
            </w:r>
            <w:r w:rsidR="00A64381" w:rsidRPr="00EB1107">
              <w:rPr>
                <w:rFonts w:eastAsia="Calibri"/>
                <w:lang w:eastAsia="en-US"/>
              </w:rPr>
              <w:t xml:space="preserve">klasificētas iepriekšminētajos kodos”. </w:t>
            </w:r>
            <w:r w:rsidR="0037779B" w:rsidRPr="00EB1107">
              <w:rPr>
                <w:rFonts w:eastAsia="Calibri"/>
                <w:lang w:eastAsia="en-US"/>
              </w:rPr>
              <w:t xml:space="preserve"> </w:t>
            </w:r>
          </w:p>
          <w:p w14:paraId="75E9EC72" w14:textId="135AA622" w:rsidR="003F2E7C" w:rsidRDefault="005D09FF" w:rsidP="00966FA0">
            <w:pPr>
              <w:spacing w:after="120"/>
              <w:ind w:left="113" w:right="142" w:firstLine="425"/>
              <w:jc w:val="both"/>
              <w:rPr>
                <w:rFonts w:eastAsia="Calibri"/>
                <w:lang w:eastAsia="en-US"/>
              </w:rPr>
            </w:pPr>
            <w:r>
              <w:rPr>
                <w:rFonts w:eastAsia="Calibri"/>
                <w:lang w:eastAsia="en-US"/>
              </w:rPr>
              <w:t>1</w:t>
            </w:r>
            <w:r w:rsidR="00DD253E">
              <w:rPr>
                <w:rFonts w:eastAsia="Calibri"/>
                <w:lang w:eastAsia="en-US"/>
              </w:rPr>
              <w:t>6</w:t>
            </w:r>
            <w:r>
              <w:rPr>
                <w:rFonts w:eastAsia="Calibri"/>
                <w:lang w:eastAsia="en-US"/>
              </w:rPr>
              <w:t>.</w:t>
            </w:r>
            <w:r w:rsidR="00DD253E">
              <w:rPr>
                <w:rFonts w:eastAsia="Calibri"/>
                <w:lang w:eastAsia="en-US"/>
              </w:rPr>
              <w:t> </w:t>
            </w:r>
            <w:r>
              <w:rPr>
                <w:rFonts w:eastAsia="Calibri"/>
                <w:lang w:eastAsia="en-US"/>
              </w:rPr>
              <w:t xml:space="preserve">Noteikumu projekts </w:t>
            </w:r>
            <w:r w:rsidR="0085065F">
              <w:rPr>
                <w:rFonts w:eastAsia="Calibri"/>
                <w:lang w:eastAsia="en-US"/>
              </w:rPr>
              <w:t xml:space="preserve">paredz svītrot 2.0.grupas kodus </w:t>
            </w:r>
            <w:r w:rsidRPr="005D09FF">
              <w:rPr>
                <w:rFonts w:eastAsia="Calibri"/>
                <w:lang w:eastAsia="en-US"/>
              </w:rPr>
              <w:t xml:space="preserve">10.5.0.0., </w:t>
            </w:r>
            <w:r w:rsidR="0085065F">
              <w:rPr>
                <w:rFonts w:eastAsia="Calibri"/>
                <w:lang w:eastAsia="en-US"/>
              </w:rPr>
              <w:t xml:space="preserve">10.5.1.0., 10.6.0.0., kas piemērojami naudas sodiem par valsts budžeta līdzfinansējuma un valsts budžeta līdzfinansējuma neattaisnotajiem izdevumiem. </w:t>
            </w:r>
            <w:r w:rsidR="001C4A38">
              <w:rPr>
                <w:rFonts w:eastAsia="Calibri"/>
                <w:lang w:eastAsia="en-US"/>
              </w:rPr>
              <w:t>M</w:t>
            </w:r>
            <w:r w:rsidR="0085065F">
              <w:rPr>
                <w:rFonts w:eastAsia="Calibri"/>
                <w:lang w:eastAsia="en-US"/>
              </w:rPr>
              <w:t>inēt</w:t>
            </w:r>
            <w:r w:rsidR="005205AB">
              <w:rPr>
                <w:rFonts w:eastAsia="Calibri"/>
                <w:lang w:eastAsia="en-US"/>
              </w:rPr>
              <w:t>ajos</w:t>
            </w:r>
            <w:r w:rsidR="0085065F">
              <w:rPr>
                <w:rFonts w:eastAsia="Calibri"/>
                <w:lang w:eastAsia="en-US"/>
              </w:rPr>
              <w:t xml:space="preserve"> kod</w:t>
            </w:r>
            <w:r w:rsidR="005205AB">
              <w:rPr>
                <w:rFonts w:eastAsia="Calibri"/>
                <w:lang w:eastAsia="en-US"/>
              </w:rPr>
              <w:t>os</w:t>
            </w:r>
            <w:r w:rsidR="0085065F">
              <w:rPr>
                <w:rFonts w:eastAsia="Calibri"/>
                <w:lang w:eastAsia="en-US"/>
              </w:rPr>
              <w:t xml:space="preserve"> </w:t>
            </w:r>
            <w:r w:rsidR="005205AB">
              <w:rPr>
                <w:rFonts w:eastAsia="Calibri"/>
                <w:lang w:eastAsia="en-US"/>
              </w:rPr>
              <w:t>ieņēmumi praktiski netiek novēroti</w:t>
            </w:r>
            <w:r w:rsidR="001C4A38">
              <w:rPr>
                <w:rFonts w:eastAsia="Calibri"/>
                <w:lang w:eastAsia="en-US"/>
              </w:rPr>
              <w:t xml:space="preserve"> (piemēram, 2015.gadā tikai 1 maksājums piemērojot kodu 10.5.1.0; un nav neviena maksājuma, kad būtu ticis piemērots kods 10.6.0.0.). Nav informācijas, ka minētie ieņēmumi tiktu analizēti. </w:t>
            </w:r>
            <w:r w:rsidR="001C4A38">
              <w:t xml:space="preserve"> </w:t>
            </w:r>
            <w:r w:rsidR="001C4A38" w:rsidRPr="001C4A38">
              <w:rPr>
                <w:rFonts w:eastAsia="Calibri"/>
                <w:lang w:eastAsia="en-US"/>
              </w:rPr>
              <w:t xml:space="preserve">Gadījumā, ja </w:t>
            </w:r>
            <w:r w:rsidR="00D73772">
              <w:rPr>
                <w:rFonts w:eastAsia="Calibri"/>
                <w:lang w:eastAsia="en-US"/>
              </w:rPr>
              <w:t xml:space="preserve">nākotnē </w:t>
            </w:r>
            <w:r w:rsidR="001C4A38" w:rsidRPr="001C4A38">
              <w:rPr>
                <w:rFonts w:eastAsia="Calibri"/>
                <w:lang w:eastAsia="en-US"/>
              </w:rPr>
              <w:t>šāda veida maksājumi</w:t>
            </w:r>
            <w:r w:rsidR="001C4A38">
              <w:rPr>
                <w:rFonts w:eastAsia="Calibri"/>
                <w:lang w:eastAsia="en-US"/>
              </w:rPr>
              <w:t xml:space="preserve"> būs</w:t>
            </w:r>
            <w:r w:rsidR="001C4A38" w:rsidRPr="001C4A38">
              <w:rPr>
                <w:rFonts w:eastAsia="Calibri"/>
                <w:lang w:eastAsia="en-US"/>
              </w:rPr>
              <w:t xml:space="preserve">, tad pēc grozījumu veikšanas klasifikācijā </w:t>
            </w:r>
            <w:r w:rsidR="00D73772">
              <w:rPr>
                <w:rFonts w:eastAsia="Calibri"/>
                <w:lang w:eastAsia="en-US"/>
              </w:rPr>
              <w:t xml:space="preserve">tiem būs </w:t>
            </w:r>
            <w:r w:rsidR="001C4A38" w:rsidRPr="001C4A38">
              <w:rPr>
                <w:rFonts w:eastAsia="Calibri"/>
                <w:lang w:eastAsia="en-US"/>
              </w:rPr>
              <w:t>piemērojam</w:t>
            </w:r>
            <w:r w:rsidR="00294DB4">
              <w:rPr>
                <w:rFonts w:eastAsia="Calibri"/>
                <w:lang w:eastAsia="en-US"/>
              </w:rPr>
              <w:t>s</w:t>
            </w:r>
            <w:r w:rsidR="001C4A38">
              <w:rPr>
                <w:rFonts w:eastAsia="Calibri"/>
                <w:lang w:eastAsia="en-US"/>
              </w:rPr>
              <w:t xml:space="preserve"> </w:t>
            </w:r>
            <w:r w:rsidR="00312436" w:rsidRPr="001C4A38">
              <w:rPr>
                <w:rFonts w:eastAsia="Calibri"/>
                <w:lang w:eastAsia="en-US"/>
              </w:rPr>
              <w:t>kod</w:t>
            </w:r>
            <w:r w:rsidR="00312436">
              <w:rPr>
                <w:rFonts w:eastAsia="Calibri"/>
                <w:lang w:eastAsia="en-US"/>
              </w:rPr>
              <w:t xml:space="preserve">a 10.1.9.0. </w:t>
            </w:r>
            <w:r w:rsidR="00312436" w:rsidRPr="00312436">
              <w:rPr>
                <w:rFonts w:eastAsia="Calibri"/>
                <w:lang w:eastAsia="en-US"/>
              </w:rPr>
              <w:t>„</w:t>
            </w:r>
            <w:r w:rsidR="00312436">
              <w:rPr>
                <w:rFonts w:eastAsia="Calibri"/>
                <w:lang w:eastAsia="en-US"/>
              </w:rPr>
              <w:t>P</w:t>
            </w:r>
            <w:r w:rsidR="001C4A38">
              <w:rPr>
                <w:rFonts w:eastAsia="Calibri"/>
                <w:lang w:eastAsia="en-US"/>
              </w:rPr>
              <w:t>ārējie naudas sodi</w:t>
            </w:r>
            <w:r w:rsidR="00312436">
              <w:rPr>
                <w:rFonts w:eastAsia="Calibri"/>
                <w:lang w:eastAsia="en-US"/>
              </w:rPr>
              <w:t>” atbilstošais apakškods.</w:t>
            </w:r>
            <w:r w:rsidR="00294DB4">
              <w:rPr>
                <w:rFonts w:eastAsia="Calibri"/>
                <w:lang w:eastAsia="en-US"/>
              </w:rPr>
              <w:t xml:space="preserve"> </w:t>
            </w:r>
          </w:p>
          <w:p w14:paraId="45EBA52E" w14:textId="0FB24934" w:rsidR="003F2E7C" w:rsidRDefault="003F2E7C" w:rsidP="00966FA0">
            <w:pPr>
              <w:spacing w:after="120"/>
              <w:ind w:left="113" w:right="142" w:firstLine="425"/>
              <w:jc w:val="both"/>
              <w:rPr>
                <w:rFonts w:eastAsia="Calibri"/>
                <w:lang w:eastAsia="en-US"/>
              </w:rPr>
            </w:pPr>
            <w:r>
              <w:rPr>
                <w:rFonts w:eastAsia="Calibri"/>
                <w:lang w:eastAsia="en-US"/>
              </w:rPr>
              <w:t>1</w:t>
            </w:r>
            <w:r w:rsidR="00DD253E">
              <w:rPr>
                <w:rFonts w:eastAsia="Calibri"/>
                <w:lang w:eastAsia="en-US"/>
              </w:rPr>
              <w:t>7</w:t>
            </w:r>
            <w:r>
              <w:rPr>
                <w:rFonts w:eastAsia="Calibri"/>
                <w:lang w:eastAsia="en-US"/>
              </w:rPr>
              <w:t>.</w:t>
            </w:r>
            <w:r w:rsidR="00DD253E">
              <w:rPr>
                <w:rFonts w:eastAsia="Calibri"/>
                <w:lang w:eastAsia="en-US"/>
              </w:rPr>
              <w:t> </w:t>
            </w:r>
            <w:r w:rsidRPr="003F2E7C">
              <w:rPr>
                <w:rFonts w:eastAsia="Calibri"/>
                <w:lang w:eastAsia="en-US"/>
              </w:rPr>
              <w:t>Noteikumu projekts paredz svītrot 2.0.grupas kodu</w:t>
            </w:r>
            <w:r>
              <w:rPr>
                <w:rFonts w:eastAsia="Calibri"/>
                <w:lang w:eastAsia="en-US"/>
              </w:rPr>
              <w:t xml:space="preserve"> 12.3.5.0. </w:t>
            </w:r>
            <w:r w:rsidRPr="003F2E7C">
              <w:rPr>
                <w:rFonts w:eastAsia="Calibri"/>
                <w:lang w:eastAsia="en-US"/>
              </w:rPr>
              <w:t>„</w:t>
            </w:r>
            <w:r>
              <w:rPr>
                <w:rFonts w:eastAsia="Calibri"/>
                <w:lang w:eastAsia="en-US"/>
              </w:rPr>
              <w:t xml:space="preserve">Ieņēmumi no </w:t>
            </w:r>
            <w:r w:rsidR="0064386B">
              <w:rPr>
                <w:rFonts w:eastAsia="Calibri"/>
                <w:lang w:eastAsia="en-US"/>
              </w:rPr>
              <w:t>D</w:t>
            </w:r>
            <w:r>
              <w:rPr>
                <w:rFonts w:eastAsia="Calibri"/>
                <w:lang w:eastAsia="en-US"/>
              </w:rPr>
              <w:t>zelzceļa infrastruktūras fonda</w:t>
            </w:r>
            <w:r w:rsidR="000F0A87" w:rsidRPr="000F0A87">
              <w:rPr>
                <w:rFonts w:eastAsia="Calibri"/>
                <w:lang w:eastAsia="en-US"/>
              </w:rPr>
              <w:t>”</w:t>
            </w:r>
            <w:r>
              <w:rPr>
                <w:rFonts w:eastAsia="Calibri"/>
                <w:lang w:eastAsia="en-US"/>
              </w:rPr>
              <w:t xml:space="preserve">, jo </w:t>
            </w:r>
            <w:r w:rsidR="00560603">
              <w:rPr>
                <w:rFonts w:eastAsia="Calibri"/>
                <w:lang w:eastAsia="en-US"/>
              </w:rPr>
              <w:t xml:space="preserve">nav </w:t>
            </w:r>
            <w:r>
              <w:rPr>
                <w:rFonts w:eastAsia="Calibri"/>
                <w:lang w:eastAsia="en-US"/>
              </w:rPr>
              <w:t>normatīv</w:t>
            </w:r>
            <w:r w:rsidR="00560603">
              <w:rPr>
                <w:rFonts w:eastAsia="Calibri"/>
                <w:lang w:eastAsia="en-US"/>
              </w:rPr>
              <w:t>ā</w:t>
            </w:r>
            <w:r>
              <w:rPr>
                <w:rFonts w:eastAsia="Calibri"/>
                <w:lang w:eastAsia="en-US"/>
              </w:rPr>
              <w:t xml:space="preserve"> regulējum</w:t>
            </w:r>
            <w:r w:rsidR="00560603">
              <w:rPr>
                <w:rFonts w:eastAsia="Calibri"/>
                <w:lang w:eastAsia="en-US"/>
              </w:rPr>
              <w:t>a, kas paredzētu</w:t>
            </w:r>
            <w:r>
              <w:rPr>
                <w:rFonts w:eastAsia="Calibri"/>
                <w:lang w:eastAsia="en-US"/>
              </w:rPr>
              <w:t>, ka valsts budžetā būtu veicamas iemaksas</w:t>
            </w:r>
            <w:r w:rsidR="0064386B">
              <w:rPr>
                <w:rFonts w:eastAsia="Calibri"/>
                <w:lang w:eastAsia="en-US"/>
              </w:rPr>
              <w:t xml:space="preserve"> no </w:t>
            </w:r>
            <w:r w:rsidR="0064386B" w:rsidRPr="0064386B">
              <w:rPr>
                <w:rFonts w:eastAsia="Calibri"/>
                <w:lang w:eastAsia="en-US"/>
              </w:rPr>
              <w:t>Dzelzceļa infrastruktūras fonda</w:t>
            </w:r>
            <w:r w:rsidR="0064386B">
              <w:rPr>
                <w:rFonts w:eastAsia="Calibri"/>
                <w:lang w:eastAsia="en-US"/>
              </w:rPr>
              <w:t xml:space="preserve">, kā arī </w:t>
            </w:r>
            <w:r w:rsidR="0064386B" w:rsidRPr="0064386B">
              <w:rPr>
                <w:rFonts w:eastAsia="Calibri"/>
                <w:lang w:eastAsia="en-US"/>
              </w:rPr>
              <w:t>Valsts dzelzceļa tehniskā inspekcija</w:t>
            </w:r>
            <w:r w:rsidR="0064386B">
              <w:rPr>
                <w:rFonts w:eastAsia="Calibri"/>
                <w:lang w:eastAsia="en-US"/>
              </w:rPr>
              <w:t xml:space="preserve"> un </w:t>
            </w:r>
            <w:r w:rsidR="0064386B" w:rsidRPr="0064386B">
              <w:rPr>
                <w:rFonts w:eastAsia="Calibri"/>
                <w:lang w:eastAsia="en-US"/>
              </w:rPr>
              <w:t>Valsts dzelzceļa administrācija</w:t>
            </w:r>
            <w:r w:rsidR="000F0A87">
              <w:rPr>
                <w:rFonts w:eastAsia="Calibri"/>
                <w:lang w:eastAsia="en-US"/>
              </w:rPr>
              <w:t>, kas saņem no fonda finansējum</w:t>
            </w:r>
            <w:r w:rsidR="00A64381">
              <w:rPr>
                <w:rFonts w:eastAsia="Calibri"/>
                <w:lang w:eastAsia="en-US"/>
              </w:rPr>
              <w:t>u savas darbības nodrošināšanai</w:t>
            </w:r>
            <w:r w:rsidR="000F0A87">
              <w:rPr>
                <w:rFonts w:eastAsia="Calibri"/>
                <w:lang w:eastAsia="en-US"/>
              </w:rPr>
              <w:t xml:space="preserve"> </w:t>
            </w:r>
            <w:r w:rsidR="0064386B">
              <w:rPr>
                <w:rFonts w:eastAsia="Calibri"/>
                <w:lang w:eastAsia="en-US"/>
              </w:rPr>
              <w:t>sākot</w:t>
            </w:r>
            <w:r w:rsidR="0064386B" w:rsidRPr="0064386B">
              <w:rPr>
                <w:rFonts w:eastAsia="Calibri"/>
                <w:lang w:eastAsia="en-US"/>
              </w:rPr>
              <w:t xml:space="preserve"> </w:t>
            </w:r>
            <w:r w:rsidR="0064386B">
              <w:rPr>
                <w:rFonts w:eastAsia="Calibri"/>
                <w:lang w:eastAsia="en-US"/>
              </w:rPr>
              <w:t>n</w:t>
            </w:r>
            <w:r w:rsidR="0064386B" w:rsidRPr="0064386B">
              <w:rPr>
                <w:rFonts w:eastAsia="Calibri"/>
                <w:lang w:eastAsia="en-US"/>
              </w:rPr>
              <w:t>o 2010.gada 1.janvāra ir budžeta nefinansēta</w:t>
            </w:r>
            <w:r w:rsidR="0064386B">
              <w:rPr>
                <w:rFonts w:eastAsia="Calibri"/>
                <w:lang w:eastAsia="en-US"/>
              </w:rPr>
              <w:t>s</w:t>
            </w:r>
            <w:r w:rsidR="0064386B" w:rsidRPr="0064386B">
              <w:rPr>
                <w:rFonts w:eastAsia="Calibri"/>
                <w:lang w:eastAsia="en-US"/>
              </w:rPr>
              <w:t xml:space="preserve"> iestāde</w:t>
            </w:r>
            <w:r w:rsidR="0064386B">
              <w:rPr>
                <w:rFonts w:eastAsia="Calibri"/>
                <w:lang w:eastAsia="en-US"/>
              </w:rPr>
              <w:t>s</w:t>
            </w:r>
            <w:r w:rsidR="00055284">
              <w:rPr>
                <w:rFonts w:eastAsia="Calibri"/>
                <w:lang w:eastAsia="en-US"/>
              </w:rPr>
              <w:t xml:space="preserve"> Likuma par budžetu un finanšu vadību izpratnē, un šo iestāžu ieņēmumi netiek atspoguļoti valsts budžeta vispārējos ieņēmumos</w:t>
            </w:r>
            <w:r w:rsidR="000F0A87">
              <w:rPr>
                <w:rFonts w:eastAsia="Calibri"/>
                <w:lang w:eastAsia="en-US"/>
              </w:rPr>
              <w:t>.</w:t>
            </w:r>
          </w:p>
          <w:p w14:paraId="35C446D0" w14:textId="63797B57" w:rsidR="0064386B" w:rsidRDefault="0064386B" w:rsidP="00015955">
            <w:pPr>
              <w:spacing w:after="120"/>
              <w:ind w:left="113" w:right="142" w:firstLine="425"/>
              <w:jc w:val="both"/>
              <w:rPr>
                <w:rFonts w:eastAsia="Calibri"/>
                <w:lang w:eastAsia="en-US"/>
              </w:rPr>
            </w:pPr>
            <w:r>
              <w:rPr>
                <w:rFonts w:eastAsia="Calibri"/>
                <w:lang w:eastAsia="en-US"/>
              </w:rPr>
              <w:t>1</w:t>
            </w:r>
            <w:r w:rsidR="00DD253E">
              <w:rPr>
                <w:rFonts w:eastAsia="Calibri"/>
                <w:lang w:eastAsia="en-US"/>
              </w:rPr>
              <w:t>8</w:t>
            </w:r>
            <w:r>
              <w:rPr>
                <w:rFonts w:eastAsia="Calibri"/>
                <w:lang w:eastAsia="en-US"/>
              </w:rPr>
              <w:t>.</w:t>
            </w:r>
            <w:r w:rsidR="00DD253E">
              <w:rPr>
                <w:rFonts w:eastAsia="Calibri"/>
                <w:lang w:eastAsia="en-US"/>
              </w:rPr>
              <w:t> </w:t>
            </w:r>
            <w:r w:rsidRPr="0064386B">
              <w:rPr>
                <w:rFonts w:eastAsia="Calibri"/>
                <w:lang w:eastAsia="en-US"/>
              </w:rPr>
              <w:t>Noteikumu projekts paredz svītrot 2.0.grupas kodu 12.3.</w:t>
            </w:r>
            <w:r>
              <w:rPr>
                <w:rFonts w:eastAsia="Calibri"/>
                <w:lang w:eastAsia="en-US"/>
              </w:rPr>
              <w:t>9</w:t>
            </w:r>
            <w:r w:rsidRPr="0064386B">
              <w:rPr>
                <w:rFonts w:eastAsia="Calibri"/>
                <w:lang w:eastAsia="en-US"/>
              </w:rPr>
              <w:t>.</w:t>
            </w:r>
            <w:r>
              <w:rPr>
                <w:rFonts w:eastAsia="Calibri"/>
                <w:lang w:eastAsia="en-US"/>
              </w:rPr>
              <w:t>1. „Ieņēmumu daļa par aeronavigācijas pakalpojumiem Rīgas lidojumu informācijas rajonā</w:t>
            </w:r>
            <w:r w:rsidR="000F0A87" w:rsidRPr="000F0A87">
              <w:rPr>
                <w:rFonts w:eastAsia="Calibri"/>
                <w:lang w:eastAsia="en-US"/>
              </w:rPr>
              <w:t>”</w:t>
            </w:r>
            <w:r w:rsidRPr="0064386B">
              <w:rPr>
                <w:rFonts w:eastAsia="Calibri"/>
                <w:lang w:eastAsia="en-US"/>
              </w:rPr>
              <w:t>,</w:t>
            </w:r>
            <w:r>
              <w:rPr>
                <w:rFonts w:eastAsia="Calibri"/>
                <w:lang w:eastAsia="en-US"/>
              </w:rPr>
              <w:t xml:space="preserve"> jo </w:t>
            </w:r>
            <w:r w:rsidR="00A64381">
              <w:rPr>
                <w:rFonts w:eastAsia="Calibri"/>
                <w:lang w:eastAsia="en-US"/>
              </w:rPr>
              <w:t>s</w:t>
            </w:r>
            <w:r w:rsidR="0076397D">
              <w:rPr>
                <w:rFonts w:eastAsia="Calibri"/>
                <w:lang w:eastAsia="en-US"/>
              </w:rPr>
              <w:t xml:space="preserve">pēkā esošie </w:t>
            </w:r>
            <w:r w:rsidR="00015955" w:rsidRPr="00015955">
              <w:rPr>
                <w:rFonts w:eastAsia="Calibri"/>
                <w:lang w:eastAsia="en-US"/>
              </w:rPr>
              <w:t>Ministru kabineta 2012.gada 3.janvār</w:t>
            </w:r>
            <w:r w:rsidR="00015955">
              <w:rPr>
                <w:rFonts w:eastAsia="Calibri"/>
                <w:lang w:eastAsia="en-US"/>
              </w:rPr>
              <w:t>a</w:t>
            </w:r>
            <w:r w:rsidR="00015955" w:rsidRPr="00015955">
              <w:rPr>
                <w:rFonts w:eastAsia="Calibri"/>
                <w:lang w:eastAsia="en-US"/>
              </w:rPr>
              <w:t xml:space="preserve"> noteikumi Nr.30</w:t>
            </w:r>
            <w:r w:rsidR="00015955">
              <w:rPr>
                <w:rFonts w:eastAsia="Calibri"/>
                <w:lang w:eastAsia="en-US"/>
              </w:rPr>
              <w:t xml:space="preserve"> </w:t>
            </w:r>
            <w:r w:rsidR="00015955" w:rsidRPr="00015955">
              <w:rPr>
                <w:rFonts w:eastAsia="Calibri"/>
                <w:lang w:eastAsia="en-US"/>
              </w:rPr>
              <w:t>„Aeronavigācijas pakalpojumu maksas sadales kārtība</w:t>
            </w:r>
            <w:r w:rsidR="00015955">
              <w:rPr>
                <w:rFonts w:eastAsia="Calibri"/>
                <w:lang w:eastAsia="en-US"/>
              </w:rPr>
              <w:t>”</w:t>
            </w:r>
            <w:r w:rsidR="0076397D">
              <w:rPr>
                <w:rFonts w:eastAsia="Calibri"/>
                <w:lang w:eastAsia="en-US"/>
              </w:rPr>
              <w:t xml:space="preserve"> neparedz </w:t>
            </w:r>
            <w:r w:rsidR="0076397D">
              <w:t xml:space="preserve">no </w:t>
            </w:r>
            <w:r w:rsidR="00A64381">
              <w:t>a</w:t>
            </w:r>
            <w:r w:rsidR="0076397D" w:rsidRPr="0076397D">
              <w:rPr>
                <w:rFonts w:eastAsia="Calibri"/>
                <w:lang w:eastAsia="en-US"/>
              </w:rPr>
              <w:t xml:space="preserve">eronavigācijas pakalpojumu </w:t>
            </w:r>
            <w:r w:rsidR="0076397D">
              <w:rPr>
                <w:rFonts w:eastAsia="Calibri"/>
                <w:lang w:eastAsia="en-US"/>
              </w:rPr>
              <w:t>saņemtajiem</w:t>
            </w:r>
            <w:r w:rsidR="0076397D" w:rsidRPr="0076397D">
              <w:rPr>
                <w:rFonts w:eastAsia="Calibri"/>
                <w:lang w:eastAsia="en-US"/>
              </w:rPr>
              <w:t xml:space="preserve"> </w:t>
            </w:r>
            <w:r w:rsidR="0076397D">
              <w:rPr>
                <w:rFonts w:eastAsia="Calibri"/>
                <w:lang w:eastAsia="en-US"/>
              </w:rPr>
              <w:t xml:space="preserve">maksājumiem veikt maksājumus uz valsts budžetu. </w:t>
            </w:r>
            <w:r>
              <w:rPr>
                <w:rFonts w:eastAsia="Calibri"/>
                <w:lang w:eastAsia="en-US"/>
              </w:rPr>
              <w:t xml:space="preserve">Gadījumā, ja šādi maksājumi tiktu kādreiz noteikti, </w:t>
            </w:r>
            <w:r w:rsidR="00015955">
              <w:rPr>
                <w:rFonts w:eastAsia="Calibri"/>
                <w:lang w:eastAsia="en-US"/>
              </w:rPr>
              <w:t xml:space="preserve">tad </w:t>
            </w:r>
            <w:r>
              <w:rPr>
                <w:rFonts w:eastAsia="Calibri"/>
                <w:lang w:eastAsia="en-US"/>
              </w:rPr>
              <w:t>ieņēmumiem iespējams piemērot cit</w:t>
            </w:r>
            <w:r w:rsidR="00A64381">
              <w:rPr>
                <w:rFonts w:eastAsia="Calibri"/>
                <w:lang w:eastAsia="en-US"/>
              </w:rPr>
              <w:t>u</w:t>
            </w:r>
            <w:r>
              <w:rPr>
                <w:rFonts w:eastAsia="Calibri"/>
                <w:lang w:eastAsia="en-US"/>
              </w:rPr>
              <w:t xml:space="preserve"> dažād</w:t>
            </w:r>
            <w:r w:rsidR="00A64381">
              <w:rPr>
                <w:rFonts w:eastAsia="Calibri"/>
                <w:lang w:eastAsia="en-US"/>
              </w:rPr>
              <w:t>u</w:t>
            </w:r>
            <w:r>
              <w:rPr>
                <w:rFonts w:eastAsia="Calibri"/>
                <w:lang w:eastAsia="en-US"/>
              </w:rPr>
              <w:t xml:space="preserve"> nenodokļu ieņēmum</w:t>
            </w:r>
            <w:r w:rsidR="00A64381">
              <w:rPr>
                <w:rFonts w:eastAsia="Calibri"/>
                <w:lang w:eastAsia="en-US"/>
              </w:rPr>
              <w:t>u</w:t>
            </w:r>
            <w:r>
              <w:rPr>
                <w:rFonts w:eastAsia="Calibri"/>
                <w:lang w:eastAsia="en-US"/>
              </w:rPr>
              <w:t xml:space="preserve"> kodu.</w:t>
            </w:r>
          </w:p>
          <w:p w14:paraId="18AD293B" w14:textId="20A4F2FA" w:rsidR="0064386B" w:rsidRDefault="0064386B" w:rsidP="00966FA0">
            <w:pPr>
              <w:spacing w:after="120"/>
              <w:ind w:left="113" w:right="142" w:firstLine="425"/>
              <w:jc w:val="both"/>
              <w:rPr>
                <w:rFonts w:eastAsia="Calibri"/>
                <w:lang w:eastAsia="en-US"/>
              </w:rPr>
            </w:pPr>
            <w:r>
              <w:rPr>
                <w:rFonts w:eastAsia="Calibri"/>
                <w:lang w:eastAsia="en-US"/>
              </w:rPr>
              <w:t>1</w:t>
            </w:r>
            <w:r w:rsidR="00DD253E">
              <w:rPr>
                <w:rFonts w:eastAsia="Calibri"/>
                <w:lang w:eastAsia="en-US"/>
              </w:rPr>
              <w:t>9</w:t>
            </w:r>
            <w:r>
              <w:rPr>
                <w:rFonts w:eastAsia="Calibri"/>
                <w:lang w:eastAsia="en-US"/>
              </w:rPr>
              <w:t>.</w:t>
            </w:r>
            <w:r w:rsidR="00DD253E">
              <w:rPr>
                <w:rFonts w:eastAsia="Calibri"/>
                <w:lang w:eastAsia="en-US"/>
              </w:rPr>
              <w:t> </w:t>
            </w:r>
            <w:r>
              <w:rPr>
                <w:rFonts w:eastAsia="Calibri"/>
                <w:lang w:eastAsia="en-US"/>
              </w:rPr>
              <w:t xml:space="preserve">Noteikumu projekts paredz </w:t>
            </w:r>
            <w:r>
              <w:t xml:space="preserve"> </w:t>
            </w:r>
            <w:r w:rsidRPr="0064386B">
              <w:rPr>
                <w:rFonts w:eastAsia="Calibri"/>
                <w:lang w:eastAsia="en-US"/>
              </w:rPr>
              <w:t>svītrot 2.0.grupas kodu 12.3.9.</w:t>
            </w:r>
            <w:r>
              <w:rPr>
                <w:rFonts w:eastAsia="Calibri"/>
                <w:lang w:eastAsia="en-US"/>
              </w:rPr>
              <w:t xml:space="preserve">2. </w:t>
            </w:r>
            <w:r w:rsidRPr="0064386B">
              <w:rPr>
                <w:rFonts w:eastAsia="Calibri"/>
                <w:lang w:eastAsia="en-US"/>
              </w:rPr>
              <w:t>„</w:t>
            </w:r>
            <w:r>
              <w:rPr>
                <w:rFonts w:eastAsia="Calibri"/>
                <w:lang w:eastAsia="en-US"/>
              </w:rPr>
              <w:t>Maksājumi par konkursa vai izsoles nolikumu”</w:t>
            </w:r>
            <w:r w:rsidR="005B31E5">
              <w:rPr>
                <w:rFonts w:eastAsia="Calibri"/>
                <w:lang w:eastAsia="en-US"/>
              </w:rPr>
              <w:t>.</w:t>
            </w:r>
            <w:r>
              <w:rPr>
                <w:rFonts w:eastAsia="Calibri"/>
                <w:lang w:eastAsia="en-US"/>
              </w:rPr>
              <w:t xml:space="preserve"> Attiecīgi </w:t>
            </w:r>
            <w:r w:rsidR="0045346B">
              <w:rPr>
                <w:rFonts w:eastAsia="Calibri"/>
                <w:lang w:eastAsia="en-US"/>
              </w:rPr>
              <w:t>Publisko iepirkumu likuma 30.pantā ir noteikts, ka i</w:t>
            </w:r>
            <w:r w:rsidR="0045346B" w:rsidRPr="0045346B">
              <w:rPr>
                <w:rFonts w:eastAsia="Calibri"/>
                <w:lang w:eastAsia="en-US"/>
              </w:rPr>
              <w:t>epirkuma procedūras dokumenti ir pieejami brīvi un bez maksas. Ja ieinteresētais piegādātājs vēlas saņemt iepirkuma procedūras dokumentus drukātā veidā, pasūtītājs var pieprasīt samaksu, kas nepārsniedz dokumentu pavairošanas un nosūtīšanas faktiskos izdevumus.</w:t>
            </w:r>
            <w:r>
              <w:rPr>
                <w:rFonts w:eastAsia="Calibri"/>
                <w:lang w:eastAsia="en-US"/>
              </w:rPr>
              <w:t xml:space="preserve">   </w:t>
            </w:r>
          </w:p>
          <w:p w14:paraId="16AC0386" w14:textId="250F86CC" w:rsidR="004D0297" w:rsidRDefault="00DD253E" w:rsidP="00966FA0">
            <w:pPr>
              <w:spacing w:after="120"/>
              <w:ind w:left="113" w:right="142" w:firstLine="425"/>
              <w:jc w:val="both"/>
              <w:rPr>
                <w:rFonts w:eastAsia="Calibri"/>
                <w:u w:val="single"/>
                <w:lang w:eastAsia="en-US"/>
              </w:rPr>
            </w:pPr>
            <w:r>
              <w:rPr>
                <w:rFonts w:eastAsia="Calibri"/>
                <w:lang w:eastAsia="en-US"/>
              </w:rPr>
              <w:t>20</w:t>
            </w:r>
            <w:r w:rsidR="005A7DAE" w:rsidRPr="005A7DAE">
              <w:rPr>
                <w:rFonts w:eastAsia="Calibri"/>
                <w:lang w:eastAsia="en-US"/>
              </w:rPr>
              <w:t>.</w:t>
            </w:r>
            <w:r>
              <w:rPr>
                <w:rFonts w:eastAsia="Calibri"/>
                <w:lang w:eastAsia="en-US"/>
              </w:rPr>
              <w:t> </w:t>
            </w:r>
            <w:r w:rsidR="005A7DAE" w:rsidRPr="005A7DAE">
              <w:rPr>
                <w:rFonts w:eastAsia="Calibri"/>
                <w:lang w:eastAsia="en-US"/>
              </w:rPr>
              <w:t>Noteikumu projekt</w:t>
            </w:r>
            <w:r w:rsidR="005A7DAE">
              <w:rPr>
                <w:rFonts w:eastAsia="Calibri"/>
                <w:lang w:eastAsia="en-US"/>
              </w:rPr>
              <w:t xml:space="preserve">s paredz svītrot 2.0.grupas koda 13.3.0.0. </w:t>
            </w:r>
            <w:r w:rsidR="00EB431E" w:rsidRPr="00EB431E">
              <w:rPr>
                <w:rFonts w:eastAsia="Calibri"/>
                <w:lang w:eastAsia="en-US"/>
              </w:rPr>
              <w:t>„</w:t>
            </w:r>
            <w:r w:rsidR="00D344EE">
              <w:rPr>
                <w:rFonts w:eastAsia="Calibri"/>
                <w:lang w:eastAsia="en-US"/>
              </w:rPr>
              <w:t>I</w:t>
            </w:r>
            <w:r w:rsidR="005A7DAE">
              <w:rPr>
                <w:rFonts w:eastAsia="Calibri"/>
                <w:lang w:eastAsia="en-US"/>
              </w:rPr>
              <w:t xml:space="preserve">eņēmumi no nodokļu pamatparāda kapitalizācijas” apakškodus 13.3.1.0., 13.3.2.0. un 13.3.3.0. </w:t>
            </w:r>
            <w:r w:rsidR="005A7DAE" w:rsidRPr="005A7DAE">
              <w:rPr>
                <w:rFonts w:eastAsia="Calibri"/>
                <w:lang w:eastAsia="en-US"/>
              </w:rPr>
              <w:t xml:space="preserve"> </w:t>
            </w:r>
            <w:r w:rsidR="00294DB4">
              <w:rPr>
                <w:rFonts w:eastAsia="Calibri"/>
                <w:lang w:eastAsia="en-US"/>
              </w:rPr>
              <w:t>M</w:t>
            </w:r>
            <w:r w:rsidR="005A7DAE" w:rsidRPr="005A7DAE">
              <w:rPr>
                <w:rFonts w:eastAsia="Calibri"/>
                <w:lang w:eastAsia="en-US"/>
              </w:rPr>
              <w:t xml:space="preserve">inētie kodi salīdzinoši reti tiek piemēroti </w:t>
            </w:r>
            <w:r w:rsidR="00294DB4">
              <w:rPr>
                <w:rFonts w:eastAsia="Calibri"/>
                <w:lang w:eastAsia="en-US"/>
              </w:rPr>
              <w:t xml:space="preserve">(piemēram, 2015.gadā </w:t>
            </w:r>
            <w:r w:rsidR="005B31E5">
              <w:t xml:space="preserve"> </w:t>
            </w:r>
            <w:r w:rsidR="005B31E5" w:rsidRPr="005B31E5">
              <w:rPr>
                <w:rFonts w:eastAsia="Calibri"/>
                <w:lang w:eastAsia="en-US"/>
              </w:rPr>
              <w:t xml:space="preserve">valsts budžeta izpildē </w:t>
            </w:r>
            <w:r w:rsidR="00294DB4">
              <w:rPr>
                <w:rFonts w:eastAsia="Calibri"/>
                <w:lang w:eastAsia="en-US"/>
              </w:rPr>
              <w:t>no minētajiem kodiem ticis izmantots 3 reizes tikai ieņēmumu kods 13.3.1.0.</w:t>
            </w:r>
            <w:r w:rsidR="00894168">
              <w:rPr>
                <w:rFonts w:eastAsia="Calibri"/>
                <w:lang w:eastAsia="en-US"/>
              </w:rPr>
              <w:t>, pārējie divi kodi netika izmantoti</w:t>
            </w:r>
            <w:r w:rsidR="005B31E5">
              <w:t xml:space="preserve">, </w:t>
            </w:r>
            <w:r w:rsidR="005B31E5" w:rsidRPr="005B31E5">
              <w:rPr>
                <w:rFonts w:eastAsia="Calibri"/>
                <w:lang w:eastAsia="en-US"/>
              </w:rPr>
              <w:t>savukārt</w:t>
            </w:r>
            <w:r w:rsidR="005B31E5">
              <w:rPr>
                <w:rFonts w:eastAsia="Calibri"/>
                <w:lang w:eastAsia="en-US"/>
              </w:rPr>
              <w:t>,</w:t>
            </w:r>
            <w:r w:rsidR="005B31E5" w:rsidRPr="005B31E5">
              <w:rPr>
                <w:rFonts w:eastAsia="Calibri"/>
                <w:lang w:eastAsia="en-US"/>
              </w:rPr>
              <w:t xml:space="preserve"> pašvaldību budžeta izpildē netika izmantots neviens no apakškodiem</w:t>
            </w:r>
            <w:r w:rsidR="00294DB4">
              <w:rPr>
                <w:rFonts w:eastAsia="Calibri"/>
                <w:lang w:eastAsia="en-US"/>
              </w:rPr>
              <w:t xml:space="preserve">). </w:t>
            </w:r>
            <w:r w:rsidR="00294DB4">
              <w:t>P</w:t>
            </w:r>
            <w:r w:rsidR="00294DB4" w:rsidRPr="00294DB4">
              <w:rPr>
                <w:rFonts w:eastAsia="Calibri"/>
                <w:lang w:eastAsia="en-US"/>
              </w:rPr>
              <w:t xml:space="preserve">ēc grozījumu veikšanas </w:t>
            </w:r>
            <w:r w:rsidR="00EB431E">
              <w:rPr>
                <w:rFonts w:eastAsia="Calibri"/>
                <w:lang w:eastAsia="en-US"/>
              </w:rPr>
              <w:t xml:space="preserve">ieņēmumu </w:t>
            </w:r>
            <w:r w:rsidR="00294DB4" w:rsidRPr="00294DB4">
              <w:rPr>
                <w:rFonts w:eastAsia="Calibri"/>
                <w:lang w:eastAsia="en-US"/>
              </w:rPr>
              <w:t xml:space="preserve">klasifikācijā </w:t>
            </w:r>
            <w:r w:rsidR="00294DB4">
              <w:rPr>
                <w:rFonts w:eastAsia="Calibri"/>
                <w:lang w:eastAsia="en-US"/>
              </w:rPr>
              <w:t xml:space="preserve">turpmāk </w:t>
            </w:r>
            <w:r w:rsidR="000F0A87">
              <w:rPr>
                <w:rFonts w:eastAsia="Calibri"/>
                <w:lang w:eastAsia="en-US"/>
              </w:rPr>
              <w:t xml:space="preserve">šāda veida ieņēmumiem </w:t>
            </w:r>
            <w:r w:rsidR="00294DB4" w:rsidRPr="00294DB4">
              <w:rPr>
                <w:rFonts w:eastAsia="Calibri"/>
                <w:lang w:eastAsia="en-US"/>
              </w:rPr>
              <w:t xml:space="preserve">piemērojams </w:t>
            </w:r>
            <w:r w:rsidR="00294DB4">
              <w:rPr>
                <w:rFonts w:eastAsia="Calibri"/>
                <w:lang w:eastAsia="en-US"/>
              </w:rPr>
              <w:t xml:space="preserve">augstāka līmeņa </w:t>
            </w:r>
            <w:r w:rsidR="00294DB4" w:rsidRPr="00294DB4">
              <w:rPr>
                <w:rFonts w:eastAsia="Calibri"/>
                <w:lang w:eastAsia="en-US"/>
              </w:rPr>
              <w:t>ieņēmumu</w:t>
            </w:r>
            <w:r w:rsidR="00ED66B3">
              <w:rPr>
                <w:rFonts w:eastAsia="Calibri"/>
                <w:lang w:eastAsia="en-US"/>
              </w:rPr>
              <w:t xml:space="preserve"> klasifikācijas </w:t>
            </w:r>
            <w:r w:rsidR="00294DB4" w:rsidRPr="00294DB4">
              <w:rPr>
                <w:rFonts w:eastAsia="Calibri"/>
                <w:lang w:eastAsia="en-US"/>
              </w:rPr>
              <w:t>kods</w:t>
            </w:r>
            <w:r w:rsidR="00294DB4">
              <w:rPr>
                <w:rFonts w:eastAsia="Calibri"/>
                <w:lang w:eastAsia="en-US"/>
              </w:rPr>
              <w:t xml:space="preserve"> </w:t>
            </w:r>
            <w:r w:rsidR="00294DB4" w:rsidRPr="00294DB4">
              <w:rPr>
                <w:rFonts w:eastAsia="Calibri"/>
                <w:lang w:eastAsia="en-US"/>
              </w:rPr>
              <w:t>13.3.0.</w:t>
            </w:r>
            <w:r w:rsidR="00294DB4" w:rsidRPr="00DD253E">
              <w:rPr>
                <w:rFonts w:eastAsia="Calibri"/>
                <w:lang w:eastAsia="en-US"/>
              </w:rPr>
              <w:t>0</w:t>
            </w:r>
            <w:r w:rsidR="00361E18" w:rsidRPr="00DD253E">
              <w:rPr>
                <w:rFonts w:eastAsia="Calibri"/>
                <w:lang w:eastAsia="en-US"/>
              </w:rPr>
              <w:t>.</w:t>
            </w:r>
            <w:r w:rsidR="00894168" w:rsidRPr="00560603">
              <w:rPr>
                <w:rFonts w:eastAsia="Calibri"/>
                <w:u w:val="single"/>
                <w:lang w:eastAsia="en-US"/>
              </w:rPr>
              <w:t xml:space="preserve"> </w:t>
            </w:r>
          </w:p>
          <w:p w14:paraId="1490D8BD" w14:textId="77777777" w:rsidR="002434E5" w:rsidRDefault="00DD253E" w:rsidP="00966FA0">
            <w:pPr>
              <w:spacing w:after="120"/>
              <w:ind w:left="113" w:right="142" w:firstLine="425"/>
              <w:jc w:val="both"/>
              <w:rPr>
                <w:rFonts w:eastAsia="Calibri"/>
                <w:lang w:eastAsia="en-US"/>
              </w:rPr>
            </w:pPr>
            <w:r>
              <w:rPr>
                <w:rFonts w:eastAsia="Calibri"/>
                <w:lang w:eastAsia="en-US"/>
              </w:rPr>
              <w:t>21</w:t>
            </w:r>
            <w:r w:rsidR="00ED66B3" w:rsidRPr="00091ADE">
              <w:rPr>
                <w:rFonts w:eastAsia="Calibri"/>
                <w:lang w:eastAsia="en-US"/>
              </w:rPr>
              <w:t>. </w:t>
            </w:r>
            <w:r w:rsidR="005B31E5" w:rsidRPr="00091ADE">
              <w:rPr>
                <w:rFonts w:eastAsia="Calibri"/>
                <w:lang w:eastAsia="en-US"/>
              </w:rPr>
              <w:t xml:space="preserve">Noteikumu projekts paredz precizēt </w:t>
            </w:r>
            <w:r w:rsidR="00ED66B3" w:rsidRPr="00091ADE">
              <w:rPr>
                <w:rFonts w:eastAsia="Calibri"/>
                <w:lang w:eastAsia="en-US"/>
              </w:rPr>
              <w:t xml:space="preserve">5.0.grupas </w:t>
            </w:r>
            <w:r w:rsidR="005B31E5" w:rsidRPr="00091ADE">
              <w:rPr>
                <w:rFonts w:eastAsia="Calibri"/>
                <w:lang w:eastAsia="en-US"/>
              </w:rPr>
              <w:t xml:space="preserve">kodu 19.3.0.0., jo spēkā esošā noteikumu redakcija nosaka, ka </w:t>
            </w:r>
            <w:r w:rsidR="00ED66B3" w:rsidRPr="00091ADE">
              <w:rPr>
                <w:rFonts w:eastAsia="Calibri"/>
                <w:lang w:eastAsia="en-US"/>
              </w:rPr>
              <w:t xml:space="preserve">ieņēmumu </w:t>
            </w:r>
            <w:r w:rsidR="005C49E2" w:rsidRPr="00091ADE">
              <w:rPr>
                <w:rFonts w:eastAsia="Calibri"/>
                <w:lang w:eastAsia="en-US"/>
              </w:rPr>
              <w:t xml:space="preserve">klasifikācijas </w:t>
            </w:r>
            <w:r w:rsidR="005B31E5" w:rsidRPr="00091ADE">
              <w:rPr>
                <w:rFonts w:eastAsia="Calibri"/>
                <w:lang w:eastAsia="en-US"/>
              </w:rPr>
              <w:t xml:space="preserve">kodā </w:t>
            </w:r>
            <w:r w:rsidR="005B31E5" w:rsidRPr="00091ADE">
              <w:rPr>
                <w:rFonts w:eastAsia="Calibri"/>
                <w:lang w:eastAsia="en-US"/>
              </w:rPr>
              <w:lastRenderedPageBreak/>
              <w:t xml:space="preserve">19.3.0.0. uzrāda  pašvaldību iestāžu saņemtos transfertus no augstākas iestādes, taču arī pašvaldības iestādes veic transferta maksājumus uz savu pašvaldību vai savas pašvaldības iestādēm, bet šādiem </w:t>
            </w:r>
            <w:r w:rsidR="00ED66B3" w:rsidRPr="00091ADE">
              <w:rPr>
                <w:rFonts w:eastAsia="Calibri"/>
                <w:lang w:eastAsia="en-US"/>
              </w:rPr>
              <w:t>ieņēmumiem</w:t>
            </w:r>
            <w:r w:rsidR="005B31E5" w:rsidRPr="00091ADE">
              <w:rPr>
                <w:rFonts w:eastAsia="Calibri"/>
                <w:lang w:eastAsia="en-US"/>
              </w:rPr>
              <w:t xml:space="preserve"> klasifikācijas kods nav paredzēts.</w:t>
            </w:r>
          </w:p>
          <w:p w14:paraId="2241FFC6" w14:textId="253FF130" w:rsidR="002434E5" w:rsidRDefault="002434E5" w:rsidP="00966FA0">
            <w:pPr>
              <w:spacing w:after="120"/>
              <w:ind w:left="113" w:right="142" w:firstLine="425"/>
              <w:jc w:val="both"/>
              <w:rPr>
                <w:rFonts w:eastAsia="Calibri"/>
                <w:lang w:eastAsia="en-US"/>
              </w:rPr>
            </w:pPr>
            <w:r>
              <w:rPr>
                <w:rFonts w:eastAsia="Calibri"/>
                <w:lang w:eastAsia="en-US"/>
              </w:rPr>
              <w:t xml:space="preserve">22. Noteikumu </w:t>
            </w:r>
            <w:r w:rsidRPr="002434E5">
              <w:rPr>
                <w:rFonts w:eastAsia="Calibri"/>
                <w:lang w:eastAsia="en-US"/>
              </w:rPr>
              <w:t>projekts paredz</w:t>
            </w:r>
            <w:r>
              <w:rPr>
                <w:rFonts w:eastAsia="Calibri"/>
                <w:lang w:eastAsia="en-US"/>
              </w:rPr>
              <w:t xml:space="preserve"> s</w:t>
            </w:r>
            <w:r w:rsidRPr="002434E5">
              <w:rPr>
                <w:rFonts w:eastAsia="Calibri"/>
                <w:lang w:eastAsia="en-US"/>
              </w:rPr>
              <w:t xml:space="preserve">vītrot </w:t>
            </w:r>
            <w:r w:rsidR="00DB6676">
              <w:rPr>
                <w:rFonts w:eastAsia="Calibri"/>
                <w:lang w:eastAsia="en-US"/>
              </w:rPr>
              <w:t xml:space="preserve">4.1.apakšgrupas </w:t>
            </w:r>
            <w:r w:rsidRPr="002434E5">
              <w:rPr>
                <w:rFonts w:eastAsia="Calibri"/>
                <w:lang w:eastAsia="en-US"/>
              </w:rPr>
              <w:t>kodu 20.3.3.0. „Ieņēmumi no Eiropas Lauksaimniecības virzības un garantiju fonda Virzības daļas”, jo tas ir 2004.-2006.gada fonds un par to ir saņemts jau arī noslēguma maksājums, līdz ar to ieņēmumi vairs nav plānoti</w:t>
            </w:r>
            <w:r>
              <w:rPr>
                <w:rFonts w:eastAsia="Calibri"/>
                <w:lang w:eastAsia="en-US"/>
              </w:rPr>
              <w:t>.</w:t>
            </w:r>
          </w:p>
          <w:p w14:paraId="658B15DF" w14:textId="2E43E073" w:rsidR="002434E5" w:rsidRDefault="00DB6676" w:rsidP="00DB6676">
            <w:pPr>
              <w:spacing w:after="120"/>
              <w:ind w:left="113" w:right="142" w:firstLine="425"/>
              <w:jc w:val="both"/>
              <w:rPr>
                <w:rFonts w:eastAsia="Calibri"/>
                <w:lang w:eastAsia="en-US"/>
              </w:rPr>
            </w:pPr>
            <w:r>
              <w:rPr>
                <w:rFonts w:eastAsia="Calibri"/>
                <w:lang w:eastAsia="en-US"/>
              </w:rPr>
              <w:t>23.</w:t>
            </w:r>
            <w:r>
              <w:t xml:space="preserve"> </w:t>
            </w:r>
            <w:r w:rsidRPr="00DB6676">
              <w:rPr>
                <w:rFonts w:eastAsia="Calibri"/>
                <w:lang w:eastAsia="en-US"/>
              </w:rPr>
              <w:t xml:space="preserve">Noteikumu projekts paredz </w:t>
            </w:r>
            <w:r>
              <w:rPr>
                <w:rFonts w:eastAsia="Calibri"/>
                <w:lang w:eastAsia="en-US"/>
              </w:rPr>
              <w:t xml:space="preserve">precizēt </w:t>
            </w:r>
            <w:r w:rsidRPr="00DB6676">
              <w:rPr>
                <w:rFonts w:eastAsia="Calibri"/>
                <w:lang w:eastAsia="en-US"/>
              </w:rPr>
              <w:t>4.1.apakšgrupas kod</w:t>
            </w:r>
            <w:r>
              <w:rPr>
                <w:rFonts w:eastAsia="Calibri"/>
                <w:lang w:eastAsia="en-US"/>
              </w:rPr>
              <w:t>a</w:t>
            </w:r>
            <w:r w:rsidRPr="00DB6676">
              <w:rPr>
                <w:rFonts w:eastAsia="Calibri"/>
                <w:lang w:eastAsia="en-US"/>
              </w:rPr>
              <w:t xml:space="preserve"> 20.5.2.0. </w:t>
            </w:r>
            <w:r w:rsidR="00EB0487" w:rsidRPr="00EB0487">
              <w:rPr>
                <w:rFonts w:eastAsia="Calibri"/>
                <w:lang w:eastAsia="en-US"/>
              </w:rPr>
              <w:t>„</w:t>
            </w:r>
            <w:r w:rsidRPr="00DB6676">
              <w:rPr>
                <w:rFonts w:eastAsia="Calibri"/>
                <w:lang w:eastAsia="en-US"/>
              </w:rPr>
              <w:t>Ieņēmumi no Eiropas Lauksaimniecības garantiju fonda” skaidrojumu</w:t>
            </w:r>
            <w:r>
              <w:rPr>
                <w:rFonts w:eastAsia="Calibri"/>
                <w:lang w:eastAsia="en-US"/>
              </w:rPr>
              <w:t>,</w:t>
            </w:r>
            <w:r>
              <w:t xml:space="preserve"> </w:t>
            </w:r>
            <w:r w:rsidRPr="00DB6676">
              <w:rPr>
                <w:rFonts w:eastAsia="Calibri"/>
                <w:lang w:eastAsia="en-US"/>
              </w:rPr>
              <w:t xml:space="preserve">nosakot, ka uz šo kodu attiecina </w:t>
            </w:r>
            <w:r>
              <w:rPr>
                <w:rFonts w:eastAsia="Calibri"/>
                <w:lang w:eastAsia="en-US"/>
              </w:rPr>
              <w:t xml:space="preserve">arī </w:t>
            </w:r>
            <w:r w:rsidRPr="00DB6676">
              <w:rPr>
                <w:rFonts w:eastAsia="Calibri"/>
                <w:lang w:eastAsia="en-US"/>
              </w:rPr>
              <w:t>ieņēmumus</w:t>
            </w:r>
            <w:r>
              <w:rPr>
                <w:rFonts w:eastAsia="Calibri"/>
                <w:lang w:eastAsia="en-US"/>
              </w:rPr>
              <w:t xml:space="preserve"> </w:t>
            </w:r>
            <w:r w:rsidRPr="00DB6676">
              <w:rPr>
                <w:rFonts w:eastAsia="Calibri"/>
                <w:lang w:eastAsia="en-US"/>
              </w:rPr>
              <w:t>no Eiropas Lauksaimniecības garantiju fonda 2014.–2020. gada finanšu plānošanas period</w:t>
            </w:r>
            <w:r w:rsidR="00680E17">
              <w:rPr>
                <w:rFonts w:eastAsia="Calibri"/>
                <w:lang w:eastAsia="en-US"/>
              </w:rPr>
              <w:t>ā.</w:t>
            </w:r>
          </w:p>
          <w:p w14:paraId="644A80DE" w14:textId="5C5895C3" w:rsidR="00294DB4" w:rsidRDefault="00BC76D1" w:rsidP="00966FA0">
            <w:pPr>
              <w:spacing w:after="120"/>
              <w:ind w:left="113" w:right="142" w:firstLine="425"/>
              <w:jc w:val="both"/>
              <w:rPr>
                <w:rFonts w:eastAsia="Calibri"/>
                <w:lang w:eastAsia="en-US"/>
              </w:rPr>
            </w:pPr>
            <w:r>
              <w:rPr>
                <w:rFonts w:eastAsia="Calibri"/>
                <w:lang w:eastAsia="en-US"/>
              </w:rPr>
              <w:t>2</w:t>
            </w:r>
            <w:r w:rsidR="00DB6676">
              <w:rPr>
                <w:rFonts w:eastAsia="Calibri"/>
                <w:lang w:eastAsia="en-US"/>
              </w:rPr>
              <w:t>4</w:t>
            </w:r>
            <w:r w:rsidR="004D0297">
              <w:rPr>
                <w:rFonts w:eastAsia="Calibri"/>
                <w:lang w:eastAsia="en-US"/>
              </w:rPr>
              <w:t>.</w:t>
            </w:r>
            <w:r w:rsidR="00B657BD">
              <w:rPr>
                <w:rFonts w:eastAsia="Calibri"/>
                <w:lang w:eastAsia="en-US"/>
              </w:rPr>
              <w:t> </w:t>
            </w:r>
            <w:r w:rsidR="004D0297" w:rsidRPr="004D0297">
              <w:rPr>
                <w:rFonts w:eastAsia="Calibri"/>
                <w:lang w:eastAsia="en-US"/>
              </w:rPr>
              <w:t>Noteikumu projekts paredz svītrot 4.</w:t>
            </w:r>
            <w:r w:rsidR="00B657BD">
              <w:rPr>
                <w:rFonts w:eastAsia="Calibri"/>
                <w:lang w:eastAsia="en-US"/>
              </w:rPr>
              <w:t>1</w:t>
            </w:r>
            <w:r w:rsidR="004D0297" w:rsidRPr="004D0297">
              <w:rPr>
                <w:rFonts w:eastAsia="Calibri"/>
                <w:lang w:eastAsia="en-US"/>
              </w:rPr>
              <w:t>.apakšgrupas kodu</w:t>
            </w:r>
            <w:r w:rsidR="00B657BD">
              <w:rPr>
                <w:rFonts w:eastAsia="Calibri"/>
                <w:lang w:eastAsia="en-US"/>
              </w:rPr>
              <w:t xml:space="preserve"> 20.6.5.0. </w:t>
            </w:r>
            <w:r w:rsidR="00B657BD" w:rsidRPr="00B657BD">
              <w:rPr>
                <w:rFonts w:eastAsia="Calibri"/>
                <w:lang w:eastAsia="en-US"/>
              </w:rPr>
              <w:t>„</w:t>
            </w:r>
            <w:r w:rsidR="00B657BD">
              <w:rPr>
                <w:rFonts w:eastAsia="Calibri"/>
                <w:lang w:eastAsia="en-US"/>
              </w:rPr>
              <w:t xml:space="preserve">Ieņēmumi no Eiropas Komisijas par Latvijas valsts programmas </w:t>
            </w:r>
            <w:r w:rsidR="00B657BD" w:rsidRPr="00B657BD">
              <w:rPr>
                <w:rFonts w:eastAsia="Calibri"/>
                <w:lang w:eastAsia="en-US"/>
              </w:rPr>
              <w:t>„</w:t>
            </w:r>
            <w:r w:rsidR="00B657BD" w:rsidRPr="006D3457">
              <w:rPr>
                <w:rFonts w:eastAsia="Calibri"/>
                <w:i/>
                <w:lang w:eastAsia="en-US"/>
              </w:rPr>
              <w:t>Forest Focus</w:t>
            </w:r>
            <w:r w:rsidR="00B657BD">
              <w:rPr>
                <w:rFonts w:eastAsia="Calibri"/>
                <w:lang w:eastAsia="en-US"/>
              </w:rPr>
              <w:t>”</w:t>
            </w:r>
            <w:r w:rsidR="004D0297" w:rsidRPr="004D0297">
              <w:rPr>
                <w:rFonts w:eastAsia="Calibri"/>
                <w:lang w:eastAsia="en-US"/>
              </w:rPr>
              <w:t xml:space="preserve"> </w:t>
            </w:r>
            <w:r w:rsidR="00B657BD">
              <w:rPr>
                <w:rFonts w:eastAsia="Calibri"/>
                <w:lang w:eastAsia="en-US"/>
              </w:rPr>
              <w:t>īstenošanu</w:t>
            </w:r>
            <w:r w:rsidR="00B657BD" w:rsidRPr="00B657BD">
              <w:rPr>
                <w:rFonts w:eastAsia="Calibri"/>
                <w:lang w:eastAsia="en-US"/>
              </w:rPr>
              <w:t>”</w:t>
            </w:r>
            <w:r w:rsidR="00B657BD">
              <w:rPr>
                <w:rFonts w:eastAsia="Calibri"/>
                <w:lang w:eastAsia="en-US"/>
              </w:rPr>
              <w:t xml:space="preserve">, jo valsts budžetā </w:t>
            </w:r>
            <w:r w:rsidR="00713EE5">
              <w:rPr>
                <w:rFonts w:eastAsia="Calibri"/>
                <w:lang w:eastAsia="en-US"/>
              </w:rPr>
              <w:t xml:space="preserve">turpmāk </w:t>
            </w:r>
            <w:r w:rsidR="00B657BD">
              <w:rPr>
                <w:rFonts w:eastAsia="Calibri"/>
                <w:lang w:eastAsia="en-US"/>
              </w:rPr>
              <w:t xml:space="preserve">nav paredzami </w:t>
            </w:r>
            <w:r w:rsidR="0050281A">
              <w:rPr>
                <w:rFonts w:eastAsia="Calibri"/>
                <w:lang w:eastAsia="en-US"/>
              </w:rPr>
              <w:t xml:space="preserve"> ieņēmumi </w:t>
            </w:r>
            <w:r w:rsidR="00B657BD">
              <w:rPr>
                <w:rFonts w:eastAsia="Calibri"/>
                <w:lang w:eastAsia="en-US"/>
              </w:rPr>
              <w:t>no minētās programmas</w:t>
            </w:r>
            <w:r w:rsidR="00713EE5">
              <w:rPr>
                <w:rFonts w:eastAsia="Calibri"/>
                <w:lang w:eastAsia="en-US"/>
              </w:rPr>
              <w:t xml:space="preserve"> saistībā ar to, ka šo programmu aizstāj </w:t>
            </w:r>
            <w:r w:rsidR="00713EE5" w:rsidRPr="00713EE5">
              <w:rPr>
                <w:rFonts w:eastAsia="Calibri"/>
                <w:lang w:eastAsia="en-US"/>
              </w:rPr>
              <w:t>vides finanšu instrument</w:t>
            </w:r>
            <w:r w:rsidR="00713EE5">
              <w:rPr>
                <w:rFonts w:eastAsia="Calibri"/>
                <w:lang w:eastAsia="en-US"/>
              </w:rPr>
              <w:t>s</w:t>
            </w:r>
            <w:r w:rsidR="00713EE5" w:rsidRPr="00713EE5">
              <w:rPr>
                <w:rFonts w:eastAsia="Calibri"/>
                <w:lang w:eastAsia="en-US"/>
              </w:rPr>
              <w:t xml:space="preserve"> (LIFE +)</w:t>
            </w:r>
            <w:r w:rsidR="00713EE5">
              <w:rPr>
                <w:rFonts w:eastAsia="Calibri"/>
                <w:lang w:eastAsia="en-US"/>
              </w:rPr>
              <w:t xml:space="preserve">, no kura saņemtie ieņēmumi tiek uzskaitīti </w:t>
            </w:r>
            <w:r w:rsidR="00ED66B3">
              <w:rPr>
                <w:rFonts w:eastAsia="Calibri"/>
                <w:lang w:eastAsia="en-US"/>
              </w:rPr>
              <w:t xml:space="preserve">ieņēmumu klasifikācijas </w:t>
            </w:r>
            <w:r w:rsidR="00713EE5">
              <w:rPr>
                <w:rFonts w:eastAsia="Calibri"/>
                <w:lang w:eastAsia="en-US"/>
              </w:rPr>
              <w:t>kodā 21.1.9.1</w:t>
            </w:r>
            <w:r w:rsidR="00B657BD">
              <w:rPr>
                <w:rFonts w:eastAsia="Calibri"/>
                <w:lang w:eastAsia="en-US"/>
              </w:rPr>
              <w:t>.</w:t>
            </w:r>
          </w:p>
          <w:p w14:paraId="4D763CD2" w14:textId="1A807B91" w:rsidR="00DB6676" w:rsidRDefault="00DB6676" w:rsidP="00966FA0">
            <w:pPr>
              <w:spacing w:after="120"/>
              <w:ind w:left="113" w:right="142" w:firstLine="425"/>
              <w:jc w:val="both"/>
              <w:rPr>
                <w:rFonts w:eastAsia="Calibri"/>
                <w:lang w:eastAsia="en-US"/>
              </w:rPr>
            </w:pPr>
            <w:r>
              <w:rPr>
                <w:rFonts w:eastAsia="Calibri"/>
                <w:lang w:eastAsia="en-US"/>
              </w:rPr>
              <w:t>25.</w:t>
            </w:r>
            <w:r w:rsidR="009B0E7A">
              <w:rPr>
                <w:rFonts w:eastAsia="Calibri"/>
                <w:lang w:eastAsia="en-US"/>
              </w:rPr>
              <w:t> </w:t>
            </w:r>
            <w:r w:rsidRPr="00DB6676">
              <w:rPr>
                <w:rFonts w:eastAsia="Calibri"/>
                <w:lang w:eastAsia="en-US"/>
              </w:rPr>
              <w:t>Noteikumu projekts paredz svītrot 4.1.apakšgrupas</w:t>
            </w:r>
            <w:r>
              <w:rPr>
                <w:rFonts w:eastAsia="Calibri"/>
                <w:lang w:eastAsia="en-US"/>
              </w:rPr>
              <w:t xml:space="preserve"> kodu 20.6.6.0. </w:t>
            </w:r>
            <w:r w:rsidR="00EB0487" w:rsidRPr="00EB0487">
              <w:rPr>
                <w:rFonts w:eastAsia="Calibri"/>
                <w:lang w:eastAsia="en-US"/>
              </w:rPr>
              <w:t>„</w:t>
            </w:r>
            <w:r w:rsidR="009B0E7A" w:rsidRPr="009B0E7A">
              <w:rPr>
                <w:rFonts w:eastAsia="Calibri"/>
                <w:lang w:eastAsia="en-US"/>
              </w:rPr>
              <w:t>Ieņēmumi no Eiropas Savienības par Latvijas Nacionālās zivsaimniecības datu vākšanas programmas īstenošanu”, jo no 2014.gada šis pasākums vairs nav kā atsevišķa programma, bet ir iekļauts Eiropas Jūrlietu un zivsaimniecības fondā kā viens no atbalsta pasākumiem</w:t>
            </w:r>
            <w:r w:rsidR="009B0E7A">
              <w:rPr>
                <w:rFonts w:eastAsia="Calibri"/>
                <w:lang w:eastAsia="en-US"/>
              </w:rPr>
              <w:t xml:space="preserve"> (piemērojams kods 20.5.5.0)</w:t>
            </w:r>
            <w:r w:rsidR="009B0E7A" w:rsidRPr="009B0E7A">
              <w:rPr>
                <w:rFonts w:eastAsia="Calibri"/>
                <w:lang w:eastAsia="en-US"/>
              </w:rPr>
              <w:t>.</w:t>
            </w:r>
          </w:p>
          <w:p w14:paraId="4C7E1778" w14:textId="0636CA81" w:rsidR="009C09C1" w:rsidRPr="00E341CF" w:rsidRDefault="00294DB4" w:rsidP="009B0E7A">
            <w:pPr>
              <w:spacing w:after="120"/>
              <w:ind w:left="113" w:right="142" w:firstLine="425"/>
              <w:jc w:val="both"/>
              <w:rPr>
                <w:rFonts w:eastAsia="Calibri"/>
                <w:lang w:eastAsia="en-US"/>
              </w:rPr>
            </w:pPr>
            <w:r>
              <w:rPr>
                <w:rFonts w:eastAsia="Calibri"/>
                <w:lang w:eastAsia="en-US"/>
              </w:rPr>
              <w:t xml:space="preserve"> </w:t>
            </w:r>
            <w:r w:rsidR="00B9242C">
              <w:rPr>
                <w:rFonts w:eastAsia="Calibri"/>
                <w:lang w:eastAsia="en-US"/>
              </w:rPr>
              <w:t>2</w:t>
            </w:r>
            <w:r w:rsidR="009B0E7A">
              <w:rPr>
                <w:rFonts w:eastAsia="Calibri"/>
                <w:lang w:eastAsia="en-US"/>
              </w:rPr>
              <w:t>6</w:t>
            </w:r>
            <w:r w:rsidR="005A7DAE">
              <w:rPr>
                <w:rFonts w:eastAsia="Calibri"/>
                <w:lang w:eastAsia="en-US"/>
              </w:rPr>
              <w:t xml:space="preserve">. </w:t>
            </w:r>
            <w:r w:rsidR="005A7DAE" w:rsidRPr="005A7DAE">
              <w:t xml:space="preserve">Noteikumu projekts paredz </w:t>
            </w:r>
            <w:r w:rsidR="005A7DAE" w:rsidRPr="005A7DAE">
              <w:rPr>
                <w:rFonts w:eastAsia="Calibri"/>
                <w:lang w:eastAsia="en-US"/>
              </w:rPr>
              <w:t>svītrot 4.2.apakšgru</w:t>
            </w:r>
            <w:r w:rsidR="005A7DAE">
              <w:rPr>
                <w:rFonts w:eastAsia="Calibri"/>
                <w:lang w:eastAsia="en-US"/>
              </w:rPr>
              <w:t>pas kodus 21.1.7.0.</w:t>
            </w:r>
            <w:r w:rsidR="005A7DAE">
              <w:t xml:space="preserve"> </w:t>
            </w:r>
            <w:r w:rsidR="00D344EE" w:rsidRPr="00D344EE">
              <w:t>„</w:t>
            </w:r>
            <w:r w:rsidR="005A7DAE" w:rsidRPr="005A7DAE">
              <w:rPr>
                <w:rFonts w:eastAsia="Calibri"/>
                <w:lang w:eastAsia="en-US"/>
              </w:rPr>
              <w:t>Atmaksa par Eiropas Savienības fondu līdzfinansēto projektu un pasākumu ietvaros neatbilstoši veiktajiem izdevumiem iepriekšējos saimnieciskajos gados (Kohēzijas projekts, SAPARD programma)</w:t>
            </w:r>
            <w:r w:rsidR="005A7DAE">
              <w:rPr>
                <w:rFonts w:eastAsia="Calibri"/>
                <w:lang w:eastAsia="en-US"/>
              </w:rPr>
              <w:t>”</w:t>
            </w:r>
            <w:r w:rsidR="005A7DAE" w:rsidRPr="005A7DAE">
              <w:rPr>
                <w:rFonts w:eastAsia="Calibri"/>
                <w:lang w:eastAsia="en-US"/>
              </w:rPr>
              <w:t xml:space="preserve"> </w:t>
            </w:r>
            <w:r w:rsidR="005A7DAE">
              <w:rPr>
                <w:rFonts w:eastAsia="Calibri"/>
                <w:lang w:eastAsia="en-US"/>
              </w:rPr>
              <w:t xml:space="preserve"> un 21.1.8.0. </w:t>
            </w:r>
            <w:r w:rsidR="005A7DAE">
              <w:t xml:space="preserve"> </w:t>
            </w:r>
            <w:r w:rsidR="00D344EE" w:rsidRPr="00D344EE">
              <w:t>„</w:t>
            </w:r>
            <w:r w:rsidR="005A7DAE" w:rsidRPr="005A7DAE">
              <w:rPr>
                <w:rFonts w:eastAsia="Calibri"/>
                <w:lang w:eastAsia="en-US"/>
              </w:rPr>
              <w:t>Naudas sodi par Eiropas Savienības fondu līdzfinansēto projektu un pasākumu ietvaros neatbilstoši veiktajiem izdevumiem iepriekšējos saimnieciskajos gados (Kohēzijas projekts, SAPARD programma)</w:t>
            </w:r>
            <w:r w:rsidR="005A7DAE">
              <w:rPr>
                <w:rFonts w:eastAsia="Calibri"/>
                <w:lang w:eastAsia="en-US"/>
              </w:rPr>
              <w:t xml:space="preserve">”. </w:t>
            </w:r>
            <w:r>
              <w:rPr>
                <w:rFonts w:eastAsia="Calibri"/>
                <w:lang w:eastAsia="en-US"/>
              </w:rPr>
              <w:t>M</w:t>
            </w:r>
            <w:r w:rsidR="005A7DAE" w:rsidRPr="005A7DAE">
              <w:rPr>
                <w:rFonts w:eastAsia="Calibri"/>
                <w:lang w:eastAsia="en-US"/>
              </w:rPr>
              <w:t>inētie kodi</w:t>
            </w:r>
            <w:r>
              <w:rPr>
                <w:rFonts w:eastAsia="Calibri"/>
                <w:lang w:eastAsia="en-US"/>
              </w:rPr>
              <w:t>,</w:t>
            </w:r>
            <w:r w:rsidR="005A7DAE" w:rsidRPr="005A7DAE">
              <w:rPr>
                <w:rFonts w:eastAsia="Calibri"/>
                <w:lang w:eastAsia="en-US"/>
              </w:rPr>
              <w:t xml:space="preserve"> </w:t>
            </w:r>
            <w:r>
              <w:rPr>
                <w:rFonts w:eastAsia="Calibri"/>
                <w:lang w:eastAsia="en-US"/>
              </w:rPr>
              <w:t>piemēram, 2015.gadā nav tikuši izmantoti.</w:t>
            </w:r>
            <w:r w:rsidR="00ED66B3">
              <w:rPr>
                <w:rFonts w:eastAsia="Calibri"/>
                <w:lang w:eastAsia="en-US"/>
              </w:rPr>
              <w:t xml:space="preserve"> </w:t>
            </w:r>
            <w:r w:rsidR="00560603">
              <w:t>A</w:t>
            </w:r>
            <w:r w:rsidR="00560603" w:rsidRPr="00560603">
              <w:rPr>
                <w:rFonts w:eastAsia="Calibri"/>
                <w:lang w:eastAsia="en-US"/>
              </w:rPr>
              <w:t>ttiecībā uz atmaksām par neatbi</w:t>
            </w:r>
            <w:r w:rsidR="00560603">
              <w:rPr>
                <w:rFonts w:eastAsia="Calibri"/>
                <w:lang w:eastAsia="en-US"/>
              </w:rPr>
              <w:t>lstoši veiktajiem izdevumiem ārvalstu finanšu palīdzības līdzfina</w:t>
            </w:r>
            <w:r w:rsidR="00D86D25">
              <w:rPr>
                <w:rFonts w:eastAsia="Calibri"/>
                <w:lang w:eastAsia="en-US"/>
              </w:rPr>
              <w:t>n</w:t>
            </w:r>
            <w:r w:rsidR="00560603">
              <w:rPr>
                <w:rFonts w:eastAsia="Calibri"/>
                <w:lang w:eastAsia="en-US"/>
              </w:rPr>
              <w:t>sēto</w:t>
            </w:r>
            <w:r w:rsidR="00560603" w:rsidRPr="00560603">
              <w:rPr>
                <w:rFonts w:eastAsia="Calibri"/>
                <w:lang w:eastAsia="en-US"/>
              </w:rPr>
              <w:t xml:space="preserve"> projektu ietvaros tiek piemērota vienota atmaksu shēma, un šāda veida ieņēmumi iestād</w:t>
            </w:r>
            <w:r w:rsidR="00560603">
              <w:rPr>
                <w:rFonts w:eastAsia="Calibri"/>
                <w:lang w:eastAsia="en-US"/>
              </w:rPr>
              <w:t>ē</w:t>
            </w:r>
            <w:r w:rsidR="00560603" w:rsidRPr="00560603">
              <w:rPr>
                <w:rFonts w:eastAsia="Calibri"/>
                <w:lang w:eastAsia="en-US"/>
              </w:rPr>
              <w:t xml:space="preserve"> tiek saņemti </w:t>
            </w:r>
            <w:r w:rsidR="00ED66B3">
              <w:rPr>
                <w:rFonts w:eastAsia="Calibri"/>
                <w:lang w:eastAsia="en-US"/>
              </w:rPr>
              <w:t xml:space="preserve">ieņēmumu klasifikācijas </w:t>
            </w:r>
            <w:r w:rsidR="00560603" w:rsidRPr="00560603">
              <w:rPr>
                <w:rFonts w:eastAsia="Calibri"/>
                <w:lang w:eastAsia="en-US"/>
              </w:rPr>
              <w:t xml:space="preserve">kodā 21.1.9.3., bet pārskaitot tos valsts budžeta vispārējos ieņēmumos – </w:t>
            </w:r>
            <w:r w:rsidR="00560603">
              <w:rPr>
                <w:rFonts w:eastAsia="Calibri"/>
                <w:lang w:eastAsia="en-US"/>
              </w:rPr>
              <w:t xml:space="preserve">piemēro </w:t>
            </w:r>
            <w:r w:rsidR="00ED66B3">
              <w:rPr>
                <w:rFonts w:eastAsia="Calibri"/>
                <w:lang w:eastAsia="en-US"/>
              </w:rPr>
              <w:t xml:space="preserve">ieņēmumu klasifikācijas </w:t>
            </w:r>
            <w:r w:rsidR="00560603">
              <w:rPr>
                <w:rFonts w:eastAsia="Calibri"/>
                <w:lang w:eastAsia="en-US"/>
              </w:rPr>
              <w:t xml:space="preserve">kodu </w:t>
            </w:r>
            <w:r w:rsidR="00560603" w:rsidRPr="00560603">
              <w:rPr>
                <w:rFonts w:eastAsia="Calibri"/>
                <w:lang w:eastAsia="en-US"/>
              </w:rPr>
              <w:t>20.7.0.0.</w:t>
            </w:r>
            <w:r>
              <w:t xml:space="preserve"> </w:t>
            </w:r>
          </w:p>
        </w:tc>
      </w:tr>
      <w:tr w:rsidR="00E341CF" w:rsidRPr="00E341CF" w14:paraId="3913DB11" w14:textId="77777777" w:rsidTr="000B2411">
        <w:trPr>
          <w:trHeight w:val="476"/>
        </w:trPr>
        <w:tc>
          <w:tcPr>
            <w:tcW w:w="309" w:type="dxa"/>
          </w:tcPr>
          <w:p w14:paraId="560CB977" w14:textId="193EB8DD" w:rsidR="00DC689C" w:rsidRPr="00E341CF" w:rsidRDefault="00C90FFC" w:rsidP="0023237B">
            <w:pPr>
              <w:pStyle w:val="naiskr"/>
              <w:spacing w:before="0" w:after="0"/>
              <w:rPr>
                <w:sz w:val="22"/>
                <w:szCs w:val="22"/>
              </w:rPr>
            </w:pPr>
            <w:r w:rsidRPr="00E341CF">
              <w:rPr>
                <w:sz w:val="22"/>
                <w:szCs w:val="22"/>
              </w:rPr>
              <w:lastRenderedPageBreak/>
              <w:t>3</w:t>
            </w:r>
            <w:r w:rsidR="00DC689C" w:rsidRPr="00E341CF">
              <w:rPr>
                <w:sz w:val="22"/>
                <w:szCs w:val="22"/>
              </w:rPr>
              <w:t>.</w:t>
            </w:r>
          </w:p>
        </w:tc>
        <w:tc>
          <w:tcPr>
            <w:tcW w:w="1671" w:type="dxa"/>
          </w:tcPr>
          <w:p w14:paraId="4133DD2D" w14:textId="77777777" w:rsidR="00DC689C" w:rsidRPr="00E341CF" w:rsidRDefault="00DC689C" w:rsidP="0023237B">
            <w:pPr>
              <w:pStyle w:val="naiskr"/>
              <w:spacing w:before="0" w:after="0"/>
              <w:rPr>
                <w:sz w:val="22"/>
                <w:szCs w:val="22"/>
              </w:rPr>
            </w:pPr>
            <w:r w:rsidRPr="00E341CF">
              <w:rPr>
                <w:sz w:val="22"/>
                <w:szCs w:val="22"/>
              </w:rPr>
              <w:t>Projekta izstrādē iesaistītās institūcijas</w:t>
            </w:r>
          </w:p>
        </w:tc>
        <w:tc>
          <w:tcPr>
            <w:tcW w:w="7654" w:type="dxa"/>
          </w:tcPr>
          <w:p w14:paraId="7DB8E41B" w14:textId="1D70B9F8" w:rsidR="00DC689C" w:rsidRPr="00E341CF" w:rsidRDefault="004B67A7" w:rsidP="00DD253E">
            <w:pPr>
              <w:pStyle w:val="naiskr"/>
              <w:spacing w:before="0" w:after="0"/>
              <w:ind w:left="142" w:right="81"/>
              <w:jc w:val="both"/>
            </w:pPr>
            <w:r>
              <w:t>Ārlietu ministrija</w:t>
            </w:r>
            <w:r w:rsidR="00B2480B">
              <w:t>,</w:t>
            </w:r>
            <w:r>
              <w:t xml:space="preserve"> Tieslietu ministrija,</w:t>
            </w:r>
            <w:r w:rsidR="00B2480B">
              <w:t xml:space="preserve"> </w:t>
            </w:r>
            <w:r w:rsidR="00DD253E">
              <w:t xml:space="preserve">Vides aizsardzības un reģionālās attīstības ministrija, </w:t>
            </w:r>
            <w:r w:rsidR="00E638BF">
              <w:t xml:space="preserve">Zemkopības ministrija, </w:t>
            </w:r>
            <w:r w:rsidR="00DD253E">
              <w:t xml:space="preserve">Iekšlietu ministrija, </w:t>
            </w:r>
            <w:r w:rsidR="00641C65" w:rsidRPr="00E341CF">
              <w:t>Valsts ieņēmumu dienests</w:t>
            </w:r>
            <w:r w:rsidR="00F5633C" w:rsidRPr="00E341CF">
              <w:t>, Valsts kase</w:t>
            </w:r>
            <w:r w:rsidR="00B2480B">
              <w:t>.</w:t>
            </w:r>
            <w:r w:rsidR="00C62B63" w:rsidRPr="00E341CF">
              <w:rPr>
                <w:rFonts w:eastAsia="Calibri"/>
                <w:lang w:eastAsia="en-US"/>
              </w:rPr>
              <w:t xml:space="preserve"> </w:t>
            </w:r>
          </w:p>
        </w:tc>
      </w:tr>
      <w:tr w:rsidR="00E341CF" w:rsidRPr="00E341CF" w14:paraId="50642FFF" w14:textId="77777777" w:rsidTr="000B2411">
        <w:tc>
          <w:tcPr>
            <w:tcW w:w="309" w:type="dxa"/>
          </w:tcPr>
          <w:p w14:paraId="49C7ED5F" w14:textId="77777777" w:rsidR="00DC689C" w:rsidRPr="00E341CF" w:rsidRDefault="00C90FFC" w:rsidP="0023237B">
            <w:pPr>
              <w:pStyle w:val="naiskr"/>
              <w:spacing w:before="0" w:after="0"/>
              <w:rPr>
                <w:sz w:val="22"/>
                <w:szCs w:val="22"/>
              </w:rPr>
            </w:pPr>
            <w:r w:rsidRPr="00E341CF">
              <w:rPr>
                <w:sz w:val="22"/>
                <w:szCs w:val="22"/>
              </w:rPr>
              <w:t>4</w:t>
            </w:r>
            <w:r w:rsidR="00DC689C" w:rsidRPr="00E341CF">
              <w:rPr>
                <w:sz w:val="22"/>
                <w:szCs w:val="22"/>
              </w:rPr>
              <w:t>.</w:t>
            </w:r>
          </w:p>
        </w:tc>
        <w:tc>
          <w:tcPr>
            <w:tcW w:w="1671" w:type="dxa"/>
          </w:tcPr>
          <w:p w14:paraId="15EA3952" w14:textId="77777777" w:rsidR="00DC689C" w:rsidRPr="00E341CF" w:rsidRDefault="00DC689C" w:rsidP="0023237B">
            <w:pPr>
              <w:pStyle w:val="naiskr"/>
              <w:spacing w:before="0" w:after="0"/>
              <w:rPr>
                <w:sz w:val="22"/>
                <w:szCs w:val="22"/>
              </w:rPr>
            </w:pPr>
            <w:r w:rsidRPr="00E341CF">
              <w:rPr>
                <w:sz w:val="22"/>
                <w:szCs w:val="22"/>
              </w:rPr>
              <w:t>Cita informācija</w:t>
            </w:r>
          </w:p>
        </w:tc>
        <w:tc>
          <w:tcPr>
            <w:tcW w:w="7654" w:type="dxa"/>
          </w:tcPr>
          <w:p w14:paraId="55A5B02A" w14:textId="2A56519B" w:rsidR="00DC689C" w:rsidRPr="00E341CF" w:rsidRDefault="00A64381" w:rsidP="00A0586F">
            <w:pPr>
              <w:pStyle w:val="naiskr"/>
              <w:spacing w:before="0" w:after="0"/>
              <w:ind w:left="142" w:right="81"/>
            </w:pPr>
            <w:r>
              <w:t>Nav</w:t>
            </w:r>
          </w:p>
        </w:tc>
      </w:tr>
    </w:tbl>
    <w:p w14:paraId="57A44132" w14:textId="77777777" w:rsidR="00DB1ACE" w:rsidRPr="00E341CF" w:rsidRDefault="00DB1ACE" w:rsidP="00014F75">
      <w:pPr>
        <w:pStyle w:val="naisf"/>
        <w:spacing w:before="0" w:after="0"/>
        <w:ind w:firstLine="0"/>
        <w:rPr>
          <w:sz w:val="28"/>
          <w:szCs w:val="28"/>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260"/>
        <w:gridCol w:w="6064"/>
      </w:tblGrid>
      <w:tr w:rsidR="00E341CF" w:rsidRPr="00E341CF" w14:paraId="1E3C6DB6" w14:textId="77777777" w:rsidTr="0064386B">
        <w:trPr>
          <w:trHeight w:val="476"/>
        </w:trPr>
        <w:tc>
          <w:tcPr>
            <w:tcW w:w="9745" w:type="dxa"/>
            <w:gridSpan w:val="3"/>
          </w:tcPr>
          <w:p w14:paraId="162B828F" w14:textId="173052E3" w:rsidR="00DB1ACE" w:rsidRPr="00E341CF" w:rsidRDefault="00DB1ACE" w:rsidP="0064386B">
            <w:pPr>
              <w:pStyle w:val="naiskr"/>
              <w:spacing w:before="0" w:after="0"/>
              <w:ind w:left="142" w:right="81"/>
            </w:pPr>
            <w:r w:rsidRPr="00E341CF">
              <w:rPr>
                <w:rFonts w:eastAsia="Calibri"/>
                <w:b/>
                <w:bCs/>
                <w:lang w:eastAsia="en-US"/>
              </w:rPr>
              <w:t>II. Tiesību akta projekta ietekme uz sabiedrību, tautsaimniecības attīstību un administratīvo slogu</w:t>
            </w:r>
          </w:p>
        </w:tc>
      </w:tr>
      <w:tr w:rsidR="00E341CF" w:rsidRPr="00E341CF" w14:paraId="2F850610" w14:textId="77777777" w:rsidTr="009B0E7A">
        <w:trPr>
          <w:trHeight w:val="476"/>
        </w:trPr>
        <w:tc>
          <w:tcPr>
            <w:tcW w:w="421" w:type="dxa"/>
          </w:tcPr>
          <w:p w14:paraId="05DA3DCD" w14:textId="3874F5C3" w:rsidR="00DB1ACE" w:rsidRPr="00E341CF" w:rsidRDefault="00DB1ACE" w:rsidP="00DB1ACE">
            <w:pPr>
              <w:pStyle w:val="naiskr"/>
              <w:spacing w:before="0" w:after="0"/>
            </w:pPr>
            <w:r w:rsidRPr="00E341CF">
              <w:t xml:space="preserve"> 1.</w:t>
            </w:r>
          </w:p>
        </w:tc>
        <w:tc>
          <w:tcPr>
            <w:tcW w:w="3260" w:type="dxa"/>
          </w:tcPr>
          <w:p w14:paraId="20819C38" w14:textId="7A05164C" w:rsidR="00DB1ACE" w:rsidRPr="00E341CF" w:rsidRDefault="00DB1ACE" w:rsidP="00DB1ACE">
            <w:pPr>
              <w:pStyle w:val="naiskr"/>
              <w:spacing w:before="0" w:after="0"/>
            </w:pPr>
            <w:r w:rsidRPr="00E341CF">
              <w:t xml:space="preserve"> Sabiedrības mērķgrupas, kuras tiesiskais regulējums ietekmē vai varētu ietekmēt</w:t>
            </w:r>
          </w:p>
        </w:tc>
        <w:tc>
          <w:tcPr>
            <w:tcW w:w="6064" w:type="dxa"/>
          </w:tcPr>
          <w:p w14:paraId="2752D368" w14:textId="3EB14F82" w:rsidR="00DB1ACE" w:rsidRPr="00E341CF" w:rsidRDefault="00257982" w:rsidP="00BF6672">
            <w:pPr>
              <w:pStyle w:val="naiskr"/>
              <w:spacing w:before="0" w:after="0"/>
              <w:ind w:left="142" w:right="81"/>
              <w:jc w:val="both"/>
            </w:pPr>
            <w:r w:rsidRPr="00257982">
              <w:t xml:space="preserve">Valsts un pašvaldību budžeta iestāžu, no valsts budžeta daļēji finansēto atvasināto publisko personu un budžeta nefinansēto iestāžu </w:t>
            </w:r>
            <w:r w:rsidR="00BF6672">
              <w:t>amatpersonas (</w:t>
            </w:r>
            <w:r w:rsidRPr="00257982">
              <w:t>darbinieki</w:t>
            </w:r>
            <w:r w:rsidR="00BF6672">
              <w:t>).</w:t>
            </w:r>
            <w:r>
              <w:t xml:space="preserve"> </w:t>
            </w:r>
          </w:p>
        </w:tc>
      </w:tr>
      <w:tr w:rsidR="00E341CF" w:rsidRPr="00E341CF" w14:paraId="285AA53A" w14:textId="77777777" w:rsidTr="009B0E7A">
        <w:trPr>
          <w:trHeight w:val="476"/>
        </w:trPr>
        <w:tc>
          <w:tcPr>
            <w:tcW w:w="421" w:type="dxa"/>
          </w:tcPr>
          <w:p w14:paraId="4A9BD2F5" w14:textId="0BCAF0BE" w:rsidR="00DB1ACE" w:rsidRPr="00E341CF" w:rsidRDefault="00DB1ACE" w:rsidP="00DB1ACE">
            <w:pPr>
              <w:pStyle w:val="naiskr"/>
              <w:spacing w:before="0" w:after="0"/>
            </w:pPr>
            <w:r w:rsidRPr="00E341CF">
              <w:lastRenderedPageBreak/>
              <w:t xml:space="preserve"> 2.</w:t>
            </w:r>
          </w:p>
        </w:tc>
        <w:tc>
          <w:tcPr>
            <w:tcW w:w="3260" w:type="dxa"/>
          </w:tcPr>
          <w:p w14:paraId="56F8E807" w14:textId="038264F8" w:rsidR="00DB1ACE" w:rsidRPr="00E341CF" w:rsidRDefault="00DB1ACE" w:rsidP="00DB1ACE">
            <w:pPr>
              <w:pStyle w:val="naiskr"/>
              <w:spacing w:before="0" w:after="0"/>
            </w:pPr>
            <w:r w:rsidRPr="00E341CF">
              <w:t xml:space="preserve"> Tiesiskā regulējuma ietekme uz tautsaimniecību un administratīvo slogu</w:t>
            </w:r>
          </w:p>
        </w:tc>
        <w:tc>
          <w:tcPr>
            <w:tcW w:w="6064" w:type="dxa"/>
          </w:tcPr>
          <w:p w14:paraId="7BFCD67E" w14:textId="1F3527D3" w:rsidR="00DB1ACE" w:rsidRDefault="00B97E2D" w:rsidP="00117611">
            <w:pPr>
              <w:pStyle w:val="naiskr"/>
              <w:spacing w:before="0" w:after="0"/>
              <w:ind w:left="142" w:right="81"/>
              <w:jc w:val="both"/>
            </w:pPr>
            <w:r>
              <w:t>Noteikumu projekts veicinās ieņēmumu attiecināšanu uz atbilstoš</w:t>
            </w:r>
            <w:r w:rsidR="00D86D25">
              <w:t>ā</w:t>
            </w:r>
            <w:r>
              <w:t xml:space="preserve">m ieņēmumu pozīcijām, novērsīs kļūdaino maksājumu </w:t>
            </w:r>
            <w:r w:rsidR="00312954">
              <w:t xml:space="preserve">skaitu un </w:t>
            </w:r>
            <w:r>
              <w:t>apmērus, tādējādi uzlabo</w:t>
            </w:r>
            <w:r w:rsidR="00312954">
              <w:t>jot</w:t>
            </w:r>
            <w:r>
              <w:t xml:space="preserve"> informācijas kvalitāt</w:t>
            </w:r>
            <w:r w:rsidR="00312954">
              <w:t>i</w:t>
            </w:r>
            <w:r>
              <w:t xml:space="preserve"> un tiks sniegts korektāks priekšstats par budžetu ieņēmumu struktūru un apmēriem.</w:t>
            </w:r>
          </w:p>
          <w:p w14:paraId="25EA4B62" w14:textId="5A746194" w:rsidR="00C968DF" w:rsidRPr="00E341CF" w:rsidRDefault="00B97E2D" w:rsidP="00D816B4">
            <w:pPr>
              <w:pStyle w:val="naiskr"/>
              <w:spacing w:before="0" w:after="0"/>
              <w:ind w:left="142" w:right="81"/>
              <w:jc w:val="both"/>
            </w:pPr>
            <w:r w:rsidRPr="00560603">
              <w:t xml:space="preserve">Paredzams, ka noteikumu projekts </w:t>
            </w:r>
            <w:r w:rsidR="00312954">
              <w:t>samazinās</w:t>
            </w:r>
            <w:r w:rsidR="00312954" w:rsidRPr="00560603">
              <w:t xml:space="preserve"> </w:t>
            </w:r>
            <w:r w:rsidRPr="00560603">
              <w:t xml:space="preserve"> </w:t>
            </w:r>
            <w:r w:rsidR="00C968DF">
              <w:t>administratīvo</w:t>
            </w:r>
            <w:r w:rsidR="00C968DF" w:rsidRPr="00560603">
              <w:t xml:space="preserve"> </w:t>
            </w:r>
            <w:r w:rsidRPr="00560603">
              <w:t>slogu akcīzes nodokļa maksātājiem, jo turpmāk</w:t>
            </w:r>
            <w:r w:rsidR="00C968DF">
              <w:t>,</w:t>
            </w:r>
            <w:r w:rsidRPr="00560603">
              <w:t xml:space="preserve"> veicot maksājumus</w:t>
            </w:r>
            <w:r w:rsidR="00C968DF">
              <w:t>,</w:t>
            </w:r>
            <w:r w:rsidRPr="00560603">
              <w:t xml:space="preserve"> būs </w:t>
            </w:r>
            <w:r w:rsidR="00312954" w:rsidRPr="00560603">
              <w:t>jā</w:t>
            </w:r>
            <w:r w:rsidR="00312954">
              <w:t>piemēro</w:t>
            </w:r>
            <w:r w:rsidR="00312954" w:rsidRPr="00560603">
              <w:t xml:space="preserve"> </w:t>
            </w:r>
            <w:r w:rsidRPr="00560603">
              <w:t>mazāk</w:t>
            </w:r>
            <w:r w:rsidR="00312954">
              <w:t>s</w:t>
            </w:r>
            <w:r w:rsidRPr="00560603">
              <w:t xml:space="preserve"> kodu skait</w:t>
            </w:r>
            <w:r w:rsidR="00312954">
              <w:t>s</w:t>
            </w:r>
            <w:r w:rsidRPr="00560603">
              <w:t>, tādējādi samazinot</w:t>
            </w:r>
            <w:r w:rsidR="00C968DF">
              <w:t xml:space="preserve"> arī </w:t>
            </w:r>
            <w:r w:rsidRPr="00560603">
              <w:t>iespējas veikt mak</w:t>
            </w:r>
            <w:r w:rsidRPr="00713EE5">
              <w:t>sājumu nepareizajā pozīcijā.</w:t>
            </w:r>
          </w:p>
        </w:tc>
      </w:tr>
      <w:tr w:rsidR="00E341CF" w:rsidRPr="00E341CF" w14:paraId="3EF82A88" w14:textId="77777777" w:rsidTr="009B0E7A">
        <w:trPr>
          <w:trHeight w:val="476"/>
        </w:trPr>
        <w:tc>
          <w:tcPr>
            <w:tcW w:w="421" w:type="dxa"/>
          </w:tcPr>
          <w:p w14:paraId="1719EA42" w14:textId="060E6B06" w:rsidR="00DB1ACE" w:rsidRPr="00E341CF" w:rsidRDefault="00DB1ACE" w:rsidP="00DB1ACE">
            <w:pPr>
              <w:pStyle w:val="naiskr"/>
              <w:spacing w:before="0" w:after="0"/>
            </w:pPr>
            <w:r w:rsidRPr="00E341CF">
              <w:t xml:space="preserve"> 3.</w:t>
            </w:r>
          </w:p>
        </w:tc>
        <w:tc>
          <w:tcPr>
            <w:tcW w:w="3260" w:type="dxa"/>
          </w:tcPr>
          <w:p w14:paraId="583CB686" w14:textId="722C7103" w:rsidR="00DB1ACE" w:rsidRPr="00E341CF" w:rsidRDefault="00DB1ACE" w:rsidP="00DB1ACE">
            <w:pPr>
              <w:pStyle w:val="naiskr"/>
              <w:spacing w:before="0" w:after="0"/>
            </w:pPr>
            <w:r w:rsidRPr="00E341CF">
              <w:t xml:space="preserve"> Administratīvo izmaksu monetārs novērtējums</w:t>
            </w:r>
          </w:p>
        </w:tc>
        <w:tc>
          <w:tcPr>
            <w:tcW w:w="6064" w:type="dxa"/>
          </w:tcPr>
          <w:p w14:paraId="2C3316A3" w14:textId="15217097" w:rsidR="00B97E2D" w:rsidRPr="00E341CF" w:rsidRDefault="00312954" w:rsidP="00DB1ACE">
            <w:pPr>
              <w:pStyle w:val="naiskr"/>
              <w:spacing w:before="0" w:after="0"/>
              <w:ind w:left="142" w:right="81"/>
            </w:pPr>
            <w:r>
              <w:t xml:space="preserve"> Projekts šo jomu neskar.</w:t>
            </w:r>
          </w:p>
        </w:tc>
      </w:tr>
      <w:tr w:rsidR="00E341CF" w:rsidRPr="00E341CF" w14:paraId="3B238081" w14:textId="77777777" w:rsidTr="009B0E7A">
        <w:tc>
          <w:tcPr>
            <w:tcW w:w="421" w:type="dxa"/>
          </w:tcPr>
          <w:p w14:paraId="5184698A" w14:textId="2D1D1FEF" w:rsidR="00DB1ACE" w:rsidRPr="00E341CF" w:rsidRDefault="00DB1ACE" w:rsidP="00DB1ACE">
            <w:pPr>
              <w:pStyle w:val="naiskr"/>
              <w:spacing w:before="0" w:after="0"/>
            </w:pPr>
            <w:r w:rsidRPr="00E341CF">
              <w:t xml:space="preserve"> 4.</w:t>
            </w:r>
          </w:p>
        </w:tc>
        <w:tc>
          <w:tcPr>
            <w:tcW w:w="3260" w:type="dxa"/>
          </w:tcPr>
          <w:p w14:paraId="5FD1AD92" w14:textId="515EE233" w:rsidR="00DB1ACE" w:rsidRPr="00E341CF" w:rsidRDefault="00DB1ACE" w:rsidP="00DB1ACE">
            <w:pPr>
              <w:pStyle w:val="naiskr"/>
              <w:spacing w:before="0" w:after="0"/>
            </w:pPr>
            <w:r w:rsidRPr="00E341CF">
              <w:t xml:space="preserve"> Cita informācija</w:t>
            </w:r>
          </w:p>
        </w:tc>
        <w:tc>
          <w:tcPr>
            <w:tcW w:w="6064" w:type="dxa"/>
          </w:tcPr>
          <w:p w14:paraId="09FC9D19" w14:textId="40189838" w:rsidR="00DB1ACE" w:rsidRPr="00E341CF" w:rsidRDefault="00DB1ACE" w:rsidP="00DB1ACE">
            <w:pPr>
              <w:pStyle w:val="naiskr"/>
              <w:spacing w:before="0" w:after="0"/>
              <w:ind w:left="142" w:right="81"/>
            </w:pPr>
            <w:r w:rsidRPr="00E341CF">
              <w:t xml:space="preserve"> Nav</w:t>
            </w:r>
          </w:p>
        </w:tc>
      </w:tr>
    </w:tbl>
    <w:p w14:paraId="5365FF6B" w14:textId="77777777" w:rsidR="00DB1ACE" w:rsidRPr="00E341CF" w:rsidRDefault="00DB1ACE" w:rsidP="00014F75">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260"/>
        <w:gridCol w:w="6064"/>
      </w:tblGrid>
      <w:tr w:rsidR="00E341CF" w:rsidRPr="00E341CF" w14:paraId="522CDF27" w14:textId="77777777" w:rsidTr="00F5633C">
        <w:trPr>
          <w:trHeight w:val="268"/>
        </w:trPr>
        <w:tc>
          <w:tcPr>
            <w:tcW w:w="9745" w:type="dxa"/>
            <w:gridSpan w:val="3"/>
          </w:tcPr>
          <w:p w14:paraId="14CB313E" w14:textId="7F1EB47A" w:rsidR="00DB1ACE" w:rsidRPr="00E341CF" w:rsidRDefault="00DB1ACE" w:rsidP="00DB1ACE">
            <w:pPr>
              <w:pStyle w:val="naiskr"/>
              <w:spacing w:before="0" w:after="0"/>
              <w:ind w:left="142" w:right="81"/>
              <w:jc w:val="center"/>
            </w:pPr>
            <w:r w:rsidRPr="00E341CF">
              <w:rPr>
                <w:rFonts w:eastAsia="Calibri"/>
                <w:b/>
                <w:bCs/>
                <w:lang w:eastAsia="en-US"/>
              </w:rPr>
              <w:t>VI. Sabiedrības līdzdalība un komunikācijas aktivitātes</w:t>
            </w:r>
          </w:p>
        </w:tc>
      </w:tr>
      <w:tr w:rsidR="00E341CF" w:rsidRPr="00E341CF" w14:paraId="139557F6" w14:textId="77777777" w:rsidTr="009B0E7A">
        <w:trPr>
          <w:trHeight w:val="476"/>
        </w:trPr>
        <w:tc>
          <w:tcPr>
            <w:tcW w:w="421" w:type="dxa"/>
          </w:tcPr>
          <w:p w14:paraId="1E79CDE3" w14:textId="708FCD1C" w:rsidR="00DB1ACE" w:rsidRPr="00E341CF" w:rsidRDefault="00DB1ACE" w:rsidP="00DB1ACE">
            <w:pPr>
              <w:pStyle w:val="naiskr"/>
              <w:spacing w:before="0" w:after="0"/>
            </w:pPr>
            <w:r w:rsidRPr="00E341CF">
              <w:t>1.</w:t>
            </w:r>
          </w:p>
        </w:tc>
        <w:tc>
          <w:tcPr>
            <w:tcW w:w="3260" w:type="dxa"/>
          </w:tcPr>
          <w:p w14:paraId="41DC3476" w14:textId="57BC9019" w:rsidR="00DB1ACE" w:rsidRPr="00E341CF" w:rsidRDefault="00DB1ACE" w:rsidP="00DB1ACE">
            <w:pPr>
              <w:pStyle w:val="naiskr"/>
              <w:spacing w:before="0" w:after="0"/>
            </w:pPr>
            <w:r w:rsidRPr="00E341CF">
              <w:t>Plānotās sabiedrības līdzdalības un komunikācijas aktivitātes saistībā ar projektu</w:t>
            </w:r>
          </w:p>
        </w:tc>
        <w:tc>
          <w:tcPr>
            <w:tcW w:w="6064" w:type="dxa"/>
          </w:tcPr>
          <w:p w14:paraId="37D57925" w14:textId="71BAF013" w:rsidR="00DB1ACE" w:rsidRPr="00E341CF" w:rsidRDefault="00DB1ACE" w:rsidP="003747BC">
            <w:pPr>
              <w:pStyle w:val="naiskr"/>
              <w:spacing w:before="0" w:after="0"/>
              <w:ind w:left="139" w:right="81"/>
              <w:jc w:val="both"/>
            </w:pPr>
            <w:r w:rsidRPr="00E341CF">
              <w:t>Sabiedrības līdzdalības un komunikācijas aktivitātes netika organizētas, jo noteikumu projekts tieši sabiedrības intereses ne</w:t>
            </w:r>
            <w:r w:rsidR="000F0A87">
              <w:t>s</w:t>
            </w:r>
            <w:r w:rsidRPr="00E341CF">
              <w:t xml:space="preserve">kar. </w:t>
            </w:r>
            <w:r w:rsidR="00614262" w:rsidRPr="00E341CF">
              <w:t>Uzziņa par projekta izstrādi tika publicēta Finanšu ministrijas mājas lapā sadaļā “Sabiedrības līdzdalība”.</w:t>
            </w:r>
          </w:p>
        </w:tc>
      </w:tr>
      <w:tr w:rsidR="00E341CF" w:rsidRPr="00E341CF" w14:paraId="141BE70B" w14:textId="77777777" w:rsidTr="009B0E7A">
        <w:trPr>
          <w:trHeight w:val="252"/>
        </w:trPr>
        <w:tc>
          <w:tcPr>
            <w:tcW w:w="421" w:type="dxa"/>
          </w:tcPr>
          <w:p w14:paraId="635C31D6" w14:textId="74014AEA" w:rsidR="00DB1ACE" w:rsidRPr="00E341CF" w:rsidRDefault="00DB1ACE" w:rsidP="00DB1ACE">
            <w:pPr>
              <w:pStyle w:val="naiskr"/>
              <w:spacing w:before="0" w:after="0"/>
            </w:pPr>
            <w:r w:rsidRPr="00E341CF">
              <w:t>2.</w:t>
            </w:r>
          </w:p>
        </w:tc>
        <w:tc>
          <w:tcPr>
            <w:tcW w:w="3260" w:type="dxa"/>
          </w:tcPr>
          <w:p w14:paraId="62F0C4CB" w14:textId="70A3F4B5" w:rsidR="00DB1ACE" w:rsidRPr="00E341CF" w:rsidRDefault="00DB1ACE" w:rsidP="00DB1ACE">
            <w:pPr>
              <w:pStyle w:val="naiskr"/>
              <w:spacing w:before="0" w:after="0"/>
            </w:pPr>
            <w:r w:rsidRPr="00E341CF">
              <w:t>Sabiedrības līdzdalība projekta izstrādē</w:t>
            </w:r>
          </w:p>
        </w:tc>
        <w:tc>
          <w:tcPr>
            <w:tcW w:w="6064" w:type="dxa"/>
          </w:tcPr>
          <w:p w14:paraId="49BA88B8" w14:textId="5CEFADC7" w:rsidR="00DB1ACE" w:rsidRPr="00E341CF" w:rsidRDefault="00DB1ACE" w:rsidP="00DB1ACE">
            <w:pPr>
              <w:pStyle w:val="naiskr"/>
              <w:spacing w:before="0" w:after="0"/>
              <w:ind w:left="142" w:right="81"/>
            </w:pPr>
            <w:r w:rsidRPr="00E341CF">
              <w:t>Projekts šo jomu neskar.</w:t>
            </w:r>
          </w:p>
        </w:tc>
      </w:tr>
      <w:tr w:rsidR="00E341CF" w:rsidRPr="00E341CF" w14:paraId="6AED77F8" w14:textId="77777777" w:rsidTr="009B0E7A">
        <w:trPr>
          <w:trHeight w:val="316"/>
        </w:trPr>
        <w:tc>
          <w:tcPr>
            <w:tcW w:w="421" w:type="dxa"/>
          </w:tcPr>
          <w:p w14:paraId="0D7B4F91" w14:textId="71EA8607" w:rsidR="00DB1ACE" w:rsidRPr="00E341CF" w:rsidRDefault="00DB1ACE" w:rsidP="00DB1ACE">
            <w:pPr>
              <w:pStyle w:val="naiskr"/>
              <w:spacing w:before="0" w:after="0"/>
            </w:pPr>
            <w:r w:rsidRPr="00E341CF">
              <w:t>3.</w:t>
            </w:r>
          </w:p>
        </w:tc>
        <w:tc>
          <w:tcPr>
            <w:tcW w:w="3260" w:type="dxa"/>
          </w:tcPr>
          <w:p w14:paraId="4EA8147D" w14:textId="4D24B979" w:rsidR="00DB1ACE" w:rsidRPr="00E341CF" w:rsidRDefault="00DB1ACE" w:rsidP="00DB1ACE">
            <w:pPr>
              <w:pStyle w:val="naiskr"/>
              <w:spacing w:before="0" w:after="0"/>
            </w:pPr>
            <w:r w:rsidRPr="00E341CF">
              <w:t>Sabiedrības līdzdalības rezultāti</w:t>
            </w:r>
          </w:p>
        </w:tc>
        <w:tc>
          <w:tcPr>
            <w:tcW w:w="6064" w:type="dxa"/>
          </w:tcPr>
          <w:p w14:paraId="2126DCB3" w14:textId="14EC2569" w:rsidR="00DB1ACE" w:rsidRPr="00E341CF" w:rsidRDefault="00DB1ACE" w:rsidP="00DB1ACE">
            <w:pPr>
              <w:pStyle w:val="naiskr"/>
              <w:spacing w:before="0" w:after="0"/>
              <w:ind w:left="142" w:right="81"/>
            </w:pPr>
            <w:r w:rsidRPr="00E341CF">
              <w:t>Projekts šo jomu neskar.</w:t>
            </w:r>
          </w:p>
        </w:tc>
      </w:tr>
      <w:tr w:rsidR="00E341CF" w:rsidRPr="00E341CF" w14:paraId="700484FD" w14:textId="77777777" w:rsidTr="009B0E7A">
        <w:tc>
          <w:tcPr>
            <w:tcW w:w="421" w:type="dxa"/>
          </w:tcPr>
          <w:p w14:paraId="33206718" w14:textId="4263E770" w:rsidR="00DB1ACE" w:rsidRPr="00E341CF" w:rsidRDefault="00DB1ACE" w:rsidP="00DB1ACE">
            <w:pPr>
              <w:pStyle w:val="naiskr"/>
              <w:spacing w:before="0" w:after="0"/>
            </w:pPr>
            <w:r w:rsidRPr="00E341CF">
              <w:t>4.</w:t>
            </w:r>
          </w:p>
        </w:tc>
        <w:tc>
          <w:tcPr>
            <w:tcW w:w="3260" w:type="dxa"/>
          </w:tcPr>
          <w:p w14:paraId="7D1FE340" w14:textId="0DB299AB" w:rsidR="00DB1ACE" w:rsidRPr="00E341CF" w:rsidRDefault="00DB1ACE" w:rsidP="00DB1ACE">
            <w:pPr>
              <w:pStyle w:val="naiskr"/>
              <w:spacing w:before="0" w:after="0"/>
            </w:pPr>
            <w:r w:rsidRPr="00E341CF">
              <w:t>Cita informācija</w:t>
            </w:r>
          </w:p>
        </w:tc>
        <w:tc>
          <w:tcPr>
            <w:tcW w:w="6064" w:type="dxa"/>
          </w:tcPr>
          <w:p w14:paraId="4B5DFECB" w14:textId="17BDF0C4" w:rsidR="00DB1ACE" w:rsidRPr="00E341CF" w:rsidRDefault="00DB1ACE" w:rsidP="00DB1ACE">
            <w:pPr>
              <w:pStyle w:val="naiskr"/>
              <w:spacing w:before="0" w:after="0"/>
              <w:ind w:left="142" w:right="81"/>
            </w:pPr>
            <w:r w:rsidRPr="00E341CF">
              <w:t>Nav</w:t>
            </w:r>
          </w:p>
        </w:tc>
      </w:tr>
    </w:tbl>
    <w:p w14:paraId="0B048710" w14:textId="77777777" w:rsidR="00DB1ACE" w:rsidRPr="00E341CF" w:rsidRDefault="00DB1ACE" w:rsidP="00014F75">
      <w:pPr>
        <w:pStyle w:val="naisf"/>
        <w:spacing w:before="0" w:after="0"/>
        <w:ind w:firstLine="0"/>
      </w:pPr>
    </w:p>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544"/>
        <w:gridCol w:w="5670"/>
      </w:tblGrid>
      <w:tr w:rsidR="00E341CF" w:rsidRPr="00E341CF" w14:paraId="483CA5E2" w14:textId="77777777" w:rsidTr="005E3235">
        <w:tc>
          <w:tcPr>
            <w:tcW w:w="9607" w:type="dxa"/>
            <w:gridSpan w:val="3"/>
            <w:tcBorders>
              <w:top w:val="single" w:sz="4" w:space="0" w:color="auto"/>
            </w:tcBorders>
          </w:tcPr>
          <w:p w14:paraId="37621140" w14:textId="77777777" w:rsidR="00DC689C" w:rsidRPr="00E341CF" w:rsidRDefault="00DC689C" w:rsidP="0023237B">
            <w:pPr>
              <w:pStyle w:val="naisnod"/>
              <w:spacing w:before="0" w:after="0"/>
              <w:ind w:left="57" w:right="57"/>
            </w:pPr>
            <w:r w:rsidRPr="00E341CF">
              <w:t>VII. Tiesību akta projekta izpildes nodrošināšana un tās ietekme uz institūcijām</w:t>
            </w:r>
          </w:p>
        </w:tc>
      </w:tr>
      <w:tr w:rsidR="00E341CF" w:rsidRPr="00E341CF" w14:paraId="25241EDB" w14:textId="77777777" w:rsidTr="009B0E7A">
        <w:trPr>
          <w:trHeight w:val="427"/>
        </w:trPr>
        <w:tc>
          <w:tcPr>
            <w:tcW w:w="393" w:type="dxa"/>
          </w:tcPr>
          <w:p w14:paraId="59B49C94" w14:textId="77777777" w:rsidR="00DC689C" w:rsidRPr="00E341CF" w:rsidRDefault="00DC689C" w:rsidP="0023237B">
            <w:pPr>
              <w:pStyle w:val="naisnod"/>
              <w:spacing w:before="0" w:after="0"/>
              <w:ind w:left="57" w:right="57"/>
              <w:jc w:val="left"/>
              <w:rPr>
                <w:b w:val="0"/>
              </w:rPr>
            </w:pPr>
            <w:r w:rsidRPr="00E341CF">
              <w:rPr>
                <w:b w:val="0"/>
              </w:rPr>
              <w:t>1.</w:t>
            </w:r>
          </w:p>
        </w:tc>
        <w:tc>
          <w:tcPr>
            <w:tcW w:w="3544" w:type="dxa"/>
          </w:tcPr>
          <w:p w14:paraId="00E7AC91" w14:textId="77777777" w:rsidR="00DC689C" w:rsidRPr="00E341CF" w:rsidRDefault="00DC689C" w:rsidP="0023237B">
            <w:pPr>
              <w:pStyle w:val="naisf"/>
              <w:spacing w:before="0" w:after="0"/>
              <w:ind w:left="57" w:right="57" w:firstLine="0"/>
              <w:jc w:val="left"/>
            </w:pPr>
            <w:r w:rsidRPr="00E341CF">
              <w:t xml:space="preserve">Projekta izpildē iesaistītās institūcijas </w:t>
            </w:r>
          </w:p>
        </w:tc>
        <w:tc>
          <w:tcPr>
            <w:tcW w:w="5670" w:type="dxa"/>
          </w:tcPr>
          <w:p w14:paraId="52D3DF23" w14:textId="1A7992FE" w:rsidR="00DC689C" w:rsidRPr="00E341CF" w:rsidRDefault="00361E18" w:rsidP="009B0E7A">
            <w:pPr>
              <w:pStyle w:val="naisnod"/>
              <w:spacing w:before="0" w:after="0"/>
              <w:ind w:left="109" w:right="117"/>
              <w:jc w:val="both"/>
              <w:rPr>
                <w:b w:val="0"/>
              </w:rPr>
            </w:pPr>
            <w:r w:rsidRPr="00361E18">
              <w:rPr>
                <w:b w:val="0"/>
              </w:rPr>
              <w:t>Valsts un pašvaldību budžeta iestādes, no valsts budžeta daļēji finansētas atvasinātas publiskas personas un budžeta nefinansētas iestādes</w:t>
            </w:r>
            <w:r w:rsidR="00C968DF">
              <w:rPr>
                <w:b w:val="0"/>
              </w:rPr>
              <w:t>.</w:t>
            </w:r>
          </w:p>
        </w:tc>
      </w:tr>
      <w:tr w:rsidR="00E341CF" w:rsidRPr="00E341CF" w14:paraId="1EEBA2B5" w14:textId="77777777" w:rsidTr="009B0E7A">
        <w:trPr>
          <w:trHeight w:val="463"/>
        </w:trPr>
        <w:tc>
          <w:tcPr>
            <w:tcW w:w="393" w:type="dxa"/>
          </w:tcPr>
          <w:p w14:paraId="75C06E07" w14:textId="77777777" w:rsidR="00DC689C" w:rsidRPr="00E341CF" w:rsidRDefault="00DC689C" w:rsidP="0023237B">
            <w:pPr>
              <w:pStyle w:val="naisnod"/>
              <w:spacing w:before="0" w:after="0"/>
              <w:ind w:left="57" w:right="57"/>
              <w:jc w:val="left"/>
              <w:rPr>
                <w:b w:val="0"/>
              </w:rPr>
            </w:pPr>
            <w:r w:rsidRPr="00E341CF">
              <w:rPr>
                <w:b w:val="0"/>
              </w:rPr>
              <w:t>2.</w:t>
            </w:r>
          </w:p>
        </w:tc>
        <w:tc>
          <w:tcPr>
            <w:tcW w:w="3544" w:type="dxa"/>
          </w:tcPr>
          <w:p w14:paraId="724A04C4" w14:textId="77777777" w:rsidR="00DC689C" w:rsidRPr="00E341CF" w:rsidRDefault="00DC689C" w:rsidP="0023237B">
            <w:pPr>
              <w:pStyle w:val="naisf"/>
              <w:spacing w:before="0" w:after="0"/>
              <w:ind w:left="57" w:right="57" w:firstLine="0"/>
              <w:jc w:val="left"/>
            </w:pPr>
            <w:r w:rsidRPr="00E341CF">
              <w:t xml:space="preserve">Projekta izpildes ietekme uz pārvaldes funkcijām </w:t>
            </w:r>
          </w:p>
        </w:tc>
        <w:tc>
          <w:tcPr>
            <w:tcW w:w="5670" w:type="dxa"/>
          </w:tcPr>
          <w:p w14:paraId="1CA5C7B8" w14:textId="741FBC70" w:rsidR="00DC689C" w:rsidRPr="00E341CF" w:rsidRDefault="003E3992" w:rsidP="0023237B">
            <w:pPr>
              <w:pStyle w:val="naisnod"/>
              <w:spacing w:before="0" w:after="0"/>
              <w:ind w:left="57" w:right="57"/>
              <w:jc w:val="left"/>
              <w:rPr>
                <w:b w:val="0"/>
              </w:rPr>
            </w:pPr>
            <w:r w:rsidRPr="003E3992">
              <w:rPr>
                <w:b w:val="0"/>
              </w:rPr>
              <w:t>Projekts neparedz izmaiņas pārvaldes funkcijās</w:t>
            </w:r>
            <w:r>
              <w:rPr>
                <w:b w:val="0"/>
              </w:rPr>
              <w:t>.</w:t>
            </w:r>
          </w:p>
        </w:tc>
      </w:tr>
      <w:tr w:rsidR="00E341CF" w:rsidRPr="00E341CF" w14:paraId="30925837" w14:textId="77777777" w:rsidTr="009B0E7A">
        <w:trPr>
          <w:trHeight w:val="725"/>
        </w:trPr>
        <w:tc>
          <w:tcPr>
            <w:tcW w:w="393" w:type="dxa"/>
          </w:tcPr>
          <w:p w14:paraId="50CDAA75" w14:textId="77777777" w:rsidR="00DC689C" w:rsidRPr="00E341CF" w:rsidRDefault="00DC689C" w:rsidP="0023237B">
            <w:pPr>
              <w:pStyle w:val="naisnod"/>
              <w:spacing w:before="0" w:after="0"/>
              <w:ind w:left="57" w:right="57"/>
              <w:jc w:val="left"/>
              <w:rPr>
                <w:b w:val="0"/>
              </w:rPr>
            </w:pPr>
            <w:r w:rsidRPr="00E341CF">
              <w:rPr>
                <w:b w:val="0"/>
              </w:rPr>
              <w:t>3.</w:t>
            </w:r>
          </w:p>
        </w:tc>
        <w:tc>
          <w:tcPr>
            <w:tcW w:w="3544" w:type="dxa"/>
          </w:tcPr>
          <w:p w14:paraId="7D1126E3" w14:textId="77777777" w:rsidR="00DC689C" w:rsidRPr="00E341CF" w:rsidRDefault="00DC689C" w:rsidP="0023237B">
            <w:pPr>
              <w:pStyle w:val="naisf"/>
              <w:spacing w:before="0" w:after="0"/>
              <w:ind w:left="57" w:right="57" w:firstLine="0"/>
              <w:jc w:val="left"/>
            </w:pPr>
            <w:r w:rsidRPr="00E341CF">
              <w:t>Projekta izpildes ietekme uz pārvaldes institucionālo struktūru.</w:t>
            </w:r>
          </w:p>
          <w:p w14:paraId="160DD13F" w14:textId="77777777" w:rsidR="00DC689C" w:rsidRPr="00E341CF" w:rsidRDefault="00DC689C" w:rsidP="0023237B">
            <w:pPr>
              <w:pStyle w:val="naisf"/>
              <w:spacing w:before="0" w:after="0"/>
              <w:ind w:left="57" w:right="57" w:firstLine="0"/>
              <w:jc w:val="left"/>
            </w:pPr>
            <w:r w:rsidRPr="00E341CF">
              <w:t>Jaunu institūciju izveide</w:t>
            </w:r>
            <w:r w:rsidR="00C90FFC" w:rsidRPr="00E341CF">
              <w:t>, esošo institūciju likvidācija vai reorganizācija, to ietekme uz institūcijas cilvēkresursiem</w:t>
            </w:r>
          </w:p>
        </w:tc>
        <w:tc>
          <w:tcPr>
            <w:tcW w:w="5670" w:type="dxa"/>
          </w:tcPr>
          <w:p w14:paraId="47121941" w14:textId="101ECEEF" w:rsidR="003E3992" w:rsidRPr="003E3992" w:rsidRDefault="003E3992" w:rsidP="000B2411">
            <w:pPr>
              <w:pStyle w:val="naisnod"/>
              <w:spacing w:before="0" w:after="0"/>
              <w:ind w:left="57" w:right="57"/>
              <w:jc w:val="both"/>
              <w:rPr>
                <w:b w:val="0"/>
              </w:rPr>
            </w:pPr>
            <w:r w:rsidRPr="003E3992">
              <w:rPr>
                <w:b w:val="0"/>
              </w:rPr>
              <w:t xml:space="preserve">Projekts neparedz izmaiņas </w:t>
            </w:r>
            <w:r w:rsidR="00B9016E">
              <w:rPr>
                <w:b w:val="0"/>
              </w:rPr>
              <w:t xml:space="preserve">pārvaldes </w:t>
            </w:r>
            <w:r w:rsidRPr="003E3992">
              <w:rPr>
                <w:b w:val="0"/>
              </w:rPr>
              <w:t>institucionālajā struktūrā. Jaunas institūcijas veidotas netiks, kā arī esošās institūcijas netiks likvidētas vai reorganizētas.</w:t>
            </w:r>
          </w:p>
          <w:p w14:paraId="2B211E40" w14:textId="1C5FA629" w:rsidR="003E3992" w:rsidRPr="00E341CF" w:rsidRDefault="003E3992" w:rsidP="000B2411">
            <w:pPr>
              <w:pStyle w:val="naisnod"/>
              <w:spacing w:before="0" w:after="0"/>
              <w:ind w:left="57" w:right="57"/>
              <w:jc w:val="both"/>
              <w:rPr>
                <w:b w:val="0"/>
              </w:rPr>
            </w:pPr>
            <w:r w:rsidRPr="003E3992">
              <w:rPr>
                <w:b w:val="0"/>
              </w:rPr>
              <w:t>Projekta izpilde tiks nodrošināta esošo cilvēkresursu ietvaros.</w:t>
            </w:r>
          </w:p>
        </w:tc>
      </w:tr>
      <w:tr w:rsidR="00E341CF" w:rsidRPr="00E341CF" w14:paraId="22A44803" w14:textId="77777777" w:rsidTr="009B0E7A">
        <w:trPr>
          <w:trHeight w:val="195"/>
        </w:trPr>
        <w:tc>
          <w:tcPr>
            <w:tcW w:w="393" w:type="dxa"/>
          </w:tcPr>
          <w:p w14:paraId="794EFD16" w14:textId="77777777" w:rsidR="00DC689C" w:rsidRPr="00E341CF" w:rsidRDefault="00C90FFC" w:rsidP="0023237B">
            <w:pPr>
              <w:pStyle w:val="naiskr"/>
              <w:spacing w:before="0" w:after="0"/>
              <w:ind w:left="57" w:right="57"/>
            </w:pPr>
            <w:r w:rsidRPr="00E341CF">
              <w:t>4</w:t>
            </w:r>
            <w:r w:rsidR="00DC689C" w:rsidRPr="00E341CF">
              <w:t>.</w:t>
            </w:r>
          </w:p>
        </w:tc>
        <w:tc>
          <w:tcPr>
            <w:tcW w:w="3544" w:type="dxa"/>
          </w:tcPr>
          <w:p w14:paraId="66501D4A" w14:textId="77777777" w:rsidR="00DC689C" w:rsidRPr="00E341CF" w:rsidRDefault="00DC689C" w:rsidP="0023237B">
            <w:pPr>
              <w:pStyle w:val="naiskr"/>
              <w:spacing w:before="0" w:after="0"/>
              <w:ind w:left="57" w:right="57"/>
            </w:pPr>
            <w:r w:rsidRPr="00E341CF">
              <w:t>Cita informācija</w:t>
            </w:r>
          </w:p>
        </w:tc>
        <w:tc>
          <w:tcPr>
            <w:tcW w:w="5670" w:type="dxa"/>
          </w:tcPr>
          <w:p w14:paraId="2A809A18" w14:textId="3EE8FB14" w:rsidR="00DC689C" w:rsidRPr="00E341CF" w:rsidRDefault="00014F75" w:rsidP="0023237B">
            <w:pPr>
              <w:pStyle w:val="naiskr"/>
              <w:spacing w:before="0" w:after="0"/>
              <w:ind w:left="57" w:right="57"/>
            </w:pPr>
            <w:r w:rsidRPr="00E341CF">
              <w:t>Nav</w:t>
            </w:r>
          </w:p>
        </w:tc>
      </w:tr>
    </w:tbl>
    <w:p w14:paraId="136B64E6" w14:textId="6D56E1AC" w:rsidR="00DC689C" w:rsidRPr="00E341CF" w:rsidRDefault="00014F75" w:rsidP="00D816B4">
      <w:pPr>
        <w:pStyle w:val="naisf"/>
        <w:tabs>
          <w:tab w:val="left" w:pos="5760"/>
        </w:tabs>
        <w:spacing w:before="0" w:after="0"/>
        <w:ind w:firstLine="0"/>
        <w:rPr>
          <w:i/>
        </w:rPr>
      </w:pPr>
      <w:r w:rsidRPr="00E341CF">
        <w:rPr>
          <w:i/>
        </w:rPr>
        <w:t xml:space="preserve">Anotācijas </w:t>
      </w:r>
      <w:r w:rsidR="00046858" w:rsidRPr="00E341CF">
        <w:rPr>
          <w:i/>
        </w:rPr>
        <w:t>II</w:t>
      </w:r>
      <w:r w:rsidR="00DB1ACE" w:rsidRPr="00E341CF">
        <w:rPr>
          <w:i/>
        </w:rPr>
        <w:t>I</w:t>
      </w:r>
      <w:r w:rsidR="00046858" w:rsidRPr="00E341CF">
        <w:rPr>
          <w:i/>
        </w:rPr>
        <w:t xml:space="preserve"> -</w:t>
      </w:r>
      <w:r w:rsidR="00C90FFC" w:rsidRPr="00E341CF">
        <w:rPr>
          <w:i/>
        </w:rPr>
        <w:t xml:space="preserve"> </w:t>
      </w:r>
      <w:r w:rsidRPr="00E341CF">
        <w:rPr>
          <w:i/>
        </w:rPr>
        <w:t>V  sadaļa –  projekts šīs jomas neskar.</w:t>
      </w:r>
    </w:p>
    <w:p w14:paraId="1A0A7BD0" w14:textId="77777777" w:rsidR="002622D9" w:rsidRPr="00E341CF" w:rsidRDefault="002622D9" w:rsidP="002622D9">
      <w:pPr>
        <w:pStyle w:val="naisf"/>
        <w:tabs>
          <w:tab w:val="left" w:pos="5760"/>
        </w:tabs>
        <w:spacing w:before="0" w:after="0"/>
        <w:ind w:firstLine="0"/>
        <w:jc w:val="center"/>
        <w:rPr>
          <w:i/>
        </w:rPr>
      </w:pPr>
    </w:p>
    <w:p w14:paraId="6F595B28" w14:textId="77777777" w:rsidR="00D816B4" w:rsidRDefault="00D816B4" w:rsidP="00AE45A1">
      <w:pPr>
        <w:rPr>
          <w:sz w:val="28"/>
          <w:szCs w:val="28"/>
        </w:rPr>
      </w:pPr>
    </w:p>
    <w:p w14:paraId="1F3C8D24" w14:textId="68A72593" w:rsidR="00AE45A1" w:rsidRPr="00E341CF" w:rsidRDefault="00AE45A1" w:rsidP="00AE45A1">
      <w:pPr>
        <w:rPr>
          <w:sz w:val="28"/>
          <w:szCs w:val="28"/>
        </w:rPr>
      </w:pPr>
      <w:r w:rsidRPr="00E341CF">
        <w:rPr>
          <w:sz w:val="28"/>
          <w:szCs w:val="28"/>
        </w:rPr>
        <w:t>Finanšu ministr</w:t>
      </w:r>
      <w:r w:rsidR="009D721D">
        <w:rPr>
          <w:sz w:val="28"/>
          <w:szCs w:val="28"/>
        </w:rPr>
        <w:t>e</w:t>
      </w:r>
      <w:r w:rsidRPr="00E341CF">
        <w:rPr>
          <w:sz w:val="28"/>
          <w:szCs w:val="28"/>
        </w:rPr>
        <w:t xml:space="preserve"> </w:t>
      </w:r>
      <w:r w:rsidRPr="00E341CF">
        <w:rPr>
          <w:sz w:val="28"/>
          <w:szCs w:val="28"/>
        </w:rPr>
        <w:tab/>
        <w:t xml:space="preserve">  </w:t>
      </w:r>
      <w:r w:rsidRPr="00E341CF">
        <w:rPr>
          <w:sz w:val="28"/>
          <w:szCs w:val="28"/>
        </w:rPr>
        <w:tab/>
      </w:r>
      <w:r w:rsidRPr="00E341CF">
        <w:rPr>
          <w:sz w:val="28"/>
          <w:szCs w:val="28"/>
        </w:rPr>
        <w:tab/>
      </w:r>
      <w:r w:rsidRPr="00E341CF">
        <w:rPr>
          <w:sz w:val="28"/>
          <w:szCs w:val="28"/>
        </w:rPr>
        <w:tab/>
      </w:r>
      <w:r w:rsidRPr="00E341CF">
        <w:rPr>
          <w:sz w:val="28"/>
          <w:szCs w:val="28"/>
        </w:rPr>
        <w:tab/>
      </w:r>
      <w:r w:rsidRPr="00E341CF">
        <w:rPr>
          <w:sz w:val="28"/>
          <w:szCs w:val="28"/>
        </w:rPr>
        <w:tab/>
      </w:r>
      <w:r w:rsidRPr="00E341CF">
        <w:rPr>
          <w:sz w:val="28"/>
          <w:szCs w:val="28"/>
        </w:rPr>
        <w:tab/>
      </w:r>
      <w:r w:rsidR="009D721D">
        <w:rPr>
          <w:sz w:val="28"/>
          <w:szCs w:val="28"/>
        </w:rPr>
        <w:t>D.Reizniece</w:t>
      </w:r>
      <w:r w:rsidR="00062F73">
        <w:rPr>
          <w:sz w:val="28"/>
          <w:szCs w:val="28"/>
        </w:rPr>
        <w:t xml:space="preserve"> – </w:t>
      </w:r>
      <w:r w:rsidR="009D721D">
        <w:rPr>
          <w:sz w:val="28"/>
          <w:szCs w:val="28"/>
        </w:rPr>
        <w:t>Ozola</w:t>
      </w:r>
    </w:p>
    <w:p w14:paraId="54D1AE2A" w14:textId="77777777" w:rsidR="00D90079" w:rsidRPr="00E341CF" w:rsidRDefault="00D90079" w:rsidP="00283D6B">
      <w:pPr>
        <w:jc w:val="both"/>
        <w:rPr>
          <w:sz w:val="18"/>
          <w:szCs w:val="18"/>
        </w:rPr>
      </w:pPr>
    </w:p>
    <w:p w14:paraId="66857B21" w14:textId="77777777" w:rsidR="009D721D" w:rsidRDefault="009D721D" w:rsidP="00283D6B">
      <w:pPr>
        <w:jc w:val="both"/>
        <w:rPr>
          <w:sz w:val="18"/>
          <w:szCs w:val="18"/>
        </w:rPr>
      </w:pPr>
    </w:p>
    <w:p w14:paraId="34ECFAE7" w14:textId="77777777" w:rsidR="009B0E7A" w:rsidRDefault="009B0E7A" w:rsidP="00283D6B">
      <w:pPr>
        <w:jc w:val="both"/>
        <w:rPr>
          <w:sz w:val="18"/>
          <w:szCs w:val="18"/>
        </w:rPr>
      </w:pPr>
    </w:p>
    <w:p w14:paraId="0F6323C8" w14:textId="77777777" w:rsidR="00D816B4" w:rsidRDefault="00D816B4" w:rsidP="00283D6B">
      <w:pPr>
        <w:jc w:val="both"/>
        <w:rPr>
          <w:sz w:val="18"/>
          <w:szCs w:val="18"/>
        </w:rPr>
      </w:pPr>
    </w:p>
    <w:p w14:paraId="6AA6801E" w14:textId="77777777" w:rsidR="00D816B4" w:rsidRDefault="00D816B4" w:rsidP="00283D6B">
      <w:pPr>
        <w:jc w:val="both"/>
        <w:rPr>
          <w:sz w:val="18"/>
          <w:szCs w:val="18"/>
        </w:rPr>
      </w:pPr>
    </w:p>
    <w:p w14:paraId="11667E0A" w14:textId="64167276" w:rsidR="00665E37" w:rsidRPr="00E341CF" w:rsidRDefault="00DD253E" w:rsidP="00283D6B">
      <w:pPr>
        <w:jc w:val="both"/>
        <w:rPr>
          <w:sz w:val="18"/>
          <w:szCs w:val="18"/>
        </w:rPr>
      </w:pPr>
      <w:r>
        <w:rPr>
          <w:sz w:val="18"/>
          <w:szCs w:val="18"/>
        </w:rPr>
        <w:t>2</w:t>
      </w:r>
      <w:r w:rsidR="003747BC">
        <w:rPr>
          <w:sz w:val="18"/>
          <w:szCs w:val="18"/>
        </w:rPr>
        <w:t>1</w:t>
      </w:r>
      <w:r w:rsidR="00966FA0">
        <w:rPr>
          <w:sz w:val="18"/>
          <w:szCs w:val="18"/>
        </w:rPr>
        <w:t>.</w:t>
      </w:r>
      <w:r w:rsidR="00641C65" w:rsidRPr="00E341CF">
        <w:rPr>
          <w:sz w:val="18"/>
          <w:szCs w:val="18"/>
        </w:rPr>
        <w:t>0</w:t>
      </w:r>
      <w:r>
        <w:rPr>
          <w:sz w:val="18"/>
          <w:szCs w:val="18"/>
        </w:rPr>
        <w:t>7</w:t>
      </w:r>
      <w:r w:rsidR="00665E37" w:rsidRPr="00E341CF">
        <w:rPr>
          <w:sz w:val="18"/>
          <w:szCs w:val="18"/>
        </w:rPr>
        <w:t>.201</w:t>
      </w:r>
      <w:r w:rsidR="00966FA0">
        <w:rPr>
          <w:sz w:val="18"/>
          <w:szCs w:val="18"/>
        </w:rPr>
        <w:t>6</w:t>
      </w:r>
      <w:r w:rsidR="00665E37" w:rsidRPr="00E341CF">
        <w:rPr>
          <w:sz w:val="18"/>
          <w:szCs w:val="18"/>
        </w:rPr>
        <w:t xml:space="preserve">.  </w:t>
      </w:r>
      <w:r w:rsidR="00FE38EE">
        <w:rPr>
          <w:sz w:val="18"/>
          <w:szCs w:val="18"/>
        </w:rPr>
        <w:t>8</w:t>
      </w:r>
      <w:r w:rsidR="00665E37" w:rsidRPr="00E341CF">
        <w:rPr>
          <w:sz w:val="18"/>
          <w:szCs w:val="18"/>
        </w:rPr>
        <w:t>:</w:t>
      </w:r>
      <w:r w:rsidR="0048302F">
        <w:rPr>
          <w:sz w:val="18"/>
          <w:szCs w:val="18"/>
        </w:rPr>
        <w:t>21</w:t>
      </w:r>
    </w:p>
    <w:p w14:paraId="23FE0F70" w14:textId="7BB3F2CD" w:rsidR="00283D6B" w:rsidRPr="00E341CF" w:rsidRDefault="00283D6B" w:rsidP="00283D6B">
      <w:pPr>
        <w:jc w:val="both"/>
        <w:rPr>
          <w:sz w:val="18"/>
          <w:szCs w:val="18"/>
        </w:rPr>
      </w:pPr>
      <w:r w:rsidRPr="00E341CF">
        <w:rPr>
          <w:sz w:val="18"/>
          <w:szCs w:val="18"/>
        </w:rPr>
        <w:fldChar w:fldCharType="begin"/>
      </w:r>
      <w:r w:rsidRPr="00E341CF">
        <w:rPr>
          <w:sz w:val="18"/>
          <w:szCs w:val="18"/>
        </w:rPr>
        <w:instrText xml:space="preserve"> NUMWORDS   \* MERGEFORMAT </w:instrText>
      </w:r>
      <w:r w:rsidRPr="00E341CF">
        <w:rPr>
          <w:sz w:val="18"/>
          <w:szCs w:val="18"/>
        </w:rPr>
        <w:fldChar w:fldCharType="separate"/>
      </w:r>
      <w:r w:rsidR="00FD0455">
        <w:rPr>
          <w:noProof/>
          <w:sz w:val="18"/>
          <w:szCs w:val="18"/>
        </w:rPr>
        <w:t>2231</w:t>
      </w:r>
      <w:r w:rsidRPr="00E341CF">
        <w:rPr>
          <w:sz w:val="18"/>
          <w:szCs w:val="18"/>
        </w:rPr>
        <w:fldChar w:fldCharType="end"/>
      </w:r>
      <w:bookmarkStart w:id="0" w:name="_GoBack"/>
      <w:bookmarkEnd w:id="0"/>
    </w:p>
    <w:p w14:paraId="64A3124D" w14:textId="77777777" w:rsidR="00283D6B" w:rsidRPr="00E341CF" w:rsidRDefault="00283D6B" w:rsidP="00283D6B">
      <w:pPr>
        <w:jc w:val="both"/>
        <w:rPr>
          <w:sz w:val="18"/>
          <w:szCs w:val="18"/>
        </w:rPr>
      </w:pPr>
      <w:r w:rsidRPr="00E341CF">
        <w:rPr>
          <w:sz w:val="18"/>
          <w:szCs w:val="18"/>
        </w:rPr>
        <w:t>R.Čablis</w:t>
      </w:r>
    </w:p>
    <w:p w14:paraId="5F021346" w14:textId="77777777" w:rsidR="00283D6B" w:rsidRPr="00E341CF" w:rsidRDefault="00283D6B" w:rsidP="00283D6B">
      <w:pPr>
        <w:jc w:val="both"/>
        <w:rPr>
          <w:sz w:val="18"/>
          <w:szCs w:val="18"/>
        </w:rPr>
      </w:pPr>
      <w:r w:rsidRPr="00E341CF">
        <w:rPr>
          <w:sz w:val="18"/>
          <w:szCs w:val="18"/>
        </w:rPr>
        <w:t>67095498, raivis.cablis@fm.gov.lv;</w:t>
      </w:r>
    </w:p>
    <w:sectPr w:rsidR="00283D6B" w:rsidRPr="00E341CF" w:rsidSect="00322288">
      <w:headerReference w:type="even" r:id="rId11"/>
      <w:headerReference w:type="default" r:id="rId12"/>
      <w:footerReference w:type="default" r:id="rId13"/>
      <w:footerReference w:type="first" r:id="rId14"/>
      <w:pgSz w:w="11906" w:h="16838" w:code="9"/>
      <w:pgMar w:top="851" w:right="1133" w:bottom="1134" w:left="170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28FB" w14:textId="77777777" w:rsidR="00B81B5E" w:rsidRDefault="00B81B5E" w:rsidP="00307F91">
      <w:r>
        <w:separator/>
      </w:r>
    </w:p>
  </w:endnote>
  <w:endnote w:type="continuationSeparator" w:id="0">
    <w:p w14:paraId="3ED54C41" w14:textId="77777777" w:rsidR="00B81B5E" w:rsidRDefault="00B81B5E"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336B" w14:textId="579790DA" w:rsidR="0064386B" w:rsidRPr="00743B6F" w:rsidRDefault="0064386B" w:rsidP="002B57DA">
    <w:pPr>
      <w:pStyle w:val="Footer"/>
      <w:ind w:left="-284" w:right="-285"/>
      <w:jc w:val="both"/>
      <w:rPr>
        <w:sz w:val="18"/>
        <w:szCs w:val="18"/>
      </w:rPr>
    </w:pPr>
    <w:r w:rsidRPr="00743B6F">
      <w:rPr>
        <w:sz w:val="18"/>
        <w:szCs w:val="18"/>
      </w:rPr>
      <w:t>FMAnot_</w:t>
    </w:r>
    <w:r w:rsidR="000B2411">
      <w:rPr>
        <w:sz w:val="18"/>
        <w:szCs w:val="18"/>
      </w:rPr>
      <w:t>1</w:t>
    </w:r>
    <w:r w:rsidR="009B0E7A">
      <w:rPr>
        <w:sz w:val="18"/>
        <w:szCs w:val="18"/>
      </w:rPr>
      <w:t>8</w:t>
    </w:r>
    <w:r w:rsidR="000B2411">
      <w:rPr>
        <w:sz w:val="18"/>
        <w:szCs w:val="18"/>
      </w:rPr>
      <w:t>0</w:t>
    </w:r>
    <w:r w:rsidR="009B0E7A">
      <w:rPr>
        <w:sz w:val="18"/>
        <w:szCs w:val="18"/>
      </w:rPr>
      <w:t>7</w:t>
    </w:r>
    <w:r>
      <w:rPr>
        <w:sz w:val="18"/>
        <w:szCs w:val="18"/>
      </w:rPr>
      <w:t>16_1032</w:t>
    </w:r>
    <w:r w:rsidR="009B0E7A">
      <w:rPr>
        <w:sz w:val="18"/>
        <w:szCs w:val="18"/>
      </w:rPr>
      <w:t>.602</w:t>
    </w:r>
    <w:r w:rsidRPr="00743B6F">
      <w:rPr>
        <w:sz w:val="18"/>
        <w:szCs w:val="18"/>
      </w:rPr>
      <w:t xml:space="preserve">; Ministru kabineta noteikumu projekta </w:t>
    </w:r>
    <w:r>
      <w:rPr>
        <w:sz w:val="18"/>
        <w:szCs w:val="18"/>
      </w:rPr>
      <w:t>„</w:t>
    </w:r>
    <w:r w:rsidRPr="002B57DA">
      <w:rPr>
        <w:sz w:val="18"/>
        <w:szCs w:val="18"/>
      </w:rPr>
      <w:t>Grozījum</w:t>
    </w:r>
    <w:r>
      <w:rPr>
        <w:sz w:val="18"/>
        <w:szCs w:val="18"/>
      </w:rPr>
      <w:t>i</w:t>
    </w:r>
    <w:r w:rsidRPr="002B57DA">
      <w:rPr>
        <w:sz w:val="18"/>
        <w:szCs w:val="18"/>
      </w:rPr>
      <w:t xml:space="preserve"> Ministru kabineta 20</w:t>
    </w:r>
    <w:r>
      <w:rPr>
        <w:sz w:val="18"/>
        <w:szCs w:val="18"/>
      </w:rPr>
      <w:t>05</w:t>
    </w:r>
    <w:r w:rsidRPr="002B57DA">
      <w:rPr>
        <w:sz w:val="18"/>
        <w:szCs w:val="18"/>
      </w:rPr>
      <w:t xml:space="preserve">.gada </w:t>
    </w:r>
    <w:r>
      <w:rPr>
        <w:sz w:val="18"/>
        <w:szCs w:val="18"/>
      </w:rPr>
      <w:t>27</w:t>
    </w:r>
    <w:r w:rsidRPr="002B57DA">
      <w:rPr>
        <w:sz w:val="18"/>
        <w:szCs w:val="18"/>
      </w:rPr>
      <w:t>.decembra noteikumos Nr.</w:t>
    </w:r>
    <w:r>
      <w:rPr>
        <w:sz w:val="18"/>
        <w:szCs w:val="18"/>
      </w:rPr>
      <w:t>1032</w:t>
    </w:r>
    <w:r w:rsidRPr="002B57DA">
      <w:rPr>
        <w:sz w:val="18"/>
        <w:szCs w:val="18"/>
      </w:rPr>
      <w:t xml:space="preserve"> "</w:t>
    </w:r>
    <w:r>
      <w:rPr>
        <w:sz w:val="18"/>
        <w:szCs w:val="18"/>
      </w:rPr>
      <w:t>Noteikumi par budžetu ieņēmumu klasifikāciju</w:t>
    </w:r>
    <w:r w:rsidRPr="002B57DA">
      <w:rPr>
        <w:sz w:val="18"/>
        <w:szCs w:val="18"/>
      </w:rPr>
      <w:t>”</w:t>
    </w:r>
    <w:r>
      <w:rPr>
        <w:sz w:val="18"/>
        <w:szCs w:val="18"/>
      </w:rPr>
      <w:t>”</w:t>
    </w:r>
    <w:r w:rsidRPr="00743B6F">
      <w:rPr>
        <w:sz w:val="18"/>
        <w:szCs w:val="18"/>
      </w:rPr>
      <w:t xml:space="preserve"> sākotnējās ietekmes novērtējuma ziņojums (anotācija)</w:t>
    </w:r>
  </w:p>
  <w:p w14:paraId="58C63F60" w14:textId="77777777" w:rsidR="0064386B" w:rsidRPr="002B57DA" w:rsidRDefault="0064386B"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368D" w14:textId="25EC9C39" w:rsidR="0064386B" w:rsidRPr="00743B6F" w:rsidRDefault="0064386B" w:rsidP="001E0A50">
    <w:pPr>
      <w:pStyle w:val="Footer"/>
      <w:ind w:left="-426" w:right="-285"/>
      <w:jc w:val="both"/>
      <w:rPr>
        <w:sz w:val="18"/>
        <w:szCs w:val="18"/>
      </w:rPr>
    </w:pPr>
    <w:r w:rsidRPr="00743B6F">
      <w:rPr>
        <w:sz w:val="18"/>
        <w:szCs w:val="18"/>
      </w:rPr>
      <w:t>FMAnot_</w:t>
    </w:r>
    <w:r w:rsidR="000B2411">
      <w:rPr>
        <w:sz w:val="18"/>
        <w:szCs w:val="18"/>
      </w:rPr>
      <w:t>1</w:t>
    </w:r>
    <w:r w:rsidR="009B0E7A">
      <w:rPr>
        <w:sz w:val="18"/>
        <w:szCs w:val="18"/>
      </w:rPr>
      <w:t>8</w:t>
    </w:r>
    <w:r w:rsidR="000B2411">
      <w:rPr>
        <w:sz w:val="18"/>
        <w:szCs w:val="18"/>
      </w:rPr>
      <w:t>0</w:t>
    </w:r>
    <w:r w:rsidR="009B0E7A">
      <w:rPr>
        <w:sz w:val="18"/>
        <w:szCs w:val="18"/>
      </w:rPr>
      <w:t>7</w:t>
    </w:r>
    <w:r>
      <w:rPr>
        <w:sz w:val="18"/>
        <w:szCs w:val="18"/>
      </w:rPr>
      <w:t>16_1032</w:t>
    </w:r>
    <w:r w:rsidR="009B0E7A">
      <w:rPr>
        <w:sz w:val="18"/>
        <w:szCs w:val="18"/>
      </w:rPr>
      <w:t>.602</w:t>
    </w:r>
    <w:r w:rsidRPr="00743B6F">
      <w:rPr>
        <w:sz w:val="18"/>
        <w:szCs w:val="18"/>
      </w:rPr>
      <w:t xml:space="preserve">; Ministru kabineta noteikumu projekta </w:t>
    </w:r>
    <w:r>
      <w:rPr>
        <w:sz w:val="18"/>
        <w:szCs w:val="18"/>
      </w:rPr>
      <w:t>„</w:t>
    </w:r>
    <w:r w:rsidRPr="002B57DA">
      <w:rPr>
        <w:sz w:val="18"/>
        <w:szCs w:val="18"/>
      </w:rPr>
      <w:t>Grozījum</w:t>
    </w:r>
    <w:r>
      <w:rPr>
        <w:sz w:val="18"/>
        <w:szCs w:val="18"/>
      </w:rPr>
      <w:t>i</w:t>
    </w:r>
    <w:r w:rsidRPr="002B57DA">
      <w:rPr>
        <w:sz w:val="18"/>
        <w:szCs w:val="18"/>
      </w:rPr>
      <w:t xml:space="preserve"> Ministru kabineta 20</w:t>
    </w:r>
    <w:r>
      <w:rPr>
        <w:sz w:val="18"/>
        <w:szCs w:val="18"/>
      </w:rPr>
      <w:t>05</w:t>
    </w:r>
    <w:r w:rsidRPr="002B57DA">
      <w:rPr>
        <w:sz w:val="18"/>
        <w:szCs w:val="18"/>
      </w:rPr>
      <w:t xml:space="preserve">.gada </w:t>
    </w:r>
    <w:r>
      <w:rPr>
        <w:sz w:val="18"/>
        <w:szCs w:val="18"/>
      </w:rPr>
      <w:t>27</w:t>
    </w:r>
    <w:r w:rsidRPr="002B57DA">
      <w:rPr>
        <w:sz w:val="18"/>
        <w:szCs w:val="18"/>
      </w:rPr>
      <w:t>.decembra noteikumos Nr.</w:t>
    </w:r>
    <w:r>
      <w:rPr>
        <w:sz w:val="18"/>
        <w:szCs w:val="18"/>
      </w:rPr>
      <w:t>1032</w:t>
    </w:r>
    <w:r w:rsidRPr="002B57DA">
      <w:rPr>
        <w:sz w:val="18"/>
        <w:szCs w:val="18"/>
      </w:rPr>
      <w:t xml:space="preserve"> "</w:t>
    </w:r>
    <w:r>
      <w:rPr>
        <w:sz w:val="18"/>
        <w:szCs w:val="18"/>
      </w:rPr>
      <w:t>Noteikumi par budžetu ieņēmumu klasifikāciju</w:t>
    </w:r>
    <w:r w:rsidRPr="002B57DA">
      <w:rPr>
        <w:sz w:val="18"/>
        <w:szCs w:val="18"/>
      </w:rPr>
      <w:t>”</w:t>
    </w:r>
    <w:r>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C99F" w14:textId="77777777" w:rsidR="00B81B5E" w:rsidRDefault="00B81B5E" w:rsidP="00307F91">
      <w:r>
        <w:separator/>
      </w:r>
    </w:p>
  </w:footnote>
  <w:footnote w:type="continuationSeparator" w:id="0">
    <w:p w14:paraId="009523CC" w14:textId="77777777" w:rsidR="00B81B5E" w:rsidRDefault="00B81B5E" w:rsidP="00307F91">
      <w:r>
        <w:continuationSeparator/>
      </w:r>
    </w:p>
  </w:footnote>
  <w:footnote w:id="1">
    <w:p w14:paraId="1C202A56" w14:textId="40ABC619" w:rsidR="008E5A11" w:rsidRDefault="008E5A11" w:rsidP="008E5A11">
      <w:pPr>
        <w:pStyle w:val="FootnoteText"/>
        <w:ind w:left="-284" w:right="-284"/>
        <w:jc w:val="both"/>
      </w:pPr>
      <w:r>
        <w:rPr>
          <w:rStyle w:val="FootnoteReference"/>
        </w:rPr>
        <w:footnoteRef/>
      </w:r>
      <w:r w:rsidRPr="008E5A11">
        <w:t>Komisijas 2010.gada 12.novembra Regula (ES) Nr.1031/2010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F879" w14:textId="77777777" w:rsidR="0064386B" w:rsidRDefault="006438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5F1EF" w14:textId="77777777" w:rsidR="0064386B" w:rsidRDefault="0064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BD78" w14:textId="7679818F" w:rsidR="0064386B" w:rsidRDefault="006438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455">
      <w:rPr>
        <w:rStyle w:val="PageNumber"/>
        <w:noProof/>
      </w:rPr>
      <w:t>5</w:t>
    </w:r>
    <w:r>
      <w:rPr>
        <w:rStyle w:val="PageNumber"/>
      </w:rPr>
      <w:fldChar w:fldCharType="end"/>
    </w:r>
  </w:p>
  <w:p w14:paraId="751962EF" w14:textId="77777777" w:rsidR="0064386B" w:rsidRDefault="0064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0"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13"/>
  </w:num>
  <w:num w:numId="6">
    <w:abstractNumId w:val="1"/>
  </w:num>
  <w:num w:numId="7">
    <w:abstractNumId w:val="5"/>
  </w:num>
  <w:num w:numId="8">
    <w:abstractNumId w:val="11"/>
  </w:num>
  <w:num w:numId="9">
    <w:abstractNumId w:val="8"/>
  </w:num>
  <w:num w:numId="10">
    <w:abstractNumId w:val="12"/>
  </w:num>
  <w:num w:numId="11">
    <w:abstractNumId w:val="9"/>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0A0E"/>
    <w:rsid w:val="00002DBA"/>
    <w:rsid w:val="00004E5F"/>
    <w:rsid w:val="00006A09"/>
    <w:rsid w:val="00006C5A"/>
    <w:rsid w:val="0001063E"/>
    <w:rsid w:val="00011FD8"/>
    <w:rsid w:val="00012887"/>
    <w:rsid w:val="00014133"/>
    <w:rsid w:val="00014F75"/>
    <w:rsid w:val="00015955"/>
    <w:rsid w:val="00017F99"/>
    <w:rsid w:val="000249DD"/>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5284"/>
    <w:rsid w:val="00055E0F"/>
    <w:rsid w:val="0005640C"/>
    <w:rsid w:val="00056A65"/>
    <w:rsid w:val="00057615"/>
    <w:rsid w:val="00057B26"/>
    <w:rsid w:val="00062F73"/>
    <w:rsid w:val="0006313C"/>
    <w:rsid w:val="00064157"/>
    <w:rsid w:val="0006462B"/>
    <w:rsid w:val="00066607"/>
    <w:rsid w:val="00066834"/>
    <w:rsid w:val="00071337"/>
    <w:rsid w:val="00072749"/>
    <w:rsid w:val="000727DA"/>
    <w:rsid w:val="000767B2"/>
    <w:rsid w:val="0007708C"/>
    <w:rsid w:val="00081AA8"/>
    <w:rsid w:val="00082662"/>
    <w:rsid w:val="00087569"/>
    <w:rsid w:val="00091ADE"/>
    <w:rsid w:val="000A0B50"/>
    <w:rsid w:val="000A226D"/>
    <w:rsid w:val="000A4344"/>
    <w:rsid w:val="000A4672"/>
    <w:rsid w:val="000A4B61"/>
    <w:rsid w:val="000A6768"/>
    <w:rsid w:val="000B2411"/>
    <w:rsid w:val="000B62C2"/>
    <w:rsid w:val="000C4416"/>
    <w:rsid w:val="000C4B6B"/>
    <w:rsid w:val="000C4C14"/>
    <w:rsid w:val="000D103A"/>
    <w:rsid w:val="000D6D4B"/>
    <w:rsid w:val="000E000B"/>
    <w:rsid w:val="000E1A7C"/>
    <w:rsid w:val="000E2404"/>
    <w:rsid w:val="000E2559"/>
    <w:rsid w:val="000E3269"/>
    <w:rsid w:val="000E4B7C"/>
    <w:rsid w:val="000E59C1"/>
    <w:rsid w:val="000E6AFC"/>
    <w:rsid w:val="000E6E03"/>
    <w:rsid w:val="000F05FF"/>
    <w:rsid w:val="000F0A87"/>
    <w:rsid w:val="000F7E01"/>
    <w:rsid w:val="00101532"/>
    <w:rsid w:val="00101D41"/>
    <w:rsid w:val="0010377F"/>
    <w:rsid w:val="00104BDC"/>
    <w:rsid w:val="00111D4B"/>
    <w:rsid w:val="00112AA2"/>
    <w:rsid w:val="001144A3"/>
    <w:rsid w:val="0011609E"/>
    <w:rsid w:val="001160EE"/>
    <w:rsid w:val="00117611"/>
    <w:rsid w:val="00120E17"/>
    <w:rsid w:val="00121428"/>
    <w:rsid w:val="00123439"/>
    <w:rsid w:val="001234D7"/>
    <w:rsid w:val="00131AD0"/>
    <w:rsid w:val="00134F6F"/>
    <w:rsid w:val="00137E65"/>
    <w:rsid w:val="00142B96"/>
    <w:rsid w:val="00144DDD"/>
    <w:rsid w:val="001508FF"/>
    <w:rsid w:val="00150E43"/>
    <w:rsid w:val="001527BA"/>
    <w:rsid w:val="001553E3"/>
    <w:rsid w:val="00162CF3"/>
    <w:rsid w:val="001630FC"/>
    <w:rsid w:val="0016472F"/>
    <w:rsid w:val="00165782"/>
    <w:rsid w:val="001705A6"/>
    <w:rsid w:val="001743D4"/>
    <w:rsid w:val="00174BF2"/>
    <w:rsid w:val="00185D51"/>
    <w:rsid w:val="001908FC"/>
    <w:rsid w:val="001909DB"/>
    <w:rsid w:val="001916A1"/>
    <w:rsid w:val="00193ACB"/>
    <w:rsid w:val="001957B1"/>
    <w:rsid w:val="001A16C5"/>
    <w:rsid w:val="001A1BF2"/>
    <w:rsid w:val="001A5FFC"/>
    <w:rsid w:val="001A6741"/>
    <w:rsid w:val="001A6CA4"/>
    <w:rsid w:val="001A757D"/>
    <w:rsid w:val="001B01A2"/>
    <w:rsid w:val="001B04AA"/>
    <w:rsid w:val="001B0CA8"/>
    <w:rsid w:val="001B542C"/>
    <w:rsid w:val="001B6443"/>
    <w:rsid w:val="001B7B92"/>
    <w:rsid w:val="001C07FB"/>
    <w:rsid w:val="001C15CF"/>
    <w:rsid w:val="001C2715"/>
    <w:rsid w:val="001C4A38"/>
    <w:rsid w:val="001C5CA4"/>
    <w:rsid w:val="001D0B00"/>
    <w:rsid w:val="001D3059"/>
    <w:rsid w:val="001D4669"/>
    <w:rsid w:val="001D6DD1"/>
    <w:rsid w:val="001E0A50"/>
    <w:rsid w:val="001E0FB5"/>
    <w:rsid w:val="001E4161"/>
    <w:rsid w:val="001E5481"/>
    <w:rsid w:val="001F0B08"/>
    <w:rsid w:val="001F3005"/>
    <w:rsid w:val="001F3D07"/>
    <w:rsid w:val="001F5544"/>
    <w:rsid w:val="001F6DAB"/>
    <w:rsid w:val="001F6F87"/>
    <w:rsid w:val="00200159"/>
    <w:rsid w:val="002004B3"/>
    <w:rsid w:val="00200BDF"/>
    <w:rsid w:val="00206635"/>
    <w:rsid w:val="00214D28"/>
    <w:rsid w:val="0022130D"/>
    <w:rsid w:val="00222A16"/>
    <w:rsid w:val="00224E03"/>
    <w:rsid w:val="00231EBA"/>
    <w:rsid w:val="0023237B"/>
    <w:rsid w:val="002345AA"/>
    <w:rsid w:val="00234EB0"/>
    <w:rsid w:val="002364EA"/>
    <w:rsid w:val="00236B30"/>
    <w:rsid w:val="002379E0"/>
    <w:rsid w:val="002434E5"/>
    <w:rsid w:val="00244A8D"/>
    <w:rsid w:val="0024520E"/>
    <w:rsid w:val="0024773F"/>
    <w:rsid w:val="00250649"/>
    <w:rsid w:val="0025068D"/>
    <w:rsid w:val="00250FAE"/>
    <w:rsid w:val="002518B0"/>
    <w:rsid w:val="00257982"/>
    <w:rsid w:val="002622D9"/>
    <w:rsid w:val="00264ED6"/>
    <w:rsid w:val="00265083"/>
    <w:rsid w:val="0026526E"/>
    <w:rsid w:val="00271D3D"/>
    <w:rsid w:val="00274800"/>
    <w:rsid w:val="00274968"/>
    <w:rsid w:val="00275DEB"/>
    <w:rsid w:val="00280295"/>
    <w:rsid w:val="002810A4"/>
    <w:rsid w:val="00283D37"/>
    <w:rsid w:val="00283D6B"/>
    <w:rsid w:val="00286021"/>
    <w:rsid w:val="00286F46"/>
    <w:rsid w:val="00287FF4"/>
    <w:rsid w:val="00294DB4"/>
    <w:rsid w:val="002962A9"/>
    <w:rsid w:val="0029738A"/>
    <w:rsid w:val="002A096A"/>
    <w:rsid w:val="002A1531"/>
    <w:rsid w:val="002A2B1A"/>
    <w:rsid w:val="002A3415"/>
    <w:rsid w:val="002A4D03"/>
    <w:rsid w:val="002A6395"/>
    <w:rsid w:val="002B3C7D"/>
    <w:rsid w:val="002B54B3"/>
    <w:rsid w:val="002B57DA"/>
    <w:rsid w:val="002C0678"/>
    <w:rsid w:val="002C1C2A"/>
    <w:rsid w:val="002C28A4"/>
    <w:rsid w:val="002C2EE0"/>
    <w:rsid w:val="002C49AD"/>
    <w:rsid w:val="002C6379"/>
    <w:rsid w:val="002C7253"/>
    <w:rsid w:val="002C732E"/>
    <w:rsid w:val="002D351B"/>
    <w:rsid w:val="002D7349"/>
    <w:rsid w:val="002E1D26"/>
    <w:rsid w:val="002E4D9F"/>
    <w:rsid w:val="002F003D"/>
    <w:rsid w:val="002F0623"/>
    <w:rsid w:val="002F06C9"/>
    <w:rsid w:val="002F11F5"/>
    <w:rsid w:val="002F1BCF"/>
    <w:rsid w:val="002F2AE8"/>
    <w:rsid w:val="002F7022"/>
    <w:rsid w:val="00303934"/>
    <w:rsid w:val="00304A88"/>
    <w:rsid w:val="00306216"/>
    <w:rsid w:val="00306758"/>
    <w:rsid w:val="00307F91"/>
    <w:rsid w:val="00312436"/>
    <w:rsid w:val="00312954"/>
    <w:rsid w:val="003161E0"/>
    <w:rsid w:val="00320C04"/>
    <w:rsid w:val="00322288"/>
    <w:rsid w:val="003333C1"/>
    <w:rsid w:val="00334888"/>
    <w:rsid w:val="00336D00"/>
    <w:rsid w:val="00337BC3"/>
    <w:rsid w:val="00337DF4"/>
    <w:rsid w:val="0034120C"/>
    <w:rsid w:val="00341B94"/>
    <w:rsid w:val="0034340E"/>
    <w:rsid w:val="00346BE5"/>
    <w:rsid w:val="0035158F"/>
    <w:rsid w:val="003516A5"/>
    <w:rsid w:val="00352246"/>
    <w:rsid w:val="00356259"/>
    <w:rsid w:val="00361E18"/>
    <w:rsid w:val="00364132"/>
    <w:rsid w:val="00367644"/>
    <w:rsid w:val="00371759"/>
    <w:rsid w:val="00372373"/>
    <w:rsid w:val="00373F3C"/>
    <w:rsid w:val="003747BC"/>
    <w:rsid w:val="0037779B"/>
    <w:rsid w:val="0038018B"/>
    <w:rsid w:val="00383CB3"/>
    <w:rsid w:val="003842AD"/>
    <w:rsid w:val="00384954"/>
    <w:rsid w:val="003855A1"/>
    <w:rsid w:val="00386F82"/>
    <w:rsid w:val="00390B89"/>
    <w:rsid w:val="00392049"/>
    <w:rsid w:val="00393747"/>
    <w:rsid w:val="003939AF"/>
    <w:rsid w:val="003A7DBE"/>
    <w:rsid w:val="003B111F"/>
    <w:rsid w:val="003B1E9D"/>
    <w:rsid w:val="003B5CA5"/>
    <w:rsid w:val="003B6D36"/>
    <w:rsid w:val="003B7B41"/>
    <w:rsid w:val="003B7FB3"/>
    <w:rsid w:val="003C1EC2"/>
    <w:rsid w:val="003C35FC"/>
    <w:rsid w:val="003C44C3"/>
    <w:rsid w:val="003D46EE"/>
    <w:rsid w:val="003D68C6"/>
    <w:rsid w:val="003E0413"/>
    <w:rsid w:val="003E3992"/>
    <w:rsid w:val="003E4364"/>
    <w:rsid w:val="003E47EC"/>
    <w:rsid w:val="003E5782"/>
    <w:rsid w:val="003F00B9"/>
    <w:rsid w:val="003F2E7C"/>
    <w:rsid w:val="003F3CF9"/>
    <w:rsid w:val="003F4153"/>
    <w:rsid w:val="003F4912"/>
    <w:rsid w:val="00407DAE"/>
    <w:rsid w:val="00413666"/>
    <w:rsid w:val="00420378"/>
    <w:rsid w:val="004203C6"/>
    <w:rsid w:val="00421608"/>
    <w:rsid w:val="004227B7"/>
    <w:rsid w:val="00423A8D"/>
    <w:rsid w:val="00427EF7"/>
    <w:rsid w:val="00433EF1"/>
    <w:rsid w:val="00436AF0"/>
    <w:rsid w:val="00440C2F"/>
    <w:rsid w:val="00442BC4"/>
    <w:rsid w:val="0044559A"/>
    <w:rsid w:val="00445809"/>
    <w:rsid w:val="00451190"/>
    <w:rsid w:val="004511E2"/>
    <w:rsid w:val="0045346B"/>
    <w:rsid w:val="0045402D"/>
    <w:rsid w:val="00462EE4"/>
    <w:rsid w:val="00463B7A"/>
    <w:rsid w:val="00463F4C"/>
    <w:rsid w:val="004662CA"/>
    <w:rsid w:val="00467B1E"/>
    <w:rsid w:val="00471BA0"/>
    <w:rsid w:val="00476ED8"/>
    <w:rsid w:val="00480567"/>
    <w:rsid w:val="00482AE6"/>
    <w:rsid w:val="0048302F"/>
    <w:rsid w:val="00483309"/>
    <w:rsid w:val="00485D13"/>
    <w:rsid w:val="00486E67"/>
    <w:rsid w:val="00492425"/>
    <w:rsid w:val="004926D8"/>
    <w:rsid w:val="00493DFA"/>
    <w:rsid w:val="004944AC"/>
    <w:rsid w:val="00496027"/>
    <w:rsid w:val="004964F3"/>
    <w:rsid w:val="00497891"/>
    <w:rsid w:val="004A2909"/>
    <w:rsid w:val="004A6F46"/>
    <w:rsid w:val="004A769B"/>
    <w:rsid w:val="004B0506"/>
    <w:rsid w:val="004B0A81"/>
    <w:rsid w:val="004B1347"/>
    <w:rsid w:val="004B4259"/>
    <w:rsid w:val="004B46CC"/>
    <w:rsid w:val="004B4F8F"/>
    <w:rsid w:val="004B67A7"/>
    <w:rsid w:val="004B6FE4"/>
    <w:rsid w:val="004B777B"/>
    <w:rsid w:val="004C0B72"/>
    <w:rsid w:val="004C180B"/>
    <w:rsid w:val="004C5661"/>
    <w:rsid w:val="004D0297"/>
    <w:rsid w:val="004D04BD"/>
    <w:rsid w:val="004D3BED"/>
    <w:rsid w:val="004D4536"/>
    <w:rsid w:val="004D5597"/>
    <w:rsid w:val="004D7199"/>
    <w:rsid w:val="004E2B6F"/>
    <w:rsid w:val="004E5F5B"/>
    <w:rsid w:val="004E7CF0"/>
    <w:rsid w:val="004F1931"/>
    <w:rsid w:val="004F38A9"/>
    <w:rsid w:val="0050281A"/>
    <w:rsid w:val="005028AA"/>
    <w:rsid w:val="00503E32"/>
    <w:rsid w:val="0051168E"/>
    <w:rsid w:val="00513E04"/>
    <w:rsid w:val="0051436E"/>
    <w:rsid w:val="005205AB"/>
    <w:rsid w:val="0052636A"/>
    <w:rsid w:val="00526B54"/>
    <w:rsid w:val="00531471"/>
    <w:rsid w:val="00531E88"/>
    <w:rsid w:val="00532B5A"/>
    <w:rsid w:val="005345AE"/>
    <w:rsid w:val="00542A94"/>
    <w:rsid w:val="005451E0"/>
    <w:rsid w:val="00545361"/>
    <w:rsid w:val="0055077D"/>
    <w:rsid w:val="005553B8"/>
    <w:rsid w:val="00557597"/>
    <w:rsid w:val="00560603"/>
    <w:rsid w:val="00561FE8"/>
    <w:rsid w:val="005712FB"/>
    <w:rsid w:val="00571380"/>
    <w:rsid w:val="005713ED"/>
    <w:rsid w:val="00573124"/>
    <w:rsid w:val="00574A93"/>
    <w:rsid w:val="0057762E"/>
    <w:rsid w:val="00580A94"/>
    <w:rsid w:val="00581E68"/>
    <w:rsid w:val="00584EEF"/>
    <w:rsid w:val="00585A8A"/>
    <w:rsid w:val="0058674E"/>
    <w:rsid w:val="005870C4"/>
    <w:rsid w:val="00592684"/>
    <w:rsid w:val="0059424B"/>
    <w:rsid w:val="005A031C"/>
    <w:rsid w:val="005A4EDF"/>
    <w:rsid w:val="005A53F6"/>
    <w:rsid w:val="005A5D8E"/>
    <w:rsid w:val="005A7DAE"/>
    <w:rsid w:val="005B1ED1"/>
    <w:rsid w:val="005B31E5"/>
    <w:rsid w:val="005B422D"/>
    <w:rsid w:val="005B7D53"/>
    <w:rsid w:val="005C1BBC"/>
    <w:rsid w:val="005C49E2"/>
    <w:rsid w:val="005D09FF"/>
    <w:rsid w:val="005D26D2"/>
    <w:rsid w:val="005D5BCF"/>
    <w:rsid w:val="005D6FA3"/>
    <w:rsid w:val="005D788F"/>
    <w:rsid w:val="005E3235"/>
    <w:rsid w:val="005E36C8"/>
    <w:rsid w:val="005E4CF6"/>
    <w:rsid w:val="005F0811"/>
    <w:rsid w:val="005F2990"/>
    <w:rsid w:val="005F2A70"/>
    <w:rsid w:val="005F3346"/>
    <w:rsid w:val="005F4173"/>
    <w:rsid w:val="005F4937"/>
    <w:rsid w:val="005F5A14"/>
    <w:rsid w:val="006001D6"/>
    <w:rsid w:val="00601125"/>
    <w:rsid w:val="00601509"/>
    <w:rsid w:val="006037E9"/>
    <w:rsid w:val="00606DEA"/>
    <w:rsid w:val="006071D8"/>
    <w:rsid w:val="006071E6"/>
    <w:rsid w:val="00611697"/>
    <w:rsid w:val="00614262"/>
    <w:rsid w:val="00633830"/>
    <w:rsid w:val="006354EA"/>
    <w:rsid w:val="00637121"/>
    <w:rsid w:val="00641A07"/>
    <w:rsid w:val="00641C65"/>
    <w:rsid w:val="0064216D"/>
    <w:rsid w:val="00642468"/>
    <w:rsid w:val="0064386B"/>
    <w:rsid w:val="00644E0D"/>
    <w:rsid w:val="00650716"/>
    <w:rsid w:val="00652C82"/>
    <w:rsid w:val="00655218"/>
    <w:rsid w:val="00656182"/>
    <w:rsid w:val="00656EAD"/>
    <w:rsid w:val="006572D9"/>
    <w:rsid w:val="00665E37"/>
    <w:rsid w:val="00666EDF"/>
    <w:rsid w:val="00671B74"/>
    <w:rsid w:val="00673358"/>
    <w:rsid w:val="006747EB"/>
    <w:rsid w:val="00680E17"/>
    <w:rsid w:val="00683908"/>
    <w:rsid w:val="00685105"/>
    <w:rsid w:val="00687FC8"/>
    <w:rsid w:val="006A17D0"/>
    <w:rsid w:val="006A1DAB"/>
    <w:rsid w:val="006A5605"/>
    <w:rsid w:val="006A576C"/>
    <w:rsid w:val="006B39F1"/>
    <w:rsid w:val="006B53D5"/>
    <w:rsid w:val="006B5DF6"/>
    <w:rsid w:val="006B6475"/>
    <w:rsid w:val="006B7CD1"/>
    <w:rsid w:val="006B7E38"/>
    <w:rsid w:val="006C164D"/>
    <w:rsid w:val="006C505A"/>
    <w:rsid w:val="006C6FD8"/>
    <w:rsid w:val="006C7475"/>
    <w:rsid w:val="006D14BA"/>
    <w:rsid w:val="006D3457"/>
    <w:rsid w:val="006D3E44"/>
    <w:rsid w:val="006D73C8"/>
    <w:rsid w:val="006E0762"/>
    <w:rsid w:val="006E150B"/>
    <w:rsid w:val="006E4D1C"/>
    <w:rsid w:val="006E65D8"/>
    <w:rsid w:val="006E6803"/>
    <w:rsid w:val="006F4286"/>
    <w:rsid w:val="006F69BF"/>
    <w:rsid w:val="006F7463"/>
    <w:rsid w:val="006F7EE0"/>
    <w:rsid w:val="0070088C"/>
    <w:rsid w:val="00701361"/>
    <w:rsid w:val="007020C0"/>
    <w:rsid w:val="0070317C"/>
    <w:rsid w:val="00704A56"/>
    <w:rsid w:val="00706E88"/>
    <w:rsid w:val="00710172"/>
    <w:rsid w:val="00713EE5"/>
    <w:rsid w:val="00715E3A"/>
    <w:rsid w:val="00716AFE"/>
    <w:rsid w:val="00721B2F"/>
    <w:rsid w:val="00722E2C"/>
    <w:rsid w:val="0072418D"/>
    <w:rsid w:val="00725C81"/>
    <w:rsid w:val="00726A39"/>
    <w:rsid w:val="00733F2A"/>
    <w:rsid w:val="0073475A"/>
    <w:rsid w:val="0073699C"/>
    <w:rsid w:val="007379DC"/>
    <w:rsid w:val="007406A5"/>
    <w:rsid w:val="0074219B"/>
    <w:rsid w:val="00742683"/>
    <w:rsid w:val="007439A7"/>
    <w:rsid w:val="00743B6F"/>
    <w:rsid w:val="00750184"/>
    <w:rsid w:val="0075049C"/>
    <w:rsid w:val="007506F9"/>
    <w:rsid w:val="007557D0"/>
    <w:rsid w:val="00756F45"/>
    <w:rsid w:val="007578EB"/>
    <w:rsid w:val="0076286A"/>
    <w:rsid w:val="00763232"/>
    <w:rsid w:val="0076397D"/>
    <w:rsid w:val="00767BC3"/>
    <w:rsid w:val="00767C9D"/>
    <w:rsid w:val="007753EB"/>
    <w:rsid w:val="00775869"/>
    <w:rsid w:val="00776B90"/>
    <w:rsid w:val="007802D0"/>
    <w:rsid w:val="007831F9"/>
    <w:rsid w:val="00783723"/>
    <w:rsid w:val="00791AE3"/>
    <w:rsid w:val="0079227F"/>
    <w:rsid w:val="007926CA"/>
    <w:rsid w:val="007947DD"/>
    <w:rsid w:val="00797DF5"/>
    <w:rsid w:val="007A0B07"/>
    <w:rsid w:val="007A2DA8"/>
    <w:rsid w:val="007A3C99"/>
    <w:rsid w:val="007A40DB"/>
    <w:rsid w:val="007A44C1"/>
    <w:rsid w:val="007B44DB"/>
    <w:rsid w:val="007C50AE"/>
    <w:rsid w:val="007C6658"/>
    <w:rsid w:val="007D39A7"/>
    <w:rsid w:val="007E2EEA"/>
    <w:rsid w:val="007E3CB9"/>
    <w:rsid w:val="007F0AF9"/>
    <w:rsid w:val="007F3EED"/>
    <w:rsid w:val="00801DD7"/>
    <w:rsid w:val="00804C5C"/>
    <w:rsid w:val="00805831"/>
    <w:rsid w:val="00805C4F"/>
    <w:rsid w:val="00811C09"/>
    <w:rsid w:val="00814B36"/>
    <w:rsid w:val="008200C5"/>
    <w:rsid w:val="0083088E"/>
    <w:rsid w:val="00831A54"/>
    <w:rsid w:val="008363CD"/>
    <w:rsid w:val="00841793"/>
    <w:rsid w:val="00847FFC"/>
    <w:rsid w:val="0085065F"/>
    <w:rsid w:val="00852C47"/>
    <w:rsid w:val="008532CC"/>
    <w:rsid w:val="008546C6"/>
    <w:rsid w:val="00856969"/>
    <w:rsid w:val="00862BC1"/>
    <w:rsid w:val="008635AF"/>
    <w:rsid w:val="008670FF"/>
    <w:rsid w:val="00870FC5"/>
    <w:rsid w:val="00873D0D"/>
    <w:rsid w:val="008835C4"/>
    <w:rsid w:val="008866B4"/>
    <w:rsid w:val="008928FB"/>
    <w:rsid w:val="00894168"/>
    <w:rsid w:val="008957A3"/>
    <w:rsid w:val="00896556"/>
    <w:rsid w:val="00896653"/>
    <w:rsid w:val="00896E29"/>
    <w:rsid w:val="008A24ED"/>
    <w:rsid w:val="008A365B"/>
    <w:rsid w:val="008B348F"/>
    <w:rsid w:val="008C1E67"/>
    <w:rsid w:val="008C2E69"/>
    <w:rsid w:val="008C3B6B"/>
    <w:rsid w:val="008C5531"/>
    <w:rsid w:val="008C5700"/>
    <w:rsid w:val="008C5D3D"/>
    <w:rsid w:val="008C7482"/>
    <w:rsid w:val="008C7EF7"/>
    <w:rsid w:val="008D229C"/>
    <w:rsid w:val="008D3058"/>
    <w:rsid w:val="008D3A5D"/>
    <w:rsid w:val="008D4493"/>
    <w:rsid w:val="008D4789"/>
    <w:rsid w:val="008D4B2B"/>
    <w:rsid w:val="008D4C4F"/>
    <w:rsid w:val="008D5BE3"/>
    <w:rsid w:val="008E2419"/>
    <w:rsid w:val="008E2AE8"/>
    <w:rsid w:val="008E4B90"/>
    <w:rsid w:val="008E4D69"/>
    <w:rsid w:val="008E5A11"/>
    <w:rsid w:val="008F26D3"/>
    <w:rsid w:val="008F4E65"/>
    <w:rsid w:val="0090332E"/>
    <w:rsid w:val="00904244"/>
    <w:rsid w:val="00904A05"/>
    <w:rsid w:val="009052B6"/>
    <w:rsid w:val="00907062"/>
    <w:rsid w:val="00911905"/>
    <w:rsid w:val="00912177"/>
    <w:rsid w:val="00913CA2"/>
    <w:rsid w:val="00914864"/>
    <w:rsid w:val="00915C55"/>
    <w:rsid w:val="00922CD6"/>
    <w:rsid w:val="00924D41"/>
    <w:rsid w:val="00925455"/>
    <w:rsid w:val="009326AF"/>
    <w:rsid w:val="00933E9E"/>
    <w:rsid w:val="00934114"/>
    <w:rsid w:val="00937053"/>
    <w:rsid w:val="00941F0C"/>
    <w:rsid w:val="0094406A"/>
    <w:rsid w:val="009463A5"/>
    <w:rsid w:val="00946C15"/>
    <w:rsid w:val="00947BDB"/>
    <w:rsid w:val="00950E66"/>
    <w:rsid w:val="00962889"/>
    <w:rsid w:val="00966FA0"/>
    <w:rsid w:val="0097383A"/>
    <w:rsid w:val="00977C87"/>
    <w:rsid w:val="0098003D"/>
    <w:rsid w:val="00991759"/>
    <w:rsid w:val="00991BE9"/>
    <w:rsid w:val="00992A96"/>
    <w:rsid w:val="00994EC3"/>
    <w:rsid w:val="0099553D"/>
    <w:rsid w:val="00997084"/>
    <w:rsid w:val="009A2F57"/>
    <w:rsid w:val="009A5BAF"/>
    <w:rsid w:val="009B0E7A"/>
    <w:rsid w:val="009B206D"/>
    <w:rsid w:val="009B2E19"/>
    <w:rsid w:val="009B3252"/>
    <w:rsid w:val="009B3A31"/>
    <w:rsid w:val="009B3AB7"/>
    <w:rsid w:val="009B734A"/>
    <w:rsid w:val="009C09C1"/>
    <w:rsid w:val="009D1172"/>
    <w:rsid w:val="009D1535"/>
    <w:rsid w:val="009D6FC0"/>
    <w:rsid w:val="009D70B8"/>
    <w:rsid w:val="009D721D"/>
    <w:rsid w:val="009E1EE8"/>
    <w:rsid w:val="009E353B"/>
    <w:rsid w:val="009E513B"/>
    <w:rsid w:val="009E5EE3"/>
    <w:rsid w:val="009E6D5A"/>
    <w:rsid w:val="00A017D4"/>
    <w:rsid w:val="00A023CB"/>
    <w:rsid w:val="00A0281D"/>
    <w:rsid w:val="00A0586F"/>
    <w:rsid w:val="00A14357"/>
    <w:rsid w:val="00A14B4F"/>
    <w:rsid w:val="00A16785"/>
    <w:rsid w:val="00A17F43"/>
    <w:rsid w:val="00A20647"/>
    <w:rsid w:val="00A26C12"/>
    <w:rsid w:val="00A3584E"/>
    <w:rsid w:val="00A369FE"/>
    <w:rsid w:val="00A37FA4"/>
    <w:rsid w:val="00A42E91"/>
    <w:rsid w:val="00A43FE0"/>
    <w:rsid w:val="00A4711D"/>
    <w:rsid w:val="00A50E30"/>
    <w:rsid w:val="00A6283F"/>
    <w:rsid w:val="00A64381"/>
    <w:rsid w:val="00A6515D"/>
    <w:rsid w:val="00A7137A"/>
    <w:rsid w:val="00A75371"/>
    <w:rsid w:val="00A75B3A"/>
    <w:rsid w:val="00A76F6E"/>
    <w:rsid w:val="00A77B78"/>
    <w:rsid w:val="00A817F9"/>
    <w:rsid w:val="00A85C04"/>
    <w:rsid w:val="00A95D0E"/>
    <w:rsid w:val="00A964B7"/>
    <w:rsid w:val="00A9688C"/>
    <w:rsid w:val="00AA0019"/>
    <w:rsid w:val="00AA0470"/>
    <w:rsid w:val="00AA0B9B"/>
    <w:rsid w:val="00AA0F87"/>
    <w:rsid w:val="00AA1585"/>
    <w:rsid w:val="00AA1DAF"/>
    <w:rsid w:val="00AA1F45"/>
    <w:rsid w:val="00AA3CC0"/>
    <w:rsid w:val="00AB5672"/>
    <w:rsid w:val="00AC150D"/>
    <w:rsid w:val="00AC45EB"/>
    <w:rsid w:val="00AC503C"/>
    <w:rsid w:val="00AD04AE"/>
    <w:rsid w:val="00AD3824"/>
    <w:rsid w:val="00AD45C6"/>
    <w:rsid w:val="00AD5771"/>
    <w:rsid w:val="00AD78FC"/>
    <w:rsid w:val="00AE1161"/>
    <w:rsid w:val="00AE45A1"/>
    <w:rsid w:val="00AF0852"/>
    <w:rsid w:val="00AF33EF"/>
    <w:rsid w:val="00B03647"/>
    <w:rsid w:val="00B06B55"/>
    <w:rsid w:val="00B07284"/>
    <w:rsid w:val="00B07F05"/>
    <w:rsid w:val="00B11354"/>
    <w:rsid w:val="00B20C7E"/>
    <w:rsid w:val="00B235FE"/>
    <w:rsid w:val="00B23EFB"/>
    <w:rsid w:val="00B2480B"/>
    <w:rsid w:val="00B258BF"/>
    <w:rsid w:val="00B25957"/>
    <w:rsid w:val="00B25FAF"/>
    <w:rsid w:val="00B311BF"/>
    <w:rsid w:val="00B36769"/>
    <w:rsid w:val="00B367A6"/>
    <w:rsid w:val="00B36BBD"/>
    <w:rsid w:val="00B43D83"/>
    <w:rsid w:val="00B44093"/>
    <w:rsid w:val="00B4410B"/>
    <w:rsid w:val="00B46D45"/>
    <w:rsid w:val="00B52BAE"/>
    <w:rsid w:val="00B5571C"/>
    <w:rsid w:val="00B55733"/>
    <w:rsid w:val="00B56972"/>
    <w:rsid w:val="00B6132A"/>
    <w:rsid w:val="00B657BD"/>
    <w:rsid w:val="00B659FF"/>
    <w:rsid w:val="00B67E0A"/>
    <w:rsid w:val="00B708AC"/>
    <w:rsid w:val="00B727B0"/>
    <w:rsid w:val="00B74289"/>
    <w:rsid w:val="00B81B5E"/>
    <w:rsid w:val="00B85402"/>
    <w:rsid w:val="00B9016E"/>
    <w:rsid w:val="00B9242C"/>
    <w:rsid w:val="00B92BC2"/>
    <w:rsid w:val="00B933EE"/>
    <w:rsid w:val="00B9467A"/>
    <w:rsid w:val="00B9570B"/>
    <w:rsid w:val="00B963A3"/>
    <w:rsid w:val="00B96EB9"/>
    <w:rsid w:val="00B97553"/>
    <w:rsid w:val="00B97E2D"/>
    <w:rsid w:val="00BA0166"/>
    <w:rsid w:val="00BA0F15"/>
    <w:rsid w:val="00BA6A29"/>
    <w:rsid w:val="00BA7031"/>
    <w:rsid w:val="00BA7343"/>
    <w:rsid w:val="00BB1397"/>
    <w:rsid w:val="00BB238C"/>
    <w:rsid w:val="00BB5CE6"/>
    <w:rsid w:val="00BB703F"/>
    <w:rsid w:val="00BC0E1B"/>
    <w:rsid w:val="00BC1A88"/>
    <w:rsid w:val="00BC3958"/>
    <w:rsid w:val="00BC76D1"/>
    <w:rsid w:val="00BD265A"/>
    <w:rsid w:val="00BD2EB5"/>
    <w:rsid w:val="00BD43EC"/>
    <w:rsid w:val="00BD60E2"/>
    <w:rsid w:val="00BE09B5"/>
    <w:rsid w:val="00BE4094"/>
    <w:rsid w:val="00BE5986"/>
    <w:rsid w:val="00BF3DD6"/>
    <w:rsid w:val="00BF6672"/>
    <w:rsid w:val="00BF7311"/>
    <w:rsid w:val="00C015BB"/>
    <w:rsid w:val="00C1036E"/>
    <w:rsid w:val="00C1051F"/>
    <w:rsid w:val="00C10A08"/>
    <w:rsid w:val="00C10CAF"/>
    <w:rsid w:val="00C13A70"/>
    <w:rsid w:val="00C1722C"/>
    <w:rsid w:val="00C22703"/>
    <w:rsid w:val="00C330BE"/>
    <w:rsid w:val="00C35E85"/>
    <w:rsid w:val="00C3648C"/>
    <w:rsid w:val="00C427B4"/>
    <w:rsid w:val="00C45363"/>
    <w:rsid w:val="00C5160D"/>
    <w:rsid w:val="00C5294E"/>
    <w:rsid w:val="00C54094"/>
    <w:rsid w:val="00C5433E"/>
    <w:rsid w:val="00C55C14"/>
    <w:rsid w:val="00C6090B"/>
    <w:rsid w:val="00C617A7"/>
    <w:rsid w:val="00C62B63"/>
    <w:rsid w:val="00C66D6A"/>
    <w:rsid w:val="00C72040"/>
    <w:rsid w:val="00C77757"/>
    <w:rsid w:val="00C81D07"/>
    <w:rsid w:val="00C84E9A"/>
    <w:rsid w:val="00C90FFC"/>
    <w:rsid w:val="00C9236F"/>
    <w:rsid w:val="00C96569"/>
    <w:rsid w:val="00C968DF"/>
    <w:rsid w:val="00C96C5E"/>
    <w:rsid w:val="00C97C13"/>
    <w:rsid w:val="00CA1850"/>
    <w:rsid w:val="00CA2026"/>
    <w:rsid w:val="00CA555A"/>
    <w:rsid w:val="00CA6804"/>
    <w:rsid w:val="00CA7DB5"/>
    <w:rsid w:val="00CB42E0"/>
    <w:rsid w:val="00CC0B44"/>
    <w:rsid w:val="00CC1EDA"/>
    <w:rsid w:val="00CC277D"/>
    <w:rsid w:val="00CC749F"/>
    <w:rsid w:val="00CE0B18"/>
    <w:rsid w:val="00CE11CD"/>
    <w:rsid w:val="00CE1D07"/>
    <w:rsid w:val="00CE1E43"/>
    <w:rsid w:val="00CE212E"/>
    <w:rsid w:val="00CE2908"/>
    <w:rsid w:val="00CE36E4"/>
    <w:rsid w:val="00CE63F8"/>
    <w:rsid w:val="00CF1E4B"/>
    <w:rsid w:val="00CF5666"/>
    <w:rsid w:val="00CF6034"/>
    <w:rsid w:val="00CF724B"/>
    <w:rsid w:val="00CF76EC"/>
    <w:rsid w:val="00D00A19"/>
    <w:rsid w:val="00D06852"/>
    <w:rsid w:val="00D06D17"/>
    <w:rsid w:val="00D1100B"/>
    <w:rsid w:val="00D11687"/>
    <w:rsid w:val="00D12825"/>
    <w:rsid w:val="00D14039"/>
    <w:rsid w:val="00D16078"/>
    <w:rsid w:val="00D17C67"/>
    <w:rsid w:val="00D20ABA"/>
    <w:rsid w:val="00D21561"/>
    <w:rsid w:val="00D223CE"/>
    <w:rsid w:val="00D24006"/>
    <w:rsid w:val="00D24256"/>
    <w:rsid w:val="00D344EE"/>
    <w:rsid w:val="00D34939"/>
    <w:rsid w:val="00D3592A"/>
    <w:rsid w:val="00D3628C"/>
    <w:rsid w:val="00D40256"/>
    <w:rsid w:val="00D409B4"/>
    <w:rsid w:val="00D413C2"/>
    <w:rsid w:val="00D43DCF"/>
    <w:rsid w:val="00D44A6A"/>
    <w:rsid w:val="00D44AC1"/>
    <w:rsid w:val="00D530B2"/>
    <w:rsid w:val="00D56C08"/>
    <w:rsid w:val="00D61240"/>
    <w:rsid w:val="00D617AE"/>
    <w:rsid w:val="00D61E02"/>
    <w:rsid w:val="00D633B1"/>
    <w:rsid w:val="00D6698A"/>
    <w:rsid w:val="00D67EFF"/>
    <w:rsid w:val="00D7058A"/>
    <w:rsid w:val="00D72639"/>
    <w:rsid w:val="00D73772"/>
    <w:rsid w:val="00D7614B"/>
    <w:rsid w:val="00D816B4"/>
    <w:rsid w:val="00D84A1A"/>
    <w:rsid w:val="00D86028"/>
    <w:rsid w:val="00D86709"/>
    <w:rsid w:val="00D86D25"/>
    <w:rsid w:val="00D8761C"/>
    <w:rsid w:val="00D90079"/>
    <w:rsid w:val="00D9029F"/>
    <w:rsid w:val="00D90F2D"/>
    <w:rsid w:val="00D91953"/>
    <w:rsid w:val="00D934AF"/>
    <w:rsid w:val="00D94E38"/>
    <w:rsid w:val="00DB1ACE"/>
    <w:rsid w:val="00DB55CF"/>
    <w:rsid w:val="00DB5EBA"/>
    <w:rsid w:val="00DB6676"/>
    <w:rsid w:val="00DB66DB"/>
    <w:rsid w:val="00DB6927"/>
    <w:rsid w:val="00DC02C1"/>
    <w:rsid w:val="00DC689C"/>
    <w:rsid w:val="00DC76A7"/>
    <w:rsid w:val="00DD062A"/>
    <w:rsid w:val="00DD253E"/>
    <w:rsid w:val="00DD510B"/>
    <w:rsid w:val="00DE199F"/>
    <w:rsid w:val="00DE21B0"/>
    <w:rsid w:val="00DE436B"/>
    <w:rsid w:val="00DE4588"/>
    <w:rsid w:val="00DE7621"/>
    <w:rsid w:val="00DF0B3F"/>
    <w:rsid w:val="00DF2792"/>
    <w:rsid w:val="00DF3CEC"/>
    <w:rsid w:val="00DF5C90"/>
    <w:rsid w:val="00DF5DEE"/>
    <w:rsid w:val="00DF6B39"/>
    <w:rsid w:val="00DF7D4A"/>
    <w:rsid w:val="00E0016E"/>
    <w:rsid w:val="00E0232D"/>
    <w:rsid w:val="00E20DC3"/>
    <w:rsid w:val="00E21FA7"/>
    <w:rsid w:val="00E226BA"/>
    <w:rsid w:val="00E231F4"/>
    <w:rsid w:val="00E26D9E"/>
    <w:rsid w:val="00E271FB"/>
    <w:rsid w:val="00E33115"/>
    <w:rsid w:val="00E33BB8"/>
    <w:rsid w:val="00E341CF"/>
    <w:rsid w:val="00E37839"/>
    <w:rsid w:val="00E40BA9"/>
    <w:rsid w:val="00E41532"/>
    <w:rsid w:val="00E41C8E"/>
    <w:rsid w:val="00E51617"/>
    <w:rsid w:val="00E53471"/>
    <w:rsid w:val="00E53E7A"/>
    <w:rsid w:val="00E548CA"/>
    <w:rsid w:val="00E61A74"/>
    <w:rsid w:val="00E638BF"/>
    <w:rsid w:val="00E70200"/>
    <w:rsid w:val="00E7059D"/>
    <w:rsid w:val="00E719DE"/>
    <w:rsid w:val="00E7516A"/>
    <w:rsid w:val="00E752D9"/>
    <w:rsid w:val="00E80238"/>
    <w:rsid w:val="00E9007C"/>
    <w:rsid w:val="00E95CE5"/>
    <w:rsid w:val="00EA6B11"/>
    <w:rsid w:val="00EB0487"/>
    <w:rsid w:val="00EB0A0E"/>
    <w:rsid w:val="00EB1107"/>
    <w:rsid w:val="00EB431E"/>
    <w:rsid w:val="00EB5517"/>
    <w:rsid w:val="00EB6E7A"/>
    <w:rsid w:val="00EB763E"/>
    <w:rsid w:val="00EC05D2"/>
    <w:rsid w:val="00EC0948"/>
    <w:rsid w:val="00EC6090"/>
    <w:rsid w:val="00EC6E07"/>
    <w:rsid w:val="00EC7696"/>
    <w:rsid w:val="00ED0F5A"/>
    <w:rsid w:val="00ED1909"/>
    <w:rsid w:val="00ED66B3"/>
    <w:rsid w:val="00EE1379"/>
    <w:rsid w:val="00EE657E"/>
    <w:rsid w:val="00EE7DA5"/>
    <w:rsid w:val="00EF3A96"/>
    <w:rsid w:val="00EF5638"/>
    <w:rsid w:val="00EF5767"/>
    <w:rsid w:val="00EF6971"/>
    <w:rsid w:val="00F05152"/>
    <w:rsid w:val="00F074ED"/>
    <w:rsid w:val="00F132DD"/>
    <w:rsid w:val="00F1446B"/>
    <w:rsid w:val="00F1566F"/>
    <w:rsid w:val="00F247F8"/>
    <w:rsid w:val="00F465D3"/>
    <w:rsid w:val="00F4680A"/>
    <w:rsid w:val="00F509F1"/>
    <w:rsid w:val="00F51403"/>
    <w:rsid w:val="00F54947"/>
    <w:rsid w:val="00F5633C"/>
    <w:rsid w:val="00F56C41"/>
    <w:rsid w:val="00F60C47"/>
    <w:rsid w:val="00F64D7E"/>
    <w:rsid w:val="00F64EE9"/>
    <w:rsid w:val="00F726A0"/>
    <w:rsid w:val="00F77BFC"/>
    <w:rsid w:val="00F81D4C"/>
    <w:rsid w:val="00F82D99"/>
    <w:rsid w:val="00F83001"/>
    <w:rsid w:val="00F84E79"/>
    <w:rsid w:val="00F85CA7"/>
    <w:rsid w:val="00F86B33"/>
    <w:rsid w:val="00F870B7"/>
    <w:rsid w:val="00F87C00"/>
    <w:rsid w:val="00F9159D"/>
    <w:rsid w:val="00F9323D"/>
    <w:rsid w:val="00FB1DBC"/>
    <w:rsid w:val="00FB2146"/>
    <w:rsid w:val="00FB56A6"/>
    <w:rsid w:val="00FB7C0B"/>
    <w:rsid w:val="00FC0B65"/>
    <w:rsid w:val="00FC159B"/>
    <w:rsid w:val="00FC2C34"/>
    <w:rsid w:val="00FC5894"/>
    <w:rsid w:val="00FD0455"/>
    <w:rsid w:val="00FD0DA9"/>
    <w:rsid w:val="00FE38EE"/>
    <w:rsid w:val="00FE3EC5"/>
    <w:rsid w:val="00FE4B33"/>
    <w:rsid w:val="00FE7155"/>
    <w:rsid w:val="00FF32DC"/>
    <w:rsid w:val="00FF3526"/>
    <w:rsid w:val="00FF3A3F"/>
    <w:rsid w:val="00FF4337"/>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E391"/>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character" w:styleId="Hyperlink">
    <w:name w:val="Hyperlink"/>
    <w:basedOn w:val="DefaultParagraphFont"/>
    <w:uiPriority w:val="99"/>
    <w:unhideWhenUsed/>
    <w:rsid w:val="0050281A"/>
    <w:rPr>
      <w:color w:val="0000FF" w:themeColor="hyperlink"/>
      <w:u w:val="single"/>
    </w:rPr>
  </w:style>
  <w:style w:type="character" w:styleId="FootnoteReference">
    <w:name w:val="footnote reference"/>
    <w:basedOn w:val="DefaultParagraphFont"/>
    <w:uiPriority w:val="99"/>
    <w:semiHidden/>
    <w:unhideWhenUsed/>
    <w:rsid w:val="00F64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104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1C292440-6D63-44F4-9476-DA3E1C5D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7FEAD7-0589-4330-B606-13237C6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2249</Words>
  <Characters>16198</Characters>
  <Application>Microsoft Office Word</Application>
  <DocSecurity>0</DocSecurity>
  <Lines>352</Lines>
  <Paragraphs>107</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27.decembra noteikumos Nr.1032 „Noteikumi par budžetu ieņēmumu klasifikāciju”" sākotnējās ietekmes novērtējuma ziņojums (anotācija)</vt:lpstr>
    </vt:vector>
  </TitlesOfParts>
  <Company>Finanšu ministrija</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27.decembra noteikumos Nr.1032 „Noteikumi par budžetu ieņēmumu klasifikāciju”" sākotnējās ietekmes novērtējuma ziņojums (anotācija)</dc:title>
  <dc:subject>Anotācija</dc:subject>
  <dc:creator>R.Čablis</dc:creator>
  <dc:description>67095498, raivis.cablis@fm.gov.lv</dc:description>
  <cp:lastModifiedBy>Raivis Čablis</cp:lastModifiedBy>
  <cp:revision>33</cp:revision>
  <cp:lastPrinted>2016-08-05T08:00:00Z</cp:lastPrinted>
  <dcterms:created xsi:type="dcterms:W3CDTF">2016-06-08T06:32:00Z</dcterms:created>
  <dcterms:modified xsi:type="dcterms:W3CDTF">2016-08-05T08:07:00Z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