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F2" w:rsidRPr="00711C09" w:rsidRDefault="00B45F33" w:rsidP="00711C09">
      <w:pPr>
        <w:shd w:val="clear" w:color="auto" w:fill="FFFFFF"/>
        <w:jc w:val="center"/>
        <w:rPr>
          <w:b/>
          <w:bCs/>
          <w:sz w:val="28"/>
          <w:szCs w:val="28"/>
        </w:rPr>
      </w:pPr>
      <w:r w:rsidRPr="00711C09">
        <w:rPr>
          <w:b/>
          <w:sz w:val="28"/>
          <w:szCs w:val="28"/>
        </w:rPr>
        <w:t>Likumprojekta "</w:t>
      </w:r>
      <w:r w:rsidR="00711C09" w:rsidRPr="00711C09">
        <w:rPr>
          <w:b/>
          <w:sz w:val="28"/>
          <w:szCs w:val="28"/>
        </w:rPr>
        <w:t xml:space="preserve">Grozījumi </w:t>
      </w:r>
      <w:r w:rsidR="00711C09" w:rsidRPr="00711C09">
        <w:rPr>
          <w:b/>
          <w:bCs/>
          <w:sz w:val="28"/>
          <w:szCs w:val="28"/>
        </w:rPr>
        <w:t>Kredītiestāžu un ieguldījumu brokeru sabiedrību darbības atjaunošanas un noregulējuma likumā</w:t>
      </w:r>
      <w:r w:rsidRPr="00711C09">
        <w:rPr>
          <w:b/>
          <w:sz w:val="28"/>
          <w:szCs w:val="28"/>
        </w:rPr>
        <w:t xml:space="preserve">" </w:t>
      </w:r>
      <w:r w:rsidR="00AF5AA2" w:rsidRPr="00711C09">
        <w:rPr>
          <w:b/>
          <w:sz w:val="28"/>
          <w:szCs w:val="28"/>
        </w:rPr>
        <w:t>sākotnējās ietekmes novērtējuma ziņojums (anotācija)</w:t>
      </w:r>
    </w:p>
    <w:p w:rsidR="008766F2" w:rsidRDefault="008766F2" w:rsidP="008C0DC4">
      <w:pPr>
        <w:ind w:right="-1333"/>
        <w:jc w:val="center"/>
        <w:rPr>
          <w:b/>
          <w:bCs/>
        </w:rPr>
      </w:pPr>
    </w:p>
    <w:tbl>
      <w:tblPr>
        <w:tblW w:w="10206"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687"/>
        <w:gridCol w:w="6979"/>
      </w:tblGrid>
      <w:tr w:rsidR="008766F2" w:rsidRPr="008F5F2F" w:rsidTr="006A604D">
        <w:trPr>
          <w:jc w:val="center"/>
        </w:trPr>
        <w:tc>
          <w:tcPr>
            <w:tcW w:w="10206" w:type="dxa"/>
            <w:gridSpan w:val="3"/>
            <w:tcBorders>
              <w:top w:val="single" w:sz="6" w:space="0" w:color="auto"/>
              <w:left w:val="single" w:sz="6" w:space="0" w:color="auto"/>
              <w:bottom w:val="single" w:sz="6" w:space="0" w:color="auto"/>
              <w:right w:val="single" w:sz="6" w:space="0" w:color="auto"/>
            </w:tcBorders>
          </w:tcPr>
          <w:p w:rsidR="008766F2" w:rsidRPr="00673510" w:rsidRDefault="00673510" w:rsidP="008C0DC4">
            <w:pPr>
              <w:pStyle w:val="BodyTextIndent"/>
              <w:tabs>
                <w:tab w:val="left" w:pos="9504"/>
              </w:tabs>
              <w:jc w:val="center"/>
            </w:pPr>
            <w:r w:rsidRPr="00673510">
              <w:rPr>
                <w:bCs w:val="0"/>
              </w:rPr>
              <w:t>I. Tiesību akta projekta izstrādes nepieciešamība</w:t>
            </w:r>
          </w:p>
        </w:tc>
      </w:tr>
      <w:tr w:rsidR="008766F2" w:rsidRPr="00A75F12" w:rsidTr="006A604D">
        <w:trPr>
          <w:trHeight w:val="65"/>
          <w:jc w:val="center"/>
        </w:trPr>
        <w:tc>
          <w:tcPr>
            <w:tcW w:w="540" w:type="dxa"/>
            <w:tcBorders>
              <w:top w:val="single" w:sz="6" w:space="0" w:color="auto"/>
              <w:left w:val="single" w:sz="6" w:space="0" w:color="auto"/>
              <w:bottom w:val="single" w:sz="6" w:space="0" w:color="auto"/>
              <w:right w:val="single" w:sz="6" w:space="0" w:color="auto"/>
            </w:tcBorders>
          </w:tcPr>
          <w:p w:rsidR="008766F2" w:rsidRPr="00A75F12" w:rsidRDefault="00AF5AA2">
            <w:pPr>
              <w:pStyle w:val="BodyText"/>
              <w:jc w:val="both"/>
              <w:rPr>
                <w:b w:val="0"/>
                <w:bCs w:val="0"/>
                <w:sz w:val="24"/>
                <w:szCs w:val="24"/>
              </w:rPr>
            </w:pPr>
            <w:r w:rsidRPr="00A75F12">
              <w:rPr>
                <w:b w:val="0"/>
                <w:bCs w:val="0"/>
                <w:sz w:val="24"/>
                <w:szCs w:val="24"/>
              </w:rPr>
              <w:t xml:space="preserve">1. </w:t>
            </w:r>
          </w:p>
        </w:tc>
        <w:tc>
          <w:tcPr>
            <w:tcW w:w="2687" w:type="dxa"/>
            <w:tcBorders>
              <w:top w:val="single" w:sz="6" w:space="0" w:color="auto"/>
              <w:left w:val="single" w:sz="6" w:space="0" w:color="auto"/>
              <w:bottom w:val="single" w:sz="6" w:space="0" w:color="auto"/>
              <w:right w:val="single" w:sz="6" w:space="0" w:color="auto"/>
            </w:tcBorders>
          </w:tcPr>
          <w:p w:rsidR="008766F2" w:rsidRPr="00A75F12" w:rsidRDefault="00AF5AA2" w:rsidP="00995238">
            <w:pPr>
              <w:pStyle w:val="BodyTextIndent"/>
              <w:spacing w:after="0"/>
              <w:rPr>
                <w:b w:val="0"/>
                <w:bCs w:val="0"/>
              </w:rPr>
            </w:pPr>
            <w:r w:rsidRPr="00A75F12">
              <w:rPr>
                <w:b w:val="0"/>
                <w:bCs w:val="0"/>
              </w:rPr>
              <w:t>Pamatojums</w:t>
            </w:r>
          </w:p>
        </w:tc>
        <w:tc>
          <w:tcPr>
            <w:tcW w:w="6979" w:type="dxa"/>
            <w:tcBorders>
              <w:top w:val="single" w:sz="6" w:space="0" w:color="auto"/>
              <w:left w:val="single" w:sz="6" w:space="0" w:color="auto"/>
              <w:bottom w:val="single" w:sz="6" w:space="0" w:color="auto"/>
              <w:right w:val="single" w:sz="6" w:space="0" w:color="auto"/>
            </w:tcBorders>
          </w:tcPr>
          <w:p w:rsidR="008766F2" w:rsidRPr="00B45F33" w:rsidRDefault="00B45F33" w:rsidP="00AD6C5C">
            <w:pPr>
              <w:pStyle w:val="BodyTextIndent"/>
              <w:rPr>
                <w:b w:val="0"/>
              </w:rPr>
            </w:pPr>
            <w:r w:rsidRPr="00B45F33">
              <w:rPr>
                <w:b w:val="0"/>
              </w:rPr>
              <w:t xml:space="preserve">Likumprojekts </w:t>
            </w:r>
            <w:r w:rsidRPr="00BE26FF">
              <w:rPr>
                <w:b w:val="0"/>
              </w:rPr>
              <w:t>"</w:t>
            </w:r>
            <w:r w:rsidR="00BE26FF" w:rsidRPr="00BE26FF">
              <w:rPr>
                <w:b w:val="0"/>
              </w:rPr>
              <w:t xml:space="preserve">Grozījumi Kredītiestāžu un ieguldījumu brokeru sabiedrību darbības atjaunošanas un noregulējuma likumā" </w:t>
            </w:r>
            <w:r w:rsidR="00BE26FF">
              <w:rPr>
                <w:b w:val="0"/>
              </w:rPr>
              <w:t>(turpmāk </w:t>
            </w:r>
            <w:r w:rsidR="00E5730E" w:rsidRPr="00BE26FF">
              <w:rPr>
                <w:b w:val="0"/>
              </w:rPr>
              <w:t xml:space="preserve">– </w:t>
            </w:r>
            <w:r w:rsidR="00AD6C5C">
              <w:rPr>
                <w:b w:val="0"/>
              </w:rPr>
              <w:t>l</w:t>
            </w:r>
            <w:r w:rsidR="00E5730E" w:rsidRPr="00BE26FF">
              <w:rPr>
                <w:b w:val="0"/>
              </w:rPr>
              <w:t xml:space="preserve">ikumprojekts) </w:t>
            </w:r>
            <w:r w:rsidRPr="00BE26FF">
              <w:rPr>
                <w:b w:val="0"/>
              </w:rPr>
              <w:t xml:space="preserve">ir izstrādāts, lai </w:t>
            </w:r>
            <w:r w:rsidR="00BE26FF" w:rsidRPr="00BE26FF">
              <w:rPr>
                <w:b w:val="0"/>
              </w:rPr>
              <w:t>nodrošinātu Vienotā noregulējuma regulas</w:t>
            </w:r>
            <w:r w:rsidR="003F4884">
              <w:rPr>
                <w:rStyle w:val="FootnoteReference"/>
                <w:b w:val="0"/>
              </w:rPr>
              <w:footnoteReference w:customMarkFollows="1" w:id="2"/>
              <w:t>*</w:t>
            </w:r>
            <w:r w:rsidR="00BE26FF" w:rsidRPr="00BE26FF">
              <w:rPr>
                <w:b w:val="0"/>
              </w:rPr>
              <w:t xml:space="preserve"> praktisko piemērošanu, saskaņojot tās regulējumu ar Kredītiestāžu un ieguldījumu brokeru sabiedrību darbības atjaunošanas un noregulējuma likuma </w:t>
            </w:r>
            <w:r w:rsidR="00AD6C5C">
              <w:rPr>
                <w:b w:val="0"/>
              </w:rPr>
              <w:t xml:space="preserve">(turpmāk – likums) </w:t>
            </w:r>
            <w:r w:rsidR="00BE26FF" w:rsidRPr="00BE26FF">
              <w:rPr>
                <w:b w:val="0"/>
              </w:rPr>
              <w:t xml:space="preserve">prasībām. Tāpat </w:t>
            </w:r>
            <w:r w:rsidR="005736E1">
              <w:rPr>
                <w:b w:val="0"/>
              </w:rPr>
              <w:t>likum</w:t>
            </w:r>
            <w:r w:rsidR="00BE26FF" w:rsidRPr="00BE26FF">
              <w:rPr>
                <w:b w:val="0"/>
              </w:rPr>
              <w:t>projekts izstrādāts, pārskatot spēkā esošās likuma prasības un veicot tiesiskā regulējuma pilnveidošanu, lai padarītu to skaidrāku tiesību normas piemērotājiem.</w:t>
            </w:r>
          </w:p>
        </w:tc>
      </w:tr>
      <w:tr w:rsidR="00EB707C" w:rsidRPr="008F5F2F" w:rsidTr="006A604D">
        <w:trPr>
          <w:jc w:val="center"/>
        </w:trPr>
        <w:tc>
          <w:tcPr>
            <w:tcW w:w="540" w:type="dxa"/>
            <w:tcBorders>
              <w:top w:val="single" w:sz="6" w:space="0" w:color="auto"/>
              <w:left w:val="single" w:sz="6" w:space="0" w:color="auto"/>
              <w:bottom w:val="single" w:sz="6" w:space="0" w:color="auto"/>
              <w:right w:val="single" w:sz="6" w:space="0" w:color="auto"/>
            </w:tcBorders>
          </w:tcPr>
          <w:p w:rsidR="00EB707C" w:rsidRPr="00A75F12" w:rsidRDefault="00EB707C">
            <w:pPr>
              <w:pStyle w:val="BodyText"/>
              <w:jc w:val="both"/>
              <w:rPr>
                <w:b w:val="0"/>
                <w:bCs w:val="0"/>
                <w:sz w:val="24"/>
                <w:szCs w:val="24"/>
              </w:rPr>
            </w:pPr>
            <w:r w:rsidRPr="00A75F12">
              <w:rPr>
                <w:b w:val="0"/>
                <w:bCs w:val="0"/>
                <w:sz w:val="24"/>
                <w:szCs w:val="24"/>
              </w:rPr>
              <w:t>2.</w:t>
            </w:r>
          </w:p>
        </w:tc>
        <w:tc>
          <w:tcPr>
            <w:tcW w:w="2687" w:type="dxa"/>
            <w:tcBorders>
              <w:top w:val="single" w:sz="6" w:space="0" w:color="auto"/>
              <w:left w:val="single" w:sz="6" w:space="0" w:color="auto"/>
              <w:bottom w:val="single" w:sz="6" w:space="0" w:color="auto"/>
              <w:right w:val="single" w:sz="6" w:space="0" w:color="auto"/>
            </w:tcBorders>
          </w:tcPr>
          <w:p w:rsidR="00EB707C" w:rsidRPr="00A75F12" w:rsidRDefault="00EB707C">
            <w:pPr>
              <w:jc w:val="both"/>
            </w:pPr>
            <w:r w:rsidRPr="00A75F12">
              <w:t>Pašreizējā situācija un problēmas, kuru risināšanai tiesību akta projekts izstrādāts, tiesiskā regulējuma mērķis un būtība</w:t>
            </w:r>
          </w:p>
        </w:tc>
        <w:tc>
          <w:tcPr>
            <w:tcW w:w="6979" w:type="dxa"/>
            <w:tcBorders>
              <w:top w:val="single" w:sz="6" w:space="0" w:color="auto"/>
              <w:left w:val="single" w:sz="6" w:space="0" w:color="auto"/>
              <w:bottom w:val="single" w:sz="6" w:space="0" w:color="auto"/>
              <w:right w:val="single" w:sz="6" w:space="0" w:color="auto"/>
            </w:tcBorders>
          </w:tcPr>
          <w:p w:rsidR="00B047C7" w:rsidRPr="00AD6C5C" w:rsidRDefault="005736E1" w:rsidP="00B047C7">
            <w:pPr>
              <w:jc w:val="both"/>
            </w:pPr>
            <w:r>
              <w:t>L</w:t>
            </w:r>
            <w:r w:rsidR="00AD6C5C">
              <w:t xml:space="preserve">ikumprojektā </w:t>
            </w:r>
            <w:r w:rsidR="00B047C7">
              <w:t xml:space="preserve">ietvertos grozījumus var iedalīt </w:t>
            </w:r>
            <w:r w:rsidR="006004B5" w:rsidRPr="006004B5">
              <w:t xml:space="preserve">divās grupās: </w:t>
            </w:r>
            <w:r w:rsidR="006004B5" w:rsidRPr="00AD6C5C">
              <w:t>grozījumi, kas saistīti ar Vienotā noregulējuma regulas piemērošanu</w:t>
            </w:r>
            <w:r>
              <w:t>,</w:t>
            </w:r>
            <w:r w:rsidR="006004B5" w:rsidRPr="00AD6C5C">
              <w:t xml:space="preserve"> un citi grozījumi, kas nav saistīti ar Eiropas Savienības tiesību aktu ieviešanu vai piemērošanas nodrošināšanu, bet attiecas vienīgi uz likuma pilnveidošanu</w:t>
            </w:r>
            <w:r w:rsidR="00F600E1">
              <w:t>, padarot tā regulējumu skaidrāku tiesību normas piemērotāj</w:t>
            </w:r>
            <w:r>
              <w:t>ie</w:t>
            </w:r>
            <w:r w:rsidR="00F600E1">
              <w:t>m</w:t>
            </w:r>
            <w:r w:rsidR="006004B5" w:rsidRPr="00AD6C5C">
              <w:t xml:space="preserve">. </w:t>
            </w:r>
          </w:p>
          <w:p w:rsidR="00B047C7" w:rsidRPr="00AD6C5C" w:rsidRDefault="00B047C7" w:rsidP="00E5730E">
            <w:pPr>
              <w:pStyle w:val="Datums"/>
              <w:spacing w:before="0"/>
              <w:jc w:val="both"/>
              <w:rPr>
                <w:rFonts w:eastAsia="Calibri"/>
                <w:lang w:val="lv-LV"/>
              </w:rPr>
            </w:pPr>
          </w:p>
          <w:p w:rsidR="00092548" w:rsidRDefault="00B047C7" w:rsidP="00B047C7">
            <w:pPr>
              <w:jc w:val="both"/>
              <w:rPr>
                <w:rFonts w:eastAsia="Calibri"/>
              </w:rPr>
            </w:pPr>
            <w:r w:rsidRPr="00AD6C5C">
              <w:rPr>
                <w:rFonts w:eastAsia="Calibri"/>
              </w:rPr>
              <w:t>1. </w:t>
            </w:r>
            <w:r w:rsidR="00092548" w:rsidRPr="00AD6C5C">
              <w:rPr>
                <w:rFonts w:eastAsia="Calibri"/>
              </w:rPr>
              <w:t>Vienotā noregulējuma regulas praktiskās piemērošanas n</w:t>
            </w:r>
            <w:r w:rsidR="005736E1">
              <w:rPr>
                <w:rFonts w:eastAsia="Calibri"/>
              </w:rPr>
              <w:t>o</w:t>
            </w:r>
            <w:r w:rsidR="00092548" w:rsidRPr="00AD6C5C">
              <w:rPr>
                <w:rFonts w:eastAsia="Calibri"/>
              </w:rPr>
              <w:t>drošināšana</w:t>
            </w:r>
            <w:r w:rsidR="00621FF1">
              <w:rPr>
                <w:rFonts w:eastAsia="Calibri"/>
              </w:rPr>
              <w:t>.</w:t>
            </w:r>
          </w:p>
          <w:p w:rsidR="00C9517C" w:rsidRDefault="00C9517C" w:rsidP="00C9517C">
            <w:pPr>
              <w:pStyle w:val="Default"/>
              <w:jc w:val="both"/>
              <w:rPr>
                <w:color w:val="auto"/>
              </w:rPr>
            </w:pPr>
          </w:p>
          <w:p w:rsidR="00C9517C" w:rsidRPr="00C9517C" w:rsidRDefault="00C9517C" w:rsidP="00C9517C">
            <w:pPr>
              <w:pStyle w:val="Default"/>
              <w:jc w:val="both"/>
              <w:rPr>
                <w:color w:val="auto"/>
              </w:rPr>
            </w:pPr>
            <w:r>
              <w:rPr>
                <w:color w:val="auto"/>
              </w:rPr>
              <w:t>Sākot ar 2016.gada 1.janvāri Latvijai</w:t>
            </w:r>
            <w:r w:rsidRPr="00C9517C">
              <w:rPr>
                <w:color w:val="auto"/>
              </w:rPr>
              <w:t xml:space="preserve"> </w:t>
            </w:r>
            <w:r>
              <w:rPr>
                <w:color w:val="auto"/>
              </w:rPr>
              <w:t>ir</w:t>
            </w:r>
            <w:r w:rsidRPr="00C9517C">
              <w:rPr>
                <w:color w:val="auto"/>
              </w:rPr>
              <w:t xml:space="preserve"> piemērojama Eiropas Parlamenta un Padomes regula Nr.806/2014 (2014.gada 15.jūlijs), ar ko izveido vienādus noteikumus un vienotu procedūru kredītiestāžu un noteiktu ieguldījumu brokeru sabiedrību noregulējumam, izmantojot vienotu noregulējuma mehānismu un vienotu noregulējuma fondu, un groza Regulu (ES Nr.1093/2010) (turpmāk – SRM regula).</w:t>
            </w:r>
          </w:p>
          <w:p w:rsidR="00C9517C" w:rsidRDefault="00C9517C" w:rsidP="00C9517C">
            <w:pPr>
              <w:pStyle w:val="Default"/>
              <w:jc w:val="both"/>
              <w:rPr>
                <w:color w:val="auto"/>
              </w:rPr>
            </w:pPr>
          </w:p>
          <w:p w:rsidR="00C9517C" w:rsidRPr="00C9517C" w:rsidRDefault="00C9517C" w:rsidP="00C9517C">
            <w:pPr>
              <w:pStyle w:val="Default"/>
              <w:jc w:val="both"/>
              <w:rPr>
                <w:color w:val="auto"/>
              </w:rPr>
            </w:pPr>
            <w:r w:rsidRPr="00C9517C">
              <w:rPr>
                <w:color w:val="auto"/>
              </w:rPr>
              <w:t xml:space="preserve">SRM regulas 7.panta 2.punkta a) apakšpunkts paredz, ka Vienotā noregulējuma valde </w:t>
            </w:r>
            <w:r>
              <w:rPr>
                <w:color w:val="auto"/>
              </w:rPr>
              <w:t>ir</w:t>
            </w:r>
            <w:r w:rsidRPr="00C9517C">
              <w:rPr>
                <w:color w:val="auto"/>
              </w:rPr>
              <w:t xml:space="preserve"> atbildīga par noregulējumu plānu izstrādi un visu ar noregulējumu saistīto lēmumu pieņemšanu attiecībā uz visām nozīmīgajām kredītiestādēm un kredītiestāžu grupām, kas ir pakļautas Eiropas Centrālās Bankas uzraudzībai, bet atbildību par</w:t>
            </w:r>
            <w:r>
              <w:rPr>
                <w:color w:val="auto"/>
              </w:rPr>
              <w:t xml:space="preserve"> pārējām kredītiestādēm saglabā</w:t>
            </w:r>
            <w:r w:rsidRPr="00C9517C">
              <w:rPr>
                <w:color w:val="auto"/>
              </w:rPr>
              <w:t xml:space="preserve"> nacionālā noregulējuma iestāde, kas Latvijā saskaņā ar Kredītiestāžu un ieguldījumu brokeru sabiedrību darbības atjaunošanas un noregulējuma likumu (turpmāk – Likums) ir Finanšu un kapitāla tirgus komisija. Atbilstoši Eiropas Centrālās bankas mājas lapā publicētajai informācijai nozīmīgo kredītiestāžu sarakstā iekļautas AS ABLV </w:t>
            </w:r>
            <w:proofErr w:type="spellStart"/>
            <w:r w:rsidRPr="00C9517C">
              <w:rPr>
                <w:color w:val="auto"/>
              </w:rPr>
              <w:t>Bank</w:t>
            </w:r>
            <w:proofErr w:type="spellEnd"/>
            <w:r w:rsidRPr="00C9517C">
              <w:rPr>
                <w:color w:val="auto"/>
              </w:rPr>
              <w:t xml:space="preserve">, AS SEB Banka un AS Swedbank. </w:t>
            </w:r>
          </w:p>
          <w:p w:rsidR="00C9517C" w:rsidRDefault="00C9517C" w:rsidP="00C9517C">
            <w:pPr>
              <w:pStyle w:val="Default"/>
              <w:jc w:val="both"/>
              <w:rPr>
                <w:color w:val="auto"/>
              </w:rPr>
            </w:pPr>
          </w:p>
          <w:p w:rsidR="00C9517C" w:rsidRPr="00C9517C" w:rsidRDefault="00C9517C" w:rsidP="00C9517C">
            <w:pPr>
              <w:pStyle w:val="Default"/>
              <w:jc w:val="both"/>
              <w:rPr>
                <w:color w:val="auto"/>
              </w:rPr>
            </w:pPr>
            <w:r w:rsidRPr="00C9517C">
              <w:rPr>
                <w:color w:val="auto"/>
              </w:rPr>
              <w:t xml:space="preserve">Savukārt SRM regulas 7.panta 2.punkta b) apakšpunkts paredz, ka Vienotā noregulējuma valde </w:t>
            </w:r>
            <w:r>
              <w:rPr>
                <w:color w:val="auto"/>
              </w:rPr>
              <w:t>ir</w:t>
            </w:r>
            <w:r w:rsidRPr="00C9517C">
              <w:rPr>
                <w:color w:val="auto"/>
              </w:rPr>
              <w:t xml:space="preserve"> atbildīga arī par noregulējumu plānu izstrādi un visu ar noregulējumu saistīto lēmumu pieņemšanu attiecībā </w:t>
            </w:r>
            <w:r w:rsidRPr="00C9517C">
              <w:rPr>
                <w:color w:val="auto"/>
              </w:rPr>
              <w:lastRenderedPageBreak/>
              <w:t xml:space="preserve">uz visām grupām, kas veic pārrobežu darbību. Līdz ar to papildus iepriekš minētām trīs kredītiestādēm, kas ir pakļautas Eiropas Centrālās bankas uzraudzībai, Vienotā noregulējuma valde sākot ar 2016.gadu </w:t>
            </w:r>
            <w:r>
              <w:rPr>
                <w:color w:val="auto"/>
              </w:rPr>
              <w:t>ir</w:t>
            </w:r>
            <w:r w:rsidRPr="00C9517C">
              <w:rPr>
                <w:color w:val="auto"/>
              </w:rPr>
              <w:t xml:space="preserve"> atbildīga arī par noregulējuma plānu izstrādi un visu ar noregulējumu saistīto lēmumu pieņemšanu</w:t>
            </w:r>
            <w:r>
              <w:rPr>
                <w:color w:val="auto"/>
              </w:rPr>
              <w:t xml:space="preserve"> attiecībā uz</w:t>
            </w:r>
            <w:r w:rsidRPr="00C9517C">
              <w:rPr>
                <w:color w:val="auto"/>
              </w:rPr>
              <w:t xml:space="preserve"> grupu, kas </w:t>
            </w:r>
            <w:r>
              <w:rPr>
                <w:color w:val="auto"/>
              </w:rPr>
              <w:t xml:space="preserve">uzskatāma </w:t>
            </w:r>
            <w:r w:rsidRPr="00C9517C">
              <w:rPr>
                <w:color w:val="auto"/>
              </w:rPr>
              <w:t xml:space="preserve">atbilstoši regulas nosacījumiem </w:t>
            </w:r>
            <w:r>
              <w:rPr>
                <w:color w:val="auto"/>
              </w:rPr>
              <w:t>un</w:t>
            </w:r>
            <w:r w:rsidRPr="00C9517C">
              <w:rPr>
                <w:color w:val="auto"/>
              </w:rPr>
              <w:t xml:space="preserve"> veic pārrobežu darbību. </w:t>
            </w:r>
          </w:p>
          <w:p w:rsidR="00C9517C" w:rsidRDefault="00C9517C" w:rsidP="00C9517C">
            <w:pPr>
              <w:pStyle w:val="Default"/>
              <w:jc w:val="both"/>
              <w:rPr>
                <w:color w:val="auto"/>
              </w:rPr>
            </w:pPr>
          </w:p>
          <w:p w:rsidR="00C9517C" w:rsidRDefault="00C9517C" w:rsidP="00C9517C">
            <w:pPr>
              <w:pStyle w:val="Default"/>
              <w:jc w:val="both"/>
              <w:rPr>
                <w:color w:val="auto"/>
              </w:rPr>
            </w:pPr>
            <w:r w:rsidRPr="00C9517C">
              <w:rPr>
                <w:color w:val="auto"/>
              </w:rPr>
              <w:t xml:space="preserve">Vienlaikus SRM regulas 7.panta 5.punkts paredz, ka iesaistītās dalībvalstis var nolemt, ka Vienotā noregulējuma valde īsteno visas attiecīgās pilnvaras un pienākumus attiecībā uz vienībām un grupām, kas nav minētas SRM regulas 2.punktā, bet veic uzņēmējdarbību to teritorijā. Dalībvalstis, kuras plāno izmantot šo iespēju, to attiecīgi </w:t>
            </w:r>
            <w:r>
              <w:rPr>
                <w:color w:val="auto"/>
              </w:rPr>
              <w:t xml:space="preserve">arī </w:t>
            </w:r>
            <w:r w:rsidRPr="00C9517C">
              <w:rPr>
                <w:color w:val="auto"/>
              </w:rPr>
              <w:t xml:space="preserve">paziņo Vienotā noregulējuma valdei un Eiropas Komisijai. Paziņojums ir spēkā no dienas, kad tas publicēts Eiropas Savienības Oficiālajā vēstnesī. </w:t>
            </w:r>
          </w:p>
          <w:p w:rsidR="00C9517C" w:rsidRPr="00C9517C" w:rsidRDefault="00C9517C" w:rsidP="00C9517C">
            <w:pPr>
              <w:pStyle w:val="Default"/>
              <w:jc w:val="both"/>
              <w:rPr>
                <w:color w:val="auto"/>
              </w:rPr>
            </w:pPr>
          </w:p>
          <w:p w:rsidR="00192613" w:rsidRDefault="00C9517C" w:rsidP="00192613">
            <w:pPr>
              <w:jc w:val="both"/>
              <w:rPr>
                <w:lang w:eastAsia="lv-LV"/>
              </w:rPr>
            </w:pPr>
            <w:r w:rsidRPr="00C9517C">
              <w:t xml:space="preserve">Ņemot vērā regulā noteiktās izvēles iespējas, Finanšu ministrija sadarbībā ar Latvijas Banku un Finanšu un kapitāla tirgus komisiju ir </w:t>
            </w:r>
            <w:r>
              <w:t>izvērtējusi</w:t>
            </w:r>
            <w:r w:rsidRPr="00C9517C">
              <w:t xml:space="preserve"> šīs izvēles izmantošanas iespēju</w:t>
            </w:r>
            <w:r w:rsidR="00BD02FD">
              <w:t xml:space="preserve">, secinot, ka </w:t>
            </w:r>
            <w:r w:rsidR="00BD02FD" w:rsidRPr="00C9517C">
              <w:t>Vienotajai noregulējuma valdei ir uzticēta atbildība par nozīmīgāko kredītiestāžu noregulējumu visā eiro zonā, līdz ar to tai būs iespējams uzkrāt plašāku starptautisko pieredzi kredītiestāžu noregulējumā un lielākas iespējas pilnveidot noregulējuma instrumentu piemērošanas praksi. Tā kā nepieciešamība pēc kredītiestāžu noregulējuma katrā individuālā eiro zonas dalībvalstī ir salīdzinoši neregulāra, tad noregulējuma funkcijas lielāka centralizēšana eiro zonā būtu efektīvāka no darbaspēka resursu plānošanas viedokļa. Ņemot vērā aizvadītās finanšu krīzes sniegto pieredzi, noregulējuma noteikumu saskaņošana, kā arī to vienota piemērošana ir bijis viens no svarīgākajiem mērķiem, uz kura sasniegšanu tikušas vērstas pēdējo gadu vērienīgās finanšu sektora reformas Eiropā, nolūkā sekmēt finanšu stabilitāti, stiprināt eiro zonu un radīt pamatu ekonomikas ilgtspējīgai attīstībai. Vienotās noregulējuma valdes atbildības tvēruma paplašināšana mazinātu atšķirīgas noregulējuma piemērošanas prakses risku un tādējād</w:t>
            </w:r>
            <w:r w:rsidR="00192613">
              <w:t>i sekmētu šī mērķa sasniegšanu, kā arī j</w:t>
            </w:r>
            <w:r w:rsidR="00192613">
              <w:rPr>
                <w:lang w:eastAsia="lv-LV"/>
              </w:rPr>
              <w:t xml:space="preserve">au šobrīd Latvijai kā vienotā noregulējuma mehānisma dalībvalstij ir pienākums veikt iemaksas Vienotā noregulējuma fondā, līdz ar to ar noregulējumu saistītā finansējuma pieejamība tiek nodrošināta centralizēti. Tādejādi </w:t>
            </w:r>
            <w:r w:rsidR="00192613">
              <w:t xml:space="preserve">likumprojektā </w:t>
            </w:r>
            <w:r w:rsidR="00192613" w:rsidRPr="00C9517C">
              <w:t xml:space="preserve">Vienotajai noregulējuma valdei tiek nodotas noregulējuma iestādes funkcijas attiecībā uz </w:t>
            </w:r>
            <w:r w:rsidR="00192613">
              <w:t>tām kredītiestādēm, kas nav ietvertas SRM regulas 7.panta 2.punkta tvērumā, bet veic uzņēmējdarbību Latvijas teritorijā.</w:t>
            </w:r>
          </w:p>
          <w:p w:rsidR="00192613" w:rsidRDefault="00192613" w:rsidP="00192613">
            <w:pPr>
              <w:jc w:val="both"/>
              <w:rPr>
                <w:lang w:eastAsia="lv-LV"/>
              </w:rPr>
            </w:pPr>
          </w:p>
          <w:p w:rsidR="00192613" w:rsidRDefault="00192613" w:rsidP="00192613">
            <w:pPr>
              <w:jc w:val="both"/>
            </w:pPr>
            <w:r>
              <w:rPr>
                <w:lang w:eastAsia="lv-LV"/>
              </w:rPr>
              <w:t xml:space="preserve">Papildus, </w:t>
            </w:r>
            <w:r>
              <w:t>atbilstoši tieši piemērojamam SRM</w:t>
            </w:r>
            <w:r w:rsidRPr="00AD6C5C">
              <w:t xml:space="preserve"> regul</w:t>
            </w:r>
            <w:r>
              <w:t xml:space="preserve">ā paredzētajam regulējumam ir precizēts likuma regulējums par </w:t>
            </w:r>
            <w:r w:rsidRPr="00621FF1">
              <w:t>nacionāl</w:t>
            </w:r>
            <w:r>
              <w:t xml:space="preserve">ās </w:t>
            </w:r>
            <w:r w:rsidRPr="00621FF1">
              <w:t xml:space="preserve">noregulējuma </w:t>
            </w:r>
            <w:r>
              <w:t>iestādes</w:t>
            </w:r>
            <w:r w:rsidRPr="00621FF1">
              <w:t xml:space="preserve"> kompetenc</w:t>
            </w:r>
            <w:r>
              <w:t>i</w:t>
            </w:r>
            <w:r w:rsidRPr="00621FF1">
              <w:t xml:space="preserve"> </w:t>
            </w:r>
            <w:r>
              <w:t>kredīt</w:t>
            </w:r>
            <w:r w:rsidRPr="00621FF1">
              <w:t>iestāžu veikto iemaksu apkopošana</w:t>
            </w:r>
            <w:r>
              <w:t>i</w:t>
            </w:r>
            <w:r w:rsidRPr="00621FF1">
              <w:t xml:space="preserve"> </w:t>
            </w:r>
            <w:r w:rsidRPr="00AD6C5C">
              <w:t xml:space="preserve">un attiecībā uz </w:t>
            </w:r>
            <w:r>
              <w:t xml:space="preserve">kredītiestāžu veikto iemaksu </w:t>
            </w:r>
            <w:r w:rsidRPr="00AD6C5C">
              <w:t>līdzekļu pārvaldīšanu</w:t>
            </w:r>
            <w:r w:rsidRPr="00621FF1">
              <w:t xml:space="preserve"> (Vienotā noregulējuma regulā noteiktajā apmērā) ar mērķi tās tālāk ieskaitīt vienotajā noregulējuma fondā</w:t>
            </w:r>
            <w:r>
              <w:t xml:space="preserve"> (precizēts likuma 121.pants)</w:t>
            </w:r>
            <w:r w:rsidRPr="00621FF1">
              <w:t>.</w:t>
            </w:r>
            <w:r w:rsidRPr="00AD6C5C">
              <w:t xml:space="preserve"> </w:t>
            </w:r>
            <w:r>
              <w:t xml:space="preserve">No likuma regulējuma tiek </w:t>
            </w:r>
            <w:r w:rsidRPr="00AD6C5C">
              <w:t>izslē</w:t>
            </w:r>
            <w:r>
              <w:t>gtas</w:t>
            </w:r>
            <w:r w:rsidRPr="00AD6C5C">
              <w:t xml:space="preserve"> prasības, kas dublē Vienotā noregulējuma regulā noteiktās vienotajā noregulējuma fondā </w:t>
            </w:r>
            <w:r w:rsidRPr="00AD6C5C">
              <w:lastRenderedPageBreak/>
              <w:t>veicamās iemaksas apmēru</w:t>
            </w:r>
            <w:r>
              <w:t xml:space="preserve"> un to administrēšanas kārtību (izslēgti likuma 122., 123., 124., 125. un 126.pants).</w:t>
            </w:r>
          </w:p>
          <w:p w:rsidR="00C9517C" w:rsidRDefault="00C9517C" w:rsidP="00A14102">
            <w:r w:rsidRPr="00C9517C">
              <w:rPr>
                <w:b/>
              </w:rPr>
              <w:br w:type="page"/>
              <w:t xml:space="preserve"> </w:t>
            </w:r>
          </w:p>
          <w:p w:rsidR="002E0AC7" w:rsidRPr="00AD6C5C" w:rsidRDefault="002E0AC7" w:rsidP="00BE289E">
            <w:pPr>
              <w:jc w:val="both"/>
            </w:pPr>
            <w:r w:rsidRPr="00AD6C5C">
              <w:t>2. Citi grozījumi, kas nav saistīti ar Eiropas Savienības tiesību aktu ieviešanu vai piemērošanas nodrošināšanu</w:t>
            </w:r>
            <w:r w:rsidR="00621FF1">
              <w:t>.</w:t>
            </w:r>
          </w:p>
          <w:p w:rsidR="002E0AC7" w:rsidRPr="00AD6C5C" w:rsidRDefault="002E0AC7" w:rsidP="00BE289E">
            <w:pPr>
              <w:jc w:val="both"/>
            </w:pPr>
          </w:p>
          <w:p w:rsidR="002E0AC7" w:rsidRPr="00AD6C5C" w:rsidRDefault="00092548" w:rsidP="00BE289E">
            <w:pPr>
              <w:jc w:val="both"/>
            </w:pPr>
            <w:r w:rsidRPr="00AD6C5C">
              <w:t>2</w:t>
            </w:r>
            <w:r w:rsidR="00BE289E" w:rsidRPr="00AD6C5C">
              <w:t>.</w:t>
            </w:r>
            <w:r w:rsidR="002E0AC7" w:rsidRPr="00AD6C5C">
              <w:t>1. </w:t>
            </w:r>
            <w:r w:rsidR="00F849BA">
              <w:t>L</w:t>
            </w:r>
            <w:r w:rsidRPr="00AD6C5C">
              <w:t>ikumā</w:t>
            </w:r>
            <w:r w:rsidRPr="00AD6C5C" w:rsidDel="00092548">
              <w:t xml:space="preserve"> </w:t>
            </w:r>
            <w:r w:rsidR="00BE289E" w:rsidRPr="00AD6C5C">
              <w:t>lietotās terminoloģijas pre</w:t>
            </w:r>
            <w:r w:rsidR="00FC2FA5" w:rsidRPr="00AD6C5C">
              <w:t>cizēšana</w:t>
            </w:r>
            <w:r w:rsidR="00A14102">
              <w:t xml:space="preserve">. </w:t>
            </w:r>
            <w:r w:rsidR="00BE289E" w:rsidRPr="00AD6C5C">
              <w:t xml:space="preserve">Ar </w:t>
            </w:r>
            <w:r w:rsidR="00180333">
              <w:t>l</w:t>
            </w:r>
            <w:r w:rsidR="00180333" w:rsidRPr="00AD6C5C">
              <w:t xml:space="preserve">ikumprojekta </w:t>
            </w:r>
            <w:r w:rsidR="00BE289E" w:rsidRPr="00AD6C5C">
              <w:t xml:space="preserve">regulējumu </w:t>
            </w:r>
            <w:r w:rsidR="00B07BD6" w:rsidRPr="00AD6C5C">
              <w:t xml:space="preserve">no likuma 1.pantā ietvertajām definīcijām </w:t>
            </w:r>
            <w:r w:rsidR="00BE289E" w:rsidRPr="00AD6C5C">
              <w:t>tiek</w:t>
            </w:r>
            <w:r w:rsidR="006004B5" w:rsidRPr="00AD6C5C">
              <w:t xml:space="preserve"> izslēgts termins </w:t>
            </w:r>
            <w:r w:rsidR="004E4AEF" w:rsidRPr="00AD6C5C">
              <w:t>"</w:t>
            </w:r>
            <w:r w:rsidR="006004B5" w:rsidRPr="00AD6C5C">
              <w:t>agrīnās intervences pasākumi", jo</w:t>
            </w:r>
            <w:r w:rsidR="004E4AEF" w:rsidRPr="00AD6C5C">
              <w:t xml:space="preserve"> </w:t>
            </w:r>
            <w:r w:rsidR="00B07BD6" w:rsidRPr="00AD6C5C">
              <w:t>minēt</w:t>
            </w:r>
            <w:r w:rsidR="00A340EB">
              <w:t xml:space="preserve">ā </w:t>
            </w:r>
            <w:r w:rsidR="00B07BD6" w:rsidRPr="00AD6C5C">
              <w:t>termin</w:t>
            </w:r>
            <w:r w:rsidR="00A340EB">
              <w:t xml:space="preserve">a saturiskā būtība iekļauta </w:t>
            </w:r>
            <w:r w:rsidR="00B07BD6" w:rsidRPr="00AD6C5C">
              <w:t>likuma tekstā</w:t>
            </w:r>
            <w:r w:rsidR="00EB5321">
              <w:t>, VI</w:t>
            </w:r>
            <w:r w:rsidR="00A14102">
              <w:t xml:space="preserve"> </w:t>
            </w:r>
            <w:r w:rsidR="00EB5321">
              <w:t>nodaļā “Agrīnās intervences pasākumi”</w:t>
            </w:r>
            <w:r w:rsidR="006A604D">
              <w:t xml:space="preserve">, </w:t>
            </w:r>
            <w:r w:rsidR="00A340EB">
              <w:t>lai</w:t>
            </w:r>
            <w:r w:rsidR="006A604D">
              <w:t>,</w:t>
            </w:r>
            <w:r w:rsidR="00A340EB">
              <w:t xml:space="preserve"> salīdzinoši </w:t>
            </w:r>
            <w:r w:rsidR="006A604D">
              <w:t xml:space="preserve">ar </w:t>
            </w:r>
            <w:r w:rsidR="00AB5FF7">
              <w:t xml:space="preserve">likuma tekstu izslēgtu </w:t>
            </w:r>
            <w:r w:rsidR="002E0AC7" w:rsidRPr="00AD6C5C">
              <w:t>pretrunīg</w:t>
            </w:r>
            <w:r w:rsidR="00AB5FF7">
              <w:t>u</w:t>
            </w:r>
            <w:r w:rsidR="006A604D">
              <w:t xml:space="preserve"> </w:t>
            </w:r>
            <w:r w:rsidR="00AB5FF7">
              <w:t>likuma 1.panta pirmās daļas 1.apakšpunktā ietvertā termina lietojumu.</w:t>
            </w:r>
          </w:p>
          <w:p w:rsidR="002E0AC7" w:rsidRPr="00AD6C5C" w:rsidRDefault="002E0AC7" w:rsidP="00BE289E">
            <w:pPr>
              <w:jc w:val="both"/>
            </w:pPr>
          </w:p>
          <w:p w:rsidR="00D73FF0" w:rsidRPr="00AD6C5C" w:rsidRDefault="00D73FF0" w:rsidP="00BE289E">
            <w:pPr>
              <w:jc w:val="both"/>
            </w:pPr>
            <w:r w:rsidRPr="00AD6C5C">
              <w:t>Ievērojot konsekventu terminoloģijas lietojumu, lai visā likum</w:t>
            </w:r>
            <w:r w:rsidR="00826CC7" w:rsidRPr="00AD6C5C">
              <w:t>a</w:t>
            </w:r>
            <w:r w:rsidRPr="00AD6C5C">
              <w:t xml:space="preserve"> tekstā tiktu lietots </w:t>
            </w:r>
            <w:r w:rsidR="007C7F61">
              <w:t>termins</w:t>
            </w:r>
            <w:r w:rsidR="007C7F61" w:rsidRPr="00AD6C5C">
              <w:t xml:space="preserve"> </w:t>
            </w:r>
            <w:r w:rsidRPr="00AD6C5C">
              <w:t xml:space="preserve">"Eiropas Savienības mātes (meitas) iestāde", </w:t>
            </w:r>
            <w:r w:rsidR="00826CC7" w:rsidRPr="00AD6C5C">
              <w:t>ir precizēti vairāki likuma panti</w:t>
            </w:r>
            <w:r w:rsidRPr="00AD6C5C">
              <w:t>, ku</w:t>
            </w:r>
            <w:r w:rsidR="0011572B" w:rsidRPr="00AD6C5C">
              <w:t>ro</w:t>
            </w:r>
            <w:r w:rsidRPr="00AD6C5C">
              <w:t>s tiek lietots neatbilstošs termins – "dalībvalsts mātes (meitas) iestāde".</w:t>
            </w:r>
            <w:r w:rsidR="0011572B" w:rsidRPr="00AD6C5C">
              <w:t xml:space="preserve"> </w:t>
            </w:r>
            <w:r w:rsidR="00A97F5A" w:rsidRPr="00AD6C5C">
              <w:t>Tāpat</w:t>
            </w:r>
            <w:r w:rsidR="00E237C1">
              <w:t>,</w:t>
            </w:r>
            <w:r w:rsidR="0011572B" w:rsidRPr="00AD6C5C">
              <w:t xml:space="preserve"> ievērojot konsekventu terminoloģijas lietojum</w:t>
            </w:r>
            <w:r w:rsidR="00E237C1">
              <w:t>u</w:t>
            </w:r>
            <w:r w:rsidR="0011572B" w:rsidRPr="00AD6C5C">
              <w:t xml:space="preserve">, ir </w:t>
            </w:r>
            <w:r w:rsidR="00A97F5A" w:rsidRPr="00AD6C5C">
              <w:t>veikti</w:t>
            </w:r>
            <w:r w:rsidR="0011572B" w:rsidRPr="00AD6C5C">
              <w:t xml:space="preserve"> grozījumi likuma regulējum</w:t>
            </w:r>
            <w:r w:rsidR="00E237C1">
              <w:t>ā</w:t>
            </w:r>
            <w:r w:rsidR="0011572B" w:rsidRPr="00AD6C5C">
              <w:t xml:space="preserve"> attiecībā uz termin</w:t>
            </w:r>
            <w:r w:rsidR="00A97F5A" w:rsidRPr="00AD6C5C">
              <w:t>a "minimālās pašu kapitāla un atbilstīgo saistību prasības" lietojumu.</w:t>
            </w:r>
          </w:p>
          <w:p w:rsidR="00D51216" w:rsidRDefault="00D51216" w:rsidP="00BE289E">
            <w:pPr>
              <w:jc w:val="both"/>
            </w:pPr>
          </w:p>
          <w:p w:rsidR="00B81F05" w:rsidRPr="00E66A83" w:rsidRDefault="00B81F05" w:rsidP="00B81F05">
            <w:pPr>
              <w:jc w:val="both"/>
            </w:pPr>
            <w:r>
              <w:t xml:space="preserve">Likuma 1.panta pirmās daļas 23.punktā lietotais </w:t>
            </w:r>
            <w:r w:rsidR="009C4AD6">
              <w:t xml:space="preserve">termins </w:t>
            </w:r>
            <w:r>
              <w:t>"iestāde"</w:t>
            </w:r>
            <w:r w:rsidRPr="00D51216">
              <w:t xml:space="preserve"> izstrādāts, sākotnēji ieviešot </w:t>
            </w:r>
            <w:r w:rsidRPr="00D51216">
              <w:rPr>
                <w:i/>
              </w:rPr>
              <w:t xml:space="preserve">Eiropas Parlamenta un Padomes 2014. gada 15. maija direktīvas 2014/59/ES, </w:t>
            </w:r>
            <w:r w:rsidRPr="00D51216">
              <w:rPr>
                <w:bCs/>
                <w:i/>
                <w:shd w:val="clear" w:color="auto" w:fill="FFFFFF"/>
              </w:rPr>
              <w:t xml:space="preserve">ar ko izveido kredītiestāžu un ieguldījumu brokeru sabiedrību atveseļošanas un noregulējuma režīmu un groza Padomes Direktīvu 82/891/EEK un Eiropas Parlamenta un Padomes Direktīvas 2001/24/EK, 2002/47/EK, 2004/25/EK, 2005/56/EK, 2007/36/EK, 2011/35/ES, 2012/30/ES un 2013/36/ES, un Eiropas </w:t>
            </w:r>
            <w:r w:rsidRPr="00405510">
              <w:rPr>
                <w:bCs/>
                <w:i/>
                <w:shd w:val="clear" w:color="auto" w:fill="FFFFFF"/>
              </w:rPr>
              <w:t>Parlamenta un Padomes Regulas (ES) Nr. 1093/2010 un (ES) Nr. 648/2012</w:t>
            </w:r>
            <w:r w:rsidRPr="00405510">
              <w:rPr>
                <w:bCs/>
                <w:shd w:val="clear" w:color="auto" w:fill="FFFFFF"/>
              </w:rPr>
              <w:t xml:space="preserve"> 2.pant</w:t>
            </w:r>
            <w:r>
              <w:rPr>
                <w:bCs/>
                <w:shd w:val="clear" w:color="auto" w:fill="FFFFFF"/>
              </w:rPr>
              <w:t>a</w:t>
            </w:r>
            <w:r w:rsidRPr="00405510">
              <w:rPr>
                <w:bCs/>
                <w:shd w:val="clear" w:color="auto" w:fill="FFFFFF"/>
              </w:rPr>
              <w:t xml:space="preserve"> 1.punkt</w:t>
            </w:r>
            <w:r>
              <w:rPr>
                <w:bCs/>
                <w:shd w:val="clear" w:color="auto" w:fill="FFFFFF"/>
              </w:rPr>
              <w:t>u</w:t>
            </w:r>
            <w:r w:rsidRPr="00405510">
              <w:rPr>
                <w:bCs/>
                <w:shd w:val="clear" w:color="auto" w:fill="FFFFFF"/>
              </w:rPr>
              <w:t xml:space="preserve">, </w:t>
            </w:r>
            <w:r>
              <w:rPr>
                <w:bCs/>
                <w:shd w:val="clear" w:color="auto" w:fill="FFFFFF"/>
              </w:rPr>
              <w:t xml:space="preserve">kura </w:t>
            </w:r>
            <w:r w:rsidRPr="00405510">
              <w:rPr>
                <w:bCs/>
                <w:shd w:val="clear" w:color="auto" w:fill="FFFFFF"/>
              </w:rPr>
              <w:t xml:space="preserve">prasības attiecībā uz termina </w:t>
            </w:r>
            <w:r w:rsidRPr="00405510">
              <w:t xml:space="preserve">"ieguldījumu brokeru sabiedrība" </w:t>
            </w:r>
            <w:r w:rsidR="009C4AD6">
              <w:t xml:space="preserve">netieši </w:t>
            </w:r>
            <w:r w:rsidRPr="00405510">
              <w:t xml:space="preserve">atsaucās uz ieguldījumu brokeru sabiedrību </w:t>
            </w:r>
            <w:r w:rsidRPr="00405510">
              <w:rPr>
                <w:i/>
              </w:rPr>
              <w:t xml:space="preserve">Eiropas Parlamenta un Padomes 2013.gada 26.jūnija direktīvas 2013/36/ES </w:t>
            </w:r>
            <w:r w:rsidRPr="00405510">
              <w:rPr>
                <w:bCs/>
                <w:i/>
                <w:color w:val="000000"/>
              </w:rPr>
              <w:t xml:space="preserve">par piekļuvi kredītiestāžu darbībai un kredītiestāžu un ieguldījumu brokeru sabiedrību </w:t>
            </w:r>
            <w:proofErr w:type="spellStart"/>
            <w:r w:rsidRPr="00405510">
              <w:rPr>
                <w:bCs/>
                <w:i/>
                <w:color w:val="000000"/>
              </w:rPr>
              <w:t>prudenciālo</w:t>
            </w:r>
            <w:proofErr w:type="spellEnd"/>
            <w:r w:rsidRPr="00405510">
              <w:rPr>
                <w:bCs/>
                <w:i/>
                <w:color w:val="000000"/>
              </w:rPr>
              <w:t xml:space="preserve"> uzraudzību, ar ko groza Direktīvu 2002/87/EK un atceļ Direktīvas 2006/48/EK un 2006/49/EK</w:t>
            </w:r>
            <w:r w:rsidRPr="00405510">
              <w:rPr>
                <w:bCs/>
                <w:color w:val="000000"/>
              </w:rPr>
              <w:t xml:space="preserve"> noteikta veida prasībām, kas iestrādātas Finanšu instrumentu tirgus likumā. Līdz ar to</w:t>
            </w:r>
            <w:r>
              <w:rPr>
                <w:bCs/>
                <w:color w:val="000000"/>
              </w:rPr>
              <w:t xml:space="preserve"> skaidrības nodrošināšanai</w:t>
            </w:r>
            <w:r w:rsidRPr="00405510">
              <w:t xml:space="preserve"> 1.panta pirmās daļas 23.punktā</w:t>
            </w:r>
            <w:r>
              <w:t xml:space="preserve"> </w:t>
            </w:r>
            <w:r w:rsidRPr="00405510">
              <w:t>precizēta atsauce uz attiecīgajam Finanšu instrumentu tirgus likuma prasībām</w:t>
            </w:r>
            <w:r>
              <w:t>.</w:t>
            </w:r>
          </w:p>
          <w:p w:rsidR="00D51216" w:rsidRPr="00AD6C5C" w:rsidRDefault="00D51216" w:rsidP="00BE289E">
            <w:pPr>
              <w:jc w:val="both"/>
            </w:pPr>
          </w:p>
          <w:p w:rsidR="0011572B" w:rsidRPr="00AD6C5C" w:rsidRDefault="00902A8F" w:rsidP="00BE289E">
            <w:pPr>
              <w:jc w:val="both"/>
            </w:pPr>
            <w:r w:rsidRPr="00AD6C5C">
              <w:t>Lai labāk atspoguļotu likum</w:t>
            </w:r>
            <w:r w:rsidR="00E237C1">
              <w:t>a</w:t>
            </w:r>
            <w:r w:rsidRPr="00AD6C5C">
              <w:t xml:space="preserve"> normās ietvertā regulējuma būtību, ir veikti grozījumi likuma 107., 110., 111., 112., 113. un 114.pant</w:t>
            </w:r>
            <w:r w:rsidR="004709D2" w:rsidRPr="00AD6C5C">
              <w:t xml:space="preserve">ā, aizstājot jēdzienu "grupas noregulējuma plāns" ar "grupas noregulējuma īstenošanas plāns", tādējādi </w:t>
            </w:r>
            <w:r w:rsidR="00AD6C5C" w:rsidRPr="00AD6C5C">
              <w:t>no likuma regulējama izriet, ka minētajos gadījumos sākotnējais noregulējuma plāns ir ticis precizēts atbilstoši tā piemērošanas pasākumiem.</w:t>
            </w:r>
            <w:r w:rsidR="004709D2" w:rsidRPr="00AD6C5C">
              <w:t xml:space="preserve"> </w:t>
            </w:r>
          </w:p>
          <w:p w:rsidR="002E0AC7" w:rsidRPr="00AD6C5C" w:rsidRDefault="002E0AC7" w:rsidP="00BE289E">
            <w:pPr>
              <w:jc w:val="both"/>
            </w:pPr>
          </w:p>
          <w:p w:rsidR="00D73FF0" w:rsidRPr="00AD6C5C" w:rsidRDefault="00B07BD6" w:rsidP="00D73FF0">
            <w:pPr>
              <w:jc w:val="both"/>
            </w:pPr>
            <w:r w:rsidRPr="00AD6C5C">
              <w:t xml:space="preserve"> </w:t>
            </w:r>
            <w:r w:rsidR="00D73FF0" w:rsidRPr="00AD6C5C">
              <w:t>2.2. </w:t>
            </w:r>
            <w:r w:rsidR="00180333">
              <w:t>L</w:t>
            </w:r>
            <w:r w:rsidR="00D73FF0" w:rsidRPr="00AD6C5C">
              <w:t>ikuma regulējuma pilnveid</w:t>
            </w:r>
            <w:r w:rsidR="00C04C1D" w:rsidRPr="00AD6C5C">
              <w:t>e</w:t>
            </w:r>
            <w:r w:rsidR="00621FF1">
              <w:t>.</w:t>
            </w:r>
          </w:p>
          <w:p w:rsidR="00C04C1D" w:rsidRPr="00AD6C5C" w:rsidRDefault="00C04C1D" w:rsidP="00D73FF0">
            <w:pPr>
              <w:jc w:val="both"/>
            </w:pPr>
          </w:p>
          <w:p w:rsidR="00C04C1D" w:rsidRPr="00AD6C5C" w:rsidRDefault="00C04C1D" w:rsidP="00D73FF0">
            <w:pPr>
              <w:jc w:val="both"/>
            </w:pPr>
            <w:r w:rsidRPr="00AD6C5C">
              <w:lastRenderedPageBreak/>
              <w:t xml:space="preserve">Izstrādāti precizējumi likuma 11.pantā attiecībā </w:t>
            </w:r>
            <w:r w:rsidR="00E237C1">
              <w:t xml:space="preserve">uz </w:t>
            </w:r>
            <w:r w:rsidRPr="00AD6C5C">
              <w:t>iestādei sniedzamo informāciju par Komisijas izstrādāto noregulējuma plānu, jo līdz šim šāds pienākums likuma regulējumā nebija nostiprināts.</w:t>
            </w:r>
          </w:p>
          <w:p w:rsidR="00C04C1D" w:rsidRPr="00AD6C5C" w:rsidRDefault="00C04C1D" w:rsidP="00D73FF0">
            <w:pPr>
              <w:jc w:val="both"/>
            </w:pPr>
          </w:p>
          <w:p w:rsidR="00C04C1D" w:rsidRPr="00621FF1" w:rsidRDefault="00E237C1" w:rsidP="00D73FF0">
            <w:pPr>
              <w:jc w:val="both"/>
            </w:pPr>
            <w:r w:rsidRPr="00621FF1">
              <w:t>L</w:t>
            </w:r>
            <w:r w:rsidR="00C04C1D" w:rsidRPr="00621FF1">
              <w:t xml:space="preserve">ikuma 14.pants </w:t>
            </w:r>
            <w:r w:rsidRPr="00621FF1">
              <w:t xml:space="preserve">papildināts </w:t>
            </w:r>
            <w:r w:rsidR="00C04C1D" w:rsidRPr="00621FF1">
              <w:t>ar pienākumu Komisijai izstrādāt un uzturēt noregulējuma plānu</w:t>
            </w:r>
            <w:r w:rsidRPr="00621FF1">
              <w:t>,</w:t>
            </w:r>
            <w:r w:rsidR="00C04C1D" w:rsidRPr="00621FF1">
              <w:t xml:space="preserve"> sadarbojoties ar citām noregulējuma iestādēm, jo līdz šim varēja pastāvēt šāda situācija, taču netika paredzēts attiecīgs Komisijas pienākums sadarboties informācijas apmaiņas ietvaros.</w:t>
            </w:r>
          </w:p>
          <w:p w:rsidR="00C04C1D" w:rsidRPr="00621FF1" w:rsidRDefault="00C04C1D" w:rsidP="00D73FF0">
            <w:pPr>
              <w:jc w:val="both"/>
            </w:pPr>
          </w:p>
          <w:p w:rsidR="000E0690" w:rsidRPr="00621FF1" w:rsidRDefault="000E0690" w:rsidP="000E0690">
            <w:pPr>
              <w:jc w:val="both"/>
            </w:pPr>
            <w:r w:rsidRPr="00621FF1">
              <w:t>Pārskatot likuma regulējumu</w:t>
            </w:r>
            <w:r w:rsidR="00F849BA" w:rsidRPr="00621FF1">
              <w:t>,</w:t>
            </w:r>
            <w:r w:rsidRPr="00621FF1">
              <w:t xml:space="preserve"> secinā</w:t>
            </w:r>
            <w:r w:rsidR="00BE10A6" w:rsidRPr="00621FF1">
              <w:t>t</w:t>
            </w:r>
            <w:r w:rsidRPr="00621FF1">
              <w:t>s, ka likums satur nepilnīgu regulējumu</w:t>
            </w:r>
            <w:r w:rsidR="00BE10A6" w:rsidRPr="00621FF1">
              <w:t>,</w:t>
            </w:r>
            <w:r w:rsidRPr="00621FF1">
              <w:t xml:space="preserve"> vairākos gadījumos noteiktu pienākumu</w:t>
            </w:r>
            <w:r w:rsidR="00F849BA" w:rsidRPr="00621FF1">
              <w:t xml:space="preserve"> veikšanu</w:t>
            </w:r>
            <w:r w:rsidRPr="00621FF1">
              <w:t xml:space="preserve"> attiecin</w:t>
            </w:r>
            <w:r w:rsidR="00BE10A6" w:rsidRPr="00621FF1">
              <w:t>o</w:t>
            </w:r>
            <w:r w:rsidRPr="00621FF1">
              <w:t xml:space="preserve">t tikai uz finanšu sabiedrībām, kaut arī pēc likuma regulējuma būtības šāds pienākums būtu attiecināms arī uz iestādēm. Līdz ar to likumprojektā ietverti grozījumi, kas paredz </w:t>
            </w:r>
            <w:r w:rsidR="00F849BA" w:rsidRPr="00621FF1">
              <w:t xml:space="preserve">noteiktu pienākumu veikšanu </w:t>
            </w:r>
            <w:r w:rsidRPr="00621FF1">
              <w:t xml:space="preserve">attiecināt arī uz iestādēm. </w:t>
            </w:r>
          </w:p>
          <w:p w:rsidR="00826CC7" w:rsidRPr="00621FF1" w:rsidRDefault="00826CC7" w:rsidP="00D73FF0">
            <w:pPr>
              <w:jc w:val="both"/>
            </w:pPr>
          </w:p>
          <w:p w:rsidR="00547F85" w:rsidRPr="00AD6C5C" w:rsidRDefault="00547F85" w:rsidP="00D73FF0">
            <w:pPr>
              <w:jc w:val="both"/>
            </w:pPr>
            <w:r w:rsidRPr="00621FF1">
              <w:t xml:space="preserve">Veikti grozījumi likuma </w:t>
            </w:r>
            <w:r w:rsidR="00175B36" w:rsidRPr="00621FF1">
              <w:t>normās</w:t>
            </w:r>
            <w:r w:rsidRPr="00621FF1">
              <w:t>, kas attiecas uz grupas finansiālā atbalsta piemērošanu. Spēkā esošajā regulējumā netika paredzētas Komisijas tiesības izteikt iebildumus pret grupas finansiālā atbalsta sniegšanu,</w:t>
            </w:r>
            <w:r w:rsidRPr="00AD6C5C">
              <w:t xml:space="preserve"> ja tas neatbilst tā saņemšanas nosacījumiem. Līdz ar to attiecīgi papildināt</w:t>
            </w:r>
            <w:r w:rsidR="00E237C1">
              <w:t>s</w:t>
            </w:r>
            <w:r w:rsidRPr="00AD6C5C">
              <w:t xml:space="preserve"> likuma 25.pants, iekļaujot Komisijas tiesības aizliegt slēgt līgumu par grupas finansiālā atbalsta sniegšanu. Vienlai</w:t>
            </w:r>
            <w:r w:rsidR="00E237C1">
              <w:t>kus</w:t>
            </w:r>
            <w:r w:rsidRPr="00AD6C5C">
              <w:t xml:space="preserve"> veikti redakcionāli precizējumi arī likuma 27. un 28.pantā</w:t>
            </w:r>
            <w:r w:rsidR="00175B36">
              <w:t>,</w:t>
            </w:r>
            <w:r w:rsidR="00175B36" w:rsidRPr="00AD6C5C">
              <w:t xml:space="preserve"> </w:t>
            </w:r>
            <w:r w:rsidRPr="00AD6C5C">
              <w:t>precizējot finansiālā atbalsta piešķiršanas kārtību.</w:t>
            </w:r>
          </w:p>
          <w:p w:rsidR="00826CC7" w:rsidRPr="00AD6C5C" w:rsidRDefault="00826CC7" w:rsidP="00D73FF0">
            <w:pPr>
              <w:jc w:val="both"/>
            </w:pPr>
          </w:p>
          <w:p w:rsidR="00B02E1F" w:rsidRPr="00621FF1" w:rsidRDefault="00B02E1F" w:rsidP="00D73FF0">
            <w:pPr>
              <w:jc w:val="both"/>
            </w:pPr>
            <w:r w:rsidRPr="00AD6C5C">
              <w:t>Likuma 39.pants satur nosacījumus, kuriem iestājoties iestāde var tikt uzskat</w:t>
            </w:r>
            <w:r w:rsidR="00E237C1">
              <w:t>īt</w:t>
            </w:r>
            <w:r w:rsidRPr="00AD6C5C">
              <w:t xml:space="preserve">a par noregulējamu. Taču minētajā pantā </w:t>
            </w:r>
            <w:r w:rsidR="00BE10A6">
              <w:t>tika</w:t>
            </w:r>
            <w:r w:rsidRPr="00AD6C5C">
              <w:t xml:space="preserve"> </w:t>
            </w:r>
            <w:r w:rsidR="00BE10A6">
              <w:t>konstatēta</w:t>
            </w:r>
            <w:r w:rsidR="00175B36">
              <w:t xml:space="preserve"> </w:t>
            </w:r>
            <w:r w:rsidR="00175B36" w:rsidRPr="00AD6C5C">
              <w:t>nepiecieš</w:t>
            </w:r>
            <w:r w:rsidR="00175B36">
              <w:t>amība</w:t>
            </w:r>
            <w:r w:rsidR="00175B36" w:rsidRPr="00AD6C5C">
              <w:t xml:space="preserve"> </w:t>
            </w:r>
            <w:r w:rsidRPr="00AD6C5C">
              <w:t>veikt precizējumus, ka</w:t>
            </w:r>
            <w:r w:rsidR="006E4C45">
              <w:t>,</w:t>
            </w:r>
            <w:r w:rsidRPr="00AD6C5C">
              <w:t xml:space="preserve"> lemjot par valsts atbalsta piešķiršanu noregulējuma ietvaros, to var piešķirt vienīgi tām iestādēm, kuras nav atzītas par maksātnespējīgām. Tāpat </w:t>
            </w:r>
            <w:r w:rsidR="007E25D8" w:rsidRPr="00AD6C5C">
              <w:t xml:space="preserve">ir nepieciešams precizēt likuma 39.pantu, </w:t>
            </w:r>
            <w:r w:rsidR="00E237C1">
              <w:t xml:space="preserve">lai </w:t>
            </w:r>
            <w:r w:rsidR="007E25D8" w:rsidRPr="00AD6C5C">
              <w:t>uzsv</w:t>
            </w:r>
            <w:r w:rsidR="00E237C1">
              <w:t>ē</w:t>
            </w:r>
            <w:r w:rsidR="007E25D8" w:rsidRPr="00AD6C5C">
              <w:t>rt</w:t>
            </w:r>
            <w:r w:rsidR="00E237C1">
              <w:t>u</w:t>
            </w:r>
            <w:r w:rsidR="007E25D8" w:rsidRPr="00AD6C5C">
              <w:t>, ka</w:t>
            </w:r>
            <w:r w:rsidR="00E237C1">
              <w:t>,</w:t>
            </w:r>
            <w:r w:rsidR="007E25D8" w:rsidRPr="00AD6C5C">
              <w:t xml:space="preserve"> </w:t>
            </w:r>
            <w:r w:rsidR="000E6AA5" w:rsidRPr="00AD6C5C">
              <w:t>konstatējot iestādes atbilstību noregulējuma nosacījumiem</w:t>
            </w:r>
            <w:r w:rsidR="000E6AA5" w:rsidRPr="00621FF1">
              <w:t>, Komisija</w:t>
            </w:r>
            <w:r w:rsidR="00E237C1" w:rsidRPr="00621FF1">
              <w:t>i</w:t>
            </w:r>
            <w:r w:rsidR="000E6AA5" w:rsidRPr="00621FF1">
              <w:t xml:space="preserve"> kā nacionālajai noregulējuma iestādei ir jāizvērtē</w:t>
            </w:r>
            <w:r w:rsidR="006E4C45" w:rsidRPr="00621FF1">
              <w:t xml:space="preserve"> divu iespējamo lēmumu pieņemšana, proti</w:t>
            </w:r>
            <w:r w:rsidR="000E6AA5" w:rsidRPr="00621FF1">
              <w:t>, vai pieņemt lēmumu par noregulējuma darbību piemērošanu attiecībā uz iestādi vai pieņemt lēmumu uzsākt iestādes maksātnespējas procesu. Savukārt</w:t>
            </w:r>
            <w:r w:rsidR="00E237C1" w:rsidRPr="00621FF1">
              <w:t>,</w:t>
            </w:r>
            <w:r w:rsidR="000E6AA5" w:rsidRPr="00621FF1">
              <w:t xml:space="preserve"> pieņemot lēmumu par iestādes maksātnespējas procesa uzsākšanu, Komisijai </w:t>
            </w:r>
            <w:r w:rsidR="006E4C45" w:rsidRPr="00621FF1">
              <w:t xml:space="preserve">kā </w:t>
            </w:r>
            <w:r w:rsidR="000E6AA5" w:rsidRPr="00621FF1">
              <w:t>nacionālajai noregulējuma iestādei būtu jāpamato</w:t>
            </w:r>
            <w:r w:rsidR="00E237C1" w:rsidRPr="00621FF1">
              <w:t>,</w:t>
            </w:r>
            <w:r w:rsidR="000E6AA5" w:rsidRPr="00621FF1">
              <w:t xml:space="preserve"> kāpēc attiecībā uz iestādi nav lietderīgi piemērot noregulējuma darbības.</w:t>
            </w:r>
          </w:p>
          <w:p w:rsidR="000E6AA5" w:rsidRPr="00621FF1" w:rsidRDefault="000E6AA5" w:rsidP="00D73FF0">
            <w:pPr>
              <w:jc w:val="both"/>
            </w:pPr>
          </w:p>
          <w:p w:rsidR="000E6AA5" w:rsidRPr="00621FF1" w:rsidRDefault="000E6AA5" w:rsidP="00BE289E">
            <w:pPr>
              <w:jc w:val="both"/>
              <w:rPr>
                <w:lang w:eastAsia="lv-LV"/>
              </w:rPr>
            </w:pPr>
            <w:r w:rsidRPr="00621FF1">
              <w:t>No spēkā esošā likuma 43.panta redakcijas tiesību normas piemērotāj</w:t>
            </w:r>
            <w:r w:rsidR="00E466CA" w:rsidRPr="00621FF1">
              <w:t>ie</w:t>
            </w:r>
            <w:r w:rsidRPr="00621FF1">
              <w:t>m nebija viennozīmīg</w:t>
            </w:r>
            <w:r w:rsidR="00E237C1" w:rsidRPr="00621FF1">
              <w:t>a</w:t>
            </w:r>
            <w:r w:rsidRPr="00621FF1">
              <w:t xml:space="preserve"> priekšstat</w:t>
            </w:r>
            <w:r w:rsidR="00E237C1" w:rsidRPr="00621FF1">
              <w:t>a</w:t>
            </w:r>
            <w:r w:rsidRPr="00621FF1">
              <w:t xml:space="preserve"> par to, ka norakstīšanas vai konvertēšanas tiesības Komisija kā nacionālā noregulējuma iestāde ir tiesīga īstenot </w:t>
            </w:r>
            <w:r w:rsidR="006E4C45" w:rsidRPr="00621FF1">
              <w:t xml:space="preserve">arī </w:t>
            </w:r>
            <w:r w:rsidRPr="00621FF1">
              <w:t>pirms viena vai vairāku noregulējuma instrumentu piemērošanas. Līdz ar to ir veikti attiecīgi grozījumi likuma 43.pantā. Tāpat likuma 43.pantā ir veikti redakcionāli grozījumi</w:t>
            </w:r>
            <w:r w:rsidR="00BE10A6" w:rsidRPr="00621FF1">
              <w:t xml:space="preserve"> un</w:t>
            </w:r>
            <w:r w:rsidRPr="00621FF1">
              <w:t xml:space="preserve"> </w:t>
            </w:r>
            <w:r w:rsidR="00BE10A6" w:rsidRPr="00621FF1">
              <w:t>noteikts</w:t>
            </w:r>
            <w:r w:rsidRPr="00621FF1">
              <w:t xml:space="preserve">, ka, </w:t>
            </w:r>
            <w:r w:rsidRPr="00621FF1">
              <w:rPr>
                <w:lang w:eastAsia="lv-LV"/>
              </w:rPr>
              <w:t xml:space="preserve">piemērojot noregulējuma instrumentu, īstenojot noregulējuma tiesības vai piemērojot papildu finanšu stabilizācijas instrumentus, nav </w:t>
            </w:r>
            <w:r w:rsidR="00E237C1" w:rsidRPr="00621FF1">
              <w:rPr>
                <w:lang w:eastAsia="lv-LV"/>
              </w:rPr>
              <w:t xml:space="preserve">piemērojamas </w:t>
            </w:r>
            <w:r w:rsidRPr="00621FF1">
              <w:rPr>
                <w:lang w:eastAsia="lv-LV"/>
              </w:rPr>
              <w:t>maksātnespējas proces</w:t>
            </w:r>
            <w:r w:rsidR="00BE10A6" w:rsidRPr="00621FF1">
              <w:rPr>
                <w:lang w:eastAsia="lv-LV"/>
              </w:rPr>
              <w:t>u</w:t>
            </w:r>
            <w:r w:rsidRPr="00621FF1">
              <w:rPr>
                <w:lang w:eastAsia="lv-LV"/>
              </w:rPr>
              <w:t xml:space="preserve"> reglamentējošajos normatīvajos aktos noteiktās kreditoru tiesības apstrīdēt pieņemtos lēmumus, kas </w:t>
            </w:r>
            <w:r w:rsidRPr="00621FF1">
              <w:rPr>
                <w:lang w:eastAsia="lv-LV"/>
              </w:rPr>
              <w:lastRenderedPageBreak/>
              <w:t>aizskar kreditoru intereses. Līdz šim minētajā normā tika ietverta atsauce vienīgi uz lēmumu apstrīdēšanu maksātnespējas procesa ietvaros.</w:t>
            </w:r>
          </w:p>
          <w:p w:rsidR="000E6AA5" w:rsidRPr="00621FF1" w:rsidRDefault="000E6AA5" w:rsidP="00BE289E">
            <w:pPr>
              <w:jc w:val="both"/>
            </w:pPr>
          </w:p>
          <w:p w:rsidR="00857A0D" w:rsidRPr="00621FF1" w:rsidRDefault="00857A0D" w:rsidP="00BE289E">
            <w:pPr>
              <w:jc w:val="both"/>
            </w:pPr>
            <w:r w:rsidRPr="00621FF1">
              <w:t xml:space="preserve">Attiecībā uz uzņēmuma pārdošanas instrumenta piemērošanu ir veikti grozījumi likuma 48. un 50.pantā, saskaņojot minēto normu redakcijas attiecībā uz to, ka </w:t>
            </w:r>
            <w:r w:rsidRPr="00621FF1">
              <w:rPr>
                <w:lang w:eastAsia="lv-LV"/>
              </w:rPr>
              <w:t xml:space="preserve">nodotās akcijas, citus īpašumtiesību instrumentus, aktīvus, tiesības vai saistības var nodot atpakaļ to sākotnējiem akcionāriem vai citu īpašumtiesību instrumentu turētājiem, ja </w:t>
            </w:r>
            <w:r w:rsidR="00E237C1" w:rsidRPr="00621FF1">
              <w:rPr>
                <w:lang w:eastAsia="lv-LV"/>
              </w:rPr>
              <w:t>š</w:t>
            </w:r>
            <w:r w:rsidRPr="00621FF1">
              <w:rPr>
                <w:lang w:eastAsia="lv-LV"/>
              </w:rPr>
              <w:t>āda iespēja ir bijusi paredzēta, īstenojot nodošanu, vai ja nodotas tādas akcijas vai tādi citi īpašumtiesību instrumenti, aktīvi, tiesības vai saistības, kuru nodošana netika paredzēta līgumā</w:t>
            </w:r>
            <w:r w:rsidR="00BE10A6" w:rsidRPr="00621FF1">
              <w:rPr>
                <w:lang w:eastAsia="lv-LV"/>
              </w:rPr>
              <w:t>,</w:t>
            </w:r>
            <w:r w:rsidRPr="00621FF1">
              <w:rPr>
                <w:lang w:eastAsia="lv-LV"/>
              </w:rPr>
              <w:t xml:space="preserve"> un šīm personām ir pienākums tos pieņemt. </w:t>
            </w:r>
          </w:p>
          <w:p w:rsidR="00857A0D" w:rsidRPr="00621FF1" w:rsidRDefault="00857A0D" w:rsidP="00BE289E">
            <w:pPr>
              <w:jc w:val="both"/>
            </w:pPr>
          </w:p>
          <w:p w:rsidR="006807E1" w:rsidRDefault="006807E1" w:rsidP="00BE289E">
            <w:pPr>
              <w:jc w:val="both"/>
              <w:rPr>
                <w:lang w:eastAsia="lv-LV"/>
              </w:rPr>
            </w:pPr>
            <w:r w:rsidRPr="00621FF1">
              <w:t>Saskatot objektīvu nepieciešamību pagarināt termiņu, kādā Komisijai kā nacionālajai noregulējuma iestādei</w:t>
            </w:r>
            <w:r w:rsidR="00BE10A6" w:rsidRPr="00621FF1">
              <w:t xml:space="preserve"> un</w:t>
            </w:r>
            <w:r w:rsidRPr="00621FF1">
              <w:t xml:space="preserve"> </w:t>
            </w:r>
            <w:r w:rsidRPr="00621FF1">
              <w:rPr>
                <w:lang w:eastAsia="lv-LV"/>
              </w:rPr>
              <w:t>līgumslēdzējai pusei (darījuma partnerim), kas ir noslēgusi jebkāda veida līgumu ar noregulējamo iestādi</w:t>
            </w:r>
            <w:r w:rsidR="006149F0" w:rsidRPr="00621FF1">
              <w:rPr>
                <w:lang w:eastAsia="lv-LV"/>
              </w:rPr>
              <w:t>,</w:t>
            </w:r>
            <w:r w:rsidR="002604ED" w:rsidRPr="00621FF1">
              <w:rPr>
                <w:lang w:eastAsia="lv-LV"/>
              </w:rPr>
              <w:t xml:space="preserve"> ir tiesības</w:t>
            </w:r>
            <w:r w:rsidRPr="00621FF1">
              <w:rPr>
                <w:lang w:eastAsia="lv-LV"/>
              </w:rPr>
              <w:t xml:space="preserve"> uz laiku apturēt līguma uzteikuma tiesības, </w:t>
            </w:r>
            <w:r w:rsidR="00A80DB1" w:rsidRPr="00621FF1">
              <w:rPr>
                <w:lang w:eastAsia="lv-LV"/>
              </w:rPr>
              <w:t xml:space="preserve">tas </w:t>
            </w:r>
            <w:r w:rsidRPr="00621FF1">
              <w:rPr>
                <w:lang w:eastAsia="lv-LV"/>
              </w:rPr>
              <w:t>pagarin</w:t>
            </w:r>
            <w:r w:rsidR="000D1EBC" w:rsidRPr="00621FF1">
              <w:rPr>
                <w:lang w:eastAsia="lv-LV"/>
              </w:rPr>
              <w:t>ā</w:t>
            </w:r>
            <w:r w:rsidRPr="00621FF1">
              <w:rPr>
                <w:lang w:eastAsia="lv-LV"/>
              </w:rPr>
              <w:t>t</w:t>
            </w:r>
            <w:r w:rsidR="000D1EBC" w:rsidRPr="00621FF1">
              <w:rPr>
                <w:lang w:eastAsia="lv-LV"/>
              </w:rPr>
              <w:t>s</w:t>
            </w:r>
            <w:r w:rsidRPr="00621FF1">
              <w:rPr>
                <w:lang w:eastAsia="lv-LV"/>
              </w:rPr>
              <w:t xml:space="preserve"> no termiņa "no paziņojuma par apturēšanu publicēšanas dienas līdz tās pašas dienas</w:t>
            </w:r>
            <w:r w:rsidR="00567EF0" w:rsidRPr="00621FF1">
              <w:rPr>
                <w:lang w:eastAsia="lv-LV"/>
              </w:rPr>
              <w:t xml:space="preserve"> pusnaktij</w:t>
            </w:r>
            <w:r w:rsidRPr="00621FF1">
              <w:rPr>
                <w:lang w:eastAsia="lv-LV"/>
              </w:rPr>
              <w:t xml:space="preserve">" līdz termiņam "no paziņojuma par apturēšanu publicēšanas dienas līdz nākamās darbdienas pusnaktij". </w:t>
            </w:r>
            <w:r w:rsidR="002604ED" w:rsidRPr="00621FF1">
              <w:rPr>
                <w:lang w:eastAsia="lv-LV"/>
              </w:rPr>
              <w:t>Līdz ar to ir veikti attiecīgi grozījumi likuma 91., 92. un 93.pantā.</w:t>
            </w:r>
          </w:p>
          <w:p w:rsidR="003E2971" w:rsidRDefault="003E2971" w:rsidP="00BE289E">
            <w:pPr>
              <w:jc w:val="both"/>
              <w:rPr>
                <w:lang w:eastAsia="lv-LV"/>
              </w:rPr>
            </w:pPr>
          </w:p>
          <w:p w:rsidR="003E2971" w:rsidRPr="00AD6C5C" w:rsidRDefault="003E2971" w:rsidP="00BE289E">
            <w:pPr>
              <w:jc w:val="both"/>
            </w:pPr>
            <w:r>
              <w:t xml:space="preserve">Ar likumprojekta </w:t>
            </w:r>
            <w:r w:rsidRPr="003E2971">
              <w:t xml:space="preserve">48.pantu </w:t>
            </w:r>
            <w:r>
              <w:t xml:space="preserve">paredzēts izdarīt grozījumus likuma </w:t>
            </w:r>
            <w:r w:rsidRPr="003E2971">
              <w:t>105.panta pirmās daļas 4.punktā, pēc vārdiem “īpašumtiesību instrumentu saņēmēji” papildinot ar vārdiem “vai potenciālie saņēmēji”. Ar terminu</w:t>
            </w:r>
            <w:r>
              <w:t xml:space="preserve"> </w:t>
            </w:r>
            <w:r w:rsidRPr="003E2971">
              <w:t>“vai potenciālie saņēmēji”</w:t>
            </w:r>
            <w:r>
              <w:t xml:space="preserve"> </w:t>
            </w:r>
            <w:r w:rsidR="007458C3">
              <w:t xml:space="preserve">likuma </w:t>
            </w:r>
            <w:r w:rsidR="007458C3" w:rsidRPr="003E2971">
              <w:t>105.panta pirmās daļas 4.punkt</w:t>
            </w:r>
            <w:r w:rsidR="007458C3">
              <w:t>u nepieciešams papildināt, lai nodrošinātu, ka</w:t>
            </w:r>
            <w:r w:rsidRPr="003E2971">
              <w:t xml:space="preserve"> </w:t>
            </w:r>
            <w:r>
              <w:t>tādu trešo personu rīcībā, kas</w:t>
            </w:r>
            <w:r w:rsidR="007458C3">
              <w:t>,</w:t>
            </w:r>
            <w:r>
              <w:t xml:space="preserve"> iespējams</w:t>
            </w:r>
            <w:r w:rsidR="007458C3">
              <w:t>,</w:t>
            </w:r>
            <w:r>
              <w:t xml:space="preserve"> tik</w:t>
            </w:r>
            <w:r w:rsidR="007458C3">
              <w:t>tu</w:t>
            </w:r>
            <w:r>
              <w:t xml:space="preserve"> iesaistīti noregulējuma darbību veikšanā (piemēram, pārņem</w:t>
            </w:r>
            <w:r w:rsidR="007458C3">
              <w:t>tu</w:t>
            </w:r>
            <w:r>
              <w:t xml:space="preserve"> aktīvus), </w:t>
            </w:r>
            <w:r w:rsidR="007458C3">
              <w:t xml:space="preserve">tiek piemēroti </w:t>
            </w:r>
            <w:r>
              <w:t>ierobežojum</w:t>
            </w:r>
            <w:r w:rsidR="007458C3">
              <w:t>i</w:t>
            </w:r>
            <w:r>
              <w:t xml:space="preserve"> un rīcīb</w:t>
            </w:r>
            <w:r w:rsidR="007458C3">
              <w:t>a</w:t>
            </w:r>
            <w:r>
              <w:t xml:space="preserve"> ar </w:t>
            </w:r>
            <w:r w:rsidR="007458C3">
              <w:t xml:space="preserve">noregulējuma darbību veikšanā iegūto informāciju, to </w:t>
            </w:r>
            <w:r>
              <w:t>attiecin</w:t>
            </w:r>
            <w:r w:rsidR="007458C3">
              <w:t>ot</w:t>
            </w:r>
            <w:r>
              <w:t xml:space="preserve"> arī uz šīm trešajām personām, definējot t</w:t>
            </w:r>
            <w:r w:rsidR="007458C3">
              <w:t>ā</w:t>
            </w:r>
            <w:r>
              <w:t xml:space="preserve">s kā potenciālos </w:t>
            </w:r>
            <w:r w:rsidR="001D142C">
              <w:t xml:space="preserve">īpašumtiesību </w:t>
            </w:r>
            <w:r>
              <w:t>saņēmējus.</w:t>
            </w:r>
          </w:p>
          <w:p w:rsidR="006807E1" w:rsidRPr="00AD6C5C" w:rsidRDefault="006807E1" w:rsidP="00BE289E">
            <w:pPr>
              <w:jc w:val="both"/>
            </w:pPr>
          </w:p>
          <w:p w:rsidR="006004B5" w:rsidRPr="00AD6C5C" w:rsidRDefault="00C04C1D" w:rsidP="00BE289E">
            <w:pPr>
              <w:jc w:val="both"/>
            </w:pPr>
            <w:r w:rsidRPr="00AD6C5C">
              <w:t>2.3. Citi redakcionāli grozījumi</w:t>
            </w:r>
            <w:r w:rsidR="00826CC7" w:rsidRPr="00AD6C5C">
              <w:t>, kas pēc būtības nemaina likuma regulējumu</w:t>
            </w:r>
          </w:p>
          <w:p w:rsidR="00826CC7" w:rsidRPr="00AD6C5C" w:rsidRDefault="00826CC7" w:rsidP="00BE289E">
            <w:pPr>
              <w:jc w:val="both"/>
            </w:pPr>
          </w:p>
          <w:p w:rsidR="00826CC7" w:rsidRPr="00AD6C5C" w:rsidRDefault="00826CC7" w:rsidP="008923BB">
            <w:pPr>
              <w:jc w:val="both"/>
            </w:pPr>
            <w:r w:rsidRPr="00AD6C5C">
              <w:t xml:space="preserve">Likumā tiek veikti vairāki grozījumi, kas precizē vārdu lietojumu, aizstājot vienu vārdu ar </w:t>
            </w:r>
            <w:r w:rsidR="006149F0">
              <w:t>citu</w:t>
            </w:r>
            <w:r w:rsidRPr="00AD6C5C">
              <w:t xml:space="preserve">, kas labāk atspoguļo likuma regulējuma būtību, kā arī precizēts IV nodaļas nosaukums, lai tas pēc būtības atbilstu nodaļā ietvertā regulējuma saturam.  </w:t>
            </w:r>
          </w:p>
          <w:p w:rsidR="00C04C1D" w:rsidRPr="00AD6C5C" w:rsidRDefault="00C04C1D" w:rsidP="008923BB">
            <w:pPr>
              <w:jc w:val="both"/>
            </w:pPr>
          </w:p>
          <w:p w:rsidR="00F72185" w:rsidRPr="00F72185" w:rsidRDefault="0054476B" w:rsidP="006149F0">
            <w:pPr>
              <w:shd w:val="clear" w:color="auto" w:fill="FFFFFF"/>
              <w:jc w:val="both"/>
            </w:pPr>
            <w:r w:rsidRPr="00AD6C5C">
              <w:t xml:space="preserve">Tāpat veikta virkne </w:t>
            </w:r>
            <w:r w:rsidR="008923BB" w:rsidRPr="00AD6C5C">
              <w:t xml:space="preserve">redakcionālu </w:t>
            </w:r>
            <w:r w:rsidRPr="00AD6C5C">
              <w:t xml:space="preserve">grozījumu likuma </w:t>
            </w:r>
            <w:r w:rsidRPr="00AD6C5C">
              <w:rPr>
                <w:bCs/>
                <w:lang w:eastAsia="lv-LV"/>
              </w:rPr>
              <w:t xml:space="preserve">XI nodaļā "Iekšējās </w:t>
            </w:r>
            <w:proofErr w:type="spellStart"/>
            <w:r w:rsidRPr="00AD6C5C">
              <w:rPr>
                <w:bCs/>
                <w:lang w:eastAsia="lv-LV"/>
              </w:rPr>
              <w:t>rekapitalizācijas</w:t>
            </w:r>
            <w:proofErr w:type="spellEnd"/>
            <w:r w:rsidRPr="00AD6C5C">
              <w:rPr>
                <w:bCs/>
                <w:lang w:eastAsia="lv-LV"/>
              </w:rPr>
              <w:t xml:space="preserve"> instruments"</w:t>
            </w:r>
            <w:r w:rsidR="008923BB" w:rsidRPr="00AD6C5C">
              <w:rPr>
                <w:bCs/>
                <w:lang w:eastAsia="lv-LV"/>
              </w:rPr>
              <w:t>,</w:t>
            </w:r>
            <w:r w:rsidRPr="00AD6C5C">
              <w:rPr>
                <w:bCs/>
                <w:lang w:eastAsia="lv-LV"/>
              </w:rPr>
              <w:t xml:space="preserve"> XII nodaļā "Kapitāla instrumentu norakstīšana un konvertēšana"</w:t>
            </w:r>
            <w:r w:rsidR="00A05F1B" w:rsidRPr="00AD6C5C">
              <w:rPr>
                <w:bCs/>
                <w:lang w:eastAsia="lv-LV"/>
              </w:rPr>
              <w:t>,</w:t>
            </w:r>
            <w:r w:rsidR="008923BB" w:rsidRPr="00AD6C5C">
              <w:rPr>
                <w:bCs/>
                <w:lang w:eastAsia="lv-LV"/>
              </w:rPr>
              <w:t xml:space="preserve"> XIV nodaļā "Noregulējuma tiesības"</w:t>
            </w:r>
            <w:r w:rsidR="00A05F1B" w:rsidRPr="00AD6C5C">
              <w:rPr>
                <w:bCs/>
                <w:lang w:eastAsia="lv-LV"/>
              </w:rPr>
              <w:t xml:space="preserve"> un XV nodaļā "Aizsardzības pasākumi"</w:t>
            </w:r>
            <w:r w:rsidRPr="00AD6C5C">
              <w:rPr>
                <w:bCs/>
                <w:lang w:eastAsia="lv-LV"/>
              </w:rPr>
              <w:t xml:space="preserve">, </w:t>
            </w:r>
            <w:r w:rsidR="008923BB" w:rsidRPr="00AD6C5C">
              <w:rPr>
                <w:bCs/>
                <w:lang w:eastAsia="lv-LV"/>
              </w:rPr>
              <w:t>precizējot likum</w:t>
            </w:r>
            <w:r w:rsidR="006149F0">
              <w:rPr>
                <w:bCs/>
                <w:lang w:eastAsia="lv-LV"/>
              </w:rPr>
              <w:t>ā</w:t>
            </w:r>
            <w:r w:rsidR="008923BB" w:rsidRPr="00AD6C5C">
              <w:rPr>
                <w:bCs/>
                <w:lang w:eastAsia="lv-LV"/>
              </w:rPr>
              <w:t xml:space="preserve"> lietotās atsauces uz atbilstošajiem likuma pantiem, </w:t>
            </w:r>
            <w:r w:rsidR="008D651D">
              <w:rPr>
                <w:bCs/>
                <w:lang w:eastAsia="lv-LV"/>
              </w:rPr>
              <w:t xml:space="preserve">mainot palīgteikumu saikļus, </w:t>
            </w:r>
            <w:r w:rsidR="008923BB" w:rsidRPr="00AD6C5C">
              <w:rPr>
                <w:bCs/>
                <w:lang w:eastAsia="lv-LV"/>
              </w:rPr>
              <w:t>kā arī veicot tādus redakcionālus precizējumus, ka</w:t>
            </w:r>
            <w:r w:rsidR="00284F4F">
              <w:rPr>
                <w:bCs/>
                <w:lang w:eastAsia="lv-LV"/>
              </w:rPr>
              <w:t>s</w:t>
            </w:r>
            <w:r w:rsidR="008923BB" w:rsidRPr="00AD6C5C">
              <w:rPr>
                <w:bCs/>
                <w:lang w:eastAsia="lv-LV"/>
              </w:rPr>
              <w:t xml:space="preserve"> padara skaidrāku likuma normā ietvertā regulējuma būtību tiesību normas piemērotāj</w:t>
            </w:r>
            <w:r w:rsidR="00A80DB1">
              <w:rPr>
                <w:bCs/>
                <w:lang w:eastAsia="lv-LV"/>
              </w:rPr>
              <w:t>ie</w:t>
            </w:r>
            <w:r w:rsidR="008923BB" w:rsidRPr="00AD6C5C">
              <w:rPr>
                <w:bCs/>
                <w:lang w:eastAsia="lv-LV"/>
              </w:rPr>
              <w:t xml:space="preserve">m. </w:t>
            </w:r>
          </w:p>
        </w:tc>
      </w:tr>
      <w:tr w:rsidR="00EB707C" w:rsidRPr="00A72207" w:rsidTr="006A604D">
        <w:trPr>
          <w:jc w:val="center"/>
        </w:trPr>
        <w:tc>
          <w:tcPr>
            <w:tcW w:w="540" w:type="dxa"/>
            <w:tcBorders>
              <w:top w:val="single" w:sz="6" w:space="0" w:color="auto"/>
              <w:left w:val="single" w:sz="6" w:space="0" w:color="auto"/>
              <w:bottom w:val="single" w:sz="6" w:space="0" w:color="auto"/>
              <w:right w:val="single" w:sz="6" w:space="0" w:color="auto"/>
            </w:tcBorders>
          </w:tcPr>
          <w:p w:rsidR="00EB707C" w:rsidRPr="005920FE" w:rsidRDefault="00EB707C">
            <w:pPr>
              <w:pStyle w:val="BodyText"/>
              <w:jc w:val="both"/>
              <w:rPr>
                <w:b w:val="0"/>
                <w:bCs w:val="0"/>
                <w:sz w:val="24"/>
                <w:szCs w:val="24"/>
              </w:rPr>
            </w:pPr>
            <w:r w:rsidRPr="005920FE">
              <w:rPr>
                <w:b w:val="0"/>
                <w:bCs w:val="0"/>
                <w:sz w:val="24"/>
                <w:szCs w:val="24"/>
              </w:rPr>
              <w:lastRenderedPageBreak/>
              <w:t xml:space="preserve">3. </w:t>
            </w:r>
          </w:p>
        </w:tc>
        <w:tc>
          <w:tcPr>
            <w:tcW w:w="2687" w:type="dxa"/>
            <w:tcBorders>
              <w:top w:val="single" w:sz="6" w:space="0" w:color="auto"/>
              <w:left w:val="single" w:sz="6" w:space="0" w:color="auto"/>
              <w:bottom w:val="single" w:sz="6" w:space="0" w:color="auto"/>
              <w:right w:val="single" w:sz="6" w:space="0" w:color="auto"/>
            </w:tcBorders>
          </w:tcPr>
          <w:p w:rsidR="00EB707C" w:rsidRPr="005920FE" w:rsidRDefault="00EB707C">
            <w:pPr>
              <w:pStyle w:val="BodyTextIndent"/>
              <w:rPr>
                <w:b w:val="0"/>
                <w:bCs w:val="0"/>
              </w:rPr>
            </w:pPr>
            <w:r w:rsidRPr="005920FE">
              <w:rPr>
                <w:b w:val="0"/>
                <w:bCs w:val="0"/>
              </w:rPr>
              <w:t>Projekta izstrādē iesaistītās institūcijas</w:t>
            </w:r>
          </w:p>
        </w:tc>
        <w:tc>
          <w:tcPr>
            <w:tcW w:w="6979" w:type="dxa"/>
            <w:tcBorders>
              <w:top w:val="single" w:sz="6" w:space="0" w:color="auto"/>
              <w:left w:val="single" w:sz="6" w:space="0" w:color="auto"/>
              <w:bottom w:val="single" w:sz="6" w:space="0" w:color="auto"/>
              <w:right w:val="single" w:sz="6" w:space="0" w:color="auto"/>
            </w:tcBorders>
          </w:tcPr>
          <w:p w:rsidR="00EB707C" w:rsidRPr="00E5730E" w:rsidRDefault="00233153" w:rsidP="0096586B">
            <w:pPr>
              <w:pStyle w:val="NormalWeb"/>
              <w:jc w:val="both"/>
              <w:rPr>
                <w:lang w:val="lv-LV"/>
              </w:rPr>
            </w:pPr>
            <w:r w:rsidRPr="00E5730E">
              <w:rPr>
                <w:bCs/>
                <w:lang w:val="lv-LV"/>
              </w:rPr>
              <w:t>Finanšu ministrija</w:t>
            </w:r>
            <w:r w:rsidR="005937AA">
              <w:rPr>
                <w:bCs/>
                <w:lang w:val="lv-LV"/>
              </w:rPr>
              <w:t>.</w:t>
            </w:r>
          </w:p>
        </w:tc>
      </w:tr>
      <w:tr w:rsidR="00EB707C" w:rsidRPr="008F5F2F" w:rsidTr="006A604D">
        <w:trPr>
          <w:jc w:val="center"/>
        </w:trPr>
        <w:tc>
          <w:tcPr>
            <w:tcW w:w="540" w:type="dxa"/>
            <w:tcBorders>
              <w:top w:val="single" w:sz="6" w:space="0" w:color="auto"/>
              <w:left w:val="single" w:sz="6" w:space="0" w:color="auto"/>
              <w:bottom w:val="single" w:sz="6" w:space="0" w:color="auto"/>
              <w:right w:val="single" w:sz="6" w:space="0" w:color="auto"/>
            </w:tcBorders>
          </w:tcPr>
          <w:p w:rsidR="00EB707C" w:rsidRPr="005A33C5" w:rsidRDefault="00EB707C">
            <w:pPr>
              <w:pStyle w:val="BodyText"/>
              <w:jc w:val="both"/>
              <w:rPr>
                <w:b w:val="0"/>
                <w:bCs w:val="0"/>
                <w:sz w:val="24"/>
                <w:szCs w:val="24"/>
              </w:rPr>
            </w:pPr>
            <w:r w:rsidRPr="005A33C5">
              <w:rPr>
                <w:b w:val="0"/>
                <w:bCs w:val="0"/>
                <w:sz w:val="24"/>
                <w:szCs w:val="24"/>
              </w:rPr>
              <w:t xml:space="preserve">4. </w:t>
            </w:r>
          </w:p>
        </w:tc>
        <w:tc>
          <w:tcPr>
            <w:tcW w:w="2687" w:type="dxa"/>
            <w:tcBorders>
              <w:top w:val="single" w:sz="6" w:space="0" w:color="auto"/>
              <w:left w:val="single" w:sz="6" w:space="0" w:color="auto"/>
              <w:bottom w:val="single" w:sz="6" w:space="0" w:color="auto"/>
              <w:right w:val="single" w:sz="6" w:space="0" w:color="auto"/>
            </w:tcBorders>
          </w:tcPr>
          <w:p w:rsidR="00EB707C" w:rsidRPr="005A33C5" w:rsidRDefault="00EB707C" w:rsidP="00995238">
            <w:pPr>
              <w:jc w:val="both"/>
            </w:pPr>
            <w:r w:rsidRPr="005A33C5">
              <w:t>Cita informācija</w:t>
            </w:r>
          </w:p>
        </w:tc>
        <w:tc>
          <w:tcPr>
            <w:tcW w:w="6979" w:type="dxa"/>
            <w:tcBorders>
              <w:top w:val="single" w:sz="6" w:space="0" w:color="auto"/>
              <w:left w:val="single" w:sz="6" w:space="0" w:color="auto"/>
              <w:bottom w:val="single" w:sz="6" w:space="0" w:color="auto"/>
              <w:right w:val="single" w:sz="6" w:space="0" w:color="auto"/>
            </w:tcBorders>
          </w:tcPr>
          <w:p w:rsidR="00EB707C" w:rsidRPr="00AF5AA2" w:rsidRDefault="00EB707C" w:rsidP="00995238">
            <w:pPr>
              <w:jc w:val="both"/>
            </w:pPr>
            <w:r w:rsidRPr="005A33C5">
              <w:t>Nav.</w:t>
            </w:r>
          </w:p>
        </w:tc>
      </w:tr>
    </w:tbl>
    <w:p w:rsidR="00A14102" w:rsidRDefault="00A14102">
      <w:pPr>
        <w:rPr>
          <w:b/>
          <w:bCs/>
          <w:i/>
          <w:iCs/>
        </w:rPr>
      </w:pPr>
    </w:p>
    <w:p w:rsidR="008766F2" w:rsidRDefault="008766F2">
      <w:pPr>
        <w:rPr>
          <w:b/>
          <w:bCs/>
          <w:i/>
          <w:iCs/>
        </w:rPr>
      </w:pPr>
    </w:p>
    <w:p w:rsidR="00A72F4A" w:rsidRDefault="00A72F4A" w:rsidP="00995238">
      <w:pPr>
        <w:rPr>
          <w:b/>
          <w:bCs/>
          <w:i/>
          <w:iCs/>
        </w:rPr>
      </w:pPr>
      <w:r>
        <w:rPr>
          <w:b/>
          <w:bCs/>
          <w:i/>
          <w:iCs/>
        </w:rPr>
        <w:t xml:space="preserve">II </w:t>
      </w:r>
      <w:r w:rsidR="00F72185">
        <w:rPr>
          <w:b/>
          <w:bCs/>
          <w:i/>
          <w:iCs/>
        </w:rPr>
        <w:t xml:space="preserve">un III </w:t>
      </w:r>
      <w:r>
        <w:rPr>
          <w:b/>
          <w:bCs/>
          <w:i/>
          <w:iCs/>
        </w:rPr>
        <w:t xml:space="preserve">sadaļa </w:t>
      </w:r>
      <w:r w:rsidR="005937AA">
        <w:rPr>
          <w:b/>
          <w:bCs/>
          <w:i/>
          <w:iCs/>
        </w:rPr>
        <w:t>–</w:t>
      </w:r>
      <w:r w:rsidRPr="00A72F4A">
        <w:rPr>
          <w:b/>
          <w:bCs/>
          <w:i/>
          <w:iCs/>
        </w:rPr>
        <w:t xml:space="preserve"> </w:t>
      </w:r>
      <w:r w:rsidR="00F72185">
        <w:rPr>
          <w:b/>
          <w:bCs/>
          <w:i/>
          <w:iCs/>
        </w:rPr>
        <w:t>Likump</w:t>
      </w:r>
      <w:r w:rsidRPr="005A601A">
        <w:rPr>
          <w:b/>
          <w:bCs/>
          <w:i/>
          <w:iCs/>
        </w:rPr>
        <w:t>rojekts š</w:t>
      </w:r>
      <w:r w:rsidR="0091668F">
        <w:rPr>
          <w:b/>
          <w:bCs/>
          <w:i/>
          <w:iCs/>
        </w:rPr>
        <w:t>o</w:t>
      </w:r>
      <w:r w:rsidRPr="005A601A">
        <w:rPr>
          <w:b/>
          <w:bCs/>
          <w:i/>
          <w:iCs/>
        </w:rPr>
        <w:t xml:space="preserve"> jom</w:t>
      </w:r>
      <w:r w:rsidR="0091668F">
        <w:rPr>
          <w:b/>
          <w:bCs/>
          <w:i/>
          <w:iCs/>
        </w:rPr>
        <w:t>u</w:t>
      </w:r>
      <w:r w:rsidRPr="005A601A">
        <w:rPr>
          <w:b/>
          <w:bCs/>
          <w:i/>
          <w:iCs/>
        </w:rPr>
        <w:t xml:space="preserve"> neskar.</w:t>
      </w:r>
    </w:p>
    <w:p w:rsidR="00A72F4A" w:rsidRDefault="00A72F4A" w:rsidP="00995238">
      <w:pPr>
        <w:rPr>
          <w:b/>
          <w:bCs/>
          <w:i/>
          <w:iCs/>
        </w:rPr>
      </w:pP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126"/>
        <w:gridCol w:w="7229"/>
      </w:tblGrid>
      <w:tr w:rsidR="00F72185" w:rsidRPr="00E84EF4" w:rsidTr="006A604D">
        <w:trPr>
          <w:jc w:val="center"/>
        </w:trPr>
        <w:tc>
          <w:tcPr>
            <w:tcW w:w="10206" w:type="dxa"/>
            <w:gridSpan w:val="3"/>
          </w:tcPr>
          <w:p w:rsidR="00F72185" w:rsidRPr="00E84EF4" w:rsidRDefault="00F72185" w:rsidP="00F72185">
            <w:pPr>
              <w:jc w:val="center"/>
            </w:pPr>
            <w:r w:rsidRPr="00E84EF4">
              <w:rPr>
                <w:b/>
              </w:rPr>
              <w:t> IV. Tiesību akta projekta ietekme uz spēkā esošo tiesību normu sistēmu</w:t>
            </w:r>
          </w:p>
        </w:tc>
      </w:tr>
      <w:tr w:rsidR="00F72185" w:rsidRPr="00E84EF4" w:rsidTr="006A604D">
        <w:trPr>
          <w:jc w:val="center"/>
        </w:trPr>
        <w:tc>
          <w:tcPr>
            <w:tcW w:w="851" w:type="dxa"/>
          </w:tcPr>
          <w:p w:rsidR="00F72185" w:rsidRPr="00E84EF4" w:rsidRDefault="00F72185" w:rsidP="00F72185">
            <w:pPr>
              <w:ind w:right="-57"/>
            </w:pPr>
            <w:r w:rsidRPr="00E84EF4">
              <w:t>1.</w:t>
            </w:r>
          </w:p>
        </w:tc>
        <w:tc>
          <w:tcPr>
            <w:tcW w:w="2126" w:type="dxa"/>
          </w:tcPr>
          <w:p w:rsidR="00F72185" w:rsidRPr="00E84EF4" w:rsidRDefault="00F72185" w:rsidP="00F72185">
            <w:pPr>
              <w:ind w:right="-57"/>
            </w:pPr>
            <w:r w:rsidRPr="00E84EF4">
              <w:t>Nepieciešamie saistītie tiesību aktu projekti</w:t>
            </w:r>
          </w:p>
        </w:tc>
        <w:tc>
          <w:tcPr>
            <w:tcW w:w="7229" w:type="dxa"/>
          </w:tcPr>
          <w:p w:rsidR="00F72185" w:rsidRPr="00F70CC2" w:rsidRDefault="00180333" w:rsidP="00180333">
            <w:pPr>
              <w:pStyle w:val="FootnoteText"/>
              <w:jc w:val="both"/>
            </w:pPr>
            <w:r w:rsidRPr="00180333">
              <w:rPr>
                <w:sz w:val="24"/>
                <w:szCs w:val="24"/>
                <w:lang w:eastAsia="lv-LV"/>
              </w:rPr>
              <w:t>Nav.</w:t>
            </w:r>
            <w:r w:rsidR="00F70CC2">
              <w:t xml:space="preserve"> </w:t>
            </w:r>
          </w:p>
        </w:tc>
      </w:tr>
      <w:tr w:rsidR="00F72185" w:rsidRPr="00E84EF4" w:rsidTr="006A604D">
        <w:trPr>
          <w:jc w:val="center"/>
        </w:trPr>
        <w:tc>
          <w:tcPr>
            <w:tcW w:w="851" w:type="dxa"/>
          </w:tcPr>
          <w:p w:rsidR="00F72185" w:rsidRPr="00E84EF4" w:rsidRDefault="00F72185" w:rsidP="00F72185">
            <w:pPr>
              <w:ind w:right="-57"/>
            </w:pPr>
            <w:r>
              <w:t xml:space="preserve">2. </w:t>
            </w:r>
          </w:p>
        </w:tc>
        <w:tc>
          <w:tcPr>
            <w:tcW w:w="2126" w:type="dxa"/>
          </w:tcPr>
          <w:p w:rsidR="00F72185" w:rsidRPr="00575F9E" w:rsidRDefault="00F72185" w:rsidP="00F72185">
            <w:pPr>
              <w:ind w:right="-57"/>
            </w:pPr>
            <w:r w:rsidRPr="00575F9E">
              <w:t>Atbildīgā institūcija</w:t>
            </w:r>
          </w:p>
        </w:tc>
        <w:tc>
          <w:tcPr>
            <w:tcW w:w="7229" w:type="dxa"/>
          </w:tcPr>
          <w:p w:rsidR="00F72185" w:rsidRDefault="00F70CC2" w:rsidP="00F72185">
            <w:pPr>
              <w:pStyle w:val="Footer"/>
              <w:tabs>
                <w:tab w:val="clear" w:pos="4153"/>
                <w:tab w:val="clear" w:pos="8306"/>
                <w:tab w:val="left" w:pos="3150"/>
              </w:tabs>
              <w:jc w:val="both"/>
            </w:pPr>
            <w:r>
              <w:t>Finanšu ministrija.</w:t>
            </w:r>
          </w:p>
        </w:tc>
      </w:tr>
      <w:tr w:rsidR="00F72185" w:rsidRPr="00E84EF4" w:rsidTr="006A604D">
        <w:trPr>
          <w:jc w:val="center"/>
        </w:trPr>
        <w:tc>
          <w:tcPr>
            <w:tcW w:w="851" w:type="dxa"/>
          </w:tcPr>
          <w:p w:rsidR="00F72185" w:rsidRPr="00E84EF4" w:rsidRDefault="00F72185" w:rsidP="00F72185">
            <w:r>
              <w:t>3.</w:t>
            </w:r>
          </w:p>
        </w:tc>
        <w:tc>
          <w:tcPr>
            <w:tcW w:w="2126" w:type="dxa"/>
          </w:tcPr>
          <w:p w:rsidR="00F72185" w:rsidRPr="00E84EF4" w:rsidRDefault="00F72185" w:rsidP="00F72185">
            <w:r w:rsidRPr="00E84EF4">
              <w:t xml:space="preserve">Cita informācija </w:t>
            </w:r>
          </w:p>
        </w:tc>
        <w:tc>
          <w:tcPr>
            <w:tcW w:w="7229" w:type="dxa"/>
          </w:tcPr>
          <w:p w:rsidR="00F72185" w:rsidRPr="00E84EF4" w:rsidRDefault="00180333" w:rsidP="00F72185">
            <w:pPr>
              <w:ind w:firstLine="34"/>
              <w:jc w:val="both"/>
            </w:pPr>
            <w:r>
              <w:t>Nav</w:t>
            </w:r>
            <w:r w:rsidR="00F70CC2">
              <w:t xml:space="preserve">. </w:t>
            </w:r>
          </w:p>
        </w:tc>
      </w:tr>
    </w:tbl>
    <w:p w:rsidR="00F72185" w:rsidRDefault="00F72185" w:rsidP="00F72185">
      <w:pPr>
        <w:pStyle w:val="naiskr"/>
        <w:tabs>
          <w:tab w:val="left" w:pos="2628"/>
        </w:tabs>
        <w:spacing w:before="0" w:after="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2669"/>
        <w:gridCol w:w="7122"/>
      </w:tblGrid>
      <w:tr w:rsidR="00F72185" w:rsidTr="006A604D">
        <w:trPr>
          <w:jc w:val="center"/>
        </w:trPr>
        <w:tc>
          <w:tcPr>
            <w:tcW w:w="10206" w:type="dxa"/>
            <w:gridSpan w:val="3"/>
          </w:tcPr>
          <w:p w:rsidR="00F72185" w:rsidRDefault="00F72185" w:rsidP="00F72185">
            <w:pPr>
              <w:pStyle w:val="naisnod"/>
              <w:spacing w:before="0" w:after="0"/>
            </w:pPr>
            <w:r>
              <w:t>V. Tiesību akta projekta atbilstība Latvijas Republikas starptautiskajām saistībām</w:t>
            </w:r>
          </w:p>
        </w:tc>
      </w:tr>
      <w:tr w:rsidR="00F72185" w:rsidTr="006A604D">
        <w:trPr>
          <w:jc w:val="center"/>
        </w:trPr>
        <w:tc>
          <w:tcPr>
            <w:tcW w:w="415" w:type="dxa"/>
          </w:tcPr>
          <w:p w:rsidR="00F72185" w:rsidRDefault="00F72185" w:rsidP="00F72185">
            <w:pPr>
              <w:pStyle w:val="naiskr"/>
              <w:tabs>
                <w:tab w:val="left" w:pos="2628"/>
              </w:tabs>
              <w:spacing w:before="0" w:after="0"/>
              <w:jc w:val="center"/>
              <w:rPr>
                <w:iCs/>
              </w:rPr>
            </w:pPr>
            <w:r>
              <w:rPr>
                <w:iCs/>
              </w:rPr>
              <w:t>1.</w:t>
            </w:r>
          </w:p>
        </w:tc>
        <w:tc>
          <w:tcPr>
            <w:tcW w:w="2669" w:type="dxa"/>
          </w:tcPr>
          <w:p w:rsidR="00F72185" w:rsidRDefault="00F72185" w:rsidP="00F72185">
            <w:pPr>
              <w:pStyle w:val="naiskr"/>
              <w:tabs>
                <w:tab w:val="left" w:pos="2628"/>
              </w:tabs>
              <w:spacing w:before="0" w:after="0"/>
              <w:jc w:val="both"/>
              <w:rPr>
                <w:iCs/>
              </w:rPr>
            </w:pPr>
            <w:r>
              <w:t>Saistības pret Eiropas Savienību</w:t>
            </w:r>
          </w:p>
        </w:tc>
        <w:tc>
          <w:tcPr>
            <w:tcW w:w="7122" w:type="dxa"/>
          </w:tcPr>
          <w:p w:rsidR="00F72185" w:rsidRPr="00180333" w:rsidRDefault="00F70CC2" w:rsidP="006149F0">
            <w:pPr>
              <w:pStyle w:val="FootnoteText"/>
              <w:jc w:val="both"/>
              <w:rPr>
                <w:sz w:val="24"/>
                <w:szCs w:val="24"/>
              </w:rPr>
            </w:pPr>
            <w:r w:rsidRPr="00180333">
              <w:rPr>
                <w:sz w:val="24"/>
                <w:szCs w:val="24"/>
              </w:rPr>
              <w:t xml:space="preserve">Ar </w:t>
            </w:r>
            <w:r w:rsidR="00180333">
              <w:rPr>
                <w:sz w:val="24"/>
                <w:szCs w:val="24"/>
              </w:rPr>
              <w:t>l</w:t>
            </w:r>
            <w:r w:rsidR="00180333" w:rsidRPr="00180333">
              <w:rPr>
                <w:sz w:val="24"/>
                <w:szCs w:val="24"/>
              </w:rPr>
              <w:t xml:space="preserve">ikumprojektu </w:t>
            </w:r>
            <w:r w:rsidRPr="00180333">
              <w:rPr>
                <w:sz w:val="24"/>
                <w:szCs w:val="24"/>
              </w:rPr>
              <w:t xml:space="preserve">nacionālajā normatīvajā regulējumā tiek </w:t>
            </w:r>
            <w:r w:rsidR="00180333" w:rsidRPr="00180333">
              <w:rPr>
                <w:sz w:val="24"/>
                <w:szCs w:val="24"/>
              </w:rPr>
              <w:t>nodrošināt</w:t>
            </w:r>
            <w:r w:rsidR="006149F0">
              <w:rPr>
                <w:sz w:val="24"/>
                <w:szCs w:val="24"/>
              </w:rPr>
              <w:t>a</w:t>
            </w:r>
            <w:r w:rsidR="00180333" w:rsidRPr="00180333">
              <w:rPr>
                <w:sz w:val="24"/>
                <w:szCs w:val="24"/>
              </w:rPr>
              <w:t xml:space="preserve"> </w:t>
            </w:r>
            <w:r w:rsidR="00180333" w:rsidRPr="00180333">
              <w:rPr>
                <w:i/>
                <w:sz w:val="24"/>
                <w:szCs w:val="24"/>
                <w:lang w:eastAsia="lv-LV"/>
              </w:rPr>
              <w:t>Eiropas Parlamenta un Padomes 2014.gada 15.jūlija regulā (ES) Nr.806/2014, ar ko izveido vienādus noteikumus un vienotu procedūru kredītiestāžu un noteiktu ieguldījumu brokeru sabiedrību noregulējumam, izmantojot vienotu noregulējuma mehānismu un vienotu noregulējuma fondu, un groza Regulu (ES) Nr.1093/2010</w:t>
            </w:r>
            <w:r w:rsidR="006149F0">
              <w:rPr>
                <w:i/>
                <w:sz w:val="24"/>
                <w:szCs w:val="24"/>
                <w:lang w:eastAsia="lv-LV"/>
              </w:rPr>
              <w:t>,</w:t>
            </w:r>
            <w:r w:rsidR="00180333" w:rsidRPr="00180333">
              <w:rPr>
                <w:sz w:val="24"/>
                <w:szCs w:val="24"/>
              </w:rPr>
              <w:t xml:space="preserve"> ietvertā regulējuma piemērošana.</w:t>
            </w:r>
          </w:p>
        </w:tc>
      </w:tr>
      <w:tr w:rsidR="00F72185" w:rsidTr="006A604D">
        <w:trPr>
          <w:jc w:val="center"/>
        </w:trPr>
        <w:tc>
          <w:tcPr>
            <w:tcW w:w="415" w:type="dxa"/>
          </w:tcPr>
          <w:p w:rsidR="00F72185" w:rsidRDefault="00F72185" w:rsidP="00F72185">
            <w:pPr>
              <w:pStyle w:val="naiskr"/>
              <w:tabs>
                <w:tab w:val="left" w:pos="2628"/>
              </w:tabs>
              <w:spacing w:before="0" w:after="0"/>
              <w:jc w:val="center"/>
              <w:rPr>
                <w:iCs/>
              </w:rPr>
            </w:pPr>
            <w:r>
              <w:rPr>
                <w:iCs/>
              </w:rPr>
              <w:t>2.</w:t>
            </w:r>
          </w:p>
        </w:tc>
        <w:tc>
          <w:tcPr>
            <w:tcW w:w="2669" w:type="dxa"/>
          </w:tcPr>
          <w:p w:rsidR="00F72185" w:rsidRDefault="00F72185" w:rsidP="00F72185">
            <w:pPr>
              <w:pStyle w:val="naiskr"/>
              <w:tabs>
                <w:tab w:val="left" w:pos="2628"/>
              </w:tabs>
              <w:spacing w:before="0" w:after="0"/>
              <w:jc w:val="both"/>
              <w:rPr>
                <w:iCs/>
              </w:rPr>
            </w:pPr>
            <w:r>
              <w:t>Citas starptautiskās saistības</w:t>
            </w:r>
          </w:p>
        </w:tc>
        <w:tc>
          <w:tcPr>
            <w:tcW w:w="7122" w:type="dxa"/>
          </w:tcPr>
          <w:p w:rsidR="00F72185" w:rsidRPr="006149F0" w:rsidRDefault="00567EF0" w:rsidP="00F72185">
            <w:pPr>
              <w:rPr>
                <w:i/>
                <w:iCs/>
              </w:rPr>
            </w:pPr>
            <w:r>
              <w:rPr>
                <w:i/>
              </w:rPr>
              <w:t>Projekts šo jomu neskar.</w:t>
            </w:r>
            <w:r w:rsidR="000D1EBC" w:rsidRPr="000D1EBC">
              <w:rPr>
                <w:i/>
                <w:iCs/>
              </w:rPr>
              <w:t xml:space="preserve"> </w:t>
            </w:r>
          </w:p>
        </w:tc>
      </w:tr>
      <w:tr w:rsidR="00F72185" w:rsidTr="006A604D">
        <w:trPr>
          <w:jc w:val="center"/>
        </w:trPr>
        <w:tc>
          <w:tcPr>
            <w:tcW w:w="415" w:type="dxa"/>
          </w:tcPr>
          <w:p w:rsidR="00F72185" w:rsidRDefault="00F72185" w:rsidP="00F72185">
            <w:pPr>
              <w:pStyle w:val="naiskr"/>
              <w:tabs>
                <w:tab w:val="left" w:pos="2628"/>
              </w:tabs>
              <w:spacing w:before="0" w:after="0"/>
              <w:jc w:val="center"/>
              <w:rPr>
                <w:iCs/>
              </w:rPr>
            </w:pPr>
            <w:r>
              <w:rPr>
                <w:iCs/>
              </w:rPr>
              <w:t>3.</w:t>
            </w:r>
          </w:p>
        </w:tc>
        <w:tc>
          <w:tcPr>
            <w:tcW w:w="2669" w:type="dxa"/>
          </w:tcPr>
          <w:p w:rsidR="00F72185" w:rsidRDefault="00F72185" w:rsidP="00F72185">
            <w:pPr>
              <w:pStyle w:val="naiskr"/>
              <w:tabs>
                <w:tab w:val="left" w:pos="2628"/>
              </w:tabs>
              <w:spacing w:before="0" w:after="0"/>
              <w:jc w:val="both"/>
            </w:pPr>
            <w:r>
              <w:t>Cita informācija</w:t>
            </w:r>
          </w:p>
        </w:tc>
        <w:tc>
          <w:tcPr>
            <w:tcW w:w="7122" w:type="dxa"/>
          </w:tcPr>
          <w:p w:rsidR="00F72185" w:rsidRPr="006149F0" w:rsidRDefault="00F72185" w:rsidP="00F72185">
            <w:pPr>
              <w:autoSpaceDE w:val="0"/>
              <w:autoSpaceDN w:val="0"/>
              <w:adjustRightInd w:val="0"/>
              <w:jc w:val="both"/>
              <w:rPr>
                <w:i/>
                <w:iCs/>
              </w:rPr>
            </w:pPr>
            <w:r w:rsidRPr="006149F0">
              <w:rPr>
                <w:i/>
              </w:rPr>
              <w:t>Projekts šo jomu neskar.</w:t>
            </w:r>
          </w:p>
        </w:tc>
      </w:tr>
    </w:tbl>
    <w:p w:rsidR="00F72185" w:rsidRDefault="00F72185" w:rsidP="00F72185">
      <w:pPr>
        <w:pStyle w:val="naisf"/>
        <w:spacing w:before="0" w:after="0"/>
        <w:ind w:firstLine="0"/>
        <w:rPr>
          <w:lang w:val="lv-LV"/>
        </w:rPr>
      </w:pPr>
    </w:p>
    <w:p w:rsidR="00A14102" w:rsidRDefault="00A14102" w:rsidP="00F72185">
      <w:pPr>
        <w:pStyle w:val="naisf"/>
        <w:spacing w:before="0" w:after="0"/>
        <w:ind w:firstLine="0"/>
        <w:rPr>
          <w:lang w:val="lv-LV"/>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084"/>
        <w:gridCol w:w="2152"/>
        <w:gridCol w:w="2792"/>
        <w:gridCol w:w="3178"/>
      </w:tblGrid>
      <w:tr w:rsidR="00F72185" w:rsidTr="006A604D">
        <w:trPr>
          <w:trHeight w:val="523"/>
          <w:jc w:val="center"/>
        </w:trPr>
        <w:tc>
          <w:tcPr>
            <w:tcW w:w="10206" w:type="dxa"/>
            <w:gridSpan w:val="4"/>
            <w:vAlign w:val="center"/>
          </w:tcPr>
          <w:p w:rsidR="00F72185" w:rsidRDefault="00F72185" w:rsidP="00F72185">
            <w:pPr>
              <w:pStyle w:val="naisnod"/>
              <w:spacing w:before="0" w:after="0"/>
            </w:pPr>
            <w:r>
              <w:t xml:space="preserve">1. tabula </w:t>
            </w:r>
          </w:p>
          <w:p w:rsidR="00F72185" w:rsidRDefault="00F72185" w:rsidP="00F72185">
            <w:pPr>
              <w:pStyle w:val="naisnod"/>
              <w:spacing w:before="0" w:after="0"/>
              <w:rPr>
                <w:i/>
              </w:rPr>
            </w:pPr>
            <w:r>
              <w:t>Tiesību akta projekta atbilstība ES tiesību aktiem</w:t>
            </w:r>
          </w:p>
        </w:tc>
      </w:tr>
      <w:tr w:rsidR="00F72185" w:rsidTr="006A604D">
        <w:trPr>
          <w:trHeight w:val="1058"/>
          <w:jc w:val="center"/>
        </w:trPr>
        <w:tc>
          <w:tcPr>
            <w:tcW w:w="2084" w:type="dxa"/>
            <w:vAlign w:val="center"/>
          </w:tcPr>
          <w:p w:rsidR="00F72185" w:rsidRPr="00B20E73" w:rsidRDefault="00B20E73" w:rsidP="003F4884">
            <w:pPr>
              <w:pStyle w:val="naiskr"/>
              <w:spacing w:before="0" w:after="0"/>
              <w:ind w:hanging="10"/>
              <w:jc w:val="both"/>
            </w:pPr>
            <w:r w:rsidRPr="00B20E73">
              <w:t>Eiropas Parlamenta un Padomes 2014.gada 15.jūlija regula (ES) Nr.806/2014, ar ko izveido vienādus noteikumus un vienotu procedūru kredītiestāžu un noteiktu ieguldījumu brokeru sabiedrību noregulējumam, izmantojot vienotu noregulējuma mehānismu un vienotu noregulējuma fondu, un groza Regulu (ES) Nr.1093/2010</w:t>
            </w:r>
          </w:p>
        </w:tc>
        <w:tc>
          <w:tcPr>
            <w:tcW w:w="8122" w:type="dxa"/>
            <w:gridSpan w:val="3"/>
            <w:vAlign w:val="center"/>
          </w:tcPr>
          <w:p w:rsidR="00F72185" w:rsidRDefault="00F72185" w:rsidP="00F72185">
            <w:pPr>
              <w:pStyle w:val="naiskr"/>
              <w:spacing w:before="0" w:after="0"/>
              <w:jc w:val="center"/>
            </w:pPr>
          </w:p>
        </w:tc>
      </w:tr>
      <w:tr w:rsidR="00F72185" w:rsidTr="006A604D">
        <w:trPr>
          <w:trHeight w:val="165"/>
          <w:jc w:val="center"/>
        </w:trPr>
        <w:tc>
          <w:tcPr>
            <w:tcW w:w="2084" w:type="dxa"/>
            <w:vAlign w:val="center"/>
          </w:tcPr>
          <w:p w:rsidR="00F72185" w:rsidRDefault="00F72185" w:rsidP="00F72185">
            <w:pPr>
              <w:pStyle w:val="naiskr"/>
              <w:spacing w:before="0" w:after="0"/>
              <w:jc w:val="both"/>
            </w:pPr>
            <w:r>
              <w:t>A</w:t>
            </w:r>
          </w:p>
        </w:tc>
        <w:tc>
          <w:tcPr>
            <w:tcW w:w="2152" w:type="dxa"/>
            <w:vAlign w:val="center"/>
          </w:tcPr>
          <w:p w:rsidR="00F72185" w:rsidRDefault="00F72185" w:rsidP="00F72185">
            <w:pPr>
              <w:pStyle w:val="naiskr"/>
              <w:spacing w:before="0" w:after="0"/>
              <w:jc w:val="center"/>
            </w:pPr>
            <w:r>
              <w:t>B</w:t>
            </w:r>
          </w:p>
        </w:tc>
        <w:tc>
          <w:tcPr>
            <w:tcW w:w="2792" w:type="dxa"/>
            <w:vAlign w:val="center"/>
          </w:tcPr>
          <w:p w:rsidR="00F72185" w:rsidRDefault="00F72185" w:rsidP="00F72185">
            <w:pPr>
              <w:pStyle w:val="naiskr"/>
              <w:spacing w:before="0" w:after="0"/>
              <w:jc w:val="center"/>
            </w:pPr>
            <w:r>
              <w:t>C</w:t>
            </w:r>
          </w:p>
        </w:tc>
        <w:tc>
          <w:tcPr>
            <w:tcW w:w="3178" w:type="dxa"/>
            <w:vAlign w:val="center"/>
          </w:tcPr>
          <w:p w:rsidR="00F72185" w:rsidRDefault="00F72185" w:rsidP="00F72185">
            <w:pPr>
              <w:pStyle w:val="naiskr"/>
              <w:spacing w:before="0" w:after="0"/>
              <w:jc w:val="center"/>
            </w:pPr>
            <w:r>
              <w:t>D</w:t>
            </w:r>
          </w:p>
        </w:tc>
      </w:tr>
      <w:tr w:rsidR="00F72185" w:rsidTr="006A604D">
        <w:trPr>
          <w:trHeight w:val="4708"/>
          <w:jc w:val="center"/>
        </w:trPr>
        <w:tc>
          <w:tcPr>
            <w:tcW w:w="2084" w:type="dxa"/>
          </w:tcPr>
          <w:p w:rsidR="00F72185" w:rsidRDefault="00F72185" w:rsidP="00F72185">
            <w:pPr>
              <w:pStyle w:val="naiskr"/>
              <w:spacing w:before="0" w:after="0"/>
              <w:jc w:val="both"/>
            </w:pPr>
            <w:r>
              <w:rPr>
                <w:color w:val="000000"/>
              </w:rPr>
              <w:lastRenderedPageBreak/>
              <w:t>Attiecīgā ES tiesību akta panta numurs (uzskaitot katru tiesību akta</w:t>
            </w:r>
            <w:r>
              <w:rPr>
                <w:color w:val="000000"/>
              </w:rPr>
              <w:br/>
              <w:t>vienību - pantu, daļu, punktu, apakšpunktu)</w:t>
            </w:r>
          </w:p>
        </w:tc>
        <w:tc>
          <w:tcPr>
            <w:tcW w:w="2152" w:type="dxa"/>
          </w:tcPr>
          <w:p w:rsidR="00F72185" w:rsidRDefault="00F72185" w:rsidP="00F72185">
            <w:pPr>
              <w:pStyle w:val="naiskr"/>
              <w:spacing w:before="0" w:after="0"/>
              <w:jc w:val="both"/>
            </w:pPr>
            <w:r>
              <w:rPr>
                <w:color w:val="000000"/>
              </w:rPr>
              <w:t>Projekta vienība, kas pārņem vai ievieš katru šīs tabulas A ailē minēto ES tiesību akta vienību</w:t>
            </w:r>
          </w:p>
        </w:tc>
        <w:tc>
          <w:tcPr>
            <w:tcW w:w="2792" w:type="dxa"/>
          </w:tcPr>
          <w:p w:rsidR="00F72185" w:rsidRDefault="00F72185" w:rsidP="00F72185">
            <w:pPr>
              <w:jc w:val="both"/>
              <w:rPr>
                <w:color w:val="000000"/>
              </w:rPr>
            </w:pPr>
            <w:r>
              <w:rPr>
                <w:color w:val="000000"/>
              </w:rPr>
              <w:t>Informācija par to, vai šīs tabulas A ailē minētās ES tiesību akta vienības tiek pārņemtas vai ieviestas pilnībā vai daļēji.</w:t>
            </w:r>
          </w:p>
          <w:p w:rsidR="00F72185" w:rsidRDefault="00F72185" w:rsidP="00F72185">
            <w:pPr>
              <w:jc w:val="both"/>
              <w:rPr>
                <w:color w:val="000000"/>
              </w:rPr>
            </w:pPr>
            <w:r>
              <w:rPr>
                <w:color w:val="000000"/>
              </w:rPr>
              <w:t>Ja attiecīgā ES tiesību akta vienība tiek pārņemta vai ieviesta daļēji, - sniedz attiecīgu skaidrojumu, kā arī precīzi norāda, kad un kādā veidā ES tiesību akta vienība tiks pārņemta vai ieviesta pilnībā.</w:t>
            </w:r>
          </w:p>
          <w:p w:rsidR="00F72185" w:rsidRDefault="00F72185" w:rsidP="00F72185">
            <w:pPr>
              <w:pStyle w:val="naiskr"/>
              <w:spacing w:before="0" w:after="0"/>
              <w:jc w:val="both"/>
            </w:pPr>
            <w:r>
              <w:rPr>
                <w:color w:val="000000"/>
              </w:rPr>
              <w:t>Norāda institūciju, kas ir atbildīga par šo saistību izpildi pilnībā.</w:t>
            </w:r>
          </w:p>
        </w:tc>
        <w:tc>
          <w:tcPr>
            <w:tcW w:w="3178" w:type="dxa"/>
          </w:tcPr>
          <w:p w:rsidR="00F72185" w:rsidRDefault="00F72185" w:rsidP="00F72185">
            <w:pPr>
              <w:jc w:val="both"/>
              <w:rPr>
                <w:color w:val="000000"/>
              </w:rPr>
            </w:pPr>
            <w:r>
              <w:rPr>
                <w:color w:val="000000"/>
              </w:rPr>
              <w:t>Informācija par to, vai šīs tabulas B ailē minētās projekta vienības paredz stingrākas prasības nekā šīs tabulas A ailē minētās ES tiesību akta vienības.</w:t>
            </w:r>
          </w:p>
          <w:p w:rsidR="00F72185" w:rsidRDefault="00F72185" w:rsidP="00F72185">
            <w:pPr>
              <w:jc w:val="both"/>
              <w:rPr>
                <w:color w:val="000000"/>
              </w:rPr>
            </w:pPr>
            <w:r>
              <w:rPr>
                <w:color w:val="000000"/>
              </w:rPr>
              <w:t>Ja projekts satur stingrākas prasības nekā attiecīgais ES tiesību akts, - norāda pamatojumu un samērīgumu.</w:t>
            </w:r>
          </w:p>
          <w:p w:rsidR="00F72185" w:rsidRDefault="00F72185" w:rsidP="00F72185">
            <w:pPr>
              <w:pStyle w:val="naiskr"/>
              <w:spacing w:before="0" w:after="0"/>
              <w:jc w:val="both"/>
            </w:pPr>
            <w:r>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F70CC2" w:rsidTr="006A604D">
        <w:trPr>
          <w:trHeight w:val="289"/>
          <w:jc w:val="center"/>
        </w:trPr>
        <w:tc>
          <w:tcPr>
            <w:tcW w:w="2084" w:type="dxa"/>
          </w:tcPr>
          <w:p w:rsidR="00F70CC2" w:rsidRPr="00635585" w:rsidRDefault="00BF47C2" w:rsidP="00F72185">
            <w:pPr>
              <w:pStyle w:val="naiskr"/>
              <w:spacing w:before="0" w:after="0"/>
              <w:jc w:val="center"/>
            </w:pPr>
            <w:r>
              <w:t>5.pants</w:t>
            </w:r>
          </w:p>
        </w:tc>
        <w:tc>
          <w:tcPr>
            <w:tcW w:w="2152" w:type="dxa"/>
          </w:tcPr>
          <w:p w:rsidR="00F70CC2" w:rsidRDefault="0050444B" w:rsidP="0050444B">
            <w:pPr>
              <w:pStyle w:val="naiskr"/>
              <w:spacing w:before="0" w:after="0"/>
              <w:jc w:val="center"/>
            </w:pPr>
            <w:r>
              <w:t xml:space="preserve">Likumprojekta </w:t>
            </w:r>
            <w:r w:rsidR="00BF47C2">
              <w:t>1</w:t>
            </w:r>
            <w:r w:rsidR="00720FAA">
              <w:t>.pant</w:t>
            </w:r>
            <w:r>
              <w:t>ā ietvertais likuma 1.panta pirmās daļas 52 punkts,</w:t>
            </w:r>
          </w:p>
          <w:p w:rsidR="0050444B" w:rsidRPr="00635585" w:rsidRDefault="0050444B" w:rsidP="0050444B">
            <w:pPr>
              <w:pStyle w:val="naiskr"/>
              <w:spacing w:before="0" w:after="0"/>
              <w:jc w:val="center"/>
            </w:pPr>
            <w:r>
              <w:t xml:space="preserve">likumprojekta 14.pantā ietvertais </w:t>
            </w:r>
            <w:r>
              <w:rPr>
                <w:bCs/>
              </w:rPr>
              <w:t>23.</w:t>
            </w:r>
            <w:r w:rsidRPr="00091442">
              <w:rPr>
                <w:bCs/>
                <w:vertAlign w:val="superscript"/>
              </w:rPr>
              <w:t xml:space="preserve"> 1</w:t>
            </w:r>
            <w:r>
              <w:rPr>
                <w:bCs/>
                <w:vertAlign w:val="superscript"/>
              </w:rPr>
              <w:t xml:space="preserve"> </w:t>
            </w:r>
            <w:r>
              <w:rPr>
                <w:bCs/>
              </w:rPr>
              <w:t>pants</w:t>
            </w:r>
          </w:p>
        </w:tc>
        <w:tc>
          <w:tcPr>
            <w:tcW w:w="2792" w:type="dxa"/>
          </w:tcPr>
          <w:p w:rsidR="00F70CC2" w:rsidRPr="00635585" w:rsidRDefault="00B20E73" w:rsidP="00B20E73">
            <w:pPr>
              <w:pStyle w:val="naiskr"/>
              <w:spacing w:before="0" w:after="0"/>
              <w:jc w:val="center"/>
            </w:pPr>
            <w:r>
              <w:t xml:space="preserve">Tiek nodrošināta regulējuma piemērošana </w:t>
            </w:r>
            <w:r w:rsidR="00C47367" w:rsidRPr="00635585">
              <w:t>pilnībā</w:t>
            </w:r>
          </w:p>
        </w:tc>
        <w:tc>
          <w:tcPr>
            <w:tcW w:w="3178" w:type="dxa"/>
          </w:tcPr>
          <w:p w:rsidR="00F70CC2" w:rsidRPr="00635585" w:rsidRDefault="00C47367" w:rsidP="00F72185">
            <w:pPr>
              <w:pStyle w:val="naiskr"/>
              <w:spacing w:before="0" w:after="0"/>
              <w:jc w:val="center"/>
            </w:pPr>
            <w:r w:rsidRPr="00635585">
              <w:t>Neparedz stingrākas prasības</w:t>
            </w:r>
          </w:p>
        </w:tc>
      </w:tr>
      <w:tr w:rsidR="00F70CC2" w:rsidTr="006A604D">
        <w:trPr>
          <w:trHeight w:val="289"/>
          <w:jc w:val="center"/>
        </w:trPr>
        <w:tc>
          <w:tcPr>
            <w:tcW w:w="2084" w:type="dxa"/>
          </w:tcPr>
          <w:p w:rsidR="00F70CC2" w:rsidRPr="00635585" w:rsidRDefault="00B20E73" w:rsidP="00C47367">
            <w:pPr>
              <w:pStyle w:val="naiskr"/>
              <w:spacing w:before="0" w:after="0"/>
              <w:jc w:val="center"/>
            </w:pPr>
            <w:r>
              <w:t>7.panta 3.punkts</w:t>
            </w:r>
          </w:p>
        </w:tc>
        <w:tc>
          <w:tcPr>
            <w:tcW w:w="2152" w:type="dxa"/>
          </w:tcPr>
          <w:p w:rsidR="00F70CC2" w:rsidRPr="00635585" w:rsidRDefault="0050444B" w:rsidP="00F72185">
            <w:pPr>
              <w:pStyle w:val="naiskr"/>
              <w:spacing w:before="0" w:after="0"/>
              <w:jc w:val="center"/>
            </w:pPr>
            <w:r>
              <w:t xml:space="preserve">Likumprojekta </w:t>
            </w:r>
            <w:r w:rsidR="00B20E73">
              <w:t>2.pants</w:t>
            </w:r>
          </w:p>
        </w:tc>
        <w:tc>
          <w:tcPr>
            <w:tcW w:w="2792" w:type="dxa"/>
          </w:tcPr>
          <w:p w:rsidR="00F70CC2" w:rsidRPr="00635585" w:rsidRDefault="00B20E73" w:rsidP="00F72185">
            <w:pPr>
              <w:pStyle w:val="naiskr"/>
              <w:spacing w:before="0" w:after="0"/>
              <w:jc w:val="center"/>
            </w:pPr>
            <w:r>
              <w:t xml:space="preserve">Tiek nodrošināta regulējuma piemērošana </w:t>
            </w:r>
            <w:r w:rsidRPr="00635585">
              <w:t>pilnībā</w:t>
            </w:r>
          </w:p>
        </w:tc>
        <w:tc>
          <w:tcPr>
            <w:tcW w:w="3178" w:type="dxa"/>
          </w:tcPr>
          <w:p w:rsidR="00F70CC2" w:rsidRPr="00635585" w:rsidRDefault="00B20E73" w:rsidP="00F72185">
            <w:pPr>
              <w:pStyle w:val="naiskr"/>
              <w:spacing w:before="0" w:after="0"/>
              <w:jc w:val="center"/>
            </w:pPr>
            <w:r w:rsidRPr="00635585">
              <w:t>Neparedz stingrākas prasības</w:t>
            </w:r>
          </w:p>
        </w:tc>
      </w:tr>
      <w:tr w:rsidR="00F70CC2" w:rsidTr="006A604D">
        <w:trPr>
          <w:trHeight w:val="289"/>
          <w:jc w:val="center"/>
        </w:trPr>
        <w:tc>
          <w:tcPr>
            <w:tcW w:w="2084" w:type="dxa"/>
          </w:tcPr>
          <w:p w:rsidR="00F70CC2" w:rsidRPr="00635585" w:rsidRDefault="006D4D73" w:rsidP="00C47367">
            <w:pPr>
              <w:pStyle w:val="naiskr"/>
              <w:spacing w:before="0" w:after="0"/>
              <w:jc w:val="center"/>
            </w:pPr>
            <w:r>
              <w:t>7.panta 3.punkts</w:t>
            </w:r>
          </w:p>
        </w:tc>
        <w:tc>
          <w:tcPr>
            <w:tcW w:w="2152" w:type="dxa"/>
          </w:tcPr>
          <w:p w:rsidR="00F70CC2" w:rsidRPr="00635585" w:rsidRDefault="0050444B" w:rsidP="00F72185">
            <w:pPr>
              <w:pStyle w:val="naiskr"/>
              <w:spacing w:before="0" w:after="0"/>
              <w:jc w:val="center"/>
            </w:pPr>
            <w:r>
              <w:t xml:space="preserve">Likumprojekta </w:t>
            </w:r>
            <w:r w:rsidR="006D4D73">
              <w:t>3.pants</w:t>
            </w:r>
          </w:p>
        </w:tc>
        <w:tc>
          <w:tcPr>
            <w:tcW w:w="2792" w:type="dxa"/>
          </w:tcPr>
          <w:p w:rsidR="00F70CC2" w:rsidRPr="00635585" w:rsidRDefault="006D4D73" w:rsidP="00F72185">
            <w:pPr>
              <w:pStyle w:val="naiskr"/>
              <w:spacing w:before="0" w:after="0"/>
              <w:jc w:val="center"/>
            </w:pPr>
            <w:r>
              <w:t xml:space="preserve">Tiek nodrošināta regulējuma piemērošana </w:t>
            </w:r>
            <w:r w:rsidRPr="00635585">
              <w:t>pilnībā</w:t>
            </w:r>
          </w:p>
        </w:tc>
        <w:tc>
          <w:tcPr>
            <w:tcW w:w="3178" w:type="dxa"/>
          </w:tcPr>
          <w:p w:rsidR="00F70CC2" w:rsidRPr="00635585" w:rsidRDefault="006D4D73" w:rsidP="00F72185">
            <w:pPr>
              <w:pStyle w:val="naiskr"/>
              <w:spacing w:before="0" w:after="0"/>
              <w:jc w:val="center"/>
            </w:pPr>
            <w:r w:rsidRPr="00635585">
              <w:t>Neparedz stingrākas prasības</w:t>
            </w:r>
          </w:p>
        </w:tc>
      </w:tr>
      <w:tr w:rsidR="00F70CC2" w:rsidTr="006A604D">
        <w:trPr>
          <w:trHeight w:val="289"/>
          <w:jc w:val="center"/>
        </w:trPr>
        <w:tc>
          <w:tcPr>
            <w:tcW w:w="2084" w:type="dxa"/>
          </w:tcPr>
          <w:p w:rsidR="00F70CC2" w:rsidRPr="00635585" w:rsidRDefault="006D4D73" w:rsidP="00C47367">
            <w:pPr>
              <w:pStyle w:val="naiskr"/>
              <w:spacing w:before="0" w:after="0"/>
              <w:jc w:val="center"/>
            </w:pPr>
            <w:r>
              <w:t>13.pants un 29.pants</w:t>
            </w:r>
          </w:p>
        </w:tc>
        <w:tc>
          <w:tcPr>
            <w:tcW w:w="2152" w:type="dxa"/>
          </w:tcPr>
          <w:p w:rsidR="0063130C" w:rsidRPr="00635585" w:rsidRDefault="0050444B" w:rsidP="0050444B">
            <w:pPr>
              <w:pStyle w:val="naiskr"/>
              <w:spacing w:before="0" w:after="0"/>
              <w:jc w:val="center"/>
            </w:pPr>
            <w:r>
              <w:t xml:space="preserve">Likumprojekta </w:t>
            </w:r>
            <w:r w:rsidR="006D4D73">
              <w:t>1</w:t>
            </w:r>
            <w:r>
              <w:t>3</w:t>
            </w:r>
            <w:r w:rsidR="006D4D73">
              <w:t>.pants</w:t>
            </w:r>
          </w:p>
        </w:tc>
        <w:tc>
          <w:tcPr>
            <w:tcW w:w="2792" w:type="dxa"/>
          </w:tcPr>
          <w:p w:rsidR="00F70CC2" w:rsidRPr="00635585" w:rsidRDefault="006D4D73" w:rsidP="00F72185">
            <w:pPr>
              <w:pStyle w:val="naiskr"/>
              <w:spacing w:before="0" w:after="0"/>
              <w:jc w:val="center"/>
            </w:pPr>
            <w:r>
              <w:t xml:space="preserve">Tiek nodrošināta regulējuma piemērošana </w:t>
            </w:r>
            <w:r w:rsidRPr="00635585">
              <w:t>pilnībā</w:t>
            </w:r>
          </w:p>
        </w:tc>
        <w:tc>
          <w:tcPr>
            <w:tcW w:w="3178" w:type="dxa"/>
          </w:tcPr>
          <w:p w:rsidR="00F70CC2" w:rsidRPr="00635585" w:rsidRDefault="006D4D73" w:rsidP="00F72185">
            <w:pPr>
              <w:pStyle w:val="naiskr"/>
              <w:spacing w:before="0" w:after="0"/>
              <w:jc w:val="center"/>
            </w:pPr>
            <w:r w:rsidRPr="00635585">
              <w:t>Neparedz stingrākas prasības</w:t>
            </w:r>
          </w:p>
        </w:tc>
      </w:tr>
      <w:tr w:rsidR="00F72185" w:rsidTr="006A604D">
        <w:trPr>
          <w:trHeight w:val="281"/>
          <w:jc w:val="center"/>
        </w:trPr>
        <w:tc>
          <w:tcPr>
            <w:tcW w:w="2084" w:type="dxa"/>
            <w:vAlign w:val="center"/>
          </w:tcPr>
          <w:p w:rsidR="00F72185" w:rsidRDefault="00F72185" w:rsidP="00F72185">
            <w:pPr>
              <w:pStyle w:val="naiskr"/>
              <w:spacing w:before="0" w:after="0"/>
            </w:pPr>
            <w:r>
              <w:t>Kā ir izmantota ES tiesību aktā paredzētā rīcības brīvība dalībvalstij pārņemt vai ieviest noteiktas ES tiesību akta normas.</w:t>
            </w:r>
          </w:p>
          <w:p w:rsidR="00F72185" w:rsidRDefault="00F72185" w:rsidP="00F72185">
            <w:pPr>
              <w:pStyle w:val="naiskr"/>
              <w:spacing w:before="0" w:after="0"/>
            </w:pPr>
            <w:r>
              <w:t>Kādēļ?</w:t>
            </w:r>
          </w:p>
        </w:tc>
        <w:tc>
          <w:tcPr>
            <w:tcW w:w="8122" w:type="dxa"/>
            <w:gridSpan w:val="3"/>
          </w:tcPr>
          <w:p w:rsidR="00E0641D" w:rsidRDefault="006D4D73" w:rsidP="006149F0">
            <w:pPr>
              <w:pStyle w:val="naiskr"/>
              <w:spacing w:before="0" w:after="0"/>
              <w:jc w:val="both"/>
            </w:pPr>
            <w:r>
              <w:t xml:space="preserve">Nav attiecināms, jo </w:t>
            </w:r>
            <w:r w:rsidRPr="00B20E73">
              <w:t>Eiropas Parlamenta un Padomes 2014.gada 15.jūlija regula (ES) Nr.806/2014, ar ko izveido vienādus noteikumus un vienotu procedūru kredītiestāžu un noteiktu ieguldījumu brokeru sabiedrību noregulējumam, izmantojot vienotu noregulējuma mehānismu un vienotu noregulējuma fondu, un groza Regulu (ES) Nr.1093/2010</w:t>
            </w:r>
            <w:r w:rsidR="006149F0">
              <w:t>,</w:t>
            </w:r>
            <w:r>
              <w:t xml:space="preserve"> ir tieši piemērojams </w:t>
            </w:r>
            <w:r w:rsidR="008D651D">
              <w:t>Eiropas</w:t>
            </w:r>
            <w:r>
              <w:t xml:space="preserve"> Savienības tiesību akts. </w:t>
            </w:r>
          </w:p>
        </w:tc>
      </w:tr>
      <w:tr w:rsidR="00F72185" w:rsidTr="006A604D">
        <w:trPr>
          <w:trHeight w:val="913"/>
          <w:jc w:val="center"/>
        </w:trPr>
        <w:tc>
          <w:tcPr>
            <w:tcW w:w="2084" w:type="dxa"/>
            <w:vAlign w:val="center"/>
          </w:tcPr>
          <w:p w:rsidR="00F72185" w:rsidRDefault="00F72185" w:rsidP="00F72185">
            <w:pPr>
              <w:pStyle w:val="naiskr"/>
              <w:spacing w:before="0" w:after="0"/>
              <w:rPr>
                <w:i/>
              </w:rPr>
            </w:pPr>
            <w:r>
              <w:t xml:space="preserve">Saistības sniegt paziņojumu ES institūcijām un ES dalībvalstīm atbilstoši normatīvajiem aktiem, kas regulē </w:t>
            </w:r>
            <w:r>
              <w:lastRenderedPageBreak/>
              <w:t>informācijas sniegšanu par tehnisko noteikumu, valsts atbalsta piešķiršanas un finanšu noteikumu (attiecībā uz monetāro politiku) projektiem</w:t>
            </w:r>
          </w:p>
        </w:tc>
        <w:tc>
          <w:tcPr>
            <w:tcW w:w="8122" w:type="dxa"/>
            <w:gridSpan w:val="3"/>
          </w:tcPr>
          <w:p w:rsidR="004D763D" w:rsidRDefault="00F91F98" w:rsidP="004D763D">
            <w:pPr>
              <w:jc w:val="both"/>
            </w:pPr>
            <w:r>
              <w:lastRenderedPageBreak/>
              <w:t>Likumprojekts neparedz šādu pienākumu.</w:t>
            </w:r>
          </w:p>
          <w:p w:rsidR="00F72185" w:rsidRDefault="00F72185" w:rsidP="00F72185">
            <w:pPr>
              <w:pStyle w:val="naiskr"/>
              <w:spacing w:before="0" w:after="0"/>
            </w:pPr>
          </w:p>
        </w:tc>
      </w:tr>
      <w:tr w:rsidR="00F72185" w:rsidTr="006A604D">
        <w:trPr>
          <w:trHeight w:val="579"/>
          <w:jc w:val="center"/>
        </w:trPr>
        <w:tc>
          <w:tcPr>
            <w:tcW w:w="2084" w:type="dxa"/>
          </w:tcPr>
          <w:p w:rsidR="00F72185" w:rsidRDefault="00F72185" w:rsidP="00F72185">
            <w:pPr>
              <w:pStyle w:val="naiskr"/>
              <w:spacing w:before="0" w:after="0"/>
            </w:pPr>
            <w:r>
              <w:t>Cita informācija</w:t>
            </w:r>
          </w:p>
        </w:tc>
        <w:tc>
          <w:tcPr>
            <w:tcW w:w="8122" w:type="dxa"/>
            <w:gridSpan w:val="3"/>
          </w:tcPr>
          <w:p w:rsidR="00581FF2" w:rsidRPr="00F02CE4" w:rsidRDefault="00F91F98" w:rsidP="00C83D9F">
            <w:pPr>
              <w:pStyle w:val="naiskr"/>
              <w:spacing w:before="0" w:after="0"/>
              <w:jc w:val="both"/>
            </w:pPr>
            <w:r>
              <w:t>Nav.</w:t>
            </w:r>
            <w:r w:rsidR="00581FF2">
              <w:t xml:space="preserve"> </w:t>
            </w:r>
          </w:p>
        </w:tc>
      </w:tr>
    </w:tbl>
    <w:p w:rsidR="00F72185" w:rsidRPr="005659B3" w:rsidRDefault="00F72185" w:rsidP="00F72185">
      <w:pPr>
        <w:pStyle w:val="naisf"/>
        <w:spacing w:before="0" w:after="0"/>
        <w:ind w:firstLine="0"/>
        <w:rPr>
          <w:lang w:val="lv-LV"/>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06"/>
      </w:tblGrid>
      <w:tr w:rsidR="00F72185" w:rsidTr="006A604D">
        <w:trPr>
          <w:trHeight w:val="792"/>
          <w:jc w:val="center"/>
        </w:trPr>
        <w:tc>
          <w:tcPr>
            <w:tcW w:w="9302" w:type="dxa"/>
            <w:vAlign w:val="center"/>
          </w:tcPr>
          <w:p w:rsidR="00F72185" w:rsidRDefault="00F72185" w:rsidP="00F72185">
            <w:pPr>
              <w:pStyle w:val="naisnod"/>
              <w:spacing w:before="0" w:after="0"/>
            </w:pPr>
            <w:r>
              <w:t xml:space="preserve">2. tabula </w:t>
            </w:r>
          </w:p>
          <w:p w:rsidR="00F72185" w:rsidRDefault="00F72185" w:rsidP="00F72185">
            <w:pPr>
              <w:pStyle w:val="naisnod"/>
              <w:spacing w:before="0" w:after="0"/>
            </w:pPr>
            <w:r>
              <w:t>Ar tiesību akta projektu uzņemtās saistības, kas izriet no starptautiskajiem tiesību aktiem vai starptautiskas institūcijas vai organizācijas dokumentiem.</w:t>
            </w:r>
          </w:p>
          <w:p w:rsidR="00F72185" w:rsidRDefault="00F72185" w:rsidP="00F72185">
            <w:pPr>
              <w:pStyle w:val="naisnod"/>
              <w:spacing w:before="0" w:after="0"/>
            </w:pPr>
            <w:r>
              <w:t>Pasākumi šo saistību izpildei</w:t>
            </w:r>
          </w:p>
        </w:tc>
      </w:tr>
      <w:tr w:rsidR="00F72185" w:rsidTr="006A604D">
        <w:trPr>
          <w:trHeight w:val="254"/>
          <w:jc w:val="center"/>
        </w:trPr>
        <w:tc>
          <w:tcPr>
            <w:tcW w:w="9302" w:type="dxa"/>
            <w:vAlign w:val="center"/>
          </w:tcPr>
          <w:p w:rsidR="00F72185" w:rsidRPr="006149F0" w:rsidRDefault="00F72185" w:rsidP="00F72185">
            <w:pPr>
              <w:pStyle w:val="naisnod"/>
              <w:spacing w:before="0" w:beforeAutospacing="1" w:after="0" w:afterAutospacing="1"/>
              <w:rPr>
                <w:b w:val="0"/>
                <w:i/>
              </w:rPr>
            </w:pPr>
            <w:r w:rsidRPr="006149F0">
              <w:rPr>
                <w:b w:val="0"/>
                <w:i/>
              </w:rPr>
              <w:t>Projekts šo jomu neskar.</w:t>
            </w:r>
          </w:p>
        </w:tc>
      </w:tr>
    </w:tbl>
    <w:p w:rsidR="00F72185" w:rsidRDefault="00F72185" w:rsidP="00F72185">
      <w:pPr>
        <w:pStyle w:val="naisf"/>
        <w:spacing w:before="0" w:after="0"/>
        <w:ind w:firstLine="0"/>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2"/>
        <w:gridCol w:w="3522"/>
        <w:gridCol w:w="6352"/>
      </w:tblGrid>
      <w:tr w:rsidR="00F72185" w:rsidTr="006A604D">
        <w:trPr>
          <w:jc w:val="center"/>
        </w:trPr>
        <w:tc>
          <w:tcPr>
            <w:tcW w:w="9377" w:type="dxa"/>
            <w:gridSpan w:val="3"/>
          </w:tcPr>
          <w:p w:rsidR="00F72185" w:rsidRDefault="00F72185" w:rsidP="00F72185">
            <w:pPr>
              <w:pStyle w:val="naisnod"/>
              <w:spacing w:before="0" w:after="0"/>
              <w:ind w:left="57" w:right="57"/>
            </w:pPr>
            <w:r>
              <w:t>VI. Sabiedrības līdzdalība un šīs līdzdalības rezultāti</w:t>
            </w:r>
          </w:p>
        </w:tc>
      </w:tr>
      <w:tr w:rsidR="00F72185" w:rsidTr="006A604D">
        <w:trPr>
          <w:trHeight w:val="375"/>
          <w:jc w:val="center"/>
        </w:trPr>
        <w:tc>
          <w:tcPr>
            <w:tcW w:w="305" w:type="dxa"/>
          </w:tcPr>
          <w:p w:rsidR="00F72185" w:rsidRDefault="00F72185" w:rsidP="00F72185">
            <w:pPr>
              <w:pStyle w:val="naiskr"/>
              <w:spacing w:before="0" w:after="0"/>
              <w:ind w:left="57" w:right="57"/>
              <w:rPr>
                <w:bCs/>
              </w:rPr>
            </w:pPr>
            <w:r>
              <w:rPr>
                <w:bCs/>
              </w:rPr>
              <w:t>1.</w:t>
            </w:r>
          </w:p>
        </w:tc>
        <w:tc>
          <w:tcPr>
            <w:tcW w:w="3236" w:type="dxa"/>
          </w:tcPr>
          <w:p w:rsidR="00F72185" w:rsidRPr="00575F9E" w:rsidRDefault="00F72185" w:rsidP="00F72185">
            <w:pPr>
              <w:pStyle w:val="naiskr"/>
              <w:tabs>
                <w:tab w:val="left" w:pos="170"/>
              </w:tabs>
              <w:spacing w:before="0" w:after="0"/>
              <w:ind w:left="57" w:right="57"/>
            </w:pPr>
            <w:r w:rsidRPr="00575F9E">
              <w:t>Plānotās sabiedrības līdzdalības un komunikācijas aktivitātes saistībā ar projektu</w:t>
            </w:r>
          </w:p>
        </w:tc>
        <w:tc>
          <w:tcPr>
            <w:tcW w:w="5836" w:type="dxa"/>
          </w:tcPr>
          <w:p w:rsidR="00F72185" w:rsidRDefault="00F72185" w:rsidP="007C7F61">
            <w:pPr>
              <w:pStyle w:val="naiskr"/>
              <w:spacing w:before="0" w:after="0"/>
              <w:ind w:left="57" w:right="57"/>
              <w:jc w:val="both"/>
            </w:pPr>
            <w:r>
              <w:t xml:space="preserve">Par likumprojekta izstrādes </w:t>
            </w:r>
            <w:r w:rsidRPr="00E44DF3">
              <w:t xml:space="preserve">sākšanu tika informēta Latvijas </w:t>
            </w:r>
            <w:r>
              <w:t xml:space="preserve">Komercbanku asociācija, kā arī </w:t>
            </w:r>
            <w:r w:rsidR="007C7F61">
              <w:t>tas</w:t>
            </w:r>
            <w:r>
              <w:t xml:space="preserve"> tika ievietots Finanšu un kapitāla tirgus komisijas mājas lapā</w:t>
            </w:r>
            <w:r w:rsidR="00A80DB1">
              <w:t xml:space="preserve"> internetā</w:t>
            </w:r>
            <w:r>
              <w:t>.</w:t>
            </w:r>
          </w:p>
        </w:tc>
      </w:tr>
      <w:tr w:rsidR="00F72185" w:rsidTr="006A604D">
        <w:trPr>
          <w:trHeight w:val="375"/>
          <w:jc w:val="center"/>
        </w:trPr>
        <w:tc>
          <w:tcPr>
            <w:tcW w:w="305" w:type="dxa"/>
          </w:tcPr>
          <w:p w:rsidR="00F72185" w:rsidRDefault="00F72185" w:rsidP="00F72185">
            <w:pPr>
              <w:pStyle w:val="naiskr"/>
              <w:spacing w:before="0" w:after="0"/>
              <w:ind w:left="57" w:right="57"/>
              <w:rPr>
                <w:bCs/>
              </w:rPr>
            </w:pPr>
            <w:r>
              <w:rPr>
                <w:bCs/>
              </w:rPr>
              <w:t>2.</w:t>
            </w:r>
          </w:p>
        </w:tc>
        <w:tc>
          <w:tcPr>
            <w:tcW w:w="3236" w:type="dxa"/>
          </w:tcPr>
          <w:p w:rsidR="00F72185" w:rsidRDefault="00F72185" w:rsidP="00F72185">
            <w:pPr>
              <w:pStyle w:val="naiskr"/>
              <w:spacing w:before="0" w:after="0"/>
              <w:ind w:left="57" w:right="57"/>
            </w:pPr>
            <w:r>
              <w:t xml:space="preserve">Sabiedrības līdzdalība projekta izstrādē </w:t>
            </w:r>
          </w:p>
        </w:tc>
        <w:tc>
          <w:tcPr>
            <w:tcW w:w="5836" w:type="dxa"/>
          </w:tcPr>
          <w:p w:rsidR="00F72185" w:rsidRDefault="00F72185" w:rsidP="0035523C">
            <w:pPr>
              <w:pStyle w:val="naiskr"/>
              <w:spacing w:before="0" w:after="0"/>
              <w:ind w:left="57" w:right="57"/>
              <w:jc w:val="both"/>
            </w:pPr>
            <w:r w:rsidRPr="00E44DF3">
              <w:t xml:space="preserve">Likumprojekts tika nosūtīts saskaņošanai Latvijas </w:t>
            </w:r>
            <w:r>
              <w:t>Komercbanku asociācijai</w:t>
            </w:r>
            <w:r w:rsidR="00487D62">
              <w:t>.</w:t>
            </w:r>
            <w:r w:rsidR="0035523C">
              <w:t xml:space="preserve"> Papildus likumprojektu ir paredzēts saskaņot ar Latvijas Banku un Ieguldījumu brokeru asociāciju.</w:t>
            </w:r>
          </w:p>
        </w:tc>
      </w:tr>
      <w:tr w:rsidR="00F72185" w:rsidTr="006A604D">
        <w:trPr>
          <w:trHeight w:val="375"/>
          <w:jc w:val="center"/>
        </w:trPr>
        <w:tc>
          <w:tcPr>
            <w:tcW w:w="305" w:type="dxa"/>
          </w:tcPr>
          <w:p w:rsidR="00F72185" w:rsidRDefault="00F72185" w:rsidP="00F72185">
            <w:pPr>
              <w:pStyle w:val="naiskr"/>
              <w:spacing w:before="0" w:after="0"/>
              <w:ind w:left="57" w:right="57"/>
              <w:rPr>
                <w:bCs/>
              </w:rPr>
            </w:pPr>
            <w:r>
              <w:rPr>
                <w:bCs/>
              </w:rPr>
              <w:t>3.</w:t>
            </w:r>
          </w:p>
        </w:tc>
        <w:tc>
          <w:tcPr>
            <w:tcW w:w="3236" w:type="dxa"/>
          </w:tcPr>
          <w:p w:rsidR="00F72185" w:rsidRDefault="00F72185" w:rsidP="00F72185">
            <w:pPr>
              <w:pStyle w:val="naiskr"/>
              <w:spacing w:before="0" w:after="0"/>
              <w:ind w:left="57" w:right="57"/>
            </w:pPr>
            <w:r>
              <w:t xml:space="preserve">Sabiedrības līdzdalības rezultāti </w:t>
            </w:r>
          </w:p>
        </w:tc>
        <w:tc>
          <w:tcPr>
            <w:tcW w:w="5836" w:type="dxa"/>
          </w:tcPr>
          <w:p w:rsidR="00F72185" w:rsidRDefault="00284F4F" w:rsidP="00F72185">
            <w:pPr>
              <w:pStyle w:val="naiskr"/>
              <w:spacing w:before="0" w:after="0"/>
              <w:ind w:right="57"/>
              <w:jc w:val="both"/>
            </w:pPr>
            <w:r>
              <w:t>Nav.</w:t>
            </w:r>
          </w:p>
        </w:tc>
      </w:tr>
      <w:tr w:rsidR="00F72185" w:rsidTr="006A604D">
        <w:trPr>
          <w:trHeight w:val="397"/>
          <w:jc w:val="center"/>
        </w:trPr>
        <w:tc>
          <w:tcPr>
            <w:tcW w:w="305" w:type="dxa"/>
          </w:tcPr>
          <w:p w:rsidR="00F72185" w:rsidRDefault="00F72185" w:rsidP="00F72185">
            <w:pPr>
              <w:pStyle w:val="naiskr"/>
              <w:spacing w:before="0" w:after="0"/>
              <w:ind w:left="57" w:right="57"/>
              <w:rPr>
                <w:bCs/>
              </w:rPr>
            </w:pPr>
            <w:r>
              <w:rPr>
                <w:bCs/>
              </w:rPr>
              <w:t>4.</w:t>
            </w:r>
          </w:p>
        </w:tc>
        <w:tc>
          <w:tcPr>
            <w:tcW w:w="3236" w:type="dxa"/>
          </w:tcPr>
          <w:p w:rsidR="00F72185" w:rsidRDefault="00F72185" w:rsidP="00F72185">
            <w:pPr>
              <w:pStyle w:val="naiskr"/>
              <w:spacing w:before="0" w:after="0"/>
              <w:ind w:left="57" w:right="57"/>
            </w:pPr>
            <w:r>
              <w:t>Cita informācija</w:t>
            </w:r>
          </w:p>
          <w:p w:rsidR="00F72185" w:rsidRDefault="00F72185" w:rsidP="00F72185">
            <w:pPr>
              <w:pStyle w:val="naiskr"/>
              <w:spacing w:before="0" w:after="0"/>
              <w:ind w:left="57" w:right="57"/>
            </w:pPr>
          </w:p>
        </w:tc>
        <w:tc>
          <w:tcPr>
            <w:tcW w:w="5836" w:type="dxa"/>
          </w:tcPr>
          <w:p w:rsidR="00F72185" w:rsidRDefault="00F72185" w:rsidP="00F72185">
            <w:pPr>
              <w:spacing w:after="120"/>
              <w:jc w:val="both"/>
            </w:pPr>
            <w:r>
              <w:t>Sabiedrība pēc normatīvā akta pieņemšanas tiks informēta ar publikāciju laikrakstā "Latvijas Vēstnesis", kā arī t</w:t>
            </w:r>
            <w:r w:rsidR="006149F0">
              <w:t>as</w:t>
            </w:r>
            <w:r>
              <w:t xml:space="preserve"> tiks ievietot</w:t>
            </w:r>
            <w:r w:rsidR="006149F0">
              <w:t>s</w:t>
            </w:r>
            <w:r>
              <w:t xml:space="preserve"> informācijas sistēmā "NAIS" un bezmaksas normatīvo aktu datu bāzē </w:t>
            </w:r>
            <w:r w:rsidRPr="00AB5327">
              <w:rPr>
                <w:rFonts w:eastAsia="Calibri"/>
              </w:rPr>
              <w:t>www.likumi.lv</w:t>
            </w:r>
            <w:r>
              <w:t>.</w:t>
            </w:r>
          </w:p>
          <w:p w:rsidR="00F72185" w:rsidRPr="00912FD2" w:rsidRDefault="00F72185" w:rsidP="00F72185">
            <w:pPr>
              <w:jc w:val="both"/>
              <w:rPr>
                <w:b/>
              </w:rPr>
            </w:pPr>
            <w:r>
              <w:t>Likums tiks ievietots arī Finanšu un kapitāla tirgus komisijas mājas lapā internetā.</w:t>
            </w:r>
          </w:p>
        </w:tc>
      </w:tr>
    </w:tbl>
    <w:p w:rsidR="00F72185" w:rsidRDefault="00F72185" w:rsidP="00F72185">
      <w:pPr>
        <w:pStyle w:val="naisf"/>
        <w:spacing w:before="0" w:after="0"/>
        <w:ind w:firstLine="0"/>
        <w:rPr>
          <w:lang w:val="lv-LV"/>
        </w:rPr>
      </w:pPr>
    </w:p>
    <w:p w:rsidR="00887D93" w:rsidRDefault="00887D93" w:rsidP="00F72185">
      <w:pPr>
        <w:pStyle w:val="naisf"/>
        <w:spacing w:before="0" w:after="0"/>
        <w:ind w:firstLine="0"/>
        <w:rPr>
          <w:lang w:val="lv-LV"/>
        </w:rPr>
      </w:pPr>
    </w:p>
    <w:p w:rsidR="00887D93" w:rsidRDefault="00887D93" w:rsidP="00F72185">
      <w:pPr>
        <w:pStyle w:val="naisf"/>
        <w:spacing w:before="0" w:after="0"/>
        <w:ind w:firstLine="0"/>
        <w:rPr>
          <w:lang w:val="lv-LV"/>
        </w:rPr>
      </w:pPr>
    </w:p>
    <w:p w:rsidR="00887D93" w:rsidRDefault="00887D93" w:rsidP="00F72185">
      <w:pPr>
        <w:pStyle w:val="naisf"/>
        <w:spacing w:before="0" w:after="0"/>
        <w:ind w:firstLine="0"/>
        <w:rPr>
          <w:lang w:val="lv-LV"/>
        </w:rPr>
      </w:pPr>
    </w:p>
    <w:p w:rsidR="00887D93" w:rsidRDefault="00887D93" w:rsidP="00F72185">
      <w:pPr>
        <w:pStyle w:val="naisf"/>
        <w:spacing w:before="0" w:after="0"/>
        <w:ind w:firstLine="0"/>
        <w:rPr>
          <w:lang w:val="lv-LV"/>
        </w:rPr>
      </w:pPr>
    </w:p>
    <w:p w:rsidR="00887D93" w:rsidRDefault="00887D93" w:rsidP="00F72185">
      <w:pPr>
        <w:pStyle w:val="naisf"/>
        <w:spacing w:before="0" w:after="0"/>
        <w:ind w:firstLine="0"/>
        <w:rPr>
          <w:lang w:val="lv-LV"/>
        </w:rPr>
      </w:pPr>
    </w:p>
    <w:p w:rsidR="00887D93" w:rsidRDefault="00887D93" w:rsidP="00F72185">
      <w:pPr>
        <w:pStyle w:val="naisf"/>
        <w:spacing w:before="0" w:after="0"/>
        <w:ind w:firstLine="0"/>
        <w:rPr>
          <w:lang w:val="lv-LV"/>
        </w:rPr>
      </w:pPr>
    </w:p>
    <w:p w:rsidR="00887D93" w:rsidRDefault="00887D93" w:rsidP="00F72185">
      <w:pPr>
        <w:pStyle w:val="naisf"/>
        <w:spacing w:before="0" w:after="0"/>
        <w:ind w:firstLine="0"/>
        <w:rPr>
          <w:lang w:val="lv-LV"/>
        </w:rPr>
      </w:pPr>
    </w:p>
    <w:p w:rsidR="00887D93" w:rsidRDefault="00887D93" w:rsidP="00F72185">
      <w:pPr>
        <w:pStyle w:val="naisf"/>
        <w:spacing w:before="0" w:after="0"/>
        <w:ind w:firstLine="0"/>
        <w:rPr>
          <w:lang w:val="lv-LV"/>
        </w:rPr>
      </w:pPr>
    </w:p>
    <w:p w:rsidR="00887D93" w:rsidRDefault="00887D93" w:rsidP="00F72185">
      <w:pPr>
        <w:pStyle w:val="naisf"/>
        <w:spacing w:before="0" w:after="0"/>
        <w:ind w:firstLine="0"/>
        <w:rPr>
          <w:lang w:val="lv-LV"/>
        </w:rPr>
      </w:pPr>
    </w:p>
    <w:p w:rsidR="00887D93" w:rsidRDefault="00887D93" w:rsidP="00F72185">
      <w:pPr>
        <w:pStyle w:val="naisf"/>
        <w:spacing w:before="0" w:after="0"/>
        <w:ind w:firstLine="0"/>
        <w:rPr>
          <w:lang w:val="lv-LV"/>
        </w:rPr>
      </w:pPr>
    </w:p>
    <w:p w:rsidR="00887D93" w:rsidRDefault="00887D93" w:rsidP="00F72185">
      <w:pPr>
        <w:pStyle w:val="naisf"/>
        <w:spacing w:before="0" w:after="0"/>
        <w:ind w:firstLine="0"/>
        <w:rPr>
          <w:lang w:val="lv-LV"/>
        </w:rPr>
      </w:pPr>
    </w:p>
    <w:p w:rsidR="00887D93" w:rsidRDefault="00887D93" w:rsidP="00F72185">
      <w:pPr>
        <w:pStyle w:val="naisf"/>
        <w:spacing w:before="0" w:after="0"/>
        <w:ind w:firstLine="0"/>
        <w:rPr>
          <w:lang w:val="lv-LV"/>
        </w:rPr>
      </w:pPr>
    </w:p>
    <w:p w:rsidR="00887D93" w:rsidRDefault="00887D93" w:rsidP="00F72185">
      <w:pPr>
        <w:pStyle w:val="naisf"/>
        <w:spacing w:before="0" w:after="0"/>
        <w:ind w:firstLine="0"/>
        <w:rPr>
          <w:lang w:val="lv-LV"/>
        </w:rPr>
      </w:pPr>
    </w:p>
    <w:p w:rsidR="00887D93" w:rsidRDefault="00887D93" w:rsidP="00F72185">
      <w:pPr>
        <w:pStyle w:val="naisf"/>
        <w:spacing w:before="0" w:after="0"/>
        <w:ind w:firstLine="0"/>
        <w:rPr>
          <w:lang w:val="lv-LV"/>
        </w:rPr>
      </w:pPr>
    </w:p>
    <w:p w:rsidR="00887D93" w:rsidRDefault="00887D93" w:rsidP="00F72185">
      <w:pPr>
        <w:pStyle w:val="naisf"/>
        <w:spacing w:before="0" w:after="0"/>
        <w:ind w:firstLine="0"/>
        <w:rPr>
          <w:lang w:val="lv-LV"/>
        </w:rPr>
      </w:pPr>
    </w:p>
    <w:p w:rsidR="00887D93" w:rsidRPr="00F72185" w:rsidRDefault="00887D93" w:rsidP="00F72185">
      <w:pPr>
        <w:pStyle w:val="naisf"/>
        <w:spacing w:before="0" w:after="0"/>
        <w:ind w:firstLine="0"/>
        <w:rPr>
          <w:lang w:val="lv-LV"/>
        </w:rPr>
      </w:pPr>
    </w:p>
    <w:p w:rsidR="008766F2" w:rsidRPr="00995238" w:rsidRDefault="008766F2">
      <w:pPr>
        <w:rPr>
          <w:b/>
          <w:bCs/>
          <w:i/>
          <w:iCs/>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2728"/>
        <w:gridCol w:w="7020"/>
      </w:tblGrid>
      <w:tr w:rsidR="00B51A83" w:rsidRPr="001910F3" w:rsidTr="006A604D">
        <w:trPr>
          <w:jc w:val="center"/>
        </w:trPr>
        <w:tc>
          <w:tcPr>
            <w:tcW w:w="10206" w:type="dxa"/>
            <w:gridSpan w:val="3"/>
            <w:shd w:val="clear" w:color="auto" w:fill="auto"/>
          </w:tcPr>
          <w:p w:rsidR="00B51A83" w:rsidRPr="001910F3" w:rsidRDefault="00B51A83" w:rsidP="0044047C">
            <w:pPr>
              <w:jc w:val="center"/>
            </w:pPr>
            <w:r w:rsidRPr="001910F3">
              <w:rPr>
                <w:b/>
                <w:bCs/>
              </w:rPr>
              <w:lastRenderedPageBreak/>
              <w:t>VII. Tiesību akta projekta izpildes nodrošināšana un tās ietekme uz institūcijām</w:t>
            </w:r>
          </w:p>
        </w:tc>
      </w:tr>
      <w:tr w:rsidR="00B51A83" w:rsidRPr="001910F3" w:rsidTr="006A604D">
        <w:trPr>
          <w:jc w:val="center"/>
        </w:trPr>
        <w:tc>
          <w:tcPr>
            <w:tcW w:w="458" w:type="dxa"/>
            <w:shd w:val="clear" w:color="auto" w:fill="auto"/>
          </w:tcPr>
          <w:p w:rsidR="00B51A83" w:rsidRPr="001910F3" w:rsidRDefault="00B51A83" w:rsidP="0044047C">
            <w:pPr>
              <w:pStyle w:val="NormalWeb"/>
            </w:pPr>
            <w:r w:rsidRPr="001910F3">
              <w:t>1.</w:t>
            </w:r>
          </w:p>
        </w:tc>
        <w:tc>
          <w:tcPr>
            <w:tcW w:w="2728" w:type="dxa"/>
            <w:shd w:val="clear" w:color="auto" w:fill="auto"/>
          </w:tcPr>
          <w:p w:rsidR="00B51A83" w:rsidRPr="00C83D9F" w:rsidRDefault="00CC4DFC" w:rsidP="0044047C">
            <w:pPr>
              <w:pStyle w:val="NormalWeb"/>
              <w:rPr>
                <w:lang w:val="lv-LV"/>
              </w:rPr>
            </w:pPr>
            <w:r w:rsidRPr="00CC4DFC">
              <w:rPr>
                <w:lang w:val="lv-LV"/>
              </w:rPr>
              <w:t>Projekta izpildē iesaistītās institūcijas</w:t>
            </w:r>
          </w:p>
        </w:tc>
        <w:tc>
          <w:tcPr>
            <w:tcW w:w="7020" w:type="dxa"/>
            <w:shd w:val="clear" w:color="auto" w:fill="auto"/>
          </w:tcPr>
          <w:p w:rsidR="00B51A83" w:rsidRPr="00C83D9F" w:rsidRDefault="008D651D" w:rsidP="008D651D">
            <w:pPr>
              <w:pStyle w:val="NormalWeb"/>
              <w:jc w:val="both"/>
              <w:rPr>
                <w:lang w:val="lv-LV"/>
              </w:rPr>
            </w:pPr>
            <w:r>
              <w:rPr>
                <w:lang w:val="lv-LV"/>
              </w:rPr>
              <w:t>Likuma regulējums attiecināms uz kredītiestādēm un ieguldījumu brokeru sabiedrībām.</w:t>
            </w:r>
          </w:p>
        </w:tc>
      </w:tr>
      <w:tr w:rsidR="00B51A83" w:rsidRPr="001910F3" w:rsidTr="006A604D">
        <w:trPr>
          <w:jc w:val="center"/>
        </w:trPr>
        <w:tc>
          <w:tcPr>
            <w:tcW w:w="458" w:type="dxa"/>
            <w:shd w:val="clear" w:color="auto" w:fill="auto"/>
          </w:tcPr>
          <w:p w:rsidR="00B51A83" w:rsidRPr="001910F3" w:rsidRDefault="00B51A83" w:rsidP="0044047C">
            <w:pPr>
              <w:pStyle w:val="NormalWeb"/>
            </w:pPr>
            <w:r w:rsidRPr="001910F3">
              <w:t>2.</w:t>
            </w:r>
          </w:p>
        </w:tc>
        <w:tc>
          <w:tcPr>
            <w:tcW w:w="2728" w:type="dxa"/>
            <w:shd w:val="clear" w:color="auto" w:fill="auto"/>
          </w:tcPr>
          <w:p w:rsidR="00B51A83" w:rsidRPr="00C83D9F" w:rsidRDefault="00B51A83" w:rsidP="0044047C">
            <w:r w:rsidRPr="00C83D9F">
              <w:t xml:space="preserve">Projekta izpildes ietekme uz pārvaldes funkcijām </w:t>
            </w:r>
            <w:r w:rsidR="008F68DE">
              <w:t>un institucionālo struktūru. Jaunu institūciju izveide, esošu institūciju likvidācija vai reorganizācija, to ietekme uz institūcijas cilvēkresursiem</w:t>
            </w:r>
          </w:p>
        </w:tc>
        <w:tc>
          <w:tcPr>
            <w:tcW w:w="7020" w:type="dxa"/>
            <w:shd w:val="clear" w:color="auto" w:fill="auto"/>
          </w:tcPr>
          <w:p w:rsidR="00B51A83" w:rsidRPr="005937AA" w:rsidRDefault="00CC4DFC" w:rsidP="0044047C">
            <w:pPr>
              <w:pStyle w:val="NormalWeb"/>
              <w:rPr>
                <w:i/>
                <w:lang w:val="lv-LV"/>
              </w:rPr>
            </w:pPr>
            <w:r w:rsidRPr="00CC4DFC">
              <w:rPr>
                <w:i/>
                <w:lang w:val="lv-LV"/>
              </w:rPr>
              <w:t>Projekts šo jomu neskar.</w:t>
            </w:r>
          </w:p>
        </w:tc>
      </w:tr>
      <w:tr w:rsidR="00B51A83" w:rsidRPr="001910F3" w:rsidTr="006A604D">
        <w:trPr>
          <w:jc w:val="center"/>
        </w:trPr>
        <w:tc>
          <w:tcPr>
            <w:tcW w:w="458" w:type="dxa"/>
            <w:shd w:val="clear" w:color="auto" w:fill="auto"/>
          </w:tcPr>
          <w:p w:rsidR="00B51A83" w:rsidRPr="001910F3" w:rsidRDefault="00B51A83" w:rsidP="0044047C">
            <w:pPr>
              <w:pStyle w:val="NormalWeb"/>
            </w:pPr>
            <w:r>
              <w:t>3</w:t>
            </w:r>
            <w:r w:rsidRPr="001910F3">
              <w:t>.</w:t>
            </w:r>
          </w:p>
        </w:tc>
        <w:tc>
          <w:tcPr>
            <w:tcW w:w="2728" w:type="dxa"/>
            <w:shd w:val="clear" w:color="auto" w:fill="auto"/>
          </w:tcPr>
          <w:p w:rsidR="00B51A83" w:rsidRPr="00972BF3" w:rsidRDefault="00CC4DFC" w:rsidP="0044047C">
            <w:pPr>
              <w:pStyle w:val="NormalWeb"/>
              <w:spacing w:before="0" w:beforeAutospacing="0" w:after="0" w:afterAutospacing="0"/>
              <w:rPr>
                <w:lang w:val="lv-LV"/>
              </w:rPr>
            </w:pPr>
            <w:r w:rsidRPr="00CC4DFC">
              <w:rPr>
                <w:lang w:val="lv-LV"/>
              </w:rPr>
              <w:t>Cita informācija</w:t>
            </w:r>
          </w:p>
        </w:tc>
        <w:tc>
          <w:tcPr>
            <w:tcW w:w="7020" w:type="dxa"/>
            <w:shd w:val="clear" w:color="auto" w:fill="auto"/>
          </w:tcPr>
          <w:p w:rsidR="00B51A83" w:rsidRPr="00972BF3" w:rsidRDefault="00CC4DFC" w:rsidP="0044047C">
            <w:pPr>
              <w:pStyle w:val="NormalWeb"/>
              <w:rPr>
                <w:lang w:val="lv-LV"/>
              </w:rPr>
            </w:pPr>
            <w:r w:rsidRPr="00CC4DFC">
              <w:rPr>
                <w:lang w:val="lv-LV"/>
              </w:rPr>
              <w:t>Nav</w:t>
            </w:r>
            <w:r w:rsidR="00972BF3">
              <w:rPr>
                <w:lang w:val="lv-LV"/>
              </w:rPr>
              <w:t>.</w:t>
            </w:r>
          </w:p>
        </w:tc>
      </w:tr>
    </w:tbl>
    <w:p w:rsidR="008766F2" w:rsidRDefault="008766F2">
      <w:pPr>
        <w:pStyle w:val="NormalWeb"/>
        <w:spacing w:before="0" w:beforeAutospacing="0" w:after="0" w:afterAutospacing="0"/>
        <w:rPr>
          <w:sz w:val="28"/>
          <w:szCs w:val="28"/>
          <w:lang w:val="lv-LV"/>
        </w:rPr>
      </w:pPr>
    </w:p>
    <w:p w:rsidR="008C0DC4" w:rsidRPr="005E702B" w:rsidRDefault="008C0DC4">
      <w:pPr>
        <w:pStyle w:val="BodyText2"/>
      </w:pPr>
    </w:p>
    <w:p w:rsidR="00887D93" w:rsidRDefault="00887D93">
      <w:pPr>
        <w:pStyle w:val="BodyText2"/>
      </w:pPr>
    </w:p>
    <w:p w:rsidR="00887D93" w:rsidRDefault="00887D93">
      <w:pPr>
        <w:pStyle w:val="BodyText2"/>
      </w:pPr>
    </w:p>
    <w:p w:rsidR="008766F2" w:rsidRPr="00AF5AA2" w:rsidRDefault="00AF5AA2">
      <w:pPr>
        <w:pStyle w:val="BodyText2"/>
      </w:pPr>
      <w:r>
        <w:t>Finanšu ministr</w:t>
      </w:r>
      <w:r w:rsidR="00B00577">
        <w:t>e</w:t>
      </w:r>
      <w:r>
        <w:tab/>
      </w:r>
      <w:r>
        <w:tab/>
      </w:r>
      <w:r>
        <w:tab/>
      </w:r>
      <w:r>
        <w:tab/>
      </w:r>
      <w:r>
        <w:tab/>
      </w:r>
      <w:r>
        <w:tab/>
      </w:r>
      <w:r w:rsidR="00B00577">
        <w:tab/>
        <w:t>D. Reizniece- Ozola</w:t>
      </w:r>
    </w:p>
    <w:p w:rsidR="008D1D6C" w:rsidRDefault="008D1D6C" w:rsidP="00CD5927">
      <w:pPr>
        <w:jc w:val="both"/>
        <w:rPr>
          <w:sz w:val="22"/>
          <w:szCs w:val="20"/>
        </w:rPr>
      </w:pPr>
    </w:p>
    <w:p w:rsidR="008D1D6C" w:rsidRDefault="008D1D6C" w:rsidP="00CD5927">
      <w:pPr>
        <w:jc w:val="both"/>
        <w:rPr>
          <w:sz w:val="22"/>
          <w:szCs w:val="20"/>
        </w:rPr>
      </w:pPr>
    </w:p>
    <w:p w:rsidR="00887D93" w:rsidRDefault="00887D93" w:rsidP="00D82DEB">
      <w:pPr>
        <w:rPr>
          <w:sz w:val="20"/>
          <w:szCs w:val="20"/>
        </w:rPr>
      </w:pPr>
    </w:p>
    <w:p w:rsidR="00887D93" w:rsidRDefault="00887D93" w:rsidP="00D82DEB">
      <w:pPr>
        <w:rPr>
          <w:sz w:val="20"/>
          <w:szCs w:val="20"/>
        </w:rPr>
      </w:pPr>
    </w:p>
    <w:p w:rsidR="00D82DEB" w:rsidRPr="008923F8" w:rsidRDefault="00781F23" w:rsidP="00D82DEB">
      <w:pPr>
        <w:rPr>
          <w:sz w:val="20"/>
          <w:szCs w:val="20"/>
        </w:rPr>
      </w:pPr>
      <w:bookmarkStart w:id="0" w:name="_GoBack"/>
      <w:bookmarkEnd w:id="0"/>
      <w:r>
        <w:rPr>
          <w:sz w:val="20"/>
          <w:szCs w:val="20"/>
        </w:rPr>
        <w:t>1</w:t>
      </w:r>
      <w:r w:rsidR="00CD4C85">
        <w:rPr>
          <w:sz w:val="20"/>
          <w:szCs w:val="20"/>
        </w:rPr>
        <w:t>8</w:t>
      </w:r>
      <w:r w:rsidR="0035523C">
        <w:rPr>
          <w:sz w:val="20"/>
          <w:szCs w:val="20"/>
        </w:rPr>
        <w:t>.</w:t>
      </w:r>
      <w:r w:rsidR="00621FF1">
        <w:rPr>
          <w:sz w:val="20"/>
          <w:szCs w:val="20"/>
        </w:rPr>
        <w:t>0</w:t>
      </w:r>
      <w:r w:rsidR="00CD4C85">
        <w:rPr>
          <w:sz w:val="20"/>
          <w:szCs w:val="20"/>
        </w:rPr>
        <w:t>8</w:t>
      </w:r>
      <w:r w:rsidR="00D82DEB" w:rsidRPr="008923F8">
        <w:rPr>
          <w:sz w:val="20"/>
          <w:szCs w:val="20"/>
        </w:rPr>
        <w:t>.</w:t>
      </w:r>
      <w:r w:rsidR="00F91F98" w:rsidRPr="008923F8">
        <w:rPr>
          <w:sz w:val="20"/>
          <w:szCs w:val="20"/>
        </w:rPr>
        <w:t>201</w:t>
      </w:r>
      <w:r w:rsidR="00621FF1">
        <w:rPr>
          <w:sz w:val="20"/>
          <w:szCs w:val="20"/>
        </w:rPr>
        <w:t>6</w:t>
      </w:r>
      <w:r w:rsidR="00D82DEB">
        <w:rPr>
          <w:sz w:val="20"/>
          <w:szCs w:val="20"/>
        </w:rPr>
        <w:t>.</w:t>
      </w:r>
      <w:r w:rsidR="00D82DEB" w:rsidRPr="008923F8">
        <w:rPr>
          <w:sz w:val="20"/>
          <w:szCs w:val="20"/>
        </w:rPr>
        <w:t xml:space="preserve"> </w:t>
      </w:r>
      <w:r w:rsidR="00621FF1">
        <w:rPr>
          <w:sz w:val="20"/>
          <w:szCs w:val="20"/>
        </w:rPr>
        <w:t>1</w:t>
      </w:r>
      <w:r w:rsidR="00CD4C85">
        <w:rPr>
          <w:sz w:val="20"/>
          <w:szCs w:val="20"/>
        </w:rPr>
        <w:t>8</w:t>
      </w:r>
      <w:r w:rsidR="00621FF1">
        <w:rPr>
          <w:sz w:val="20"/>
          <w:szCs w:val="20"/>
        </w:rPr>
        <w:t>:</w:t>
      </w:r>
      <w:r w:rsidR="00CD4C85">
        <w:rPr>
          <w:sz w:val="20"/>
          <w:szCs w:val="20"/>
        </w:rPr>
        <w:t>37</w:t>
      </w:r>
    </w:p>
    <w:p w:rsidR="00D82DEB" w:rsidRPr="008923F8" w:rsidRDefault="009C4AD6" w:rsidP="00D82DEB">
      <w:pPr>
        <w:rPr>
          <w:sz w:val="20"/>
          <w:szCs w:val="20"/>
        </w:rPr>
      </w:pPr>
      <w:r>
        <w:rPr>
          <w:sz w:val="20"/>
          <w:szCs w:val="20"/>
        </w:rPr>
        <w:t xml:space="preserve">2 </w:t>
      </w:r>
      <w:r w:rsidR="00781F23">
        <w:rPr>
          <w:sz w:val="20"/>
          <w:szCs w:val="20"/>
        </w:rPr>
        <w:t>415</w:t>
      </w:r>
    </w:p>
    <w:p w:rsidR="0035523C" w:rsidRDefault="0035523C" w:rsidP="00D82DEB">
      <w:pPr>
        <w:rPr>
          <w:sz w:val="20"/>
          <w:szCs w:val="20"/>
        </w:rPr>
      </w:pPr>
      <w:proofErr w:type="spellStart"/>
      <w:r>
        <w:rPr>
          <w:sz w:val="20"/>
          <w:szCs w:val="20"/>
        </w:rPr>
        <w:t>D.Buse</w:t>
      </w:r>
      <w:proofErr w:type="spellEnd"/>
    </w:p>
    <w:p w:rsidR="0035523C" w:rsidRDefault="0035523C" w:rsidP="00D82DEB">
      <w:pPr>
        <w:rPr>
          <w:sz w:val="20"/>
          <w:szCs w:val="20"/>
        </w:rPr>
      </w:pPr>
      <w:r>
        <w:rPr>
          <w:sz w:val="20"/>
          <w:szCs w:val="20"/>
        </w:rPr>
        <w:t>67095535; Dina.Buse@fm.gov.lv</w:t>
      </w:r>
    </w:p>
    <w:p w:rsidR="00D82DEB" w:rsidRPr="00B318EF" w:rsidRDefault="00D82DEB" w:rsidP="00D82DEB">
      <w:pPr>
        <w:rPr>
          <w:sz w:val="20"/>
          <w:szCs w:val="20"/>
        </w:rPr>
      </w:pPr>
      <w:r w:rsidRPr="00B318EF">
        <w:rPr>
          <w:sz w:val="20"/>
          <w:szCs w:val="20"/>
        </w:rPr>
        <w:t>I. </w:t>
      </w:r>
      <w:proofErr w:type="spellStart"/>
      <w:r>
        <w:rPr>
          <w:sz w:val="20"/>
          <w:szCs w:val="20"/>
        </w:rPr>
        <w:t>Berrone</w:t>
      </w:r>
      <w:proofErr w:type="spellEnd"/>
    </w:p>
    <w:p w:rsidR="008766F2" w:rsidRPr="002B7919" w:rsidRDefault="00D82DEB" w:rsidP="002B7919">
      <w:pPr>
        <w:pStyle w:val="naisf"/>
        <w:spacing w:before="0" w:after="0"/>
        <w:ind w:firstLine="0"/>
        <w:rPr>
          <w:b/>
          <w:bCs/>
          <w:sz w:val="22"/>
          <w:lang w:val="lv-LV"/>
        </w:rPr>
      </w:pPr>
      <w:r w:rsidRPr="00F91F98">
        <w:rPr>
          <w:sz w:val="20"/>
          <w:szCs w:val="20"/>
          <w:lang w:val="it-IT"/>
        </w:rPr>
        <w:t xml:space="preserve">6777 4804; </w:t>
      </w:r>
      <w:hyperlink r:id="rId8" w:history="1">
        <w:r w:rsidR="002B7919" w:rsidRPr="00F91F98">
          <w:rPr>
            <w:rStyle w:val="Hyperlink"/>
            <w:color w:val="auto"/>
            <w:sz w:val="20"/>
            <w:szCs w:val="20"/>
            <w:u w:val="none"/>
            <w:lang w:val="it-IT"/>
          </w:rPr>
          <w:t>Ieva.Berrone@fktk.lv</w:t>
        </w:r>
      </w:hyperlink>
    </w:p>
    <w:sectPr w:rsidR="008766F2" w:rsidRPr="002B7919" w:rsidSect="00E10854">
      <w:headerReference w:type="even" r:id="rId9"/>
      <w:headerReference w:type="default" r:id="rId10"/>
      <w:footerReference w:type="even" r:id="rId11"/>
      <w:footerReference w:type="default" r:id="rId12"/>
      <w:headerReference w:type="first" r:id="rId13"/>
      <w:footerReference w:type="first" r:id="rId14"/>
      <w:pgSz w:w="11906" w:h="16838"/>
      <w:pgMar w:top="1438" w:right="1800" w:bottom="107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C69" w:rsidRDefault="00013C69">
      <w:r>
        <w:separator/>
      </w:r>
    </w:p>
  </w:endnote>
  <w:endnote w:type="continuationSeparator" w:id="0">
    <w:p w:rsidR="00013C69" w:rsidRDefault="00013C69">
      <w:r>
        <w:continuationSeparator/>
      </w:r>
    </w:p>
  </w:endnote>
  <w:endnote w:type="continuationNotice" w:id="1">
    <w:p w:rsidR="00013C69" w:rsidRDefault="00013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C85" w:rsidRDefault="00CD4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61" w:rsidRPr="00D82DEB" w:rsidRDefault="00887D93" w:rsidP="00D82DEB">
    <w:pPr>
      <w:pStyle w:val="Footer"/>
      <w:rPr>
        <w:szCs w:val="22"/>
      </w:rPr>
    </w:pPr>
    <w:sdt>
      <w:sdtPr>
        <w:id w:val="20053636"/>
        <w:docPartObj>
          <w:docPartGallery w:val="Page Numbers (Bottom of Page)"/>
          <w:docPartUnique/>
        </w:docPartObj>
      </w:sdtPr>
      <w:sdtEndPr/>
      <w:sdtContent>
        <w:r w:rsidR="007C7F61" w:rsidRPr="00675F74">
          <w:rPr>
            <w:sz w:val="20"/>
            <w:szCs w:val="20"/>
          </w:rPr>
          <w:t>FM</w:t>
        </w:r>
        <w:r w:rsidR="0035523C">
          <w:rPr>
            <w:sz w:val="20"/>
            <w:szCs w:val="20"/>
          </w:rPr>
          <w:t>Anot</w:t>
        </w:r>
        <w:r w:rsidR="007C7F61" w:rsidRPr="00675F74">
          <w:rPr>
            <w:sz w:val="20"/>
            <w:szCs w:val="20"/>
          </w:rPr>
          <w:t>_</w:t>
        </w:r>
        <w:r w:rsidR="00781F23">
          <w:rPr>
            <w:sz w:val="20"/>
            <w:szCs w:val="20"/>
          </w:rPr>
          <w:t>1</w:t>
        </w:r>
        <w:r w:rsidR="00CD4C85">
          <w:rPr>
            <w:sz w:val="20"/>
            <w:szCs w:val="20"/>
          </w:rPr>
          <w:t>8</w:t>
        </w:r>
        <w:r w:rsidR="0035523C">
          <w:rPr>
            <w:sz w:val="20"/>
            <w:szCs w:val="20"/>
          </w:rPr>
          <w:t>0</w:t>
        </w:r>
        <w:r w:rsidR="00CD4C85">
          <w:rPr>
            <w:sz w:val="20"/>
            <w:szCs w:val="20"/>
          </w:rPr>
          <w:t>8</w:t>
        </w:r>
        <w:r w:rsidR="0035523C">
          <w:rPr>
            <w:sz w:val="20"/>
            <w:szCs w:val="20"/>
          </w:rPr>
          <w:t>16</w:t>
        </w:r>
        <w:r w:rsidR="007C7F61" w:rsidRPr="00675F74">
          <w:rPr>
            <w:sz w:val="20"/>
            <w:szCs w:val="20"/>
          </w:rPr>
          <w:t>_</w:t>
        </w:r>
        <w:r w:rsidR="007C7F61">
          <w:rPr>
            <w:sz w:val="20"/>
            <w:szCs w:val="20"/>
          </w:rPr>
          <w:t>SRM</w:t>
        </w:r>
        <w:r w:rsidR="007C7F61" w:rsidRPr="00675F74">
          <w:rPr>
            <w:sz w:val="20"/>
            <w:szCs w:val="20"/>
          </w:rPr>
          <w:t>;</w:t>
        </w:r>
        <w:r w:rsidR="007C7F61">
          <w:rPr>
            <w:sz w:val="20"/>
            <w:szCs w:val="20"/>
          </w:rPr>
          <w:t xml:space="preserve"> Likumprojekta</w:t>
        </w:r>
        <w:r w:rsidR="007C7F61" w:rsidRPr="005C2290">
          <w:rPr>
            <w:sz w:val="20"/>
            <w:szCs w:val="20"/>
          </w:rPr>
          <w:t xml:space="preserve"> "</w:t>
        </w:r>
        <w:r w:rsidR="007C7F61">
          <w:rPr>
            <w:sz w:val="20"/>
            <w:szCs w:val="20"/>
          </w:rPr>
          <w:t>Grozījumi</w:t>
        </w:r>
        <w:r w:rsidR="007C7F61" w:rsidRPr="005C2290">
          <w:rPr>
            <w:bCs/>
            <w:sz w:val="20"/>
            <w:szCs w:val="20"/>
          </w:rPr>
          <w:t xml:space="preserve"> Kredītiestāžu un ieguldījumu brokeru sabiedrību darbības atjaunošanas un noregulējuma </w:t>
        </w:r>
        <w:r w:rsidR="007C7F61" w:rsidRPr="005C2290">
          <w:rPr>
            <w:color w:val="000000"/>
            <w:sz w:val="20"/>
            <w:szCs w:val="20"/>
          </w:rPr>
          <w:t>likumā</w:t>
        </w:r>
        <w:r w:rsidR="007C7F61" w:rsidRPr="005C2290">
          <w:rPr>
            <w:sz w:val="20"/>
            <w:szCs w:val="20"/>
          </w:rPr>
          <w:t>"</w:t>
        </w:r>
      </w:sdtContent>
    </w:sdt>
    <w:r w:rsidR="007C7F61" w:rsidRPr="00D82DEB">
      <w:rPr>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61" w:rsidRPr="0056738B" w:rsidRDefault="00887D93" w:rsidP="0056738B">
    <w:pPr>
      <w:pStyle w:val="Footer"/>
    </w:pPr>
    <w:sdt>
      <w:sdtPr>
        <w:id w:val="439873711"/>
        <w:docPartObj>
          <w:docPartGallery w:val="Page Numbers (Bottom of Page)"/>
          <w:docPartUnique/>
        </w:docPartObj>
      </w:sdtPr>
      <w:sdtEndPr/>
      <w:sdtContent>
        <w:r w:rsidR="0056738B" w:rsidRPr="00675F74">
          <w:rPr>
            <w:sz w:val="20"/>
            <w:szCs w:val="20"/>
          </w:rPr>
          <w:t>FM</w:t>
        </w:r>
        <w:r w:rsidR="0056738B">
          <w:rPr>
            <w:sz w:val="20"/>
            <w:szCs w:val="20"/>
          </w:rPr>
          <w:t>Anot</w:t>
        </w:r>
        <w:r w:rsidR="0056738B" w:rsidRPr="00675F74">
          <w:rPr>
            <w:sz w:val="20"/>
            <w:szCs w:val="20"/>
          </w:rPr>
          <w:t>_</w:t>
        </w:r>
        <w:r w:rsidR="00781F23">
          <w:rPr>
            <w:sz w:val="20"/>
            <w:szCs w:val="20"/>
          </w:rPr>
          <w:t>1</w:t>
        </w:r>
        <w:r w:rsidR="00CD4C85">
          <w:rPr>
            <w:sz w:val="20"/>
            <w:szCs w:val="20"/>
          </w:rPr>
          <w:t>8</w:t>
        </w:r>
        <w:r w:rsidR="0056738B">
          <w:rPr>
            <w:sz w:val="20"/>
            <w:szCs w:val="20"/>
          </w:rPr>
          <w:t>0</w:t>
        </w:r>
        <w:r w:rsidR="00CD4C85">
          <w:rPr>
            <w:sz w:val="20"/>
            <w:szCs w:val="20"/>
          </w:rPr>
          <w:t>8</w:t>
        </w:r>
        <w:r w:rsidR="0056738B">
          <w:rPr>
            <w:sz w:val="20"/>
            <w:szCs w:val="20"/>
          </w:rPr>
          <w:t>16</w:t>
        </w:r>
        <w:r w:rsidR="0056738B" w:rsidRPr="00675F74">
          <w:rPr>
            <w:sz w:val="20"/>
            <w:szCs w:val="20"/>
          </w:rPr>
          <w:t>_</w:t>
        </w:r>
        <w:r w:rsidR="0056738B">
          <w:rPr>
            <w:sz w:val="20"/>
            <w:szCs w:val="20"/>
          </w:rPr>
          <w:t>SRM</w:t>
        </w:r>
        <w:r w:rsidR="0056738B" w:rsidRPr="00675F74">
          <w:rPr>
            <w:sz w:val="20"/>
            <w:szCs w:val="20"/>
          </w:rPr>
          <w:t>;</w:t>
        </w:r>
        <w:r w:rsidR="0056738B">
          <w:rPr>
            <w:sz w:val="20"/>
            <w:szCs w:val="20"/>
          </w:rPr>
          <w:t xml:space="preserve"> Likumprojekta</w:t>
        </w:r>
        <w:r w:rsidR="0056738B" w:rsidRPr="005C2290">
          <w:rPr>
            <w:sz w:val="20"/>
            <w:szCs w:val="20"/>
          </w:rPr>
          <w:t xml:space="preserve"> "</w:t>
        </w:r>
        <w:r w:rsidR="0056738B">
          <w:rPr>
            <w:sz w:val="20"/>
            <w:szCs w:val="20"/>
          </w:rPr>
          <w:t>Grozījumi</w:t>
        </w:r>
        <w:r w:rsidR="0056738B" w:rsidRPr="005C2290">
          <w:rPr>
            <w:bCs/>
            <w:sz w:val="20"/>
            <w:szCs w:val="20"/>
          </w:rPr>
          <w:t xml:space="preserve"> Kredītiestāžu un ieguldījumu brokeru sabiedrību darbības atjaunošanas un noregulējuma </w:t>
        </w:r>
        <w:r w:rsidR="0056738B" w:rsidRPr="005C2290">
          <w:rPr>
            <w:color w:val="000000"/>
            <w:sz w:val="20"/>
            <w:szCs w:val="20"/>
          </w:rPr>
          <w:t>likumā</w:t>
        </w:r>
        <w:r w:rsidR="0056738B" w:rsidRPr="005C2290">
          <w:rPr>
            <w:sz w:val="20"/>
            <w:szCs w:val="20"/>
          </w:rPr>
          <w:t>"</w:t>
        </w:r>
      </w:sdtContent>
    </w:sdt>
    <w:r w:rsidR="0056738B" w:rsidRPr="00D82DEB">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C69" w:rsidRDefault="00013C69">
      <w:r>
        <w:separator/>
      </w:r>
    </w:p>
  </w:footnote>
  <w:footnote w:type="continuationSeparator" w:id="0">
    <w:p w:rsidR="00013C69" w:rsidRDefault="00013C69">
      <w:r>
        <w:continuationSeparator/>
      </w:r>
    </w:p>
  </w:footnote>
  <w:footnote w:type="continuationNotice" w:id="1">
    <w:p w:rsidR="00013C69" w:rsidRDefault="00013C69"/>
  </w:footnote>
  <w:footnote w:id="2">
    <w:p w:rsidR="007C7F61" w:rsidRDefault="007C7F61" w:rsidP="00BE26FF">
      <w:pPr>
        <w:pStyle w:val="FootnoteText"/>
        <w:jc w:val="both"/>
        <w:rPr>
          <w:sz w:val="16"/>
          <w:szCs w:val="16"/>
          <w:lang w:eastAsia="lv-LV"/>
        </w:rPr>
      </w:pPr>
      <w:r>
        <w:rPr>
          <w:rStyle w:val="FootnoteReference"/>
        </w:rPr>
        <w:t>*</w:t>
      </w:r>
      <w:r>
        <w:t xml:space="preserve"> </w:t>
      </w:r>
      <w:r w:rsidRPr="004131CD">
        <w:rPr>
          <w:sz w:val="16"/>
          <w:szCs w:val="16"/>
          <w:lang w:eastAsia="lv-LV"/>
        </w:rPr>
        <w:t>Eiropas Parlamenta un Pad</w:t>
      </w:r>
      <w:r>
        <w:rPr>
          <w:sz w:val="16"/>
          <w:szCs w:val="16"/>
          <w:lang w:eastAsia="lv-LV"/>
        </w:rPr>
        <w:t>omes 2014.gada 15.jūlija regula</w:t>
      </w:r>
      <w:r w:rsidRPr="004131CD">
        <w:rPr>
          <w:sz w:val="16"/>
          <w:szCs w:val="16"/>
          <w:lang w:eastAsia="lv-LV"/>
        </w:rPr>
        <w:t xml:space="preserve"> (ES) Nr.806/2014, ar ko izveido vienādus noteikumus un vienotu procedūru kredītiestāžu un noteiktu ieguldījumu brokeru sabiedrību noregulējumam, izmantojot vienotu noregulējuma mehānismu un vienotu noregulējuma fondu, un groza Regulu (ES) Nr.1093/2010</w:t>
      </w:r>
      <w:r>
        <w:rPr>
          <w:sz w:val="16"/>
          <w:szCs w:val="16"/>
          <w:lang w:eastAsia="lv-LV"/>
        </w:rPr>
        <w:t>.</w:t>
      </w:r>
    </w:p>
    <w:p w:rsidR="007C7F61" w:rsidRPr="00637930" w:rsidRDefault="007C7F61" w:rsidP="00BE26FF">
      <w:pPr>
        <w:pStyle w:val="FootnoteText"/>
        <w:jc w:val="both"/>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C85" w:rsidRDefault="00CD4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F61" w:rsidRDefault="00212DA9">
    <w:pPr>
      <w:pStyle w:val="Header"/>
      <w:framePr w:wrap="auto" w:vAnchor="text" w:hAnchor="margin" w:xAlign="center" w:y="1"/>
      <w:rPr>
        <w:rStyle w:val="PageNumber"/>
      </w:rPr>
    </w:pPr>
    <w:r>
      <w:rPr>
        <w:rStyle w:val="PageNumber"/>
      </w:rPr>
      <w:fldChar w:fldCharType="begin"/>
    </w:r>
    <w:r w:rsidR="007C7F61">
      <w:rPr>
        <w:rStyle w:val="PageNumber"/>
      </w:rPr>
      <w:instrText xml:space="preserve">PAGE  </w:instrText>
    </w:r>
    <w:r>
      <w:rPr>
        <w:rStyle w:val="PageNumber"/>
      </w:rPr>
      <w:fldChar w:fldCharType="separate"/>
    </w:r>
    <w:r w:rsidR="00887D93">
      <w:rPr>
        <w:rStyle w:val="PageNumber"/>
        <w:noProof/>
      </w:rPr>
      <w:t>9</w:t>
    </w:r>
    <w:r>
      <w:rPr>
        <w:rStyle w:val="PageNumber"/>
      </w:rPr>
      <w:fldChar w:fldCharType="end"/>
    </w:r>
  </w:p>
  <w:p w:rsidR="007C7F61" w:rsidRDefault="007C7F61">
    <w:pPr>
      <w:pStyle w:val="Header"/>
    </w:pPr>
  </w:p>
  <w:p w:rsidR="007C7F61" w:rsidRDefault="007C7F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C85" w:rsidRDefault="00CD4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6555C"/>
    <w:multiLevelType w:val="hybridMultilevel"/>
    <w:tmpl w:val="573AA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551704"/>
    <w:multiLevelType w:val="hybridMultilevel"/>
    <w:tmpl w:val="5BD8C3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1C398C"/>
    <w:multiLevelType w:val="hybridMultilevel"/>
    <w:tmpl w:val="F3CEB1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E15D53"/>
    <w:multiLevelType w:val="hybridMultilevel"/>
    <w:tmpl w:val="F6326354"/>
    <w:lvl w:ilvl="0" w:tplc="04260001">
      <w:start w:val="1"/>
      <w:numFmt w:val="bullet"/>
      <w:lvlText w:val=""/>
      <w:lvlJc w:val="left"/>
      <w:pPr>
        <w:ind w:left="1151" w:hanging="360"/>
      </w:pPr>
      <w:rPr>
        <w:rFonts w:ascii="Symbol" w:hAnsi="Symbol" w:hint="default"/>
      </w:rPr>
    </w:lvl>
    <w:lvl w:ilvl="1" w:tplc="04260003" w:tentative="1">
      <w:start w:val="1"/>
      <w:numFmt w:val="bullet"/>
      <w:lvlText w:val="o"/>
      <w:lvlJc w:val="left"/>
      <w:pPr>
        <w:ind w:left="1871" w:hanging="360"/>
      </w:pPr>
      <w:rPr>
        <w:rFonts w:ascii="Courier New" w:hAnsi="Courier New" w:cs="Courier New" w:hint="default"/>
      </w:rPr>
    </w:lvl>
    <w:lvl w:ilvl="2" w:tplc="04260005" w:tentative="1">
      <w:start w:val="1"/>
      <w:numFmt w:val="bullet"/>
      <w:lvlText w:val=""/>
      <w:lvlJc w:val="left"/>
      <w:pPr>
        <w:ind w:left="2591" w:hanging="360"/>
      </w:pPr>
      <w:rPr>
        <w:rFonts w:ascii="Wingdings" w:hAnsi="Wingdings" w:hint="default"/>
      </w:rPr>
    </w:lvl>
    <w:lvl w:ilvl="3" w:tplc="04260001" w:tentative="1">
      <w:start w:val="1"/>
      <w:numFmt w:val="bullet"/>
      <w:lvlText w:val=""/>
      <w:lvlJc w:val="left"/>
      <w:pPr>
        <w:ind w:left="3311" w:hanging="360"/>
      </w:pPr>
      <w:rPr>
        <w:rFonts w:ascii="Symbol" w:hAnsi="Symbol" w:hint="default"/>
      </w:rPr>
    </w:lvl>
    <w:lvl w:ilvl="4" w:tplc="04260003" w:tentative="1">
      <w:start w:val="1"/>
      <w:numFmt w:val="bullet"/>
      <w:lvlText w:val="o"/>
      <w:lvlJc w:val="left"/>
      <w:pPr>
        <w:ind w:left="4031" w:hanging="360"/>
      </w:pPr>
      <w:rPr>
        <w:rFonts w:ascii="Courier New" w:hAnsi="Courier New" w:cs="Courier New" w:hint="default"/>
      </w:rPr>
    </w:lvl>
    <w:lvl w:ilvl="5" w:tplc="04260005" w:tentative="1">
      <w:start w:val="1"/>
      <w:numFmt w:val="bullet"/>
      <w:lvlText w:val=""/>
      <w:lvlJc w:val="left"/>
      <w:pPr>
        <w:ind w:left="4751" w:hanging="360"/>
      </w:pPr>
      <w:rPr>
        <w:rFonts w:ascii="Wingdings" w:hAnsi="Wingdings" w:hint="default"/>
      </w:rPr>
    </w:lvl>
    <w:lvl w:ilvl="6" w:tplc="04260001" w:tentative="1">
      <w:start w:val="1"/>
      <w:numFmt w:val="bullet"/>
      <w:lvlText w:val=""/>
      <w:lvlJc w:val="left"/>
      <w:pPr>
        <w:ind w:left="5471" w:hanging="360"/>
      </w:pPr>
      <w:rPr>
        <w:rFonts w:ascii="Symbol" w:hAnsi="Symbol" w:hint="default"/>
      </w:rPr>
    </w:lvl>
    <w:lvl w:ilvl="7" w:tplc="04260003" w:tentative="1">
      <w:start w:val="1"/>
      <w:numFmt w:val="bullet"/>
      <w:lvlText w:val="o"/>
      <w:lvlJc w:val="left"/>
      <w:pPr>
        <w:ind w:left="6191" w:hanging="360"/>
      </w:pPr>
      <w:rPr>
        <w:rFonts w:ascii="Courier New" w:hAnsi="Courier New" w:cs="Courier New" w:hint="default"/>
      </w:rPr>
    </w:lvl>
    <w:lvl w:ilvl="8" w:tplc="04260005" w:tentative="1">
      <w:start w:val="1"/>
      <w:numFmt w:val="bullet"/>
      <w:lvlText w:val=""/>
      <w:lvlJc w:val="left"/>
      <w:pPr>
        <w:ind w:left="6911" w:hanging="360"/>
      </w:pPr>
      <w:rPr>
        <w:rFonts w:ascii="Wingdings" w:hAnsi="Wingdings" w:hint="default"/>
      </w:rPr>
    </w:lvl>
  </w:abstractNum>
  <w:abstractNum w:abstractNumId="4" w15:restartNumberingAfterBreak="0">
    <w:nsid w:val="48150E09"/>
    <w:multiLevelType w:val="hybridMultilevel"/>
    <w:tmpl w:val="1A64B1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163416"/>
    <w:multiLevelType w:val="hybridMultilevel"/>
    <w:tmpl w:val="2A928EBC"/>
    <w:lvl w:ilvl="0" w:tplc="1AA80E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B7B2E5B"/>
    <w:multiLevelType w:val="hybridMultilevel"/>
    <w:tmpl w:val="00E468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2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7E"/>
    <w:rsid w:val="00013C69"/>
    <w:rsid w:val="000259EB"/>
    <w:rsid w:val="00030B4E"/>
    <w:rsid w:val="00031EA4"/>
    <w:rsid w:val="00032A89"/>
    <w:rsid w:val="00033E33"/>
    <w:rsid w:val="000436CD"/>
    <w:rsid w:val="00061303"/>
    <w:rsid w:val="00061387"/>
    <w:rsid w:val="00063831"/>
    <w:rsid w:val="00063F3C"/>
    <w:rsid w:val="000653D0"/>
    <w:rsid w:val="00076979"/>
    <w:rsid w:val="00090C26"/>
    <w:rsid w:val="00091BAE"/>
    <w:rsid w:val="00092548"/>
    <w:rsid w:val="000A63E0"/>
    <w:rsid w:val="000B3BAE"/>
    <w:rsid w:val="000C0886"/>
    <w:rsid w:val="000D1EBC"/>
    <w:rsid w:val="000D5347"/>
    <w:rsid w:val="000E0690"/>
    <w:rsid w:val="000E4CF5"/>
    <w:rsid w:val="000E6AA5"/>
    <w:rsid w:val="000F1FA1"/>
    <w:rsid w:val="0010038E"/>
    <w:rsid w:val="0010238B"/>
    <w:rsid w:val="00103DB3"/>
    <w:rsid w:val="00104D2F"/>
    <w:rsid w:val="0011572B"/>
    <w:rsid w:val="0012434C"/>
    <w:rsid w:val="00134DEA"/>
    <w:rsid w:val="00170C92"/>
    <w:rsid w:val="00174775"/>
    <w:rsid w:val="00175B36"/>
    <w:rsid w:val="00175B57"/>
    <w:rsid w:val="00177139"/>
    <w:rsid w:val="00180333"/>
    <w:rsid w:val="0018233B"/>
    <w:rsid w:val="00191F41"/>
    <w:rsid w:val="00192613"/>
    <w:rsid w:val="001927A0"/>
    <w:rsid w:val="001A04FC"/>
    <w:rsid w:val="001A310F"/>
    <w:rsid w:val="001C492B"/>
    <w:rsid w:val="001C79F4"/>
    <w:rsid w:val="001D142C"/>
    <w:rsid w:val="001D5C30"/>
    <w:rsid w:val="001E2284"/>
    <w:rsid w:val="001E2B74"/>
    <w:rsid w:val="001E59A4"/>
    <w:rsid w:val="001F2B5A"/>
    <w:rsid w:val="00212DA9"/>
    <w:rsid w:val="0021346B"/>
    <w:rsid w:val="00221420"/>
    <w:rsid w:val="00223A1F"/>
    <w:rsid w:val="00224411"/>
    <w:rsid w:val="00233153"/>
    <w:rsid w:val="00237471"/>
    <w:rsid w:val="0024732F"/>
    <w:rsid w:val="002508DD"/>
    <w:rsid w:val="00254C78"/>
    <w:rsid w:val="002604ED"/>
    <w:rsid w:val="002708B4"/>
    <w:rsid w:val="00271557"/>
    <w:rsid w:val="00271B8A"/>
    <w:rsid w:val="00272183"/>
    <w:rsid w:val="00272AC7"/>
    <w:rsid w:val="002763AD"/>
    <w:rsid w:val="00281685"/>
    <w:rsid w:val="00281884"/>
    <w:rsid w:val="00284F4F"/>
    <w:rsid w:val="00291E67"/>
    <w:rsid w:val="002A39D1"/>
    <w:rsid w:val="002B7919"/>
    <w:rsid w:val="002C1937"/>
    <w:rsid w:val="002E0125"/>
    <w:rsid w:val="002E0AC7"/>
    <w:rsid w:val="002E0B21"/>
    <w:rsid w:val="002E2C3D"/>
    <w:rsid w:val="002E2ECD"/>
    <w:rsid w:val="002E7EBC"/>
    <w:rsid w:val="002F1487"/>
    <w:rsid w:val="002F58A5"/>
    <w:rsid w:val="00310C6E"/>
    <w:rsid w:val="003119C6"/>
    <w:rsid w:val="0031212A"/>
    <w:rsid w:val="0032654C"/>
    <w:rsid w:val="00347335"/>
    <w:rsid w:val="0035523C"/>
    <w:rsid w:val="003573CF"/>
    <w:rsid w:val="003607A9"/>
    <w:rsid w:val="003613AC"/>
    <w:rsid w:val="0036259D"/>
    <w:rsid w:val="00396170"/>
    <w:rsid w:val="003A7B97"/>
    <w:rsid w:val="003B6499"/>
    <w:rsid w:val="003C6C10"/>
    <w:rsid w:val="003D5FED"/>
    <w:rsid w:val="003D66E3"/>
    <w:rsid w:val="003E083F"/>
    <w:rsid w:val="003E2971"/>
    <w:rsid w:val="003F4884"/>
    <w:rsid w:val="003F5459"/>
    <w:rsid w:val="00405510"/>
    <w:rsid w:val="004131AB"/>
    <w:rsid w:val="00415355"/>
    <w:rsid w:val="004318DA"/>
    <w:rsid w:val="0044047C"/>
    <w:rsid w:val="004439E2"/>
    <w:rsid w:val="00444D5F"/>
    <w:rsid w:val="00451634"/>
    <w:rsid w:val="00452332"/>
    <w:rsid w:val="004600FD"/>
    <w:rsid w:val="0046562E"/>
    <w:rsid w:val="004709D2"/>
    <w:rsid w:val="0047253E"/>
    <w:rsid w:val="0047318B"/>
    <w:rsid w:val="00487D62"/>
    <w:rsid w:val="00497794"/>
    <w:rsid w:val="004A23F7"/>
    <w:rsid w:val="004A2936"/>
    <w:rsid w:val="004A7D68"/>
    <w:rsid w:val="004B3ED8"/>
    <w:rsid w:val="004B48BB"/>
    <w:rsid w:val="004C1C23"/>
    <w:rsid w:val="004D06F9"/>
    <w:rsid w:val="004D3C6B"/>
    <w:rsid w:val="004D4A04"/>
    <w:rsid w:val="004D5A5D"/>
    <w:rsid w:val="004D763D"/>
    <w:rsid w:val="004E3940"/>
    <w:rsid w:val="004E4AEF"/>
    <w:rsid w:val="004E79F4"/>
    <w:rsid w:val="004F3ED1"/>
    <w:rsid w:val="0050444B"/>
    <w:rsid w:val="00505E2C"/>
    <w:rsid w:val="0051050C"/>
    <w:rsid w:val="00533F7E"/>
    <w:rsid w:val="00536101"/>
    <w:rsid w:val="00536205"/>
    <w:rsid w:val="00537286"/>
    <w:rsid w:val="005432FE"/>
    <w:rsid w:val="0054476B"/>
    <w:rsid w:val="00547F85"/>
    <w:rsid w:val="005500D6"/>
    <w:rsid w:val="005502D1"/>
    <w:rsid w:val="0055095A"/>
    <w:rsid w:val="005623FA"/>
    <w:rsid w:val="005659B3"/>
    <w:rsid w:val="0056738B"/>
    <w:rsid w:val="00567EF0"/>
    <w:rsid w:val="005736E1"/>
    <w:rsid w:val="00581FF2"/>
    <w:rsid w:val="005920FE"/>
    <w:rsid w:val="005937AA"/>
    <w:rsid w:val="005951DC"/>
    <w:rsid w:val="005A33C5"/>
    <w:rsid w:val="005A601A"/>
    <w:rsid w:val="005B52B6"/>
    <w:rsid w:val="005C46A0"/>
    <w:rsid w:val="005D7FBD"/>
    <w:rsid w:val="005E702B"/>
    <w:rsid w:val="005F67E4"/>
    <w:rsid w:val="006004B5"/>
    <w:rsid w:val="0060125A"/>
    <w:rsid w:val="006053A1"/>
    <w:rsid w:val="006149F0"/>
    <w:rsid w:val="00616BBF"/>
    <w:rsid w:val="00617539"/>
    <w:rsid w:val="00620C58"/>
    <w:rsid w:val="00621FF1"/>
    <w:rsid w:val="0062531B"/>
    <w:rsid w:val="00630E1E"/>
    <w:rsid w:val="0063130C"/>
    <w:rsid w:val="00632138"/>
    <w:rsid w:val="00640F05"/>
    <w:rsid w:val="00641977"/>
    <w:rsid w:val="00641A0C"/>
    <w:rsid w:val="006513BD"/>
    <w:rsid w:val="00655870"/>
    <w:rsid w:val="00665450"/>
    <w:rsid w:val="00673510"/>
    <w:rsid w:val="006741D3"/>
    <w:rsid w:val="006807E1"/>
    <w:rsid w:val="00681FAA"/>
    <w:rsid w:val="006853DE"/>
    <w:rsid w:val="00696994"/>
    <w:rsid w:val="00696FF8"/>
    <w:rsid w:val="006A2B2C"/>
    <w:rsid w:val="006A604D"/>
    <w:rsid w:val="006D4D73"/>
    <w:rsid w:val="006D7ACE"/>
    <w:rsid w:val="006E4C45"/>
    <w:rsid w:val="006E777E"/>
    <w:rsid w:val="007003DB"/>
    <w:rsid w:val="00705A02"/>
    <w:rsid w:val="00711C09"/>
    <w:rsid w:val="00720FAA"/>
    <w:rsid w:val="00725BA9"/>
    <w:rsid w:val="007320DF"/>
    <w:rsid w:val="007342DB"/>
    <w:rsid w:val="007458C3"/>
    <w:rsid w:val="00750D11"/>
    <w:rsid w:val="00781F23"/>
    <w:rsid w:val="00784B74"/>
    <w:rsid w:val="007A2705"/>
    <w:rsid w:val="007A4291"/>
    <w:rsid w:val="007A4D7A"/>
    <w:rsid w:val="007B1C99"/>
    <w:rsid w:val="007B58C6"/>
    <w:rsid w:val="007B6A4B"/>
    <w:rsid w:val="007B7B19"/>
    <w:rsid w:val="007C1F12"/>
    <w:rsid w:val="007C7F61"/>
    <w:rsid w:val="007D0A84"/>
    <w:rsid w:val="007D1685"/>
    <w:rsid w:val="007D4A2C"/>
    <w:rsid w:val="007E153D"/>
    <w:rsid w:val="007E25D8"/>
    <w:rsid w:val="007F50F4"/>
    <w:rsid w:val="00802BF4"/>
    <w:rsid w:val="0082160B"/>
    <w:rsid w:val="00826CC7"/>
    <w:rsid w:val="00830EEF"/>
    <w:rsid w:val="00835875"/>
    <w:rsid w:val="00840E59"/>
    <w:rsid w:val="0084198D"/>
    <w:rsid w:val="00846E9B"/>
    <w:rsid w:val="00847452"/>
    <w:rsid w:val="00847A4C"/>
    <w:rsid w:val="008540BD"/>
    <w:rsid w:val="008557A9"/>
    <w:rsid w:val="00856905"/>
    <w:rsid w:val="00856BE9"/>
    <w:rsid w:val="00857A0D"/>
    <w:rsid w:val="008759CF"/>
    <w:rsid w:val="00876262"/>
    <w:rsid w:val="008766F2"/>
    <w:rsid w:val="00876910"/>
    <w:rsid w:val="00876D93"/>
    <w:rsid w:val="00884796"/>
    <w:rsid w:val="00886518"/>
    <w:rsid w:val="00887D93"/>
    <w:rsid w:val="008910D7"/>
    <w:rsid w:val="00892130"/>
    <w:rsid w:val="008923BB"/>
    <w:rsid w:val="0089683F"/>
    <w:rsid w:val="008A1D11"/>
    <w:rsid w:val="008B3ACC"/>
    <w:rsid w:val="008B6C1D"/>
    <w:rsid w:val="008C0DC4"/>
    <w:rsid w:val="008D1D6C"/>
    <w:rsid w:val="008D28C0"/>
    <w:rsid w:val="008D2A25"/>
    <w:rsid w:val="008D651D"/>
    <w:rsid w:val="008D6D13"/>
    <w:rsid w:val="008E0217"/>
    <w:rsid w:val="008E5FCA"/>
    <w:rsid w:val="008F0908"/>
    <w:rsid w:val="008F5F2F"/>
    <w:rsid w:val="008F68DE"/>
    <w:rsid w:val="00902A8F"/>
    <w:rsid w:val="00905087"/>
    <w:rsid w:val="0091668F"/>
    <w:rsid w:val="00926384"/>
    <w:rsid w:val="009276AA"/>
    <w:rsid w:val="00933A34"/>
    <w:rsid w:val="00936CC0"/>
    <w:rsid w:val="00945336"/>
    <w:rsid w:val="00946A92"/>
    <w:rsid w:val="009549D9"/>
    <w:rsid w:val="009553C4"/>
    <w:rsid w:val="00960D12"/>
    <w:rsid w:val="009650E8"/>
    <w:rsid w:val="0096586B"/>
    <w:rsid w:val="00966E68"/>
    <w:rsid w:val="00972BF3"/>
    <w:rsid w:val="0097507B"/>
    <w:rsid w:val="00984493"/>
    <w:rsid w:val="00992BD4"/>
    <w:rsid w:val="00995238"/>
    <w:rsid w:val="009B3ECC"/>
    <w:rsid w:val="009C3640"/>
    <w:rsid w:val="009C4AD6"/>
    <w:rsid w:val="009C728D"/>
    <w:rsid w:val="009D1309"/>
    <w:rsid w:val="009F1B83"/>
    <w:rsid w:val="009F58FC"/>
    <w:rsid w:val="00A05F1B"/>
    <w:rsid w:val="00A126BF"/>
    <w:rsid w:val="00A14102"/>
    <w:rsid w:val="00A17C2D"/>
    <w:rsid w:val="00A21F1F"/>
    <w:rsid w:val="00A252FD"/>
    <w:rsid w:val="00A25670"/>
    <w:rsid w:val="00A340EB"/>
    <w:rsid w:val="00A57658"/>
    <w:rsid w:val="00A709D0"/>
    <w:rsid w:val="00A72207"/>
    <w:rsid w:val="00A72F4A"/>
    <w:rsid w:val="00A75F12"/>
    <w:rsid w:val="00A76D60"/>
    <w:rsid w:val="00A80DB1"/>
    <w:rsid w:val="00A84322"/>
    <w:rsid w:val="00A97F5A"/>
    <w:rsid w:val="00AA69D3"/>
    <w:rsid w:val="00AB5FF7"/>
    <w:rsid w:val="00AB7890"/>
    <w:rsid w:val="00AC1C20"/>
    <w:rsid w:val="00AC46E2"/>
    <w:rsid w:val="00AC7B9C"/>
    <w:rsid w:val="00AD6C5C"/>
    <w:rsid w:val="00AE1AAD"/>
    <w:rsid w:val="00AF13A9"/>
    <w:rsid w:val="00AF1543"/>
    <w:rsid w:val="00AF28C2"/>
    <w:rsid w:val="00AF5AA2"/>
    <w:rsid w:val="00B00577"/>
    <w:rsid w:val="00B02E1F"/>
    <w:rsid w:val="00B047C7"/>
    <w:rsid w:val="00B04E30"/>
    <w:rsid w:val="00B07BD6"/>
    <w:rsid w:val="00B144B4"/>
    <w:rsid w:val="00B20E73"/>
    <w:rsid w:val="00B23D5A"/>
    <w:rsid w:val="00B407C8"/>
    <w:rsid w:val="00B43C1D"/>
    <w:rsid w:val="00B44E7F"/>
    <w:rsid w:val="00B45F33"/>
    <w:rsid w:val="00B462D8"/>
    <w:rsid w:val="00B51A83"/>
    <w:rsid w:val="00B54EF8"/>
    <w:rsid w:val="00B81F05"/>
    <w:rsid w:val="00B82A10"/>
    <w:rsid w:val="00B84864"/>
    <w:rsid w:val="00BB70ED"/>
    <w:rsid w:val="00BD02FD"/>
    <w:rsid w:val="00BD7242"/>
    <w:rsid w:val="00BE10A6"/>
    <w:rsid w:val="00BE143A"/>
    <w:rsid w:val="00BE26FF"/>
    <w:rsid w:val="00BE289E"/>
    <w:rsid w:val="00BE62DD"/>
    <w:rsid w:val="00BF47C2"/>
    <w:rsid w:val="00BF5C5C"/>
    <w:rsid w:val="00BF7140"/>
    <w:rsid w:val="00BF73A0"/>
    <w:rsid w:val="00C04C1D"/>
    <w:rsid w:val="00C06D31"/>
    <w:rsid w:val="00C129EF"/>
    <w:rsid w:val="00C24643"/>
    <w:rsid w:val="00C34230"/>
    <w:rsid w:val="00C43E05"/>
    <w:rsid w:val="00C47367"/>
    <w:rsid w:val="00C50CBB"/>
    <w:rsid w:val="00C51C76"/>
    <w:rsid w:val="00C54CF0"/>
    <w:rsid w:val="00C5617B"/>
    <w:rsid w:val="00C62AA8"/>
    <w:rsid w:val="00C676DF"/>
    <w:rsid w:val="00C67B0D"/>
    <w:rsid w:val="00C74EAA"/>
    <w:rsid w:val="00C83D9F"/>
    <w:rsid w:val="00C84625"/>
    <w:rsid w:val="00C93E80"/>
    <w:rsid w:val="00C9517C"/>
    <w:rsid w:val="00CA0A5A"/>
    <w:rsid w:val="00CA2A10"/>
    <w:rsid w:val="00CA531E"/>
    <w:rsid w:val="00CA5855"/>
    <w:rsid w:val="00CB6903"/>
    <w:rsid w:val="00CB7CEF"/>
    <w:rsid w:val="00CC4DFC"/>
    <w:rsid w:val="00CC6AF0"/>
    <w:rsid w:val="00CD0F64"/>
    <w:rsid w:val="00CD4C85"/>
    <w:rsid w:val="00CD5927"/>
    <w:rsid w:val="00CF5F2D"/>
    <w:rsid w:val="00D02766"/>
    <w:rsid w:val="00D35744"/>
    <w:rsid w:val="00D457A3"/>
    <w:rsid w:val="00D46D85"/>
    <w:rsid w:val="00D51216"/>
    <w:rsid w:val="00D531C6"/>
    <w:rsid w:val="00D55DE2"/>
    <w:rsid w:val="00D63B63"/>
    <w:rsid w:val="00D73DD9"/>
    <w:rsid w:val="00D73FF0"/>
    <w:rsid w:val="00D740BE"/>
    <w:rsid w:val="00D77805"/>
    <w:rsid w:val="00D8217B"/>
    <w:rsid w:val="00D82DEB"/>
    <w:rsid w:val="00D82EEB"/>
    <w:rsid w:val="00D86685"/>
    <w:rsid w:val="00D9403E"/>
    <w:rsid w:val="00D97753"/>
    <w:rsid w:val="00DA1D1D"/>
    <w:rsid w:val="00DA3E96"/>
    <w:rsid w:val="00DC3C86"/>
    <w:rsid w:val="00DD54D9"/>
    <w:rsid w:val="00DD56FD"/>
    <w:rsid w:val="00DE709B"/>
    <w:rsid w:val="00E017E2"/>
    <w:rsid w:val="00E04336"/>
    <w:rsid w:val="00E0641D"/>
    <w:rsid w:val="00E10854"/>
    <w:rsid w:val="00E16541"/>
    <w:rsid w:val="00E237C1"/>
    <w:rsid w:val="00E35CAC"/>
    <w:rsid w:val="00E42D5D"/>
    <w:rsid w:val="00E466CA"/>
    <w:rsid w:val="00E5730E"/>
    <w:rsid w:val="00E57FF5"/>
    <w:rsid w:val="00E66A83"/>
    <w:rsid w:val="00E66B0F"/>
    <w:rsid w:val="00E70C51"/>
    <w:rsid w:val="00EA6AD7"/>
    <w:rsid w:val="00EB5321"/>
    <w:rsid w:val="00EB707C"/>
    <w:rsid w:val="00EB7E98"/>
    <w:rsid w:val="00EC20CE"/>
    <w:rsid w:val="00EC355F"/>
    <w:rsid w:val="00EE3D39"/>
    <w:rsid w:val="00EF6EA1"/>
    <w:rsid w:val="00EF7BAA"/>
    <w:rsid w:val="00F031B7"/>
    <w:rsid w:val="00F038DB"/>
    <w:rsid w:val="00F37E3D"/>
    <w:rsid w:val="00F434EE"/>
    <w:rsid w:val="00F50640"/>
    <w:rsid w:val="00F574F5"/>
    <w:rsid w:val="00F600E1"/>
    <w:rsid w:val="00F62FCF"/>
    <w:rsid w:val="00F65A75"/>
    <w:rsid w:val="00F67003"/>
    <w:rsid w:val="00F70CC2"/>
    <w:rsid w:val="00F72056"/>
    <w:rsid w:val="00F72185"/>
    <w:rsid w:val="00F73E0E"/>
    <w:rsid w:val="00F849BA"/>
    <w:rsid w:val="00F86EB8"/>
    <w:rsid w:val="00F90DC7"/>
    <w:rsid w:val="00F91F98"/>
    <w:rsid w:val="00F93CF5"/>
    <w:rsid w:val="00F955DF"/>
    <w:rsid w:val="00F965AD"/>
    <w:rsid w:val="00FC2FA5"/>
    <w:rsid w:val="00FC34B0"/>
    <w:rsid w:val="00FC7A54"/>
    <w:rsid w:val="00FD28BF"/>
    <w:rsid w:val="00FD4F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839554-BD1B-4B02-AA05-B2452A71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4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75" w:after="75"/>
      <w:ind w:firstLine="375"/>
      <w:jc w:val="both"/>
    </w:pPr>
    <w:rPr>
      <w:lang w:val="en-US"/>
    </w:rPr>
  </w:style>
  <w:style w:type="paragraph" w:styleId="BodyText">
    <w:name w:val="Body Text"/>
    <w:basedOn w:val="Normal"/>
    <w:semiHidden/>
    <w:pPr>
      <w:jc w:val="center"/>
    </w:pPr>
    <w:rPr>
      <w:b/>
      <w:bCs/>
      <w:sz w:val="28"/>
      <w:szCs w:val="28"/>
    </w:rPr>
  </w:style>
  <w:style w:type="paragraph" w:styleId="BodyTextIndent">
    <w:name w:val="Body Text Indent"/>
    <w:basedOn w:val="Normal"/>
    <w:semiHidden/>
    <w:pPr>
      <w:spacing w:after="120"/>
      <w:jc w:val="both"/>
    </w:pPr>
    <w:rPr>
      <w:b/>
      <w:bCs/>
    </w:rPr>
  </w:style>
  <w:style w:type="paragraph" w:styleId="NormalWeb">
    <w:name w:val="Normal (Web)"/>
    <w:basedOn w:val="Normal"/>
    <w:pPr>
      <w:spacing w:before="100" w:beforeAutospacing="1" w:after="100" w:afterAutospacing="1"/>
    </w:pPr>
    <w:rPr>
      <w:lang w:val="en-US"/>
    </w:rPr>
  </w:style>
  <w:style w:type="character" w:styleId="PageNumber">
    <w:name w:val="page number"/>
    <w:basedOn w:val="DefaultParagraphFont"/>
    <w:rPr>
      <w:rFonts w:ascii="Times New Roman" w:hAnsi="Times New Roman" w:cs="Times New Roman"/>
    </w:rPr>
  </w:style>
  <w:style w:type="paragraph" w:styleId="Header">
    <w:name w:val="header"/>
    <w:basedOn w:val="Normal"/>
    <w:uiPriority w:val="99"/>
    <w:pPr>
      <w:tabs>
        <w:tab w:val="center" w:pos="4153"/>
        <w:tab w:val="right" w:pos="8306"/>
      </w:tabs>
    </w:pPr>
  </w:style>
  <w:style w:type="paragraph" w:styleId="BodyTextIndent2">
    <w:name w:val="Body Text Indent 2"/>
    <w:basedOn w:val="Normal"/>
    <w:semiHidden/>
    <w:pPr>
      <w:spacing w:after="120"/>
      <w:ind w:firstLine="431"/>
      <w:jc w:val="both"/>
    </w:pPr>
  </w:style>
  <w:style w:type="paragraph" w:styleId="BodyTextIndent3">
    <w:name w:val="Body Text Indent 3"/>
    <w:basedOn w:val="Normal"/>
    <w:semiHidden/>
    <w:pPr>
      <w:spacing w:after="120"/>
      <w:ind w:firstLine="431"/>
      <w:jc w:val="both"/>
    </w:pPr>
    <w:rPr>
      <w:b/>
      <w:bCs/>
    </w:rPr>
  </w:style>
  <w:style w:type="paragraph" w:styleId="Footer">
    <w:name w:val="footer"/>
    <w:basedOn w:val="Normal"/>
    <w:link w:val="FooterChar"/>
    <w:pPr>
      <w:tabs>
        <w:tab w:val="center" w:pos="4153"/>
        <w:tab w:val="right" w:pos="8306"/>
      </w:tabs>
    </w:pPr>
  </w:style>
  <w:style w:type="paragraph" w:styleId="BodyText2">
    <w:name w:val="Body Text 2"/>
    <w:basedOn w:val="Normal"/>
    <w:semiHidden/>
    <w:pPr>
      <w:ind w:right="-857"/>
    </w:pPr>
    <w:rPr>
      <w:sz w:val="28"/>
      <w:szCs w:val="16"/>
    </w:rPr>
  </w:style>
  <w:style w:type="paragraph" w:styleId="BalloonText">
    <w:name w:val="Balloon Text"/>
    <w:basedOn w:val="Normal"/>
    <w:link w:val="BalloonTextChar"/>
    <w:uiPriority w:val="99"/>
    <w:semiHidden/>
    <w:unhideWhenUsed/>
    <w:rsid w:val="007A2705"/>
    <w:rPr>
      <w:rFonts w:ascii="Tahoma" w:hAnsi="Tahoma" w:cs="Tahoma"/>
      <w:sz w:val="16"/>
      <w:szCs w:val="16"/>
    </w:rPr>
  </w:style>
  <w:style w:type="character" w:customStyle="1" w:styleId="BalloonTextChar">
    <w:name w:val="Balloon Text Char"/>
    <w:basedOn w:val="DefaultParagraphFont"/>
    <w:link w:val="BalloonText"/>
    <w:uiPriority w:val="99"/>
    <w:semiHidden/>
    <w:rsid w:val="007A2705"/>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62FCF"/>
    <w:rPr>
      <w:sz w:val="16"/>
      <w:szCs w:val="16"/>
    </w:rPr>
  </w:style>
  <w:style w:type="paragraph" w:styleId="CommentText">
    <w:name w:val="annotation text"/>
    <w:basedOn w:val="Normal"/>
    <w:link w:val="CommentTextChar"/>
    <w:uiPriority w:val="99"/>
    <w:semiHidden/>
    <w:unhideWhenUsed/>
    <w:rsid w:val="00F62FCF"/>
    <w:rPr>
      <w:sz w:val="20"/>
      <w:szCs w:val="20"/>
    </w:rPr>
  </w:style>
  <w:style w:type="character" w:customStyle="1" w:styleId="CommentTextChar">
    <w:name w:val="Comment Text Char"/>
    <w:basedOn w:val="DefaultParagraphFont"/>
    <w:link w:val="CommentText"/>
    <w:uiPriority w:val="99"/>
    <w:semiHidden/>
    <w:rsid w:val="00F62FCF"/>
    <w:rPr>
      <w:lang w:val="en-GB" w:eastAsia="en-US"/>
    </w:rPr>
  </w:style>
  <w:style w:type="paragraph" w:styleId="CommentSubject">
    <w:name w:val="annotation subject"/>
    <w:basedOn w:val="CommentText"/>
    <w:next w:val="CommentText"/>
    <w:link w:val="CommentSubjectChar"/>
    <w:uiPriority w:val="99"/>
    <w:semiHidden/>
    <w:unhideWhenUsed/>
    <w:rsid w:val="00F62FCF"/>
    <w:rPr>
      <w:b/>
      <w:bCs/>
    </w:rPr>
  </w:style>
  <w:style w:type="character" w:customStyle="1" w:styleId="CommentSubjectChar">
    <w:name w:val="Comment Subject Char"/>
    <w:basedOn w:val="CommentTextChar"/>
    <w:link w:val="CommentSubject"/>
    <w:uiPriority w:val="99"/>
    <w:semiHidden/>
    <w:rsid w:val="00F62FCF"/>
    <w:rPr>
      <w:b/>
      <w:bCs/>
      <w:lang w:val="en-GB" w:eastAsia="en-US"/>
    </w:rPr>
  </w:style>
  <w:style w:type="paragraph" w:styleId="ListParagraph">
    <w:name w:val="List Paragraph"/>
    <w:basedOn w:val="Normal"/>
    <w:uiPriority w:val="34"/>
    <w:qFormat/>
    <w:rsid w:val="0021346B"/>
    <w:pPr>
      <w:ind w:left="720"/>
      <w:contextualSpacing/>
    </w:pPr>
  </w:style>
  <w:style w:type="paragraph" w:customStyle="1" w:styleId="naisnod">
    <w:name w:val="naisnod"/>
    <w:basedOn w:val="Normal"/>
    <w:rsid w:val="00992BD4"/>
    <w:pPr>
      <w:spacing w:before="150" w:after="150"/>
      <w:jc w:val="center"/>
    </w:pPr>
    <w:rPr>
      <w:b/>
      <w:bCs/>
      <w:lang w:eastAsia="lv-LV"/>
    </w:rPr>
  </w:style>
  <w:style w:type="paragraph" w:customStyle="1" w:styleId="labojumupamats">
    <w:name w:val="labojumu_pamats"/>
    <w:basedOn w:val="Normal"/>
    <w:rsid w:val="00224411"/>
    <w:pPr>
      <w:spacing w:before="100" w:beforeAutospacing="1" w:after="100" w:afterAutospacing="1"/>
    </w:pPr>
    <w:rPr>
      <w:lang w:eastAsia="lv-LV"/>
    </w:rPr>
  </w:style>
  <w:style w:type="character" w:styleId="Hyperlink">
    <w:name w:val="Hyperlink"/>
    <w:basedOn w:val="DefaultParagraphFont"/>
    <w:uiPriority w:val="99"/>
    <w:unhideWhenUsed/>
    <w:rsid w:val="00224411"/>
    <w:rPr>
      <w:color w:val="0000FF"/>
      <w:u w:val="single"/>
    </w:rPr>
  </w:style>
  <w:style w:type="paragraph" w:customStyle="1" w:styleId="tvhtml">
    <w:name w:val="tv_html"/>
    <w:basedOn w:val="Normal"/>
    <w:rsid w:val="00224411"/>
    <w:pPr>
      <w:spacing w:before="100" w:beforeAutospacing="1" w:after="100" w:afterAutospacing="1"/>
    </w:pPr>
    <w:rPr>
      <w:lang w:eastAsia="lv-LV"/>
    </w:rPr>
  </w:style>
  <w:style w:type="paragraph" w:customStyle="1" w:styleId="Datums">
    <w:name w:val="Datums"/>
    <w:basedOn w:val="Normal"/>
    <w:next w:val="Normal"/>
    <w:rsid w:val="00E5730E"/>
    <w:pPr>
      <w:spacing w:before="1700"/>
    </w:pPr>
    <w:rPr>
      <w:szCs w:val="20"/>
      <w:lang w:val="en-US"/>
    </w:rPr>
  </w:style>
  <w:style w:type="character" w:customStyle="1" w:styleId="FooterChar">
    <w:name w:val="Footer Char"/>
    <w:basedOn w:val="DefaultParagraphFont"/>
    <w:link w:val="Footer"/>
    <w:rsid w:val="00D82DEB"/>
    <w:rPr>
      <w:sz w:val="24"/>
      <w:szCs w:val="24"/>
      <w:lang w:eastAsia="en-US"/>
    </w:rPr>
  </w:style>
  <w:style w:type="paragraph" w:customStyle="1" w:styleId="naiskr">
    <w:name w:val="naiskr"/>
    <w:basedOn w:val="Normal"/>
    <w:rsid w:val="00F72185"/>
    <w:pPr>
      <w:spacing w:before="75" w:after="75"/>
    </w:pPr>
    <w:rPr>
      <w:lang w:eastAsia="lv-LV"/>
    </w:rPr>
  </w:style>
  <w:style w:type="character" w:customStyle="1" w:styleId="apple-converted-space">
    <w:name w:val="apple-converted-space"/>
    <w:basedOn w:val="DefaultParagraphFont"/>
    <w:rsid w:val="00487D62"/>
  </w:style>
  <w:style w:type="paragraph" w:styleId="FootnoteText">
    <w:name w:val="footnote text"/>
    <w:basedOn w:val="Normal"/>
    <w:link w:val="FootnoteTextChar"/>
    <w:uiPriority w:val="99"/>
    <w:unhideWhenUsed/>
    <w:rsid w:val="00BE26FF"/>
    <w:rPr>
      <w:sz w:val="20"/>
      <w:szCs w:val="20"/>
    </w:rPr>
  </w:style>
  <w:style w:type="character" w:customStyle="1" w:styleId="FootnoteTextChar">
    <w:name w:val="Footnote Text Char"/>
    <w:basedOn w:val="DefaultParagraphFont"/>
    <w:link w:val="FootnoteText"/>
    <w:uiPriority w:val="99"/>
    <w:rsid w:val="00BE26FF"/>
    <w:rPr>
      <w:lang w:eastAsia="en-US"/>
    </w:rPr>
  </w:style>
  <w:style w:type="character" w:styleId="FootnoteReference">
    <w:name w:val="footnote reference"/>
    <w:basedOn w:val="DefaultParagraphFont"/>
    <w:uiPriority w:val="99"/>
    <w:semiHidden/>
    <w:unhideWhenUsed/>
    <w:rsid w:val="00BE26FF"/>
    <w:rPr>
      <w:vertAlign w:val="superscript"/>
    </w:rPr>
  </w:style>
  <w:style w:type="paragraph" w:customStyle="1" w:styleId="doc-ti">
    <w:name w:val="doc-ti"/>
    <w:basedOn w:val="Normal"/>
    <w:rsid w:val="00E66A83"/>
    <w:pPr>
      <w:spacing w:before="100" w:beforeAutospacing="1" w:after="100" w:afterAutospacing="1"/>
    </w:pPr>
    <w:rPr>
      <w:lang w:eastAsia="lv-LV"/>
    </w:rPr>
  </w:style>
  <w:style w:type="paragraph" w:customStyle="1" w:styleId="Default">
    <w:name w:val="Default"/>
    <w:rsid w:val="00C9517C"/>
    <w:pPr>
      <w:autoSpaceDE w:val="0"/>
      <w:autoSpaceDN w:val="0"/>
      <w:adjustRightInd w:val="0"/>
    </w:pPr>
    <w:rPr>
      <w:rFonts w:eastAsiaTheme="minorHAnsi"/>
      <w:color w:val="000000"/>
      <w:sz w:val="24"/>
      <w:szCs w:val="24"/>
      <w:lang w:eastAsia="en-US"/>
    </w:rPr>
  </w:style>
  <w:style w:type="paragraph" w:customStyle="1" w:styleId="Nobeigums">
    <w:name w:val="Nobeigums"/>
    <w:basedOn w:val="Normal"/>
    <w:rsid w:val="00C9517C"/>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11444">
      <w:bodyDiv w:val="1"/>
      <w:marLeft w:val="0"/>
      <w:marRight w:val="0"/>
      <w:marTop w:val="0"/>
      <w:marBottom w:val="0"/>
      <w:divBdr>
        <w:top w:val="none" w:sz="0" w:space="0" w:color="auto"/>
        <w:left w:val="none" w:sz="0" w:space="0" w:color="auto"/>
        <w:bottom w:val="none" w:sz="0" w:space="0" w:color="auto"/>
        <w:right w:val="none" w:sz="0" w:space="0" w:color="auto"/>
      </w:divBdr>
    </w:div>
    <w:div w:id="619841857">
      <w:bodyDiv w:val="1"/>
      <w:marLeft w:val="0"/>
      <w:marRight w:val="0"/>
      <w:marTop w:val="0"/>
      <w:marBottom w:val="0"/>
      <w:divBdr>
        <w:top w:val="none" w:sz="0" w:space="0" w:color="auto"/>
        <w:left w:val="none" w:sz="0" w:space="0" w:color="auto"/>
        <w:bottom w:val="none" w:sz="0" w:space="0" w:color="auto"/>
        <w:right w:val="none" w:sz="0" w:space="0" w:color="auto"/>
      </w:divBdr>
      <w:divsChild>
        <w:div w:id="707488906">
          <w:marLeft w:val="0"/>
          <w:marRight w:val="0"/>
          <w:marTop w:val="0"/>
          <w:marBottom w:val="0"/>
          <w:divBdr>
            <w:top w:val="none" w:sz="0" w:space="0" w:color="auto"/>
            <w:left w:val="none" w:sz="0" w:space="0" w:color="auto"/>
            <w:bottom w:val="none" w:sz="0" w:space="0" w:color="auto"/>
            <w:right w:val="none" w:sz="0" w:space="0" w:color="auto"/>
          </w:divBdr>
        </w:div>
        <w:div w:id="158540263">
          <w:marLeft w:val="0"/>
          <w:marRight w:val="0"/>
          <w:marTop w:val="0"/>
          <w:marBottom w:val="0"/>
          <w:divBdr>
            <w:top w:val="none" w:sz="0" w:space="0" w:color="auto"/>
            <w:left w:val="none" w:sz="0" w:space="0" w:color="auto"/>
            <w:bottom w:val="none" w:sz="0" w:space="0" w:color="auto"/>
            <w:right w:val="none" w:sz="0" w:space="0" w:color="auto"/>
          </w:divBdr>
        </w:div>
      </w:divsChild>
    </w:div>
    <w:div w:id="196935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Berrone@fktk.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26303-C6CB-4D9E-8F8F-8F702E8B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2415</Words>
  <Characters>17257</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FMAnot_190716_SRM; Likumprojekta "Grozījumi Kredītiestāžu un ieguldījumu brokeru sabiedrību darbības atjaunošanas un noregulējuma likumā" sākotnējās ietekmes novērtējuma ziņojums (anotācija)</vt:lpstr>
    </vt:vector>
  </TitlesOfParts>
  <Manager>Valsts kases Pārskatu departamenta direktore Ligita Agleniece</Manager>
  <Company>Valsts kase</Company>
  <LinksUpToDate>false</LinksUpToDate>
  <CharactersWithSpaces>19633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FMAnot_180816_SRM; Likumprojekta "Grozījumi Kredītiestāžu un ieguldījumu brokeru sabiedrību darbības atjaunošanas un noregulējuma likumā" sākotnējās ietekmes novērtējuma ziņojums (anotācija)</dc:title>
  <dc:subject>Anotācija</dc:subject>
  <dc:creator>dina.buse@fm.gov.lv</dc:creator>
  <dc:description>Dina Buse
Finanšu ministrijas 
Finanšu tirgus politikas departamenta finanšu sektora pārvaldības nodaļas vadītāja vietniece
t.67095535
e- pasts: Dina.Buse@fm.gov.lv</dc:description>
  <cp:lastModifiedBy>Dina Buse</cp:lastModifiedBy>
  <cp:revision>4</cp:revision>
  <cp:lastPrinted>2013-06-06T06:25:00Z</cp:lastPrinted>
  <dcterms:created xsi:type="dcterms:W3CDTF">2016-07-19T09:08:00Z</dcterms:created>
  <dcterms:modified xsi:type="dcterms:W3CDTF">2016-08-18T16:02:00Z</dcterms:modified>
</cp:coreProperties>
</file>