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3" w:rsidRPr="004E53A3" w:rsidRDefault="004E53A3" w:rsidP="004E53A3">
      <w:pPr>
        <w:suppressAutoHyphens w:val="0"/>
        <w:spacing w:after="0" w:line="240" w:lineRule="auto"/>
        <w:jc w:val="center"/>
        <w:outlineLvl w:val="0"/>
        <w:rPr>
          <w:rFonts w:ascii="Times New Roman" w:eastAsia="Times New Roman" w:hAnsi="Times New Roman"/>
          <w:b/>
          <w:sz w:val="26"/>
          <w:szCs w:val="26"/>
          <w:lang w:eastAsia="lv-LV"/>
        </w:rPr>
      </w:pPr>
      <w:bookmarkStart w:id="0" w:name="_GoBack"/>
      <w:bookmarkEnd w:id="0"/>
      <w:r w:rsidRPr="004E53A3">
        <w:rPr>
          <w:rFonts w:ascii="Times New Roman" w:eastAsia="Times New Roman" w:hAnsi="Times New Roman"/>
          <w:b/>
          <w:sz w:val="26"/>
          <w:szCs w:val="26"/>
          <w:lang w:eastAsia="lv-LV"/>
        </w:rPr>
        <w:t>Ministru kabineta noteikumu projekta</w:t>
      </w:r>
    </w:p>
    <w:p w:rsidR="004E53A3" w:rsidRPr="004E53A3" w:rsidRDefault="004E53A3" w:rsidP="004E53A3">
      <w:pPr>
        <w:suppressAutoHyphens w:val="0"/>
        <w:spacing w:after="0" w:line="240" w:lineRule="auto"/>
        <w:jc w:val="center"/>
        <w:rPr>
          <w:rFonts w:ascii="Times New Roman" w:eastAsia="Times New Roman" w:hAnsi="Times New Roman"/>
          <w:b/>
          <w:sz w:val="26"/>
          <w:szCs w:val="26"/>
          <w:lang w:eastAsia="lv-LV"/>
        </w:rPr>
      </w:pPr>
      <w:r w:rsidRPr="004E53A3">
        <w:rPr>
          <w:rFonts w:ascii="Times New Roman" w:eastAsia="Times New Roman" w:hAnsi="Times New Roman"/>
          <w:b/>
          <w:sz w:val="26"/>
          <w:szCs w:val="26"/>
          <w:lang w:eastAsia="lv-LV"/>
        </w:rPr>
        <w:t xml:space="preserve">"Grozījumi Ministru kabineta 2012. gada 11. decembra noteikumos </w:t>
      </w:r>
      <w:proofErr w:type="spellStart"/>
      <w:r w:rsidRPr="004E53A3">
        <w:rPr>
          <w:rFonts w:ascii="Times New Roman" w:eastAsia="Times New Roman" w:hAnsi="Times New Roman"/>
          <w:b/>
          <w:sz w:val="26"/>
          <w:szCs w:val="26"/>
          <w:lang w:eastAsia="lv-LV"/>
        </w:rPr>
        <w:t>Nr</w:t>
      </w:r>
      <w:proofErr w:type="spellEnd"/>
      <w:r w:rsidRPr="004E53A3">
        <w:rPr>
          <w:rFonts w:ascii="Times New Roman" w:eastAsia="Times New Roman" w:hAnsi="Times New Roman"/>
          <w:b/>
          <w:sz w:val="26"/>
          <w:szCs w:val="26"/>
          <w:lang w:eastAsia="lv-LV"/>
        </w:rPr>
        <w:t>. 839 "Nodrošinājuma valsts aģentūras nolikums"" sākotnējās ietekmes novērtējuma ziņojums (anotācija)</w:t>
      </w:r>
    </w:p>
    <w:p w:rsidR="00227763" w:rsidRDefault="00227763">
      <w:pPr>
        <w:spacing w:after="0" w:line="240" w:lineRule="auto"/>
        <w:ind w:firstLine="300"/>
        <w:jc w:val="both"/>
        <w:rPr>
          <w:rFonts w:ascii="Times New Roman" w:eastAsia="Times New Roman" w:hAnsi="Times New Roman"/>
          <w:bCs/>
          <w:sz w:val="26"/>
          <w:szCs w:val="26"/>
          <w:lang w:eastAsia="lv-LV"/>
        </w:rPr>
      </w:pPr>
    </w:p>
    <w:tbl>
      <w:tblPr>
        <w:tblW w:w="9161" w:type="dxa"/>
        <w:tblInd w:w="-14" w:type="dxa"/>
        <w:tblLayout w:type="fixed"/>
        <w:tblCellMar>
          <w:top w:w="30" w:type="dxa"/>
          <w:left w:w="30" w:type="dxa"/>
          <w:bottom w:w="30" w:type="dxa"/>
          <w:right w:w="30" w:type="dxa"/>
        </w:tblCellMar>
        <w:tblLook w:val="0000" w:firstRow="0" w:lastRow="0" w:firstColumn="0" w:lastColumn="0" w:noHBand="0" w:noVBand="0"/>
      </w:tblPr>
      <w:tblGrid>
        <w:gridCol w:w="456"/>
        <w:gridCol w:w="2831"/>
        <w:gridCol w:w="5874"/>
      </w:tblGrid>
      <w:tr w:rsidR="00227763" w:rsidRPr="00EF1510">
        <w:trPr>
          <w:trHeight w:val="405"/>
        </w:trPr>
        <w:tc>
          <w:tcPr>
            <w:tcW w:w="916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227763" w:rsidP="001155C1">
            <w:pPr>
              <w:spacing w:after="0" w:line="240" w:lineRule="auto"/>
              <w:jc w:val="center"/>
              <w:rPr>
                <w:sz w:val="24"/>
                <w:szCs w:val="24"/>
              </w:rPr>
            </w:pPr>
            <w:r w:rsidRPr="00EF1510">
              <w:rPr>
                <w:rFonts w:ascii="Times New Roman" w:hAnsi="Times New Roman"/>
                <w:b/>
                <w:sz w:val="24"/>
                <w:szCs w:val="24"/>
                <w:lang w:eastAsia="lv-LV"/>
              </w:rPr>
              <w:t>I. Tiesību akta projekta izstrādes nepieciešamība</w:t>
            </w:r>
          </w:p>
        </w:tc>
      </w:tr>
      <w:tr w:rsidR="00227763" w:rsidRPr="00EF1510">
        <w:trPr>
          <w:trHeight w:val="40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1.</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Pamatojums</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534FC" w:rsidRPr="00B52063" w:rsidRDefault="004E53A3" w:rsidP="004E53A3">
            <w:pPr>
              <w:pStyle w:val="Bezatstarpm1"/>
              <w:ind w:firstLine="399"/>
              <w:jc w:val="both"/>
              <w:rPr>
                <w:rFonts w:ascii="Times New Roman" w:hAnsi="Times New Roman"/>
                <w:sz w:val="24"/>
                <w:szCs w:val="24"/>
              </w:rPr>
            </w:pPr>
            <w:r w:rsidRPr="004E53A3">
              <w:rPr>
                <w:rFonts w:ascii="Times New Roman" w:hAnsi="Times New Roman"/>
                <w:sz w:val="24"/>
                <w:szCs w:val="24"/>
              </w:rPr>
              <w:t>Iekšlietu ministrijas iniciatīva.</w:t>
            </w:r>
          </w:p>
        </w:tc>
      </w:tr>
      <w:tr w:rsidR="00227763" w:rsidRPr="00EF1510">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2.</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Pašreizējā situācija un problēmas, kuru risināšanai tiesību akta projekts izstrādāts, tiesiskā regulējuma mērķis un būtība</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E53A3" w:rsidRPr="004E53A3" w:rsidRDefault="004E53A3" w:rsidP="004E53A3">
            <w:pPr>
              <w:pStyle w:val="Bezatstarpm1"/>
              <w:ind w:firstLine="413"/>
              <w:jc w:val="both"/>
              <w:rPr>
                <w:rFonts w:ascii="Times New Roman" w:hAnsi="Times New Roman"/>
                <w:bCs/>
                <w:iCs/>
                <w:sz w:val="24"/>
                <w:szCs w:val="24"/>
                <w:lang w:eastAsia="en-US"/>
              </w:rPr>
            </w:pPr>
            <w:r w:rsidRPr="00D23585">
              <w:rPr>
                <w:rFonts w:ascii="Times New Roman" w:hAnsi="Times New Roman"/>
                <w:bCs/>
                <w:iCs/>
                <w:sz w:val="24"/>
                <w:szCs w:val="24"/>
                <w:lang w:eastAsia="en-US"/>
              </w:rPr>
              <w:t xml:space="preserve">Ministru kabineta </w:t>
            </w:r>
            <w:r w:rsidR="00FB6F65" w:rsidRPr="00D23585">
              <w:rPr>
                <w:rFonts w:ascii="Times New Roman" w:hAnsi="Times New Roman"/>
                <w:bCs/>
                <w:iCs/>
                <w:sz w:val="24"/>
                <w:szCs w:val="24"/>
                <w:lang w:eastAsia="en-US"/>
              </w:rPr>
              <w:t xml:space="preserve">2012. gada 11. decembra </w:t>
            </w:r>
            <w:r w:rsidRPr="00D23585">
              <w:rPr>
                <w:rFonts w:ascii="Times New Roman" w:hAnsi="Times New Roman"/>
                <w:bCs/>
                <w:iCs/>
                <w:sz w:val="24"/>
                <w:szCs w:val="24"/>
                <w:lang w:eastAsia="en-US"/>
              </w:rPr>
              <w:t>noteikumi</w:t>
            </w:r>
            <w:r w:rsidRPr="004E53A3">
              <w:rPr>
                <w:rFonts w:ascii="Times New Roman" w:hAnsi="Times New Roman"/>
                <w:bCs/>
                <w:iCs/>
                <w:sz w:val="24"/>
                <w:szCs w:val="24"/>
                <w:lang w:eastAsia="en-US"/>
              </w:rPr>
              <w:t xml:space="preserve">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839 "Nodrošinājuma valsts aģentūras nolikums" (turpmāk – Nolikums) nosaka Nodrošinājuma valsts aģentūras (turpmāk – aģentūra) funkcijas, uzdevumus un kompetenci. </w:t>
            </w:r>
          </w:p>
          <w:p w:rsidR="004E53A3" w:rsidRPr="004E53A3" w:rsidRDefault="004E53A3" w:rsidP="002416D3">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Viena no aģentūras funkcijām ir organizēt Iekšlietu ministrijas un tās padotībā esošo iestāžu būvju būvniecību. Ņemot vērā, ka Nolikums pieņemts 2012. gada 11. decembrī, bet Būvniecības likums pieņemts 2013. gada 9. jūlijā,</w:t>
            </w:r>
            <w:r w:rsidRPr="004E53A3">
              <w:rPr>
                <w:rFonts w:ascii="Times New Roman" w:hAnsi="Times New Roman"/>
                <w:bCs/>
                <w:sz w:val="24"/>
                <w:szCs w:val="24"/>
                <w:lang w:eastAsia="en-US"/>
              </w:rPr>
              <w:t xml:space="preserve"> </w:t>
            </w:r>
            <w:r w:rsidRPr="004E53A3">
              <w:rPr>
                <w:rFonts w:ascii="Times New Roman" w:hAnsi="Times New Roman"/>
                <w:bCs/>
                <w:iCs/>
                <w:sz w:val="24"/>
                <w:szCs w:val="24"/>
                <w:lang w:eastAsia="en-US"/>
              </w:rPr>
              <w:t xml:space="preserve">Nolikums satur Būvniecības likumam neatbilstošu terminoloģiju. Lai aģentūra varētu izpildīt Iekšlietu ministrijas 2015. gada 22. septembra audita ziņojuma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5-1/6-2015 "Iestāžu darbības nodrošināšanai nepieciešamo būvju būvniecība, rekonstrukcija un renovācija" 8. pielikuma "Iekšējā audita ieviešanas grafiks" 2. ieteikumu – precizēt aģentūras darbību reglamentējošos normatīvos aktus (tai skaitā nolikumu) atbilstoši Būvniecības likumā lietotajai terminoloģijai – un nodrošinātu Nolikuma atbilstību arī citiem normatīvajiem aktiem būvniecības jomā, ir nepieciešams izdarīt grozījumus Nolikumā.</w:t>
            </w:r>
            <w:r w:rsidR="002416D3">
              <w:rPr>
                <w:rFonts w:ascii="Times New Roman" w:hAnsi="Times New Roman"/>
                <w:bCs/>
                <w:iCs/>
                <w:sz w:val="24"/>
                <w:szCs w:val="24"/>
                <w:lang w:eastAsia="en-US"/>
              </w:rPr>
              <w:t xml:space="preserve"> </w:t>
            </w:r>
            <w:r w:rsidRPr="004E53A3">
              <w:rPr>
                <w:rFonts w:ascii="Times New Roman" w:hAnsi="Times New Roman"/>
                <w:bCs/>
                <w:iCs/>
                <w:sz w:val="24"/>
                <w:szCs w:val="24"/>
                <w:lang w:eastAsia="en-US"/>
              </w:rPr>
              <w:t>Saskaņā ar Būvniecības likuma 1. panta 12. punktu būvniecība ir visu veidu būvju projektēšana un būvdarbi. Atbilstoši Būvniecības likuma pārejas noteikumu 7. punktam "rekonstrukcija" pēc jaunā regulējuma ir "pārbūve", bet "renovācija" ir "atjaunošana". Tā kā pārbūve un atjaunošana saskaņā ar Būvniecības likuma 1. panta 2. punktu ir uzskatāma par būvdarbiem, tad Nolikumā nav nepieciešams aizstāt vārdus "rekonstrukcija un renovācija" ar vārdiem "pārbūve un atjaunošana", bet ir nepiecieša</w:t>
            </w:r>
            <w:r w:rsidR="006F7248">
              <w:rPr>
                <w:rFonts w:ascii="Times New Roman" w:hAnsi="Times New Roman"/>
                <w:bCs/>
                <w:iCs/>
                <w:sz w:val="24"/>
                <w:szCs w:val="24"/>
                <w:lang w:eastAsia="en-US"/>
              </w:rPr>
              <w:t>ms tos svītrot, ņemot vērā</w:t>
            </w:r>
            <w:r w:rsidRPr="004E53A3">
              <w:rPr>
                <w:rFonts w:ascii="Times New Roman" w:hAnsi="Times New Roman"/>
                <w:bCs/>
                <w:iCs/>
                <w:sz w:val="24"/>
                <w:szCs w:val="24"/>
                <w:lang w:eastAsia="en-US"/>
              </w:rPr>
              <w:t>, ka būvniecība ir plašāks jēdziens un aptver arī visa veida būvdarbus, tostarp pārbūvi un atjaunošanu.</w:t>
            </w:r>
          </w:p>
          <w:p w:rsidR="004E53A3" w:rsidRPr="004E53A3" w:rsidRDefault="004E53A3" w:rsidP="004E53A3">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 xml:space="preserve">Nolikuma 4.1.1. apakšpunkts nosaka, ka aģentūra veic iestāžu funkciju nodrošināšanai nepieciešamo būvju būvniecības ieceru izstrādi, projektēšanas tehnisko uzdevumu izstrādi un saskaņošanu, taču aģentūra ne vienmēr pati izstrādā būvniecības ieceri, bet slēdz arī līgumus par būvniecības ieceru izstrādi. Tāpat Ministru kabineta 2014. gada 19. augusta 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500 "Vispārīgie būvnoteikumi" 27. punkts nosaka, ka pasūtītājs </w:t>
            </w:r>
            <w:r w:rsidRPr="004E53A3">
              <w:rPr>
                <w:rFonts w:ascii="Times New Roman" w:hAnsi="Times New Roman"/>
                <w:bCs/>
                <w:iCs/>
                <w:sz w:val="24"/>
                <w:szCs w:val="24"/>
                <w:lang w:eastAsia="en-US"/>
              </w:rPr>
              <w:lastRenderedPageBreak/>
              <w:t>ir atbildīgs par atbilstoša projektēšanas uzdevuma izstrādi, nevis par projektēšanas tehniskā uzdevuma izstrādi. Līdz ar to Nolikuma 4.1.1. apakšpunkts ir precizējams, nosakot, ka aģentūra nodrošina iestāžu funkciju nodrošināšanai nepieciešamo būvniecības ieceru izstrādi un veic projektēšanas uzdevumu izstrādi un saskaņošanu.</w:t>
            </w:r>
          </w:p>
          <w:p w:rsidR="004E53A3" w:rsidRPr="004E53A3" w:rsidRDefault="004E53A3" w:rsidP="004E53A3">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 xml:space="preserve">Nolikuma 4.1.2. apakšpunkts nosaka, ka aģentūra organizē un nodrošina iestāžu funkciju nodrošināšanai nepieciešamo būvju būvuzraudzību un autoruzraudzību, kā arī būvju aprīkošanu tehniskā projekta ietvaros un nodošanu ekspluatācijā. Ministru kabineta 1997. gada 1. aprīļa noteikumi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112 "Vispārīgie būvnoteikumi", kas zaudēja spēku 2014. gada 1. oktobrī, paredzēja tehniskā projekta izstrādi. Spēkā esošie normatīvie akti būvniecības jomā neparedz būvprojekta izstrādi vairākās stadijās, proti, skiču stadijā vai tehniskā projekta stadijā, bet atbilstoši Ministru kabineta 2014. gada 19. augusta</w:t>
            </w:r>
            <w:r w:rsidRPr="004E53A3">
              <w:rPr>
                <w:rFonts w:ascii="Times New Roman" w:hAnsi="Times New Roman"/>
                <w:bCs/>
                <w:sz w:val="24"/>
                <w:szCs w:val="24"/>
                <w:lang w:eastAsia="en-US"/>
              </w:rPr>
              <w:t xml:space="preserve"> </w:t>
            </w:r>
            <w:r w:rsidRPr="004E53A3">
              <w:rPr>
                <w:rFonts w:ascii="Times New Roman" w:hAnsi="Times New Roman"/>
                <w:bCs/>
                <w:iCs/>
                <w:sz w:val="24"/>
                <w:szCs w:val="24"/>
                <w:lang w:eastAsia="en-US"/>
              </w:rPr>
              <w:t xml:space="preserve">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500 "Vispārīgie būvnoteikumi" 166. punktam pasūtītājam plānošanas un arhitektūras uzdevuma derīguma termiņa laikā</w:t>
            </w:r>
            <w:r w:rsidR="00302C43" w:rsidRPr="004E53A3">
              <w:rPr>
                <w:rFonts w:ascii="Times New Roman" w:hAnsi="Times New Roman"/>
                <w:bCs/>
                <w:iCs/>
                <w:sz w:val="24"/>
                <w:szCs w:val="24"/>
                <w:lang w:eastAsia="en-US"/>
              </w:rPr>
              <w:t xml:space="preserve"> ir tiesības izstrādāt skiču projektu vai tehnisko projektu</w:t>
            </w:r>
            <w:r w:rsidRPr="004E53A3">
              <w:rPr>
                <w:rFonts w:ascii="Times New Roman" w:hAnsi="Times New Roman"/>
                <w:bCs/>
                <w:iCs/>
                <w:sz w:val="24"/>
                <w:szCs w:val="24"/>
                <w:lang w:eastAsia="en-US"/>
              </w:rPr>
              <w:t>, pamatojoties uz arhitektūras un plānošanas uzdevumu, kas tika izsniegts pirms šo noteikumu spēkā stāšanās. Tā kā tehniskā projekta izstrāde ir iespējama tikai tādos būvniecības procesos, kas uzsākti pirms Būvniecības likuma, kas pieņemts 2013. gada 9. jūlijā, spēkā stāšanās,</w:t>
            </w:r>
            <w:r w:rsidR="006F7248">
              <w:rPr>
                <w:rFonts w:ascii="Times New Roman" w:hAnsi="Times New Roman"/>
                <w:bCs/>
                <w:iCs/>
                <w:sz w:val="24"/>
                <w:szCs w:val="24"/>
                <w:lang w:eastAsia="en-US"/>
              </w:rPr>
              <w:t xml:space="preserve"> tas ir, līdz 2014. gada 1. oktobrim,</w:t>
            </w:r>
            <w:r w:rsidRPr="004E53A3">
              <w:rPr>
                <w:rFonts w:ascii="Times New Roman" w:hAnsi="Times New Roman"/>
                <w:bCs/>
                <w:iCs/>
                <w:sz w:val="24"/>
                <w:szCs w:val="24"/>
                <w:lang w:eastAsia="en-US"/>
              </w:rPr>
              <w:t xml:space="preserve"> tad Nolikuma 4.1.2. apakšpunkts ir normatīvajiem aktiem būvniecības jomā neatbilstošs. Līdz ar to nepieciešams precizēt Nolikuma 4.1.2. apakšpunktu, nosakot, ka aģentūra organizē un nodrošina būvju aprīkošanu būvprojekta ietvaros.</w:t>
            </w:r>
          </w:p>
          <w:p w:rsidR="004E53A3" w:rsidRPr="004E53A3" w:rsidRDefault="004E53A3" w:rsidP="004E53A3">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Atbilstoši Nolikuma 4.2.10. apakšpunktam aģentūra veic Latvijas Republikas robežas ar Krievijas Federāciju un Baltkrievijas Republiku pierobežas ceļu un valsts robežas joslas zemes īpašumtiesību sakārtošanu. Tā kā 4.2.10. apakšpunktā norādītā uzdevuma izpildei ir nepieciešams veikt</w:t>
            </w:r>
            <w:r w:rsidR="00841E23" w:rsidRPr="00841E23">
              <w:rPr>
                <w:rFonts w:ascii="Times New Roman" w:hAnsi="Times New Roman"/>
                <w:bCs/>
                <w:iCs/>
                <w:sz w:val="24"/>
                <w:szCs w:val="24"/>
                <w:lang w:eastAsia="en-US"/>
              </w:rPr>
              <w:t xml:space="preserve"> darbības</w:t>
            </w:r>
            <w:r w:rsidRPr="00841E23">
              <w:rPr>
                <w:rFonts w:ascii="Times New Roman" w:hAnsi="Times New Roman"/>
                <w:bCs/>
                <w:iCs/>
                <w:sz w:val="24"/>
                <w:szCs w:val="24"/>
                <w:lang w:eastAsia="en-US"/>
              </w:rPr>
              <w:t>, kuru izpildei ir nepieciešami speciāli tehniskie līdzekļi,</w:t>
            </w:r>
            <w:r w:rsidR="00841E23" w:rsidRPr="00841E23">
              <w:rPr>
                <w:rFonts w:ascii="Times New Roman" w:hAnsi="Times New Roman"/>
                <w:bCs/>
                <w:iCs/>
                <w:sz w:val="24"/>
                <w:szCs w:val="24"/>
                <w:lang w:eastAsia="en-US"/>
              </w:rPr>
              <w:t xml:space="preserve"> piemēram, </w:t>
            </w:r>
            <w:r w:rsidR="00841E23">
              <w:rPr>
                <w:rFonts w:ascii="Times New Roman" w:hAnsi="Times New Roman"/>
                <w:bCs/>
                <w:iCs/>
                <w:sz w:val="24"/>
                <w:szCs w:val="24"/>
                <w:lang w:eastAsia="en-US"/>
              </w:rPr>
              <w:t xml:space="preserve">zemes </w:t>
            </w:r>
            <w:r w:rsidR="00841E23" w:rsidRPr="00841E23">
              <w:rPr>
                <w:rFonts w:ascii="Times New Roman" w:hAnsi="Times New Roman"/>
                <w:bCs/>
                <w:iCs/>
                <w:sz w:val="24"/>
                <w:szCs w:val="24"/>
                <w:lang w:eastAsia="en-US"/>
              </w:rPr>
              <w:t>uzmērīšana,</w:t>
            </w:r>
            <w:r w:rsidRPr="004E53A3">
              <w:rPr>
                <w:rFonts w:ascii="Times New Roman" w:hAnsi="Times New Roman"/>
                <w:bCs/>
                <w:iCs/>
                <w:sz w:val="24"/>
                <w:szCs w:val="24"/>
                <w:lang w:eastAsia="en-US"/>
              </w:rPr>
              <w:t xml:space="preserve"> tad aģentūra slēdz līgumus ar </w:t>
            </w:r>
            <w:r w:rsidR="00EF4BC7">
              <w:rPr>
                <w:rFonts w:ascii="Times New Roman" w:hAnsi="Times New Roman"/>
                <w:bCs/>
                <w:iCs/>
                <w:sz w:val="24"/>
                <w:szCs w:val="24"/>
                <w:lang w:eastAsia="en-US"/>
              </w:rPr>
              <w:t>komersantiem</w:t>
            </w:r>
            <w:r w:rsidRPr="004E53A3">
              <w:rPr>
                <w:rFonts w:ascii="Times New Roman" w:hAnsi="Times New Roman"/>
                <w:bCs/>
                <w:iCs/>
                <w:sz w:val="24"/>
                <w:szCs w:val="24"/>
                <w:lang w:eastAsia="en-US"/>
              </w:rPr>
              <w:t>. Lai nodrošinātu Nolikuma atbilstību faktiskajai situācijai, ir nepieciešams noteikt, ka aģentūra organizē, nevis veic Latvijas Republikas robežas ar Krievijas Federāciju un Baltkrievijas Republiku pierobežas ceļu un valsts robežas joslas zemes īpašumtiesību sakārtošanu.</w:t>
            </w:r>
          </w:p>
          <w:p w:rsidR="004E53A3" w:rsidRPr="004E53A3" w:rsidRDefault="004E53A3" w:rsidP="004E53A3">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 xml:space="preserve">Tā kā Ministru kabineta 2010. gada 7. decembra 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1098 "Noteikumi par rīcību ar administratīvo pārkāpumu lietās izņemto mantu un dokumentiem" (turpmāk – Noteikumi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1098) 6. punkts nosaka, ka aģentūra saskaņā ar normatīvajos aktos publisko iepirkumu </w:t>
            </w:r>
            <w:r w:rsidRPr="004E53A3">
              <w:rPr>
                <w:rFonts w:ascii="Times New Roman" w:hAnsi="Times New Roman"/>
                <w:bCs/>
                <w:iCs/>
                <w:sz w:val="24"/>
                <w:szCs w:val="24"/>
                <w:lang w:eastAsia="en-US"/>
              </w:rPr>
              <w:lastRenderedPageBreak/>
              <w:t xml:space="preserve">jomā noteiktajām prasībām var slēgt līgumu ar komersantu par pakalpojumu, kas saistīts ar izņemtās mantas nodošanu glabāšanā, glabāšanu, realizāciju, iznīcināšanu vai tās novērtēšanu, tad nepieciešams precizēt Nolikuma 4.6.1. apakšpunktu, nosakot, ka aģentūra saskaņā ar atbildīgās institūcijas lēmumu administratīvā pārkāpuma lietā nodrošina administratīvā pārkāpuma lietā izņemtās mantas un dokumentu glabāšanu, realizāciju </w:t>
            </w:r>
            <w:r w:rsidR="006F7248">
              <w:rPr>
                <w:rFonts w:ascii="Times New Roman" w:hAnsi="Times New Roman"/>
                <w:bCs/>
                <w:iCs/>
                <w:sz w:val="24"/>
                <w:szCs w:val="24"/>
                <w:lang w:eastAsia="en-US"/>
              </w:rPr>
              <w:t>un</w:t>
            </w:r>
            <w:r w:rsidRPr="004E53A3">
              <w:rPr>
                <w:rFonts w:ascii="Times New Roman" w:hAnsi="Times New Roman"/>
                <w:bCs/>
                <w:iCs/>
                <w:sz w:val="24"/>
                <w:szCs w:val="24"/>
                <w:lang w:eastAsia="en-US"/>
              </w:rPr>
              <w:t xml:space="preserve"> iznīcināšanu.</w:t>
            </w:r>
          </w:p>
          <w:p w:rsidR="000534FC" w:rsidRPr="00EE4D08" w:rsidRDefault="004E53A3" w:rsidP="00D23585">
            <w:pPr>
              <w:pStyle w:val="Bezatstarpm1"/>
              <w:ind w:firstLine="413"/>
              <w:jc w:val="both"/>
              <w:rPr>
                <w:rFonts w:ascii="Times New Roman" w:hAnsi="Times New Roman"/>
                <w:bCs/>
                <w:iCs/>
                <w:sz w:val="24"/>
                <w:szCs w:val="24"/>
                <w:lang w:eastAsia="en-US"/>
              </w:rPr>
            </w:pPr>
            <w:r w:rsidRPr="004E53A3">
              <w:rPr>
                <w:rFonts w:ascii="Times New Roman" w:hAnsi="Times New Roman"/>
                <w:bCs/>
                <w:iCs/>
                <w:sz w:val="24"/>
                <w:szCs w:val="24"/>
                <w:lang w:eastAsia="en-US"/>
              </w:rPr>
              <w:t xml:space="preserve">Atbilstoši 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1098 11. punktam izņemto mantu vai dokumentu, kas nav minēts šo noteikumu 7., 8., 9. un 10. punktā, ja to nevar glabāt kopā ar administratīvā pārkāpuma lietu vai atbildīgās institūcijas īpaši šim nolūkam paredzētajā telpā vai nožogotā teritorijā, atbildīgā institūcija ar lēmumu nodod glabāšanā aģentūrai. Līdz ar to secināms, ka aģentūra nav vienīgā institūcija, kura ir tiesīga glabāt administratīvā pārkāpuma lietā izņemtās mantas un dokumentus. Savukārt 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xml:space="preserve">. 1098 36. punkta pirmais teikums paredz, ka atbildīgā institūcija izņemto mantu, kura nav nodota glabāšanā aģentūrai, var iznīcināt vai realizēt pati, tajā skaitā nodot bez maksas valsts vai pašvaldību iestādēm izlietošanai atbilstoši to uzdevumam. Tātad aģentūra nav vienīgā institūcija, kura ir tiesīga iznīcināt un realizēt administratīvā pārkāpuma lietā izņemto mantu un dokumentus. </w:t>
            </w:r>
            <w:r w:rsidRPr="00B74A38">
              <w:rPr>
                <w:rFonts w:ascii="Times New Roman" w:hAnsi="Times New Roman"/>
                <w:bCs/>
                <w:iCs/>
                <w:sz w:val="24"/>
                <w:szCs w:val="24"/>
                <w:lang w:eastAsia="en-US"/>
              </w:rPr>
              <w:t xml:space="preserve">Saskaņā ar Noteikumu </w:t>
            </w:r>
            <w:proofErr w:type="spellStart"/>
            <w:r w:rsidRPr="00B74A38">
              <w:rPr>
                <w:rFonts w:ascii="Times New Roman" w:hAnsi="Times New Roman"/>
                <w:bCs/>
                <w:iCs/>
                <w:sz w:val="24"/>
                <w:szCs w:val="24"/>
                <w:lang w:eastAsia="en-US"/>
              </w:rPr>
              <w:t>Nr</w:t>
            </w:r>
            <w:proofErr w:type="spellEnd"/>
            <w:r w:rsidRPr="00B74A38">
              <w:rPr>
                <w:rFonts w:ascii="Times New Roman" w:hAnsi="Times New Roman"/>
                <w:bCs/>
                <w:iCs/>
                <w:sz w:val="24"/>
                <w:szCs w:val="24"/>
                <w:lang w:eastAsia="en-US"/>
              </w:rPr>
              <w:t xml:space="preserve">. 1098 64. punktu atbildīgā institūcija, kura izskatīja administratīvā pārkāpuma lietu un pieņēma lēmumu par rīcību ar izņemto mantu, kas nav konfiscējama, bet ir realizēta vai iznīcināta </w:t>
            </w:r>
            <w:r w:rsidR="00394E02" w:rsidRPr="00B74A38">
              <w:rPr>
                <w:rFonts w:ascii="Times New Roman" w:hAnsi="Times New Roman"/>
                <w:bCs/>
                <w:iCs/>
                <w:sz w:val="24"/>
                <w:szCs w:val="24"/>
                <w:lang w:eastAsia="en-US"/>
              </w:rPr>
              <w:t xml:space="preserve">Latvijas Administratīvo pārkāpumu </w:t>
            </w:r>
            <w:r w:rsidRPr="00B74A38">
              <w:rPr>
                <w:rFonts w:ascii="Times New Roman" w:hAnsi="Times New Roman"/>
                <w:bCs/>
                <w:iCs/>
                <w:sz w:val="24"/>
                <w:szCs w:val="24"/>
                <w:lang w:eastAsia="en-US"/>
              </w:rPr>
              <w:t xml:space="preserve">kodeksa 257. pantā noteiktajā gadījumā, triju darbdienu laikā par to informē aģentūru, nosūtot lēmuma administratīvā pārkāpuma lietā norakstu vai kopiju un informāciju par tā spēkā stāšanās datumu. Saskaņā ar Noteikumu </w:t>
            </w:r>
            <w:proofErr w:type="spellStart"/>
            <w:r w:rsidRPr="00B74A38">
              <w:rPr>
                <w:rFonts w:ascii="Times New Roman" w:hAnsi="Times New Roman"/>
                <w:bCs/>
                <w:iCs/>
                <w:sz w:val="24"/>
                <w:szCs w:val="24"/>
                <w:lang w:eastAsia="en-US"/>
              </w:rPr>
              <w:t>Nr</w:t>
            </w:r>
            <w:proofErr w:type="spellEnd"/>
            <w:r w:rsidRPr="00B74A38">
              <w:rPr>
                <w:rFonts w:ascii="Times New Roman" w:hAnsi="Times New Roman"/>
                <w:bCs/>
                <w:iCs/>
                <w:sz w:val="24"/>
                <w:szCs w:val="24"/>
                <w:lang w:eastAsia="en-US"/>
              </w:rPr>
              <w:t xml:space="preserve">. 1098 66. punkta pirmo teikumu izņemtās mantas īpašnieks mēneša laikā pēc šo noteikumu 64. punktā minētā lēmuma spēkā stāšanās iesniedz aģentūrā iesniegumu ar lūgumu atdot tās pašas sugas un kvalitātes mantu, atlīdzināt izņemtās mantas vērtību vai realizācijā gūtos ieņēmumus (ja realizēti apaļie kokmateriāli). Saskaņā ar Noteikumu </w:t>
            </w:r>
            <w:proofErr w:type="spellStart"/>
            <w:r w:rsidRPr="00B74A38">
              <w:rPr>
                <w:rFonts w:ascii="Times New Roman" w:hAnsi="Times New Roman"/>
                <w:bCs/>
                <w:iCs/>
                <w:sz w:val="24"/>
                <w:szCs w:val="24"/>
                <w:lang w:eastAsia="en-US"/>
              </w:rPr>
              <w:t>Nr</w:t>
            </w:r>
            <w:proofErr w:type="spellEnd"/>
            <w:r w:rsidRPr="00B74A38">
              <w:rPr>
                <w:rFonts w:ascii="Times New Roman" w:hAnsi="Times New Roman"/>
                <w:bCs/>
                <w:iCs/>
                <w:sz w:val="24"/>
                <w:szCs w:val="24"/>
                <w:lang w:eastAsia="en-US"/>
              </w:rPr>
              <w:t>. 1098 68. </w:t>
            </w:r>
            <w:r w:rsidR="00B64779">
              <w:rPr>
                <w:rFonts w:ascii="Times New Roman" w:hAnsi="Times New Roman"/>
                <w:bCs/>
                <w:iCs/>
                <w:sz w:val="24"/>
                <w:szCs w:val="24"/>
                <w:lang w:eastAsia="en-US"/>
              </w:rPr>
              <w:t>p</w:t>
            </w:r>
            <w:r w:rsidRPr="00B74A38">
              <w:rPr>
                <w:rFonts w:ascii="Times New Roman" w:hAnsi="Times New Roman"/>
                <w:bCs/>
                <w:iCs/>
                <w:sz w:val="24"/>
                <w:szCs w:val="24"/>
                <w:lang w:eastAsia="en-US"/>
              </w:rPr>
              <w:t>unktu</w:t>
            </w:r>
            <w:r w:rsidR="00662055">
              <w:rPr>
                <w:rFonts w:ascii="Times New Roman" w:hAnsi="Times New Roman"/>
                <w:bCs/>
                <w:iCs/>
                <w:sz w:val="24"/>
                <w:szCs w:val="24"/>
                <w:lang w:eastAsia="en-US"/>
              </w:rPr>
              <w:t>,</w:t>
            </w:r>
            <w:r w:rsidRPr="00B74A38">
              <w:rPr>
                <w:rFonts w:ascii="Times New Roman" w:hAnsi="Times New Roman"/>
                <w:bCs/>
                <w:iCs/>
                <w:sz w:val="24"/>
                <w:szCs w:val="24"/>
                <w:lang w:eastAsia="en-US"/>
              </w:rPr>
              <w:t xml:space="preserve"> ja izņemtā manta ir realizēta šo noteikumu 40. punktā minētajā gadījumā, tās īpašnieks mēneša laikā pēc izņemtās mantas realizācijas iesniedz aģentūrā iesniegumu ar lūgumu izmaksāt viņam deponēto līdzekļu kontā iemaksātos finanšu līdzekļus par izņemtās mantas realizāciju, savukārt Noteikumu </w:t>
            </w:r>
            <w:proofErr w:type="spellStart"/>
            <w:r w:rsidRPr="00B74A38">
              <w:rPr>
                <w:rFonts w:ascii="Times New Roman" w:hAnsi="Times New Roman"/>
                <w:bCs/>
                <w:iCs/>
                <w:sz w:val="24"/>
                <w:szCs w:val="24"/>
                <w:lang w:eastAsia="en-US"/>
              </w:rPr>
              <w:t>Nr</w:t>
            </w:r>
            <w:proofErr w:type="spellEnd"/>
            <w:r w:rsidRPr="00B74A38">
              <w:rPr>
                <w:rFonts w:ascii="Times New Roman" w:hAnsi="Times New Roman"/>
                <w:bCs/>
                <w:iCs/>
                <w:sz w:val="24"/>
                <w:szCs w:val="24"/>
                <w:lang w:eastAsia="en-US"/>
              </w:rPr>
              <w:t xml:space="preserve">. 1098 40. punkts paredz, ka ja persona izņemto mantu nepārņem mēneša laikā no lēmuma par atdošanu spēkā stāšanās vai lēmuma par atdošanu pieņemšanas, ja administratīvā pārkāpuma lietā ir izņemts transportlīdzeklis par </w:t>
            </w:r>
            <w:r w:rsidR="00394E02" w:rsidRPr="00B74A38">
              <w:rPr>
                <w:rFonts w:ascii="Times New Roman" w:hAnsi="Times New Roman"/>
                <w:bCs/>
                <w:iCs/>
                <w:sz w:val="24"/>
                <w:szCs w:val="24"/>
                <w:lang w:eastAsia="en-US"/>
              </w:rPr>
              <w:t xml:space="preserve">Latvijas Administratīvo pārkāpumu </w:t>
            </w:r>
            <w:r w:rsidRPr="00B74A38">
              <w:rPr>
                <w:rFonts w:ascii="Times New Roman" w:hAnsi="Times New Roman"/>
                <w:bCs/>
                <w:iCs/>
                <w:sz w:val="24"/>
                <w:szCs w:val="24"/>
                <w:lang w:eastAsia="en-US"/>
              </w:rPr>
              <w:lastRenderedPageBreak/>
              <w:t>kodeksa</w:t>
            </w:r>
            <w:r w:rsidRPr="004E53A3">
              <w:rPr>
                <w:rFonts w:ascii="Times New Roman" w:hAnsi="Times New Roman"/>
                <w:bCs/>
                <w:iCs/>
                <w:sz w:val="24"/>
                <w:szCs w:val="24"/>
                <w:lang w:eastAsia="en-US"/>
              </w:rPr>
              <w:t xml:space="preserve"> 149.</w:t>
            </w:r>
            <w:r w:rsidRPr="004E53A3">
              <w:rPr>
                <w:rFonts w:ascii="Times New Roman" w:hAnsi="Times New Roman"/>
                <w:bCs/>
                <w:iCs/>
                <w:sz w:val="24"/>
                <w:szCs w:val="24"/>
                <w:vertAlign w:val="superscript"/>
                <w:lang w:eastAsia="en-US"/>
              </w:rPr>
              <w:t>4</w:t>
            </w:r>
            <w:r w:rsidR="00B64779">
              <w:rPr>
                <w:rFonts w:ascii="Times New Roman" w:hAnsi="Times New Roman"/>
                <w:bCs/>
                <w:iCs/>
                <w:sz w:val="24"/>
                <w:szCs w:val="24"/>
                <w:lang w:eastAsia="en-US"/>
              </w:rPr>
              <w:t> </w:t>
            </w:r>
            <w:r w:rsidRPr="004E53A3">
              <w:rPr>
                <w:rFonts w:ascii="Times New Roman" w:hAnsi="Times New Roman"/>
                <w:bCs/>
                <w:iCs/>
                <w:sz w:val="24"/>
                <w:szCs w:val="24"/>
                <w:lang w:eastAsia="en-US"/>
              </w:rPr>
              <w:t>panta septītajā daļā, 149.</w:t>
            </w:r>
            <w:r w:rsidR="00B64779">
              <w:rPr>
                <w:rFonts w:ascii="Times New Roman" w:hAnsi="Times New Roman"/>
                <w:bCs/>
                <w:iCs/>
                <w:sz w:val="24"/>
                <w:szCs w:val="24"/>
                <w:vertAlign w:val="superscript"/>
                <w:lang w:eastAsia="en-US"/>
              </w:rPr>
              <w:t>5 </w:t>
            </w:r>
            <w:r w:rsidRPr="004E53A3">
              <w:rPr>
                <w:rFonts w:ascii="Times New Roman" w:hAnsi="Times New Roman"/>
                <w:bCs/>
                <w:iCs/>
                <w:sz w:val="24"/>
                <w:szCs w:val="24"/>
                <w:lang w:eastAsia="en-US"/>
              </w:rPr>
              <w:t>panta ceturtajā daļā vai 149.</w:t>
            </w:r>
            <w:r w:rsidR="00B64779">
              <w:rPr>
                <w:rFonts w:ascii="Times New Roman" w:hAnsi="Times New Roman"/>
                <w:bCs/>
                <w:iCs/>
                <w:sz w:val="24"/>
                <w:szCs w:val="24"/>
                <w:vertAlign w:val="superscript"/>
                <w:lang w:eastAsia="en-US"/>
              </w:rPr>
              <w:t>15 </w:t>
            </w:r>
            <w:r w:rsidRPr="004E53A3">
              <w:rPr>
                <w:rFonts w:ascii="Times New Roman" w:hAnsi="Times New Roman"/>
                <w:bCs/>
                <w:iCs/>
                <w:sz w:val="24"/>
                <w:szCs w:val="24"/>
                <w:lang w:eastAsia="en-US"/>
              </w:rPr>
              <w:t>pantā (izņemot sestajā daļā paredzēto pārkāpumu) paredzēto pārkāpumu, aģentūra to realizē vai iznīcina.</w:t>
            </w:r>
            <w:r w:rsidR="008D25AB">
              <w:rPr>
                <w:rFonts w:ascii="Times New Roman" w:hAnsi="Times New Roman"/>
                <w:bCs/>
                <w:iCs/>
                <w:sz w:val="24"/>
                <w:szCs w:val="24"/>
                <w:lang w:eastAsia="en-US"/>
              </w:rPr>
              <w:t xml:space="preserve"> </w:t>
            </w:r>
            <w:r w:rsidRPr="004E53A3">
              <w:rPr>
                <w:rFonts w:ascii="Times New Roman" w:hAnsi="Times New Roman"/>
                <w:bCs/>
                <w:iCs/>
                <w:sz w:val="24"/>
                <w:szCs w:val="24"/>
                <w:lang w:eastAsia="en-US"/>
              </w:rPr>
              <w:t xml:space="preserve">Atbilstoši Noteikumu </w:t>
            </w:r>
            <w:proofErr w:type="spellStart"/>
            <w:r w:rsidRPr="004E53A3">
              <w:rPr>
                <w:rFonts w:ascii="Times New Roman" w:hAnsi="Times New Roman"/>
                <w:bCs/>
                <w:iCs/>
                <w:sz w:val="24"/>
                <w:szCs w:val="24"/>
                <w:lang w:eastAsia="en-US"/>
              </w:rPr>
              <w:t>Nr</w:t>
            </w:r>
            <w:proofErr w:type="spellEnd"/>
            <w:r w:rsidRPr="004E53A3">
              <w:rPr>
                <w:rFonts w:ascii="Times New Roman" w:hAnsi="Times New Roman"/>
                <w:bCs/>
                <w:iCs/>
                <w:sz w:val="24"/>
                <w:szCs w:val="24"/>
                <w:lang w:eastAsia="en-US"/>
              </w:rPr>
              <w:t>. 1098 69. punktam aģentūra pēc šo noteikumu 66. vai 68. punktā minētā iesnieguma saņemšanas piecu darbdienu laikā nodrošina izņemtās mantas īpašnieka iesniegumā izteiktā lūguma apmierināšanu. Tā kā administratīvā pārkāpuma lietās izņemto mantu un dokumentus glabā, realizē vai iznīcina ne tikai aģent</w:t>
            </w:r>
            <w:r w:rsidR="008D25AB">
              <w:rPr>
                <w:rFonts w:ascii="Times New Roman" w:hAnsi="Times New Roman"/>
                <w:bCs/>
                <w:iCs/>
                <w:sz w:val="24"/>
                <w:szCs w:val="24"/>
                <w:lang w:eastAsia="en-US"/>
              </w:rPr>
              <w:t xml:space="preserve">ūra, bet arī citas institūcijas un Noteikumu </w:t>
            </w:r>
            <w:proofErr w:type="spellStart"/>
            <w:r w:rsidR="008D25AB">
              <w:rPr>
                <w:rFonts w:ascii="Times New Roman" w:hAnsi="Times New Roman"/>
                <w:bCs/>
                <w:iCs/>
                <w:sz w:val="24"/>
                <w:szCs w:val="24"/>
                <w:lang w:eastAsia="en-US"/>
              </w:rPr>
              <w:t>Nr</w:t>
            </w:r>
            <w:proofErr w:type="spellEnd"/>
            <w:r w:rsidR="008D25AB">
              <w:rPr>
                <w:rFonts w:ascii="Times New Roman" w:hAnsi="Times New Roman"/>
                <w:bCs/>
                <w:iCs/>
                <w:sz w:val="24"/>
                <w:szCs w:val="24"/>
                <w:lang w:eastAsia="en-US"/>
              </w:rPr>
              <w:t>. 1098 VI. nodaļa paredz kārtību</w:t>
            </w:r>
            <w:r w:rsidR="008465A2">
              <w:rPr>
                <w:rFonts w:ascii="Times New Roman" w:hAnsi="Times New Roman"/>
                <w:bCs/>
                <w:iCs/>
                <w:sz w:val="24"/>
                <w:szCs w:val="24"/>
                <w:lang w:eastAsia="en-US"/>
              </w:rPr>
              <w:t>,</w:t>
            </w:r>
            <w:r w:rsidR="008D25AB">
              <w:rPr>
                <w:rFonts w:ascii="Times New Roman" w:hAnsi="Times New Roman"/>
                <w:bCs/>
                <w:iCs/>
                <w:sz w:val="24"/>
                <w:szCs w:val="24"/>
                <w:lang w:eastAsia="en-US"/>
              </w:rPr>
              <w:t xml:space="preserve"> kādā aģentūra atlīdzina izņemtās mantas, ko aģentūra ir realizējusi vai iznīcinājusi,  vērtību,</w:t>
            </w:r>
            <w:r w:rsidRPr="004E53A3">
              <w:rPr>
                <w:rFonts w:ascii="Times New Roman" w:hAnsi="Times New Roman"/>
                <w:bCs/>
                <w:iCs/>
                <w:sz w:val="24"/>
                <w:szCs w:val="24"/>
                <w:lang w:eastAsia="en-US"/>
              </w:rPr>
              <w:t xml:space="preserve"> tad Nolikuma 4.6.2. apakšpunkts ir precizējams, nosakot, ka aģentūra saskaņā ar atbildīgās institūcijas lēmumu administratīvā pārkāpuma lietā atdod administratīvā pārkāpuma lietā izņemto mantu un dokumentus attiecīgajām personām vai atlīdzina administratīvā pārkāpuma lietā izņemtās mantas vērtību, ja aģentūra izņemto mantu ir realizējusi vai iznīcinājusi.</w:t>
            </w:r>
          </w:p>
        </w:tc>
      </w:tr>
      <w:tr w:rsidR="00227763" w:rsidRPr="00EF1510">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471E95" w:rsidP="00471E95">
            <w:pPr>
              <w:snapToGrid w:val="0"/>
              <w:spacing w:after="0" w:line="240" w:lineRule="auto"/>
              <w:jc w:val="center"/>
              <w:rPr>
                <w:rFonts w:ascii="Times New Roman" w:hAnsi="Times New Roman"/>
                <w:sz w:val="24"/>
                <w:szCs w:val="24"/>
              </w:rPr>
            </w:pPr>
            <w:r w:rsidRPr="00EF1510">
              <w:rPr>
                <w:rFonts w:ascii="Times New Roman" w:hAnsi="Times New Roman"/>
                <w:sz w:val="24"/>
                <w:szCs w:val="24"/>
              </w:rPr>
              <w:lastRenderedPageBreak/>
              <w:t>3.</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Projekta izstrādē iesaistītās institūcijas</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Iekšlietu ministrija</w:t>
            </w:r>
            <w:r w:rsidR="000D2566" w:rsidRPr="00EF1510">
              <w:rPr>
                <w:rFonts w:ascii="Times New Roman" w:hAnsi="Times New Roman"/>
                <w:sz w:val="24"/>
                <w:szCs w:val="24"/>
                <w:lang w:eastAsia="lv-LV"/>
              </w:rPr>
              <w:t>, Nodrošinājuma valsts aģentūra</w:t>
            </w:r>
            <w:r w:rsidR="006C79A5">
              <w:rPr>
                <w:rFonts w:ascii="Times New Roman" w:hAnsi="Times New Roman"/>
                <w:sz w:val="24"/>
                <w:szCs w:val="24"/>
                <w:lang w:eastAsia="lv-LV"/>
              </w:rPr>
              <w:t>.</w:t>
            </w:r>
          </w:p>
        </w:tc>
      </w:tr>
      <w:tr w:rsidR="00227763" w:rsidRPr="00EF1510">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rsidP="00471E95">
            <w:pPr>
              <w:spacing w:after="0" w:line="240" w:lineRule="auto"/>
              <w:jc w:val="center"/>
              <w:rPr>
                <w:sz w:val="24"/>
                <w:szCs w:val="24"/>
              </w:rPr>
            </w:pPr>
            <w:r w:rsidRPr="00EF1510">
              <w:rPr>
                <w:rFonts w:ascii="Times New Roman" w:hAnsi="Times New Roman"/>
                <w:sz w:val="24"/>
                <w:szCs w:val="24"/>
                <w:lang w:eastAsia="lv-LV"/>
              </w:rPr>
              <w:t>4.</w:t>
            </w:r>
          </w:p>
        </w:tc>
        <w:tc>
          <w:tcPr>
            <w:tcW w:w="2831"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hAnsi="Times New Roman"/>
                <w:sz w:val="24"/>
                <w:szCs w:val="24"/>
                <w:lang w:eastAsia="lv-LV"/>
              </w:rPr>
              <w:t>Cita informācija</w:t>
            </w:r>
          </w:p>
        </w:tc>
        <w:tc>
          <w:tcPr>
            <w:tcW w:w="58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534FC" w:rsidRPr="004E53A3" w:rsidRDefault="004E53A3" w:rsidP="004E53A3">
            <w:pPr>
              <w:spacing w:after="0" w:line="240" w:lineRule="auto"/>
              <w:jc w:val="both"/>
              <w:rPr>
                <w:rFonts w:ascii="Times New Roman" w:hAnsi="Times New Roman"/>
                <w:sz w:val="24"/>
                <w:szCs w:val="24"/>
                <w:lang w:eastAsia="lv-LV"/>
              </w:rPr>
            </w:pPr>
            <w:r w:rsidRPr="004E53A3">
              <w:rPr>
                <w:rFonts w:ascii="Times New Roman" w:hAnsi="Times New Roman"/>
                <w:sz w:val="24"/>
                <w:szCs w:val="24"/>
                <w:lang w:eastAsia="lv-LV"/>
              </w:rPr>
              <w:t>Nav.</w:t>
            </w:r>
          </w:p>
        </w:tc>
      </w:tr>
    </w:tbl>
    <w:p w:rsidR="00227763" w:rsidRPr="00136B18" w:rsidRDefault="00227763">
      <w:pPr>
        <w:spacing w:after="0" w:line="240" w:lineRule="auto"/>
        <w:rPr>
          <w:rFonts w:ascii="Times New Roman" w:hAnsi="Times New Roman"/>
          <w:vanish/>
          <w:sz w:val="26"/>
          <w:szCs w:val="26"/>
          <w:lang w:eastAsia="lv-LV"/>
        </w:rPr>
      </w:pPr>
    </w:p>
    <w:tbl>
      <w:tblPr>
        <w:tblW w:w="9161" w:type="dxa"/>
        <w:tblInd w:w="-14" w:type="dxa"/>
        <w:tblLayout w:type="fixed"/>
        <w:tblCellMar>
          <w:top w:w="30" w:type="dxa"/>
          <w:left w:w="30" w:type="dxa"/>
          <w:bottom w:w="30" w:type="dxa"/>
          <w:right w:w="30" w:type="dxa"/>
        </w:tblCellMar>
        <w:tblLook w:val="0000" w:firstRow="0" w:lastRow="0" w:firstColumn="0" w:lastColumn="0" w:noHBand="0" w:noVBand="0"/>
      </w:tblPr>
      <w:tblGrid>
        <w:gridCol w:w="456"/>
        <w:gridCol w:w="2849"/>
        <w:gridCol w:w="5856"/>
      </w:tblGrid>
      <w:tr w:rsidR="00227763" w:rsidRPr="00EF1510" w:rsidTr="004E53A3">
        <w:trPr>
          <w:trHeight w:val="555"/>
        </w:trPr>
        <w:tc>
          <w:tcPr>
            <w:tcW w:w="9161" w:type="dxa"/>
            <w:gridSpan w:val="3"/>
            <w:tcBorders>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227763" w:rsidP="001155C1">
            <w:pPr>
              <w:spacing w:after="0" w:line="240" w:lineRule="auto"/>
              <w:jc w:val="center"/>
              <w:rPr>
                <w:sz w:val="24"/>
                <w:szCs w:val="24"/>
              </w:rPr>
            </w:pPr>
            <w:r w:rsidRPr="00EF1510">
              <w:rPr>
                <w:rFonts w:ascii="Times New Roman" w:hAnsi="Times New Roman"/>
                <w:b/>
                <w:sz w:val="24"/>
                <w:szCs w:val="24"/>
                <w:lang w:eastAsia="lv-LV"/>
              </w:rPr>
              <w:t>II. Tiesību akta projekta ietekme uz sabiedrību, tautsaimniecības attīstību un administratīvo slogu</w:t>
            </w:r>
          </w:p>
        </w:tc>
      </w:tr>
      <w:tr w:rsidR="00227763" w:rsidRPr="00EF1510" w:rsidTr="004E53A3">
        <w:trPr>
          <w:trHeight w:val="46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1.</w:t>
            </w:r>
          </w:p>
        </w:tc>
        <w:tc>
          <w:tcPr>
            <w:tcW w:w="2849"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 xml:space="preserve">Sabiedrības </w:t>
            </w:r>
            <w:proofErr w:type="spellStart"/>
            <w:r w:rsidRPr="00EF1510">
              <w:rPr>
                <w:rFonts w:ascii="Times New Roman" w:eastAsia="Times New Roman" w:hAnsi="Times New Roman"/>
                <w:sz w:val="24"/>
                <w:szCs w:val="24"/>
                <w:lang w:eastAsia="lv-LV"/>
              </w:rPr>
              <w:t>mērķgrupas</w:t>
            </w:r>
            <w:proofErr w:type="spellEnd"/>
            <w:r w:rsidRPr="00EF1510">
              <w:rPr>
                <w:rFonts w:ascii="Times New Roman" w:eastAsia="Times New Roman" w:hAnsi="Times New Roman"/>
                <w:sz w:val="24"/>
                <w:szCs w:val="24"/>
                <w:lang w:eastAsia="lv-LV"/>
              </w:rPr>
              <w:t>, kuras tiesiskais regulējums ietekmē vai varētu ietekmēt</w:t>
            </w:r>
          </w:p>
        </w:tc>
        <w:tc>
          <w:tcPr>
            <w:tcW w:w="58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4E53A3" w:rsidRDefault="004E53A3" w:rsidP="00693CD1">
            <w:pPr>
              <w:spacing w:after="0" w:line="240" w:lineRule="auto"/>
              <w:jc w:val="both"/>
              <w:rPr>
                <w:rFonts w:ascii="Times New Roman" w:hAnsi="Times New Roman"/>
                <w:sz w:val="24"/>
                <w:szCs w:val="24"/>
              </w:rPr>
            </w:pPr>
            <w:r w:rsidRPr="004E53A3">
              <w:rPr>
                <w:rFonts w:ascii="Times New Roman" w:hAnsi="Times New Roman"/>
                <w:sz w:val="24"/>
                <w:szCs w:val="24"/>
              </w:rPr>
              <w:t>Projekts attiecas uz Nodrošinājuma valsts aģentūru un tur nodarbinātām personām.</w:t>
            </w:r>
          </w:p>
        </w:tc>
      </w:tr>
      <w:tr w:rsidR="00227763" w:rsidRPr="00EF1510" w:rsidTr="004E53A3">
        <w:trPr>
          <w:trHeight w:val="51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2.</w:t>
            </w:r>
          </w:p>
        </w:tc>
        <w:tc>
          <w:tcPr>
            <w:tcW w:w="2849"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Tiesiskā regulējuma ietekme uz tautsaimniecību un administratīvo slogu</w:t>
            </w:r>
          </w:p>
        </w:tc>
        <w:tc>
          <w:tcPr>
            <w:tcW w:w="58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534FC" w:rsidRPr="00EF1510" w:rsidRDefault="004E53A3" w:rsidP="004E53A3">
            <w:pPr>
              <w:pStyle w:val="Sarakstarindkopa1"/>
              <w:tabs>
                <w:tab w:val="left" w:pos="1134"/>
              </w:tabs>
              <w:spacing w:after="0" w:line="240" w:lineRule="auto"/>
              <w:ind w:left="0"/>
              <w:jc w:val="both"/>
              <w:rPr>
                <w:sz w:val="24"/>
                <w:szCs w:val="24"/>
              </w:rPr>
            </w:pPr>
            <w:r w:rsidRPr="004E53A3">
              <w:rPr>
                <w:rFonts w:ascii="Times New Roman" w:eastAsia="Times New Roman" w:hAnsi="Times New Roman"/>
                <w:iCs/>
                <w:sz w:val="24"/>
                <w:szCs w:val="24"/>
                <w:lang w:eastAsia="lv-LV"/>
              </w:rPr>
              <w:t>Nav.</w:t>
            </w:r>
          </w:p>
        </w:tc>
      </w:tr>
      <w:tr w:rsidR="00227763" w:rsidRPr="00EF1510" w:rsidTr="004E53A3">
        <w:trPr>
          <w:trHeight w:val="510"/>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3.</w:t>
            </w:r>
          </w:p>
        </w:tc>
        <w:tc>
          <w:tcPr>
            <w:tcW w:w="2849"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Administratīvo izmaksu monetārs novērtējums</w:t>
            </w:r>
          </w:p>
        </w:tc>
        <w:tc>
          <w:tcPr>
            <w:tcW w:w="58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jc w:val="both"/>
              <w:rPr>
                <w:sz w:val="24"/>
                <w:szCs w:val="24"/>
              </w:rPr>
            </w:pPr>
            <w:r w:rsidRPr="00EF1510">
              <w:rPr>
                <w:rFonts w:ascii="Times New Roman" w:eastAsia="Times New Roman" w:hAnsi="Times New Roman"/>
                <w:sz w:val="24"/>
                <w:szCs w:val="24"/>
                <w:lang w:eastAsia="lv-LV"/>
              </w:rPr>
              <w:t>Projekts šo jomu neskar.</w:t>
            </w:r>
          </w:p>
        </w:tc>
      </w:tr>
      <w:tr w:rsidR="00227763" w:rsidRPr="00EF1510" w:rsidTr="004E53A3">
        <w:trPr>
          <w:trHeight w:val="345"/>
        </w:trPr>
        <w:tc>
          <w:tcPr>
            <w:tcW w:w="456"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4.</w:t>
            </w:r>
          </w:p>
        </w:tc>
        <w:tc>
          <w:tcPr>
            <w:tcW w:w="2849"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Cita informācija</w:t>
            </w:r>
          </w:p>
        </w:tc>
        <w:tc>
          <w:tcPr>
            <w:tcW w:w="58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Nav.</w:t>
            </w:r>
          </w:p>
        </w:tc>
      </w:tr>
    </w:tbl>
    <w:p w:rsidR="00227763" w:rsidRPr="00136B18" w:rsidRDefault="00227763">
      <w:pPr>
        <w:spacing w:after="0" w:line="240" w:lineRule="auto"/>
        <w:rPr>
          <w:rFonts w:ascii="Times New Roman" w:eastAsia="Times New Roman" w:hAnsi="Times New Roman"/>
          <w:sz w:val="26"/>
          <w:szCs w:val="26"/>
          <w:lang w:eastAsia="lv-LV"/>
        </w:rPr>
      </w:pPr>
    </w:p>
    <w:tbl>
      <w:tblPr>
        <w:tblW w:w="9161" w:type="dxa"/>
        <w:tblInd w:w="-14" w:type="dxa"/>
        <w:tblLayout w:type="fixed"/>
        <w:tblCellMar>
          <w:top w:w="30" w:type="dxa"/>
          <w:left w:w="30" w:type="dxa"/>
          <w:bottom w:w="30" w:type="dxa"/>
          <w:right w:w="30" w:type="dxa"/>
        </w:tblCellMar>
        <w:tblLook w:val="0000" w:firstRow="0" w:lastRow="0" w:firstColumn="0" w:lastColumn="0" w:noHBand="0" w:noVBand="0"/>
      </w:tblPr>
      <w:tblGrid>
        <w:gridCol w:w="457"/>
        <w:gridCol w:w="2694"/>
        <w:gridCol w:w="6010"/>
      </w:tblGrid>
      <w:tr w:rsidR="00227763" w:rsidRPr="00EF1510">
        <w:trPr>
          <w:trHeight w:val="375"/>
        </w:trPr>
        <w:tc>
          <w:tcPr>
            <w:tcW w:w="916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7763" w:rsidRPr="00EF1510" w:rsidRDefault="00B97186">
            <w:pPr>
              <w:spacing w:after="0" w:line="240" w:lineRule="auto"/>
              <w:ind w:firstLine="300"/>
              <w:jc w:val="center"/>
              <w:rPr>
                <w:sz w:val="24"/>
                <w:szCs w:val="24"/>
              </w:rPr>
            </w:pPr>
            <w:r>
              <w:rPr>
                <w:rFonts w:ascii="Times New Roman" w:eastAsia="Times New Roman" w:hAnsi="Times New Roman"/>
                <w:b/>
                <w:bCs/>
                <w:sz w:val="24"/>
                <w:szCs w:val="24"/>
                <w:lang w:eastAsia="lv-LV"/>
              </w:rPr>
              <w:t>V</w:t>
            </w:r>
            <w:r w:rsidR="00227763" w:rsidRPr="00EF1510">
              <w:rPr>
                <w:rFonts w:ascii="Times New Roman" w:eastAsia="Times New Roman" w:hAnsi="Times New Roman"/>
                <w:b/>
                <w:bCs/>
                <w:sz w:val="24"/>
                <w:szCs w:val="24"/>
                <w:lang w:eastAsia="lv-LV"/>
              </w:rPr>
              <w:t>II. Tiesību akta projekta izpildes nodrošināšana un tās ietekme uz institūcijām</w:t>
            </w:r>
          </w:p>
        </w:tc>
      </w:tr>
      <w:tr w:rsidR="00227763" w:rsidRPr="00EF1510" w:rsidTr="004E53A3">
        <w:trPr>
          <w:trHeight w:val="420"/>
        </w:trPr>
        <w:tc>
          <w:tcPr>
            <w:tcW w:w="457"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1.</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Projekta izpildē iesaistītās institūcijas</w:t>
            </w:r>
          </w:p>
        </w:tc>
        <w:tc>
          <w:tcPr>
            <w:tcW w:w="601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E16F4D" w:rsidP="00E16F4D">
            <w:pPr>
              <w:spacing w:after="0" w:line="240" w:lineRule="auto"/>
              <w:rPr>
                <w:sz w:val="24"/>
                <w:szCs w:val="24"/>
              </w:rPr>
            </w:pPr>
            <w:r>
              <w:rPr>
                <w:rFonts w:ascii="Times New Roman" w:eastAsia="Times New Roman" w:hAnsi="Times New Roman"/>
                <w:sz w:val="24"/>
                <w:szCs w:val="24"/>
                <w:lang w:eastAsia="lv-LV"/>
              </w:rPr>
              <w:t>Nodrošinājuma valsts aģentūra.</w:t>
            </w:r>
          </w:p>
        </w:tc>
      </w:tr>
      <w:tr w:rsidR="00227763" w:rsidRPr="00EF1510" w:rsidTr="004E53A3">
        <w:trPr>
          <w:trHeight w:val="450"/>
        </w:trPr>
        <w:tc>
          <w:tcPr>
            <w:tcW w:w="457"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2.</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rFonts w:ascii="Times New Roman" w:eastAsia="Times New Roman" w:hAnsi="Times New Roman"/>
                <w:sz w:val="24"/>
                <w:szCs w:val="24"/>
                <w:lang w:eastAsia="lv-LV"/>
              </w:rPr>
            </w:pPr>
            <w:r w:rsidRPr="00EF1510">
              <w:rPr>
                <w:rFonts w:ascii="Times New Roman" w:eastAsia="Times New Roman" w:hAnsi="Times New Roman"/>
                <w:sz w:val="24"/>
                <w:szCs w:val="24"/>
                <w:lang w:eastAsia="lv-LV"/>
              </w:rPr>
              <w:t xml:space="preserve">Projekta izpildes ietekme uz pārvaldes funkcijām un institucionālo struktūru. </w:t>
            </w:r>
          </w:p>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 xml:space="preserve">Jaunu institūciju izveide, esošu institūciju likvidācija vai reorganizācija, to ietekme uz institūcijas </w:t>
            </w:r>
            <w:r w:rsidRPr="00EF1510">
              <w:rPr>
                <w:rFonts w:ascii="Times New Roman" w:eastAsia="Times New Roman" w:hAnsi="Times New Roman"/>
                <w:sz w:val="24"/>
                <w:szCs w:val="24"/>
                <w:lang w:eastAsia="lv-LV"/>
              </w:rPr>
              <w:lastRenderedPageBreak/>
              <w:t>cilvēkresursiem</w:t>
            </w:r>
          </w:p>
        </w:tc>
        <w:tc>
          <w:tcPr>
            <w:tcW w:w="601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155C1" w:rsidRDefault="00227763" w:rsidP="001155C1">
            <w:pPr>
              <w:spacing w:after="0" w:line="240" w:lineRule="auto"/>
              <w:jc w:val="both"/>
              <w:rPr>
                <w:rFonts w:ascii="Times New Roman" w:hAnsi="Times New Roman"/>
                <w:iCs/>
                <w:sz w:val="24"/>
                <w:szCs w:val="24"/>
              </w:rPr>
            </w:pPr>
            <w:r w:rsidRPr="00EF1510">
              <w:rPr>
                <w:rFonts w:ascii="Times New Roman" w:hAnsi="Times New Roman"/>
                <w:iCs/>
                <w:sz w:val="24"/>
                <w:szCs w:val="24"/>
              </w:rPr>
              <w:lastRenderedPageBreak/>
              <w:t xml:space="preserve">Projekta izpilde neietekmēs </w:t>
            </w:r>
            <w:r w:rsidR="001155C1">
              <w:rPr>
                <w:rFonts w:ascii="Times New Roman" w:hAnsi="Times New Roman"/>
                <w:iCs/>
                <w:sz w:val="24"/>
                <w:szCs w:val="24"/>
              </w:rPr>
              <w:t xml:space="preserve">pārvaldes funkcijas un </w:t>
            </w:r>
            <w:r w:rsidRPr="00EF1510">
              <w:rPr>
                <w:rFonts w:ascii="Times New Roman" w:hAnsi="Times New Roman"/>
                <w:iCs/>
                <w:sz w:val="24"/>
                <w:szCs w:val="24"/>
              </w:rPr>
              <w:t>Iekšlietu minis</w:t>
            </w:r>
            <w:r w:rsidR="001155C1">
              <w:rPr>
                <w:rFonts w:ascii="Times New Roman" w:hAnsi="Times New Roman"/>
                <w:iCs/>
                <w:sz w:val="24"/>
                <w:szCs w:val="24"/>
              </w:rPr>
              <w:t>trijas institucionālo struktūru, kā arī saistībā ar projekta izpildi nav nepieciešams veidot jaunas institūcijas, likvidēt vai reorganizēt esošās.</w:t>
            </w:r>
          </w:p>
          <w:p w:rsidR="00227763" w:rsidRPr="00EF1510" w:rsidRDefault="00227763" w:rsidP="001155C1">
            <w:pPr>
              <w:spacing w:after="0" w:line="240" w:lineRule="auto"/>
              <w:jc w:val="both"/>
              <w:rPr>
                <w:sz w:val="24"/>
                <w:szCs w:val="24"/>
              </w:rPr>
            </w:pPr>
          </w:p>
        </w:tc>
      </w:tr>
      <w:tr w:rsidR="00227763" w:rsidRPr="00EF1510" w:rsidTr="004E53A3">
        <w:trPr>
          <w:trHeight w:val="390"/>
        </w:trPr>
        <w:tc>
          <w:tcPr>
            <w:tcW w:w="457"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lastRenderedPageBreak/>
              <w:t>3.</w:t>
            </w:r>
          </w:p>
        </w:tc>
        <w:tc>
          <w:tcPr>
            <w:tcW w:w="2694" w:type="dxa"/>
            <w:tcBorders>
              <w:top w:val="thickThinLargeGap" w:sz="6" w:space="0" w:color="C0C0C0"/>
              <w:left w:val="thickThinLargeGap" w:sz="6" w:space="0" w:color="C0C0C0"/>
              <w:bottom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Cita informācija</w:t>
            </w:r>
          </w:p>
        </w:tc>
        <w:tc>
          <w:tcPr>
            <w:tcW w:w="601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7763" w:rsidRPr="00EF1510" w:rsidRDefault="00227763">
            <w:pPr>
              <w:spacing w:after="0" w:line="240" w:lineRule="auto"/>
              <w:rPr>
                <w:sz w:val="24"/>
                <w:szCs w:val="24"/>
              </w:rPr>
            </w:pPr>
            <w:r w:rsidRPr="00EF1510">
              <w:rPr>
                <w:rFonts w:ascii="Times New Roman" w:eastAsia="Times New Roman" w:hAnsi="Times New Roman"/>
                <w:sz w:val="24"/>
                <w:szCs w:val="24"/>
                <w:lang w:eastAsia="lv-LV"/>
              </w:rPr>
              <w:t>Nav.</w:t>
            </w:r>
          </w:p>
        </w:tc>
      </w:tr>
    </w:tbl>
    <w:p w:rsidR="001155C1" w:rsidRDefault="001155C1">
      <w:pPr>
        <w:spacing w:after="0" w:line="240" w:lineRule="auto"/>
        <w:rPr>
          <w:rFonts w:ascii="Times New Roman" w:hAnsi="Times New Roman"/>
          <w:sz w:val="24"/>
          <w:szCs w:val="24"/>
        </w:rPr>
      </w:pPr>
    </w:p>
    <w:p w:rsidR="00227763" w:rsidRPr="00EF1510" w:rsidRDefault="004E53A3">
      <w:pPr>
        <w:spacing w:after="0" w:line="240" w:lineRule="auto"/>
        <w:rPr>
          <w:rFonts w:ascii="Times New Roman" w:hAnsi="Times New Roman"/>
          <w:sz w:val="24"/>
          <w:szCs w:val="24"/>
        </w:rPr>
      </w:pPr>
      <w:r>
        <w:rPr>
          <w:rFonts w:ascii="Times New Roman" w:hAnsi="Times New Roman"/>
          <w:sz w:val="24"/>
          <w:szCs w:val="24"/>
        </w:rPr>
        <w:t xml:space="preserve">Anotācijas III, IV, </w:t>
      </w:r>
      <w:r w:rsidR="00227763" w:rsidRPr="00EF1510">
        <w:rPr>
          <w:rFonts w:ascii="Times New Roman" w:hAnsi="Times New Roman"/>
          <w:sz w:val="24"/>
          <w:szCs w:val="24"/>
        </w:rPr>
        <w:t>V</w:t>
      </w:r>
      <w:r>
        <w:rPr>
          <w:rFonts w:ascii="Times New Roman" w:hAnsi="Times New Roman"/>
          <w:sz w:val="24"/>
          <w:szCs w:val="24"/>
        </w:rPr>
        <w:t xml:space="preserve"> un VI</w:t>
      </w:r>
      <w:r w:rsidR="000F45DF">
        <w:rPr>
          <w:rFonts w:ascii="Times New Roman" w:hAnsi="Times New Roman"/>
          <w:sz w:val="24"/>
          <w:szCs w:val="24"/>
        </w:rPr>
        <w:t xml:space="preserve"> sadaļa </w:t>
      </w:r>
      <w:r w:rsidR="00227763" w:rsidRPr="00EF1510">
        <w:rPr>
          <w:rFonts w:ascii="Times New Roman" w:hAnsi="Times New Roman"/>
          <w:sz w:val="24"/>
          <w:szCs w:val="24"/>
        </w:rPr>
        <w:t>– projekts šo jomu neskar.</w:t>
      </w:r>
    </w:p>
    <w:p w:rsidR="00227763" w:rsidRDefault="00227763">
      <w:pPr>
        <w:contextualSpacing/>
        <w:rPr>
          <w:rFonts w:ascii="Times New Roman" w:hAnsi="Times New Roman"/>
          <w:sz w:val="28"/>
          <w:szCs w:val="28"/>
        </w:rPr>
      </w:pPr>
    </w:p>
    <w:p w:rsidR="00DB7339" w:rsidRPr="00EF1510" w:rsidRDefault="00DB7339">
      <w:pPr>
        <w:contextualSpacing/>
        <w:rPr>
          <w:rFonts w:ascii="Times New Roman" w:hAnsi="Times New Roman"/>
          <w:sz w:val="28"/>
          <w:szCs w:val="28"/>
        </w:rPr>
      </w:pPr>
    </w:p>
    <w:p w:rsidR="00227763" w:rsidRPr="00EF1510" w:rsidRDefault="00227763">
      <w:pPr>
        <w:spacing w:after="0" w:line="240" w:lineRule="auto"/>
        <w:contextualSpacing/>
        <w:rPr>
          <w:rFonts w:ascii="Times New Roman" w:eastAsia="Times New Roman" w:hAnsi="Times New Roman"/>
          <w:sz w:val="28"/>
          <w:szCs w:val="28"/>
          <w:lang w:eastAsia="lv-LV"/>
        </w:rPr>
      </w:pPr>
      <w:r w:rsidRPr="00EF1510">
        <w:rPr>
          <w:rFonts w:ascii="Times New Roman" w:eastAsia="Times New Roman" w:hAnsi="Times New Roman"/>
          <w:sz w:val="28"/>
          <w:szCs w:val="28"/>
          <w:lang w:eastAsia="lv-LV"/>
        </w:rPr>
        <w:t>Iekšlietu ministrs</w:t>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r>
      <w:r w:rsidRPr="00EF1510">
        <w:rPr>
          <w:rFonts w:ascii="Times New Roman" w:eastAsia="Times New Roman" w:hAnsi="Times New Roman"/>
          <w:sz w:val="28"/>
          <w:szCs w:val="28"/>
          <w:lang w:eastAsia="lv-LV"/>
        </w:rPr>
        <w:tab/>
        <w:t xml:space="preserve">         R.</w:t>
      </w:r>
      <w:r w:rsidR="009B787F">
        <w:rPr>
          <w:rFonts w:ascii="Times New Roman" w:eastAsia="Times New Roman" w:hAnsi="Times New Roman"/>
          <w:sz w:val="28"/>
          <w:szCs w:val="28"/>
          <w:lang w:eastAsia="lv-LV"/>
        </w:rPr>
        <w:t> </w:t>
      </w:r>
      <w:r w:rsidRPr="00EF1510">
        <w:rPr>
          <w:rFonts w:ascii="Times New Roman" w:eastAsia="Times New Roman" w:hAnsi="Times New Roman"/>
          <w:sz w:val="28"/>
          <w:szCs w:val="28"/>
          <w:lang w:eastAsia="lv-LV"/>
        </w:rPr>
        <w:t>Kozlovskis</w:t>
      </w:r>
    </w:p>
    <w:p w:rsidR="00227763" w:rsidRPr="00EF1510" w:rsidRDefault="00227763">
      <w:pPr>
        <w:tabs>
          <w:tab w:val="right" w:pos="9214"/>
        </w:tabs>
        <w:spacing w:after="0" w:line="240" w:lineRule="auto"/>
        <w:contextualSpacing/>
        <w:rPr>
          <w:rFonts w:ascii="Times New Roman" w:eastAsia="Times New Roman" w:hAnsi="Times New Roman"/>
          <w:sz w:val="28"/>
          <w:szCs w:val="28"/>
          <w:lang w:eastAsia="lv-LV"/>
        </w:rPr>
      </w:pPr>
    </w:p>
    <w:p w:rsidR="00227763" w:rsidRPr="00EF1510" w:rsidRDefault="00227763" w:rsidP="00EF1510">
      <w:pPr>
        <w:tabs>
          <w:tab w:val="right" w:pos="9214"/>
        </w:tabs>
        <w:spacing w:after="0" w:line="240" w:lineRule="auto"/>
        <w:contextualSpacing/>
        <w:rPr>
          <w:rFonts w:ascii="Times New Roman" w:eastAsia="Times New Roman" w:hAnsi="Times New Roman"/>
          <w:bCs/>
          <w:sz w:val="28"/>
          <w:szCs w:val="28"/>
          <w:lang w:eastAsia="lv-LV"/>
        </w:rPr>
      </w:pPr>
      <w:r w:rsidRPr="00EF1510">
        <w:rPr>
          <w:rFonts w:ascii="Times New Roman" w:eastAsia="Times New Roman" w:hAnsi="Times New Roman"/>
          <w:sz w:val="28"/>
          <w:szCs w:val="28"/>
          <w:lang w:eastAsia="lv-LV"/>
        </w:rPr>
        <w:t xml:space="preserve">Vīza: </w:t>
      </w:r>
    </w:p>
    <w:p w:rsidR="00227763" w:rsidRPr="00EF1510" w:rsidRDefault="00227763">
      <w:pPr>
        <w:tabs>
          <w:tab w:val="right" w:pos="9214"/>
        </w:tabs>
        <w:spacing w:after="0" w:line="240" w:lineRule="auto"/>
        <w:ind w:firstLine="709"/>
        <w:contextualSpacing/>
        <w:rPr>
          <w:rFonts w:ascii="Times New Roman" w:eastAsia="Times New Roman" w:hAnsi="Times New Roman"/>
          <w:bCs/>
          <w:sz w:val="28"/>
          <w:szCs w:val="28"/>
          <w:lang w:eastAsia="lv-LV"/>
        </w:rPr>
      </w:pPr>
      <w:r w:rsidRPr="00EF1510">
        <w:rPr>
          <w:rFonts w:ascii="Times New Roman" w:eastAsia="Times New Roman" w:hAnsi="Times New Roman"/>
          <w:bCs/>
          <w:sz w:val="28"/>
          <w:szCs w:val="28"/>
          <w:lang w:eastAsia="lv-LV"/>
        </w:rPr>
        <w:t xml:space="preserve">Valsts sekretāre                            </w:t>
      </w:r>
      <w:r w:rsidR="00EF1510">
        <w:rPr>
          <w:rFonts w:ascii="Times New Roman" w:eastAsia="Times New Roman" w:hAnsi="Times New Roman"/>
          <w:bCs/>
          <w:sz w:val="28"/>
          <w:szCs w:val="28"/>
          <w:lang w:eastAsia="lv-LV"/>
        </w:rPr>
        <w:t xml:space="preserve">                            </w:t>
      </w:r>
      <w:r w:rsidRPr="00EF1510">
        <w:rPr>
          <w:rFonts w:ascii="Times New Roman" w:eastAsia="Times New Roman" w:hAnsi="Times New Roman"/>
          <w:bCs/>
          <w:sz w:val="28"/>
          <w:szCs w:val="28"/>
          <w:lang w:eastAsia="lv-LV"/>
        </w:rPr>
        <w:t>I.</w:t>
      </w:r>
      <w:r w:rsidR="009B787F">
        <w:rPr>
          <w:rFonts w:ascii="Times New Roman" w:eastAsia="Times New Roman" w:hAnsi="Times New Roman"/>
          <w:bCs/>
          <w:sz w:val="28"/>
          <w:szCs w:val="28"/>
          <w:lang w:eastAsia="lv-LV"/>
        </w:rPr>
        <w:t> </w:t>
      </w:r>
      <w:r w:rsidRPr="00EF1510">
        <w:rPr>
          <w:rFonts w:ascii="Times New Roman" w:eastAsia="Times New Roman" w:hAnsi="Times New Roman"/>
          <w:bCs/>
          <w:sz w:val="28"/>
          <w:szCs w:val="28"/>
          <w:lang w:eastAsia="lv-LV"/>
        </w:rPr>
        <w:t>Pētersone</w:t>
      </w:r>
      <w:r w:rsidRPr="00EF1510">
        <w:rPr>
          <w:rFonts w:ascii="Times New Roman" w:hAnsi="Times New Roman"/>
          <w:sz w:val="28"/>
          <w:szCs w:val="28"/>
        </w:rPr>
        <w:t>–</w:t>
      </w:r>
      <w:r w:rsidR="00EF1510">
        <w:rPr>
          <w:rFonts w:ascii="Times New Roman" w:eastAsia="Times New Roman" w:hAnsi="Times New Roman"/>
          <w:bCs/>
          <w:sz w:val="28"/>
          <w:szCs w:val="28"/>
          <w:lang w:eastAsia="lv-LV"/>
        </w:rPr>
        <w:t>Godmane</w:t>
      </w:r>
    </w:p>
    <w:p w:rsidR="00227763" w:rsidRPr="00EF1510" w:rsidRDefault="00227763">
      <w:pPr>
        <w:widowControl w:val="0"/>
        <w:tabs>
          <w:tab w:val="left" w:pos="4500"/>
        </w:tabs>
        <w:spacing w:after="0" w:line="240" w:lineRule="auto"/>
        <w:contextualSpacing/>
        <w:jc w:val="both"/>
        <w:rPr>
          <w:rFonts w:ascii="Times New Roman" w:eastAsia="Times New Roman" w:hAnsi="Times New Roman"/>
          <w:bCs/>
          <w:sz w:val="28"/>
          <w:szCs w:val="28"/>
          <w:lang w:eastAsia="lv-LV"/>
        </w:rPr>
      </w:pPr>
    </w:p>
    <w:p w:rsidR="00BC7335" w:rsidRDefault="00BC7335" w:rsidP="00EF1510">
      <w:pPr>
        <w:spacing w:after="0" w:line="240" w:lineRule="auto"/>
        <w:contextualSpacing/>
        <w:rPr>
          <w:rFonts w:ascii="Times New Roman" w:eastAsia="Times New Roman" w:hAnsi="Times New Roman"/>
          <w:sz w:val="20"/>
          <w:szCs w:val="20"/>
          <w:lang w:eastAsia="lv-LV"/>
        </w:rPr>
      </w:pPr>
    </w:p>
    <w:p w:rsidR="00BC7335" w:rsidRDefault="00BC7335" w:rsidP="00EF1510">
      <w:pPr>
        <w:spacing w:after="0" w:line="240" w:lineRule="auto"/>
        <w:contextualSpacing/>
        <w:rPr>
          <w:rFonts w:ascii="Times New Roman" w:eastAsia="Times New Roman" w:hAnsi="Times New Roman"/>
          <w:sz w:val="20"/>
          <w:szCs w:val="20"/>
          <w:lang w:eastAsia="lv-LV"/>
        </w:rPr>
      </w:pPr>
    </w:p>
    <w:p w:rsidR="00BC7335" w:rsidRDefault="00BC7335"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C40A5F" w:rsidRDefault="00C40A5F" w:rsidP="00EF1510">
      <w:pPr>
        <w:spacing w:after="0" w:line="240" w:lineRule="auto"/>
        <w:contextualSpacing/>
        <w:rPr>
          <w:rFonts w:ascii="Times New Roman" w:eastAsia="Times New Roman" w:hAnsi="Times New Roman"/>
          <w:sz w:val="20"/>
          <w:szCs w:val="20"/>
          <w:lang w:eastAsia="lv-LV"/>
        </w:rPr>
      </w:pPr>
    </w:p>
    <w:p w:rsidR="009B787F" w:rsidRDefault="009B787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D23585" w:rsidRDefault="00D23585" w:rsidP="00EF1510">
      <w:pPr>
        <w:spacing w:after="0" w:line="240" w:lineRule="auto"/>
        <w:contextualSpacing/>
        <w:rPr>
          <w:rFonts w:ascii="Times New Roman" w:eastAsia="Times New Roman" w:hAnsi="Times New Roman"/>
          <w:sz w:val="20"/>
          <w:szCs w:val="20"/>
          <w:lang w:eastAsia="lv-LV"/>
        </w:rPr>
      </w:pPr>
    </w:p>
    <w:p w:rsidR="00E0105F" w:rsidRDefault="00E0105F" w:rsidP="00EF1510">
      <w:pPr>
        <w:spacing w:after="0" w:line="240" w:lineRule="auto"/>
        <w:contextualSpacing/>
        <w:rPr>
          <w:rFonts w:ascii="Times New Roman" w:eastAsia="Times New Roman" w:hAnsi="Times New Roman"/>
          <w:sz w:val="20"/>
          <w:szCs w:val="20"/>
          <w:lang w:eastAsia="lv-LV"/>
        </w:rPr>
      </w:pPr>
    </w:p>
    <w:p w:rsidR="00E0105F" w:rsidRPr="0020119C" w:rsidRDefault="00DC238A" w:rsidP="00EF1510">
      <w:pPr>
        <w:spacing w:after="0" w:line="240" w:lineRule="auto"/>
        <w:contextualSpacing/>
        <w:rPr>
          <w:rFonts w:ascii="Times New Roman" w:eastAsia="Times New Roman" w:hAnsi="Times New Roman"/>
          <w:sz w:val="20"/>
          <w:szCs w:val="20"/>
          <w:lang w:eastAsia="lv-LV"/>
        </w:rPr>
      </w:pPr>
      <w:r w:rsidRPr="0020119C">
        <w:rPr>
          <w:rFonts w:ascii="Times New Roman" w:eastAsia="Times New Roman" w:hAnsi="Times New Roman"/>
          <w:sz w:val="20"/>
          <w:szCs w:val="20"/>
          <w:lang w:eastAsia="lv-LV"/>
        </w:rPr>
        <w:fldChar w:fldCharType="begin"/>
      </w:r>
      <w:r w:rsidRPr="0020119C">
        <w:rPr>
          <w:rFonts w:ascii="Times New Roman" w:eastAsia="Times New Roman" w:hAnsi="Times New Roman"/>
          <w:sz w:val="20"/>
          <w:szCs w:val="20"/>
          <w:lang w:eastAsia="lv-LV"/>
        </w:rPr>
        <w:instrText xml:space="preserve"> TIME  \@ "dd.MM.yyyy H:mm"  \* MERGEFORMAT </w:instrText>
      </w:r>
      <w:r w:rsidRPr="0020119C">
        <w:rPr>
          <w:rFonts w:ascii="Times New Roman" w:eastAsia="Times New Roman" w:hAnsi="Times New Roman"/>
          <w:sz w:val="20"/>
          <w:szCs w:val="20"/>
          <w:lang w:eastAsia="lv-LV"/>
        </w:rPr>
        <w:fldChar w:fldCharType="separate"/>
      </w:r>
      <w:r w:rsidR="00B25A3D">
        <w:rPr>
          <w:rFonts w:ascii="Times New Roman" w:eastAsia="Times New Roman" w:hAnsi="Times New Roman"/>
          <w:noProof/>
          <w:sz w:val="20"/>
          <w:szCs w:val="20"/>
          <w:lang w:eastAsia="lv-LV"/>
        </w:rPr>
        <w:t>16.06.2016 12:56</w:t>
      </w:r>
      <w:r w:rsidRPr="0020119C">
        <w:rPr>
          <w:rFonts w:ascii="Times New Roman" w:eastAsia="Times New Roman" w:hAnsi="Times New Roman"/>
          <w:sz w:val="20"/>
          <w:szCs w:val="20"/>
          <w:lang w:eastAsia="lv-LV"/>
        </w:rPr>
        <w:fldChar w:fldCharType="end"/>
      </w:r>
    </w:p>
    <w:p w:rsidR="008745CA" w:rsidRPr="0020119C" w:rsidRDefault="008745CA" w:rsidP="008745CA">
      <w:pPr>
        <w:spacing w:after="0" w:line="240" w:lineRule="auto"/>
        <w:rPr>
          <w:rFonts w:ascii="Times New Roman" w:eastAsia="Times New Roman" w:hAnsi="Times New Roman"/>
          <w:sz w:val="20"/>
          <w:szCs w:val="20"/>
          <w:lang w:eastAsia="lv-LV"/>
        </w:rPr>
      </w:pPr>
      <w:r w:rsidRPr="0020119C">
        <w:rPr>
          <w:rFonts w:ascii="Times New Roman" w:eastAsia="Times New Roman" w:hAnsi="Times New Roman"/>
          <w:sz w:val="20"/>
          <w:szCs w:val="20"/>
          <w:lang w:eastAsia="lv-LV"/>
        </w:rPr>
        <w:fldChar w:fldCharType="begin"/>
      </w:r>
      <w:r w:rsidRPr="0020119C">
        <w:rPr>
          <w:rFonts w:ascii="Times New Roman" w:eastAsia="Times New Roman" w:hAnsi="Times New Roman"/>
          <w:sz w:val="20"/>
          <w:szCs w:val="20"/>
          <w:lang w:eastAsia="lv-LV"/>
        </w:rPr>
        <w:instrText xml:space="preserve"> NUMWORDS   \* MERGEFORMAT </w:instrText>
      </w:r>
      <w:r w:rsidRPr="0020119C">
        <w:rPr>
          <w:rFonts w:ascii="Times New Roman" w:eastAsia="Times New Roman" w:hAnsi="Times New Roman"/>
          <w:sz w:val="20"/>
          <w:szCs w:val="20"/>
          <w:lang w:eastAsia="lv-LV"/>
        </w:rPr>
        <w:fldChar w:fldCharType="separate"/>
      </w:r>
      <w:r w:rsidR="00AF5B4B">
        <w:rPr>
          <w:rFonts w:ascii="Times New Roman" w:eastAsia="Times New Roman" w:hAnsi="Times New Roman"/>
          <w:noProof/>
          <w:sz w:val="20"/>
          <w:szCs w:val="20"/>
          <w:lang w:eastAsia="lv-LV"/>
        </w:rPr>
        <w:t>1308</w:t>
      </w:r>
      <w:r w:rsidRPr="0020119C">
        <w:rPr>
          <w:rFonts w:ascii="Times New Roman" w:eastAsia="Times New Roman" w:hAnsi="Times New Roman"/>
          <w:sz w:val="20"/>
          <w:szCs w:val="20"/>
          <w:lang w:eastAsia="lv-LV"/>
        </w:rPr>
        <w:fldChar w:fldCharType="end"/>
      </w:r>
    </w:p>
    <w:p w:rsidR="004E53A3" w:rsidRPr="0020119C" w:rsidRDefault="000F45DF" w:rsidP="004E53A3">
      <w:pPr>
        <w:tabs>
          <w:tab w:val="left" w:pos="1920"/>
        </w:tabs>
        <w:spacing w:after="0" w:line="240" w:lineRule="auto"/>
        <w:rPr>
          <w:rFonts w:ascii="Times New Roman" w:eastAsia="Times New Roman" w:hAnsi="Times New Roman"/>
          <w:color w:val="000000"/>
          <w:sz w:val="20"/>
          <w:szCs w:val="20"/>
          <w:lang w:eastAsia="lv-LV"/>
        </w:rPr>
      </w:pPr>
      <w:r w:rsidRPr="0020119C">
        <w:rPr>
          <w:rFonts w:ascii="Times New Roman" w:eastAsia="Times New Roman" w:hAnsi="Times New Roman"/>
          <w:color w:val="000000"/>
          <w:sz w:val="20"/>
          <w:szCs w:val="20"/>
          <w:lang w:eastAsia="lv-LV"/>
        </w:rPr>
        <w:t>K.</w:t>
      </w:r>
      <w:r w:rsidRPr="0020119C">
        <w:rPr>
          <w:rFonts w:ascii="Times New Roman" w:hAnsi="Times New Roman"/>
          <w:sz w:val="20"/>
          <w:szCs w:val="20"/>
        </w:rPr>
        <w:t> </w:t>
      </w:r>
      <w:r w:rsidR="004E53A3" w:rsidRPr="0020119C">
        <w:rPr>
          <w:rFonts w:ascii="Times New Roman" w:eastAsia="Times New Roman" w:hAnsi="Times New Roman"/>
          <w:color w:val="000000"/>
          <w:sz w:val="20"/>
          <w:szCs w:val="20"/>
          <w:lang w:eastAsia="lv-LV"/>
        </w:rPr>
        <w:t>Brača, 67829059</w:t>
      </w:r>
    </w:p>
    <w:p w:rsidR="008745CA" w:rsidRPr="0020119C" w:rsidRDefault="004E53A3" w:rsidP="004E53A3">
      <w:pPr>
        <w:tabs>
          <w:tab w:val="left" w:pos="1920"/>
        </w:tabs>
        <w:spacing w:after="0" w:line="240" w:lineRule="auto"/>
        <w:rPr>
          <w:rFonts w:ascii="Times New Roman" w:eastAsia="Times New Roman" w:hAnsi="Times New Roman"/>
          <w:color w:val="000000"/>
          <w:sz w:val="20"/>
          <w:szCs w:val="20"/>
          <w:lang w:eastAsia="lv-LV"/>
        </w:rPr>
      </w:pPr>
      <w:r w:rsidRPr="0020119C">
        <w:rPr>
          <w:rFonts w:ascii="Times New Roman" w:eastAsia="Times New Roman" w:hAnsi="Times New Roman"/>
          <w:color w:val="000000"/>
          <w:sz w:val="20"/>
          <w:szCs w:val="20"/>
          <w:lang w:eastAsia="lv-LV"/>
        </w:rPr>
        <w:t>krista.braca@agentura.iem.gov.lv</w:t>
      </w:r>
    </w:p>
    <w:sectPr w:rsidR="008745CA" w:rsidRPr="0020119C" w:rsidSect="002416D3">
      <w:headerReference w:type="default" r:id="rId8"/>
      <w:footerReference w:type="default" r:id="rId9"/>
      <w:footerReference w:type="first" r:id="rId10"/>
      <w:pgSz w:w="11906" w:h="16838"/>
      <w:pgMar w:top="1134" w:right="1134" w:bottom="1134" w:left="1701" w:header="45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DA" w:rsidRDefault="00FC31DA">
      <w:pPr>
        <w:spacing w:after="0" w:line="240" w:lineRule="auto"/>
      </w:pPr>
      <w:r>
        <w:separator/>
      </w:r>
    </w:p>
  </w:endnote>
  <w:endnote w:type="continuationSeparator" w:id="0">
    <w:p w:rsidR="00FC31DA" w:rsidRDefault="00FC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Korinna LRS">
    <w:altName w:val="Times New Roman"/>
    <w:panose1 w:val="00000000000000000000"/>
    <w:charset w:val="00"/>
    <w:family w:val="roman"/>
    <w:notTrueType/>
    <w:pitch w:val="default"/>
  </w:font>
  <w:font w:name="Times-Roman">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A3" w:rsidRPr="004E53A3" w:rsidRDefault="0088626A" w:rsidP="00136B18">
    <w:pPr>
      <w:pStyle w:val="Footer"/>
      <w:jc w:val="both"/>
      <w:rPr>
        <w:rFonts w:ascii="Times New Roman" w:hAnsi="Times New Roman"/>
        <w:lang w:val="lv-LV"/>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AF5B4B">
      <w:rPr>
        <w:rFonts w:ascii="Times New Roman" w:hAnsi="Times New Roman"/>
        <w:noProof/>
      </w:rPr>
      <w:t>IEMAnot_160616_NVA_nolik</w:t>
    </w:r>
    <w:r>
      <w:rPr>
        <w:rFonts w:ascii="Times New Roman" w:hAnsi="Times New Roman"/>
      </w:rPr>
      <w:fldChar w:fldCharType="end"/>
    </w:r>
    <w:r w:rsidR="00136B18" w:rsidRPr="00136B18">
      <w:rPr>
        <w:rFonts w:ascii="Times New Roman" w:hAnsi="Times New Roman"/>
      </w:rPr>
      <w:t xml:space="preserve">; </w:t>
    </w:r>
    <w:r w:rsidR="004E53A3" w:rsidRPr="004E53A3">
      <w:rPr>
        <w:rFonts w:ascii="Times New Roman" w:hAnsi="Times New Roman"/>
      </w:rPr>
      <w:t>Ministru kabineta noteikumu projekta "Gr</w:t>
    </w:r>
    <w:r w:rsidR="00C55C8F">
      <w:rPr>
        <w:rFonts w:ascii="Times New Roman" w:hAnsi="Times New Roman"/>
      </w:rPr>
      <w:t>ozījumi Ministru kabineta 2012.</w:t>
    </w:r>
    <w:r w:rsidR="00C55C8F">
      <w:rPr>
        <w:lang w:val="lv-LV"/>
      </w:rPr>
      <w:t> </w:t>
    </w:r>
    <w:r w:rsidR="00C55C8F">
      <w:rPr>
        <w:rFonts w:ascii="Times New Roman" w:hAnsi="Times New Roman"/>
      </w:rPr>
      <w:t>gada 11.</w:t>
    </w:r>
    <w:r w:rsidR="00C55C8F">
      <w:rPr>
        <w:rFonts w:ascii="Times New Roman" w:hAnsi="Times New Roman"/>
        <w:lang w:val="lv-LV"/>
      </w:rPr>
      <w:t> </w:t>
    </w:r>
    <w:r w:rsidR="004E53A3" w:rsidRPr="004E53A3">
      <w:rPr>
        <w:rFonts w:ascii="Times New Roman" w:hAnsi="Times New Roman"/>
      </w:rPr>
      <w:t xml:space="preserve">decembra noteikumos </w:t>
    </w:r>
    <w:proofErr w:type="spellStart"/>
    <w:r w:rsidR="00C55C8F">
      <w:rPr>
        <w:rFonts w:ascii="Times New Roman" w:hAnsi="Times New Roman"/>
      </w:rPr>
      <w:t>Nr</w:t>
    </w:r>
    <w:proofErr w:type="spellEnd"/>
    <w:r w:rsidR="00C55C8F">
      <w:rPr>
        <w:rFonts w:ascii="Times New Roman" w:hAnsi="Times New Roman"/>
      </w:rPr>
      <w:t>.</w:t>
    </w:r>
    <w:r w:rsidR="00C55C8F">
      <w:rPr>
        <w:rFonts w:ascii="Times New Roman" w:hAnsi="Times New Roman"/>
        <w:lang w:val="lv-LV"/>
      </w:rPr>
      <w:t> </w:t>
    </w:r>
    <w:r w:rsidR="004E53A3" w:rsidRPr="004E53A3">
      <w:rPr>
        <w:rFonts w:ascii="Times New Roman" w:hAnsi="Times New Roman"/>
      </w:rPr>
      <w:t>839 "Nodrošinājuma valsts aģentūras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63" w:rsidRPr="004E53A3" w:rsidRDefault="00A41EC9" w:rsidP="004E53A3">
    <w:pPr>
      <w:pStyle w:val="Footer"/>
      <w:jc w:val="both"/>
      <w:rPr>
        <w:rFonts w:ascii="Times New Roman" w:hAnsi="Times New Roman"/>
      </w:rPr>
    </w:pPr>
    <w:r>
      <w:rPr>
        <w:rFonts w:ascii="Times New Roman" w:hAnsi="Times New Roman"/>
        <w:lang w:val="lv-LV"/>
      </w:rPr>
      <w:fldChar w:fldCharType="begin"/>
    </w:r>
    <w:r>
      <w:rPr>
        <w:rFonts w:ascii="Times New Roman" w:hAnsi="Times New Roman"/>
        <w:lang w:val="lv-LV"/>
      </w:rPr>
      <w:instrText xml:space="preserve"> FILENAME   \* MERGEFORMAT </w:instrText>
    </w:r>
    <w:r>
      <w:rPr>
        <w:rFonts w:ascii="Times New Roman" w:hAnsi="Times New Roman"/>
        <w:lang w:val="lv-LV"/>
      </w:rPr>
      <w:fldChar w:fldCharType="separate"/>
    </w:r>
    <w:r w:rsidR="00AF5B4B">
      <w:rPr>
        <w:rFonts w:ascii="Times New Roman" w:hAnsi="Times New Roman"/>
        <w:noProof/>
        <w:lang w:val="lv-LV"/>
      </w:rPr>
      <w:t>IEMAnot_160616_NVA_nolik</w:t>
    </w:r>
    <w:r>
      <w:rPr>
        <w:rFonts w:ascii="Times New Roman" w:hAnsi="Times New Roman"/>
        <w:lang w:val="lv-LV"/>
      </w:rPr>
      <w:fldChar w:fldCharType="end"/>
    </w:r>
    <w:r w:rsidR="00227763">
      <w:rPr>
        <w:rFonts w:ascii="Times New Roman" w:hAnsi="Times New Roman"/>
      </w:rPr>
      <w:t xml:space="preserve">; </w:t>
    </w:r>
    <w:r w:rsidR="004E53A3" w:rsidRPr="004E53A3">
      <w:rPr>
        <w:rFonts w:ascii="Times New Roman" w:hAnsi="Times New Roman"/>
      </w:rPr>
      <w:t>Ministru kabineta noteikumu projekta</w:t>
    </w:r>
    <w:r w:rsidR="004E53A3">
      <w:rPr>
        <w:rFonts w:ascii="Times New Roman" w:hAnsi="Times New Roman"/>
        <w:lang w:val="lv-LV"/>
      </w:rPr>
      <w:t xml:space="preserve"> </w:t>
    </w:r>
    <w:r w:rsidR="004E53A3" w:rsidRPr="004E53A3">
      <w:rPr>
        <w:rFonts w:ascii="Times New Roman" w:hAnsi="Times New Roman"/>
      </w:rPr>
      <w:t>"Gr</w:t>
    </w:r>
    <w:r w:rsidR="00C55C8F">
      <w:rPr>
        <w:rFonts w:ascii="Times New Roman" w:hAnsi="Times New Roman"/>
      </w:rPr>
      <w:t>ozījumi Ministru kabineta 2012.</w:t>
    </w:r>
    <w:r w:rsidR="00C55C8F">
      <w:rPr>
        <w:rFonts w:ascii="Times New Roman" w:hAnsi="Times New Roman"/>
        <w:lang w:val="lv-LV"/>
      </w:rPr>
      <w:t> </w:t>
    </w:r>
    <w:r w:rsidR="00C55C8F">
      <w:rPr>
        <w:rFonts w:ascii="Times New Roman" w:hAnsi="Times New Roman"/>
      </w:rPr>
      <w:t>gada 11.</w:t>
    </w:r>
    <w:r w:rsidR="00C55C8F">
      <w:rPr>
        <w:rFonts w:ascii="Times New Roman" w:hAnsi="Times New Roman"/>
        <w:lang w:val="lv-LV"/>
      </w:rPr>
      <w:t> </w:t>
    </w:r>
    <w:r w:rsidR="004E53A3" w:rsidRPr="004E53A3">
      <w:rPr>
        <w:rFonts w:ascii="Times New Roman" w:hAnsi="Times New Roman"/>
      </w:rPr>
      <w:t>decembra noteik</w:t>
    </w:r>
    <w:r w:rsidR="00C55C8F">
      <w:rPr>
        <w:rFonts w:ascii="Times New Roman" w:hAnsi="Times New Roman"/>
      </w:rPr>
      <w:t xml:space="preserve">umos </w:t>
    </w:r>
    <w:proofErr w:type="spellStart"/>
    <w:r w:rsidR="00C55C8F">
      <w:rPr>
        <w:rFonts w:ascii="Times New Roman" w:hAnsi="Times New Roman"/>
      </w:rPr>
      <w:t>Nr</w:t>
    </w:r>
    <w:proofErr w:type="spellEnd"/>
    <w:r w:rsidR="00C55C8F">
      <w:rPr>
        <w:rFonts w:ascii="Times New Roman" w:hAnsi="Times New Roman"/>
      </w:rPr>
      <w:t>.</w:t>
    </w:r>
    <w:r w:rsidR="00C55C8F">
      <w:rPr>
        <w:rFonts w:ascii="Times New Roman" w:hAnsi="Times New Roman"/>
        <w:lang w:val="lv-LV"/>
      </w:rPr>
      <w:t> </w:t>
    </w:r>
    <w:r w:rsidR="004E53A3" w:rsidRPr="004E53A3">
      <w:rPr>
        <w:rFonts w:ascii="Times New Roman" w:hAnsi="Times New Roman"/>
      </w:rPr>
      <w:t>839 "Nodrošinājuma valsts aģentūras nolikums"" sākotnējās ietekme</w:t>
    </w:r>
    <w:r w:rsidR="004E53A3">
      <w:rPr>
        <w:rFonts w:ascii="Times New Roman" w:hAnsi="Times New Roman"/>
      </w:rPr>
      <w:t>s</w:t>
    </w:r>
    <w:r w:rsidR="004E53A3">
      <w:rPr>
        <w:rFonts w:ascii="Times New Roman" w:hAnsi="Times New Roman"/>
        <w:lang w:val="lv-LV"/>
      </w:rPr>
      <w:t xml:space="preserve"> </w:t>
    </w:r>
    <w:r w:rsidR="004E53A3" w:rsidRPr="004E53A3">
      <w:rPr>
        <w:rFonts w:ascii="Times New Roman" w:hAnsi="Times New Roman"/>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DA" w:rsidRDefault="00FC31DA">
      <w:pPr>
        <w:spacing w:after="0" w:line="240" w:lineRule="auto"/>
      </w:pPr>
      <w:r>
        <w:separator/>
      </w:r>
    </w:p>
  </w:footnote>
  <w:footnote w:type="continuationSeparator" w:id="0">
    <w:p w:rsidR="00FC31DA" w:rsidRDefault="00FC3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63" w:rsidRPr="00CB340C" w:rsidRDefault="00227763">
    <w:pPr>
      <w:pStyle w:val="Header"/>
      <w:jc w:val="center"/>
      <w:rPr>
        <w:rFonts w:ascii="Times New Roman" w:hAnsi="Times New Roman"/>
        <w:sz w:val="24"/>
        <w:szCs w:val="24"/>
      </w:rPr>
    </w:pPr>
    <w:r w:rsidRPr="00CB340C">
      <w:rPr>
        <w:rFonts w:ascii="Times New Roman" w:hAnsi="Times New Roman"/>
        <w:sz w:val="24"/>
        <w:szCs w:val="24"/>
      </w:rPr>
      <w:fldChar w:fldCharType="begin"/>
    </w:r>
    <w:r w:rsidRPr="00CB340C">
      <w:rPr>
        <w:rFonts w:ascii="Times New Roman" w:hAnsi="Times New Roman"/>
        <w:sz w:val="24"/>
        <w:szCs w:val="24"/>
      </w:rPr>
      <w:instrText xml:space="preserve"> PAGE </w:instrText>
    </w:r>
    <w:r w:rsidRPr="00CB340C">
      <w:rPr>
        <w:rFonts w:ascii="Times New Roman" w:hAnsi="Times New Roman"/>
        <w:sz w:val="24"/>
        <w:szCs w:val="24"/>
      </w:rPr>
      <w:fldChar w:fldCharType="separate"/>
    </w:r>
    <w:r w:rsidR="00B25A3D">
      <w:rPr>
        <w:rFonts w:ascii="Times New Roman" w:hAnsi="Times New Roman"/>
        <w:noProof/>
        <w:sz w:val="24"/>
        <w:szCs w:val="24"/>
      </w:rPr>
      <w:t>5</w:t>
    </w:r>
    <w:r w:rsidRPr="00CB34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1C"/>
    <w:rsid w:val="00005FF4"/>
    <w:rsid w:val="00011B89"/>
    <w:rsid w:val="000534FC"/>
    <w:rsid w:val="00061EF9"/>
    <w:rsid w:val="000624F4"/>
    <w:rsid w:val="00086931"/>
    <w:rsid w:val="00090E54"/>
    <w:rsid w:val="00094676"/>
    <w:rsid w:val="000C4F39"/>
    <w:rsid w:val="000D2566"/>
    <w:rsid w:val="000D7663"/>
    <w:rsid w:val="000E101C"/>
    <w:rsid w:val="000F1EA0"/>
    <w:rsid w:val="000F45DF"/>
    <w:rsid w:val="00107B11"/>
    <w:rsid w:val="00115233"/>
    <w:rsid w:val="001155C1"/>
    <w:rsid w:val="00121F33"/>
    <w:rsid w:val="00125A33"/>
    <w:rsid w:val="00136B18"/>
    <w:rsid w:val="001750EB"/>
    <w:rsid w:val="00196F0D"/>
    <w:rsid w:val="001B3859"/>
    <w:rsid w:val="001C33C3"/>
    <w:rsid w:val="001C44AC"/>
    <w:rsid w:val="001C5723"/>
    <w:rsid w:val="001D4C7B"/>
    <w:rsid w:val="001E12B7"/>
    <w:rsid w:val="001E3324"/>
    <w:rsid w:val="001E6D4B"/>
    <w:rsid w:val="001F2D18"/>
    <w:rsid w:val="0020119C"/>
    <w:rsid w:val="00212C47"/>
    <w:rsid w:val="002163E3"/>
    <w:rsid w:val="0022366B"/>
    <w:rsid w:val="00227763"/>
    <w:rsid w:val="0024162E"/>
    <w:rsid w:val="002416D3"/>
    <w:rsid w:val="00241D26"/>
    <w:rsid w:val="00253653"/>
    <w:rsid w:val="00257ACD"/>
    <w:rsid w:val="00261541"/>
    <w:rsid w:val="002617BA"/>
    <w:rsid w:val="00273AA7"/>
    <w:rsid w:val="002761D6"/>
    <w:rsid w:val="00276D3C"/>
    <w:rsid w:val="00293E08"/>
    <w:rsid w:val="00294BB8"/>
    <w:rsid w:val="002A17CB"/>
    <w:rsid w:val="002A2952"/>
    <w:rsid w:val="002A450E"/>
    <w:rsid w:val="002B6B9C"/>
    <w:rsid w:val="002D334D"/>
    <w:rsid w:val="002D457D"/>
    <w:rsid w:val="002E7D14"/>
    <w:rsid w:val="00302C43"/>
    <w:rsid w:val="00327630"/>
    <w:rsid w:val="003323E8"/>
    <w:rsid w:val="00342C54"/>
    <w:rsid w:val="00346D37"/>
    <w:rsid w:val="003500A7"/>
    <w:rsid w:val="0035474B"/>
    <w:rsid w:val="00355A42"/>
    <w:rsid w:val="003775E1"/>
    <w:rsid w:val="00394E02"/>
    <w:rsid w:val="00395E9E"/>
    <w:rsid w:val="003B3DD5"/>
    <w:rsid w:val="003B6058"/>
    <w:rsid w:val="003B7559"/>
    <w:rsid w:val="003B768D"/>
    <w:rsid w:val="003C11D7"/>
    <w:rsid w:val="003C5823"/>
    <w:rsid w:val="003C6B48"/>
    <w:rsid w:val="003C773D"/>
    <w:rsid w:val="003E2775"/>
    <w:rsid w:val="0040029F"/>
    <w:rsid w:val="0040125B"/>
    <w:rsid w:val="00402A6A"/>
    <w:rsid w:val="00416106"/>
    <w:rsid w:val="004202EC"/>
    <w:rsid w:val="00421810"/>
    <w:rsid w:val="004302D6"/>
    <w:rsid w:val="00433825"/>
    <w:rsid w:val="00434D9C"/>
    <w:rsid w:val="004512CD"/>
    <w:rsid w:val="0045541D"/>
    <w:rsid w:val="00461EAB"/>
    <w:rsid w:val="00471E95"/>
    <w:rsid w:val="00473330"/>
    <w:rsid w:val="00484689"/>
    <w:rsid w:val="004A561A"/>
    <w:rsid w:val="004C48C9"/>
    <w:rsid w:val="004C4D11"/>
    <w:rsid w:val="004C51F9"/>
    <w:rsid w:val="004E53A3"/>
    <w:rsid w:val="00501786"/>
    <w:rsid w:val="0051699C"/>
    <w:rsid w:val="00517AD7"/>
    <w:rsid w:val="00527B21"/>
    <w:rsid w:val="00532DC8"/>
    <w:rsid w:val="005550D6"/>
    <w:rsid w:val="00555CF2"/>
    <w:rsid w:val="005571F3"/>
    <w:rsid w:val="00584B9D"/>
    <w:rsid w:val="005C24C0"/>
    <w:rsid w:val="005C5F59"/>
    <w:rsid w:val="005D5188"/>
    <w:rsid w:val="005E120B"/>
    <w:rsid w:val="005E20D8"/>
    <w:rsid w:val="005E47DC"/>
    <w:rsid w:val="005E5FA3"/>
    <w:rsid w:val="005F0BE1"/>
    <w:rsid w:val="00615FF7"/>
    <w:rsid w:val="006277A0"/>
    <w:rsid w:val="00654654"/>
    <w:rsid w:val="00654B5E"/>
    <w:rsid w:val="00662055"/>
    <w:rsid w:val="00693C3E"/>
    <w:rsid w:val="00693CD1"/>
    <w:rsid w:val="006A0C9E"/>
    <w:rsid w:val="006B0966"/>
    <w:rsid w:val="006B6C75"/>
    <w:rsid w:val="006C4E5B"/>
    <w:rsid w:val="006C5985"/>
    <w:rsid w:val="006C79A5"/>
    <w:rsid w:val="006D04E5"/>
    <w:rsid w:val="006F6203"/>
    <w:rsid w:val="006F7248"/>
    <w:rsid w:val="00700D47"/>
    <w:rsid w:val="00703356"/>
    <w:rsid w:val="00706A2D"/>
    <w:rsid w:val="00714BA6"/>
    <w:rsid w:val="00720981"/>
    <w:rsid w:val="0072119D"/>
    <w:rsid w:val="007314C7"/>
    <w:rsid w:val="00733005"/>
    <w:rsid w:val="00743418"/>
    <w:rsid w:val="00747926"/>
    <w:rsid w:val="00766A46"/>
    <w:rsid w:val="007777D0"/>
    <w:rsid w:val="00787273"/>
    <w:rsid w:val="0079629F"/>
    <w:rsid w:val="007A2148"/>
    <w:rsid w:val="007A34DE"/>
    <w:rsid w:val="007B0220"/>
    <w:rsid w:val="007C4025"/>
    <w:rsid w:val="007E581C"/>
    <w:rsid w:val="007F0BF5"/>
    <w:rsid w:val="0080158B"/>
    <w:rsid w:val="00826280"/>
    <w:rsid w:val="00841E23"/>
    <w:rsid w:val="008465A2"/>
    <w:rsid w:val="00846E0B"/>
    <w:rsid w:val="008534D0"/>
    <w:rsid w:val="008745CA"/>
    <w:rsid w:val="0088626A"/>
    <w:rsid w:val="00892621"/>
    <w:rsid w:val="008B3B21"/>
    <w:rsid w:val="008C0021"/>
    <w:rsid w:val="008C16CC"/>
    <w:rsid w:val="008D25AB"/>
    <w:rsid w:val="008D5039"/>
    <w:rsid w:val="008F55AE"/>
    <w:rsid w:val="0090791D"/>
    <w:rsid w:val="0092567E"/>
    <w:rsid w:val="00925950"/>
    <w:rsid w:val="00926C87"/>
    <w:rsid w:val="00933FF9"/>
    <w:rsid w:val="0095648F"/>
    <w:rsid w:val="0096118D"/>
    <w:rsid w:val="009630C7"/>
    <w:rsid w:val="00971394"/>
    <w:rsid w:val="009768EA"/>
    <w:rsid w:val="00977393"/>
    <w:rsid w:val="00977916"/>
    <w:rsid w:val="00983730"/>
    <w:rsid w:val="0098424D"/>
    <w:rsid w:val="009939BD"/>
    <w:rsid w:val="009B4EDC"/>
    <w:rsid w:val="009B6B0C"/>
    <w:rsid w:val="009B787F"/>
    <w:rsid w:val="009E498F"/>
    <w:rsid w:val="009E5449"/>
    <w:rsid w:val="009E7CB4"/>
    <w:rsid w:val="009F0B52"/>
    <w:rsid w:val="00A078A6"/>
    <w:rsid w:val="00A16E09"/>
    <w:rsid w:val="00A23C3D"/>
    <w:rsid w:val="00A41EC9"/>
    <w:rsid w:val="00A6444E"/>
    <w:rsid w:val="00A65152"/>
    <w:rsid w:val="00A66075"/>
    <w:rsid w:val="00A66E05"/>
    <w:rsid w:val="00A77AD3"/>
    <w:rsid w:val="00A80C65"/>
    <w:rsid w:val="00A81774"/>
    <w:rsid w:val="00A920D4"/>
    <w:rsid w:val="00A95244"/>
    <w:rsid w:val="00AA19D8"/>
    <w:rsid w:val="00AB0100"/>
    <w:rsid w:val="00AD3CE4"/>
    <w:rsid w:val="00AF5B4B"/>
    <w:rsid w:val="00B15369"/>
    <w:rsid w:val="00B1652B"/>
    <w:rsid w:val="00B20A25"/>
    <w:rsid w:val="00B25A3D"/>
    <w:rsid w:val="00B31DA2"/>
    <w:rsid w:val="00B41E0B"/>
    <w:rsid w:val="00B45169"/>
    <w:rsid w:val="00B51942"/>
    <w:rsid w:val="00B52063"/>
    <w:rsid w:val="00B52EF8"/>
    <w:rsid w:val="00B5787B"/>
    <w:rsid w:val="00B61EE7"/>
    <w:rsid w:val="00B64779"/>
    <w:rsid w:val="00B74A38"/>
    <w:rsid w:val="00B9060D"/>
    <w:rsid w:val="00B97186"/>
    <w:rsid w:val="00BB277B"/>
    <w:rsid w:val="00BC7335"/>
    <w:rsid w:val="00BE045B"/>
    <w:rsid w:val="00BE2DB3"/>
    <w:rsid w:val="00BE5B49"/>
    <w:rsid w:val="00C028DE"/>
    <w:rsid w:val="00C06BD9"/>
    <w:rsid w:val="00C07B8A"/>
    <w:rsid w:val="00C12432"/>
    <w:rsid w:val="00C14834"/>
    <w:rsid w:val="00C236C2"/>
    <w:rsid w:val="00C3079A"/>
    <w:rsid w:val="00C31A43"/>
    <w:rsid w:val="00C40A5F"/>
    <w:rsid w:val="00C456BF"/>
    <w:rsid w:val="00C50337"/>
    <w:rsid w:val="00C51D17"/>
    <w:rsid w:val="00C55C8F"/>
    <w:rsid w:val="00C70D2C"/>
    <w:rsid w:val="00C718B1"/>
    <w:rsid w:val="00C751EA"/>
    <w:rsid w:val="00C90657"/>
    <w:rsid w:val="00C93246"/>
    <w:rsid w:val="00C96164"/>
    <w:rsid w:val="00CB213C"/>
    <w:rsid w:val="00CB340C"/>
    <w:rsid w:val="00CF2E32"/>
    <w:rsid w:val="00D034CB"/>
    <w:rsid w:val="00D05879"/>
    <w:rsid w:val="00D16346"/>
    <w:rsid w:val="00D169EF"/>
    <w:rsid w:val="00D20A25"/>
    <w:rsid w:val="00D20E0E"/>
    <w:rsid w:val="00D23585"/>
    <w:rsid w:val="00D4060F"/>
    <w:rsid w:val="00D42BDA"/>
    <w:rsid w:val="00D64FE1"/>
    <w:rsid w:val="00D713B4"/>
    <w:rsid w:val="00D80DEB"/>
    <w:rsid w:val="00DA48AF"/>
    <w:rsid w:val="00DB7339"/>
    <w:rsid w:val="00DC1DED"/>
    <w:rsid w:val="00DC238A"/>
    <w:rsid w:val="00DC694D"/>
    <w:rsid w:val="00DD4497"/>
    <w:rsid w:val="00DE36EB"/>
    <w:rsid w:val="00E0105F"/>
    <w:rsid w:val="00E105F6"/>
    <w:rsid w:val="00E16BCC"/>
    <w:rsid w:val="00E16F4D"/>
    <w:rsid w:val="00E23165"/>
    <w:rsid w:val="00E27620"/>
    <w:rsid w:val="00E41A3D"/>
    <w:rsid w:val="00E623C0"/>
    <w:rsid w:val="00E90697"/>
    <w:rsid w:val="00EA45A9"/>
    <w:rsid w:val="00EB4299"/>
    <w:rsid w:val="00EC0FCF"/>
    <w:rsid w:val="00ED45A6"/>
    <w:rsid w:val="00ED6918"/>
    <w:rsid w:val="00EE0C0C"/>
    <w:rsid w:val="00EE4D08"/>
    <w:rsid w:val="00EF04A5"/>
    <w:rsid w:val="00EF1510"/>
    <w:rsid w:val="00EF4BC7"/>
    <w:rsid w:val="00F2728D"/>
    <w:rsid w:val="00F44731"/>
    <w:rsid w:val="00F45E45"/>
    <w:rsid w:val="00F523B3"/>
    <w:rsid w:val="00F56B8C"/>
    <w:rsid w:val="00F61072"/>
    <w:rsid w:val="00F73BF6"/>
    <w:rsid w:val="00F75056"/>
    <w:rsid w:val="00F81245"/>
    <w:rsid w:val="00F8145D"/>
    <w:rsid w:val="00F8234B"/>
    <w:rsid w:val="00F82F28"/>
    <w:rsid w:val="00F973A1"/>
    <w:rsid w:val="00F976EE"/>
    <w:rsid w:val="00FA4B5C"/>
    <w:rsid w:val="00FB478B"/>
    <w:rsid w:val="00FB694C"/>
    <w:rsid w:val="00FB6F65"/>
    <w:rsid w:val="00FC1F24"/>
    <w:rsid w:val="00FC31DA"/>
    <w:rsid w:val="00FD4B3C"/>
    <w:rsid w:val="00FE3F52"/>
    <w:rsid w:val="00FF3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oklusjumarindkopasfonts1">
    <w:name w:val="Noklusējuma rindkopas fonts1"/>
  </w:style>
  <w:style w:type="character" w:customStyle="1" w:styleId="GalveneRakstz">
    <w:name w:val="Galvene Rakstz."/>
    <w:rPr>
      <w:rFonts w:ascii="Calibri" w:eastAsia="Calibri" w:hAnsi="Calibri" w:cs="Times New Roman"/>
      <w:sz w:val="20"/>
      <w:szCs w:val="20"/>
      <w:lang w:val="x-none"/>
    </w:rPr>
  </w:style>
  <w:style w:type="character" w:customStyle="1" w:styleId="KjeneRakstz">
    <w:name w:val="Kājene Rakstz."/>
    <w:rPr>
      <w:rFonts w:ascii="Calibri" w:eastAsia="Calibri" w:hAnsi="Calibri" w:cs="Times New Roman"/>
      <w:sz w:val="20"/>
      <w:szCs w:val="20"/>
      <w:lang w:val="x-none"/>
    </w:rPr>
  </w:style>
  <w:style w:type="character" w:styleId="Hyperlink">
    <w:name w:val="Hyperlink"/>
    <w:rPr>
      <w:color w:val="0000FF"/>
      <w:u w:val="single"/>
    </w:rPr>
  </w:style>
  <w:style w:type="character" w:customStyle="1" w:styleId="PamattekstsRakstz">
    <w:name w:val="Pamatteksts Rakstz."/>
    <w:rPr>
      <w:rFonts w:ascii="Times New Roman" w:eastAsia="Times New Roman" w:hAnsi="Times New Roman" w:cs="Times New Roman"/>
      <w:sz w:val="24"/>
      <w:szCs w:val="24"/>
      <w:lang w:val="x-none"/>
    </w:rPr>
  </w:style>
  <w:style w:type="character" w:customStyle="1" w:styleId="apple-converted-space">
    <w:name w:val="apple-converted-space"/>
  </w:style>
  <w:style w:type="character" w:customStyle="1" w:styleId="BalontekstsRakstz">
    <w:name w:val="Balonteksts Rakstz."/>
    <w:rPr>
      <w:sz w:val="16"/>
      <w:szCs w:val="16"/>
    </w:rPr>
  </w:style>
  <w:style w:type="character" w:styleId="Strong">
    <w:name w:val="Strong"/>
    <w:qFormat/>
    <w:rPr>
      <w:b/>
      <w:bCs/>
    </w:rPr>
  </w:style>
  <w:style w:type="character" w:customStyle="1" w:styleId="sfbbfee58">
    <w:name w:val="sfbbfee58"/>
  </w:style>
  <w:style w:type="character" w:customStyle="1" w:styleId="KomentratekstsRakstz">
    <w:name w:val="Komentāra teksts Rakstz."/>
  </w:style>
  <w:style w:type="character" w:customStyle="1" w:styleId="KomentratmaRakstz">
    <w:name w:val="Komentāra tēma Rakstz."/>
    <w:rPr>
      <w:rFonts w:ascii="Times New Roman" w:eastAsia="Times New Roman" w:hAnsi="Times New Roman" w:cs="Times New Roman"/>
      <w:b/>
      <w:bCs/>
    </w:rPr>
  </w:style>
  <w:style w:type="character" w:customStyle="1" w:styleId="Komentraatsauce1">
    <w:name w:val="Komentāra atsauce1"/>
    <w:rPr>
      <w:sz w:val="16"/>
      <w:szCs w:val="16"/>
    </w:rPr>
  </w:style>
  <w:style w:type="character" w:customStyle="1" w:styleId="NosaukumsRakstz">
    <w:name w:val="Nosaukums Rakstz."/>
    <w:rPr>
      <w:rFonts w:ascii="Times New Roman" w:eastAsia="Times New Roman" w:hAnsi="Times New Roman" w:cs="Times New Roman"/>
      <w:b/>
      <w:sz w:val="24"/>
      <w:lang w:val="x-none"/>
    </w:rPr>
  </w:style>
  <w:style w:type="paragraph" w:customStyle="1" w:styleId="Heading">
    <w:name w:val="Heading"/>
    <w:basedOn w:val="Normal"/>
    <w:next w:val="BodyText"/>
    <w:pPr>
      <w:spacing w:after="0" w:line="240" w:lineRule="auto"/>
      <w:jc w:val="center"/>
    </w:pPr>
    <w:rPr>
      <w:rFonts w:ascii="Times New Roman" w:eastAsia="Times New Roman" w:hAnsi="Times New Roman"/>
      <w:b/>
      <w:sz w:val="24"/>
      <w:szCs w:val="20"/>
      <w:lang w:val="x-none"/>
    </w:rPr>
  </w:style>
  <w:style w:type="paragraph" w:styleId="BodyText">
    <w:name w:val="Body Text"/>
    <w:basedOn w:val="Normal"/>
    <w:pPr>
      <w:spacing w:after="0" w:line="240" w:lineRule="auto"/>
      <w:jc w:val="both"/>
    </w:pPr>
    <w:rPr>
      <w:rFonts w:ascii="Times New Roman" w:eastAsia="Times New Roman" w:hAnsi="Times New Roman"/>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Right">
    <w:name w:val="Style Right"/>
    <w:basedOn w:val="Normal"/>
    <w:pPr>
      <w:spacing w:after="120" w:line="240" w:lineRule="auto"/>
      <w:ind w:firstLine="720"/>
      <w:jc w:val="right"/>
    </w:pPr>
    <w:rPr>
      <w:rFonts w:ascii="Times New Roman" w:eastAsia="Times New Roman" w:hAnsi="Times New Roman"/>
      <w:sz w:val="28"/>
      <w:szCs w:val="28"/>
    </w:rPr>
  </w:style>
  <w:style w:type="paragraph" w:styleId="Header">
    <w:name w:val="header"/>
    <w:basedOn w:val="Normal"/>
    <w:pPr>
      <w:tabs>
        <w:tab w:val="center" w:pos="4153"/>
        <w:tab w:val="right" w:pos="8306"/>
      </w:tabs>
      <w:spacing w:after="0" w:line="240" w:lineRule="auto"/>
    </w:pPr>
    <w:rPr>
      <w:sz w:val="20"/>
      <w:szCs w:val="20"/>
      <w:lang w:val="x-none"/>
    </w:rPr>
  </w:style>
  <w:style w:type="paragraph" w:styleId="Footer">
    <w:name w:val="footer"/>
    <w:basedOn w:val="Normal"/>
    <w:pPr>
      <w:tabs>
        <w:tab w:val="center" w:pos="4153"/>
        <w:tab w:val="right" w:pos="8306"/>
      </w:tabs>
      <w:spacing w:after="0" w:line="240" w:lineRule="auto"/>
    </w:pPr>
    <w:rPr>
      <w:sz w:val="20"/>
      <w:szCs w:val="20"/>
      <w:lang w:val="x-none"/>
    </w:rPr>
  </w:style>
  <w:style w:type="paragraph" w:customStyle="1" w:styleId="tv2131">
    <w:name w:val="tv2131"/>
    <w:basedOn w:val="Normal"/>
    <w:pPr>
      <w:spacing w:before="240" w:after="0" w:line="360" w:lineRule="auto"/>
      <w:ind w:firstLine="300"/>
      <w:jc w:val="both"/>
    </w:pPr>
    <w:rPr>
      <w:rFonts w:ascii="Verdana" w:eastAsia="Times New Roman" w:hAnsi="Verdana" w:cs="Verdana"/>
      <w:sz w:val="18"/>
      <w:szCs w:val="18"/>
    </w:rPr>
  </w:style>
  <w:style w:type="paragraph" w:customStyle="1" w:styleId="Sarakstarindkopa1">
    <w:name w:val="Saraksta rindkopa1"/>
    <w:basedOn w:val="Normal"/>
    <w:pPr>
      <w:ind w:left="720"/>
      <w:contextualSpacing/>
    </w:p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customStyle="1" w:styleId="tv213tvp">
    <w:name w:val="tv213 tvp"/>
    <w:basedOn w:val="Normal"/>
    <w:pPr>
      <w:spacing w:before="280" w:after="280" w:line="240" w:lineRule="auto"/>
    </w:pPr>
    <w:rPr>
      <w:rFonts w:ascii="Times New Roman" w:eastAsia="Times New Roman" w:hAnsi="Times New Roman"/>
      <w:sz w:val="24"/>
      <w:szCs w:val="24"/>
    </w:rPr>
  </w:style>
  <w:style w:type="paragraph" w:customStyle="1" w:styleId="Balonteksts1">
    <w:name w:val="Balonteksts1"/>
    <w:basedOn w:val="Normal"/>
    <w:pPr>
      <w:spacing w:after="0" w:line="240" w:lineRule="auto"/>
    </w:pPr>
    <w:rPr>
      <w:sz w:val="16"/>
      <w:szCs w:val="16"/>
      <w:lang w:val="x-none"/>
    </w:rPr>
  </w:style>
  <w:style w:type="paragraph" w:customStyle="1" w:styleId="tv213limenis2">
    <w:name w:val="tv213 limenis2"/>
    <w:basedOn w:val="Normal"/>
    <w:pPr>
      <w:spacing w:before="280" w:after="280" w:line="240" w:lineRule="auto"/>
    </w:pPr>
    <w:rPr>
      <w:rFonts w:ascii="Times New Roman" w:eastAsia="Times New Roman" w:hAnsi="Times New Roman"/>
      <w:sz w:val="24"/>
      <w:szCs w:val="24"/>
    </w:rPr>
  </w:style>
  <w:style w:type="paragraph" w:customStyle="1" w:styleId="clearformatting">
    <w:name w:val="clear formatting"/>
    <w:basedOn w:val="Normal"/>
    <w:pPr>
      <w:jc w:val="both"/>
    </w:pPr>
    <w:rPr>
      <w:rFonts w:ascii="Korinna LRS" w:eastAsia="Times-Roman" w:hAnsi="Korinna LRS" w:cs="Korinna LRS"/>
      <w:sz w:val="23"/>
      <w:szCs w:val="23"/>
    </w:rPr>
  </w:style>
  <w:style w:type="paragraph" w:customStyle="1" w:styleId="Komentrateksts1">
    <w:name w:val="Komentāra teksts1"/>
    <w:basedOn w:val="Normal"/>
    <w:rPr>
      <w:sz w:val="20"/>
      <w:szCs w:val="20"/>
      <w:lang w:val="x-none"/>
    </w:rPr>
  </w:style>
  <w:style w:type="paragraph" w:customStyle="1" w:styleId="Komentratma1">
    <w:name w:val="Komentāra tēma1"/>
    <w:basedOn w:val="Komentrateksts1"/>
    <w:next w:val="Komentrateksts1"/>
    <w:pPr>
      <w:spacing w:after="0" w:line="240" w:lineRule="auto"/>
    </w:pPr>
    <w:rPr>
      <w:rFonts w:ascii="Times New Roman" w:eastAsia="Times New Roman" w:hAnsi="Times New Roman"/>
      <w:b/>
      <w:bCs/>
    </w:rPr>
  </w:style>
  <w:style w:type="paragraph" w:customStyle="1" w:styleId="tv2132">
    <w:name w:val="tv2132"/>
    <w:basedOn w:val="Normal"/>
    <w:pPr>
      <w:spacing w:after="0" w:line="360" w:lineRule="auto"/>
      <w:ind w:firstLine="300"/>
    </w:pPr>
    <w:rPr>
      <w:rFonts w:ascii="Times New Roman" w:eastAsia="Times New Roman" w:hAnsi="Times New Roman"/>
      <w:color w:val="414142"/>
      <w:sz w:val="20"/>
      <w:szCs w:val="20"/>
    </w:rPr>
  </w:style>
  <w:style w:type="paragraph" w:customStyle="1" w:styleId="Bezatstarpm1">
    <w:name w:val="Bez atstarpēm1"/>
    <w:pPr>
      <w:suppressAutoHyphens/>
    </w:pPr>
    <w:rPr>
      <w:rFonts w:ascii="Calibri" w:eastAsia="Calibri" w:hAnsi="Calibri"/>
      <w:sz w:val="22"/>
      <w:szCs w:val="22"/>
      <w:lang w:eastAsia="zh-CN"/>
    </w:rPr>
  </w:style>
  <w:style w:type="paragraph" w:customStyle="1" w:styleId="naisf">
    <w:name w:val="naisf"/>
    <w:basedOn w:val="Normal"/>
    <w:pPr>
      <w:spacing w:before="280" w:after="280" w:line="240" w:lineRule="auto"/>
    </w:pPr>
    <w:rPr>
      <w:rFonts w:ascii="Times New Roman" w:eastAsia="Times New Roman" w:hAnsi="Times New Roman"/>
      <w:sz w:val="24"/>
      <w:szCs w:val="24"/>
    </w:rPr>
  </w:style>
  <w:style w:type="paragraph" w:customStyle="1" w:styleId="Prskatjums1">
    <w:name w:val="Pārskatījums1"/>
    <w:pPr>
      <w:suppressAutoHyphens/>
    </w:pPr>
    <w:rPr>
      <w:rFonts w:ascii="Calibri" w:eastAsia="Calibri" w:hAnsi="Calibri"/>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535"/>
        <w:tab w:val="right" w:pos="9071"/>
      </w:tabs>
    </w:pPr>
  </w:style>
  <w:style w:type="paragraph" w:styleId="BalloonText">
    <w:name w:val="Balloon Text"/>
    <w:basedOn w:val="Normal"/>
    <w:link w:val="BalloonTextChar"/>
    <w:uiPriority w:val="99"/>
    <w:semiHidden/>
    <w:unhideWhenUsed/>
    <w:rsid w:val="007E5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81C"/>
    <w:rPr>
      <w:rFonts w:ascii="Tahoma" w:eastAsia="Calibri" w:hAnsi="Tahoma" w:cs="Tahoma"/>
      <w:sz w:val="16"/>
      <w:szCs w:val="16"/>
      <w:lang w:val="lv-LV" w:eastAsia="zh-CN"/>
    </w:rPr>
  </w:style>
  <w:style w:type="paragraph" w:styleId="Revision">
    <w:name w:val="Revision"/>
    <w:hidden/>
    <w:uiPriority w:val="99"/>
    <w:semiHidden/>
    <w:rsid w:val="00615FF7"/>
    <w:rPr>
      <w:rFonts w:ascii="Calibri" w:eastAsia="Calibri" w:hAnsi="Calibri"/>
      <w:sz w:val="22"/>
      <w:szCs w:val="22"/>
      <w:lang w:eastAsia="zh-CN"/>
    </w:rPr>
  </w:style>
  <w:style w:type="paragraph" w:styleId="NoSpacing">
    <w:name w:val="No Spacing"/>
    <w:uiPriority w:val="1"/>
    <w:qFormat/>
    <w:rsid w:val="00EF1510"/>
    <w:rPr>
      <w:rFonts w:ascii="Calibri" w:eastAsia="Calibri" w:hAnsi="Calibri"/>
      <w:sz w:val="22"/>
      <w:szCs w:val="22"/>
      <w:lang w:eastAsia="en-US"/>
    </w:rPr>
  </w:style>
  <w:style w:type="paragraph" w:styleId="NormalWeb">
    <w:name w:val="Normal (Web)"/>
    <w:basedOn w:val="Normal"/>
    <w:unhideWhenUsed/>
    <w:rsid w:val="00A66075"/>
    <w:pPr>
      <w:suppressAutoHyphens w:val="0"/>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oklusjumarindkopasfonts1">
    <w:name w:val="Noklusējuma rindkopas fonts1"/>
  </w:style>
  <w:style w:type="character" w:customStyle="1" w:styleId="GalveneRakstz">
    <w:name w:val="Galvene Rakstz."/>
    <w:rPr>
      <w:rFonts w:ascii="Calibri" w:eastAsia="Calibri" w:hAnsi="Calibri" w:cs="Times New Roman"/>
      <w:sz w:val="20"/>
      <w:szCs w:val="20"/>
      <w:lang w:val="x-none"/>
    </w:rPr>
  </w:style>
  <w:style w:type="character" w:customStyle="1" w:styleId="KjeneRakstz">
    <w:name w:val="Kājene Rakstz."/>
    <w:rPr>
      <w:rFonts w:ascii="Calibri" w:eastAsia="Calibri" w:hAnsi="Calibri" w:cs="Times New Roman"/>
      <w:sz w:val="20"/>
      <w:szCs w:val="20"/>
      <w:lang w:val="x-none"/>
    </w:rPr>
  </w:style>
  <w:style w:type="character" w:styleId="Hyperlink">
    <w:name w:val="Hyperlink"/>
    <w:rPr>
      <w:color w:val="0000FF"/>
      <w:u w:val="single"/>
    </w:rPr>
  </w:style>
  <w:style w:type="character" w:customStyle="1" w:styleId="PamattekstsRakstz">
    <w:name w:val="Pamatteksts Rakstz."/>
    <w:rPr>
      <w:rFonts w:ascii="Times New Roman" w:eastAsia="Times New Roman" w:hAnsi="Times New Roman" w:cs="Times New Roman"/>
      <w:sz w:val="24"/>
      <w:szCs w:val="24"/>
      <w:lang w:val="x-none"/>
    </w:rPr>
  </w:style>
  <w:style w:type="character" w:customStyle="1" w:styleId="apple-converted-space">
    <w:name w:val="apple-converted-space"/>
  </w:style>
  <w:style w:type="character" w:customStyle="1" w:styleId="BalontekstsRakstz">
    <w:name w:val="Balonteksts Rakstz."/>
    <w:rPr>
      <w:sz w:val="16"/>
      <w:szCs w:val="16"/>
    </w:rPr>
  </w:style>
  <w:style w:type="character" w:styleId="Strong">
    <w:name w:val="Strong"/>
    <w:qFormat/>
    <w:rPr>
      <w:b/>
      <w:bCs/>
    </w:rPr>
  </w:style>
  <w:style w:type="character" w:customStyle="1" w:styleId="sfbbfee58">
    <w:name w:val="sfbbfee58"/>
  </w:style>
  <w:style w:type="character" w:customStyle="1" w:styleId="KomentratekstsRakstz">
    <w:name w:val="Komentāra teksts Rakstz."/>
  </w:style>
  <w:style w:type="character" w:customStyle="1" w:styleId="KomentratmaRakstz">
    <w:name w:val="Komentāra tēma Rakstz."/>
    <w:rPr>
      <w:rFonts w:ascii="Times New Roman" w:eastAsia="Times New Roman" w:hAnsi="Times New Roman" w:cs="Times New Roman"/>
      <w:b/>
      <w:bCs/>
    </w:rPr>
  </w:style>
  <w:style w:type="character" w:customStyle="1" w:styleId="Komentraatsauce1">
    <w:name w:val="Komentāra atsauce1"/>
    <w:rPr>
      <w:sz w:val="16"/>
      <w:szCs w:val="16"/>
    </w:rPr>
  </w:style>
  <w:style w:type="character" w:customStyle="1" w:styleId="NosaukumsRakstz">
    <w:name w:val="Nosaukums Rakstz."/>
    <w:rPr>
      <w:rFonts w:ascii="Times New Roman" w:eastAsia="Times New Roman" w:hAnsi="Times New Roman" w:cs="Times New Roman"/>
      <w:b/>
      <w:sz w:val="24"/>
      <w:lang w:val="x-none"/>
    </w:rPr>
  </w:style>
  <w:style w:type="paragraph" w:customStyle="1" w:styleId="Heading">
    <w:name w:val="Heading"/>
    <w:basedOn w:val="Normal"/>
    <w:next w:val="BodyText"/>
    <w:pPr>
      <w:spacing w:after="0" w:line="240" w:lineRule="auto"/>
      <w:jc w:val="center"/>
    </w:pPr>
    <w:rPr>
      <w:rFonts w:ascii="Times New Roman" w:eastAsia="Times New Roman" w:hAnsi="Times New Roman"/>
      <w:b/>
      <w:sz w:val="24"/>
      <w:szCs w:val="20"/>
      <w:lang w:val="x-none"/>
    </w:rPr>
  </w:style>
  <w:style w:type="paragraph" w:styleId="BodyText">
    <w:name w:val="Body Text"/>
    <w:basedOn w:val="Normal"/>
    <w:pPr>
      <w:spacing w:after="0" w:line="240" w:lineRule="auto"/>
      <w:jc w:val="both"/>
    </w:pPr>
    <w:rPr>
      <w:rFonts w:ascii="Times New Roman" w:eastAsia="Times New Roman" w:hAnsi="Times New Roman"/>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Right">
    <w:name w:val="Style Right"/>
    <w:basedOn w:val="Normal"/>
    <w:pPr>
      <w:spacing w:after="120" w:line="240" w:lineRule="auto"/>
      <w:ind w:firstLine="720"/>
      <w:jc w:val="right"/>
    </w:pPr>
    <w:rPr>
      <w:rFonts w:ascii="Times New Roman" w:eastAsia="Times New Roman" w:hAnsi="Times New Roman"/>
      <w:sz w:val="28"/>
      <w:szCs w:val="28"/>
    </w:rPr>
  </w:style>
  <w:style w:type="paragraph" w:styleId="Header">
    <w:name w:val="header"/>
    <w:basedOn w:val="Normal"/>
    <w:pPr>
      <w:tabs>
        <w:tab w:val="center" w:pos="4153"/>
        <w:tab w:val="right" w:pos="8306"/>
      </w:tabs>
      <w:spacing w:after="0" w:line="240" w:lineRule="auto"/>
    </w:pPr>
    <w:rPr>
      <w:sz w:val="20"/>
      <w:szCs w:val="20"/>
      <w:lang w:val="x-none"/>
    </w:rPr>
  </w:style>
  <w:style w:type="paragraph" w:styleId="Footer">
    <w:name w:val="footer"/>
    <w:basedOn w:val="Normal"/>
    <w:pPr>
      <w:tabs>
        <w:tab w:val="center" w:pos="4153"/>
        <w:tab w:val="right" w:pos="8306"/>
      </w:tabs>
      <w:spacing w:after="0" w:line="240" w:lineRule="auto"/>
    </w:pPr>
    <w:rPr>
      <w:sz w:val="20"/>
      <w:szCs w:val="20"/>
      <w:lang w:val="x-none"/>
    </w:rPr>
  </w:style>
  <w:style w:type="paragraph" w:customStyle="1" w:styleId="tv2131">
    <w:name w:val="tv2131"/>
    <w:basedOn w:val="Normal"/>
    <w:pPr>
      <w:spacing w:before="240" w:after="0" w:line="360" w:lineRule="auto"/>
      <w:ind w:firstLine="300"/>
      <w:jc w:val="both"/>
    </w:pPr>
    <w:rPr>
      <w:rFonts w:ascii="Verdana" w:eastAsia="Times New Roman" w:hAnsi="Verdana" w:cs="Verdana"/>
      <w:sz w:val="18"/>
      <w:szCs w:val="18"/>
    </w:rPr>
  </w:style>
  <w:style w:type="paragraph" w:customStyle="1" w:styleId="Sarakstarindkopa1">
    <w:name w:val="Saraksta rindkopa1"/>
    <w:basedOn w:val="Normal"/>
    <w:pPr>
      <w:ind w:left="720"/>
      <w:contextualSpacing/>
    </w:p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customStyle="1" w:styleId="tv213tvp">
    <w:name w:val="tv213 tvp"/>
    <w:basedOn w:val="Normal"/>
    <w:pPr>
      <w:spacing w:before="280" w:after="280" w:line="240" w:lineRule="auto"/>
    </w:pPr>
    <w:rPr>
      <w:rFonts w:ascii="Times New Roman" w:eastAsia="Times New Roman" w:hAnsi="Times New Roman"/>
      <w:sz w:val="24"/>
      <w:szCs w:val="24"/>
    </w:rPr>
  </w:style>
  <w:style w:type="paragraph" w:customStyle="1" w:styleId="Balonteksts1">
    <w:name w:val="Balonteksts1"/>
    <w:basedOn w:val="Normal"/>
    <w:pPr>
      <w:spacing w:after="0" w:line="240" w:lineRule="auto"/>
    </w:pPr>
    <w:rPr>
      <w:sz w:val="16"/>
      <w:szCs w:val="16"/>
      <w:lang w:val="x-none"/>
    </w:rPr>
  </w:style>
  <w:style w:type="paragraph" w:customStyle="1" w:styleId="tv213limenis2">
    <w:name w:val="tv213 limenis2"/>
    <w:basedOn w:val="Normal"/>
    <w:pPr>
      <w:spacing w:before="280" w:after="280" w:line="240" w:lineRule="auto"/>
    </w:pPr>
    <w:rPr>
      <w:rFonts w:ascii="Times New Roman" w:eastAsia="Times New Roman" w:hAnsi="Times New Roman"/>
      <w:sz w:val="24"/>
      <w:szCs w:val="24"/>
    </w:rPr>
  </w:style>
  <w:style w:type="paragraph" w:customStyle="1" w:styleId="clearformatting">
    <w:name w:val="clear formatting"/>
    <w:basedOn w:val="Normal"/>
    <w:pPr>
      <w:jc w:val="both"/>
    </w:pPr>
    <w:rPr>
      <w:rFonts w:ascii="Korinna LRS" w:eastAsia="Times-Roman" w:hAnsi="Korinna LRS" w:cs="Korinna LRS"/>
      <w:sz w:val="23"/>
      <w:szCs w:val="23"/>
    </w:rPr>
  </w:style>
  <w:style w:type="paragraph" w:customStyle="1" w:styleId="Komentrateksts1">
    <w:name w:val="Komentāra teksts1"/>
    <w:basedOn w:val="Normal"/>
    <w:rPr>
      <w:sz w:val="20"/>
      <w:szCs w:val="20"/>
      <w:lang w:val="x-none"/>
    </w:rPr>
  </w:style>
  <w:style w:type="paragraph" w:customStyle="1" w:styleId="Komentratma1">
    <w:name w:val="Komentāra tēma1"/>
    <w:basedOn w:val="Komentrateksts1"/>
    <w:next w:val="Komentrateksts1"/>
    <w:pPr>
      <w:spacing w:after="0" w:line="240" w:lineRule="auto"/>
    </w:pPr>
    <w:rPr>
      <w:rFonts w:ascii="Times New Roman" w:eastAsia="Times New Roman" w:hAnsi="Times New Roman"/>
      <w:b/>
      <w:bCs/>
    </w:rPr>
  </w:style>
  <w:style w:type="paragraph" w:customStyle="1" w:styleId="tv2132">
    <w:name w:val="tv2132"/>
    <w:basedOn w:val="Normal"/>
    <w:pPr>
      <w:spacing w:after="0" w:line="360" w:lineRule="auto"/>
      <w:ind w:firstLine="300"/>
    </w:pPr>
    <w:rPr>
      <w:rFonts w:ascii="Times New Roman" w:eastAsia="Times New Roman" w:hAnsi="Times New Roman"/>
      <w:color w:val="414142"/>
      <w:sz w:val="20"/>
      <w:szCs w:val="20"/>
    </w:rPr>
  </w:style>
  <w:style w:type="paragraph" w:customStyle="1" w:styleId="Bezatstarpm1">
    <w:name w:val="Bez atstarpēm1"/>
    <w:pPr>
      <w:suppressAutoHyphens/>
    </w:pPr>
    <w:rPr>
      <w:rFonts w:ascii="Calibri" w:eastAsia="Calibri" w:hAnsi="Calibri"/>
      <w:sz w:val="22"/>
      <w:szCs w:val="22"/>
      <w:lang w:eastAsia="zh-CN"/>
    </w:rPr>
  </w:style>
  <w:style w:type="paragraph" w:customStyle="1" w:styleId="naisf">
    <w:name w:val="naisf"/>
    <w:basedOn w:val="Normal"/>
    <w:pPr>
      <w:spacing w:before="280" w:after="280" w:line="240" w:lineRule="auto"/>
    </w:pPr>
    <w:rPr>
      <w:rFonts w:ascii="Times New Roman" w:eastAsia="Times New Roman" w:hAnsi="Times New Roman"/>
      <w:sz w:val="24"/>
      <w:szCs w:val="24"/>
    </w:rPr>
  </w:style>
  <w:style w:type="paragraph" w:customStyle="1" w:styleId="Prskatjums1">
    <w:name w:val="Pārskatījums1"/>
    <w:pPr>
      <w:suppressAutoHyphens/>
    </w:pPr>
    <w:rPr>
      <w:rFonts w:ascii="Calibri" w:eastAsia="Calibri" w:hAnsi="Calibri"/>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535"/>
        <w:tab w:val="right" w:pos="9071"/>
      </w:tabs>
    </w:pPr>
  </w:style>
  <w:style w:type="paragraph" w:styleId="BalloonText">
    <w:name w:val="Balloon Text"/>
    <w:basedOn w:val="Normal"/>
    <w:link w:val="BalloonTextChar"/>
    <w:uiPriority w:val="99"/>
    <w:semiHidden/>
    <w:unhideWhenUsed/>
    <w:rsid w:val="007E5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81C"/>
    <w:rPr>
      <w:rFonts w:ascii="Tahoma" w:eastAsia="Calibri" w:hAnsi="Tahoma" w:cs="Tahoma"/>
      <w:sz w:val="16"/>
      <w:szCs w:val="16"/>
      <w:lang w:val="lv-LV" w:eastAsia="zh-CN"/>
    </w:rPr>
  </w:style>
  <w:style w:type="paragraph" w:styleId="Revision">
    <w:name w:val="Revision"/>
    <w:hidden/>
    <w:uiPriority w:val="99"/>
    <w:semiHidden/>
    <w:rsid w:val="00615FF7"/>
    <w:rPr>
      <w:rFonts w:ascii="Calibri" w:eastAsia="Calibri" w:hAnsi="Calibri"/>
      <w:sz w:val="22"/>
      <w:szCs w:val="22"/>
      <w:lang w:eastAsia="zh-CN"/>
    </w:rPr>
  </w:style>
  <w:style w:type="paragraph" w:styleId="NoSpacing">
    <w:name w:val="No Spacing"/>
    <w:uiPriority w:val="1"/>
    <w:qFormat/>
    <w:rsid w:val="00EF1510"/>
    <w:rPr>
      <w:rFonts w:ascii="Calibri" w:eastAsia="Calibri" w:hAnsi="Calibri"/>
      <w:sz w:val="22"/>
      <w:szCs w:val="22"/>
      <w:lang w:eastAsia="en-US"/>
    </w:rPr>
  </w:style>
  <w:style w:type="paragraph" w:styleId="NormalWeb">
    <w:name w:val="Normal (Web)"/>
    <w:basedOn w:val="Normal"/>
    <w:unhideWhenUsed/>
    <w:rsid w:val="00A66075"/>
    <w:pPr>
      <w:suppressAutoHyphens w:val="0"/>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23B2-E8E8-451E-AC31-5430C526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6654</Words>
  <Characters>3793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11.decembra noteikumos Nr.839 "Nodrošinājuma valsts aģentūras nolikums"</vt:lpstr>
      <vt:lpstr>Par nacionālo interešu objekta statusa noteikšanu aizturēto ārzemnieku izmitināšanas centram „Mucenieki”, „Jaunceltnēs – 2”, Ropažu novadā"</vt:lpstr>
    </vt:vector>
  </TitlesOfParts>
  <Manager>Nodrošinājuma valsts aģentūra</Manager>
  <Company>Iekšlietu ministrija</Company>
  <LinksUpToDate>false</LinksUpToDate>
  <CharactersWithSpaces>10427</CharactersWithSpaces>
  <SharedDoc>false</SharedDoc>
  <HLinks>
    <vt:vector size="12" baseType="variant">
      <vt:variant>
        <vt:i4>7995404</vt:i4>
      </vt:variant>
      <vt:variant>
        <vt:i4>12</vt:i4>
      </vt:variant>
      <vt:variant>
        <vt:i4>0</vt:i4>
      </vt:variant>
      <vt:variant>
        <vt:i4>5</vt:i4>
      </vt:variant>
      <vt:variant>
        <vt:lpwstr>mailto:natalija.rateniece@agentura.iem.gov.lv</vt:lpwstr>
      </vt:variant>
      <vt:variant>
        <vt:lpwstr/>
      </vt:variant>
      <vt:variant>
        <vt:i4>5308450</vt:i4>
      </vt:variant>
      <vt:variant>
        <vt:i4>9</vt:i4>
      </vt:variant>
      <vt:variant>
        <vt:i4>0</vt:i4>
      </vt:variant>
      <vt:variant>
        <vt:i4>5</vt:i4>
      </vt:variant>
      <vt:variant>
        <vt:lpwstr>mailto:janis.ungurs@agentura.iem.gov.lv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Nr.839 "Nodrošinājuma valsts aģentūras nolikums"</dc:title>
  <dc:subject>Sākotnējās ietekmes novērtējuma ziņojums (anotācija)</dc:subject>
  <dc:creator>Nodrošinājuma valsts aģentūras Administratīvās nodaļas juriskonsulte K.Brača</dc:creator>
  <dc:description>Krista Brača, 67829059_x000d_
krista.braca@agentura.iem.gov.lv</dc:description>
  <cp:lastModifiedBy>Kārlis Oja</cp:lastModifiedBy>
  <cp:revision>2</cp:revision>
  <cp:lastPrinted>2016-01-04T03:50:00Z</cp:lastPrinted>
  <dcterms:created xsi:type="dcterms:W3CDTF">2016-06-16T09:56:00Z</dcterms:created>
  <dcterms:modified xsi:type="dcterms:W3CDTF">2016-06-16T09:56:00Z</dcterms:modified>
</cp:coreProperties>
</file>