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91" w:rsidRDefault="008D34EB" w:rsidP="00DE7391">
      <w:pPr>
        <w:jc w:val="center"/>
        <w:rPr>
          <w:b/>
          <w:szCs w:val="28"/>
        </w:rPr>
      </w:pPr>
      <w:r w:rsidRPr="00E17EDA">
        <w:rPr>
          <w:b/>
          <w:szCs w:val="28"/>
        </w:rPr>
        <w:t>Ministru kabineta noteikumu projekta „</w:t>
      </w:r>
      <w:r w:rsidR="00C03DD1">
        <w:rPr>
          <w:b/>
          <w:szCs w:val="28"/>
        </w:rPr>
        <w:t>Kārtība, kādā Drošības policija nodrošina aizsargājamo amatpersonu aizsardzību (apsardzi)</w:t>
      </w:r>
      <w:r w:rsidRPr="00E17EDA">
        <w:rPr>
          <w:b/>
        </w:rPr>
        <w:t>”</w:t>
      </w:r>
      <w:r w:rsidRPr="00E17EDA">
        <w:rPr>
          <w:b/>
          <w:szCs w:val="28"/>
        </w:rPr>
        <w:t xml:space="preserve"> sākotnējās ietekmes novērtējuma ziņojums (anotācija)</w:t>
      </w:r>
    </w:p>
    <w:p w:rsidR="00796146" w:rsidRPr="00DE7391" w:rsidRDefault="00796146" w:rsidP="00DE7391">
      <w:pPr>
        <w:jc w:val="center"/>
        <w:rPr>
          <w:b/>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2515"/>
        <w:gridCol w:w="6138"/>
      </w:tblGrid>
      <w:tr w:rsidR="00DE7391" w:rsidRPr="007E0863" w:rsidTr="00796146">
        <w:trPr>
          <w:trHeight w:val="419"/>
        </w:trPr>
        <w:tc>
          <w:tcPr>
            <w:tcW w:w="5000" w:type="pct"/>
            <w:gridSpan w:val="3"/>
            <w:vAlign w:val="center"/>
          </w:tcPr>
          <w:p w:rsidR="00DE7391" w:rsidRPr="007E0863" w:rsidRDefault="00DE7391" w:rsidP="008E7228">
            <w:pPr>
              <w:pStyle w:val="naisnod"/>
              <w:spacing w:before="0" w:beforeAutospacing="0" w:after="0" w:afterAutospacing="0"/>
              <w:ind w:left="57" w:right="57"/>
              <w:jc w:val="center"/>
              <w:rPr>
                <w:b/>
                <w:sz w:val="28"/>
                <w:szCs w:val="28"/>
              </w:rPr>
            </w:pPr>
            <w:r w:rsidRPr="007E0863">
              <w:rPr>
                <w:b/>
                <w:sz w:val="28"/>
                <w:szCs w:val="28"/>
              </w:rPr>
              <w:t>I. Tiesību akta projekta izstrādes nepieciešamība</w:t>
            </w:r>
          </w:p>
        </w:tc>
      </w:tr>
      <w:tr w:rsidR="00DE7391" w:rsidRPr="00C57500" w:rsidTr="00796146">
        <w:trPr>
          <w:trHeight w:val="415"/>
        </w:trPr>
        <w:tc>
          <w:tcPr>
            <w:tcW w:w="228" w:type="pct"/>
          </w:tcPr>
          <w:p w:rsidR="00DE7391" w:rsidRPr="00C57500" w:rsidRDefault="00DE7391" w:rsidP="007E0863">
            <w:pPr>
              <w:pStyle w:val="naiskr"/>
              <w:spacing w:before="120" w:beforeAutospacing="0" w:after="0" w:afterAutospacing="0"/>
              <w:ind w:left="57" w:right="57"/>
            </w:pPr>
            <w:r w:rsidRPr="00C57500">
              <w:t>1.</w:t>
            </w:r>
          </w:p>
        </w:tc>
        <w:tc>
          <w:tcPr>
            <w:tcW w:w="1387" w:type="pct"/>
          </w:tcPr>
          <w:p w:rsidR="00DE7391" w:rsidRPr="00C57500" w:rsidRDefault="00DE7391" w:rsidP="007E0863">
            <w:pPr>
              <w:pStyle w:val="naiskr"/>
              <w:spacing w:before="120" w:beforeAutospacing="0" w:after="0" w:afterAutospacing="0"/>
              <w:ind w:left="57" w:right="57"/>
            </w:pPr>
            <w:r w:rsidRPr="00C57500">
              <w:t>Pamatojums</w:t>
            </w:r>
          </w:p>
        </w:tc>
        <w:tc>
          <w:tcPr>
            <w:tcW w:w="3385" w:type="pct"/>
            <w:vAlign w:val="center"/>
          </w:tcPr>
          <w:p w:rsidR="00C57500" w:rsidRPr="00C57500" w:rsidRDefault="00DE7391" w:rsidP="00796146">
            <w:pPr>
              <w:autoSpaceDE w:val="0"/>
              <w:autoSpaceDN w:val="0"/>
              <w:adjustRightInd w:val="0"/>
              <w:spacing w:before="120" w:after="120"/>
              <w:ind w:left="57" w:right="142" w:firstLine="0"/>
              <w:rPr>
                <w:sz w:val="24"/>
                <w:szCs w:val="24"/>
              </w:rPr>
            </w:pPr>
            <w:r w:rsidRPr="00C57500">
              <w:rPr>
                <w:sz w:val="24"/>
                <w:szCs w:val="24"/>
              </w:rPr>
              <w:t>Ministru kabineta noteikumu projekts ,,Kārtība, kādā Drošības policija nodrošina aizsargājamo amatpersonu aizsardzību (apsardzi)” ir izstrādāts, apkopojot aktuālus nepieciešamos grozījumus, lai nodrošinātu Valsts drošības iestāžu likuma 15.</w:t>
            </w:r>
            <w:r w:rsidR="00053C21" w:rsidRPr="00C57500">
              <w:rPr>
                <w:sz w:val="24"/>
                <w:szCs w:val="24"/>
              </w:rPr>
              <w:t> </w:t>
            </w:r>
            <w:r w:rsidRPr="00C57500">
              <w:rPr>
                <w:sz w:val="24"/>
                <w:szCs w:val="24"/>
              </w:rPr>
              <w:t>panta trešajā daļā Drošības policijai deleģēto funkciju izpildi.</w:t>
            </w:r>
          </w:p>
        </w:tc>
      </w:tr>
      <w:tr w:rsidR="00DE7391" w:rsidRPr="00C57500" w:rsidTr="00796146">
        <w:trPr>
          <w:trHeight w:val="1550"/>
        </w:trPr>
        <w:tc>
          <w:tcPr>
            <w:tcW w:w="228" w:type="pct"/>
          </w:tcPr>
          <w:p w:rsidR="00DE7391" w:rsidRPr="00C57500" w:rsidRDefault="00DE7391" w:rsidP="007E0863">
            <w:pPr>
              <w:pStyle w:val="naiskr"/>
              <w:spacing w:before="120" w:beforeAutospacing="0" w:after="0" w:afterAutospacing="0"/>
              <w:ind w:left="57" w:right="57"/>
            </w:pPr>
            <w:r w:rsidRPr="00C57500">
              <w:t>2.</w:t>
            </w:r>
          </w:p>
        </w:tc>
        <w:tc>
          <w:tcPr>
            <w:tcW w:w="1387" w:type="pct"/>
          </w:tcPr>
          <w:p w:rsidR="00DE7391" w:rsidRPr="009A7602" w:rsidRDefault="00DE7391" w:rsidP="007E0863">
            <w:pPr>
              <w:spacing w:before="120"/>
              <w:ind w:left="57" w:right="57" w:firstLine="0"/>
              <w:jc w:val="left"/>
              <w:rPr>
                <w:sz w:val="24"/>
                <w:szCs w:val="24"/>
              </w:rPr>
            </w:pPr>
            <w:r w:rsidRPr="009A7602">
              <w:rPr>
                <w:sz w:val="24"/>
                <w:szCs w:val="24"/>
              </w:rPr>
              <w:t>Pašreizējā situācija un problēmas, kuru risināšanai tiesību akta projekts izstrādāts, tiesiskā regulējuma mērķis un būtība</w:t>
            </w:r>
          </w:p>
        </w:tc>
        <w:tc>
          <w:tcPr>
            <w:tcW w:w="3385" w:type="pct"/>
          </w:tcPr>
          <w:p w:rsidR="00DE7391" w:rsidRPr="009A7602" w:rsidRDefault="00EB7890" w:rsidP="00C57500">
            <w:pPr>
              <w:autoSpaceDE w:val="0"/>
              <w:autoSpaceDN w:val="0"/>
              <w:adjustRightInd w:val="0"/>
              <w:spacing w:before="120"/>
              <w:ind w:left="57" w:right="142" w:firstLine="284"/>
              <w:rPr>
                <w:sz w:val="24"/>
                <w:szCs w:val="24"/>
                <w:lang w:eastAsia="lv-LV"/>
              </w:rPr>
            </w:pPr>
            <w:r w:rsidRPr="009A7602">
              <w:rPr>
                <w:sz w:val="24"/>
                <w:szCs w:val="24"/>
                <w:lang w:eastAsia="lv-LV"/>
              </w:rPr>
              <w:t>A</w:t>
            </w:r>
            <w:r w:rsidR="00DE7391" w:rsidRPr="009A7602">
              <w:rPr>
                <w:sz w:val="24"/>
                <w:szCs w:val="24"/>
                <w:lang w:eastAsia="lv-LV"/>
              </w:rPr>
              <w:t>izsargājamās amatpersonas un kārtību, kādā Drošības policija veic aizsargājamo amatpersonu aizsardzību (apsardzi) un sadarbojas ar citām valsts</w:t>
            </w:r>
            <w:r w:rsidR="006810D3" w:rsidRPr="009A7602">
              <w:rPr>
                <w:sz w:val="24"/>
                <w:szCs w:val="24"/>
                <w:lang w:eastAsia="lv-LV"/>
              </w:rPr>
              <w:t xml:space="preserve"> </w:t>
            </w:r>
            <w:r w:rsidR="00DE7391" w:rsidRPr="009A7602">
              <w:rPr>
                <w:sz w:val="24"/>
                <w:szCs w:val="24"/>
                <w:lang w:eastAsia="lv-LV"/>
              </w:rPr>
              <w:t>institūcijām nosaka 2003</w:t>
            </w:r>
            <w:r w:rsidR="00E273E7" w:rsidRPr="009A7602">
              <w:rPr>
                <w:sz w:val="24"/>
                <w:szCs w:val="24"/>
                <w:lang w:eastAsia="lv-LV"/>
              </w:rPr>
              <w:t>.</w:t>
            </w:r>
            <w:r w:rsidR="00053C21" w:rsidRPr="009A7602">
              <w:rPr>
                <w:sz w:val="24"/>
                <w:szCs w:val="24"/>
                <w:lang w:eastAsia="lv-LV"/>
              </w:rPr>
              <w:t> </w:t>
            </w:r>
            <w:r w:rsidR="00E273E7" w:rsidRPr="009A7602">
              <w:rPr>
                <w:sz w:val="24"/>
                <w:szCs w:val="24"/>
                <w:lang w:eastAsia="lv-LV"/>
              </w:rPr>
              <w:t>gada 25.</w:t>
            </w:r>
            <w:r w:rsidR="00053C21" w:rsidRPr="009A7602">
              <w:rPr>
                <w:sz w:val="24"/>
                <w:szCs w:val="24"/>
                <w:lang w:eastAsia="lv-LV"/>
              </w:rPr>
              <w:t> </w:t>
            </w:r>
            <w:r w:rsidR="00E273E7" w:rsidRPr="009A7602">
              <w:rPr>
                <w:sz w:val="24"/>
                <w:szCs w:val="24"/>
                <w:lang w:eastAsia="lv-LV"/>
              </w:rPr>
              <w:t xml:space="preserve">jūnija </w:t>
            </w:r>
            <w:r w:rsidR="00BC5A98" w:rsidRPr="009A7602">
              <w:rPr>
                <w:sz w:val="24"/>
                <w:szCs w:val="24"/>
                <w:lang w:eastAsia="lv-LV"/>
              </w:rPr>
              <w:t xml:space="preserve">Ministru kabineta </w:t>
            </w:r>
            <w:r w:rsidR="00E273E7" w:rsidRPr="009A7602">
              <w:rPr>
                <w:sz w:val="24"/>
                <w:szCs w:val="24"/>
                <w:lang w:eastAsia="lv-LV"/>
              </w:rPr>
              <w:t>noteikumi Nr.</w:t>
            </w:r>
            <w:r w:rsidR="009A7602" w:rsidRPr="009A7602">
              <w:rPr>
                <w:sz w:val="24"/>
                <w:szCs w:val="24"/>
                <w:lang w:eastAsia="lv-LV"/>
              </w:rPr>
              <w:t> </w:t>
            </w:r>
            <w:r w:rsidR="00DE7391" w:rsidRPr="009A7602">
              <w:rPr>
                <w:sz w:val="24"/>
                <w:szCs w:val="24"/>
                <w:lang w:eastAsia="lv-LV"/>
              </w:rPr>
              <w:t xml:space="preserve">340 ,,Kārtība, kādā Drošības policija veic aizsargājamo amatpersonu aizsardzību (apsardzi)” (turpmāk </w:t>
            </w:r>
            <w:r w:rsidR="00444F4B" w:rsidRPr="009A7602">
              <w:rPr>
                <w:sz w:val="24"/>
                <w:szCs w:val="24"/>
                <w:lang w:eastAsia="lv-LV"/>
              </w:rPr>
              <w:t>–</w:t>
            </w:r>
            <w:r w:rsidR="00DE7391" w:rsidRPr="009A7602">
              <w:rPr>
                <w:sz w:val="24"/>
                <w:szCs w:val="24"/>
                <w:lang w:eastAsia="lv-LV"/>
              </w:rPr>
              <w:t xml:space="preserve"> Noteikumi).  </w:t>
            </w:r>
          </w:p>
          <w:p w:rsidR="00E1235A" w:rsidRDefault="00EB7890" w:rsidP="00926053">
            <w:pPr>
              <w:autoSpaceDE w:val="0"/>
              <w:autoSpaceDN w:val="0"/>
              <w:adjustRightInd w:val="0"/>
              <w:ind w:left="45" w:right="141" w:firstLine="284"/>
              <w:rPr>
                <w:sz w:val="24"/>
                <w:szCs w:val="24"/>
                <w:lang w:eastAsia="lv-LV"/>
              </w:rPr>
            </w:pPr>
            <w:r w:rsidRPr="009A7602">
              <w:rPr>
                <w:sz w:val="24"/>
                <w:szCs w:val="24"/>
                <w:lang w:eastAsia="lv-LV"/>
              </w:rPr>
              <w:t xml:space="preserve">Pašreiz </w:t>
            </w:r>
            <w:r w:rsidR="00E66CD0" w:rsidRPr="009A7602">
              <w:rPr>
                <w:sz w:val="24"/>
                <w:szCs w:val="24"/>
                <w:lang w:eastAsia="lv-LV"/>
              </w:rPr>
              <w:t xml:space="preserve">Drošības policija aizsargājamo amatpersonu aizsardzību (apsardzi) organizē un veic gan patstāvīgi, gan sadarbībā ar Valsts policiju, gan </w:t>
            </w:r>
            <w:r w:rsidR="00A31106">
              <w:rPr>
                <w:sz w:val="24"/>
                <w:szCs w:val="24"/>
                <w:lang w:eastAsia="lv-LV"/>
              </w:rPr>
              <w:t>iesaistot citas valsts un pašvaldību institūcijas</w:t>
            </w:r>
            <w:r w:rsidR="00E66CD0" w:rsidRPr="009A7602">
              <w:rPr>
                <w:sz w:val="24"/>
                <w:szCs w:val="24"/>
                <w:lang w:eastAsia="lv-LV"/>
              </w:rPr>
              <w:t>. Noteikumos pared</w:t>
            </w:r>
            <w:r w:rsidR="00DC727C" w:rsidRPr="009A7602">
              <w:rPr>
                <w:sz w:val="24"/>
                <w:szCs w:val="24"/>
                <w:lang w:eastAsia="lv-LV"/>
              </w:rPr>
              <w:t>zētā</w:t>
            </w:r>
            <w:r w:rsidR="00E66CD0" w:rsidRPr="009A7602">
              <w:rPr>
                <w:sz w:val="24"/>
                <w:szCs w:val="24"/>
                <w:lang w:eastAsia="lv-LV"/>
              </w:rPr>
              <w:t xml:space="preserve"> kārtība, kādā Drošības policija sadarbojas ar citām institūcijām, ir pašreizē</w:t>
            </w:r>
            <w:r w:rsidR="00BA2042" w:rsidRPr="009A7602">
              <w:rPr>
                <w:sz w:val="24"/>
                <w:szCs w:val="24"/>
                <w:lang w:eastAsia="lv-LV"/>
              </w:rPr>
              <w:t xml:space="preserve">jai </w:t>
            </w:r>
            <w:r w:rsidR="009808E0">
              <w:rPr>
                <w:sz w:val="24"/>
                <w:szCs w:val="24"/>
                <w:lang w:eastAsia="lv-LV"/>
              </w:rPr>
              <w:t>situācijai</w:t>
            </w:r>
            <w:r w:rsidR="00BA2042" w:rsidRPr="009A7602">
              <w:rPr>
                <w:sz w:val="24"/>
                <w:szCs w:val="24"/>
                <w:lang w:eastAsia="lv-LV"/>
              </w:rPr>
              <w:t xml:space="preserve"> daļēji neatbilstoša,</w:t>
            </w:r>
            <w:r w:rsidR="00E66CD0" w:rsidRPr="009A7602">
              <w:rPr>
                <w:sz w:val="24"/>
                <w:szCs w:val="24"/>
                <w:lang w:eastAsia="lv-LV"/>
              </w:rPr>
              <w:t xml:space="preserve"> tādēļ, lai organizētu pilnvērtīgu un atbilstošu citu institūciju iesaisti </w:t>
            </w:r>
            <w:r w:rsidR="00BA2042" w:rsidRPr="009A7602">
              <w:rPr>
                <w:sz w:val="24"/>
                <w:szCs w:val="24"/>
                <w:lang w:eastAsia="lv-LV"/>
              </w:rPr>
              <w:t xml:space="preserve">un to darbības koordināciju </w:t>
            </w:r>
            <w:r w:rsidR="00E66CD0" w:rsidRPr="009A7602">
              <w:rPr>
                <w:sz w:val="24"/>
                <w:szCs w:val="24"/>
                <w:lang w:eastAsia="lv-LV"/>
              </w:rPr>
              <w:t xml:space="preserve">aizsargājamo amatpersonu aizsardzības (apsardzes) nodrošināšanā, </w:t>
            </w:r>
            <w:r w:rsidR="00163204" w:rsidRPr="009A7602">
              <w:rPr>
                <w:sz w:val="24"/>
                <w:szCs w:val="24"/>
                <w:lang w:eastAsia="lv-LV"/>
              </w:rPr>
              <w:t xml:space="preserve"> Ministru kabineta noteikumu projektā ,,Kārtība, kādā Drošības policija nodrošina aizsargājamo amatpersonu aizsardzību (apsardzi)” (turpmāk </w:t>
            </w:r>
            <w:r w:rsidR="00C57500" w:rsidRPr="009A7602">
              <w:rPr>
                <w:sz w:val="24"/>
                <w:szCs w:val="24"/>
                <w:lang w:eastAsia="lv-LV"/>
              </w:rPr>
              <w:t>–</w:t>
            </w:r>
            <w:r w:rsidR="00163204" w:rsidRPr="009A7602">
              <w:rPr>
                <w:sz w:val="24"/>
                <w:szCs w:val="24"/>
                <w:lang w:eastAsia="lv-LV"/>
              </w:rPr>
              <w:t xml:space="preserve"> Projekts) </w:t>
            </w:r>
            <w:r w:rsidR="00E66CD0" w:rsidRPr="009A7602">
              <w:rPr>
                <w:sz w:val="24"/>
                <w:szCs w:val="24"/>
                <w:lang w:eastAsia="lv-LV"/>
              </w:rPr>
              <w:t xml:space="preserve">ir precizēta </w:t>
            </w:r>
            <w:r w:rsidR="00416FCD" w:rsidRPr="009A7602">
              <w:rPr>
                <w:sz w:val="24"/>
                <w:szCs w:val="24"/>
                <w:lang w:eastAsia="lv-LV"/>
              </w:rPr>
              <w:t>kārtība, kādā Drošības policija</w:t>
            </w:r>
            <w:r w:rsidR="00E66CD0" w:rsidRPr="009A7602">
              <w:rPr>
                <w:sz w:val="24"/>
                <w:szCs w:val="24"/>
                <w:lang w:eastAsia="lv-LV"/>
              </w:rPr>
              <w:t xml:space="preserve"> </w:t>
            </w:r>
            <w:r w:rsidR="00BA2042" w:rsidRPr="009A7602">
              <w:rPr>
                <w:sz w:val="24"/>
                <w:szCs w:val="24"/>
                <w:lang w:eastAsia="lv-LV"/>
              </w:rPr>
              <w:t xml:space="preserve"> veic aizsargājamo amatpersonu aizsardzību (apsardzi) un </w:t>
            </w:r>
            <w:r w:rsidR="00E66CD0" w:rsidRPr="009A7602">
              <w:rPr>
                <w:sz w:val="24"/>
                <w:szCs w:val="24"/>
                <w:lang w:eastAsia="lv-LV"/>
              </w:rPr>
              <w:t xml:space="preserve">sadarbojas ar </w:t>
            </w:r>
            <w:r w:rsidR="001E32B7" w:rsidRPr="009A7602">
              <w:rPr>
                <w:sz w:val="24"/>
                <w:szCs w:val="24"/>
                <w:lang w:eastAsia="lv-LV"/>
              </w:rPr>
              <w:t xml:space="preserve">Valsts policiju un </w:t>
            </w:r>
            <w:r w:rsidR="00A31106">
              <w:rPr>
                <w:sz w:val="24"/>
                <w:szCs w:val="24"/>
                <w:lang w:eastAsia="lv-LV"/>
              </w:rPr>
              <w:t>citām institūcijām.</w:t>
            </w:r>
          </w:p>
          <w:p w:rsidR="00A31106" w:rsidRPr="00E43563" w:rsidRDefault="00DF66A3" w:rsidP="009808E0">
            <w:pPr>
              <w:autoSpaceDE w:val="0"/>
              <w:autoSpaceDN w:val="0"/>
              <w:adjustRightInd w:val="0"/>
              <w:spacing w:before="120"/>
              <w:ind w:left="45" w:right="142" w:firstLine="284"/>
              <w:rPr>
                <w:sz w:val="24"/>
                <w:szCs w:val="24"/>
                <w:lang w:eastAsia="lv-LV"/>
              </w:rPr>
            </w:pPr>
            <w:r w:rsidRPr="00E43563">
              <w:rPr>
                <w:sz w:val="24"/>
                <w:szCs w:val="24"/>
              </w:rPr>
              <w:t>Drošības policija aizsargājamo amatpersonu aizsardzību (apsardzi) veic patstāvīgi vai iesaistot citas institūcijas.</w:t>
            </w:r>
            <w:r w:rsidRPr="00532597">
              <w:rPr>
                <w:sz w:val="24"/>
                <w:szCs w:val="24"/>
                <w:u w:val="single"/>
              </w:rPr>
              <w:t xml:space="preserve"> </w:t>
            </w:r>
            <w:r w:rsidRPr="00544727">
              <w:rPr>
                <w:sz w:val="24"/>
                <w:szCs w:val="24"/>
              </w:rPr>
              <w:t xml:space="preserve">Ar citām institūcijām jāsaprot </w:t>
            </w:r>
            <w:r w:rsidRPr="00544727">
              <w:rPr>
                <w:sz w:val="24"/>
                <w:szCs w:val="24"/>
                <w:lang w:eastAsia="lv-LV"/>
              </w:rPr>
              <w:t xml:space="preserve">Valsts policija, Militārā policija, Valsts ugunsdzēsības un glābšanas dienests, Neatliekamās medicīniskās palīdzības dienests, Valsts robežsardze, pašvaldības policija u.c. </w:t>
            </w:r>
            <w:r w:rsidRPr="00C57500">
              <w:rPr>
                <w:sz w:val="24"/>
                <w:szCs w:val="24"/>
                <w:lang w:eastAsia="lv-LV"/>
              </w:rPr>
              <w:t xml:space="preserve">valsts un pašvaldību institūcijas, kas tiek piesaistītas atbilstoši konkrētajai </w:t>
            </w:r>
            <w:r w:rsidRPr="00E43563">
              <w:rPr>
                <w:sz w:val="24"/>
                <w:szCs w:val="24"/>
                <w:lang w:eastAsia="lv-LV"/>
              </w:rPr>
              <w:t>situācijai un šo institūciju kompetencei</w:t>
            </w:r>
            <w:r w:rsidR="00A31106" w:rsidRPr="00E43563">
              <w:rPr>
                <w:sz w:val="24"/>
                <w:szCs w:val="24"/>
                <w:lang w:eastAsia="lv-LV"/>
              </w:rPr>
              <w:t>.</w:t>
            </w:r>
          </w:p>
          <w:p w:rsidR="00A31106" w:rsidRPr="00E43563" w:rsidRDefault="00A31106" w:rsidP="00926053">
            <w:pPr>
              <w:autoSpaceDE w:val="0"/>
              <w:autoSpaceDN w:val="0"/>
              <w:adjustRightInd w:val="0"/>
              <w:ind w:left="45" w:right="141" w:firstLine="284"/>
              <w:rPr>
                <w:sz w:val="24"/>
                <w:szCs w:val="24"/>
              </w:rPr>
            </w:pPr>
            <w:r w:rsidRPr="00E43563">
              <w:rPr>
                <w:sz w:val="24"/>
                <w:szCs w:val="24"/>
              </w:rPr>
              <w:t>Drošības policija koordinē drošības pasākumos iesaistīto institūciju darbību. Projekts precizē Valsts policijas kompetenci atsevišķu drošības pasākumu veikšanā (transportlīdzekļu eskorts, darbavietas un dzīvesvietas apsardze, kā arī pagaidu uzturēšanās vietas apsardze).</w:t>
            </w:r>
          </w:p>
          <w:p w:rsidR="00A31106" w:rsidRPr="00E43563" w:rsidRDefault="00A31106" w:rsidP="00926053">
            <w:pPr>
              <w:autoSpaceDE w:val="0"/>
              <w:autoSpaceDN w:val="0"/>
              <w:adjustRightInd w:val="0"/>
              <w:ind w:left="45" w:right="141" w:firstLine="284"/>
              <w:rPr>
                <w:sz w:val="24"/>
                <w:szCs w:val="24"/>
              </w:rPr>
            </w:pPr>
            <w:r w:rsidRPr="00E43563">
              <w:rPr>
                <w:sz w:val="24"/>
                <w:szCs w:val="24"/>
              </w:rPr>
              <w:t>Projekts nosaka, ka sabiedriskās kārtības uzturēšanas</w:t>
            </w:r>
            <w:bookmarkStart w:id="0" w:name="_GoBack"/>
            <w:bookmarkEnd w:id="0"/>
            <w:r w:rsidRPr="00E43563">
              <w:rPr>
                <w:sz w:val="24"/>
                <w:szCs w:val="24"/>
              </w:rPr>
              <w:t xml:space="preserve"> </w:t>
            </w:r>
            <w:r w:rsidRPr="00A265F5">
              <w:rPr>
                <w:sz w:val="24"/>
                <w:szCs w:val="24"/>
              </w:rPr>
              <w:t xml:space="preserve">jautājumos pasākumos, kuros piedalās aizsargājamās valsts amatpersonas, kā arī ārvalstu pārstāvji, Drošības policija </w:t>
            </w:r>
            <w:r w:rsidRPr="00E43563">
              <w:rPr>
                <w:sz w:val="24"/>
                <w:szCs w:val="24"/>
              </w:rPr>
              <w:lastRenderedPageBreak/>
              <w:t xml:space="preserve">koordinē Valsts policijas un pašvaldības policijas darbības atbilstoši noteiktajiem drošības pasākumiem, to apjomam un organizācijas kārtībai. Pašvaldību institūcijas tiek iesaistītas drošību pasākumu veikšanā arī citos ar sabiedriskās kārtības un drošības nodrošināšanu saistītos jautājumos, </w:t>
            </w:r>
            <w:r w:rsidR="00544727" w:rsidRPr="00E43563">
              <w:rPr>
                <w:sz w:val="24"/>
                <w:szCs w:val="24"/>
              </w:rPr>
              <w:t xml:space="preserve">kad tas nepieciešams aizsardzības (apsardzes) pasākumu organizēšanai un veikšanai. </w:t>
            </w:r>
            <w:r w:rsidRPr="00E43563">
              <w:rPr>
                <w:sz w:val="24"/>
                <w:szCs w:val="24"/>
              </w:rPr>
              <w:t xml:space="preserve">Iekšlietu ministrijas un tās padotībā esošo institūciju kompetenci – koordinēt valsts un pašvaldību institūciju un sabiedrisko organizāciju darbību sabiedriskās kārtības uzturēšanas jautājumos </w:t>
            </w:r>
            <w:r w:rsidR="00544727" w:rsidRPr="00E43563">
              <w:rPr>
                <w:sz w:val="24"/>
                <w:szCs w:val="24"/>
              </w:rPr>
              <w:t>–</w:t>
            </w:r>
            <w:r w:rsidRPr="00E43563">
              <w:rPr>
                <w:sz w:val="24"/>
                <w:szCs w:val="24"/>
              </w:rPr>
              <w:t xml:space="preserve"> nosaka Nacionālās drošības likuma 13. panta pirmās daļas 7. punkts. Tādējādi izstrādājot Projektu, ņemts vērā, ka sabiedriskās kārtības un drošības jautājumos, kas ir gan valsts institūciju, gan pašvaldības institūciju kompetencē, šo institūciju darbības koordinācija ir neatņemama Drošības policijas aizsargājamo amatpersonu aizsardzības (apsardzes) veikšanas kārtības sastāvdaļa</w:t>
            </w:r>
            <w:r w:rsidR="00544727" w:rsidRPr="00E43563">
              <w:rPr>
                <w:sz w:val="24"/>
                <w:szCs w:val="24"/>
              </w:rPr>
              <w:t>.</w:t>
            </w:r>
          </w:p>
          <w:p w:rsidR="00544727" w:rsidRPr="00E43563" w:rsidRDefault="00544727" w:rsidP="00926053">
            <w:pPr>
              <w:autoSpaceDE w:val="0"/>
              <w:autoSpaceDN w:val="0"/>
              <w:adjustRightInd w:val="0"/>
              <w:ind w:left="45" w:right="141" w:firstLine="284"/>
              <w:rPr>
                <w:sz w:val="24"/>
                <w:szCs w:val="24"/>
              </w:rPr>
            </w:pPr>
            <w:r w:rsidRPr="00E43563">
              <w:rPr>
                <w:sz w:val="24"/>
                <w:szCs w:val="24"/>
              </w:rPr>
              <w:t>Projektā netiek sīkāk skaidrota valsts un pašvaldības institūciju iesaistīšana Drošības policijas aizsargājamo amatpersonu aizsardzības (apsardzes) veikšanā, jo šāda informācija saskaņā ar Ministru kabineta 2004. gada 26. oktobra noteikumiem Nr. 887 “Valsts noslēpumu objektu saraksts” 2.11.1. apakšpunktu ir konfidenciāla.</w:t>
            </w:r>
          </w:p>
          <w:p w:rsidR="00DE7391" w:rsidRPr="009A7602" w:rsidRDefault="00DE7391" w:rsidP="004D06C7">
            <w:pPr>
              <w:autoSpaceDE w:val="0"/>
              <w:autoSpaceDN w:val="0"/>
              <w:adjustRightInd w:val="0"/>
              <w:ind w:left="45" w:right="142" w:firstLine="284"/>
              <w:rPr>
                <w:sz w:val="24"/>
                <w:szCs w:val="24"/>
                <w:lang w:eastAsia="lv-LV"/>
              </w:rPr>
            </w:pPr>
            <w:r w:rsidRPr="009A7602">
              <w:rPr>
                <w:sz w:val="24"/>
                <w:szCs w:val="24"/>
                <w:lang w:eastAsia="lv-LV"/>
              </w:rPr>
              <w:t>Ar 2010.</w:t>
            </w:r>
            <w:r w:rsidR="00053C21" w:rsidRPr="009A7602">
              <w:rPr>
                <w:sz w:val="24"/>
                <w:szCs w:val="24"/>
                <w:lang w:eastAsia="lv-LV"/>
              </w:rPr>
              <w:t> </w:t>
            </w:r>
            <w:r w:rsidRPr="009A7602">
              <w:rPr>
                <w:sz w:val="24"/>
                <w:szCs w:val="24"/>
                <w:lang w:eastAsia="lv-LV"/>
              </w:rPr>
              <w:t>gada 21.</w:t>
            </w:r>
            <w:r w:rsidR="00053C21" w:rsidRPr="009A7602">
              <w:rPr>
                <w:sz w:val="24"/>
                <w:szCs w:val="24"/>
                <w:lang w:eastAsia="lv-LV"/>
              </w:rPr>
              <w:t> </w:t>
            </w:r>
            <w:r w:rsidRPr="009A7602">
              <w:rPr>
                <w:sz w:val="24"/>
                <w:szCs w:val="24"/>
                <w:lang w:eastAsia="lv-LV"/>
              </w:rPr>
              <w:t>jūnija grozījumiem Noteikumos tika noteikts, ka Drošības policija veic Saeimas priekšsēdētāja un ārvalstu un starptautisko organizāciju un institūciju amatpersonu, pēc Saeimas Kancelejas Protokola nodaļas ierosinājuma, aizsardzību (apsardzi), pārņemot šo uzdevumu no Militārās policijas. Ņemot vērā uzdevumu pārdali, Drošības policija praksē šobrīd veic arī ārvalstu parlamentu vadītāju aizsardzību (apsardzi) v</w:t>
            </w:r>
            <w:r w:rsidR="00EE70FA" w:rsidRPr="009A7602">
              <w:rPr>
                <w:sz w:val="24"/>
                <w:szCs w:val="24"/>
                <w:lang w:eastAsia="lv-LV"/>
              </w:rPr>
              <w:t>izītes laikā Latvijas Republikā</w:t>
            </w:r>
            <w:r w:rsidR="00C57500" w:rsidRPr="009A7602">
              <w:rPr>
                <w:sz w:val="24"/>
                <w:szCs w:val="24"/>
                <w:lang w:eastAsia="lv-LV"/>
              </w:rPr>
              <w:t>.</w:t>
            </w:r>
          </w:p>
          <w:p w:rsidR="00E81670" w:rsidRDefault="00FE1864" w:rsidP="00FE1864">
            <w:pPr>
              <w:autoSpaceDE w:val="0"/>
              <w:autoSpaceDN w:val="0"/>
              <w:adjustRightInd w:val="0"/>
              <w:spacing w:before="120"/>
              <w:ind w:left="45" w:right="142" w:firstLine="284"/>
              <w:rPr>
                <w:sz w:val="24"/>
                <w:szCs w:val="24"/>
                <w:lang w:eastAsia="lv-LV"/>
              </w:rPr>
            </w:pPr>
            <w:r>
              <w:rPr>
                <w:sz w:val="24"/>
                <w:szCs w:val="24"/>
                <w:lang w:eastAsia="lv-LV"/>
              </w:rPr>
              <w:t xml:space="preserve">Projektā atbilstoši pašreizējai praksei ir precizēta kārtība, kādā tiek īstenota sadarbība ar citām valsts institūcijām. </w:t>
            </w:r>
            <w:r w:rsidR="00E81670" w:rsidRPr="009A7602">
              <w:rPr>
                <w:sz w:val="24"/>
                <w:szCs w:val="24"/>
                <w:lang w:eastAsia="lv-LV"/>
              </w:rPr>
              <w:t xml:space="preserve"> Saskaņā ar 2015. gada 15. oktobra grozījumiem likumā ,,Saeimas kārtības rullis” tika mainīta līdzšinējā Saeimas Kancelejas struktūra un paredzēta Saeimas Administrācijas ģenerālsekretāra amata izveide. Ņemot vērā strukturālās izmaiņas, Projektā ir veikti atbilstoši grozījumi un noregulēta sadarbība ar Saeimas Administrāciju ārvalstu un starptautisko organizāciju un institūciju amatpersonu aizsardzības (apsardzes) nodrošināšanā.</w:t>
            </w:r>
          </w:p>
          <w:p w:rsidR="00A42231" w:rsidRPr="00E43563" w:rsidRDefault="00A42231" w:rsidP="00E81670">
            <w:pPr>
              <w:autoSpaceDE w:val="0"/>
              <w:autoSpaceDN w:val="0"/>
              <w:adjustRightInd w:val="0"/>
              <w:ind w:left="45" w:right="142" w:firstLine="284"/>
              <w:rPr>
                <w:sz w:val="24"/>
                <w:szCs w:val="24"/>
                <w:lang w:eastAsia="lv-LV"/>
              </w:rPr>
            </w:pPr>
            <w:r w:rsidRPr="009A7602">
              <w:rPr>
                <w:sz w:val="24"/>
                <w:szCs w:val="24"/>
                <w:lang w:eastAsia="lv-LV"/>
              </w:rPr>
              <w:t xml:space="preserve">Projektā noteikta rīcība gadījumā, ja Drošības policijai drošības pasākumi Projekta 2.1.4. apakšpunktā vai 2.3. apakšpunktā minētajām personām jānodrošina ilgāk par 15 diennaktīm. Projektā saglabāts šobrīd spēkā esošajos Ministru kabineta noteikumos iekļautais regulējums, ka šajos gadījumos lēmumu par drošības pasākumu nodrošināšanu pieņem Ministru kabinets. Līdz ar to, projektā ir noteikts, ka Ministru kabineta rīkojuma projektu par drošības pasākumu nodrošināšanu ilgāk par 15 diennaktīm Projekta </w:t>
            </w:r>
            <w:r w:rsidRPr="009A7602">
              <w:rPr>
                <w:sz w:val="24"/>
                <w:szCs w:val="24"/>
                <w:lang w:eastAsia="lv-LV"/>
              </w:rPr>
              <w:lastRenderedPageBreak/>
              <w:t xml:space="preserve">2.1.4. apakšpunktā minētajai amatpersonai un Projekta 2.3. apakšpunktā minētajai amatpersonai, ja drošības pasākumu ierosinātājs ir Saeimas Administrācija, sagatavo iekšlietu ministrs, savukārt par drošības pasākumu nodrošināšanu ilgāk par 15 diennaktīm Projekta 2.3. apakšpunktā minētajai amatpersonai, ja drošības pasākumu ierosinātājs ir Ārlietu ministrija, attiecīgu Ministru kabineta rīkojuma projektu sagatavo ārlietu </w:t>
            </w:r>
            <w:r w:rsidRPr="00E43563">
              <w:rPr>
                <w:sz w:val="24"/>
                <w:szCs w:val="24"/>
                <w:lang w:eastAsia="lv-LV"/>
              </w:rPr>
              <w:t>ministrs.</w:t>
            </w:r>
            <w:r w:rsidR="00145938" w:rsidRPr="00E43563">
              <w:rPr>
                <w:sz w:val="24"/>
                <w:szCs w:val="24"/>
                <w:lang w:eastAsia="lv-LV"/>
              </w:rPr>
              <w:t xml:space="preserve"> </w:t>
            </w:r>
            <w:r w:rsidR="00145938" w:rsidRPr="00E43563">
              <w:t xml:space="preserve"> </w:t>
            </w:r>
            <w:r w:rsidR="00145938" w:rsidRPr="00E43563">
              <w:rPr>
                <w:sz w:val="24"/>
                <w:szCs w:val="24"/>
              </w:rPr>
              <w:t>Ministru kabineta rīkojuma projektu par drošības pasākumu nodrošināšanu iesniedz izskatīšanai Ministru kabinetā Ministru kabineta 2012. gada 4. decembra Instrukcijā Nr. 14 “Kārtība, kādā saskaņo un iesniedz izskatīšanai Ministru kabinetā attīstības plānošanas dokumentu, tiesību akta projektu vai informatīvo ziņojumu, kas satur valsts noslēpuma objektu” noteiktajā kārtībā.</w:t>
            </w:r>
          </w:p>
          <w:p w:rsidR="00DE7391" w:rsidRPr="009A7602" w:rsidRDefault="0062488A" w:rsidP="00E81670">
            <w:pPr>
              <w:autoSpaceDE w:val="0"/>
              <w:autoSpaceDN w:val="0"/>
              <w:adjustRightInd w:val="0"/>
              <w:spacing w:before="120"/>
              <w:ind w:left="45" w:right="142" w:firstLine="284"/>
              <w:rPr>
                <w:sz w:val="24"/>
                <w:szCs w:val="24"/>
                <w:lang w:eastAsia="lv-LV"/>
              </w:rPr>
            </w:pPr>
            <w:r w:rsidRPr="009A7602">
              <w:rPr>
                <w:sz w:val="24"/>
                <w:szCs w:val="24"/>
                <w:lang w:eastAsia="lv-LV"/>
              </w:rPr>
              <w:t xml:space="preserve">Drošības policija </w:t>
            </w:r>
            <w:r w:rsidR="00DE7391" w:rsidRPr="009A7602">
              <w:rPr>
                <w:sz w:val="24"/>
                <w:szCs w:val="24"/>
                <w:lang w:eastAsia="lv-LV"/>
              </w:rPr>
              <w:t xml:space="preserve">veic aizsargājamo amatpersonu </w:t>
            </w:r>
            <w:r w:rsidRPr="009A7602">
              <w:rPr>
                <w:sz w:val="24"/>
                <w:szCs w:val="24"/>
                <w:lang w:eastAsia="lv-LV"/>
              </w:rPr>
              <w:t>aizsardzību (apsardzi),</w:t>
            </w:r>
            <w:r w:rsidR="00DE7391" w:rsidRPr="009A7602">
              <w:rPr>
                <w:sz w:val="24"/>
                <w:szCs w:val="24"/>
                <w:lang w:eastAsia="lv-LV"/>
              </w:rPr>
              <w:t xml:space="preserve"> organizē un nodrošina aizsargājamo amatpersonu transportlīdzekļu eskortu. Praksē Drošības policija saskaras ar situācijām, kad aizsargājamās amatpersonas transportlīdzekli vada nevis Drošības policijas, bet citas institūcijas pārstāvis, tādējādi Drošības policija nevar garantēt aizsargājamās amatpersonas drošību. Projektā ir papildināta transportlīdzekļu </w:t>
            </w:r>
            <w:r w:rsidR="00E66CD0" w:rsidRPr="009A7602">
              <w:rPr>
                <w:sz w:val="24"/>
                <w:szCs w:val="24"/>
                <w:lang w:eastAsia="lv-LV"/>
              </w:rPr>
              <w:t xml:space="preserve">eskorta </w:t>
            </w:r>
            <w:r w:rsidR="00DE7391" w:rsidRPr="009A7602">
              <w:rPr>
                <w:sz w:val="24"/>
                <w:szCs w:val="24"/>
                <w:lang w:eastAsia="lv-LV"/>
              </w:rPr>
              <w:t xml:space="preserve">organizēšanas un nodrošināšanas kārtība, kā arī tiesības noteikt aizsardzības (apsardzes) veikšanai nepieciešamos drošības pasākumus. </w:t>
            </w:r>
          </w:p>
          <w:p w:rsidR="00CA6D6D" w:rsidRPr="009A7602" w:rsidRDefault="00746C0C" w:rsidP="00CA6D6D">
            <w:pPr>
              <w:autoSpaceDE w:val="0"/>
              <w:autoSpaceDN w:val="0"/>
              <w:adjustRightInd w:val="0"/>
              <w:ind w:left="57" w:right="142" w:firstLine="284"/>
              <w:rPr>
                <w:sz w:val="24"/>
                <w:szCs w:val="24"/>
                <w:lang w:eastAsia="lv-LV"/>
              </w:rPr>
            </w:pPr>
            <w:r w:rsidRPr="009A7602">
              <w:rPr>
                <w:sz w:val="24"/>
                <w:szCs w:val="24"/>
                <w:lang w:eastAsia="lv-LV"/>
              </w:rPr>
              <w:t>Projekts paredz, ka v</w:t>
            </w:r>
            <w:r w:rsidR="00CA6D6D" w:rsidRPr="009A7602">
              <w:rPr>
                <w:sz w:val="24"/>
                <w:szCs w:val="24"/>
                <w:lang w:eastAsia="lv-LV"/>
              </w:rPr>
              <w:t>alsts amatpersonu darbavietu un dzīvesvietu, kā arī ārvalstu un starptautisko organizāciju un institūciju pārstāvju pagaidu uzturēšanās vietu Latvijas Republikā apsardzei var izmantot tehniskās drošības sistēmas.</w:t>
            </w:r>
            <w:r w:rsidR="000F4752" w:rsidRPr="009A7602">
              <w:rPr>
                <w:sz w:val="24"/>
                <w:szCs w:val="24"/>
                <w:lang w:eastAsia="lv-LV"/>
              </w:rPr>
              <w:t xml:space="preserve"> </w:t>
            </w:r>
            <w:r w:rsidR="00861460" w:rsidRPr="009A7602">
              <w:rPr>
                <w:sz w:val="24"/>
                <w:szCs w:val="24"/>
                <w:lang w:eastAsia="lv-LV"/>
              </w:rPr>
              <w:t>Šāda veida informācija, kas aptver svarīgu valsts amatpersonu apsardzes un drošības pasākumu organizāciju un tehniskos līdzekļus ir konfidenciāla s</w:t>
            </w:r>
            <w:r w:rsidR="000F4752" w:rsidRPr="009A7602">
              <w:rPr>
                <w:sz w:val="24"/>
                <w:szCs w:val="24"/>
                <w:lang w:eastAsia="lv-LV"/>
              </w:rPr>
              <w:t>askaņā ar Ministru kabineta</w:t>
            </w:r>
            <w:r w:rsidR="00705FCB" w:rsidRPr="009A7602">
              <w:rPr>
                <w:sz w:val="24"/>
                <w:szCs w:val="24"/>
                <w:lang w:eastAsia="lv-LV"/>
              </w:rPr>
              <w:t xml:space="preserve"> 2004.</w:t>
            </w:r>
            <w:r w:rsidR="00053C21" w:rsidRPr="009A7602">
              <w:rPr>
                <w:sz w:val="24"/>
                <w:szCs w:val="24"/>
                <w:lang w:eastAsia="lv-LV"/>
              </w:rPr>
              <w:t> </w:t>
            </w:r>
            <w:r w:rsidR="00705FCB" w:rsidRPr="009A7602">
              <w:rPr>
                <w:sz w:val="24"/>
                <w:szCs w:val="24"/>
                <w:lang w:eastAsia="lv-LV"/>
              </w:rPr>
              <w:t>gada 26.</w:t>
            </w:r>
            <w:r w:rsidR="00053C21" w:rsidRPr="009A7602">
              <w:rPr>
                <w:sz w:val="24"/>
                <w:szCs w:val="24"/>
                <w:lang w:eastAsia="lv-LV"/>
              </w:rPr>
              <w:t> </w:t>
            </w:r>
            <w:r w:rsidR="00705FCB" w:rsidRPr="009A7602">
              <w:rPr>
                <w:sz w:val="24"/>
                <w:szCs w:val="24"/>
                <w:lang w:eastAsia="lv-LV"/>
              </w:rPr>
              <w:t xml:space="preserve">oktobra noteikumu Nr.887 </w:t>
            </w:r>
            <w:r w:rsidR="00FF1654" w:rsidRPr="009A7602">
              <w:rPr>
                <w:sz w:val="24"/>
                <w:szCs w:val="24"/>
                <w:lang w:eastAsia="lv-LV"/>
              </w:rPr>
              <w:t>,,</w:t>
            </w:r>
            <w:r w:rsidR="00705FCB" w:rsidRPr="009A7602">
              <w:rPr>
                <w:sz w:val="24"/>
                <w:szCs w:val="24"/>
                <w:lang w:eastAsia="lv-LV"/>
              </w:rPr>
              <w:t>Valsts nosl</w:t>
            </w:r>
            <w:r w:rsidR="00C57500" w:rsidRPr="009A7602">
              <w:rPr>
                <w:sz w:val="24"/>
                <w:szCs w:val="24"/>
                <w:lang w:eastAsia="lv-LV"/>
              </w:rPr>
              <w:t>ēpuma objektu saraksts” 2.11.1. </w:t>
            </w:r>
            <w:r w:rsidR="00FF1654" w:rsidRPr="009A7602">
              <w:rPr>
                <w:sz w:val="24"/>
                <w:szCs w:val="24"/>
                <w:lang w:eastAsia="lv-LV"/>
              </w:rPr>
              <w:t>apakš</w:t>
            </w:r>
            <w:r w:rsidR="00705FCB" w:rsidRPr="009A7602">
              <w:rPr>
                <w:sz w:val="24"/>
                <w:szCs w:val="24"/>
                <w:lang w:eastAsia="lv-LV"/>
              </w:rPr>
              <w:t>punktu</w:t>
            </w:r>
            <w:r w:rsidR="00861460" w:rsidRPr="009A7602">
              <w:rPr>
                <w:sz w:val="24"/>
                <w:szCs w:val="24"/>
                <w:lang w:eastAsia="lv-LV"/>
              </w:rPr>
              <w:t>, un Projektā sīkāk netiek skaidrota.</w:t>
            </w:r>
          </w:p>
          <w:p w:rsidR="00C57500" w:rsidRPr="009A7602" w:rsidRDefault="00582F9D" w:rsidP="00E81670">
            <w:pPr>
              <w:autoSpaceDE w:val="0"/>
              <w:autoSpaceDN w:val="0"/>
              <w:adjustRightInd w:val="0"/>
              <w:spacing w:before="120" w:after="120"/>
              <w:ind w:left="57" w:right="142" w:firstLine="284"/>
              <w:rPr>
                <w:sz w:val="24"/>
                <w:szCs w:val="24"/>
                <w:lang w:eastAsia="lv-LV"/>
              </w:rPr>
            </w:pPr>
            <w:r w:rsidRPr="009A7602">
              <w:rPr>
                <w:sz w:val="24"/>
                <w:szCs w:val="24"/>
                <w:lang w:eastAsia="lv-LV"/>
              </w:rPr>
              <w:t xml:space="preserve">Izvērtējot kārtību, kādā Drošības policija veic aizsargājamo amatpersonu aizsardzību (apsardzi) un sadarbojas ar citām institūcijām, ir nepieciešama normatīvā regulējuma pilnveidošana, lai nodrošinātu to saskaņotību un atbilstību pašreizējai praksei. </w:t>
            </w:r>
            <w:r w:rsidR="00DE7391" w:rsidRPr="009A7602">
              <w:rPr>
                <w:sz w:val="24"/>
                <w:szCs w:val="24"/>
                <w:lang w:eastAsia="lv-LV"/>
              </w:rPr>
              <w:t>Ievērojot grozījumu apjomu, izstrādāti jauni Ministru kabineta noteikumi.</w:t>
            </w:r>
          </w:p>
        </w:tc>
      </w:tr>
      <w:tr w:rsidR="00DE7391" w:rsidRPr="00C57500" w:rsidTr="00796146">
        <w:trPr>
          <w:trHeight w:val="476"/>
        </w:trPr>
        <w:tc>
          <w:tcPr>
            <w:tcW w:w="228" w:type="pct"/>
            <w:vAlign w:val="center"/>
          </w:tcPr>
          <w:p w:rsidR="00DE7391" w:rsidRPr="00C57500" w:rsidRDefault="00DE7391" w:rsidP="008E7228">
            <w:pPr>
              <w:pStyle w:val="naiskr"/>
              <w:spacing w:before="0" w:beforeAutospacing="0" w:after="0" w:afterAutospacing="0"/>
              <w:ind w:left="57" w:right="57"/>
            </w:pPr>
            <w:r w:rsidRPr="00C57500">
              <w:lastRenderedPageBreak/>
              <w:t>3.</w:t>
            </w:r>
          </w:p>
        </w:tc>
        <w:tc>
          <w:tcPr>
            <w:tcW w:w="1387" w:type="pct"/>
            <w:vAlign w:val="center"/>
          </w:tcPr>
          <w:p w:rsidR="00DE7391" w:rsidRPr="00C57500" w:rsidRDefault="00DE7391" w:rsidP="007E0863">
            <w:pPr>
              <w:pStyle w:val="naiskr"/>
              <w:spacing w:before="120" w:beforeAutospacing="0" w:after="0" w:afterAutospacing="0"/>
              <w:ind w:left="57" w:right="57"/>
            </w:pPr>
            <w:r w:rsidRPr="00C57500">
              <w:t>Projekta izstrādē iesaistītās institūcijas</w:t>
            </w:r>
          </w:p>
        </w:tc>
        <w:tc>
          <w:tcPr>
            <w:tcW w:w="3385" w:type="pct"/>
            <w:vAlign w:val="center"/>
          </w:tcPr>
          <w:p w:rsidR="00DE7391" w:rsidRPr="00C57500" w:rsidRDefault="00DE7391" w:rsidP="008E7228">
            <w:pPr>
              <w:ind w:left="57" w:right="57" w:firstLine="0"/>
              <w:jc w:val="left"/>
              <w:rPr>
                <w:b/>
                <w:sz w:val="24"/>
                <w:szCs w:val="24"/>
              </w:rPr>
            </w:pPr>
            <w:r w:rsidRPr="00C57500">
              <w:rPr>
                <w:sz w:val="24"/>
                <w:szCs w:val="24"/>
              </w:rPr>
              <w:t>Drošības policija.</w:t>
            </w:r>
          </w:p>
        </w:tc>
      </w:tr>
      <w:tr w:rsidR="00DE7391" w:rsidRPr="00C57500" w:rsidTr="00796146">
        <w:trPr>
          <w:trHeight w:val="302"/>
        </w:trPr>
        <w:tc>
          <w:tcPr>
            <w:tcW w:w="228" w:type="pct"/>
            <w:vAlign w:val="center"/>
          </w:tcPr>
          <w:p w:rsidR="00DE7391" w:rsidRPr="00C57500" w:rsidRDefault="00DE7391" w:rsidP="008E7228">
            <w:pPr>
              <w:pStyle w:val="naiskr"/>
              <w:spacing w:before="0" w:beforeAutospacing="0" w:after="0" w:afterAutospacing="0"/>
              <w:ind w:left="57" w:right="57"/>
            </w:pPr>
            <w:r w:rsidRPr="00C57500">
              <w:t>4.</w:t>
            </w:r>
          </w:p>
        </w:tc>
        <w:tc>
          <w:tcPr>
            <w:tcW w:w="1387" w:type="pct"/>
            <w:vAlign w:val="center"/>
          </w:tcPr>
          <w:p w:rsidR="00DE7391" w:rsidRPr="00C57500" w:rsidRDefault="00DE7391" w:rsidP="007E0863">
            <w:pPr>
              <w:pStyle w:val="naiskr"/>
              <w:spacing w:before="120" w:beforeAutospacing="0" w:after="0" w:afterAutospacing="0"/>
              <w:ind w:left="57" w:right="57"/>
            </w:pPr>
            <w:r w:rsidRPr="00C57500">
              <w:t>Cita informācija</w:t>
            </w:r>
          </w:p>
        </w:tc>
        <w:tc>
          <w:tcPr>
            <w:tcW w:w="3385" w:type="pct"/>
            <w:vAlign w:val="center"/>
          </w:tcPr>
          <w:p w:rsidR="00DE7391" w:rsidRPr="00C57500" w:rsidRDefault="00DE7391" w:rsidP="00C57500">
            <w:pPr>
              <w:spacing w:before="120" w:after="120"/>
              <w:ind w:left="57" w:right="57" w:firstLine="0"/>
              <w:jc w:val="left"/>
              <w:rPr>
                <w:sz w:val="24"/>
                <w:szCs w:val="24"/>
              </w:rPr>
            </w:pPr>
            <w:r w:rsidRPr="00C57500">
              <w:rPr>
                <w:sz w:val="24"/>
                <w:szCs w:val="24"/>
              </w:rPr>
              <w:t>Nav.</w:t>
            </w:r>
          </w:p>
        </w:tc>
      </w:tr>
    </w:tbl>
    <w:p w:rsidR="002B6AEC" w:rsidRDefault="002B6AEC" w:rsidP="00DE7391">
      <w:pPr>
        <w:ind w:firstLine="0"/>
        <w:rPr>
          <w:szCs w:val="28"/>
          <w:lang w:eastAsia="lv-LV"/>
        </w:rPr>
      </w:pPr>
    </w:p>
    <w:p w:rsidR="000E583D" w:rsidRPr="00DE7391" w:rsidRDefault="000E583D" w:rsidP="00DE7391">
      <w:pPr>
        <w:ind w:firstLine="0"/>
        <w:rPr>
          <w:szCs w:val="28"/>
          <w:lang w:eastAsia="lv-LV"/>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912"/>
        <w:gridCol w:w="5850"/>
      </w:tblGrid>
      <w:tr w:rsidR="002B6AEC" w:rsidRPr="007E0863" w:rsidTr="000E583D">
        <w:trPr>
          <w:trHeight w:val="556"/>
        </w:trPr>
        <w:tc>
          <w:tcPr>
            <w:tcW w:w="9067" w:type="dxa"/>
            <w:gridSpan w:val="3"/>
            <w:vAlign w:val="center"/>
          </w:tcPr>
          <w:p w:rsidR="002B6AEC" w:rsidRPr="007E0863" w:rsidRDefault="002B6AEC" w:rsidP="00C57500">
            <w:pPr>
              <w:pStyle w:val="naisnod"/>
              <w:keepNext/>
              <w:keepLines/>
              <w:spacing w:before="0" w:beforeAutospacing="0" w:after="0" w:afterAutospacing="0"/>
              <w:ind w:left="57" w:right="57"/>
              <w:jc w:val="center"/>
              <w:rPr>
                <w:b/>
                <w:sz w:val="28"/>
                <w:szCs w:val="28"/>
              </w:rPr>
            </w:pPr>
            <w:r w:rsidRPr="007E0863">
              <w:rPr>
                <w:b/>
                <w:sz w:val="28"/>
                <w:szCs w:val="28"/>
              </w:rPr>
              <w:lastRenderedPageBreak/>
              <w:t>II. Tiesību akta projekta ietekme uz sabiedrību, tautsaimniecības attīstību</w:t>
            </w:r>
          </w:p>
          <w:p w:rsidR="002B6AEC" w:rsidRPr="007E0863" w:rsidRDefault="002B6AEC" w:rsidP="008E7228">
            <w:pPr>
              <w:pStyle w:val="naisnod"/>
              <w:spacing w:before="0" w:beforeAutospacing="0" w:after="0" w:afterAutospacing="0"/>
              <w:ind w:left="57" w:right="57"/>
              <w:jc w:val="center"/>
              <w:rPr>
                <w:b/>
                <w:sz w:val="28"/>
                <w:szCs w:val="28"/>
              </w:rPr>
            </w:pPr>
            <w:r w:rsidRPr="007E0863">
              <w:rPr>
                <w:b/>
                <w:sz w:val="28"/>
                <w:szCs w:val="28"/>
              </w:rPr>
              <w:t>un administratīvo slogu</w:t>
            </w:r>
          </w:p>
        </w:tc>
      </w:tr>
      <w:tr w:rsidR="002B6AEC" w:rsidRPr="00C57500" w:rsidTr="000E583D">
        <w:trPr>
          <w:trHeight w:val="697"/>
        </w:trPr>
        <w:tc>
          <w:tcPr>
            <w:tcW w:w="305" w:type="dxa"/>
          </w:tcPr>
          <w:p w:rsidR="002B6AEC" w:rsidRPr="00C57500" w:rsidRDefault="002B6AEC" w:rsidP="007E0863">
            <w:pPr>
              <w:pStyle w:val="naiskr"/>
              <w:spacing w:before="120" w:beforeAutospacing="0" w:after="120" w:afterAutospacing="0"/>
              <w:ind w:left="57" w:right="57"/>
            </w:pPr>
            <w:r w:rsidRPr="00C57500">
              <w:t>1.</w:t>
            </w:r>
          </w:p>
        </w:tc>
        <w:tc>
          <w:tcPr>
            <w:tcW w:w="2912" w:type="dxa"/>
          </w:tcPr>
          <w:p w:rsidR="002B6AEC" w:rsidRPr="00C57500" w:rsidRDefault="002B6AEC" w:rsidP="007E0863">
            <w:pPr>
              <w:pStyle w:val="naiskr"/>
              <w:spacing w:before="120" w:beforeAutospacing="0" w:after="120" w:afterAutospacing="0"/>
              <w:ind w:left="57" w:right="57"/>
            </w:pPr>
            <w:r w:rsidRPr="00C57500">
              <w:t>Sabiedrības mērķgrupas, kuras tiesiskais regulējums ietekmē vai varētu ietekmēt</w:t>
            </w:r>
          </w:p>
        </w:tc>
        <w:tc>
          <w:tcPr>
            <w:tcW w:w="5850" w:type="dxa"/>
          </w:tcPr>
          <w:p w:rsidR="002B6AEC" w:rsidRPr="00C57500" w:rsidRDefault="009E14C3" w:rsidP="007E0863">
            <w:pPr>
              <w:shd w:val="clear" w:color="auto" w:fill="FFFFFF"/>
              <w:spacing w:before="120" w:after="120"/>
              <w:ind w:left="57" w:right="57" w:firstLine="0"/>
              <w:rPr>
                <w:sz w:val="24"/>
                <w:szCs w:val="24"/>
                <w:highlight w:val="yellow"/>
                <w:lang w:eastAsia="lv-LV"/>
              </w:rPr>
            </w:pPr>
            <w:bookmarkStart w:id="1" w:name="p21"/>
            <w:bookmarkEnd w:id="1"/>
            <w:r w:rsidRPr="00C57500">
              <w:rPr>
                <w:sz w:val="24"/>
                <w:szCs w:val="24"/>
                <w:lang w:eastAsia="lv-LV"/>
              </w:rPr>
              <w:t xml:space="preserve">Projekts </w:t>
            </w:r>
            <w:r w:rsidR="00CF33B7" w:rsidRPr="00C57500">
              <w:rPr>
                <w:sz w:val="24"/>
                <w:szCs w:val="24"/>
                <w:lang w:eastAsia="lv-LV"/>
              </w:rPr>
              <w:t xml:space="preserve">attieksies uz Drošības policijas amatpersonām, kuras veic aizsargājamo amatpersonu aizsardzību (apsardzi), kā arī uz </w:t>
            </w:r>
            <w:r w:rsidR="00CF33B7" w:rsidRPr="00C57500">
              <w:rPr>
                <w:sz w:val="24"/>
                <w:szCs w:val="24"/>
              </w:rPr>
              <w:t>Valsts policiju un citām valsts un pašvaldību institūcijām</w:t>
            </w:r>
            <w:r w:rsidR="00DC5373" w:rsidRPr="00C57500">
              <w:rPr>
                <w:sz w:val="24"/>
                <w:szCs w:val="24"/>
              </w:rPr>
              <w:t>, kuras tiek iesaistītas aizsargājamo amatpersonu aizsardzības (apsardzes) nodrošināšanā</w:t>
            </w:r>
            <w:r w:rsidR="00CF33B7" w:rsidRPr="00C57500">
              <w:rPr>
                <w:sz w:val="24"/>
                <w:szCs w:val="24"/>
                <w:lang w:eastAsia="lv-LV"/>
              </w:rPr>
              <w:t>.</w:t>
            </w:r>
          </w:p>
        </w:tc>
      </w:tr>
      <w:tr w:rsidR="002B6AEC" w:rsidRPr="00C57500" w:rsidTr="000E583D">
        <w:trPr>
          <w:trHeight w:val="523"/>
        </w:trPr>
        <w:tc>
          <w:tcPr>
            <w:tcW w:w="305" w:type="dxa"/>
          </w:tcPr>
          <w:p w:rsidR="002B6AEC" w:rsidRPr="00C57500" w:rsidRDefault="002B6AEC" w:rsidP="007E0863">
            <w:pPr>
              <w:pStyle w:val="naiskr"/>
              <w:spacing w:before="120" w:beforeAutospacing="0" w:after="120" w:afterAutospacing="0"/>
              <w:ind w:left="57" w:right="57"/>
            </w:pPr>
            <w:r w:rsidRPr="00C57500">
              <w:t>2.</w:t>
            </w:r>
          </w:p>
        </w:tc>
        <w:tc>
          <w:tcPr>
            <w:tcW w:w="2912" w:type="dxa"/>
          </w:tcPr>
          <w:p w:rsidR="002B6AEC" w:rsidRPr="00C57500" w:rsidRDefault="002B6AEC" w:rsidP="007E0863">
            <w:pPr>
              <w:pStyle w:val="naiskr"/>
              <w:spacing w:before="120" w:beforeAutospacing="0" w:after="120" w:afterAutospacing="0"/>
              <w:ind w:left="57" w:right="57"/>
            </w:pPr>
            <w:r w:rsidRPr="00C57500">
              <w:t>Tiesiskā regulējuma ietekme uz tautsaimniecību un administratīvo slogu</w:t>
            </w:r>
          </w:p>
        </w:tc>
        <w:tc>
          <w:tcPr>
            <w:tcW w:w="5850" w:type="dxa"/>
          </w:tcPr>
          <w:p w:rsidR="002B6AEC" w:rsidRPr="00C57500" w:rsidRDefault="00AE35F7" w:rsidP="007E0863">
            <w:pPr>
              <w:spacing w:before="120" w:after="120"/>
              <w:ind w:left="57" w:right="57" w:firstLine="0"/>
              <w:rPr>
                <w:sz w:val="24"/>
                <w:szCs w:val="24"/>
                <w:highlight w:val="yellow"/>
              </w:rPr>
            </w:pPr>
            <w:r w:rsidRPr="00C57500">
              <w:rPr>
                <w:sz w:val="24"/>
                <w:szCs w:val="24"/>
              </w:rPr>
              <w:t>Projekta tiesiskais regulējums nemaina tiesības un pienākumus, kā arī veicamās darbības papildus šobrīd paredzētajam.</w:t>
            </w:r>
          </w:p>
        </w:tc>
      </w:tr>
      <w:tr w:rsidR="002B6AEC" w:rsidRPr="00C57500" w:rsidTr="000E583D">
        <w:trPr>
          <w:trHeight w:val="523"/>
        </w:trPr>
        <w:tc>
          <w:tcPr>
            <w:tcW w:w="305" w:type="dxa"/>
          </w:tcPr>
          <w:p w:rsidR="002B6AEC" w:rsidRPr="00C57500" w:rsidRDefault="002B6AEC" w:rsidP="007E0863">
            <w:pPr>
              <w:pStyle w:val="CharCharCharChar"/>
              <w:spacing w:before="120" w:after="120" w:line="240" w:lineRule="auto"/>
              <w:ind w:left="57" w:right="57"/>
              <w:rPr>
                <w:rFonts w:ascii="Times New Roman" w:hAnsi="Times New Roman"/>
                <w:sz w:val="24"/>
                <w:szCs w:val="24"/>
              </w:rPr>
            </w:pPr>
            <w:r w:rsidRPr="00C57500">
              <w:rPr>
                <w:rFonts w:ascii="Times New Roman" w:hAnsi="Times New Roman"/>
                <w:sz w:val="24"/>
                <w:szCs w:val="24"/>
              </w:rPr>
              <w:t>3.</w:t>
            </w:r>
          </w:p>
        </w:tc>
        <w:tc>
          <w:tcPr>
            <w:tcW w:w="2912" w:type="dxa"/>
          </w:tcPr>
          <w:p w:rsidR="002B6AEC" w:rsidRPr="00C57500" w:rsidRDefault="002B6AEC" w:rsidP="007E0863">
            <w:pPr>
              <w:pStyle w:val="CharCharCharChar"/>
              <w:spacing w:before="120" w:after="120" w:line="240" w:lineRule="auto"/>
              <w:ind w:left="57" w:right="57"/>
              <w:rPr>
                <w:rFonts w:ascii="Times New Roman" w:hAnsi="Times New Roman"/>
                <w:sz w:val="24"/>
                <w:szCs w:val="24"/>
                <w:lang w:eastAsia="lv-LV"/>
              </w:rPr>
            </w:pPr>
            <w:r w:rsidRPr="00C57500">
              <w:rPr>
                <w:rFonts w:ascii="Times New Roman" w:hAnsi="Times New Roman"/>
                <w:sz w:val="24"/>
                <w:szCs w:val="24"/>
                <w:lang w:eastAsia="lv-LV"/>
              </w:rPr>
              <w:t>Administratīvo izmaksu monetārs novērtējums</w:t>
            </w:r>
          </w:p>
        </w:tc>
        <w:tc>
          <w:tcPr>
            <w:tcW w:w="5850" w:type="dxa"/>
          </w:tcPr>
          <w:p w:rsidR="002B6AEC" w:rsidRPr="00C57500" w:rsidRDefault="002B6AEC" w:rsidP="007E0863">
            <w:pPr>
              <w:spacing w:before="120" w:after="120"/>
              <w:ind w:left="57" w:right="57" w:firstLine="0"/>
              <w:rPr>
                <w:sz w:val="24"/>
                <w:szCs w:val="24"/>
              </w:rPr>
            </w:pPr>
            <w:r w:rsidRPr="00C57500">
              <w:rPr>
                <w:sz w:val="24"/>
                <w:szCs w:val="24"/>
              </w:rPr>
              <w:t>Administratīvās izmaksas nepārsniegs noteikto līmeni, pie kura jāveic novērtējums.</w:t>
            </w:r>
          </w:p>
        </w:tc>
      </w:tr>
      <w:tr w:rsidR="002B6AEC" w:rsidRPr="00C57500" w:rsidTr="000E583D">
        <w:trPr>
          <w:trHeight w:val="357"/>
        </w:trPr>
        <w:tc>
          <w:tcPr>
            <w:tcW w:w="305" w:type="dxa"/>
          </w:tcPr>
          <w:p w:rsidR="002B6AEC" w:rsidRPr="00C57500" w:rsidRDefault="002B6AEC" w:rsidP="007E0863">
            <w:pPr>
              <w:pStyle w:val="CharCharCharChar"/>
              <w:spacing w:before="120" w:after="120" w:line="240" w:lineRule="auto"/>
              <w:ind w:left="57" w:right="57"/>
              <w:rPr>
                <w:rFonts w:ascii="Times New Roman" w:hAnsi="Times New Roman"/>
                <w:sz w:val="24"/>
                <w:szCs w:val="24"/>
              </w:rPr>
            </w:pPr>
            <w:r w:rsidRPr="00C57500">
              <w:rPr>
                <w:rFonts w:ascii="Times New Roman" w:hAnsi="Times New Roman"/>
                <w:sz w:val="24"/>
                <w:szCs w:val="24"/>
              </w:rPr>
              <w:t>4.</w:t>
            </w:r>
          </w:p>
        </w:tc>
        <w:tc>
          <w:tcPr>
            <w:tcW w:w="2912" w:type="dxa"/>
          </w:tcPr>
          <w:p w:rsidR="002B6AEC" w:rsidRPr="00C57500" w:rsidRDefault="002B6AEC" w:rsidP="007E0863">
            <w:pPr>
              <w:pStyle w:val="CharCharCharChar"/>
              <w:spacing w:before="120" w:after="120" w:line="240" w:lineRule="auto"/>
              <w:ind w:left="57" w:right="57"/>
              <w:rPr>
                <w:rFonts w:ascii="Times New Roman" w:hAnsi="Times New Roman"/>
                <w:sz w:val="24"/>
                <w:szCs w:val="24"/>
                <w:lang w:eastAsia="lv-LV"/>
              </w:rPr>
            </w:pPr>
            <w:r w:rsidRPr="00C57500">
              <w:rPr>
                <w:rFonts w:ascii="Times New Roman" w:hAnsi="Times New Roman"/>
                <w:sz w:val="24"/>
                <w:szCs w:val="24"/>
                <w:lang w:eastAsia="lv-LV"/>
              </w:rPr>
              <w:t>Cita informācija</w:t>
            </w:r>
          </w:p>
        </w:tc>
        <w:tc>
          <w:tcPr>
            <w:tcW w:w="5850" w:type="dxa"/>
          </w:tcPr>
          <w:p w:rsidR="002B6AEC" w:rsidRPr="00C57500" w:rsidRDefault="002B6AEC" w:rsidP="007E0863">
            <w:pPr>
              <w:spacing w:before="120" w:after="120"/>
              <w:ind w:left="57" w:right="57" w:firstLine="0"/>
              <w:rPr>
                <w:sz w:val="24"/>
                <w:szCs w:val="24"/>
              </w:rPr>
            </w:pPr>
            <w:r w:rsidRPr="00C57500">
              <w:rPr>
                <w:sz w:val="24"/>
                <w:szCs w:val="24"/>
              </w:rPr>
              <w:t>Nav.</w:t>
            </w:r>
          </w:p>
        </w:tc>
      </w:tr>
    </w:tbl>
    <w:p w:rsidR="002B6AEC" w:rsidRPr="00DE7391" w:rsidRDefault="002B6AEC" w:rsidP="002B6AEC">
      <w:pPr>
        <w:ind w:firstLine="0"/>
        <w:rPr>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976"/>
        <w:gridCol w:w="5665"/>
      </w:tblGrid>
      <w:tr w:rsidR="002B6AEC" w:rsidRPr="007E0863" w:rsidTr="000E583D">
        <w:trPr>
          <w:trHeight w:val="421"/>
          <w:jc w:val="center"/>
        </w:trPr>
        <w:tc>
          <w:tcPr>
            <w:tcW w:w="9067" w:type="dxa"/>
            <w:gridSpan w:val="3"/>
            <w:vAlign w:val="center"/>
          </w:tcPr>
          <w:p w:rsidR="002B6AEC" w:rsidRPr="007E0863" w:rsidRDefault="002B6AEC" w:rsidP="008E7228">
            <w:pPr>
              <w:pStyle w:val="naisnod"/>
              <w:spacing w:before="0" w:beforeAutospacing="0" w:after="0" w:afterAutospacing="0"/>
              <w:ind w:left="57" w:right="57"/>
              <w:jc w:val="center"/>
              <w:rPr>
                <w:sz w:val="28"/>
                <w:szCs w:val="28"/>
              </w:rPr>
            </w:pPr>
            <w:r w:rsidRPr="007E0863">
              <w:rPr>
                <w:b/>
                <w:sz w:val="28"/>
                <w:szCs w:val="28"/>
              </w:rPr>
              <w:t>VI. Sabiedrības līdzdalība un komunikācijas aktivitātes</w:t>
            </w:r>
          </w:p>
        </w:tc>
      </w:tr>
      <w:tr w:rsidR="002B6AEC" w:rsidRPr="007E0863" w:rsidTr="000E583D">
        <w:trPr>
          <w:trHeight w:val="553"/>
          <w:jc w:val="center"/>
        </w:trPr>
        <w:tc>
          <w:tcPr>
            <w:tcW w:w="426" w:type="dxa"/>
          </w:tcPr>
          <w:p w:rsidR="002B6AEC" w:rsidRPr="007E0863" w:rsidRDefault="002B6AEC" w:rsidP="007E0863">
            <w:pPr>
              <w:spacing w:before="120" w:after="120"/>
              <w:ind w:left="57" w:right="57" w:firstLine="0"/>
              <w:rPr>
                <w:bCs/>
                <w:sz w:val="24"/>
                <w:szCs w:val="24"/>
              </w:rPr>
            </w:pPr>
            <w:r w:rsidRPr="007E0863">
              <w:rPr>
                <w:bCs/>
                <w:sz w:val="24"/>
                <w:szCs w:val="24"/>
              </w:rPr>
              <w:t>1.</w:t>
            </w:r>
          </w:p>
        </w:tc>
        <w:tc>
          <w:tcPr>
            <w:tcW w:w="2976" w:type="dxa"/>
          </w:tcPr>
          <w:p w:rsidR="002B6AEC" w:rsidRPr="007E0863" w:rsidRDefault="002B6AEC" w:rsidP="007E0863">
            <w:pPr>
              <w:tabs>
                <w:tab w:val="left" w:pos="170"/>
              </w:tabs>
              <w:spacing w:before="120" w:after="120"/>
              <w:ind w:left="57" w:right="57" w:firstLine="0"/>
              <w:jc w:val="left"/>
              <w:rPr>
                <w:sz w:val="24"/>
                <w:szCs w:val="24"/>
                <w:lang w:eastAsia="lv-LV"/>
              </w:rPr>
            </w:pPr>
            <w:r w:rsidRPr="007E0863">
              <w:rPr>
                <w:sz w:val="24"/>
                <w:szCs w:val="24"/>
                <w:lang w:eastAsia="lv-LV"/>
              </w:rPr>
              <w:t>Plānotās sabiedrības līdzdalības un komunikācijas aktivitātes saistībā ar projektu</w:t>
            </w:r>
          </w:p>
        </w:tc>
        <w:tc>
          <w:tcPr>
            <w:tcW w:w="5665" w:type="dxa"/>
          </w:tcPr>
          <w:p w:rsidR="002B6AEC" w:rsidRPr="007E0863" w:rsidRDefault="002B6AEC" w:rsidP="007E0863">
            <w:pPr>
              <w:shd w:val="clear" w:color="auto" w:fill="FFFFFF"/>
              <w:spacing w:before="120" w:after="120"/>
              <w:ind w:left="57" w:right="57" w:firstLine="0"/>
              <w:rPr>
                <w:sz w:val="24"/>
                <w:szCs w:val="24"/>
                <w:lang w:eastAsia="lv-LV"/>
              </w:rPr>
            </w:pPr>
            <w:bookmarkStart w:id="2" w:name="p61"/>
            <w:bookmarkEnd w:id="2"/>
            <w:r w:rsidRPr="007E0863">
              <w:rPr>
                <w:sz w:val="24"/>
                <w:szCs w:val="24"/>
              </w:rPr>
              <w:t>Projekts pēc izsludināšanas Valsts sekretāru sanāksmē būs pieejams Ministru kabineta mājas lapā www.mk.gov.lv.</w:t>
            </w:r>
          </w:p>
        </w:tc>
      </w:tr>
      <w:tr w:rsidR="002B6AEC" w:rsidRPr="007E0863" w:rsidTr="000E583D">
        <w:trPr>
          <w:trHeight w:val="339"/>
          <w:jc w:val="center"/>
        </w:trPr>
        <w:tc>
          <w:tcPr>
            <w:tcW w:w="426" w:type="dxa"/>
          </w:tcPr>
          <w:p w:rsidR="002B6AEC" w:rsidRPr="007E0863" w:rsidRDefault="002B6AEC" w:rsidP="007E0863">
            <w:pPr>
              <w:spacing w:before="120" w:after="120"/>
              <w:ind w:left="57" w:right="57" w:firstLine="0"/>
              <w:rPr>
                <w:bCs/>
                <w:sz w:val="24"/>
                <w:szCs w:val="24"/>
              </w:rPr>
            </w:pPr>
            <w:r w:rsidRPr="007E0863">
              <w:rPr>
                <w:bCs/>
                <w:sz w:val="24"/>
                <w:szCs w:val="24"/>
              </w:rPr>
              <w:t>2.</w:t>
            </w:r>
          </w:p>
        </w:tc>
        <w:tc>
          <w:tcPr>
            <w:tcW w:w="2976" w:type="dxa"/>
          </w:tcPr>
          <w:p w:rsidR="002B6AEC" w:rsidRPr="007E0863" w:rsidRDefault="002B6AEC" w:rsidP="007E0863">
            <w:pPr>
              <w:spacing w:before="120" w:after="120"/>
              <w:ind w:left="57" w:right="57" w:firstLine="0"/>
              <w:jc w:val="left"/>
              <w:rPr>
                <w:sz w:val="24"/>
                <w:szCs w:val="24"/>
                <w:lang w:eastAsia="lv-LV"/>
              </w:rPr>
            </w:pPr>
            <w:r w:rsidRPr="007E0863">
              <w:rPr>
                <w:sz w:val="24"/>
                <w:szCs w:val="24"/>
                <w:lang w:eastAsia="lv-LV"/>
              </w:rPr>
              <w:t>Sabiedrības līdzdalība projekta izstrādē</w:t>
            </w:r>
          </w:p>
        </w:tc>
        <w:tc>
          <w:tcPr>
            <w:tcW w:w="5665" w:type="dxa"/>
          </w:tcPr>
          <w:p w:rsidR="002B6AEC" w:rsidRPr="007E0863" w:rsidRDefault="00AE35F7" w:rsidP="007E0863">
            <w:pPr>
              <w:shd w:val="clear" w:color="auto" w:fill="FFFFFF"/>
              <w:spacing w:before="120" w:after="120"/>
              <w:ind w:left="57" w:right="57" w:firstLine="0"/>
              <w:rPr>
                <w:sz w:val="24"/>
                <w:szCs w:val="24"/>
                <w:lang w:eastAsia="lv-LV"/>
              </w:rPr>
            </w:pPr>
            <w:bookmarkStart w:id="3" w:name="p62"/>
            <w:bookmarkEnd w:id="3"/>
            <w:r w:rsidRPr="007E0863">
              <w:rPr>
                <w:sz w:val="24"/>
                <w:szCs w:val="24"/>
              </w:rPr>
              <w:t xml:space="preserve">Sabiedrības līdzdalības un komunikācijas aktivitātes saistībā ar noteikumu projektu netiek plānotas, jo noteikumu projektā ietvertais regulējums </w:t>
            </w:r>
            <w:r w:rsidR="00DC5373" w:rsidRPr="007E0863">
              <w:rPr>
                <w:sz w:val="24"/>
                <w:szCs w:val="24"/>
              </w:rPr>
              <w:t>attiecas uz</w:t>
            </w:r>
            <w:r w:rsidRPr="007E0863">
              <w:rPr>
                <w:sz w:val="24"/>
                <w:szCs w:val="24"/>
              </w:rPr>
              <w:t xml:space="preserve"> </w:t>
            </w:r>
            <w:r w:rsidR="00DC5373" w:rsidRPr="007E0863">
              <w:rPr>
                <w:sz w:val="24"/>
                <w:szCs w:val="24"/>
                <w:lang w:eastAsia="lv-LV"/>
              </w:rPr>
              <w:t>Drošības policijas amatpersonām</w:t>
            </w:r>
            <w:r w:rsidR="00CF33B7" w:rsidRPr="007E0863">
              <w:rPr>
                <w:sz w:val="24"/>
                <w:szCs w:val="24"/>
                <w:lang w:eastAsia="lv-LV"/>
              </w:rPr>
              <w:t xml:space="preserve">, kuras veic aizsargājamo amatpersonu aizsardzību (apsardzi), kā arī uz </w:t>
            </w:r>
            <w:r w:rsidR="00CF33B7" w:rsidRPr="007E0863">
              <w:rPr>
                <w:sz w:val="24"/>
                <w:szCs w:val="24"/>
              </w:rPr>
              <w:t>Valsts policiju, un citām valsts un pašvaldību institūcijām</w:t>
            </w:r>
            <w:r w:rsidR="00CF33B7" w:rsidRPr="007E0863">
              <w:rPr>
                <w:sz w:val="24"/>
                <w:szCs w:val="24"/>
                <w:lang w:eastAsia="lv-LV"/>
              </w:rPr>
              <w:t>,</w:t>
            </w:r>
            <w:r w:rsidRPr="007E0863">
              <w:rPr>
                <w:sz w:val="24"/>
                <w:szCs w:val="24"/>
              </w:rPr>
              <w:t xml:space="preserve"> un nerada jaunas tiesības un neuzliek jaunus pienākumus papildus tam, kā </w:t>
            </w:r>
            <w:r w:rsidR="00DC5373" w:rsidRPr="007E0863">
              <w:rPr>
                <w:sz w:val="24"/>
                <w:szCs w:val="24"/>
              </w:rPr>
              <w:t xml:space="preserve">šobrīd </w:t>
            </w:r>
            <w:r w:rsidRPr="007E0863">
              <w:rPr>
                <w:sz w:val="24"/>
                <w:szCs w:val="24"/>
              </w:rPr>
              <w:t>tas ir paredzēts.</w:t>
            </w:r>
          </w:p>
        </w:tc>
      </w:tr>
      <w:tr w:rsidR="002B6AEC" w:rsidRPr="007E0863" w:rsidTr="000E583D">
        <w:trPr>
          <w:trHeight w:val="476"/>
          <w:jc w:val="center"/>
        </w:trPr>
        <w:tc>
          <w:tcPr>
            <w:tcW w:w="426" w:type="dxa"/>
          </w:tcPr>
          <w:p w:rsidR="002B6AEC" w:rsidRPr="007E0863" w:rsidRDefault="002B6AEC" w:rsidP="007E0863">
            <w:pPr>
              <w:spacing w:before="120" w:after="120"/>
              <w:ind w:left="57" w:right="57" w:firstLine="0"/>
              <w:rPr>
                <w:bCs/>
                <w:sz w:val="24"/>
                <w:szCs w:val="24"/>
              </w:rPr>
            </w:pPr>
            <w:r w:rsidRPr="007E0863">
              <w:rPr>
                <w:bCs/>
                <w:sz w:val="24"/>
                <w:szCs w:val="24"/>
              </w:rPr>
              <w:t>3.</w:t>
            </w:r>
          </w:p>
        </w:tc>
        <w:tc>
          <w:tcPr>
            <w:tcW w:w="2976" w:type="dxa"/>
          </w:tcPr>
          <w:p w:rsidR="002B6AEC" w:rsidRPr="007E0863" w:rsidRDefault="002B6AEC" w:rsidP="007E0863">
            <w:pPr>
              <w:spacing w:before="120" w:after="120"/>
              <w:ind w:left="57" w:right="57" w:firstLine="0"/>
              <w:jc w:val="left"/>
              <w:rPr>
                <w:sz w:val="24"/>
                <w:szCs w:val="24"/>
                <w:lang w:eastAsia="lv-LV"/>
              </w:rPr>
            </w:pPr>
            <w:r w:rsidRPr="007E0863">
              <w:rPr>
                <w:sz w:val="24"/>
                <w:szCs w:val="24"/>
                <w:lang w:eastAsia="lv-LV"/>
              </w:rPr>
              <w:t>Sabiedrības līdzdalības rezultāti</w:t>
            </w:r>
          </w:p>
        </w:tc>
        <w:tc>
          <w:tcPr>
            <w:tcW w:w="5665" w:type="dxa"/>
          </w:tcPr>
          <w:p w:rsidR="002B6AEC" w:rsidRPr="007E0863" w:rsidRDefault="002B6AEC" w:rsidP="007E0863">
            <w:pPr>
              <w:shd w:val="clear" w:color="auto" w:fill="FFFFFF"/>
              <w:spacing w:before="120" w:after="120"/>
              <w:ind w:left="57" w:right="57" w:firstLine="0"/>
              <w:rPr>
                <w:sz w:val="24"/>
                <w:szCs w:val="24"/>
                <w:lang w:eastAsia="lv-LV"/>
              </w:rPr>
            </w:pPr>
            <w:r w:rsidRPr="007E0863">
              <w:rPr>
                <w:sz w:val="24"/>
                <w:szCs w:val="24"/>
              </w:rPr>
              <w:t>Projekts šo jomu neskar.</w:t>
            </w:r>
            <w:r w:rsidR="00DC5373" w:rsidRPr="007E0863">
              <w:rPr>
                <w:sz w:val="24"/>
                <w:szCs w:val="24"/>
              </w:rPr>
              <w:t xml:space="preserve"> </w:t>
            </w:r>
          </w:p>
        </w:tc>
      </w:tr>
      <w:tr w:rsidR="002B6AEC" w:rsidRPr="007E0863" w:rsidTr="000E583D">
        <w:trPr>
          <w:trHeight w:val="615"/>
          <w:jc w:val="center"/>
        </w:trPr>
        <w:tc>
          <w:tcPr>
            <w:tcW w:w="426" w:type="dxa"/>
          </w:tcPr>
          <w:p w:rsidR="002B6AEC" w:rsidRPr="007E0863" w:rsidRDefault="002B6AEC" w:rsidP="007E0863">
            <w:pPr>
              <w:spacing w:before="120"/>
              <w:ind w:left="57" w:right="57" w:firstLine="0"/>
              <w:rPr>
                <w:bCs/>
                <w:sz w:val="24"/>
                <w:szCs w:val="24"/>
              </w:rPr>
            </w:pPr>
            <w:r w:rsidRPr="007E0863">
              <w:rPr>
                <w:bCs/>
                <w:sz w:val="24"/>
                <w:szCs w:val="24"/>
              </w:rPr>
              <w:t>4.</w:t>
            </w:r>
          </w:p>
        </w:tc>
        <w:tc>
          <w:tcPr>
            <w:tcW w:w="2976" w:type="dxa"/>
          </w:tcPr>
          <w:p w:rsidR="002B6AEC" w:rsidRPr="007E0863" w:rsidRDefault="002B6AEC" w:rsidP="007E0863">
            <w:pPr>
              <w:spacing w:before="120" w:after="120"/>
              <w:ind w:left="57" w:right="57" w:firstLine="0"/>
              <w:jc w:val="left"/>
              <w:rPr>
                <w:sz w:val="24"/>
                <w:szCs w:val="24"/>
                <w:lang w:eastAsia="lv-LV"/>
              </w:rPr>
            </w:pPr>
            <w:r w:rsidRPr="007E0863">
              <w:rPr>
                <w:sz w:val="24"/>
                <w:szCs w:val="24"/>
                <w:lang w:eastAsia="lv-LV"/>
              </w:rPr>
              <w:t>Cita informācija</w:t>
            </w:r>
          </w:p>
        </w:tc>
        <w:tc>
          <w:tcPr>
            <w:tcW w:w="5665" w:type="dxa"/>
          </w:tcPr>
          <w:p w:rsidR="002B6AEC" w:rsidRPr="007E0863" w:rsidRDefault="002B6AEC" w:rsidP="007E0863">
            <w:pPr>
              <w:spacing w:before="120" w:after="120"/>
              <w:ind w:left="57" w:right="57" w:firstLine="0"/>
              <w:rPr>
                <w:sz w:val="24"/>
                <w:szCs w:val="24"/>
                <w:lang w:eastAsia="lv-LV"/>
              </w:rPr>
            </w:pPr>
            <w:r w:rsidRPr="007E0863">
              <w:rPr>
                <w:sz w:val="24"/>
                <w:szCs w:val="24"/>
              </w:rPr>
              <w:t>Nav.</w:t>
            </w:r>
          </w:p>
        </w:tc>
      </w:tr>
    </w:tbl>
    <w:p w:rsidR="002B6AEC" w:rsidRPr="00DE7391" w:rsidRDefault="002B6AEC" w:rsidP="002B6AEC">
      <w:pPr>
        <w:spacing w:after="120"/>
        <w:ind w:firstLine="0"/>
        <w:jc w:val="left"/>
        <w:rPr>
          <w:szCs w:val="28"/>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23"/>
        <w:gridCol w:w="5007"/>
      </w:tblGrid>
      <w:tr w:rsidR="002B6AEC" w:rsidRPr="007E0863" w:rsidTr="000E583D">
        <w:trPr>
          <w:trHeight w:val="381"/>
          <w:jc w:val="center"/>
        </w:trPr>
        <w:tc>
          <w:tcPr>
            <w:tcW w:w="9067" w:type="dxa"/>
            <w:gridSpan w:val="3"/>
            <w:vAlign w:val="center"/>
          </w:tcPr>
          <w:p w:rsidR="002B6AEC" w:rsidRPr="007E0863" w:rsidRDefault="002B6AEC" w:rsidP="008E7228">
            <w:pPr>
              <w:pStyle w:val="naisnod"/>
              <w:spacing w:before="0" w:beforeAutospacing="0" w:after="0" w:afterAutospacing="0"/>
              <w:ind w:left="57" w:right="57"/>
              <w:jc w:val="center"/>
            </w:pPr>
            <w:r w:rsidRPr="007E0863">
              <w:rPr>
                <w:b/>
              </w:rPr>
              <w:t>VII. Tiesību akta projekta izpildes nodrošināšana un tās ietekme uz institūcijām</w:t>
            </w:r>
          </w:p>
        </w:tc>
      </w:tr>
      <w:tr w:rsidR="002B6AEC" w:rsidRPr="007E0863" w:rsidTr="000E583D">
        <w:trPr>
          <w:trHeight w:val="427"/>
          <w:jc w:val="center"/>
        </w:trPr>
        <w:tc>
          <w:tcPr>
            <w:tcW w:w="437" w:type="dxa"/>
          </w:tcPr>
          <w:p w:rsidR="002B6AEC" w:rsidRPr="007E0863" w:rsidRDefault="002B6AEC" w:rsidP="007E0863">
            <w:pPr>
              <w:pStyle w:val="naisnod"/>
              <w:spacing w:before="120" w:beforeAutospacing="0" w:after="0" w:afterAutospacing="0"/>
              <w:ind w:left="57" w:right="57"/>
              <w:jc w:val="both"/>
            </w:pPr>
            <w:r w:rsidRPr="007E0863">
              <w:t>1.</w:t>
            </w:r>
          </w:p>
        </w:tc>
        <w:tc>
          <w:tcPr>
            <w:tcW w:w="3623" w:type="dxa"/>
          </w:tcPr>
          <w:p w:rsidR="002B6AEC" w:rsidRPr="007E0863" w:rsidRDefault="002B6AEC" w:rsidP="007E0863">
            <w:pPr>
              <w:pStyle w:val="naisf"/>
              <w:spacing w:before="120" w:after="120"/>
              <w:ind w:left="57" w:right="57" w:firstLine="0"/>
              <w:jc w:val="left"/>
            </w:pPr>
            <w:r w:rsidRPr="007E0863">
              <w:t>Projekta izpildē iesaistītās institūcijas</w:t>
            </w:r>
          </w:p>
        </w:tc>
        <w:tc>
          <w:tcPr>
            <w:tcW w:w="5007" w:type="dxa"/>
          </w:tcPr>
          <w:p w:rsidR="002B6AEC" w:rsidRPr="007E0863" w:rsidRDefault="009E14C3" w:rsidP="007E0863">
            <w:pPr>
              <w:shd w:val="clear" w:color="auto" w:fill="FFFFFF"/>
              <w:spacing w:before="120" w:after="120"/>
              <w:ind w:left="57" w:right="57" w:firstLine="0"/>
              <w:rPr>
                <w:sz w:val="24"/>
                <w:szCs w:val="24"/>
                <w:lang w:eastAsia="lv-LV"/>
              </w:rPr>
            </w:pPr>
            <w:bookmarkStart w:id="4" w:name="p66"/>
            <w:bookmarkStart w:id="5" w:name="p67"/>
            <w:bookmarkStart w:id="6" w:name="p68"/>
            <w:bookmarkStart w:id="7" w:name="p69"/>
            <w:bookmarkEnd w:id="4"/>
            <w:bookmarkEnd w:id="5"/>
            <w:bookmarkEnd w:id="6"/>
            <w:bookmarkEnd w:id="7"/>
            <w:r w:rsidRPr="007E0863">
              <w:rPr>
                <w:sz w:val="24"/>
                <w:szCs w:val="24"/>
              </w:rPr>
              <w:t>Drošības policija</w:t>
            </w:r>
            <w:r w:rsidR="002B6AEC" w:rsidRPr="007E0863">
              <w:rPr>
                <w:sz w:val="24"/>
                <w:szCs w:val="24"/>
              </w:rPr>
              <w:t>.</w:t>
            </w:r>
          </w:p>
        </w:tc>
      </w:tr>
      <w:tr w:rsidR="002B6AEC" w:rsidRPr="007E0863" w:rsidTr="000E583D">
        <w:trPr>
          <w:trHeight w:val="463"/>
          <w:jc w:val="center"/>
        </w:trPr>
        <w:tc>
          <w:tcPr>
            <w:tcW w:w="437" w:type="dxa"/>
          </w:tcPr>
          <w:p w:rsidR="002B6AEC" w:rsidRPr="007E0863" w:rsidRDefault="002B6AEC" w:rsidP="007E0863">
            <w:pPr>
              <w:pStyle w:val="naisnod"/>
              <w:spacing w:before="120" w:beforeAutospacing="0" w:after="0" w:afterAutospacing="0"/>
              <w:ind w:left="57" w:right="57"/>
              <w:jc w:val="both"/>
            </w:pPr>
            <w:r w:rsidRPr="007E0863">
              <w:t>2.</w:t>
            </w:r>
          </w:p>
        </w:tc>
        <w:tc>
          <w:tcPr>
            <w:tcW w:w="3623" w:type="dxa"/>
          </w:tcPr>
          <w:p w:rsidR="002B6AEC" w:rsidRPr="007E0863" w:rsidRDefault="002B6AEC" w:rsidP="007E0863">
            <w:pPr>
              <w:pStyle w:val="naisf"/>
              <w:spacing w:before="120" w:after="120"/>
              <w:ind w:left="57" w:right="57" w:firstLine="0"/>
              <w:jc w:val="left"/>
            </w:pPr>
            <w:r w:rsidRPr="007E0863">
              <w:t>Projekta izpildes ietekme uz pārvaldes funkcijām un institucionālo struktūru.</w:t>
            </w:r>
          </w:p>
          <w:p w:rsidR="002B6AEC" w:rsidRPr="007E0863" w:rsidRDefault="002B6AEC" w:rsidP="007E0863">
            <w:pPr>
              <w:pStyle w:val="naisf"/>
              <w:spacing w:before="120" w:after="120"/>
              <w:ind w:left="57" w:right="57" w:firstLine="0"/>
              <w:jc w:val="left"/>
            </w:pPr>
            <w:r w:rsidRPr="007E0863">
              <w:t>Jaunu institūciju izveide, esošu institūciju likvidācija vai reorganizācija, to ietekme uz institūcijas cilvēkresursiem.</w:t>
            </w:r>
          </w:p>
        </w:tc>
        <w:tc>
          <w:tcPr>
            <w:tcW w:w="5007" w:type="dxa"/>
          </w:tcPr>
          <w:p w:rsidR="002B6AEC" w:rsidRPr="007E0863" w:rsidRDefault="002B6AEC" w:rsidP="007E0863">
            <w:pPr>
              <w:spacing w:before="120" w:after="120"/>
              <w:ind w:left="57" w:right="57" w:firstLine="0"/>
              <w:rPr>
                <w:sz w:val="24"/>
                <w:szCs w:val="24"/>
              </w:rPr>
            </w:pPr>
            <w:r w:rsidRPr="007E0863">
              <w:rPr>
                <w:sz w:val="24"/>
                <w:szCs w:val="24"/>
              </w:rPr>
              <w:t>Jaunas institūcijas netiks izveidotas un esošās institūcijas netiks likvidētas vai reorganizētas.</w:t>
            </w:r>
          </w:p>
        </w:tc>
      </w:tr>
      <w:tr w:rsidR="002B6AEC" w:rsidRPr="007E0863" w:rsidTr="000E583D">
        <w:trPr>
          <w:trHeight w:val="402"/>
          <w:jc w:val="center"/>
        </w:trPr>
        <w:tc>
          <w:tcPr>
            <w:tcW w:w="437" w:type="dxa"/>
          </w:tcPr>
          <w:p w:rsidR="002B6AEC" w:rsidRPr="007E0863" w:rsidRDefault="002B6AEC" w:rsidP="007E0863">
            <w:pPr>
              <w:pStyle w:val="naisnod"/>
              <w:spacing w:before="120" w:beforeAutospacing="0" w:after="120" w:afterAutospacing="0"/>
              <w:ind w:left="57" w:right="57"/>
              <w:jc w:val="both"/>
            </w:pPr>
            <w:r w:rsidRPr="007E0863">
              <w:t>3.</w:t>
            </w:r>
          </w:p>
        </w:tc>
        <w:tc>
          <w:tcPr>
            <w:tcW w:w="3623" w:type="dxa"/>
          </w:tcPr>
          <w:p w:rsidR="002B6AEC" w:rsidRPr="007E0863" w:rsidRDefault="002B6AEC" w:rsidP="007E0863">
            <w:pPr>
              <w:pStyle w:val="naisf"/>
              <w:spacing w:before="120" w:after="120"/>
              <w:ind w:left="57" w:right="57" w:firstLine="0"/>
            </w:pPr>
            <w:r w:rsidRPr="007E0863">
              <w:t>Cita informācija</w:t>
            </w:r>
          </w:p>
        </w:tc>
        <w:tc>
          <w:tcPr>
            <w:tcW w:w="5007" w:type="dxa"/>
          </w:tcPr>
          <w:p w:rsidR="002B6AEC" w:rsidRPr="007E0863" w:rsidRDefault="002B6AEC" w:rsidP="007E0863">
            <w:pPr>
              <w:spacing w:before="120" w:after="120"/>
              <w:ind w:left="57" w:right="57" w:firstLine="0"/>
              <w:rPr>
                <w:sz w:val="24"/>
                <w:szCs w:val="24"/>
                <w:lang w:eastAsia="lv-LV"/>
              </w:rPr>
            </w:pPr>
            <w:r w:rsidRPr="007E0863">
              <w:rPr>
                <w:sz w:val="24"/>
                <w:szCs w:val="24"/>
              </w:rPr>
              <w:t>Nav.</w:t>
            </w:r>
          </w:p>
        </w:tc>
      </w:tr>
    </w:tbl>
    <w:p w:rsidR="002B6AEC" w:rsidRPr="00524C76" w:rsidRDefault="002B6AEC" w:rsidP="002B6AEC">
      <w:pPr>
        <w:ind w:firstLine="0"/>
        <w:rPr>
          <w:i/>
          <w:sz w:val="16"/>
          <w:szCs w:val="16"/>
        </w:rPr>
      </w:pPr>
    </w:p>
    <w:p w:rsidR="002B6AEC" w:rsidRPr="002B6AEC" w:rsidRDefault="002B6AEC" w:rsidP="002B6AEC">
      <w:pPr>
        <w:ind w:firstLine="0"/>
        <w:rPr>
          <w:i/>
          <w:szCs w:val="28"/>
        </w:rPr>
      </w:pPr>
      <w:r w:rsidRPr="002B6AEC">
        <w:rPr>
          <w:i/>
          <w:szCs w:val="28"/>
        </w:rPr>
        <w:t xml:space="preserve">Anotācijas III, IV un V sadaļa – projekts šīs jomas neskar. </w:t>
      </w:r>
    </w:p>
    <w:p w:rsidR="00273405" w:rsidRDefault="00273405" w:rsidP="00403EDF">
      <w:pPr>
        <w:tabs>
          <w:tab w:val="right" w:pos="9071"/>
        </w:tabs>
        <w:ind w:firstLine="0"/>
        <w:rPr>
          <w:szCs w:val="28"/>
          <w:lang w:val="de-DE"/>
        </w:rPr>
      </w:pPr>
    </w:p>
    <w:p w:rsidR="007E0863" w:rsidRDefault="007E0863" w:rsidP="00403EDF">
      <w:pPr>
        <w:tabs>
          <w:tab w:val="right" w:pos="9071"/>
        </w:tabs>
        <w:ind w:firstLine="0"/>
        <w:rPr>
          <w:szCs w:val="28"/>
          <w:lang w:val="de-DE"/>
        </w:rPr>
      </w:pPr>
    </w:p>
    <w:p w:rsidR="008D34EB" w:rsidRPr="00E413AE" w:rsidRDefault="00403EDF" w:rsidP="00403EDF">
      <w:pPr>
        <w:tabs>
          <w:tab w:val="right" w:pos="9071"/>
        </w:tabs>
        <w:ind w:firstLine="0"/>
        <w:rPr>
          <w:szCs w:val="28"/>
          <w:lang w:val="de-DE"/>
        </w:rPr>
      </w:pPr>
      <w:r w:rsidRPr="00E413AE">
        <w:rPr>
          <w:szCs w:val="28"/>
          <w:lang w:val="de-DE"/>
        </w:rPr>
        <w:t>Iekšlietu ministrs</w:t>
      </w:r>
      <w:r w:rsidRPr="00E413AE">
        <w:rPr>
          <w:szCs w:val="28"/>
          <w:lang w:val="de-DE"/>
        </w:rPr>
        <w:tab/>
      </w:r>
      <w:r w:rsidR="00273405">
        <w:rPr>
          <w:szCs w:val="28"/>
          <w:lang w:val="de-DE"/>
        </w:rPr>
        <w:t>R. </w:t>
      </w:r>
      <w:r w:rsidR="008D34EB" w:rsidRPr="00E413AE">
        <w:rPr>
          <w:szCs w:val="28"/>
          <w:lang w:val="de-DE"/>
        </w:rPr>
        <w:t>Kozlovskis</w:t>
      </w:r>
    </w:p>
    <w:p w:rsidR="00524C76" w:rsidRPr="008F3581" w:rsidRDefault="00524C76" w:rsidP="001F4AB0">
      <w:pPr>
        <w:pStyle w:val="naisf"/>
        <w:rPr>
          <w:sz w:val="16"/>
          <w:szCs w:val="16"/>
        </w:rPr>
      </w:pPr>
    </w:p>
    <w:p w:rsidR="007E0863" w:rsidRDefault="007E0863" w:rsidP="00403EDF">
      <w:pPr>
        <w:pStyle w:val="naisf"/>
        <w:tabs>
          <w:tab w:val="right" w:pos="9071"/>
        </w:tabs>
        <w:ind w:firstLine="0"/>
        <w:rPr>
          <w:sz w:val="28"/>
          <w:szCs w:val="28"/>
        </w:rPr>
      </w:pPr>
    </w:p>
    <w:p w:rsidR="008D34EB" w:rsidRPr="00E413AE" w:rsidRDefault="008D34EB" w:rsidP="00403EDF">
      <w:pPr>
        <w:pStyle w:val="naisf"/>
        <w:tabs>
          <w:tab w:val="right" w:pos="9071"/>
        </w:tabs>
        <w:ind w:firstLine="0"/>
        <w:rPr>
          <w:sz w:val="28"/>
          <w:szCs w:val="28"/>
        </w:rPr>
      </w:pPr>
      <w:r w:rsidRPr="00E413AE">
        <w:rPr>
          <w:sz w:val="28"/>
          <w:szCs w:val="28"/>
        </w:rPr>
        <w:t>Vīza: valsts sekretāre</w:t>
      </w:r>
      <w:r w:rsidR="00403EDF" w:rsidRPr="00E413AE">
        <w:rPr>
          <w:sz w:val="28"/>
          <w:szCs w:val="28"/>
        </w:rPr>
        <w:tab/>
      </w:r>
      <w:r w:rsidRPr="00E413AE">
        <w:rPr>
          <w:sz w:val="28"/>
          <w:szCs w:val="28"/>
        </w:rPr>
        <w:t>I.</w:t>
      </w:r>
      <w:r w:rsidR="00273405">
        <w:rPr>
          <w:sz w:val="28"/>
          <w:szCs w:val="28"/>
        </w:rPr>
        <w:t> </w:t>
      </w:r>
      <w:r w:rsidRPr="00E413AE">
        <w:rPr>
          <w:sz w:val="28"/>
          <w:szCs w:val="28"/>
        </w:rPr>
        <w:t>Pētersone-Godmane</w:t>
      </w:r>
    </w:p>
    <w:p w:rsidR="00053C21" w:rsidRPr="008F3581" w:rsidRDefault="00053C21" w:rsidP="00403EDF">
      <w:pPr>
        <w:ind w:firstLine="0"/>
        <w:rPr>
          <w:sz w:val="16"/>
          <w:szCs w:val="16"/>
        </w:rPr>
      </w:pPr>
    </w:p>
    <w:p w:rsidR="007E0863" w:rsidRDefault="007E0863" w:rsidP="00403EDF">
      <w:pPr>
        <w:ind w:firstLine="0"/>
        <w:rPr>
          <w:sz w:val="20"/>
          <w:szCs w:val="20"/>
        </w:rPr>
      </w:pPr>
    </w:p>
    <w:p w:rsidR="000E583D" w:rsidRDefault="000E583D" w:rsidP="00403EDF">
      <w:pPr>
        <w:ind w:firstLine="0"/>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Default="000E583D" w:rsidP="000E583D">
      <w:pPr>
        <w:rPr>
          <w:sz w:val="20"/>
          <w:szCs w:val="20"/>
        </w:rPr>
      </w:pPr>
    </w:p>
    <w:p w:rsidR="000E583D" w:rsidRDefault="000E583D" w:rsidP="000E583D">
      <w:pPr>
        <w:rPr>
          <w:sz w:val="20"/>
          <w:szCs w:val="20"/>
        </w:rPr>
      </w:pPr>
    </w:p>
    <w:p w:rsidR="000E583D" w:rsidRPr="000E583D" w:rsidRDefault="000E583D" w:rsidP="000E583D">
      <w:pPr>
        <w:rPr>
          <w:sz w:val="20"/>
          <w:szCs w:val="20"/>
        </w:rPr>
      </w:pPr>
    </w:p>
    <w:p w:rsidR="000E583D" w:rsidRPr="000E583D" w:rsidRDefault="000E583D" w:rsidP="000E583D">
      <w:pPr>
        <w:rPr>
          <w:sz w:val="20"/>
          <w:szCs w:val="20"/>
        </w:rPr>
      </w:pPr>
    </w:p>
    <w:p w:rsidR="000E583D" w:rsidRDefault="000E583D" w:rsidP="000E583D">
      <w:pPr>
        <w:rPr>
          <w:sz w:val="20"/>
          <w:szCs w:val="20"/>
        </w:rPr>
      </w:pPr>
    </w:p>
    <w:p w:rsidR="000E583D" w:rsidRPr="009A4FBA" w:rsidRDefault="00556904" w:rsidP="000E583D">
      <w:pPr>
        <w:ind w:firstLine="0"/>
        <w:rPr>
          <w:sz w:val="20"/>
          <w:szCs w:val="20"/>
        </w:rPr>
      </w:pPr>
      <w:r>
        <w:rPr>
          <w:sz w:val="20"/>
          <w:szCs w:val="20"/>
        </w:rPr>
        <w:t>30</w:t>
      </w:r>
      <w:r w:rsidR="000E583D" w:rsidRPr="009A4FBA">
        <w:rPr>
          <w:sz w:val="20"/>
          <w:szCs w:val="20"/>
        </w:rPr>
        <w:t>.</w:t>
      </w:r>
      <w:r w:rsidR="000E583D">
        <w:rPr>
          <w:sz w:val="20"/>
          <w:szCs w:val="20"/>
        </w:rPr>
        <w:t>0</w:t>
      </w:r>
      <w:r>
        <w:rPr>
          <w:sz w:val="20"/>
          <w:szCs w:val="20"/>
        </w:rPr>
        <w:t>6</w:t>
      </w:r>
      <w:r w:rsidR="000E583D" w:rsidRPr="009A4FBA">
        <w:rPr>
          <w:sz w:val="20"/>
          <w:szCs w:val="20"/>
        </w:rPr>
        <w:t>.201</w:t>
      </w:r>
      <w:r w:rsidR="000E583D">
        <w:rPr>
          <w:sz w:val="20"/>
          <w:szCs w:val="20"/>
        </w:rPr>
        <w:t>6</w:t>
      </w:r>
      <w:r w:rsidR="000E583D" w:rsidRPr="009A4FBA">
        <w:rPr>
          <w:sz w:val="20"/>
          <w:szCs w:val="20"/>
        </w:rPr>
        <w:t xml:space="preserve">. </w:t>
      </w:r>
      <w:r w:rsidR="00FE794D">
        <w:rPr>
          <w:sz w:val="20"/>
          <w:szCs w:val="20"/>
        </w:rPr>
        <w:t>10</w:t>
      </w:r>
      <w:r w:rsidR="000E583D" w:rsidRPr="009A4FBA">
        <w:rPr>
          <w:sz w:val="20"/>
          <w:szCs w:val="20"/>
        </w:rPr>
        <w:t>:</w:t>
      </w:r>
      <w:r w:rsidR="00FE794D">
        <w:rPr>
          <w:sz w:val="20"/>
          <w:szCs w:val="20"/>
        </w:rPr>
        <w:t>4</w:t>
      </w:r>
      <w:r w:rsidR="000E583D">
        <w:rPr>
          <w:sz w:val="20"/>
          <w:szCs w:val="20"/>
        </w:rPr>
        <w:t>0</w:t>
      </w:r>
    </w:p>
    <w:p w:rsidR="000E583D" w:rsidRPr="009A4FBA" w:rsidRDefault="000E583D" w:rsidP="000E583D">
      <w:pPr>
        <w:tabs>
          <w:tab w:val="left" w:pos="3075"/>
        </w:tabs>
        <w:ind w:firstLine="0"/>
        <w:rPr>
          <w:noProof/>
          <w:sz w:val="20"/>
          <w:szCs w:val="20"/>
        </w:rPr>
      </w:pPr>
      <w:r w:rsidRPr="009A4FBA">
        <w:rPr>
          <w:sz w:val="20"/>
          <w:szCs w:val="20"/>
        </w:rPr>
        <w:fldChar w:fldCharType="begin"/>
      </w:r>
      <w:r w:rsidRPr="009A4FBA">
        <w:rPr>
          <w:sz w:val="20"/>
          <w:szCs w:val="20"/>
        </w:rPr>
        <w:instrText xml:space="preserve"> NUMWORDS   \* MERGEFORMAT </w:instrText>
      </w:r>
      <w:r w:rsidRPr="009A4FBA">
        <w:rPr>
          <w:sz w:val="20"/>
          <w:szCs w:val="20"/>
        </w:rPr>
        <w:fldChar w:fldCharType="separate"/>
      </w:r>
      <w:r w:rsidR="00C3349E">
        <w:rPr>
          <w:noProof/>
          <w:sz w:val="20"/>
          <w:szCs w:val="20"/>
        </w:rPr>
        <w:t>1171</w:t>
      </w:r>
      <w:r w:rsidRPr="009A4FBA">
        <w:rPr>
          <w:noProof/>
          <w:sz w:val="20"/>
          <w:szCs w:val="20"/>
        </w:rPr>
        <w:fldChar w:fldCharType="end"/>
      </w:r>
    </w:p>
    <w:p w:rsidR="007E0863" w:rsidRPr="000E583D" w:rsidRDefault="000E583D" w:rsidP="000E583D">
      <w:pPr>
        <w:ind w:firstLine="0"/>
        <w:rPr>
          <w:sz w:val="20"/>
          <w:szCs w:val="20"/>
        </w:rPr>
      </w:pPr>
      <w:r w:rsidRPr="009A4FBA">
        <w:rPr>
          <w:sz w:val="20"/>
          <w:szCs w:val="20"/>
        </w:rPr>
        <w:t>67208</w:t>
      </w:r>
      <w:r>
        <w:rPr>
          <w:sz w:val="20"/>
          <w:szCs w:val="20"/>
        </w:rPr>
        <w:t>949</w:t>
      </w:r>
      <w:r w:rsidRPr="009A4FBA">
        <w:rPr>
          <w:sz w:val="20"/>
          <w:szCs w:val="20"/>
        </w:rPr>
        <w:t xml:space="preserve">, </w:t>
      </w:r>
      <w:r w:rsidRPr="000E583D">
        <w:rPr>
          <w:sz w:val="20"/>
          <w:szCs w:val="20"/>
        </w:rPr>
        <w:t>juristi@dp.gov.lv</w:t>
      </w:r>
    </w:p>
    <w:sectPr w:rsidR="007E0863" w:rsidRPr="000E583D" w:rsidSect="00C63D91">
      <w:headerReference w:type="default" r:id="rId8"/>
      <w:footerReference w:type="default" r:id="rId9"/>
      <w:footerReference w:type="first" r:id="rId10"/>
      <w:pgSz w:w="11906" w:h="16838"/>
      <w:pgMar w:top="1134" w:right="1134" w:bottom="1134" w:left="1701" w:header="850" w:footer="85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D5" w:rsidRDefault="00612ED5" w:rsidP="00F3628F">
      <w:r>
        <w:separator/>
      </w:r>
    </w:p>
  </w:endnote>
  <w:endnote w:type="continuationSeparator" w:id="0">
    <w:p w:rsidR="00612ED5" w:rsidRDefault="00612ED5"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6" w:rsidRPr="00403EDF" w:rsidRDefault="00A265F5" w:rsidP="002606B6">
    <w:pPr>
      <w:pStyle w:val="Footer"/>
      <w:spacing w:before="120"/>
      <w:ind w:firstLine="0"/>
      <w:rPr>
        <w:sz w:val="20"/>
        <w:szCs w:val="20"/>
      </w:rPr>
    </w:pPr>
    <w:r>
      <w:fldChar w:fldCharType="begin"/>
    </w:r>
    <w:r>
      <w:instrText xml:space="preserve"> FILENAME   \* MERGEFORMAT </w:instrText>
    </w:r>
    <w:r>
      <w:fldChar w:fldCharType="separate"/>
    </w:r>
    <w:r w:rsidR="00E43563" w:rsidRPr="00E43563">
      <w:rPr>
        <w:noProof/>
        <w:sz w:val="20"/>
        <w:szCs w:val="20"/>
        <w:lang w:val="en-US"/>
      </w:rPr>
      <w:t>IEMAnot_30062016_aizsardziba</w:t>
    </w:r>
    <w:r>
      <w:rPr>
        <w:noProof/>
        <w:sz w:val="20"/>
        <w:szCs w:val="20"/>
        <w:lang w:val="en-US"/>
      </w:rPr>
      <w:fldChar w:fldCharType="end"/>
    </w:r>
    <w:r w:rsidR="002606B6">
      <w:rPr>
        <w:sz w:val="20"/>
        <w:szCs w:val="20"/>
      </w:rPr>
      <w:t xml:space="preserve">; </w:t>
    </w:r>
    <w:r w:rsidR="002606B6" w:rsidRPr="00C03EEA">
      <w:rPr>
        <w:sz w:val="20"/>
        <w:szCs w:val="20"/>
      </w:rPr>
      <w:t>Ministru kabine</w:t>
    </w:r>
    <w:r w:rsidR="002606B6">
      <w:rPr>
        <w:sz w:val="20"/>
        <w:szCs w:val="20"/>
      </w:rPr>
      <w:t>ta noteikumu projekta</w:t>
    </w:r>
    <w:r w:rsidR="002606B6" w:rsidRPr="00C03EEA">
      <w:rPr>
        <w:sz w:val="20"/>
        <w:szCs w:val="20"/>
      </w:rPr>
      <w:t xml:space="preserve"> „</w:t>
    </w:r>
    <w:r w:rsidR="002606B6">
      <w:rPr>
        <w:sz w:val="20"/>
        <w:szCs w:val="20"/>
      </w:rPr>
      <w:t>Kārtība, kādā Drošības policija nodrošina aizsargājamo amatpersonu aizsardzību (apsardzi)</w:t>
    </w:r>
    <w:r w:rsidR="002606B6" w:rsidRPr="00C03EE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EB" w:rsidRPr="00403EDF" w:rsidRDefault="00A265F5" w:rsidP="00C63D91">
    <w:pPr>
      <w:pStyle w:val="Footer"/>
      <w:spacing w:before="120"/>
      <w:ind w:firstLine="0"/>
      <w:rPr>
        <w:sz w:val="20"/>
        <w:szCs w:val="20"/>
      </w:rPr>
    </w:pPr>
    <w:r>
      <w:fldChar w:fldCharType="begin"/>
    </w:r>
    <w:r>
      <w:instrText xml:space="preserve"> FILENAME   \* MERGEFORMAT </w:instrText>
    </w:r>
    <w:r>
      <w:fldChar w:fldCharType="separate"/>
    </w:r>
    <w:r w:rsidR="00E43563" w:rsidRPr="00E43563">
      <w:rPr>
        <w:noProof/>
        <w:sz w:val="20"/>
        <w:szCs w:val="20"/>
        <w:lang w:val="en-US"/>
      </w:rPr>
      <w:t>IEMAnot_30062016_aizsardziba</w:t>
    </w:r>
    <w:r>
      <w:rPr>
        <w:noProof/>
        <w:sz w:val="20"/>
        <w:szCs w:val="20"/>
        <w:lang w:val="en-US"/>
      </w:rPr>
      <w:fldChar w:fldCharType="end"/>
    </w:r>
    <w:r w:rsidR="008D34EB">
      <w:rPr>
        <w:sz w:val="20"/>
        <w:szCs w:val="20"/>
      </w:rPr>
      <w:t xml:space="preserve">; </w:t>
    </w:r>
    <w:r w:rsidR="00403EDF" w:rsidRPr="00C03EEA">
      <w:rPr>
        <w:sz w:val="20"/>
        <w:szCs w:val="20"/>
      </w:rPr>
      <w:t>Ministru kabine</w:t>
    </w:r>
    <w:r w:rsidR="002606B6">
      <w:rPr>
        <w:sz w:val="20"/>
        <w:szCs w:val="20"/>
      </w:rPr>
      <w:t>ta noteikumu projekta</w:t>
    </w:r>
    <w:r w:rsidR="00403EDF" w:rsidRPr="00C03EEA">
      <w:rPr>
        <w:sz w:val="20"/>
        <w:szCs w:val="20"/>
      </w:rPr>
      <w:t xml:space="preserve"> „</w:t>
    </w:r>
    <w:r w:rsidR="002606B6">
      <w:rPr>
        <w:sz w:val="20"/>
        <w:szCs w:val="20"/>
      </w:rPr>
      <w:t>Kārtība, kādā Drošības policija nodrošina aizsargājamo amatpersonu aizsardzību (apsardzi)</w:t>
    </w:r>
    <w:r w:rsidR="00403EDF" w:rsidRPr="00C03EE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D5" w:rsidRDefault="00612ED5" w:rsidP="00F3628F">
      <w:r>
        <w:separator/>
      </w:r>
    </w:p>
  </w:footnote>
  <w:footnote w:type="continuationSeparator" w:id="0">
    <w:p w:rsidR="00612ED5" w:rsidRDefault="00612ED5"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EB" w:rsidRDefault="008D34EB" w:rsidP="009A4FB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A265F5">
      <w:rPr>
        <w:noProof/>
        <w:sz w:val="20"/>
        <w:szCs w:val="20"/>
      </w:rPr>
      <w:t>2</w:t>
    </w:r>
    <w:r w:rsidRPr="00B605EA">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41396178"/>
    <w:multiLevelType w:val="hybridMultilevel"/>
    <w:tmpl w:val="05145160"/>
    <w:lvl w:ilvl="0" w:tplc="C632E56C">
      <w:start w:val="2009"/>
      <w:numFmt w:val="bullet"/>
      <w:lvlText w:val="-"/>
      <w:lvlJc w:val="left"/>
      <w:pPr>
        <w:ind w:left="1440" w:hanging="360"/>
      </w:pPr>
      <w:rPr>
        <w:rFonts w:ascii="Times New Roman" w:eastAsia="Times New Roman" w:hAnsi="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21C4"/>
    <w:rsid w:val="00003E54"/>
    <w:rsid w:val="000110AB"/>
    <w:rsid w:val="00011D89"/>
    <w:rsid w:val="00014974"/>
    <w:rsid w:val="00034767"/>
    <w:rsid w:val="0003681D"/>
    <w:rsid w:val="00046B64"/>
    <w:rsid w:val="00053C21"/>
    <w:rsid w:val="00062181"/>
    <w:rsid w:val="0007566F"/>
    <w:rsid w:val="00077CE8"/>
    <w:rsid w:val="00083D16"/>
    <w:rsid w:val="0008799E"/>
    <w:rsid w:val="000D513D"/>
    <w:rsid w:val="000E5184"/>
    <w:rsid w:val="000E583D"/>
    <w:rsid w:val="000E7ED0"/>
    <w:rsid w:val="000F4752"/>
    <w:rsid w:val="00101B1C"/>
    <w:rsid w:val="00132699"/>
    <w:rsid w:val="0013550B"/>
    <w:rsid w:val="0013569A"/>
    <w:rsid w:val="00137E06"/>
    <w:rsid w:val="00140597"/>
    <w:rsid w:val="00145938"/>
    <w:rsid w:val="00151C8F"/>
    <w:rsid w:val="001528ED"/>
    <w:rsid w:val="001567A5"/>
    <w:rsid w:val="001571AA"/>
    <w:rsid w:val="00161FC1"/>
    <w:rsid w:val="001623C3"/>
    <w:rsid w:val="00163204"/>
    <w:rsid w:val="00171441"/>
    <w:rsid w:val="00171E4F"/>
    <w:rsid w:val="0018091E"/>
    <w:rsid w:val="00183AE1"/>
    <w:rsid w:val="00185096"/>
    <w:rsid w:val="001A4487"/>
    <w:rsid w:val="001B1626"/>
    <w:rsid w:val="001B3F59"/>
    <w:rsid w:val="001C0EEE"/>
    <w:rsid w:val="001C2152"/>
    <w:rsid w:val="001C6521"/>
    <w:rsid w:val="001D1F48"/>
    <w:rsid w:val="001D510D"/>
    <w:rsid w:val="001D5646"/>
    <w:rsid w:val="001D681A"/>
    <w:rsid w:val="001E250C"/>
    <w:rsid w:val="001E32B7"/>
    <w:rsid w:val="001E4331"/>
    <w:rsid w:val="001F4AB0"/>
    <w:rsid w:val="00200F0F"/>
    <w:rsid w:val="00205CD5"/>
    <w:rsid w:val="0021213F"/>
    <w:rsid w:val="00224D56"/>
    <w:rsid w:val="002259C2"/>
    <w:rsid w:val="00227D61"/>
    <w:rsid w:val="00227DDE"/>
    <w:rsid w:val="00227ED8"/>
    <w:rsid w:val="002349F6"/>
    <w:rsid w:val="00236825"/>
    <w:rsid w:val="0024145A"/>
    <w:rsid w:val="00243873"/>
    <w:rsid w:val="0026042D"/>
    <w:rsid w:val="002606B6"/>
    <w:rsid w:val="00271007"/>
    <w:rsid w:val="0027319E"/>
    <w:rsid w:val="00273405"/>
    <w:rsid w:val="0027455A"/>
    <w:rsid w:val="00280497"/>
    <w:rsid w:val="0028136B"/>
    <w:rsid w:val="00293835"/>
    <w:rsid w:val="00295F4D"/>
    <w:rsid w:val="0029681E"/>
    <w:rsid w:val="002A1F02"/>
    <w:rsid w:val="002A3D3A"/>
    <w:rsid w:val="002A5DFF"/>
    <w:rsid w:val="002B493B"/>
    <w:rsid w:val="002B6AEC"/>
    <w:rsid w:val="002C01C2"/>
    <w:rsid w:val="002C05FA"/>
    <w:rsid w:val="002C582E"/>
    <w:rsid w:val="002C59EB"/>
    <w:rsid w:val="002D2B36"/>
    <w:rsid w:val="002E083A"/>
    <w:rsid w:val="002E5311"/>
    <w:rsid w:val="002E55E1"/>
    <w:rsid w:val="002F2C43"/>
    <w:rsid w:val="002F4C71"/>
    <w:rsid w:val="002F579E"/>
    <w:rsid w:val="003010E0"/>
    <w:rsid w:val="003102AA"/>
    <w:rsid w:val="003118A8"/>
    <w:rsid w:val="00313A09"/>
    <w:rsid w:val="00314C6B"/>
    <w:rsid w:val="0032136B"/>
    <w:rsid w:val="003235AA"/>
    <w:rsid w:val="00323BBE"/>
    <w:rsid w:val="00335583"/>
    <w:rsid w:val="003417A9"/>
    <w:rsid w:val="003427C0"/>
    <w:rsid w:val="00345F62"/>
    <w:rsid w:val="00345FA8"/>
    <w:rsid w:val="00351D70"/>
    <w:rsid w:val="00354F54"/>
    <w:rsid w:val="00355FC9"/>
    <w:rsid w:val="0036204A"/>
    <w:rsid w:val="003647A6"/>
    <w:rsid w:val="00372F92"/>
    <w:rsid w:val="003B74ED"/>
    <w:rsid w:val="003D393B"/>
    <w:rsid w:val="003D397A"/>
    <w:rsid w:val="003D41A0"/>
    <w:rsid w:val="003D4D13"/>
    <w:rsid w:val="003D6EA8"/>
    <w:rsid w:val="003E2A61"/>
    <w:rsid w:val="003E55D3"/>
    <w:rsid w:val="003F5AC7"/>
    <w:rsid w:val="00402041"/>
    <w:rsid w:val="00403EDF"/>
    <w:rsid w:val="00403F5E"/>
    <w:rsid w:val="0040417C"/>
    <w:rsid w:val="00406CEE"/>
    <w:rsid w:val="004104C4"/>
    <w:rsid w:val="00416FCD"/>
    <w:rsid w:val="00424AB3"/>
    <w:rsid w:val="00444F4B"/>
    <w:rsid w:val="0044584E"/>
    <w:rsid w:val="004466EA"/>
    <w:rsid w:val="004509D5"/>
    <w:rsid w:val="00455938"/>
    <w:rsid w:val="0046668C"/>
    <w:rsid w:val="004701FD"/>
    <w:rsid w:val="00476B02"/>
    <w:rsid w:val="00476E9D"/>
    <w:rsid w:val="0048537B"/>
    <w:rsid w:val="0048542A"/>
    <w:rsid w:val="00490250"/>
    <w:rsid w:val="004B3054"/>
    <w:rsid w:val="004B3FB7"/>
    <w:rsid w:val="004C35AD"/>
    <w:rsid w:val="004D06C7"/>
    <w:rsid w:val="004D5D08"/>
    <w:rsid w:val="004D5D8C"/>
    <w:rsid w:val="004E4B70"/>
    <w:rsid w:val="004F460B"/>
    <w:rsid w:val="004F55B2"/>
    <w:rsid w:val="004F62C2"/>
    <w:rsid w:val="0050709A"/>
    <w:rsid w:val="00507BA0"/>
    <w:rsid w:val="005128C9"/>
    <w:rsid w:val="0051472B"/>
    <w:rsid w:val="00522BA5"/>
    <w:rsid w:val="00524C76"/>
    <w:rsid w:val="005264E2"/>
    <w:rsid w:val="0052760A"/>
    <w:rsid w:val="00532597"/>
    <w:rsid w:val="00533297"/>
    <w:rsid w:val="005401E9"/>
    <w:rsid w:val="00544727"/>
    <w:rsid w:val="00546734"/>
    <w:rsid w:val="00554768"/>
    <w:rsid w:val="00554C37"/>
    <w:rsid w:val="00556904"/>
    <w:rsid w:val="00571B50"/>
    <w:rsid w:val="00572504"/>
    <w:rsid w:val="005769D2"/>
    <w:rsid w:val="00580DDF"/>
    <w:rsid w:val="00582F9D"/>
    <w:rsid w:val="00583CFA"/>
    <w:rsid w:val="00593159"/>
    <w:rsid w:val="005937BE"/>
    <w:rsid w:val="005959A1"/>
    <w:rsid w:val="005A2741"/>
    <w:rsid w:val="005A3F65"/>
    <w:rsid w:val="005C04DC"/>
    <w:rsid w:val="005C13B6"/>
    <w:rsid w:val="005C6C07"/>
    <w:rsid w:val="005D0042"/>
    <w:rsid w:val="005D0796"/>
    <w:rsid w:val="005E1E07"/>
    <w:rsid w:val="005E36D1"/>
    <w:rsid w:val="005F7225"/>
    <w:rsid w:val="00601C64"/>
    <w:rsid w:val="006020DB"/>
    <w:rsid w:val="006076D1"/>
    <w:rsid w:val="00607E96"/>
    <w:rsid w:val="0061061B"/>
    <w:rsid w:val="00612737"/>
    <w:rsid w:val="00612ED5"/>
    <w:rsid w:val="0061475E"/>
    <w:rsid w:val="00616CC7"/>
    <w:rsid w:val="0062391C"/>
    <w:rsid w:val="00623A32"/>
    <w:rsid w:val="0062488A"/>
    <w:rsid w:val="00633607"/>
    <w:rsid w:val="00633833"/>
    <w:rsid w:val="0064086D"/>
    <w:rsid w:val="006462A7"/>
    <w:rsid w:val="006569DF"/>
    <w:rsid w:val="0067142A"/>
    <w:rsid w:val="006714F0"/>
    <w:rsid w:val="006810B6"/>
    <w:rsid w:val="006810D3"/>
    <w:rsid w:val="00683BBE"/>
    <w:rsid w:val="00684699"/>
    <w:rsid w:val="00684BEB"/>
    <w:rsid w:val="00687DEE"/>
    <w:rsid w:val="00695960"/>
    <w:rsid w:val="006A34DA"/>
    <w:rsid w:val="006A4C91"/>
    <w:rsid w:val="006B0ACB"/>
    <w:rsid w:val="006B58A6"/>
    <w:rsid w:val="006B6D96"/>
    <w:rsid w:val="006C4314"/>
    <w:rsid w:val="006C7180"/>
    <w:rsid w:val="006C76BC"/>
    <w:rsid w:val="006D32B7"/>
    <w:rsid w:val="006E2287"/>
    <w:rsid w:val="006F223E"/>
    <w:rsid w:val="006F2391"/>
    <w:rsid w:val="006F6363"/>
    <w:rsid w:val="00703352"/>
    <w:rsid w:val="00705830"/>
    <w:rsid w:val="00705A03"/>
    <w:rsid w:val="00705FCB"/>
    <w:rsid w:val="00715FE0"/>
    <w:rsid w:val="00717A8A"/>
    <w:rsid w:val="00721653"/>
    <w:rsid w:val="0072173B"/>
    <w:rsid w:val="00721E7E"/>
    <w:rsid w:val="00725014"/>
    <w:rsid w:val="00734965"/>
    <w:rsid w:val="0073700E"/>
    <w:rsid w:val="00746C0C"/>
    <w:rsid w:val="007470C8"/>
    <w:rsid w:val="007536A2"/>
    <w:rsid w:val="007719B6"/>
    <w:rsid w:val="007747B8"/>
    <w:rsid w:val="00796146"/>
    <w:rsid w:val="007B75AD"/>
    <w:rsid w:val="007B77B5"/>
    <w:rsid w:val="007C065A"/>
    <w:rsid w:val="007C3FFC"/>
    <w:rsid w:val="007D2A31"/>
    <w:rsid w:val="007D5007"/>
    <w:rsid w:val="007E0863"/>
    <w:rsid w:val="007E0AEF"/>
    <w:rsid w:val="007E148F"/>
    <w:rsid w:val="007E68C0"/>
    <w:rsid w:val="007F61C4"/>
    <w:rsid w:val="007F792D"/>
    <w:rsid w:val="00800BE8"/>
    <w:rsid w:val="00801428"/>
    <w:rsid w:val="0080605F"/>
    <w:rsid w:val="008230AB"/>
    <w:rsid w:val="0082654F"/>
    <w:rsid w:val="00827B09"/>
    <w:rsid w:val="008301CE"/>
    <w:rsid w:val="00843C84"/>
    <w:rsid w:val="00845D78"/>
    <w:rsid w:val="00846A38"/>
    <w:rsid w:val="00850A1C"/>
    <w:rsid w:val="008551CC"/>
    <w:rsid w:val="008609B5"/>
    <w:rsid w:val="00861460"/>
    <w:rsid w:val="00862D0F"/>
    <w:rsid w:val="00876B25"/>
    <w:rsid w:val="00876D96"/>
    <w:rsid w:val="008773AE"/>
    <w:rsid w:val="0088221C"/>
    <w:rsid w:val="00887298"/>
    <w:rsid w:val="00887DF1"/>
    <w:rsid w:val="0089058C"/>
    <w:rsid w:val="008921D3"/>
    <w:rsid w:val="00896400"/>
    <w:rsid w:val="0089767B"/>
    <w:rsid w:val="008A5680"/>
    <w:rsid w:val="008A6802"/>
    <w:rsid w:val="008C16EE"/>
    <w:rsid w:val="008D34EB"/>
    <w:rsid w:val="008D5E43"/>
    <w:rsid w:val="008E43F7"/>
    <w:rsid w:val="008E5B8E"/>
    <w:rsid w:val="008E7BC0"/>
    <w:rsid w:val="008F1961"/>
    <w:rsid w:val="008F34BD"/>
    <w:rsid w:val="008F3581"/>
    <w:rsid w:val="008F38D4"/>
    <w:rsid w:val="00902BE1"/>
    <w:rsid w:val="009043BF"/>
    <w:rsid w:val="00907B1F"/>
    <w:rsid w:val="00914EC7"/>
    <w:rsid w:val="00915D58"/>
    <w:rsid w:val="00921B07"/>
    <w:rsid w:val="00922A16"/>
    <w:rsid w:val="00922E26"/>
    <w:rsid w:val="00926053"/>
    <w:rsid w:val="00930C6C"/>
    <w:rsid w:val="00945173"/>
    <w:rsid w:val="00945180"/>
    <w:rsid w:val="00953505"/>
    <w:rsid w:val="009566B4"/>
    <w:rsid w:val="009629B8"/>
    <w:rsid w:val="00963E11"/>
    <w:rsid w:val="009808E0"/>
    <w:rsid w:val="009813DB"/>
    <w:rsid w:val="00994A60"/>
    <w:rsid w:val="009A4FBA"/>
    <w:rsid w:val="009A7602"/>
    <w:rsid w:val="009B123F"/>
    <w:rsid w:val="009B2E47"/>
    <w:rsid w:val="009B4710"/>
    <w:rsid w:val="009B479F"/>
    <w:rsid w:val="009B7317"/>
    <w:rsid w:val="009C1D16"/>
    <w:rsid w:val="009D652D"/>
    <w:rsid w:val="009E14C3"/>
    <w:rsid w:val="009F5099"/>
    <w:rsid w:val="009F5BAF"/>
    <w:rsid w:val="00A001EB"/>
    <w:rsid w:val="00A06DB2"/>
    <w:rsid w:val="00A24594"/>
    <w:rsid w:val="00A24D67"/>
    <w:rsid w:val="00A26085"/>
    <w:rsid w:val="00A265F5"/>
    <w:rsid w:val="00A31106"/>
    <w:rsid w:val="00A3236B"/>
    <w:rsid w:val="00A3284E"/>
    <w:rsid w:val="00A32E4A"/>
    <w:rsid w:val="00A37680"/>
    <w:rsid w:val="00A42231"/>
    <w:rsid w:val="00A42311"/>
    <w:rsid w:val="00A56F4C"/>
    <w:rsid w:val="00A65AE7"/>
    <w:rsid w:val="00A80551"/>
    <w:rsid w:val="00A900F4"/>
    <w:rsid w:val="00A95040"/>
    <w:rsid w:val="00A9559E"/>
    <w:rsid w:val="00A974F2"/>
    <w:rsid w:val="00AA282F"/>
    <w:rsid w:val="00AA5967"/>
    <w:rsid w:val="00AB1089"/>
    <w:rsid w:val="00AB3022"/>
    <w:rsid w:val="00AB6F4E"/>
    <w:rsid w:val="00AE35F7"/>
    <w:rsid w:val="00AF1141"/>
    <w:rsid w:val="00AF2B4C"/>
    <w:rsid w:val="00AF7FCC"/>
    <w:rsid w:val="00B0459B"/>
    <w:rsid w:val="00B06C4B"/>
    <w:rsid w:val="00B16423"/>
    <w:rsid w:val="00B21D01"/>
    <w:rsid w:val="00B30091"/>
    <w:rsid w:val="00B33B03"/>
    <w:rsid w:val="00B3614A"/>
    <w:rsid w:val="00B36FC0"/>
    <w:rsid w:val="00B57428"/>
    <w:rsid w:val="00B605EA"/>
    <w:rsid w:val="00B63CA4"/>
    <w:rsid w:val="00B71746"/>
    <w:rsid w:val="00B75620"/>
    <w:rsid w:val="00B774F4"/>
    <w:rsid w:val="00B91EF1"/>
    <w:rsid w:val="00B92049"/>
    <w:rsid w:val="00B9776B"/>
    <w:rsid w:val="00BA2042"/>
    <w:rsid w:val="00BA5524"/>
    <w:rsid w:val="00BA572C"/>
    <w:rsid w:val="00BA5E65"/>
    <w:rsid w:val="00BA6840"/>
    <w:rsid w:val="00BC0F4D"/>
    <w:rsid w:val="00BC5A98"/>
    <w:rsid w:val="00BC7B5B"/>
    <w:rsid w:val="00BD1EF0"/>
    <w:rsid w:val="00BD4EB1"/>
    <w:rsid w:val="00BD7D15"/>
    <w:rsid w:val="00BE22DB"/>
    <w:rsid w:val="00BE6D54"/>
    <w:rsid w:val="00BE7D32"/>
    <w:rsid w:val="00BF041C"/>
    <w:rsid w:val="00BF4C08"/>
    <w:rsid w:val="00C00BF4"/>
    <w:rsid w:val="00C019E8"/>
    <w:rsid w:val="00C03DD1"/>
    <w:rsid w:val="00C03EEA"/>
    <w:rsid w:val="00C22A7A"/>
    <w:rsid w:val="00C2632F"/>
    <w:rsid w:val="00C3349E"/>
    <w:rsid w:val="00C46297"/>
    <w:rsid w:val="00C46783"/>
    <w:rsid w:val="00C50C1A"/>
    <w:rsid w:val="00C57500"/>
    <w:rsid w:val="00C6177A"/>
    <w:rsid w:val="00C63D91"/>
    <w:rsid w:val="00C75CD7"/>
    <w:rsid w:val="00C83F77"/>
    <w:rsid w:val="00C91B08"/>
    <w:rsid w:val="00CA6124"/>
    <w:rsid w:val="00CA6D6D"/>
    <w:rsid w:val="00CB0FEC"/>
    <w:rsid w:val="00CB60C3"/>
    <w:rsid w:val="00CE008B"/>
    <w:rsid w:val="00CE1E58"/>
    <w:rsid w:val="00CE3270"/>
    <w:rsid w:val="00CE60DB"/>
    <w:rsid w:val="00CF33B7"/>
    <w:rsid w:val="00D0737C"/>
    <w:rsid w:val="00D12AF7"/>
    <w:rsid w:val="00D1766F"/>
    <w:rsid w:val="00D33CA6"/>
    <w:rsid w:val="00D36588"/>
    <w:rsid w:val="00D4453F"/>
    <w:rsid w:val="00D63A07"/>
    <w:rsid w:val="00D65B61"/>
    <w:rsid w:val="00D67696"/>
    <w:rsid w:val="00D840A3"/>
    <w:rsid w:val="00D847A7"/>
    <w:rsid w:val="00D87E7A"/>
    <w:rsid w:val="00D910B0"/>
    <w:rsid w:val="00DA192D"/>
    <w:rsid w:val="00DB0ED8"/>
    <w:rsid w:val="00DB4AD4"/>
    <w:rsid w:val="00DB5144"/>
    <w:rsid w:val="00DC0A19"/>
    <w:rsid w:val="00DC5373"/>
    <w:rsid w:val="00DC711F"/>
    <w:rsid w:val="00DC727C"/>
    <w:rsid w:val="00DD16D0"/>
    <w:rsid w:val="00DD22B3"/>
    <w:rsid w:val="00DE0A42"/>
    <w:rsid w:val="00DE4E14"/>
    <w:rsid w:val="00DE7391"/>
    <w:rsid w:val="00DF0A49"/>
    <w:rsid w:val="00DF183D"/>
    <w:rsid w:val="00DF3ADF"/>
    <w:rsid w:val="00DF5B9E"/>
    <w:rsid w:val="00DF66A3"/>
    <w:rsid w:val="00E1235A"/>
    <w:rsid w:val="00E17EDA"/>
    <w:rsid w:val="00E21D7E"/>
    <w:rsid w:val="00E273E7"/>
    <w:rsid w:val="00E32545"/>
    <w:rsid w:val="00E37D2A"/>
    <w:rsid w:val="00E413AE"/>
    <w:rsid w:val="00E43563"/>
    <w:rsid w:val="00E66CD0"/>
    <w:rsid w:val="00E750BC"/>
    <w:rsid w:val="00E757DD"/>
    <w:rsid w:val="00E81670"/>
    <w:rsid w:val="00E846DD"/>
    <w:rsid w:val="00E91BC7"/>
    <w:rsid w:val="00E964AE"/>
    <w:rsid w:val="00EA60AE"/>
    <w:rsid w:val="00EB0963"/>
    <w:rsid w:val="00EB7890"/>
    <w:rsid w:val="00EB7F26"/>
    <w:rsid w:val="00EC058B"/>
    <w:rsid w:val="00EC1DC1"/>
    <w:rsid w:val="00EC35ED"/>
    <w:rsid w:val="00ED552A"/>
    <w:rsid w:val="00ED622B"/>
    <w:rsid w:val="00EE302F"/>
    <w:rsid w:val="00EE70FA"/>
    <w:rsid w:val="00EF1664"/>
    <w:rsid w:val="00EF35E7"/>
    <w:rsid w:val="00EF3D7B"/>
    <w:rsid w:val="00EF52DE"/>
    <w:rsid w:val="00F04084"/>
    <w:rsid w:val="00F04654"/>
    <w:rsid w:val="00F22BF7"/>
    <w:rsid w:val="00F25BDA"/>
    <w:rsid w:val="00F26636"/>
    <w:rsid w:val="00F317DC"/>
    <w:rsid w:val="00F3628F"/>
    <w:rsid w:val="00F37DCD"/>
    <w:rsid w:val="00F47C8C"/>
    <w:rsid w:val="00F52299"/>
    <w:rsid w:val="00F70446"/>
    <w:rsid w:val="00F705E3"/>
    <w:rsid w:val="00F81D8F"/>
    <w:rsid w:val="00F8250F"/>
    <w:rsid w:val="00F8286C"/>
    <w:rsid w:val="00F83950"/>
    <w:rsid w:val="00F83BDB"/>
    <w:rsid w:val="00F953D7"/>
    <w:rsid w:val="00FA11EA"/>
    <w:rsid w:val="00FA2202"/>
    <w:rsid w:val="00FB1F80"/>
    <w:rsid w:val="00FB796D"/>
    <w:rsid w:val="00FC6323"/>
    <w:rsid w:val="00FD35E8"/>
    <w:rsid w:val="00FD61B9"/>
    <w:rsid w:val="00FE1864"/>
    <w:rsid w:val="00FE346D"/>
    <w:rsid w:val="00FE6222"/>
    <w:rsid w:val="00FE68D5"/>
    <w:rsid w:val="00FE7918"/>
    <w:rsid w:val="00FE794D"/>
    <w:rsid w:val="00FF0E79"/>
    <w:rsid w:val="00FF1654"/>
    <w:rsid w:val="00FF211B"/>
    <w:rsid w:val="00FF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3AA6CE5-D4E8-47EB-A7F4-88856A23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1"/>
    <w:pPr>
      <w:ind w:firstLine="720"/>
      <w:jc w:val="both"/>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aliases w:val="Footnote Text Char Char Char,Footnote Text Char Char Char Char Char Char,Footnote Text Char Char Char Char Char,Footnote Text Char Char"/>
    <w:basedOn w:val="Normal"/>
    <w:link w:val="FootnoteTextChar"/>
    <w:uiPriority w:val="99"/>
    <w:qFormat/>
    <w:rsid w:val="00F3628F"/>
    <w:pPr>
      <w:ind w:firstLine="0"/>
      <w:jc w:val="left"/>
    </w:pPr>
    <w:rPr>
      <w:rFonts w:eastAsia="Times New Roman"/>
      <w:sz w:val="20"/>
      <w:szCs w:val="20"/>
      <w:lang w:eastAsia="lv-LV"/>
    </w:rPr>
  </w:style>
  <w:style w:type="character" w:customStyle="1" w:styleId="FootnoteTextChar">
    <w:name w:val="Footnote Text Char"/>
    <w:aliases w:val="Footnote Text Char Char Char Char,Footnote Text Char Char Char Char Char Char Char,Footnote Text Char Char Char Char Char Char1,Footnote Text Char Char Char1"/>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styleId="CommentReference">
    <w:name w:val="annotation reference"/>
    <w:basedOn w:val="DefaultParagraphFont"/>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basedOn w:val="DefaultParagraphFont"/>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basedOn w:val="DefaultParagraphFont"/>
    <w:link w:val="BodyText"/>
    <w:uiPriority w:val="99"/>
    <w:locked/>
    <w:rsid w:val="001F4AB0"/>
    <w:rPr>
      <w:rFonts w:eastAsia="Times New Roman" w:cs="Times New Roman"/>
      <w:b/>
      <w:bCs/>
      <w:sz w:val="24"/>
      <w:szCs w:val="24"/>
      <w:lang w:val="lv-LV" w:eastAsia="en-US" w:bidi="ar-SA"/>
    </w:rPr>
  </w:style>
  <w:style w:type="paragraph" w:styleId="CommentSubject">
    <w:name w:val="annotation subject"/>
    <w:basedOn w:val="CommentText"/>
    <w:next w:val="CommentText"/>
    <w:link w:val="CommentSubjectChar"/>
    <w:uiPriority w:val="99"/>
    <w:semiHidden/>
    <w:unhideWhenUsed/>
    <w:rsid w:val="009043BF"/>
    <w:rPr>
      <w:b/>
      <w:bCs/>
      <w:sz w:val="20"/>
      <w:lang w:eastAsia="en-US"/>
    </w:rPr>
  </w:style>
  <w:style w:type="character" w:customStyle="1" w:styleId="CommentSubjectChar">
    <w:name w:val="Comment Subject Char"/>
    <w:basedOn w:val="CommentTextChar"/>
    <w:link w:val="CommentSubject"/>
    <w:uiPriority w:val="99"/>
    <w:semiHidden/>
    <w:rsid w:val="009043BF"/>
    <w:rPr>
      <w:rFonts w:cs="Times New Roman"/>
      <w:b/>
      <w:bCs/>
      <w:sz w:val="20"/>
      <w:szCs w:val="20"/>
      <w:lang w:val="lv-LV" w:eastAsia="lv-LV"/>
    </w:rPr>
  </w:style>
  <w:style w:type="paragraph" w:customStyle="1" w:styleId="tv213">
    <w:name w:val="tv213"/>
    <w:basedOn w:val="Normal"/>
    <w:rsid w:val="008F1961"/>
    <w:pPr>
      <w:spacing w:before="100" w:beforeAutospacing="1" w:after="100" w:afterAutospacing="1"/>
      <w:ind w:firstLine="0"/>
      <w:jc w:val="left"/>
    </w:pPr>
    <w:rPr>
      <w:rFonts w:eastAsia="Times New Roman"/>
      <w:sz w:val="24"/>
      <w:szCs w:val="24"/>
      <w:lang w:eastAsia="lv-LV"/>
    </w:rPr>
  </w:style>
  <w:style w:type="paragraph" w:customStyle="1" w:styleId="CharCharCharChar">
    <w:name w:val="Char Char Char Char"/>
    <w:basedOn w:val="Normal"/>
    <w:uiPriority w:val="99"/>
    <w:rsid w:val="002B6AEC"/>
    <w:pPr>
      <w:spacing w:after="160" w:line="240" w:lineRule="exact"/>
      <w:ind w:firstLine="0"/>
      <w:jc w:val="left"/>
    </w:pPr>
    <w:rPr>
      <w:rFonts w:ascii="Dutch TL" w:eastAsia="Times New Roman" w:hAnsi="Dutch TL"/>
      <w:szCs w:val="20"/>
      <w:lang w:eastAsia="zh-TW"/>
    </w:rPr>
  </w:style>
  <w:style w:type="paragraph" w:customStyle="1" w:styleId="CharCharCharChar0">
    <w:name w:val="Char Char Char Char"/>
    <w:basedOn w:val="Normal"/>
    <w:next w:val="Normal"/>
    <w:rsid w:val="00633833"/>
    <w:pPr>
      <w:spacing w:after="160" w:line="240" w:lineRule="exact"/>
      <w:ind w:firstLine="0"/>
      <w:jc w:val="left"/>
    </w:pPr>
    <w:rPr>
      <w:rFonts w:ascii="Tahoma" w:eastAsia="Times New Roman" w:hAnsi="Tahoma"/>
      <w:sz w:val="24"/>
      <w:szCs w:val="20"/>
      <w:lang w:val="en-US"/>
    </w:rPr>
  </w:style>
  <w:style w:type="character" w:customStyle="1" w:styleId="highlight">
    <w:name w:val="highlight"/>
    <w:basedOn w:val="DefaultParagraphFont"/>
    <w:rsid w:val="00345F62"/>
  </w:style>
  <w:style w:type="table" w:styleId="TableGrid">
    <w:name w:val="Table Grid"/>
    <w:basedOn w:val="TableNormal"/>
    <w:locked/>
    <w:rsid w:val="0079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9187">
      <w:bodyDiv w:val="1"/>
      <w:marLeft w:val="0"/>
      <w:marRight w:val="0"/>
      <w:marTop w:val="0"/>
      <w:marBottom w:val="0"/>
      <w:divBdr>
        <w:top w:val="none" w:sz="0" w:space="0" w:color="auto"/>
        <w:left w:val="none" w:sz="0" w:space="0" w:color="auto"/>
        <w:bottom w:val="none" w:sz="0" w:space="0" w:color="auto"/>
        <w:right w:val="none" w:sz="0" w:space="0" w:color="auto"/>
      </w:divBdr>
    </w:div>
    <w:div w:id="713115363">
      <w:marLeft w:val="0"/>
      <w:marRight w:val="0"/>
      <w:marTop w:val="0"/>
      <w:marBottom w:val="0"/>
      <w:divBdr>
        <w:top w:val="none" w:sz="0" w:space="0" w:color="auto"/>
        <w:left w:val="none" w:sz="0" w:space="0" w:color="auto"/>
        <w:bottom w:val="none" w:sz="0" w:space="0" w:color="auto"/>
        <w:right w:val="none" w:sz="0" w:space="0" w:color="auto"/>
      </w:divBdr>
    </w:div>
    <w:div w:id="713115364">
      <w:marLeft w:val="0"/>
      <w:marRight w:val="0"/>
      <w:marTop w:val="0"/>
      <w:marBottom w:val="0"/>
      <w:divBdr>
        <w:top w:val="none" w:sz="0" w:space="0" w:color="auto"/>
        <w:left w:val="none" w:sz="0" w:space="0" w:color="auto"/>
        <w:bottom w:val="none" w:sz="0" w:space="0" w:color="auto"/>
        <w:right w:val="none" w:sz="0" w:space="0" w:color="auto"/>
      </w:divBdr>
    </w:div>
    <w:div w:id="713115365">
      <w:marLeft w:val="0"/>
      <w:marRight w:val="0"/>
      <w:marTop w:val="0"/>
      <w:marBottom w:val="0"/>
      <w:divBdr>
        <w:top w:val="none" w:sz="0" w:space="0" w:color="auto"/>
        <w:left w:val="none" w:sz="0" w:space="0" w:color="auto"/>
        <w:bottom w:val="none" w:sz="0" w:space="0" w:color="auto"/>
        <w:right w:val="none" w:sz="0" w:space="0" w:color="auto"/>
      </w:divBdr>
    </w:div>
    <w:div w:id="9086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6610-4263-41DE-912A-F4FE68B9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1171</Words>
  <Characters>9029</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36553</cp:lastModifiedBy>
  <cp:revision>14</cp:revision>
  <cp:lastPrinted>2016-08-02T12:28:00Z</cp:lastPrinted>
  <dcterms:created xsi:type="dcterms:W3CDTF">2016-05-13T10:57:00Z</dcterms:created>
  <dcterms:modified xsi:type="dcterms:W3CDTF">2016-08-02T13:19:00Z</dcterms:modified>
</cp:coreProperties>
</file>