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20" w:rsidRPr="004367C7" w:rsidRDefault="00080020" w:rsidP="00080020">
      <w:pPr>
        <w:jc w:val="center"/>
        <w:rPr>
          <w:b/>
          <w:sz w:val="28"/>
          <w:szCs w:val="28"/>
        </w:rPr>
      </w:pPr>
      <w:r w:rsidRPr="004367C7">
        <w:rPr>
          <w:b/>
          <w:sz w:val="28"/>
          <w:szCs w:val="28"/>
        </w:rPr>
        <w:t>Ministru kabineta noteikumu projekta „Grozījumi Ministru kabineta 2011. gada 1. februāra noteikumos Nr. 89 „Kārtība, kādā izglītības iestāde informē izglītojamo vecākus, pašvaldības vai valsts iestādes, ja izglītojamais bez attaisnojoša iemesla neapmeklē izglītības iestādi””</w:t>
      </w:r>
    </w:p>
    <w:p w:rsidR="00080020" w:rsidRPr="004367C7" w:rsidRDefault="00080020" w:rsidP="00080020">
      <w:pPr>
        <w:jc w:val="center"/>
        <w:rPr>
          <w:b/>
          <w:sz w:val="28"/>
          <w:szCs w:val="28"/>
        </w:rPr>
      </w:pPr>
      <w:r w:rsidRPr="004367C7">
        <w:rPr>
          <w:b/>
          <w:sz w:val="28"/>
          <w:szCs w:val="28"/>
        </w:rPr>
        <w:t>sākotnējās ietekmes novērtējuma ziņojums (anotācija)</w:t>
      </w:r>
    </w:p>
    <w:p w:rsidR="00080020" w:rsidRPr="004367C7" w:rsidRDefault="00080020" w:rsidP="00080020">
      <w:pPr>
        <w:jc w:val="center"/>
        <w:rPr>
          <w:sz w:val="28"/>
          <w:szCs w:val="28"/>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5"/>
        <w:gridCol w:w="1876"/>
        <w:gridCol w:w="7000"/>
      </w:tblGrid>
      <w:tr w:rsidR="00080020" w:rsidRPr="004367C7" w:rsidTr="00F73A03">
        <w:trPr>
          <w:tblCellSpacing w:w="15" w:type="dxa"/>
        </w:trPr>
        <w:tc>
          <w:tcPr>
            <w:tcW w:w="0" w:type="auto"/>
            <w:gridSpan w:val="3"/>
            <w:tcBorders>
              <w:top w:val="single" w:sz="6" w:space="0" w:color="auto"/>
              <w:left w:val="single" w:sz="6" w:space="0" w:color="auto"/>
              <w:bottom w:val="outset" w:sz="6" w:space="0" w:color="000000"/>
              <w:right w:val="single" w:sz="6" w:space="0" w:color="auto"/>
            </w:tcBorders>
            <w:vAlign w:val="center"/>
          </w:tcPr>
          <w:p w:rsidR="00080020" w:rsidRPr="004367C7" w:rsidRDefault="00080020" w:rsidP="00F73A03">
            <w:pPr>
              <w:spacing w:before="100" w:beforeAutospacing="1" w:after="100" w:afterAutospacing="1"/>
              <w:jc w:val="center"/>
              <w:rPr>
                <w:b/>
                <w:bCs/>
                <w:sz w:val="28"/>
                <w:szCs w:val="28"/>
              </w:rPr>
            </w:pPr>
            <w:r w:rsidRPr="004367C7">
              <w:rPr>
                <w:b/>
                <w:bCs/>
                <w:sz w:val="28"/>
                <w:szCs w:val="28"/>
              </w:rPr>
              <w:t>I. Tiesību akta projekta izstrādes nepieciešamība</w:t>
            </w:r>
          </w:p>
        </w:tc>
      </w:tr>
      <w:tr w:rsidR="00080020" w:rsidRPr="004367C7" w:rsidTr="00F73A03">
        <w:trPr>
          <w:tblCellSpacing w:w="15" w:type="dxa"/>
        </w:trPr>
        <w:tc>
          <w:tcPr>
            <w:tcW w:w="163" w:type="pct"/>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spacing w:before="100" w:beforeAutospacing="1" w:after="100" w:afterAutospacing="1"/>
              <w:rPr>
                <w:sz w:val="28"/>
                <w:szCs w:val="28"/>
              </w:rPr>
            </w:pPr>
            <w:r w:rsidRPr="004367C7">
              <w:rPr>
                <w:sz w:val="28"/>
                <w:szCs w:val="28"/>
              </w:rPr>
              <w:t>1.</w:t>
            </w:r>
          </w:p>
        </w:tc>
        <w:tc>
          <w:tcPr>
            <w:tcW w:w="1001" w:type="pct"/>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spacing w:before="100" w:beforeAutospacing="1" w:after="100" w:afterAutospacing="1"/>
              <w:rPr>
                <w:sz w:val="28"/>
                <w:szCs w:val="28"/>
              </w:rPr>
            </w:pPr>
            <w:r w:rsidRPr="004367C7">
              <w:rPr>
                <w:sz w:val="28"/>
                <w:szCs w:val="28"/>
              </w:rPr>
              <w:t>Pamatojums</w:t>
            </w:r>
          </w:p>
        </w:tc>
        <w:tc>
          <w:tcPr>
            <w:tcW w:w="3771" w:type="pct"/>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pStyle w:val="tv20787921"/>
              <w:spacing w:after="0" w:line="240" w:lineRule="auto"/>
              <w:jc w:val="both"/>
              <w:rPr>
                <w:rFonts w:ascii="Times New Roman" w:hAnsi="Times New Roman"/>
                <w:b w:val="0"/>
              </w:rPr>
            </w:pPr>
            <w:r w:rsidRPr="004367C7">
              <w:rPr>
                <w:rFonts w:ascii="Times New Roman" w:hAnsi="Times New Roman"/>
                <w:b w:val="0"/>
              </w:rPr>
              <w:t>Izglītības un zinātnes ministrija</w:t>
            </w:r>
            <w:r w:rsidR="0090285B" w:rsidRPr="004367C7">
              <w:rPr>
                <w:rFonts w:ascii="Times New Roman" w:hAnsi="Times New Roman"/>
                <w:b w:val="0"/>
              </w:rPr>
              <w:t xml:space="preserve"> </w:t>
            </w:r>
            <w:r w:rsidRPr="004367C7">
              <w:rPr>
                <w:rFonts w:ascii="Times New Roman" w:hAnsi="Times New Roman"/>
                <w:b w:val="0"/>
              </w:rPr>
              <w:t>sadarbībā ar Izglītības kvalitātes valsts dienestu (turpmāk – kvalitātes dienests) ir sagatavojusi Ministru kabineta noteikumu projektu „Grozījumi Ministru kabineta 2011. gada 1. februāra noteikumos Nr. 89 „Kārtība, kādā izglītības iestāde informē izglītojamo vecākus, pašvaldības vai valsts iestādes, ja izglītojamais bez attaisnojoša iemesla neapmeklē izglītības iestādi”</w:t>
            </w:r>
            <w:r w:rsidRPr="004367C7">
              <w:rPr>
                <w:rFonts w:ascii="Times New Roman" w:hAnsi="Times New Roman"/>
                <w:b w:val="0"/>
                <w:bCs w:val="0"/>
              </w:rPr>
              <w:t xml:space="preserve">” </w:t>
            </w:r>
            <w:r w:rsidRPr="004367C7">
              <w:rPr>
                <w:rFonts w:ascii="Times New Roman" w:hAnsi="Times New Roman"/>
                <w:b w:val="0"/>
              </w:rPr>
              <w:t>(turpmāk – noteikumu projekts):</w:t>
            </w:r>
          </w:p>
          <w:p w:rsidR="00080020" w:rsidRPr="004367C7" w:rsidRDefault="00080020" w:rsidP="00F73A03">
            <w:pPr>
              <w:pStyle w:val="tv20787921"/>
              <w:spacing w:after="0" w:line="240" w:lineRule="auto"/>
              <w:jc w:val="both"/>
              <w:rPr>
                <w:rFonts w:ascii="Times New Roman" w:hAnsi="Times New Roman"/>
                <w:b w:val="0"/>
                <w:bCs w:val="0"/>
              </w:rPr>
            </w:pPr>
            <w:r w:rsidRPr="004367C7">
              <w:rPr>
                <w:rFonts w:ascii="Times New Roman" w:hAnsi="Times New Roman"/>
                <w:b w:val="0"/>
              </w:rPr>
              <w:t xml:space="preserve">1) saskaņā ar Izglītības likuma 14.panta 35.punktā noteikto deleģējumu, </w:t>
            </w:r>
            <w:r w:rsidRPr="004367C7">
              <w:rPr>
                <w:rFonts w:ascii="Times New Roman" w:hAnsi="Times New Roman"/>
                <w:b w:val="0"/>
                <w:bCs w:val="0"/>
              </w:rPr>
              <w:t>kas paredz Ministru kabinetam noteikt kārtību, kādā izglītības iestāde informē izglītojamo vecākus (personas, kas realizē aizgādību), pašvaldības vai valsts iestādes, ja izglītojamais bez attaisnojoša iemesla neapmeklē izglītības iestādi;</w:t>
            </w:r>
          </w:p>
          <w:p w:rsidR="00080020" w:rsidRPr="004367C7" w:rsidRDefault="00080020" w:rsidP="006B10E2">
            <w:pPr>
              <w:pStyle w:val="tv20787921"/>
              <w:spacing w:after="0" w:line="240" w:lineRule="auto"/>
              <w:jc w:val="both"/>
              <w:rPr>
                <w:rFonts w:ascii="Times New Roman" w:hAnsi="Times New Roman"/>
                <w:b w:val="0"/>
              </w:rPr>
            </w:pPr>
            <w:r w:rsidRPr="004367C7">
              <w:rPr>
                <w:rFonts w:ascii="Times New Roman" w:hAnsi="Times New Roman"/>
                <w:b w:val="0"/>
              </w:rPr>
              <w:t>2) lai nodrošinātu 10.1.</w:t>
            </w:r>
            <w:r w:rsidRPr="004367C7">
              <w:rPr>
                <w:rFonts w:ascii="Times New Roman" w:hAnsi="Times New Roman"/>
                <w:b w:val="0"/>
                <w:i/>
              </w:rPr>
              <w:t>ex-ante</w:t>
            </w:r>
            <w:r w:rsidRPr="004367C7">
              <w:rPr>
                <w:rFonts w:ascii="Times New Roman" w:hAnsi="Times New Roman"/>
                <w:b w:val="0"/>
              </w:rPr>
              <w:t xml:space="preserve"> nosacījuma izpildi atbilstoši </w:t>
            </w:r>
            <w:r w:rsidRPr="004367C7">
              <w:rPr>
                <w:rFonts w:ascii="Times New Roman" w:hAnsi="Times New Roman"/>
                <w:b w:val="0"/>
                <w:i/>
              </w:rPr>
              <w:t>Partnerības līgumā Eiropas Savienības investīciju fondu 2014.–2020.gada plānošanas periodam</w:t>
            </w:r>
            <w:r w:rsidRPr="004367C7">
              <w:rPr>
                <w:rFonts w:ascii="Times New Roman" w:hAnsi="Times New Roman"/>
                <w:b w:val="0"/>
              </w:rPr>
              <w:t xml:space="preserve"> noteiktajam un uzsāktu 8.3.4.specifiskā atbalsta mērķa</w:t>
            </w:r>
            <w:r w:rsidR="005C2717" w:rsidRPr="004367C7">
              <w:rPr>
                <w:rFonts w:ascii="Times New Roman" w:hAnsi="Times New Roman"/>
                <w:b w:val="0"/>
              </w:rPr>
              <w:t xml:space="preserve"> </w:t>
            </w:r>
            <w:r w:rsidRPr="004367C7">
              <w:rPr>
                <w:rFonts w:ascii="Times New Roman" w:hAnsi="Times New Roman"/>
                <w:b w:val="0"/>
              </w:rPr>
              <w:t xml:space="preserve">„Samazināt priekšlaicīgu mācību pārtraukšanu, īstenojot preventīvus un intervences pasākumus” īstenošanu atbilstoši Ministru kabinetā apstiprinātajam laika grafikam (2016.gada 22.marta protokols Nr.14, 34.§ un 37. §), kā arī atbilstoši š.g. 15.marta sanāksmē ar Eiropas Komisiju panāktajai vienošanās un atbilstoši </w:t>
            </w:r>
            <w:r w:rsidRPr="004367C7">
              <w:rPr>
                <w:rFonts w:ascii="Times New Roman" w:hAnsi="Times New Roman"/>
                <w:b w:val="0"/>
                <w:i/>
              </w:rPr>
              <w:t>konceptuālajam ziņojumam „Par politikas alternatīvu veidošanu priekšlaicīgas mācību pārtraukšanas problēmas risināšanai, lai nodrošinātu 8.3.4.specifiskā atbalsta mērķa „Samazināt priekšlaicīgu mācību pārtraukšanu, īstenojot preventīvus un intervences pasākumus” ieviešanu”</w:t>
            </w:r>
            <w:r w:rsidR="006B10E2" w:rsidRPr="004367C7">
              <w:rPr>
                <w:rFonts w:ascii="Times New Roman" w:hAnsi="Times New Roman"/>
                <w:b w:val="0"/>
              </w:rPr>
              <w:t xml:space="preserve"> (atbalstīts ar Ministru kabineta 2016. gada 5. maija rīkojumu Nr.286 (prot. Nr.21 34.§))</w:t>
            </w:r>
            <w:r w:rsidRPr="004367C7">
              <w:rPr>
                <w:rFonts w:ascii="Times New Roman" w:hAnsi="Times New Roman"/>
                <w:b w:val="0"/>
              </w:rPr>
              <w:t>.</w:t>
            </w:r>
          </w:p>
        </w:tc>
      </w:tr>
      <w:tr w:rsidR="00080020" w:rsidRPr="004367C7" w:rsidTr="00F73A03">
        <w:trPr>
          <w:tblCellSpacing w:w="15" w:type="dxa"/>
        </w:trPr>
        <w:tc>
          <w:tcPr>
            <w:tcW w:w="163" w:type="pct"/>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spacing w:before="100" w:beforeAutospacing="1" w:after="100" w:afterAutospacing="1"/>
              <w:rPr>
                <w:sz w:val="28"/>
                <w:szCs w:val="28"/>
              </w:rPr>
            </w:pPr>
            <w:r w:rsidRPr="004367C7">
              <w:rPr>
                <w:sz w:val="28"/>
                <w:szCs w:val="28"/>
              </w:rPr>
              <w:t>2.</w:t>
            </w:r>
          </w:p>
        </w:tc>
        <w:tc>
          <w:tcPr>
            <w:tcW w:w="1001" w:type="pct"/>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spacing w:before="100" w:beforeAutospacing="1" w:after="100" w:afterAutospacing="1"/>
              <w:rPr>
                <w:sz w:val="28"/>
                <w:szCs w:val="28"/>
              </w:rPr>
            </w:pPr>
            <w:r w:rsidRPr="004367C7">
              <w:rPr>
                <w:sz w:val="28"/>
                <w:szCs w:val="28"/>
              </w:rPr>
              <w:t xml:space="preserve">Pašreizējā situācija un problēmas, kuru </w:t>
            </w:r>
            <w:r w:rsidRPr="004367C7">
              <w:rPr>
                <w:sz w:val="28"/>
                <w:szCs w:val="28"/>
              </w:rPr>
              <w:lastRenderedPageBreak/>
              <w:t>risināšanai tiesību akta projekts izstrādāts, tiesiskā regulējuma mērķis un būtība</w:t>
            </w:r>
          </w:p>
        </w:tc>
        <w:tc>
          <w:tcPr>
            <w:tcW w:w="3771" w:type="pct"/>
            <w:tcBorders>
              <w:top w:val="outset" w:sz="6" w:space="0" w:color="000000"/>
              <w:left w:val="outset" w:sz="6" w:space="0" w:color="000000"/>
              <w:bottom w:val="outset" w:sz="6" w:space="0" w:color="000000"/>
              <w:right w:val="outset" w:sz="6" w:space="0" w:color="000000"/>
            </w:tcBorders>
          </w:tcPr>
          <w:p w:rsidR="0072417F" w:rsidRPr="004367C7" w:rsidRDefault="0072417F" w:rsidP="00F73A03">
            <w:pPr>
              <w:jc w:val="both"/>
              <w:rPr>
                <w:sz w:val="28"/>
                <w:szCs w:val="28"/>
              </w:rPr>
            </w:pPr>
            <w:r w:rsidRPr="004367C7">
              <w:rPr>
                <w:sz w:val="28"/>
                <w:szCs w:val="28"/>
              </w:rPr>
              <w:lastRenderedPageBreak/>
              <w:t>Kvalitātes dienests, pamatojoties uz Izglītības likuma 20.pantā, Ministru kabineta</w:t>
            </w:r>
            <w:r w:rsidR="00004152" w:rsidRPr="004367C7">
              <w:rPr>
                <w:sz w:val="28"/>
                <w:szCs w:val="28"/>
              </w:rPr>
              <w:t xml:space="preserve"> </w:t>
            </w:r>
            <w:r w:rsidRPr="004367C7">
              <w:rPr>
                <w:sz w:val="28"/>
                <w:szCs w:val="28"/>
              </w:rPr>
              <w:t>2013.</w:t>
            </w:r>
            <w:r w:rsidR="00004152" w:rsidRPr="004367C7">
              <w:rPr>
                <w:sz w:val="28"/>
                <w:szCs w:val="28"/>
              </w:rPr>
              <w:t>gada 23.aprīļa</w:t>
            </w:r>
            <w:r w:rsidRPr="004367C7">
              <w:rPr>
                <w:sz w:val="28"/>
                <w:szCs w:val="28"/>
              </w:rPr>
              <w:t xml:space="preserve"> noteikumos Nr.225 „Izglītības kvalitātes valsts dienesta nolikums” un kvalitātes dienesta 2016.gada darba plānā noteikto, </w:t>
            </w:r>
            <w:r w:rsidR="00004152" w:rsidRPr="004367C7">
              <w:rPr>
                <w:sz w:val="28"/>
                <w:szCs w:val="28"/>
              </w:rPr>
              <w:t xml:space="preserve">no </w:t>
            </w:r>
            <w:r w:rsidRPr="004367C7">
              <w:rPr>
                <w:sz w:val="28"/>
                <w:szCs w:val="28"/>
              </w:rPr>
              <w:lastRenderedPageBreak/>
              <w:t>2016.</w:t>
            </w:r>
            <w:r w:rsidR="00004152" w:rsidRPr="004367C7">
              <w:rPr>
                <w:sz w:val="28"/>
                <w:szCs w:val="28"/>
              </w:rPr>
              <w:t xml:space="preserve">gada 23.februāra līdz 6.maijam </w:t>
            </w:r>
            <w:r w:rsidRPr="004367C7">
              <w:rPr>
                <w:sz w:val="28"/>
                <w:szCs w:val="28"/>
              </w:rPr>
              <w:t>veica prakses izpēti (turpmāk – izpēte), lai apzinātu vispārējās izglītības un profesionālās izglītības izglītojamos, kas bez attaisnojoša iemesla 2014./2015. mācību gada 2.semestrī un 2015./2016. mācību gadā līdz 1.martam vairāk nekā trīs mācību dienas nav apmeklējuši pirmsskolas izglītības iestādi vai vairāk nekā 20 mācību stundas – vispārējās izglītības vai profesionālās izglītības iestādi, apkopotu pašvaldību panāktās izmaiņas un uzlabojumus neattaisnotu mācību kavējumu uzskaitē un novēršanā kopš 2015.gada marta</w:t>
            </w:r>
            <w:r w:rsidR="00004152" w:rsidRPr="004367C7">
              <w:rPr>
                <w:sz w:val="28"/>
                <w:szCs w:val="28"/>
              </w:rPr>
              <w:t xml:space="preserve"> (kad notika iepriekšējā izpēte)</w:t>
            </w:r>
            <w:r w:rsidRPr="004367C7">
              <w:rPr>
                <w:sz w:val="28"/>
                <w:szCs w:val="28"/>
              </w:rPr>
              <w:t>, kā arī izdarītu secinājumus par izmaiņām vispārējās izglītības un profesionālās izglītības iestāžu izglītojamo kavējumu skaitā un pašvaldību rīcībā kavējumu novēršanā, salīdzinot iegūtos datus par 2015./2016. mācību gadu ar datiem par 2013./2014. un 2014./2015. mācību gadu.</w:t>
            </w:r>
          </w:p>
          <w:p w:rsidR="0072417F" w:rsidRPr="004367C7" w:rsidRDefault="00407B8C" w:rsidP="00F73A03">
            <w:pPr>
              <w:jc w:val="both"/>
              <w:rPr>
                <w:sz w:val="28"/>
                <w:szCs w:val="28"/>
              </w:rPr>
            </w:pPr>
            <w:r>
              <w:rPr>
                <w:sz w:val="28"/>
                <w:szCs w:val="28"/>
              </w:rPr>
              <w:t>Izpētes rezultāti atspoguļo</w:t>
            </w:r>
            <w:r w:rsidR="0072417F" w:rsidRPr="004367C7">
              <w:rPr>
                <w:sz w:val="28"/>
                <w:szCs w:val="28"/>
              </w:rPr>
              <w:t>, ka neattaisnoto kavētāju īpatsvars 2013./2014., 2014./2015. un 2015./2016. mācību gadā nav būtiski mainījies un svārstās no 1% līdz 1,6% no kopējā izglītojamo skaita.</w:t>
            </w:r>
          </w:p>
          <w:p w:rsidR="005C40CA" w:rsidRPr="004367C7" w:rsidRDefault="0072417F" w:rsidP="005C40CA">
            <w:pPr>
              <w:jc w:val="both"/>
              <w:rPr>
                <w:sz w:val="28"/>
                <w:szCs w:val="28"/>
              </w:rPr>
            </w:pPr>
            <w:r w:rsidRPr="004367C7">
              <w:rPr>
                <w:sz w:val="28"/>
                <w:szCs w:val="28"/>
              </w:rPr>
              <w:t>Lai arī situācija neattaisnoto kavējumu jomā</w:t>
            </w:r>
            <w:r w:rsidR="00004152" w:rsidRPr="004367C7">
              <w:rPr>
                <w:sz w:val="28"/>
                <w:szCs w:val="28"/>
              </w:rPr>
              <w:t xml:space="preserve"> nedaudz</w:t>
            </w:r>
            <w:r w:rsidRPr="004367C7">
              <w:rPr>
                <w:sz w:val="28"/>
                <w:szCs w:val="28"/>
              </w:rPr>
              <w:t xml:space="preserve"> ir uzlabojusies (2014./2015. mācību gada 2.semestrī 46 pašvaldībās bijis ne vairāk par pieciem neattaisnotiem kavētājiem, 2015./2016. mācību gada 1.semestrī – 63 pašvaldībās, bet 2015./2016. 2.semestra pirmajos divos mēnešos – 68 pašvaldībās bijis ne vairāk par pieciem neattaisnotiem kavētājiem), tomēr Latvijā kopumā joprojām vērojamas nepilnības neattaisnotu kavējumu uzskaitē, datu apkopošanā par neattaisnotiem kavējumiem un neattaisnotu kavējumu novēršanā. Izglītības iestāžu un pašvaldības darbībā neattaisnotu kavējumu apzināšanā un novēršanā trūkst regularitātes un sadarbības starp institūcijām. Tas apdraud datu drošticamību un, iespējams, kavē atbalsta sniegšanu izglītojamiem, kam tas nepieciešams.</w:t>
            </w:r>
            <w:r w:rsidR="005F1510" w:rsidRPr="004367C7">
              <w:rPr>
                <w:sz w:val="28"/>
                <w:szCs w:val="28"/>
              </w:rPr>
              <w:t xml:space="preserve"> Turklāt atsevišķos pētījumos</w:t>
            </w:r>
            <w:r w:rsidR="005C40CA" w:rsidRPr="004367C7">
              <w:rPr>
                <w:sz w:val="28"/>
                <w:szCs w:val="28"/>
              </w:rPr>
              <w:t xml:space="preserve"> iepriekšējos gados</w:t>
            </w:r>
            <w:r w:rsidR="005F1510" w:rsidRPr="004367C7">
              <w:rPr>
                <w:sz w:val="28"/>
                <w:szCs w:val="28"/>
              </w:rPr>
              <w:t xml:space="preserve"> konstatēts augstāks neattaisnoto mācību kavējumu </w:t>
            </w:r>
            <w:r w:rsidR="005C40CA" w:rsidRPr="004367C7">
              <w:rPr>
                <w:sz w:val="28"/>
                <w:szCs w:val="28"/>
              </w:rPr>
              <w:t>īpatsvars. Piemēram, Latvijā veiktā OECD PISA 2012.gada pētījuma (</w:t>
            </w:r>
            <w:r w:rsidR="005C40CA" w:rsidRPr="004367C7">
              <w:rPr>
                <w:i/>
                <w:sz w:val="28"/>
                <w:szCs w:val="28"/>
              </w:rPr>
              <w:t>OECD (</w:t>
            </w:r>
            <w:proofErr w:type="spellStart"/>
            <w:r w:rsidR="005C40CA" w:rsidRPr="004367C7">
              <w:rPr>
                <w:i/>
                <w:sz w:val="28"/>
                <w:szCs w:val="28"/>
              </w:rPr>
              <w:t>Organisation</w:t>
            </w:r>
            <w:proofErr w:type="spellEnd"/>
            <w:r w:rsidR="005C40CA" w:rsidRPr="004367C7">
              <w:rPr>
                <w:i/>
                <w:sz w:val="28"/>
                <w:szCs w:val="28"/>
              </w:rPr>
              <w:t xml:space="preserve"> </w:t>
            </w:r>
            <w:proofErr w:type="spellStart"/>
            <w:r w:rsidR="005C40CA" w:rsidRPr="004367C7">
              <w:rPr>
                <w:i/>
                <w:sz w:val="28"/>
                <w:szCs w:val="28"/>
              </w:rPr>
              <w:t>for</w:t>
            </w:r>
            <w:proofErr w:type="spellEnd"/>
            <w:r w:rsidR="005C40CA" w:rsidRPr="004367C7">
              <w:rPr>
                <w:i/>
                <w:sz w:val="28"/>
                <w:szCs w:val="28"/>
              </w:rPr>
              <w:t xml:space="preserve"> </w:t>
            </w:r>
            <w:proofErr w:type="spellStart"/>
            <w:r w:rsidR="005C40CA" w:rsidRPr="004367C7">
              <w:rPr>
                <w:i/>
                <w:sz w:val="28"/>
                <w:szCs w:val="28"/>
              </w:rPr>
              <w:t>Economic</w:t>
            </w:r>
            <w:proofErr w:type="spellEnd"/>
            <w:r w:rsidR="005C40CA" w:rsidRPr="004367C7">
              <w:rPr>
                <w:i/>
                <w:sz w:val="28"/>
                <w:szCs w:val="28"/>
              </w:rPr>
              <w:t xml:space="preserve"> </w:t>
            </w:r>
            <w:proofErr w:type="spellStart"/>
            <w:r w:rsidR="005C40CA" w:rsidRPr="004367C7">
              <w:rPr>
                <w:i/>
                <w:sz w:val="28"/>
                <w:szCs w:val="28"/>
              </w:rPr>
              <w:t>Cooperation</w:t>
            </w:r>
            <w:proofErr w:type="spellEnd"/>
            <w:r w:rsidR="005C40CA" w:rsidRPr="004367C7">
              <w:rPr>
                <w:i/>
                <w:sz w:val="28"/>
                <w:szCs w:val="28"/>
              </w:rPr>
              <w:t xml:space="preserve"> </w:t>
            </w:r>
            <w:proofErr w:type="spellStart"/>
            <w:r w:rsidR="005C40CA" w:rsidRPr="004367C7">
              <w:rPr>
                <w:i/>
                <w:sz w:val="28"/>
                <w:szCs w:val="28"/>
              </w:rPr>
              <w:t>and</w:t>
            </w:r>
            <w:proofErr w:type="spellEnd"/>
            <w:r w:rsidR="005C40CA" w:rsidRPr="004367C7">
              <w:rPr>
                <w:i/>
                <w:sz w:val="28"/>
                <w:szCs w:val="28"/>
              </w:rPr>
              <w:t xml:space="preserve"> </w:t>
            </w:r>
            <w:proofErr w:type="spellStart"/>
            <w:r w:rsidR="005C40CA" w:rsidRPr="004367C7">
              <w:rPr>
                <w:i/>
                <w:sz w:val="28"/>
                <w:szCs w:val="28"/>
              </w:rPr>
              <w:t>Development</w:t>
            </w:r>
            <w:proofErr w:type="spellEnd"/>
            <w:r w:rsidR="005C40CA" w:rsidRPr="004367C7">
              <w:rPr>
                <w:i/>
                <w:sz w:val="28"/>
                <w:szCs w:val="28"/>
              </w:rPr>
              <w:t>. PISA (</w:t>
            </w:r>
            <w:proofErr w:type="spellStart"/>
            <w:r w:rsidR="005C40CA" w:rsidRPr="004367C7">
              <w:rPr>
                <w:i/>
                <w:sz w:val="28"/>
                <w:szCs w:val="28"/>
              </w:rPr>
              <w:t>The</w:t>
            </w:r>
            <w:proofErr w:type="spellEnd"/>
            <w:r w:rsidR="005C40CA" w:rsidRPr="004367C7">
              <w:rPr>
                <w:i/>
                <w:sz w:val="28"/>
                <w:szCs w:val="28"/>
              </w:rPr>
              <w:t xml:space="preserve"> </w:t>
            </w:r>
            <w:proofErr w:type="spellStart"/>
            <w:r w:rsidR="005C40CA" w:rsidRPr="004367C7">
              <w:rPr>
                <w:i/>
                <w:sz w:val="28"/>
                <w:szCs w:val="28"/>
              </w:rPr>
              <w:t>Programme</w:t>
            </w:r>
            <w:proofErr w:type="spellEnd"/>
            <w:r w:rsidR="005C40CA" w:rsidRPr="004367C7">
              <w:rPr>
                <w:i/>
                <w:sz w:val="28"/>
                <w:szCs w:val="28"/>
              </w:rPr>
              <w:t xml:space="preserve"> </w:t>
            </w:r>
            <w:proofErr w:type="spellStart"/>
            <w:r w:rsidR="005C40CA" w:rsidRPr="004367C7">
              <w:rPr>
                <w:i/>
                <w:sz w:val="28"/>
                <w:szCs w:val="28"/>
              </w:rPr>
              <w:t>for</w:t>
            </w:r>
            <w:proofErr w:type="spellEnd"/>
            <w:r w:rsidR="005C40CA" w:rsidRPr="004367C7">
              <w:rPr>
                <w:i/>
                <w:sz w:val="28"/>
                <w:szCs w:val="28"/>
              </w:rPr>
              <w:t xml:space="preserve"> </w:t>
            </w:r>
            <w:proofErr w:type="spellStart"/>
            <w:r w:rsidR="005C40CA" w:rsidRPr="004367C7">
              <w:rPr>
                <w:i/>
                <w:sz w:val="28"/>
                <w:szCs w:val="28"/>
              </w:rPr>
              <w:t>International</w:t>
            </w:r>
            <w:proofErr w:type="spellEnd"/>
            <w:r w:rsidR="005C40CA" w:rsidRPr="004367C7">
              <w:rPr>
                <w:i/>
                <w:sz w:val="28"/>
                <w:szCs w:val="28"/>
              </w:rPr>
              <w:t xml:space="preserve"> Student </w:t>
            </w:r>
            <w:proofErr w:type="spellStart"/>
            <w:r w:rsidR="005C40CA" w:rsidRPr="004367C7">
              <w:rPr>
                <w:i/>
                <w:sz w:val="28"/>
                <w:szCs w:val="28"/>
              </w:rPr>
              <w:t>Assessment</w:t>
            </w:r>
            <w:proofErr w:type="spellEnd"/>
            <w:r w:rsidR="005C40CA" w:rsidRPr="004367C7">
              <w:rPr>
                <w:i/>
                <w:sz w:val="28"/>
                <w:szCs w:val="28"/>
              </w:rPr>
              <w:t xml:space="preserve">). OECD PISA 2012 pētījumu īstenoja Valsts izglītības attīstības aģentūra sadarbībā ar Latvijas Universitātes Pedagoģijas, psiholoģijas un mākslas </w:t>
            </w:r>
            <w:r w:rsidR="005C40CA" w:rsidRPr="004367C7">
              <w:rPr>
                <w:i/>
                <w:sz w:val="28"/>
                <w:szCs w:val="28"/>
              </w:rPr>
              <w:lastRenderedPageBreak/>
              <w:t>fakultātes Izglītības pētniecības institūta pētniekiem</w:t>
            </w:r>
            <w:r w:rsidR="005C40CA" w:rsidRPr="004367C7">
              <w:rPr>
                <w:sz w:val="28"/>
                <w:szCs w:val="28"/>
              </w:rPr>
              <w:t>.) dati liecina, ka no aptaujātajiem 1407 15-gadīgajiem Rīgas skolu izglītojamajiem 19,5% pēdējo divu nedēļu laikā pirms pētījuma kavējuši pilnu mācību dienu. Rīgas domes Labklājības departamenta pasūtītajā Tirgus un sociālo pētījumu institūta “Latvijas Fakti” 2014.gada pētījumā (</w:t>
            </w:r>
            <w:r w:rsidR="005C40CA" w:rsidRPr="004367C7">
              <w:rPr>
                <w:i/>
                <w:sz w:val="28"/>
                <w:szCs w:val="28"/>
              </w:rPr>
              <w:t>Latvijas Fakti. Riska un aizsargājošo faktoru ietekme uz atkarību izraisošo vielu lietošanas līmeni jauniešu vidū. 5.posms. Rīga: 2014.gads</w:t>
            </w:r>
            <w:r w:rsidR="005C40CA" w:rsidRPr="004367C7">
              <w:rPr>
                <w:sz w:val="28"/>
                <w:szCs w:val="28"/>
              </w:rPr>
              <w:t>.) atklāts, ka 20% aptaujāto 15 un 16 gadīgo jauniešu kavē skolu „nobastojot”, bet dažādu iemeslu dēļ skolu kavē kopumā 56% 9.-10.klašu skolēnu,5 savukārt kvalitātes dienesta 2014.gadā veiktā analītiskā izpēte „</w:t>
            </w:r>
            <w:r w:rsidR="005C40CA" w:rsidRPr="004367C7">
              <w:rPr>
                <w:i/>
                <w:sz w:val="28"/>
                <w:szCs w:val="28"/>
              </w:rPr>
              <w:t>Vispārējās izglītības iestāžu izglītojamo kavējumi un rīcība to novēršanai</w:t>
            </w:r>
            <w:r w:rsidR="005C40CA" w:rsidRPr="004367C7">
              <w:rPr>
                <w:sz w:val="28"/>
                <w:szCs w:val="28"/>
              </w:rPr>
              <w:t>” liecina, ka 22% no 1765 aptaujātajiem vispārējās izglītības iestāžu 6., 9. un 11. klases skolēniem neattaisnoti kavē vismaz vienu mācību stundu nedēļā. Salīdzinot ar citu pašvaldību datiem un minētajiem pētījumiem, šaubas rada arī Rīgas domes sniegtā informācija par (salīdzinoši mazu) kavētāju skaitu.</w:t>
            </w:r>
          </w:p>
          <w:p w:rsidR="00080020" w:rsidRPr="004367C7" w:rsidRDefault="00080020" w:rsidP="00F73A03">
            <w:pPr>
              <w:jc w:val="both"/>
              <w:rPr>
                <w:sz w:val="28"/>
                <w:szCs w:val="28"/>
              </w:rPr>
            </w:pPr>
            <w:r w:rsidRPr="004367C7">
              <w:rPr>
                <w:sz w:val="28"/>
                <w:szCs w:val="28"/>
              </w:rPr>
              <w:t>Lai novērtētu situāciju par izglītojamo ilgstošiem neattaisnotiem izglītības iestādes kavējumiem un mazinātu priekšlaicīgas mācību pārtraukšanas (turpmāk – PMP) riskus, ir sistemātiski, ilgstoši un nepārtraukti metodiski pamatoti jāapkopo informācija</w:t>
            </w:r>
            <w:r w:rsidR="00A006E9" w:rsidRPr="004367C7">
              <w:rPr>
                <w:sz w:val="28"/>
                <w:szCs w:val="28"/>
              </w:rPr>
              <w:t>, turklāt ne tikai pašvaldību, bet arī valsts līmenī, novēršot valsts līdzekļu neracionālu izmantošana gadījumos, kad izglītojamie ilgstoši kavē izglītības iestādi neattaisnotu iemeslu dēļ, jo valsts piešķir līdzekļus katra izglītības iestādē reģistrēta bērna izglītošanai, tomēr valsts rīcībā nav informācijas par izglītojamo apmeklējumu un kavējumiem</w:t>
            </w:r>
            <w:r w:rsidRPr="004367C7">
              <w:rPr>
                <w:sz w:val="28"/>
                <w:szCs w:val="28"/>
              </w:rPr>
              <w:t xml:space="preserve">. Tādēļ jāizveido un jāievieš attiecīga monitoringa sistēma, kas balstās uz informācijas par izglītojamo ilgstoši neattaisnotu mācību kavējumu analīzi. </w:t>
            </w:r>
          </w:p>
          <w:p w:rsidR="00080020" w:rsidRPr="004367C7" w:rsidRDefault="00080020" w:rsidP="00F73A03">
            <w:pPr>
              <w:jc w:val="both"/>
              <w:rPr>
                <w:sz w:val="28"/>
                <w:szCs w:val="28"/>
              </w:rPr>
            </w:pPr>
            <w:r w:rsidRPr="004367C7">
              <w:rPr>
                <w:sz w:val="28"/>
                <w:szCs w:val="28"/>
              </w:rPr>
              <w:t>I</w:t>
            </w:r>
            <w:r w:rsidR="00AD05C4" w:rsidRPr="004367C7">
              <w:rPr>
                <w:sz w:val="28"/>
                <w:szCs w:val="28"/>
              </w:rPr>
              <w:t>evērojot minēto, ir nepieciešama</w:t>
            </w:r>
            <w:r w:rsidRPr="004367C7">
              <w:rPr>
                <w:sz w:val="28"/>
                <w:szCs w:val="28"/>
              </w:rPr>
              <w:t xml:space="preserve"> izglītības iestādes ilgstoši neattaisnoto mācību kavējumu </w:t>
            </w:r>
            <w:r w:rsidR="0090285B" w:rsidRPr="004367C7">
              <w:rPr>
                <w:sz w:val="28"/>
                <w:szCs w:val="28"/>
              </w:rPr>
              <w:t xml:space="preserve">uzskaite, </w:t>
            </w:r>
            <w:r w:rsidRPr="004367C7">
              <w:rPr>
                <w:sz w:val="28"/>
                <w:szCs w:val="28"/>
              </w:rPr>
              <w:t xml:space="preserve">t.sk. </w:t>
            </w:r>
            <w:r w:rsidR="0090285B" w:rsidRPr="004367C7">
              <w:rPr>
                <w:sz w:val="28"/>
                <w:szCs w:val="28"/>
              </w:rPr>
              <w:t xml:space="preserve">arī </w:t>
            </w:r>
            <w:r w:rsidRPr="004367C7">
              <w:rPr>
                <w:sz w:val="28"/>
                <w:szCs w:val="28"/>
              </w:rPr>
              <w:t xml:space="preserve">par pilngadīgiem izglītojamiem, kas </w:t>
            </w:r>
            <w:r w:rsidR="006F723A" w:rsidRPr="004367C7">
              <w:rPr>
                <w:sz w:val="28"/>
                <w:szCs w:val="28"/>
              </w:rPr>
              <w:t>apgūst vispārējās izglītības un profesionālās izglītības programmas</w:t>
            </w:r>
            <w:r w:rsidRPr="004367C7">
              <w:rPr>
                <w:sz w:val="28"/>
                <w:szCs w:val="28"/>
              </w:rPr>
              <w:t xml:space="preserve">, kā arī par izglītojamiem, kas </w:t>
            </w:r>
            <w:r w:rsidR="006F723A" w:rsidRPr="004367C7">
              <w:rPr>
                <w:sz w:val="28"/>
                <w:szCs w:val="28"/>
              </w:rPr>
              <w:t>apgūst minētās izglītības programmas</w:t>
            </w:r>
            <w:r w:rsidRPr="004367C7">
              <w:rPr>
                <w:sz w:val="28"/>
                <w:szCs w:val="28"/>
              </w:rPr>
              <w:t xml:space="preserve"> tālmācības formā, tādejādi nodrošinot monitoringu arī par pilngadīgu izglītojamo (piemēram, 11. – 12.klašu skolēni) neattaisnotiem kavējumiem un personām, kas izglītību iegūst tālmācības formā, kur ir </w:t>
            </w:r>
            <w:r w:rsidR="00ED235F" w:rsidRPr="004367C7">
              <w:rPr>
                <w:sz w:val="28"/>
                <w:szCs w:val="28"/>
              </w:rPr>
              <w:t>atšķirīg</w:t>
            </w:r>
            <w:r w:rsidRPr="004367C7">
              <w:rPr>
                <w:sz w:val="28"/>
                <w:szCs w:val="28"/>
              </w:rPr>
              <w:t>s izglītības process.</w:t>
            </w:r>
          </w:p>
          <w:p w:rsidR="006F723A" w:rsidRPr="004367C7" w:rsidRDefault="00F2276B" w:rsidP="00F73A03">
            <w:pPr>
              <w:jc w:val="both"/>
              <w:rPr>
                <w:sz w:val="28"/>
                <w:szCs w:val="28"/>
              </w:rPr>
            </w:pPr>
            <w:r w:rsidRPr="004367C7">
              <w:rPr>
                <w:sz w:val="28"/>
                <w:szCs w:val="28"/>
              </w:rPr>
              <w:lastRenderedPageBreak/>
              <w:t xml:space="preserve">Šobrīd </w:t>
            </w:r>
            <w:r w:rsidR="006F723A" w:rsidRPr="004367C7">
              <w:rPr>
                <w:sz w:val="28"/>
                <w:szCs w:val="28"/>
              </w:rPr>
              <w:t>Ministru kabineta 2011. gada 1. februāra noteikum</w:t>
            </w:r>
            <w:r w:rsidRPr="004367C7">
              <w:rPr>
                <w:sz w:val="28"/>
                <w:szCs w:val="28"/>
              </w:rPr>
              <w:t>u</w:t>
            </w:r>
            <w:r w:rsidR="006F723A" w:rsidRPr="004367C7">
              <w:rPr>
                <w:sz w:val="28"/>
                <w:szCs w:val="28"/>
              </w:rPr>
              <w:t xml:space="preserve"> Nr. 89 „Kārtība, kādā izglītības iestāde informē izglītojamo vecākus, pašvaldības vai valsts iestādes, ja izglītojamais bez attaisnojoša iemesla neapmeklē izglītības iestādi”</w:t>
            </w:r>
            <w:r w:rsidRPr="004367C7">
              <w:rPr>
                <w:sz w:val="28"/>
                <w:szCs w:val="28"/>
              </w:rPr>
              <w:t xml:space="preserve"> (turpmāk – noteikumi Nr.89)</w:t>
            </w:r>
            <w:r w:rsidR="006F723A" w:rsidRPr="004367C7">
              <w:rPr>
                <w:sz w:val="28"/>
                <w:szCs w:val="28"/>
              </w:rPr>
              <w:t xml:space="preserve"> </w:t>
            </w:r>
            <w:r w:rsidRPr="004367C7">
              <w:rPr>
                <w:sz w:val="28"/>
                <w:szCs w:val="28"/>
              </w:rPr>
              <w:t xml:space="preserve">regulējums attiecas uz </w:t>
            </w:r>
            <w:r w:rsidRPr="004367C7">
              <w:rPr>
                <w:i/>
                <w:sz w:val="28"/>
                <w:szCs w:val="28"/>
              </w:rPr>
              <w:t>bērniem (no piecu gadu vecuma) pirmsskolas izglītības iestādēs un nepilngadīgiem izglītojamiem vispārējās un profesionālās izglītības iestādēs</w:t>
            </w:r>
            <w:r w:rsidRPr="004367C7">
              <w:rPr>
                <w:sz w:val="28"/>
                <w:szCs w:val="28"/>
              </w:rPr>
              <w:t>.</w:t>
            </w:r>
          </w:p>
          <w:p w:rsidR="00F2276B" w:rsidRPr="004367C7" w:rsidRDefault="0012697A" w:rsidP="00F2276B">
            <w:pPr>
              <w:jc w:val="both"/>
              <w:rPr>
                <w:sz w:val="28"/>
                <w:szCs w:val="28"/>
              </w:rPr>
            </w:pPr>
            <w:r w:rsidRPr="004367C7">
              <w:rPr>
                <w:sz w:val="28"/>
                <w:szCs w:val="28"/>
              </w:rPr>
              <w:t xml:space="preserve">Atbilstoši noteikumu Nr.89 regulējumam līdz šim ilgstoši neattaisnoto mācību kavējumu uzskaite tika veikta </w:t>
            </w:r>
            <w:r w:rsidR="00D03F6C" w:rsidRPr="004367C7">
              <w:rPr>
                <w:sz w:val="28"/>
                <w:szCs w:val="28"/>
              </w:rPr>
              <w:t xml:space="preserve">izglītības iestādēs, kas īsteno vispārējās izglītības programmas (t.sk. pirmsskolas izglītības programmas) un sākotnējās profesionālās izglītības programmas </w:t>
            </w:r>
            <w:r w:rsidRPr="004367C7">
              <w:rPr>
                <w:sz w:val="28"/>
                <w:szCs w:val="28"/>
              </w:rPr>
              <w:t>(tātad</w:t>
            </w:r>
            <w:r w:rsidR="00F2276B" w:rsidRPr="004367C7">
              <w:rPr>
                <w:sz w:val="28"/>
                <w:szCs w:val="28"/>
              </w:rPr>
              <w:t>, izņemot profesionālās tālākizglītības, profesionālās pilnveides izglītības</w:t>
            </w:r>
            <w:r w:rsidRPr="004367C7">
              <w:rPr>
                <w:sz w:val="28"/>
                <w:szCs w:val="28"/>
              </w:rPr>
              <w:t xml:space="preserve"> programmas, kas ir </w:t>
            </w:r>
            <w:r w:rsidRPr="004367C7">
              <w:rPr>
                <w:i/>
                <w:sz w:val="28"/>
                <w:szCs w:val="28"/>
              </w:rPr>
              <w:t>profesionālās izglītības īpaši veidi</w:t>
            </w:r>
            <w:r w:rsidR="00982993" w:rsidRPr="004367C7">
              <w:rPr>
                <w:i/>
                <w:sz w:val="28"/>
                <w:szCs w:val="28"/>
              </w:rPr>
              <w:t xml:space="preserve"> </w:t>
            </w:r>
            <w:r w:rsidR="00982993" w:rsidRPr="004367C7">
              <w:rPr>
                <w:sz w:val="28"/>
                <w:szCs w:val="28"/>
              </w:rPr>
              <w:t>(Profesionālās izglītības likuma 1.panta 12.un 13.punkts)</w:t>
            </w:r>
            <w:r w:rsidRPr="004367C7">
              <w:rPr>
                <w:sz w:val="28"/>
                <w:szCs w:val="28"/>
              </w:rPr>
              <w:t xml:space="preserve">, </w:t>
            </w:r>
            <w:r w:rsidR="00F2276B" w:rsidRPr="004367C7">
              <w:rPr>
                <w:sz w:val="28"/>
                <w:szCs w:val="28"/>
              </w:rPr>
              <w:t>un profesionālās ievirzes izglītības programmas</w:t>
            </w:r>
            <w:r w:rsidRPr="004367C7">
              <w:rPr>
                <w:sz w:val="28"/>
                <w:szCs w:val="28"/>
              </w:rPr>
              <w:t xml:space="preserve">, kas ir </w:t>
            </w:r>
            <w:r w:rsidRPr="004367C7">
              <w:rPr>
                <w:i/>
                <w:sz w:val="28"/>
                <w:szCs w:val="28"/>
              </w:rPr>
              <w:t xml:space="preserve">sistematizēta zināšanu un prasmju apguve, kā arī </w:t>
            </w:r>
            <w:proofErr w:type="spellStart"/>
            <w:r w:rsidRPr="004367C7">
              <w:rPr>
                <w:i/>
                <w:sz w:val="28"/>
                <w:szCs w:val="28"/>
              </w:rPr>
              <w:t>vērtīborientācijas</w:t>
            </w:r>
            <w:proofErr w:type="spellEnd"/>
            <w:r w:rsidRPr="004367C7">
              <w:rPr>
                <w:i/>
                <w:sz w:val="28"/>
                <w:szCs w:val="28"/>
              </w:rPr>
              <w:t xml:space="preserve"> veidošana mākslā, kultūrā vai sportā </w:t>
            </w:r>
            <w:r w:rsidRPr="004367C7">
              <w:rPr>
                <w:i/>
                <w:sz w:val="28"/>
                <w:szCs w:val="28"/>
                <w:u w:val="single"/>
              </w:rPr>
              <w:t>līdztekus pamatizglītības vai vidējās izglītības pakāpei</w:t>
            </w:r>
            <w:r w:rsidRPr="004367C7">
              <w:rPr>
                <w:i/>
                <w:sz w:val="28"/>
                <w:szCs w:val="28"/>
              </w:rPr>
              <w:t>, kas dod iespēju sagatavoties profesionālās izglītības ieguvei izraudzītajā virzienā</w:t>
            </w:r>
            <w:r w:rsidR="00982993" w:rsidRPr="004367C7">
              <w:rPr>
                <w:i/>
                <w:sz w:val="28"/>
                <w:szCs w:val="28"/>
              </w:rPr>
              <w:t xml:space="preserve"> </w:t>
            </w:r>
            <w:r w:rsidR="00982993" w:rsidRPr="004367C7">
              <w:rPr>
                <w:sz w:val="28"/>
                <w:szCs w:val="28"/>
              </w:rPr>
              <w:t>(Izglītības likuma 1.panta 20.</w:t>
            </w:r>
            <w:r w:rsidR="00982993" w:rsidRPr="004367C7">
              <w:rPr>
                <w:sz w:val="28"/>
                <w:szCs w:val="28"/>
                <w:vertAlign w:val="superscript"/>
              </w:rPr>
              <w:t>1</w:t>
            </w:r>
            <w:r w:rsidR="00982993" w:rsidRPr="004367C7">
              <w:rPr>
                <w:sz w:val="28"/>
                <w:szCs w:val="28"/>
              </w:rPr>
              <w:t>punkts</w:t>
            </w:r>
            <w:r w:rsidRPr="004367C7">
              <w:rPr>
                <w:sz w:val="28"/>
                <w:szCs w:val="28"/>
              </w:rPr>
              <w:t>)</w:t>
            </w:r>
            <w:r w:rsidR="00F2276B" w:rsidRPr="004367C7">
              <w:rPr>
                <w:sz w:val="28"/>
                <w:szCs w:val="28"/>
              </w:rPr>
              <w:t>.</w:t>
            </w:r>
          </w:p>
          <w:p w:rsidR="00592F0E" w:rsidRPr="004367C7" w:rsidRDefault="00592F0E" w:rsidP="00592F0E">
            <w:pPr>
              <w:jc w:val="both"/>
              <w:rPr>
                <w:sz w:val="28"/>
                <w:szCs w:val="28"/>
              </w:rPr>
            </w:pPr>
            <w:r w:rsidRPr="004367C7">
              <w:rPr>
                <w:sz w:val="28"/>
                <w:szCs w:val="28"/>
              </w:rPr>
              <w:t>Izglītības likuma 14.panta 35.punkts paredz Ministru kabinetam noteikt kārtību, kādā izglītības iestāde informē izglītojamo vecākus (personas, kas realizē aizgādību), pašvaldības vai valsts iestādes, ja izglītojamais bez attaisnojoša iemesla neapmeklē izglītības iestādi. Minētais deleģējums neparedz izņēmumu pieaugušo izglītojamo mācību kavējumu uzskaitei.</w:t>
            </w:r>
          </w:p>
          <w:p w:rsidR="00592F0E" w:rsidRPr="004367C7" w:rsidRDefault="00592F0E" w:rsidP="00592F0E">
            <w:pPr>
              <w:jc w:val="both"/>
              <w:rPr>
                <w:sz w:val="28"/>
                <w:szCs w:val="28"/>
              </w:rPr>
            </w:pPr>
            <w:r w:rsidRPr="004367C7">
              <w:rPr>
                <w:sz w:val="28"/>
                <w:szCs w:val="28"/>
              </w:rPr>
              <w:t xml:space="preserve">Ņemot vērā, ka valsts finansē vispārējo un profesionālo (sākotnējo) izglītību neatkarīgi no izglītojamo vecuma, kas apgūst minēto izglītību, lai novērtētu situāciju par izglītojamo ilgstošiem neattaisnotiem mācību kavējumiem (valsts līmenī) un mazinātu priekšlaicīgas mācību pārtraukšanas risku, vienlaikus novēršot neracionālu valsts budžeta līdzekļu izlietojumu, noteikumu projekts paredz, ka </w:t>
            </w:r>
            <w:r w:rsidRPr="004367C7">
              <w:rPr>
                <w:i/>
                <w:sz w:val="28"/>
                <w:szCs w:val="28"/>
              </w:rPr>
              <w:t>noteikumi attiecas uz izglītojamajiem, kas apgūst pirmsskolas izglītības, vispārējās izglītības un profesionālās izglītības programmas (izņemot profesionālās tālākizglītības, profesionālās pilnveides izglītības un profesionālās ievirzes izglītības programmas)</w:t>
            </w:r>
            <w:r w:rsidRPr="004367C7">
              <w:rPr>
                <w:sz w:val="28"/>
                <w:szCs w:val="28"/>
              </w:rPr>
              <w:t xml:space="preserve">. </w:t>
            </w:r>
          </w:p>
          <w:p w:rsidR="00080020" w:rsidRPr="004367C7" w:rsidRDefault="00080020" w:rsidP="00F73A03">
            <w:pPr>
              <w:jc w:val="both"/>
              <w:rPr>
                <w:sz w:val="28"/>
                <w:szCs w:val="28"/>
              </w:rPr>
            </w:pPr>
            <w:r w:rsidRPr="004367C7">
              <w:rPr>
                <w:sz w:val="28"/>
                <w:szCs w:val="28"/>
              </w:rPr>
              <w:t xml:space="preserve">Vienlaikus noteikumu projekts precizē </w:t>
            </w:r>
            <w:r w:rsidR="00E40CAE" w:rsidRPr="004367C7">
              <w:rPr>
                <w:sz w:val="28"/>
                <w:szCs w:val="28"/>
              </w:rPr>
              <w:t xml:space="preserve">kompetenci un </w:t>
            </w:r>
            <w:r w:rsidRPr="004367C7">
              <w:rPr>
                <w:sz w:val="28"/>
                <w:szCs w:val="28"/>
              </w:rPr>
              <w:lastRenderedPageBreak/>
              <w:t xml:space="preserve">atbildību izglītības iestādes, pašvaldības un valsts līmenī attiecībā uz izglītojamo kavējumu </w:t>
            </w:r>
            <w:r w:rsidR="00E40CAE" w:rsidRPr="004367C7">
              <w:rPr>
                <w:sz w:val="28"/>
                <w:szCs w:val="28"/>
              </w:rPr>
              <w:t>novēršanu:</w:t>
            </w:r>
          </w:p>
          <w:p w:rsidR="00E40CAE" w:rsidRPr="004367C7" w:rsidRDefault="00E40CAE" w:rsidP="00E40CAE">
            <w:pPr>
              <w:jc w:val="both"/>
              <w:rPr>
                <w:sz w:val="28"/>
                <w:szCs w:val="28"/>
              </w:rPr>
            </w:pPr>
            <w:r w:rsidRPr="004367C7">
              <w:rPr>
                <w:sz w:val="28"/>
                <w:szCs w:val="28"/>
              </w:rPr>
              <w:t xml:space="preserve">- izglītības iestādei nosakot pienākumu nekavējoties ievadīt informāciju par izglītojamā (t.sk. izglītojamā, kas iegūst izglītību tālmācības formā, kā arī tiem pilngadīgiem izglītojamiem, </w:t>
            </w:r>
            <w:r w:rsidR="00FE1A53" w:rsidRPr="004367C7">
              <w:rPr>
                <w:sz w:val="28"/>
                <w:szCs w:val="28"/>
              </w:rPr>
              <w:t xml:space="preserve">kas apgūst </w:t>
            </w:r>
            <w:r w:rsidR="00416378" w:rsidRPr="004367C7">
              <w:rPr>
                <w:sz w:val="28"/>
                <w:szCs w:val="28"/>
              </w:rPr>
              <w:t>vispārējās izglītības un profesionālās izglītības programmas (izņemot profesionālās tālākizglītības, profesionālās pilnveides izglītības un profesionālās ievirzes izglītības programmas)</w:t>
            </w:r>
            <w:r w:rsidR="00FE1A53" w:rsidRPr="004367C7">
              <w:rPr>
                <w:sz w:val="28"/>
                <w:szCs w:val="28"/>
              </w:rPr>
              <w:t xml:space="preserve">) </w:t>
            </w:r>
            <w:r w:rsidRPr="004367C7">
              <w:rPr>
                <w:sz w:val="28"/>
                <w:szCs w:val="28"/>
              </w:rPr>
              <w:t>kavējumiem, to iemesliem, kā arī rīcību to novēršanai</w:t>
            </w:r>
            <w:r w:rsidR="00807E3E" w:rsidRPr="004367C7">
              <w:rPr>
                <w:sz w:val="28"/>
                <w:szCs w:val="28"/>
              </w:rPr>
              <w:t xml:space="preserve"> (piemēram, sazināšanās ar vecākiem, sadarbība ar kompetentām iestādēm u.tml.)</w:t>
            </w:r>
            <w:r w:rsidRPr="004367C7">
              <w:rPr>
                <w:sz w:val="28"/>
                <w:szCs w:val="28"/>
              </w:rPr>
              <w:t xml:space="preserve"> Valsts izglītības informācijas sistēmā</w:t>
            </w:r>
            <w:r w:rsidR="0090285B" w:rsidRPr="004367C7">
              <w:rPr>
                <w:sz w:val="28"/>
                <w:szCs w:val="28"/>
              </w:rPr>
              <w:t xml:space="preserve"> (turpmāk – VIIS)</w:t>
            </w:r>
            <w:r w:rsidRPr="004367C7">
              <w:rPr>
                <w:sz w:val="28"/>
                <w:szCs w:val="28"/>
              </w:rPr>
              <w:t xml:space="preserve"> Ministru kabineta noteiktā kārtībā;</w:t>
            </w:r>
          </w:p>
          <w:p w:rsidR="00A006E9" w:rsidRPr="004367C7" w:rsidRDefault="00E40CAE" w:rsidP="00A006E9">
            <w:pPr>
              <w:jc w:val="both"/>
              <w:rPr>
                <w:sz w:val="28"/>
                <w:szCs w:val="28"/>
              </w:rPr>
            </w:pPr>
            <w:r w:rsidRPr="004367C7">
              <w:rPr>
                <w:sz w:val="28"/>
                <w:szCs w:val="28"/>
              </w:rPr>
              <w:t>-</w:t>
            </w:r>
            <w:r w:rsidR="004367C7" w:rsidRPr="004367C7">
              <w:rPr>
                <w:sz w:val="28"/>
                <w:szCs w:val="28"/>
              </w:rPr>
              <w:t xml:space="preserve"> </w:t>
            </w:r>
            <w:r w:rsidRPr="004367C7">
              <w:rPr>
                <w:sz w:val="28"/>
                <w:szCs w:val="28"/>
              </w:rPr>
              <w:t xml:space="preserve"> </w:t>
            </w:r>
            <w:r w:rsidR="004367C7" w:rsidRPr="004367C7">
              <w:rPr>
                <w:sz w:val="28"/>
                <w:szCs w:val="28"/>
              </w:rPr>
              <w:t xml:space="preserve">pašvaldībai (pašvaldības izglītības pārvaldes iestāde vai izglītības speciālists), ievērojot izglītības iestāžu ievadīto informāciju VIIS, ja nepieciešams, noskaidrot izglītības iestādes neapmeklēšanas cēloņus, koordinē to novēršanu, sadarbojoties ar izglītības iestādi un citām institūcijām, tostarp sociālo dienestu, bāriņtiesu, </w:t>
            </w:r>
            <w:r w:rsidR="0088161C" w:rsidRPr="004367C7">
              <w:rPr>
                <w:sz w:val="28"/>
                <w:szCs w:val="28"/>
              </w:rPr>
              <w:t>kas</w:t>
            </w:r>
            <w:r w:rsidR="00A006E9" w:rsidRPr="004367C7">
              <w:rPr>
                <w:sz w:val="28"/>
                <w:szCs w:val="28"/>
              </w:rPr>
              <w:t xml:space="preserve"> veicinās efektīvu </w:t>
            </w:r>
            <w:proofErr w:type="spellStart"/>
            <w:r w:rsidR="00A006E9" w:rsidRPr="004367C7">
              <w:rPr>
                <w:sz w:val="28"/>
                <w:szCs w:val="28"/>
              </w:rPr>
              <w:t>starpinstitucionālo</w:t>
            </w:r>
            <w:proofErr w:type="spellEnd"/>
            <w:r w:rsidR="00A006E9" w:rsidRPr="004367C7">
              <w:rPr>
                <w:sz w:val="28"/>
                <w:szCs w:val="28"/>
              </w:rPr>
              <w:t xml:space="preserve"> sadarbību, kā</w:t>
            </w:r>
            <w:r w:rsidR="0088161C" w:rsidRPr="004367C7">
              <w:rPr>
                <w:sz w:val="28"/>
                <w:szCs w:val="28"/>
              </w:rPr>
              <w:t xml:space="preserve"> arī pašvaldību darbu šajā jomā;</w:t>
            </w:r>
          </w:p>
          <w:p w:rsidR="0072417F" w:rsidRPr="004367C7" w:rsidRDefault="00E40CAE" w:rsidP="00A006E9">
            <w:pPr>
              <w:jc w:val="both"/>
              <w:rPr>
                <w:sz w:val="28"/>
                <w:szCs w:val="28"/>
              </w:rPr>
            </w:pPr>
            <w:r w:rsidRPr="004367C7">
              <w:rPr>
                <w:sz w:val="28"/>
                <w:szCs w:val="28"/>
              </w:rPr>
              <w:t xml:space="preserve">- </w:t>
            </w:r>
            <w:r w:rsidR="00ED235F" w:rsidRPr="004367C7">
              <w:rPr>
                <w:sz w:val="28"/>
                <w:szCs w:val="28"/>
              </w:rPr>
              <w:t>k</w:t>
            </w:r>
            <w:r w:rsidRPr="004367C7">
              <w:rPr>
                <w:sz w:val="28"/>
                <w:szCs w:val="28"/>
              </w:rPr>
              <w:t xml:space="preserve">valitātes dienestam nosakot pienākumu </w:t>
            </w:r>
            <w:r w:rsidR="002E66E6" w:rsidRPr="004367C7">
              <w:rPr>
                <w:sz w:val="28"/>
                <w:szCs w:val="28"/>
              </w:rPr>
              <w:t xml:space="preserve">vienu reizi gadā </w:t>
            </w:r>
            <w:r w:rsidRPr="004367C7">
              <w:rPr>
                <w:sz w:val="28"/>
                <w:szCs w:val="28"/>
              </w:rPr>
              <w:t xml:space="preserve">apkopot un analizēt ievadīto informāciju </w:t>
            </w:r>
            <w:r w:rsidR="0090285B" w:rsidRPr="004367C7">
              <w:rPr>
                <w:sz w:val="28"/>
                <w:szCs w:val="28"/>
              </w:rPr>
              <w:t>VIIS</w:t>
            </w:r>
            <w:r w:rsidRPr="004367C7">
              <w:rPr>
                <w:sz w:val="28"/>
                <w:szCs w:val="28"/>
              </w:rPr>
              <w:t xml:space="preserve"> un sniegt metodisku atbalstu pašvaldībām un izglītības iestādēm PMP risku mazināšanai.</w:t>
            </w:r>
          </w:p>
          <w:p w:rsidR="004367C7" w:rsidRPr="004367C7" w:rsidRDefault="004367C7" w:rsidP="004367C7">
            <w:pPr>
              <w:jc w:val="both"/>
              <w:rPr>
                <w:sz w:val="28"/>
                <w:szCs w:val="28"/>
              </w:rPr>
            </w:pPr>
            <w:r w:rsidRPr="004367C7">
              <w:rPr>
                <w:sz w:val="28"/>
                <w:szCs w:val="28"/>
              </w:rPr>
              <w:t xml:space="preserve">Saskaņā ar Ministru kabineta 2005.gada 18.oktobra noteikumos Nr.779 “Noteikumi par vispārējās izglītības iestāžu pedagoģiskā procesa organizēšanai nepieciešamo obligāto dokumentāciju” un Ministru kabineta 2007.gada 6.marta noteikumos Nr.165 “Noteikumi par profesionālās izglītības iestāžu pedagoģiskā procesa un eksaminācijas centru profesionālās kvalifikācijas ieguves organizēšanai obligāti nepieciešamo dokumentāciju” noteikto izglītības iestādēm jau šobrīd ir pienākums kārtot klases žurnālus (vispārējās izglītības iestādēm) un grupas mācību nodarbību uzskaites žurnālus (profesionālās izglītības iestādēm), kur ieraksta ziņas par visu izglītojamo mācību kavējumiem, kas apgūst izglītību attiecīgajā izglītības pakāpē. Tas ir viens no pedagoga pienākumiem, kuru finansē valsts. </w:t>
            </w:r>
          </w:p>
          <w:p w:rsidR="004367C7" w:rsidRPr="004367C7" w:rsidRDefault="004367C7" w:rsidP="004367C7">
            <w:pPr>
              <w:jc w:val="both"/>
              <w:rPr>
                <w:sz w:val="28"/>
                <w:szCs w:val="28"/>
              </w:rPr>
            </w:pPr>
            <w:r w:rsidRPr="004367C7">
              <w:rPr>
                <w:sz w:val="28"/>
                <w:szCs w:val="28"/>
              </w:rPr>
              <w:t xml:space="preserve">Ņemot vērā, ka noteikumi Nr.89 šobrīd paredz datu apstrādi par nepilngadīgo izglītojamo mācību kavējumiem, kā arī pašvaldības kompetenci, tad noteikumu projekts samērīgi un </w:t>
            </w:r>
            <w:r w:rsidRPr="004367C7">
              <w:rPr>
                <w:sz w:val="28"/>
                <w:szCs w:val="28"/>
              </w:rPr>
              <w:lastRenderedPageBreak/>
              <w:t>līdzvērtīgi nosaka datu apstrādi arī par pilngadīgo izglītojamo mācību kavējumiem attiecīgajā izglītības pakāpē, kā arī būtībā nemaina līdzšinējo informācijas apjomu un apriti.</w:t>
            </w:r>
          </w:p>
          <w:p w:rsidR="004367C7" w:rsidRPr="004367C7" w:rsidRDefault="004367C7" w:rsidP="004367C7">
            <w:pPr>
              <w:jc w:val="both"/>
              <w:rPr>
                <w:sz w:val="28"/>
                <w:szCs w:val="28"/>
              </w:rPr>
            </w:pPr>
            <w:r w:rsidRPr="004367C7">
              <w:rPr>
                <w:sz w:val="28"/>
                <w:szCs w:val="28"/>
              </w:rPr>
              <w:t>Noteikumu Nr.89 7.punkts šobrīd paredz pašvaldībām pienākumu noskaidrot izglītības iestādes neapmeklēšanas cēloņus, koordinēt to novēršanu un, ja nepieciešams, nosūtīt attiecīgo informāciju sociālajam dienestam, bāriņtiesai un citām institūcijām.</w:t>
            </w:r>
          </w:p>
          <w:p w:rsidR="004367C7" w:rsidRPr="004367C7" w:rsidRDefault="004367C7" w:rsidP="004367C7">
            <w:pPr>
              <w:jc w:val="both"/>
              <w:rPr>
                <w:sz w:val="28"/>
                <w:szCs w:val="28"/>
              </w:rPr>
            </w:pPr>
            <w:r w:rsidRPr="004367C7">
              <w:rPr>
                <w:sz w:val="28"/>
                <w:szCs w:val="28"/>
              </w:rPr>
              <w:t xml:space="preserve">Noteikumu projekts nemaina līdzšinējo pašvaldību funkciju un kārtību izglītības iestādes neapmeklēšanas cēloņu noskaidrošanā, koordinēšanā un sadarbībā ar citām institūcijām, t.sk. sociālo dienestu un bāriņtiesu. Vienlaikus tiek uzsvērta pašvaldības sadarbība ar izglītības iestādi, jo sākotnēji izglītības iestāde ir atbildīga izglītības procesa nodrošināšanā izglītojamajam. Savukārt pašvaldības pienākums ir gādāt par iedzīvotāju izglītību. Svarīga ir pašvaldības sadarbība tieši ar izglītības iestādi, lai nodrošinātu atbilstošu izglītības procesu riska grupas izglītojamajiem, jo izglītības iestāde ir vislabāk informēta par saviem izglītojamajiem, to paradumiem ģimenes stāvokli, dzīvesveidu u.tml. </w:t>
            </w:r>
          </w:p>
          <w:p w:rsidR="004367C7" w:rsidRPr="004367C7" w:rsidRDefault="004367C7" w:rsidP="004367C7">
            <w:pPr>
              <w:jc w:val="both"/>
              <w:rPr>
                <w:sz w:val="28"/>
                <w:szCs w:val="28"/>
              </w:rPr>
            </w:pPr>
            <w:r w:rsidRPr="004367C7">
              <w:rPr>
                <w:sz w:val="28"/>
                <w:szCs w:val="28"/>
              </w:rPr>
              <w:t>Pašvaldībām noteiktā pienākuma pastāvīgi apkopot un analizēt izglītības iestāžu ievadīto informāciju mērķis ir nodrošināt pastāvīgu izglītības iestādes un pašvaldības sadarbību, lai attiecīgā pašvaldība savlaicīgi varētu apzināt un novērtēt situāciju savā teritorijā un pieņemt lēmumu par konkrētu rīcību situācijas uzlabošanai, piemēram, citas kompetentas institūcijas iesaistīšana, izglītojošu pasākumu veikšana.</w:t>
            </w:r>
          </w:p>
          <w:p w:rsidR="00A006E9" w:rsidRPr="004367C7" w:rsidRDefault="000D29DE" w:rsidP="000D29DE">
            <w:pPr>
              <w:jc w:val="both"/>
              <w:rPr>
                <w:sz w:val="28"/>
                <w:szCs w:val="28"/>
              </w:rPr>
            </w:pPr>
            <w:r>
              <w:rPr>
                <w:sz w:val="28"/>
                <w:szCs w:val="28"/>
              </w:rPr>
              <w:t xml:space="preserve">Savukārt </w:t>
            </w:r>
            <w:r w:rsidR="004367C7" w:rsidRPr="004367C7">
              <w:rPr>
                <w:sz w:val="28"/>
                <w:szCs w:val="28"/>
              </w:rPr>
              <w:t>kvalitātes dienestam noteikumu projekts paredz pienākumu vienu reizi gadā apkopot un analizēt visu ievadīto informāciju VIIS kopumā un sniegt metodisku atbalstu pašvaldībām un izglītības iestādēm priekšlaicīgas mācību pārtrauk</w:t>
            </w:r>
            <w:r>
              <w:rPr>
                <w:sz w:val="28"/>
                <w:szCs w:val="28"/>
              </w:rPr>
              <w:t>šanas risku mazināšanai. Tātad</w:t>
            </w:r>
            <w:r w:rsidR="004367C7" w:rsidRPr="004367C7">
              <w:rPr>
                <w:sz w:val="28"/>
                <w:szCs w:val="28"/>
              </w:rPr>
              <w:t xml:space="preserve"> kvalitātes</w:t>
            </w:r>
            <w:r>
              <w:rPr>
                <w:sz w:val="28"/>
                <w:szCs w:val="28"/>
              </w:rPr>
              <w:t xml:space="preserve"> </w:t>
            </w:r>
            <w:r w:rsidR="004367C7" w:rsidRPr="004367C7">
              <w:rPr>
                <w:sz w:val="28"/>
                <w:szCs w:val="28"/>
              </w:rPr>
              <w:t>dienesta loma informācijas par izglītojamo mācību kavējumiem analīzē un apkopošanā ir saistāma ar Izglītības likuma 20.panta trešās daļas 2.punktā noteikto pienākumu analizēt izglītības iestāžu darbību, kā rezultātā iespējams izstrādāt priekšlikumus normatīvo aktu grozījumiem un izglītības iestāžu darba uzlabošanai.</w:t>
            </w:r>
          </w:p>
        </w:tc>
      </w:tr>
      <w:tr w:rsidR="00080020" w:rsidRPr="004367C7" w:rsidTr="00F73A03">
        <w:trPr>
          <w:tblCellSpacing w:w="15" w:type="dxa"/>
        </w:trPr>
        <w:tc>
          <w:tcPr>
            <w:tcW w:w="163" w:type="pct"/>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spacing w:before="100" w:beforeAutospacing="1" w:after="100" w:afterAutospacing="1"/>
              <w:rPr>
                <w:sz w:val="28"/>
                <w:szCs w:val="28"/>
              </w:rPr>
            </w:pPr>
            <w:r w:rsidRPr="004367C7">
              <w:rPr>
                <w:sz w:val="28"/>
                <w:szCs w:val="28"/>
              </w:rPr>
              <w:lastRenderedPageBreak/>
              <w:t>3.</w:t>
            </w:r>
          </w:p>
        </w:tc>
        <w:tc>
          <w:tcPr>
            <w:tcW w:w="1001" w:type="pct"/>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spacing w:before="100" w:beforeAutospacing="1" w:after="100" w:afterAutospacing="1"/>
              <w:rPr>
                <w:sz w:val="28"/>
                <w:szCs w:val="28"/>
              </w:rPr>
            </w:pPr>
            <w:r w:rsidRPr="004367C7">
              <w:rPr>
                <w:sz w:val="28"/>
                <w:szCs w:val="28"/>
              </w:rPr>
              <w:t>Projekta izstrādē iesaistītās institūcijas</w:t>
            </w:r>
          </w:p>
        </w:tc>
        <w:tc>
          <w:tcPr>
            <w:tcW w:w="3771" w:type="pct"/>
            <w:tcBorders>
              <w:top w:val="outset" w:sz="6" w:space="0" w:color="000000"/>
              <w:left w:val="outset" w:sz="6" w:space="0" w:color="000000"/>
              <w:bottom w:val="outset" w:sz="6" w:space="0" w:color="000000"/>
              <w:right w:val="outset" w:sz="6" w:space="0" w:color="000000"/>
            </w:tcBorders>
          </w:tcPr>
          <w:p w:rsidR="00080020" w:rsidRPr="004367C7" w:rsidRDefault="00080020" w:rsidP="005C2717">
            <w:pPr>
              <w:spacing w:before="100" w:beforeAutospacing="1" w:after="100" w:afterAutospacing="1"/>
              <w:ind w:left="62"/>
              <w:jc w:val="both"/>
              <w:rPr>
                <w:sz w:val="28"/>
                <w:szCs w:val="28"/>
              </w:rPr>
            </w:pPr>
            <w:r w:rsidRPr="004367C7">
              <w:rPr>
                <w:sz w:val="28"/>
                <w:szCs w:val="28"/>
              </w:rPr>
              <w:t>Izglītības un zinātnes ministrija, kvalitātes dienests.</w:t>
            </w:r>
          </w:p>
        </w:tc>
      </w:tr>
      <w:tr w:rsidR="00080020" w:rsidRPr="004367C7" w:rsidTr="00F73A03">
        <w:trPr>
          <w:tblCellSpacing w:w="15" w:type="dxa"/>
        </w:trPr>
        <w:tc>
          <w:tcPr>
            <w:tcW w:w="163" w:type="pct"/>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spacing w:before="100" w:beforeAutospacing="1" w:after="100" w:afterAutospacing="1"/>
              <w:rPr>
                <w:sz w:val="28"/>
                <w:szCs w:val="28"/>
              </w:rPr>
            </w:pPr>
            <w:r w:rsidRPr="004367C7">
              <w:rPr>
                <w:sz w:val="28"/>
                <w:szCs w:val="28"/>
              </w:rPr>
              <w:t>4.</w:t>
            </w:r>
          </w:p>
        </w:tc>
        <w:tc>
          <w:tcPr>
            <w:tcW w:w="1001" w:type="pct"/>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spacing w:before="100" w:beforeAutospacing="1" w:after="100" w:afterAutospacing="1"/>
              <w:rPr>
                <w:sz w:val="28"/>
                <w:szCs w:val="28"/>
              </w:rPr>
            </w:pPr>
            <w:r w:rsidRPr="004367C7">
              <w:rPr>
                <w:sz w:val="28"/>
                <w:szCs w:val="28"/>
              </w:rPr>
              <w:t>Cita informācija</w:t>
            </w:r>
          </w:p>
        </w:tc>
        <w:tc>
          <w:tcPr>
            <w:tcW w:w="3771" w:type="pct"/>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jc w:val="both"/>
              <w:rPr>
                <w:sz w:val="28"/>
                <w:szCs w:val="28"/>
              </w:rPr>
            </w:pPr>
            <w:r w:rsidRPr="004367C7">
              <w:rPr>
                <w:sz w:val="28"/>
                <w:szCs w:val="28"/>
              </w:rPr>
              <w:t>Nav.</w:t>
            </w:r>
          </w:p>
        </w:tc>
      </w:tr>
    </w:tbl>
    <w:p w:rsidR="00080020" w:rsidRPr="004367C7" w:rsidRDefault="00080020" w:rsidP="00080020">
      <w:pPr>
        <w:spacing w:before="100" w:beforeAutospacing="1" w:after="100" w:afterAutospacing="1"/>
        <w:jc w:val="both"/>
        <w:rPr>
          <w:sz w:val="28"/>
          <w:szCs w:val="28"/>
        </w:rPr>
      </w:pPr>
    </w:p>
    <w:tbl>
      <w:tblPr>
        <w:tblW w:w="5052" w:type="pct"/>
        <w:tblCellSpacing w:w="15" w:type="dxa"/>
        <w:tblInd w:w="6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255"/>
        <w:gridCol w:w="2046"/>
        <w:gridCol w:w="6016"/>
      </w:tblGrid>
      <w:tr w:rsidR="00080020" w:rsidRPr="004367C7" w:rsidTr="00F73A03">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tcPr>
          <w:p w:rsidR="00080020" w:rsidRPr="004367C7" w:rsidRDefault="00080020" w:rsidP="00F73A03">
            <w:pPr>
              <w:spacing w:before="100" w:beforeAutospacing="1" w:after="100" w:afterAutospacing="1"/>
              <w:jc w:val="center"/>
              <w:rPr>
                <w:b/>
                <w:bCs/>
                <w:sz w:val="28"/>
                <w:szCs w:val="28"/>
              </w:rPr>
            </w:pPr>
            <w:r w:rsidRPr="004367C7">
              <w:rPr>
                <w:b/>
                <w:bCs/>
                <w:sz w:val="28"/>
                <w:szCs w:val="28"/>
              </w:rPr>
              <w:t>II. Tiesību akta projekta ietekme uz sabiedrību, tautsaimniecības attīstību un administratīvo slogu</w:t>
            </w:r>
          </w:p>
        </w:tc>
      </w:tr>
      <w:tr w:rsidR="00080020" w:rsidRPr="004367C7" w:rsidTr="00F73A03">
        <w:trPr>
          <w:tblCellSpacing w:w="15" w:type="dxa"/>
        </w:trPr>
        <w:tc>
          <w:tcPr>
            <w:tcW w:w="654" w:type="pct"/>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spacing w:before="100" w:beforeAutospacing="1" w:after="100" w:afterAutospacing="1"/>
              <w:rPr>
                <w:sz w:val="28"/>
                <w:szCs w:val="28"/>
              </w:rPr>
            </w:pPr>
            <w:r w:rsidRPr="004367C7">
              <w:rPr>
                <w:sz w:val="28"/>
                <w:szCs w:val="28"/>
              </w:rPr>
              <w:t>1.</w:t>
            </w:r>
          </w:p>
        </w:tc>
        <w:tc>
          <w:tcPr>
            <w:tcW w:w="1089" w:type="pct"/>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spacing w:before="100" w:beforeAutospacing="1" w:after="100" w:afterAutospacing="1"/>
              <w:rPr>
                <w:sz w:val="28"/>
                <w:szCs w:val="28"/>
              </w:rPr>
            </w:pPr>
            <w:r w:rsidRPr="004367C7">
              <w:rPr>
                <w:sz w:val="28"/>
                <w:szCs w:val="28"/>
              </w:rPr>
              <w:t xml:space="preserve">Sabiedrības </w:t>
            </w:r>
            <w:proofErr w:type="spellStart"/>
            <w:r w:rsidRPr="004367C7">
              <w:rPr>
                <w:sz w:val="28"/>
                <w:szCs w:val="28"/>
              </w:rPr>
              <w:t>mērķgrupas</w:t>
            </w:r>
            <w:proofErr w:type="spellEnd"/>
            <w:r w:rsidRPr="004367C7">
              <w:rPr>
                <w:sz w:val="28"/>
                <w:szCs w:val="28"/>
              </w:rPr>
              <w:t>, kuras tiesiskais regulējums ietekmē vai varētu ietekmēt</w:t>
            </w:r>
          </w:p>
        </w:tc>
        <w:tc>
          <w:tcPr>
            <w:tcW w:w="3193" w:type="pct"/>
            <w:tcBorders>
              <w:top w:val="outset" w:sz="6" w:space="0" w:color="000000"/>
              <w:left w:val="outset" w:sz="6" w:space="0" w:color="000000"/>
              <w:bottom w:val="outset" w:sz="6" w:space="0" w:color="000000"/>
              <w:right w:val="outset" w:sz="6" w:space="0" w:color="000000"/>
            </w:tcBorders>
          </w:tcPr>
          <w:p w:rsidR="009270E3" w:rsidRPr="004367C7" w:rsidRDefault="00080020" w:rsidP="00F73A03">
            <w:pPr>
              <w:jc w:val="both"/>
              <w:rPr>
                <w:sz w:val="28"/>
                <w:szCs w:val="28"/>
              </w:rPr>
            </w:pPr>
            <w:r w:rsidRPr="004367C7">
              <w:rPr>
                <w:sz w:val="28"/>
                <w:szCs w:val="28"/>
              </w:rPr>
              <w:t xml:space="preserve">1) </w:t>
            </w:r>
            <w:r w:rsidR="003841C5" w:rsidRPr="004367C7">
              <w:rPr>
                <w:sz w:val="28"/>
                <w:szCs w:val="28"/>
              </w:rPr>
              <w:t>Izglītības iestādes, kas īsteno p</w:t>
            </w:r>
            <w:r w:rsidR="00E2252A" w:rsidRPr="004367C7">
              <w:rPr>
                <w:sz w:val="28"/>
                <w:szCs w:val="28"/>
              </w:rPr>
              <w:t>irmsskolas i</w:t>
            </w:r>
            <w:r w:rsidRPr="004367C7">
              <w:rPr>
                <w:sz w:val="28"/>
                <w:szCs w:val="28"/>
              </w:rPr>
              <w:t>zglītības</w:t>
            </w:r>
            <w:r w:rsidR="003841C5" w:rsidRPr="004367C7">
              <w:rPr>
                <w:sz w:val="28"/>
                <w:szCs w:val="28"/>
              </w:rPr>
              <w:t xml:space="preserve"> programmas</w:t>
            </w:r>
            <w:r w:rsidRPr="004367C7">
              <w:rPr>
                <w:sz w:val="28"/>
                <w:szCs w:val="28"/>
              </w:rPr>
              <w:t>,</w:t>
            </w:r>
            <w:r w:rsidR="003841C5" w:rsidRPr="004367C7">
              <w:rPr>
                <w:sz w:val="28"/>
                <w:szCs w:val="28"/>
              </w:rPr>
              <w:t xml:space="preserve"> vispārējās izglītības programmas un profesionālās izglītības programmas</w:t>
            </w:r>
            <w:r w:rsidRPr="004367C7">
              <w:rPr>
                <w:sz w:val="28"/>
                <w:szCs w:val="28"/>
              </w:rPr>
              <w:t xml:space="preserve"> </w:t>
            </w:r>
            <w:r w:rsidR="00E2252A" w:rsidRPr="004367C7">
              <w:rPr>
                <w:sz w:val="28"/>
                <w:szCs w:val="28"/>
              </w:rPr>
              <w:t>izglītības (izņemot profesionālās tālākizglī</w:t>
            </w:r>
            <w:r w:rsidR="003841C5" w:rsidRPr="004367C7">
              <w:rPr>
                <w:sz w:val="28"/>
                <w:szCs w:val="28"/>
              </w:rPr>
              <w:t>tības un profesionālās pilnveides izglītības un profesionālās ievirzes izglītības programmas</w:t>
            </w:r>
            <w:r w:rsidR="00E2252A" w:rsidRPr="004367C7">
              <w:rPr>
                <w:sz w:val="28"/>
                <w:szCs w:val="28"/>
              </w:rPr>
              <w:t>)</w:t>
            </w:r>
            <w:r w:rsidRPr="004367C7">
              <w:rPr>
                <w:sz w:val="28"/>
                <w:szCs w:val="28"/>
              </w:rPr>
              <w:t>,</w:t>
            </w:r>
            <w:r w:rsidR="009270E3" w:rsidRPr="004367C7">
              <w:rPr>
                <w:sz w:val="28"/>
                <w:szCs w:val="28"/>
              </w:rPr>
              <w:t xml:space="preserve"> kuru pienākums ir ievadīt informāciju par izglītojamā kavējumiem, to iemesliem, kā arī rīcību to novēršanai VIIS</w:t>
            </w:r>
            <w:r w:rsidR="003841C5" w:rsidRPr="004367C7">
              <w:rPr>
                <w:sz w:val="28"/>
                <w:szCs w:val="28"/>
              </w:rPr>
              <w:t xml:space="preserve"> (apmēram 2000)</w:t>
            </w:r>
            <w:r w:rsidR="00A327D3" w:rsidRPr="004367C7">
              <w:rPr>
                <w:sz w:val="28"/>
                <w:szCs w:val="28"/>
              </w:rPr>
              <w:t>;</w:t>
            </w:r>
          </w:p>
          <w:p w:rsidR="00080020" w:rsidRPr="004367C7" w:rsidRDefault="009270E3" w:rsidP="00F73A03">
            <w:pPr>
              <w:jc w:val="both"/>
              <w:rPr>
                <w:sz w:val="28"/>
                <w:szCs w:val="28"/>
              </w:rPr>
            </w:pPr>
            <w:r w:rsidRPr="004367C7">
              <w:rPr>
                <w:sz w:val="28"/>
                <w:szCs w:val="28"/>
              </w:rPr>
              <w:t>2)</w:t>
            </w:r>
            <w:r w:rsidR="00080020" w:rsidRPr="004367C7">
              <w:rPr>
                <w:sz w:val="28"/>
                <w:szCs w:val="28"/>
              </w:rPr>
              <w:t xml:space="preserve"> </w:t>
            </w:r>
            <w:r w:rsidR="00A327D3" w:rsidRPr="005B43B4">
              <w:rPr>
                <w:sz w:val="28"/>
                <w:szCs w:val="28"/>
              </w:rPr>
              <w:t>p</w:t>
            </w:r>
            <w:r w:rsidR="00080020" w:rsidRPr="005B43B4">
              <w:rPr>
                <w:sz w:val="28"/>
                <w:szCs w:val="28"/>
              </w:rPr>
              <w:t>otenciālie</w:t>
            </w:r>
            <w:r w:rsidR="0090285B" w:rsidRPr="004367C7">
              <w:rPr>
                <w:sz w:val="28"/>
                <w:szCs w:val="28"/>
              </w:rPr>
              <w:t xml:space="preserve"> 1.punktā minēto izglītības iestāžu dibinātāji;</w:t>
            </w:r>
          </w:p>
          <w:p w:rsidR="00080020" w:rsidRPr="004367C7" w:rsidRDefault="009270E3" w:rsidP="00A327D3">
            <w:pPr>
              <w:jc w:val="both"/>
              <w:rPr>
                <w:sz w:val="28"/>
                <w:szCs w:val="28"/>
              </w:rPr>
            </w:pPr>
            <w:r w:rsidRPr="004367C7">
              <w:rPr>
                <w:sz w:val="28"/>
                <w:szCs w:val="28"/>
              </w:rPr>
              <w:t>3)</w:t>
            </w:r>
            <w:r w:rsidR="00080020" w:rsidRPr="004367C7">
              <w:rPr>
                <w:sz w:val="28"/>
                <w:szCs w:val="28"/>
              </w:rPr>
              <w:t xml:space="preserve"> </w:t>
            </w:r>
            <w:r w:rsidR="00A327D3" w:rsidRPr="004367C7">
              <w:rPr>
                <w:sz w:val="28"/>
                <w:szCs w:val="28"/>
              </w:rPr>
              <w:t>p</w:t>
            </w:r>
            <w:r w:rsidRPr="004367C7">
              <w:rPr>
                <w:sz w:val="28"/>
                <w:szCs w:val="28"/>
              </w:rPr>
              <w:t xml:space="preserve">ašvaldības, kuru pienākums ir </w:t>
            </w:r>
            <w:r w:rsidR="00080020" w:rsidRPr="004367C7">
              <w:rPr>
                <w:sz w:val="28"/>
                <w:szCs w:val="28"/>
              </w:rPr>
              <w:t>regulāri apkopot un analizēt izglītības iestāžu ievadīto informāciju VIIS par izglītojamo ilgstoši neattaisnotiem kavējumiem, to iemesliem un rīcību to novēršanai, kā arī koordinēt kavējumu novēršanu</w:t>
            </w:r>
            <w:r w:rsidRPr="004367C7">
              <w:rPr>
                <w:sz w:val="28"/>
                <w:szCs w:val="28"/>
              </w:rPr>
              <w:t>, regulāri sadarbojoties ar izglītības iestādi un citām institūcijām</w:t>
            </w:r>
            <w:r w:rsidR="00080020" w:rsidRPr="004367C7">
              <w:rPr>
                <w:sz w:val="28"/>
                <w:szCs w:val="28"/>
              </w:rPr>
              <w:t>.</w:t>
            </w:r>
          </w:p>
        </w:tc>
      </w:tr>
      <w:tr w:rsidR="00080020" w:rsidRPr="004367C7" w:rsidTr="00F73A03">
        <w:trPr>
          <w:tblCellSpacing w:w="15" w:type="dxa"/>
        </w:trPr>
        <w:tc>
          <w:tcPr>
            <w:tcW w:w="654" w:type="pct"/>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spacing w:before="100" w:beforeAutospacing="1" w:after="100" w:afterAutospacing="1"/>
              <w:rPr>
                <w:sz w:val="28"/>
                <w:szCs w:val="28"/>
              </w:rPr>
            </w:pPr>
            <w:r w:rsidRPr="004367C7">
              <w:rPr>
                <w:sz w:val="28"/>
                <w:szCs w:val="28"/>
              </w:rPr>
              <w:t>2.</w:t>
            </w:r>
          </w:p>
        </w:tc>
        <w:tc>
          <w:tcPr>
            <w:tcW w:w="1089" w:type="pct"/>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spacing w:before="100" w:beforeAutospacing="1" w:after="100" w:afterAutospacing="1"/>
              <w:rPr>
                <w:sz w:val="28"/>
                <w:szCs w:val="28"/>
              </w:rPr>
            </w:pPr>
            <w:r w:rsidRPr="004367C7">
              <w:rPr>
                <w:sz w:val="28"/>
                <w:szCs w:val="28"/>
              </w:rPr>
              <w:t>Tiesiskā regulējuma ietekme uz tautsaimniecību un administratīvo slogu</w:t>
            </w:r>
          </w:p>
        </w:tc>
        <w:tc>
          <w:tcPr>
            <w:tcW w:w="3193" w:type="pct"/>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jc w:val="both"/>
              <w:rPr>
                <w:sz w:val="28"/>
                <w:szCs w:val="28"/>
              </w:rPr>
            </w:pPr>
            <w:r w:rsidRPr="004367C7">
              <w:rPr>
                <w:sz w:val="28"/>
                <w:szCs w:val="28"/>
              </w:rPr>
              <w:t>Noteikumu projekta ietekme uz sabiedrību, tautsaimniecības attīstību un administratīvo slogu ir saistāma ar VIIS funkcionalitātes paplašināšanu, nodrošinot papildu iespējas PMP riska un neattaisnotu mācību kavējumu novēršanai, kā arī atvieglojot normatīvajos aktos, piemēram, likumā “Par pašvaldībām” un Ministru kabineta 2014.gada 25.marta noteikumos Nr.157 “Nepilngadīgo personu atbalsta informācijas sistēmas noteikumi” noteiktā izpildi.</w:t>
            </w:r>
          </w:p>
          <w:p w:rsidR="00DA269E" w:rsidRPr="004367C7" w:rsidRDefault="00DA269E" w:rsidP="00F96D36">
            <w:pPr>
              <w:jc w:val="both"/>
              <w:rPr>
                <w:sz w:val="28"/>
                <w:szCs w:val="28"/>
              </w:rPr>
            </w:pPr>
            <w:r w:rsidRPr="004367C7">
              <w:rPr>
                <w:sz w:val="28"/>
                <w:szCs w:val="28"/>
              </w:rPr>
              <w:t xml:space="preserve">Jau šobrīd Ministru kabineta 2005.gada 18.oktobra </w:t>
            </w:r>
            <w:r w:rsidRPr="004367C7">
              <w:rPr>
                <w:sz w:val="28"/>
                <w:szCs w:val="28"/>
              </w:rPr>
              <w:lastRenderedPageBreak/>
              <w:t>noteikumi Nr.779 “Noteikumi par vispārējās izglītības iestāžu pedagoģiskā procesa organizēšanai nepieciešamo obligāto dokumentāciju” un Ministru kabineta 2007.gada 6.marta noteikumi Nr.165 “Noteikumi par profesionālās izglītības iestāžu pedagoģiskā procesa un eksaminācijas centru profesionālās kvalifikācijas ieguves organizēšanai obligāti nepieciešamo dokumentāciju” nosaka pienākumu izglītības iestādēm kārtot klases žurnālus (vispārējās izglītības iestādēm) un grupas mācību nodarbību uzskaites žurnālus (profesionālās izglītības iestādēm), kur ieraksta ziņas par izglītojamā mācību kavējumiem</w:t>
            </w:r>
            <w:r w:rsidR="00F96D36" w:rsidRPr="004367C7">
              <w:rPr>
                <w:sz w:val="28"/>
                <w:szCs w:val="28"/>
              </w:rPr>
              <w:t>. Tas ir viens no pedagoga pienākumiem, kuru valsts</w:t>
            </w:r>
            <w:r w:rsidRPr="004367C7">
              <w:rPr>
                <w:sz w:val="28"/>
                <w:szCs w:val="28"/>
              </w:rPr>
              <w:t xml:space="preserve"> finansē. Izglītojamo mācību kavējumu ievade VIIS nodrošinās operatīvu informācijas apmaiņu ar pašvaldībām, tādējādi mazinot administratīvo slogu.</w:t>
            </w:r>
          </w:p>
        </w:tc>
      </w:tr>
      <w:tr w:rsidR="00080020" w:rsidRPr="004367C7" w:rsidTr="00F73A03">
        <w:trPr>
          <w:tblCellSpacing w:w="15" w:type="dxa"/>
        </w:trPr>
        <w:tc>
          <w:tcPr>
            <w:tcW w:w="654" w:type="pct"/>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spacing w:before="100" w:beforeAutospacing="1" w:after="100" w:afterAutospacing="1"/>
              <w:rPr>
                <w:sz w:val="28"/>
                <w:szCs w:val="28"/>
              </w:rPr>
            </w:pPr>
            <w:r w:rsidRPr="004367C7">
              <w:rPr>
                <w:sz w:val="28"/>
                <w:szCs w:val="28"/>
              </w:rPr>
              <w:lastRenderedPageBreak/>
              <w:t>3.</w:t>
            </w:r>
          </w:p>
        </w:tc>
        <w:tc>
          <w:tcPr>
            <w:tcW w:w="1089" w:type="pct"/>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spacing w:before="100" w:beforeAutospacing="1" w:after="100" w:afterAutospacing="1"/>
              <w:rPr>
                <w:sz w:val="28"/>
                <w:szCs w:val="28"/>
              </w:rPr>
            </w:pPr>
            <w:r w:rsidRPr="004367C7">
              <w:rPr>
                <w:sz w:val="28"/>
                <w:szCs w:val="28"/>
              </w:rPr>
              <w:t>Administratīvo izmaksu monetārs novērtējums</w:t>
            </w:r>
          </w:p>
        </w:tc>
        <w:tc>
          <w:tcPr>
            <w:tcW w:w="3193" w:type="pct"/>
            <w:tcBorders>
              <w:top w:val="outset" w:sz="6" w:space="0" w:color="000000"/>
              <w:left w:val="outset" w:sz="6" w:space="0" w:color="000000"/>
              <w:bottom w:val="outset" w:sz="6" w:space="0" w:color="000000"/>
              <w:right w:val="outset" w:sz="6" w:space="0" w:color="000000"/>
            </w:tcBorders>
          </w:tcPr>
          <w:p w:rsidR="00080020" w:rsidRPr="004367C7" w:rsidRDefault="00080020" w:rsidP="00B83E52">
            <w:pPr>
              <w:spacing w:before="100" w:beforeAutospacing="1" w:after="100" w:afterAutospacing="1"/>
              <w:jc w:val="both"/>
              <w:rPr>
                <w:sz w:val="28"/>
                <w:szCs w:val="28"/>
              </w:rPr>
            </w:pPr>
            <w:r w:rsidRPr="004367C7">
              <w:rPr>
                <w:sz w:val="28"/>
                <w:szCs w:val="28"/>
              </w:rPr>
              <w:t>Nav aprēķināms pēc Ministru kabineta 2009.gada 15.decembra instrukcijā Nr.19 „Tiesību akta projekta sākotnējās ietekmes izvērtēšanas kārtība” 25.punktā noteiktās metodikas, jo informācijas ievades un atjaunošanas regularitāte un apjoms ir dažādi atkarībā no izglītojamo skaita, kavējumu regularitātes, izglītības iestādes neapmeklēšanas cēloņiem u.tml.</w:t>
            </w:r>
          </w:p>
        </w:tc>
      </w:tr>
      <w:tr w:rsidR="00080020" w:rsidRPr="004367C7" w:rsidTr="00F73A03">
        <w:trPr>
          <w:trHeight w:val="788"/>
          <w:tblCellSpacing w:w="15" w:type="dxa"/>
        </w:trPr>
        <w:tc>
          <w:tcPr>
            <w:tcW w:w="654" w:type="pct"/>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spacing w:before="100" w:beforeAutospacing="1" w:after="100" w:afterAutospacing="1"/>
              <w:rPr>
                <w:sz w:val="28"/>
                <w:szCs w:val="28"/>
              </w:rPr>
            </w:pPr>
            <w:r w:rsidRPr="004367C7">
              <w:rPr>
                <w:sz w:val="28"/>
                <w:szCs w:val="28"/>
              </w:rPr>
              <w:t>4.</w:t>
            </w:r>
          </w:p>
        </w:tc>
        <w:tc>
          <w:tcPr>
            <w:tcW w:w="1089" w:type="pct"/>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spacing w:before="100" w:beforeAutospacing="1" w:after="100" w:afterAutospacing="1"/>
              <w:rPr>
                <w:sz w:val="28"/>
                <w:szCs w:val="28"/>
              </w:rPr>
            </w:pPr>
            <w:r w:rsidRPr="004367C7">
              <w:rPr>
                <w:sz w:val="28"/>
                <w:szCs w:val="28"/>
              </w:rPr>
              <w:t>Cita informācija</w:t>
            </w:r>
          </w:p>
        </w:tc>
        <w:tc>
          <w:tcPr>
            <w:tcW w:w="3193" w:type="pct"/>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jc w:val="both"/>
              <w:rPr>
                <w:sz w:val="28"/>
                <w:szCs w:val="28"/>
              </w:rPr>
            </w:pPr>
            <w:r w:rsidRPr="004367C7">
              <w:rPr>
                <w:sz w:val="28"/>
                <w:szCs w:val="28"/>
              </w:rPr>
              <w:t xml:space="preserve"> Nav.</w:t>
            </w:r>
          </w:p>
        </w:tc>
      </w:tr>
    </w:tbl>
    <w:p w:rsidR="00080020" w:rsidRPr="004367C7" w:rsidRDefault="00080020" w:rsidP="00080020">
      <w:pPr>
        <w:spacing w:before="100" w:beforeAutospacing="1" w:after="100" w:afterAutospacing="1"/>
        <w:rPr>
          <w:sz w:val="28"/>
          <w:szCs w:val="28"/>
        </w:rPr>
      </w:pPr>
    </w:p>
    <w:tbl>
      <w:tblPr>
        <w:tblW w:w="4997"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988"/>
        <w:gridCol w:w="1227"/>
        <w:gridCol w:w="1335"/>
        <w:gridCol w:w="1420"/>
        <w:gridCol w:w="1420"/>
        <w:gridCol w:w="1891"/>
      </w:tblGrid>
      <w:tr w:rsidR="00080020" w:rsidRPr="004367C7" w:rsidTr="00F73A03">
        <w:trPr>
          <w:trHeight w:val="652"/>
          <w:jc w:val="center"/>
        </w:trPr>
        <w:tc>
          <w:tcPr>
            <w:tcW w:w="5000" w:type="pct"/>
            <w:gridSpan w:val="6"/>
          </w:tcPr>
          <w:p w:rsidR="00080020" w:rsidRPr="004367C7" w:rsidRDefault="00080020" w:rsidP="00F73A03">
            <w:pPr>
              <w:pStyle w:val="naisnod"/>
              <w:spacing w:before="0" w:after="0"/>
              <w:rPr>
                <w:b w:val="0"/>
                <w:i/>
                <w:sz w:val="28"/>
                <w:szCs w:val="28"/>
                <w:lang w:eastAsia="en-GB"/>
              </w:rPr>
            </w:pPr>
            <w:r w:rsidRPr="004367C7">
              <w:rPr>
                <w:sz w:val="28"/>
                <w:szCs w:val="28"/>
              </w:rPr>
              <w:br w:type="page"/>
            </w:r>
            <w:r w:rsidRPr="004367C7">
              <w:rPr>
                <w:sz w:val="28"/>
                <w:szCs w:val="28"/>
                <w:lang w:eastAsia="en-GB"/>
              </w:rPr>
              <w:t>III. Tiesību  akta projekta ietekme uz valsts budžetu un pašvaldību budžetiem</w:t>
            </w:r>
          </w:p>
        </w:tc>
      </w:tr>
      <w:tr w:rsidR="00080020" w:rsidRPr="004367C7" w:rsidTr="00F73A03">
        <w:trPr>
          <w:trHeight w:val="652"/>
          <w:jc w:val="center"/>
        </w:trPr>
        <w:tc>
          <w:tcPr>
            <w:tcW w:w="5000" w:type="pct"/>
            <w:gridSpan w:val="6"/>
          </w:tcPr>
          <w:p w:rsidR="00080020" w:rsidRPr="004367C7" w:rsidRDefault="00080020" w:rsidP="00F73A03">
            <w:pPr>
              <w:pStyle w:val="naisnod"/>
              <w:spacing w:before="0" w:after="0"/>
              <w:jc w:val="left"/>
              <w:rPr>
                <w:sz w:val="28"/>
                <w:szCs w:val="28"/>
              </w:rPr>
            </w:pPr>
          </w:p>
        </w:tc>
      </w:tr>
      <w:tr w:rsidR="00080020" w:rsidRPr="004367C7" w:rsidTr="00B05360">
        <w:trPr>
          <w:jc w:val="center"/>
        </w:trPr>
        <w:tc>
          <w:tcPr>
            <w:tcW w:w="1071" w:type="pct"/>
            <w:vMerge w:val="restart"/>
            <w:vAlign w:val="center"/>
          </w:tcPr>
          <w:p w:rsidR="00080020" w:rsidRPr="004367C7" w:rsidRDefault="00080020" w:rsidP="00F73A03">
            <w:pPr>
              <w:pStyle w:val="naisf"/>
              <w:spacing w:before="0" w:after="0"/>
              <w:jc w:val="center"/>
              <w:rPr>
                <w:b/>
                <w:sz w:val="28"/>
                <w:szCs w:val="28"/>
                <w:lang w:eastAsia="en-GB"/>
              </w:rPr>
            </w:pPr>
            <w:r w:rsidRPr="004367C7">
              <w:rPr>
                <w:b/>
                <w:sz w:val="28"/>
                <w:szCs w:val="28"/>
                <w:lang w:eastAsia="en-GB"/>
              </w:rPr>
              <w:t>Rādītāji</w:t>
            </w:r>
          </w:p>
        </w:tc>
        <w:tc>
          <w:tcPr>
            <w:tcW w:w="1380" w:type="pct"/>
            <w:gridSpan w:val="2"/>
            <w:vMerge w:val="restart"/>
            <w:vAlign w:val="center"/>
          </w:tcPr>
          <w:p w:rsidR="00080020" w:rsidRPr="004367C7" w:rsidRDefault="00A327D3" w:rsidP="00F73A03">
            <w:pPr>
              <w:pStyle w:val="naisf"/>
              <w:spacing w:before="0" w:after="0"/>
              <w:jc w:val="center"/>
              <w:rPr>
                <w:b/>
                <w:sz w:val="28"/>
                <w:szCs w:val="28"/>
                <w:lang w:eastAsia="en-GB"/>
              </w:rPr>
            </w:pPr>
            <w:r w:rsidRPr="004367C7">
              <w:rPr>
                <w:b/>
                <w:sz w:val="28"/>
                <w:szCs w:val="28"/>
                <w:lang w:eastAsia="en-GB"/>
              </w:rPr>
              <w:t>2016</w:t>
            </w:r>
            <w:r w:rsidR="00080020" w:rsidRPr="004367C7">
              <w:rPr>
                <w:b/>
                <w:sz w:val="28"/>
                <w:szCs w:val="28"/>
                <w:lang w:eastAsia="en-GB"/>
              </w:rPr>
              <w:t>.gads</w:t>
            </w:r>
          </w:p>
        </w:tc>
        <w:tc>
          <w:tcPr>
            <w:tcW w:w="2549" w:type="pct"/>
            <w:gridSpan w:val="3"/>
            <w:vAlign w:val="center"/>
          </w:tcPr>
          <w:p w:rsidR="00080020" w:rsidRPr="004367C7" w:rsidRDefault="00080020" w:rsidP="00F73A03">
            <w:pPr>
              <w:pStyle w:val="naisf"/>
              <w:spacing w:before="0" w:after="0"/>
              <w:jc w:val="center"/>
              <w:rPr>
                <w:b/>
                <w:i/>
                <w:sz w:val="28"/>
                <w:szCs w:val="28"/>
                <w:lang w:eastAsia="en-GB"/>
              </w:rPr>
            </w:pPr>
            <w:r w:rsidRPr="004367C7">
              <w:rPr>
                <w:sz w:val="28"/>
                <w:szCs w:val="28"/>
                <w:lang w:eastAsia="en-GB"/>
              </w:rPr>
              <w:t>Turpmākie trīs gadi (</w:t>
            </w:r>
            <w:proofErr w:type="spellStart"/>
            <w:r w:rsidRPr="004367C7">
              <w:rPr>
                <w:i/>
                <w:sz w:val="28"/>
                <w:szCs w:val="28"/>
                <w:lang w:eastAsia="en-GB"/>
              </w:rPr>
              <w:t>euro</w:t>
            </w:r>
            <w:proofErr w:type="spellEnd"/>
            <w:r w:rsidRPr="004367C7">
              <w:rPr>
                <w:sz w:val="28"/>
                <w:szCs w:val="28"/>
                <w:lang w:eastAsia="en-GB"/>
              </w:rPr>
              <w:t>)</w:t>
            </w:r>
          </w:p>
        </w:tc>
      </w:tr>
      <w:tr w:rsidR="00080020" w:rsidRPr="004367C7" w:rsidTr="00B05360">
        <w:trPr>
          <w:trHeight w:val="326"/>
          <w:jc w:val="center"/>
        </w:trPr>
        <w:tc>
          <w:tcPr>
            <w:tcW w:w="1071" w:type="pct"/>
            <w:vMerge/>
            <w:vAlign w:val="center"/>
          </w:tcPr>
          <w:p w:rsidR="00080020" w:rsidRPr="004367C7" w:rsidRDefault="00080020" w:rsidP="00F73A03">
            <w:pPr>
              <w:rPr>
                <w:b/>
                <w:sz w:val="28"/>
                <w:szCs w:val="28"/>
                <w:lang w:eastAsia="en-GB"/>
              </w:rPr>
            </w:pPr>
          </w:p>
        </w:tc>
        <w:tc>
          <w:tcPr>
            <w:tcW w:w="1380" w:type="pct"/>
            <w:gridSpan w:val="2"/>
            <w:vMerge/>
            <w:vAlign w:val="center"/>
          </w:tcPr>
          <w:p w:rsidR="00080020" w:rsidRPr="004367C7" w:rsidRDefault="00080020" w:rsidP="00F73A03">
            <w:pPr>
              <w:rPr>
                <w:b/>
                <w:sz w:val="28"/>
                <w:szCs w:val="28"/>
                <w:lang w:eastAsia="en-GB"/>
              </w:rPr>
            </w:pPr>
          </w:p>
        </w:tc>
        <w:tc>
          <w:tcPr>
            <w:tcW w:w="765" w:type="pct"/>
            <w:vAlign w:val="center"/>
          </w:tcPr>
          <w:p w:rsidR="00080020" w:rsidRPr="004367C7" w:rsidRDefault="00080020" w:rsidP="00A327D3">
            <w:pPr>
              <w:pStyle w:val="naisf"/>
              <w:spacing w:before="0" w:after="0"/>
              <w:jc w:val="center"/>
              <w:rPr>
                <w:b/>
                <w:i/>
                <w:sz w:val="28"/>
                <w:szCs w:val="28"/>
                <w:lang w:eastAsia="en-GB"/>
              </w:rPr>
            </w:pPr>
            <w:r w:rsidRPr="004367C7">
              <w:rPr>
                <w:b/>
                <w:sz w:val="28"/>
                <w:szCs w:val="28"/>
                <w:lang w:eastAsia="en-GB"/>
              </w:rPr>
              <w:t>201</w:t>
            </w:r>
            <w:r w:rsidR="00A327D3" w:rsidRPr="004367C7">
              <w:rPr>
                <w:b/>
                <w:sz w:val="28"/>
                <w:szCs w:val="28"/>
                <w:lang w:eastAsia="en-GB"/>
              </w:rPr>
              <w:t>7</w:t>
            </w:r>
            <w:r w:rsidRPr="004367C7">
              <w:rPr>
                <w:b/>
                <w:sz w:val="28"/>
                <w:szCs w:val="28"/>
                <w:lang w:eastAsia="en-GB"/>
              </w:rPr>
              <w:t>.gads</w:t>
            </w:r>
          </w:p>
        </w:tc>
        <w:tc>
          <w:tcPr>
            <w:tcW w:w="765" w:type="pct"/>
            <w:vAlign w:val="center"/>
          </w:tcPr>
          <w:p w:rsidR="00080020" w:rsidRPr="004367C7" w:rsidRDefault="00A327D3" w:rsidP="00F73A03">
            <w:pPr>
              <w:pStyle w:val="naisf"/>
              <w:spacing w:before="0" w:after="0"/>
              <w:jc w:val="center"/>
              <w:rPr>
                <w:b/>
                <w:i/>
                <w:sz w:val="28"/>
                <w:szCs w:val="28"/>
                <w:lang w:eastAsia="en-GB"/>
              </w:rPr>
            </w:pPr>
            <w:r w:rsidRPr="004367C7">
              <w:rPr>
                <w:b/>
                <w:sz w:val="28"/>
                <w:szCs w:val="28"/>
                <w:lang w:eastAsia="en-GB"/>
              </w:rPr>
              <w:t>2018</w:t>
            </w:r>
            <w:r w:rsidR="00080020" w:rsidRPr="004367C7">
              <w:rPr>
                <w:b/>
                <w:sz w:val="28"/>
                <w:szCs w:val="28"/>
                <w:lang w:eastAsia="en-GB"/>
              </w:rPr>
              <w:t>.gads</w:t>
            </w:r>
          </w:p>
        </w:tc>
        <w:tc>
          <w:tcPr>
            <w:tcW w:w="1019" w:type="pct"/>
            <w:vAlign w:val="center"/>
          </w:tcPr>
          <w:p w:rsidR="00080020" w:rsidRPr="004367C7" w:rsidRDefault="00A327D3" w:rsidP="00F73A03">
            <w:pPr>
              <w:pStyle w:val="naisf"/>
              <w:spacing w:before="0" w:after="0"/>
              <w:jc w:val="center"/>
              <w:rPr>
                <w:b/>
                <w:i/>
                <w:sz w:val="28"/>
                <w:szCs w:val="28"/>
                <w:lang w:eastAsia="en-GB"/>
              </w:rPr>
            </w:pPr>
            <w:r w:rsidRPr="004367C7">
              <w:rPr>
                <w:b/>
                <w:sz w:val="28"/>
                <w:szCs w:val="28"/>
                <w:lang w:eastAsia="en-GB"/>
              </w:rPr>
              <w:t>2019</w:t>
            </w:r>
            <w:r w:rsidR="00080020" w:rsidRPr="004367C7">
              <w:rPr>
                <w:b/>
                <w:sz w:val="28"/>
                <w:szCs w:val="28"/>
                <w:lang w:eastAsia="en-GB"/>
              </w:rPr>
              <w:t>.gads</w:t>
            </w:r>
          </w:p>
        </w:tc>
      </w:tr>
      <w:tr w:rsidR="00080020" w:rsidRPr="004367C7" w:rsidTr="00B05360">
        <w:trPr>
          <w:jc w:val="center"/>
        </w:trPr>
        <w:tc>
          <w:tcPr>
            <w:tcW w:w="1071" w:type="pct"/>
            <w:vMerge/>
            <w:vAlign w:val="center"/>
          </w:tcPr>
          <w:p w:rsidR="00080020" w:rsidRPr="004367C7" w:rsidRDefault="00080020" w:rsidP="00F73A03">
            <w:pPr>
              <w:rPr>
                <w:b/>
                <w:sz w:val="28"/>
                <w:szCs w:val="28"/>
                <w:lang w:eastAsia="en-GB"/>
              </w:rPr>
            </w:pPr>
          </w:p>
        </w:tc>
        <w:tc>
          <w:tcPr>
            <w:tcW w:w="661" w:type="pct"/>
            <w:vAlign w:val="center"/>
          </w:tcPr>
          <w:p w:rsidR="00080020" w:rsidRPr="004367C7" w:rsidRDefault="00080020" w:rsidP="00F73A03">
            <w:pPr>
              <w:pStyle w:val="naisf"/>
              <w:spacing w:before="0" w:after="0"/>
              <w:jc w:val="center"/>
              <w:rPr>
                <w:b/>
                <w:i/>
                <w:sz w:val="28"/>
                <w:szCs w:val="28"/>
                <w:lang w:eastAsia="en-GB"/>
              </w:rPr>
            </w:pPr>
            <w:r w:rsidRPr="004367C7">
              <w:rPr>
                <w:sz w:val="28"/>
                <w:szCs w:val="28"/>
                <w:lang w:eastAsia="en-GB"/>
              </w:rPr>
              <w:t xml:space="preserve">Saskaņā ar valsts budžetu kārtējam </w:t>
            </w:r>
            <w:r w:rsidRPr="004367C7">
              <w:rPr>
                <w:sz w:val="28"/>
                <w:szCs w:val="28"/>
                <w:lang w:eastAsia="en-GB"/>
              </w:rPr>
              <w:lastRenderedPageBreak/>
              <w:t>gadam</w:t>
            </w:r>
          </w:p>
        </w:tc>
        <w:tc>
          <w:tcPr>
            <w:tcW w:w="719" w:type="pct"/>
            <w:vAlign w:val="center"/>
          </w:tcPr>
          <w:p w:rsidR="00080020" w:rsidRPr="004367C7" w:rsidRDefault="00080020" w:rsidP="00F73A03">
            <w:pPr>
              <w:pStyle w:val="naisf"/>
              <w:spacing w:before="0" w:after="0"/>
              <w:jc w:val="center"/>
              <w:rPr>
                <w:b/>
                <w:i/>
                <w:sz w:val="28"/>
                <w:szCs w:val="28"/>
                <w:lang w:eastAsia="en-GB"/>
              </w:rPr>
            </w:pPr>
            <w:r w:rsidRPr="004367C7">
              <w:rPr>
                <w:sz w:val="28"/>
                <w:szCs w:val="28"/>
                <w:lang w:eastAsia="en-GB"/>
              </w:rPr>
              <w:lastRenderedPageBreak/>
              <w:t xml:space="preserve">Izmaiņas kārtējā gadā, salīdzinot </w:t>
            </w:r>
            <w:r w:rsidRPr="004367C7">
              <w:rPr>
                <w:sz w:val="28"/>
                <w:szCs w:val="28"/>
                <w:lang w:eastAsia="en-GB"/>
              </w:rPr>
              <w:lastRenderedPageBreak/>
              <w:t>ar budžetu kārtējam gadam</w:t>
            </w:r>
          </w:p>
        </w:tc>
        <w:tc>
          <w:tcPr>
            <w:tcW w:w="765" w:type="pct"/>
            <w:vAlign w:val="center"/>
          </w:tcPr>
          <w:p w:rsidR="00080020" w:rsidRPr="004367C7" w:rsidRDefault="00080020" w:rsidP="00F73A03">
            <w:pPr>
              <w:pStyle w:val="naisf"/>
              <w:spacing w:before="0" w:after="0"/>
              <w:jc w:val="center"/>
              <w:rPr>
                <w:b/>
                <w:i/>
                <w:sz w:val="28"/>
                <w:szCs w:val="28"/>
                <w:lang w:eastAsia="en-GB"/>
              </w:rPr>
            </w:pPr>
            <w:r w:rsidRPr="004367C7">
              <w:rPr>
                <w:sz w:val="28"/>
                <w:szCs w:val="28"/>
                <w:lang w:eastAsia="en-GB"/>
              </w:rPr>
              <w:lastRenderedPageBreak/>
              <w:t>Izmaiņas, salīdzinot ar kārtējo 2015.gadu</w:t>
            </w:r>
          </w:p>
        </w:tc>
        <w:tc>
          <w:tcPr>
            <w:tcW w:w="765" w:type="pct"/>
            <w:vAlign w:val="center"/>
          </w:tcPr>
          <w:p w:rsidR="00080020" w:rsidRPr="004367C7" w:rsidRDefault="00080020" w:rsidP="00F73A03">
            <w:pPr>
              <w:pStyle w:val="naisf"/>
              <w:spacing w:before="0" w:after="0"/>
              <w:jc w:val="center"/>
              <w:rPr>
                <w:b/>
                <w:i/>
                <w:sz w:val="28"/>
                <w:szCs w:val="28"/>
                <w:lang w:eastAsia="en-GB"/>
              </w:rPr>
            </w:pPr>
            <w:r w:rsidRPr="004367C7">
              <w:rPr>
                <w:sz w:val="28"/>
                <w:szCs w:val="28"/>
                <w:lang w:eastAsia="en-GB"/>
              </w:rPr>
              <w:t>Izmaiņas, salīdzinot ar kārtējo 2015.gadu</w:t>
            </w:r>
          </w:p>
        </w:tc>
        <w:tc>
          <w:tcPr>
            <w:tcW w:w="1019" w:type="pct"/>
            <w:vAlign w:val="center"/>
          </w:tcPr>
          <w:p w:rsidR="00080020" w:rsidRPr="004367C7" w:rsidRDefault="00080020" w:rsidP="00F73A03">
            <w:pPr>
              <w:pStyle w:val="naisf"/>
              <w:spacing w:before="0" w:after="0"/>
              <w:jc w:val="center"/>
              <w:rPr>
                <w:b/>
                <w:i/>
                <w:sz w:val="28"/>
                <w:szCs w:val="28"/>
                <w:lang w:eastAsia="en-GB"/>
              </w:rPr>
            </w:pPr>
            <w:r w:rsidRPr="004367C7">
              <w:rPr>
                <w:sz w:val="28"/>
                <w:szCs w:val="28"/>
                <w:lang w:eastAsia="en-GB"/>
              </w:rPr>
              <w:t>Izmaiņas, salīdzinot ar kārtējo 2015.gadu</w:t>
            </w:r>
          </w:p>
        </w:tc>
      </w:tr>
      <w:tr w:rsidR="00080020" w:rsidRPr="004367C7" w:rsidTr="00B05360">
        <w:trPr>
          <w:jc w:val="center"/>
        </w:trPr>
        <w:tc>
          <w:tcPr>
            <w:tcW w:w="1071" w:type="pct"/>
            <w:vAlign w:val="center"/>
          </w:tcPr>
          <w:p w:rsidR="00080020" w:rsidRPr="004367C7" w:rsidRDefault="00080020" w:rsidP="00F73A03">
            <w:pPr>
              <w:pStyle w:val="naisf"/>
              <w:spacing w:before="0" w:after="0"/>
              <w:jc w:val="center"/>
              <w:rPr>
                <w:bCs/>
                <w:sz w:val="28"/>
                <w:szCs w:val="28"/>
                <w:lang w:eastAsia="en-GB"/>
              </w:rPr>
            </w:pPr>
            <w:r w:rsidRPr="004367C7">
              <w:rPr>
                <w:bCs/>
                <w:sz w:val="28"/>
                <w:szCs w:val="28"/>
                <w:lang w:eastAsia="en-GB"/>
              </w:rPr>
              <w:lastRenderedPageBreak/>
              <w:t>1</w:t>
            </w:r>
          </w:p>
        </w:tc>
        <w:tc>
          <w:tcPr>
            <w:tcW w:w="661" w:type="pct"/>
            <w:vAlign w:val="center"/>
          </w:tcPr>
          <w:p w:rsidR="00080020" w:rsidRPr="004367C7" w:rsidRDefault="00080020" w:rsidP="00F73A03">
            <w:pPr>
              <w:pStyle w:val="naisf"/>
              <w:spacing w:before="0" w:after="0"/>
              <w:jc w:val="center"/>
              <w:rPr>
                <w:bCs/>
                <w:sz w:val="28"/>
                <w:szCs w:val="28"/>
                <w:lang w:eastAsia="en-GB"/>
              </w:rPr>
            </w:pPr>
            <w:r w:rsidRPr="004367C7">
              <w:rPr>
                <w:bCs/>
                <w:sz w:val="28"/>
                <w:szCs w:val="28"/>
                <w:lang w:eastAsia="en-GB"/>
              </w:rPr>
              <w:t>2</w:t>
            </w:r>
          </w:p>
        </w:tc>
        <w:tc>
          <w:tcPr>
            <w:tcW w:w="719" w:type="pct"/>
            <w:vAlign w:val="center"/>
          </w:tcPr>
          <w:p w:rsidR="00080020" w:rsidRPr="004367C7" w:rsidRDefault="00080020" w:rsidP="00F73A03">
            <w:pPr>
              <w:pStyle w:val="naisf"/>
              <w:spacing w:before="0" w:after="0"/>
              <w:jc w:val="center"/>
              <w:rPr>
                <w:bCs/>
                <w:sz w:val="28"/>
                <w:szCs w:val="28"/>
                <w:lang w:eastAsia="en-GB"/>
              </w:rPr>
            </w:pPr>
            <w:r w:rsidRPr="004367C7">
              <w:rPr>
                <w:bCs/>
                <w:sz w:val="28"/>
                <w:szCs w:val="28"/>
                <w:lang w:eastAsia="en-GB"/>
              </w:rPr>
              <w:t>3</w:t>
            </w:r>
          </w:p>
        </w:tc>
        <w:tc>
          <w:tcPr>
            <w:tcW w:w="765" w:type="pct"/>
            <w:vAlign w:val="center"/>
          </w:tcPr>
          <w:p w:rsidR="00080020" w:rsidRPr="004367C7" w:rsidRDefault="00080020" w:rsidP="00F73A03">
            <w:pPr>
              <w:pStyle w:val="naisf"/>
              <w:spacing w:before="0" w:after="0"/>
              <w:jc w:val="center"/>
              <w:rPr>
                <w:bCs/>
                <w:sz w:val="28"/>
                <w:szCs w:val="28"/>
                <w:lang w:eastAsia="en-GB"/>
              </w:rPr>
            </w:pPr>
            <w:r w:rsidRPr="004367C7">
              <w:rPr>
                <w:bCs/>
                <w:sz w:val="28"/>
                <w:szCs w:val="28"/>
                <w:lang w:eastAsia="en-GB"/>
              </w:rPr>
              <w:t>4</w:t>
            </w:r>
          </w:p>
        </w:tc>
        <w:tc>
          <w:tcPr>
            <w:tcW w:w="765" w:type="pct"/>
            <w:vAlign w:val="center"/>
          </w:tcPr>
          <w:p w:rsidR="00080020" w:rsidRPr="004367C7" w:rsidRDefault="00080020" w:rsidP="00F73A03">
            <w:pPr>
              <w:pStyle w:val="naisf"/>
              <w:spacing w:before="0" w:after="0"/>
              <w:jc w:val="center"/>
              <w:rPr>
                <w:bCs/>
                <w:sz w:val="28"/>
                <w:szCs w:val="28"/>
                <w:lang w:eastAsia="en-GB"/>
              </w:rPr>
            </w:pPr>
            <w:r w:rsidRPr="004367C7">
              <w:rPr>
                <w:bCs/>
                <w:sz w:val="28"/>
                <w:szCs w:val="28"/>
                <w:lang w:eastAsia="en-GB"/>
              </w:rPr>
              <w:t>5</w:t>
            </w:r>
          </w:p>
        </w:tc>
        <w:tc>
          <w:tcPr>
            <w:tcW w:w="1019" w:type="pct"/>
            <w:vAlign w:val="center"/>
          </w:tcPr>
          <w:p w:rsidR="00080020" w:rsidRPr="004367C7" w:rsidRDefault="00080020" w:rsidP="00F73A03">
            <w:pPr>
              <w:pStyle w:val="naisf"/>
              <w:spacing w:before="0" w:after="0"/>
              <w:jc w:val="center"/>
              <w:rPr>
                <w:bCs/>
                <w:sz w:val="28"/>
                <w:szCs w:val="28"/>
                <w:lang w:eastAsia="en-GB"/>
              </w:rPr>
            </w:pPr>
            <w:r w:rsidRPr="004367C7">
              <w:rPr>
                <w:bCs/>
                <w:sz w:val="28"/>
                <w:szCs w:val="28"/>
                <w:lang w:eastAsia="en-GB"/>
              </w:rPr>
              <w:t>6</w:t>
            </w:r>
          </w:p>
        </w:tc>
      </w:tr>
      <w:tr w:rsidR="00080020" w:rsidRPr="004367C7" w:rsidTr="00B05360">
        <w:trPr>
          <w:jc w:val="center"/>
        </w:trPr>
        <w:tc>
          <w:tcPr>
            <w:tcW w:w="1071" w:type="pct"/>
          </w:tcPr>
          <w:p w:rsidR="00080020" w:rsidRPr="004367C7" w:rsidRDefault="00080020" w:rsidP="00F73A03">
            <w:pPr>
              <w:pStyle w:val="naisf"/>
              <w:spacing w:before="0" w:after="0"/>
              <w:jc w:val="left"/>
              <w:rPr>
                <w:i/>
                <w:sz w:val="28"/>
                <w:szCs w:val="28"/>
                <w:lang w:eastAsia="en-GB"/>
              </w:rPr>
            </w:pPr>
            <w:r w:rsidRPr="004367C7">
              <w:rPr>
                <w:sz w:val="28"/>
                <w:szCs w:val="28"/>
                <w:lang w:eastAsia="en-GB"/>
              </w:rPr>
              <w:t>1. Budžeta ieņēmumi:</w:t>
            </w:r>
          </w:p>
        </w:tc>
        <w:tc>
          <w:tcPr>
            <w:tcW w:w="661" w:type="pct"/>
          </w:tcPr>
          <w:p w:rsidR="00080020" w:rsidRPr="004367C7" w:rsidRDefault="00080020" w:rsidP="00F73A03">
            <w:pPr>
              <w:pStyle w:val="naisf"/>
              <w:spacing w:before="0" w:after="0"/>
              <w:jc w:val="center"/>
              <w:rPr>
                <w:b/>
                <w:i/>
                <w:sz w:val="28"/>
                <w:szCs w:val="28"/>
                <w:lang w:eastAsia="en-GB"/>
              </w:rPr>
            </w:pPr>
            <w:r w:rsidRPr="004367C7">
              <w:rPr>
                <w:b/>
                <w:i/>
                <w:sz w:val="28"/>
                <w:szCs w:val="28"/>
                <w:lang w:eastAsia="en-GB"/>
              </w:rPr>
              <w:t>0</w:t>
            </w:r>
          </w:p>
        </w:tc>
        <w:tc>
          <w:tcPr>
            <w:tcW w:w="719" w:type="pct"/>
          </w:tcPr>
          <w:p w:rsidR="00080020" w:rsidRPr="004367C7" w:rsidRDefault="00080020" w:rsidP="00F73A03">
            <w:pPr>
              <w:pStyle w:val="naisf"/>
              <w:spacing w:before="0" w:after="0"/>
              <w:jc w:val="center"/>
              <w:rPr>
                <w:b/>
                <w:i/>
                <w:sz w:val="28"/>
                <w:szCs w:val="28"/>
                <w:lang w:eastAsia="en-GB"/>
              </w:rPr>
            </w:pPr>
            <w:r w:rsidRPr="004367C7">
              <w:rPr>
                <w:b/>
                <w:i/>
                <w:sz w:val="28"/>
                <w:szCs w:val="28"/>
                <w:lang w:eastAsia="en-GB"/>
              </w:rPr>
              <w:t>0</w:t>
            </w:r>
          </w:p>
        </w:tc>
        <w:tc>
          <w:tcPr>
            <w:tcW w:w="765" w:type="pct"/>
          </w:tcPr>
          <w:p w:rsidR="00080020" w:rsidRPr="004367C7" w:rsidRDefault="00080020" w:rsidP="00F73A03">
            <w:pPr>
              <w:pStyle w:val="naisf"/>
              <w:spacing w:before="0" w:after="0"/>
              <w:jc w:val="center"/>
              <w:rPr>
                <w:b/>
                <w:i/>
                <w:sz w:val="28"/>
                <w:szCs w:val="28"/>
                <w:lang w:eastAsia="en-GB"/>
              </w:rPr>
            </w:pPr>
            <w:r w:rsidRPr="004367C7">
              <w:rPr>
                <w:b/>
                <w:i/>
                <w:sz w:val="28"/>
                <w:szCs w:val="28"/>
                <w:lang w:eastAsia="en-GB"/>
              </w:rPr>
              <w:t>0</w:t>
            </w:r>
          </w:p>
        </w:tc>
        <w:tc>
          <w:tcPr>
            <w:tcW w:w="765" w:type="pct"/>
          </w:tcPr>
          <w:p w:rsidR="00080020" w:rsidRPr="004367C7" w:rsidRDefault="00080020" w:rsidP="00F73A03">
            <w:pPr>
              <w:pStyle w:val="naisf"/>
              <w:spacing w:before="0" w:after="0"/>
              <w:jc w:val="center"/>
              <w:rPr>
                <w:b/>
                <w:i/>
                <w:sz w:val="28"/>
                <w:szCs w:val="28"/>
                <w:lang w:eastAsia="en-GB"/>
              </w:rPr>
            </w:pPr>
            <w:r w:rsidRPr="004367C7">
              <w:rPr>
                <w:b/>
                <w:i/>
                <w:sz w:val="28"/>
                <w:szCs w:val="28"/>
                <w:lang w:eastAsia="en-GB"/>
              </w:rPr>
              <w:t>0</w:t>
            </w:r>
          </w:p>
        </w:tc>
        <w:tc>
          <w:tcPr>
            <w:tcW w:w="1019" w:type="pct"/>
          </w:tcPr>
          <w:p w:rsidR="00080020" w:rsidRPr="004367C7" w:rsidRDefault="00080020" w:rsidP="00F73A03">
            <w:pPr>
              <w:pStyle w:val="naisf"/>
              <w:spacing w:before="0" w:after="0"/>
              <w:jc w:val="center"/>
              <w:rPr>
                <w:b/>
                <w:i/>
                <w:sz w:val="28"/>
                <w:szCs w:val="28"/>
                <w:lang w:eastAsia="en-GB"/>
              </w:rPr>
            </w:pPr>
            <w:r w:rsidRPr="004367C7">
              <w:rPr>
                <w:b/>
                <w:i/>
                <w:sz w:val="28"/>
                <w:szCs w:val="28"/>
                <w:lang w:eastAsia="en-GB"/>
              </w:rPr>
              <w:t>0</w:t>
            </w:r>
          </w:p>
        </w:tc>
      </w:tr>
      <w:tr w:rsidR="00080020" w:rsidRPr="004367C7" w:rsidTr="00B05360">
        <w:trPr>
          <w:jc w:val="center"/>
        </w:trPr>
        <w:tc>
          <w:tcPr>
            <w:tcW w:w="1071" w:type="pct"/>
          </w:tcPr>
          <w:p w:rsidR="00080020" w:rsidRPr="004367C7" w:rsidRDefault="00080020" w:rsidP="00F73A03">
            <w:pPr>
              <w:pStyle w:val="naisf"/>
              <w:spacing w:before="0" w:after="0"/>
              <w:jc w:val="left"/>
              <w:rPr>
                <w:i/>
                <w:sz w:val="28"/>
                <w:szCs w:val="28"/>
                <w:lang w:eastAsia="en-GB"/>
              </w:rPr>
            </w:pPr>
            <w:r w:rsidRPr="004367C7">
              <w:rPr>
                <w:sz w:val="28"/>
                <w:szCs w:val="28"/>
                <w:lang w:eastAsia="en-GB"/>
              </w:rPr>
              <w:t>1.1. valsts pamatbudžets, tai skaitā ieņēmumi no maksas pakalpojumiem un citi pašu ieņēmumi</w:t>
            </w:r>
          </w:p>
        </w:tc>
        <w:tc>
          <w:tcPr>
            <w:tcW w:w="661"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19"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65"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65"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1019"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r>
      <w:tr w:rsidR="00080020" w:rsidRPr="004367C7" w:rsidTr="00B05360">
        <w:trPr>
          <w:jc w:val="center"/>
        </w:trPr>
        <w:tc>
          <w:tcPr>
            <w:tcW w:w="1071" w:type="pct"/>
          </w:tcPr>
          <w:p w:rsidR="00080020" w:rsidRPr="004367C7" w:rsidRDefault="00080020" w:rsidP="00F73A03">
            <w:pPr>
              <w:pStyle w:val="naisf"/>
              <w:spacing w:before="0" w:after="0"/>
              <w:jc w:val="left"/>
              <w:rPr>
                <w:i/>
                <w:sz w:val="28"/>
                <w:szCs w:val="28"/>
                <w:lang w:eastAsia="en-GB"/>
              </w:rPr>
            </w:pPr>
            <w:r w:rsidRPr="004367C7">
              <w:rPr>
                <w:sz w:val="28"/>
                <w:szCs w:val="28"/>
                <w:lang w:eastAsia="en-GB"/>
              </w:rPr>
              <w:t>1.2. valsts speciālais budžets</w:t>
            </w:r>
          </w:p>
        </w:tc>
        <w:tc>
          <w:tcPr>
            <w:tcW w:w="661"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19"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65"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65"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1019"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r>
      <w:tr w:rsidR="00080020" w:rsidRPr="004367C7" w:rsidTr="00B05360">
        <w:trPr>
          <w:jc w:val="center"/>
        </w:trPr>
        <w:tc>
          <w:tcPr>
            <w:tcW w:w="1071" w:type="pct"/>
          </w:tcPr>
          <w:p w:rsidR="00080020" w:rsidRPr="004367C7" w:rsidRDefault="00080020" w:rsidP="00F73A03">
            <w:pPr>
              <w:pStyle w:val="naisf"/>
              <w:spacing w:before="0" w:after="0"/>
              <w:jc w:val="left"/>
              <w:rPr>
                <w:i/>
                <w:sz w:val="28"/>
                <w:szCs w:val="28"/>
                <w:lang w:eastAsia="en-GB"/>
              </w:rPr>
            </w:pPr>
            <w:r w:rsidRPr="004367C7">
              <w:rPr>
                <w:sz w:val="28"/>
                <w:szCs w:val="28"/>
                <w:lang w:eastAsia="en-GB"/>
              </w:rPr>
              <w:t>1.3. pašvaldību budžets</w:t>
            </w:r>
          </w:p>
        </w:tc>
        <w:tc>
          <w:tcPr>
            <w:tcW w:w="661"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19"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65"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65"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1019"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r>
      <w:tr w:rsidR="00080020" w:rsidRPr="004367C7" w:rsidTr="00B05360">
        <w:trPr>
          <w:jc w:val="center"/>
        </w:trPr>
        <w:tc>
          <w:tcPr>
            <w:tcW w:w="1071" w:type="pct"/>
          </w:tcPr>
          <w:p w:rsidR="00080020" w:rsidRPr="004367C7" w:rsidRDefault="00080020" w:rsidP="00F73A03">
            <w:pPr>
              <w:rPr>
                <w:sz w:val="28"/>
                <w:szCs w:val="28"/>
              </w:rPr>
            </w:pPr>
            <w:r w:rsidRPr="004367C7">
              <w:rPr>
                <w:sz w:val="28"/>
                <w:szCs w:val="28"/>
              </w:rPr>
              <w:t>2. Budžeta izdevumi:</w:t>
            </w:r>
          </w:p>
        </w:tc>
        <w:tc>
          <w:tcPr>
            <w:tcW w:w="661" w:type="pct"/>
          </w:tcPr>
          <w:p w:rsidR="00080020" w:rsidRPr="004367C7" w:rsidRDefault="00080020" w:rsidP="00F73A03">
            <w:pPr>
              <w:pStyle w:val="naisf"/>
              <w:spacing w:before="0" w:after="0"/>
              <w:jc w:val="center"/>
              <w:rPr>
                <w:b/>
                <w:i/>
                <w:sz w:val="28"/>
                <w:szCs w:val="28"/>
                <w:lang w:eastAsia="en-GB"/>
              </w:rPr>
            </w:pPr>
            <w:r w:rsidRPr="004367C7">
              <w:rPr>
                <w:b/>
                <w:i/>
                <w:sz w:val="28"/>
                <w:szCs w:val="28"/>
                <w:lang w:eastAsia="en-GB"/>
              </w:rPr>
              <w:t>0</w:t>
            </w:r>
          </w:p>
        </w:tc>
        <w:tc>
          <w:tcPr>
            <w:tcW w:w="719" w:type="pct"/>
          </w:tcPr>
          <w:p w:rsidR="00080020" w:rsidRPr="004367C7" w:rsidRDefault="00080020" w:rsidP="00F73A03">
            <w:pPr>
              <w:pStyle w:val="naisf"/>
              <w:spacing w:before="0" w:after="0"/>
              <w:jc w:val="center"/>
              <w:rPr>
                <w:b/>
                <w:i/>
                <w:sz w:val="28"/>
                <w:szCs w:val="28"/>
                <w:lang w:eastAsia="en-GB"/>
              </w:rPr>
            </w:pPr>
            <w:r w:rsidRPr="004367C7">
              <w:rPr>
                <w:b/>
                <w:i/>
                <w:sz w:val="28"/>
                <w:szCs w:val="28"/>
                <w:lang w:eastAsia="en-GB"/>
              </w:rPr>
              <w:t>0</w:t>
            </w:r>
          </w:p>
        </w:tc>
        <w:tc>
          <w:tcPr>
            <w:tcW w:w="765" w:type="pct"/>
          </w:tcPr>
          <w:p w:rsidR="00080020" w:rsidRPr="004367C7" w:rsidRDefault="00C82072" w:rsidP="00F73A03">
            <w:pPr>
              <w:pStyle w:val="naisf"/>
              <w:spacing w:before="0" w:after="0"/>
              <w:jc w:val="center"/>
              <w:rPr>
                <w:b/>
                <w:i/>
                <w:sz w:val="28"/>
                <w:szCs w:val="28"/>
                <w:lang w:eastAsia="en-GB"/>
              </w:rPr>
            </w:pPr>
            <w:r w:rsidRPr="004367C7">
              <w:rPr>
                <w:b/>
                <w:i/>
                <w:sz w:val="28"/>
                <w:szCs w:val="28"/>
                <w:lang w:eastAsia="en-GB"/>
              </w:rPr>
              <w:t>0</w:t>
            </w:r>
          </w:p>
        </w:tc>
        <w:tc>
          <w:tcPr>
            <w:tcW w:w="765" w:type="pct"/>
          </w:tcPr>
          <w:p w:rsidR="00080020" w:rsidRPr="004367C7" w:rsidRDefault="00C82072" w:rsidP="00F73A03">
            <w:pPr>
              <w:pStyle w:val="naisf"/>
              <w:spacing w:before="0" w:after="0"/>
              <w:jc w:val="center"/>
              <w:rPr>
                <w:b/>
                <w:i/>
                <w:sz w:val="28"/>
                <w:szCs w:val="28"/>
                <w:lang w:eastAsia="en-GB"/>
              </w:rPr>
            </w:pPr>
            <w:r w:rsidRPr="004367C7">
              <w:rPr>
                <w:b/>
                <w:i/>
                <w:sz w:val="28"/>
                <w:szCs w:val="28"/>
                <w:lang w:eastAsia="en-GB"/>
              </w:rPr>
              <w:t>0</w:t>
            </w:r>
          </w:p>
        </w:tc>
        <w:tc>
          <w:tcPr>
            <w:tcW w:w="1019" w:type="pct"/>
          </w:tcPr>
          <w:p w:rsidR="00080020" w:rsidRPr="004367C7" w:rsidRDefault="00C82072" w:rsidP="00F73A03">
            <w:pPr>
              <w:pStyle w:val="naisf"/>
              <w:spacing w:before="0" w:after="0"/>
              <w:jc w:val="center"/>
              <w:rPr>
                <w:b/>
                <w:i/>
                <w:sz w:val="28"/>
                <w:szCs w:val="28"/>
                <w:lang w:eastAsia="en-GB"/>
              </w:rPr>
            </w:pPr>
            <w:r w:rsidRPr="004367C7">
              <w:rPr>
                <w:b/>
                <w:i/>
                <w:sz w:val="28"/>
                <w:szCs w:val="28"/>
                <w:lang w:eastAsia="en-GB"/>
              </w:rPr>
              <w:t>0</w:t>
            </w:r>
          </w:p>
        </w:tc>
      </w:tr>
      <w:tr w:rsidR="00080020" w:rsidRPr="004367C7" w:rsidTr="00B05360">
        <w:trPr>
          <w:jc w:val="center"/>
        </w:trPr>
        <w:tc>
          <w:tcPr>
            <w:tcW w:w="1071" w:type="pct"/>
          </w:tcPr>
          <w:p w:rsidR="00080020" w:rsidRPr="004367C7" w:rsidRDefault="00080020" w:rsidP="00F73A03">
            <w:pPr>
              <w:rPr>
                <w:sz w:val="28"/>
                <w:szCs w:val="28"/>
              </w:rPr>
            </w:pPr>
            <w:r w:rsidRPr="004367C7">
              <w:rPr>
                <w:sz w:val="28"/>
                <w:szCs w:val="28"/>
              </w:rPr>
              <w:t>2.1. valsts pamatbudžets</w:t>
            </w:r>
          </w:p>
        </w:tc>
        <w:tc>
          <w:tcPr>
            <w:tcW w:w="661"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19"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65" w:type="pct"/>
          </w:tcPr>
          <w:p w:rsidR="00080020" w:rsidRPr="004367C7" w:rsidRDefault="00C82072" w:rsidP="00F73A03">
            <w:pPr>
              <w:pStyle w:val="naisf"/>
              <w:spacing w:before="0" w:after="0"/>
              <w:jc w:val="center"/>
              <w:rPr>
                <w:sz w:val="28"/>
                <w:szCs w:val="28"/>
                <w:lang w:eastAsia="en-GB"/>
              </w:rPr>
            </w:pPr>
            <w:r w:rsidRPr="004367C7">
              <w:rPr>
                <w:sz w:val="28"/>
                <w:szCs w:val="28"/>
                <w:lang w:eastAsia="en-GB"/>
              </w:rPr>
              <w:t>0</w:t>
            </w:r>
          </w:p>
        </w:tc>
        <w:tc>
          <w:tcPr>
            <w:tcW w:w="765" w:type="pct"/>
          </w:tcPr>
          <w:p w:rsidR="00080020" w:rsidRPr="004367C7" w:rsidRDefault="00C82072" w:rsidP="00F73A03">
            <w:pPr>
              <w:pStyle w:val="naisf"/>
              <w:spacing w:before="0" w:after="0"/>
              <w:jc w:val="center"/>
              <w:rPr>
                <w:sz w:val="28"/>
                <w:szCs w:val="28"/>
                <w:lang w:eastAsia="en-GB"/>
              </w:rPr>
            </w:pPr>
            <w:r w:rsidRPr="004367C7">
              <w:rPr>
                <w:sz w:val="28"/>
                <w:szCs w:val="28"/>
                <w:lang w:eastAsia="en-GB"/>
              </w:rPr>
              <w:t>0</w:t>
            </w:r>
          </w:p>
        </w:tc>
        <w:tc>
          <w:tcPr>
            <w:tcW w:w="1019" w:type="pct"/>
          </w:tcPr>
          <w:p w:rsidR="00080020" w:rsidRPr="004367C7" w:rsidRDefault="00C82072" w:rsidP="00F73A03">
            <w:pPr>
              <w:pStyle w:val="naisf"/>
              <w:spacing w:before="0" w:after="0"/>
              <w:jc w:val="center"/>
              <w:rPr>
                <w:sz w:val="28"/>
                <w:szCs w:val="28"/>
                <w:lang w:eastAsia="en-GB"/>
              </w:rPr>
            </w:pPr>
            <w:r w:rsidRPr="004367C7">
              <w:rPr>
                <w:sz w:val="28"/>
                <w:szCs w:val="28"/>
                <w:lang w:eastAsia="en-GB"/>
              </w:rPr>
              <w:t>0</w:t>
            </w:r>
          </w:p>
        </w:tc>
      </w:tr>
      <w:tr w:rsidR="00080020" w:rsidRPr="004367C7" w:rsidTr="00B05360">
        <w:trPr>
          <w:jc w:val="center"/>
        </w:trPr>
        <w:tc>
          <w:tcPr>
            <w:tcW w:w="1071" w:type="pct"/>
          </w:tcPr>
          <w:p w:rsidR="00080020" w:rsidRPr="004367C7" w:rsidRDefault="00080020" w:rsidP="00F73A03">
            <w:pPr>
              <w:rPr>
                <w:sz w:val="28"/>
                <w:szCs w:val="28"/>
              </w:rPr>
            </w:pPr>
            <w:r w:rsidRPr="004367C7">
              <w:rPr>
                <w:sz w:val="28"/>
                <w:szCs w:val="28"/>
              </w:rPr>
              <w:t>2.2. valsts speciālais budžets</w:t>
            </w:r>
          </w:p>
        </w:tc>
        <w:tc>
          <w:tcPr>
            <w:tcW w:w="661"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19"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65"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65"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1019"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r>
      <w:tr w:rsidR="00080020" w:rsidRPr="004367C7" w:rsidTr="00B05360">
        <w:trPr>
          <w:jc w:val="center"/>
        </w:trPr>
        <w:tc>
          <w:tcPr>
            <w:tcW w:w="1071" w:type="pct"/>
          </w:tcPr>
          <w:p w:rsidR="00080020" w:rsidRPr="004367C7" w:rsidRDefault="00080020" w:rsidP="00F73A03">
            <w:pPr>
              <w:rPr>
                <w:sz w:val="28"/>
                <w:szCs w:val="28"/>
              </w:rPr>
            </w:pPr>
            <w:r w:rsidRPr="004367C7">
              <w:rPr>
                <w:sz w:val="28"/>
                <w:szCs w:val="28"/>
              </w:rPr>
              <w:t xml:space="preserve">2.3. pašvaldību budžets </w:t>
            </w:r>
          </w:p>
        </w:tc>
        <w:tc>
          <w:tcPr>
            <w:tcW w:w="661"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19"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65"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65"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1019"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r>
      <w:tr w:rsidR="00080020" w:rsidRPr="004367C7" w:rsidTr="00B05360">
        <w:trPr>
          <w:jc w:val="center"/>
        </w:trPr>
        <w:tc>
          <w:tcPr>
            <w:tcW w:w="1071" w:type="pct"/>
          </w:tcPr>
          <w:p w:rsidR="00080020" w:rsidRPr="004367C7" w:rsidRDefault="00080020" w:rsidP="00F73A03">
            <w:pPr>
              <w:rPr>
                <w:sz w:val="28"/>
                <w:szCs w:val="28"/>
              </w:rPr>
            </w:pPr>
            <w:r w:rsidRPr="004367C7">
              <w:rPr>
                <w:sz w:val="28"/>
                <w:szCs w:val="28"/>
              </w:rPr>
              <w:t>3. Finansiālā ietekme:</w:t>
            </w:r>
          </w:p>
        </w:tc>
        <w:tc>
          <w:tcPr>
            <w:tcW w:w="661" w:type="pct"/>
          </w:tcPr>
          <w:p w:rsidR="00080020" w:rsidRPr="004367C7" w:rsidRDefault="00080020" w:rsidP="00F73A03">
            <w:pPr>
              <w:pStyle w:val="naisf"/>
              <w:spacing w:before="0" w:after="0"/>
              <w:jc w:val="center"/>
              <w:rPr>
                <w:b/>
                <w:i/>
                <w:sz w:val="28"/>
                <w:szCs w:val="28"/>
                <w:lang w:eastAsia="en-GB"/>
              </w:rPr>
            </w:pPr>
            <w:r w:rsidRPr="004367C7">
              <w:rPr>
                <w:b/>
                <w:i/>
                <w:sz w:val="28"/>
                <w:szCs w:val="28"/>
                <w:lang w:eastAsia="en-GB"/>
              </w:rPr>
              <w:t>0</w:t>
            </w:r>
          </w:p>
        </w:tc>
        <w:tc>
          <w:tcPr>
            <w:tcW w:w="719" w:type="pct"/>
          </w:tcPr>
          <w:p w:rsidR="00080020" w:rsidRPr="004367C7" w:rsidRDefault="00080020" w:rsidP="00F73A03">
            <w:pPr>
              <w:pStyle w:val="naisf"/>
              <w:spacing w:before="0" w:after="0"/>
              <w:jc w:val="center"/>
              <w:rPr>
                <w:b/>
                <w:i/>
                <w:sz w:val="28"/>
                <w:szCs w:val="28"/>
                <w:lang w:eastAsia="en-GB"/>
              </w:rPr>
            </w:pPr>
            <w:r w:rsidRPr="004367C7">
              <w:rPr>
                <w:b/>
                <w:i/>
                <w:sz w:val="28"/>
                <w:szCs w:val="28"/>
                <w:lang w:eastAsia="en-GB"/>
              </w:rPr>
              <w:t>0</w:t>
            </w:r>
          </w:p>
        </w:tc>
        <w:tc>
          <w:tcPr>
            <w:tcW w:w="765" w:type="pct"/>
          </w:tcPr>
          <w:p w:rsidR="00080020" w:rsidRPr="004367C7" w:rsidRDefault="00C82072" w:rsidP="00F73A03">
            <w:pPr>
              <w:pStyle w:val="naisf"/>
              <w:spacing w:before="0" w:after="0"/>
              <w:jc w:val="center"/>
              <w:rPr>
                <w:b/>
                <w:i/>
                <w:sz w:val="28"/>
                <w:szCs w:val="28"/>
                <w:lang w:eastAsia="en-GB"/>
              </w:rPr>
            </w:pPr>
            <w:r w:rsidRPr="004367C7">
              <w:rPr>
                <w:b/>
                <w:i/>
                <w:sz w:val="28"/>
                <w:szCs w:val="28"/>
                <w:lang w:eastAsia="en-GB"/>
              </w:rPr>
              <w:t>0</w:t>
            </w:r>
          </w:p>
        </w:tc>
        <w:tc>
          <w:tcPr>
            <w:tcW w:w="765" w:type="pct"/>
          </w:tcPr>
          <w:p w:rsidR="00080020" w:rsidRPr="004367C7" w:rsidRDefault="00C82072" w:rsidP="00F73A03">
            <w:pPr>
              <w:pStyle w:val="naisf"/>
              <w:spacing w:before="0" w:after="0"/>
              <w:jc w:val="center"/>
              <w:rPr>
                <w:b/>
                <w:i/>
                <w:sz w:val="28"/>
                <w:szCs w:val="28"/>
                <w:lang w:eastAsia="en-GB"/>
              </w:rPr>
            </w:pPr>
            <w:r w:rsidRPr="004367C7">
              <w:rPr>
                <w:b/>
                <w:i/>
                <w:sz w:val="28"/>
                <w:szCs w:val="28"/>
                <w:lang w:eastAsia="en-GB"/>
              </w:rPr>
              <w:t>0</w:t>
            </w:r>
          </w:p>
        </w:tc>
        <w:tc>
          <w:tcPr>
            <w:tcW w:w="1019" w:type="pct"/>
          </w:tcPr>
          <w:p w:rsidR="00080020" w:rsidRPr="004367C7" w:rsidRDefault="00C82072" w:rsidP="00F73A03">
            <w:pPr>
              <w:pStyle w:val="naisf"/>
              <w:spacing w:before="0" w:after="0"/>
              <w:jc w:val="center"/>
              <w:rPr>
                <w:b/>
                <w:i/>
                <w:sz w:val="28"/>
                <w:szCs w:val="28"/>
                <w:lang w:eastAsia="en-GB"/>
              </w:rPr>
            </w:pPr>
            <w:r w:rsidRPr="004367C7">
              <w:rPr>
                <w:b/>
                <w:i/>
                <w:sz w:val="28"/>
                <w:szCs w:val="28"/>
                <w:lang w:eastAsia="en-GB"/>
              </w:rPr>
              <w:t>0</w:t>
            </w:r>
          </w:p>
        </w:tc>
      </w:tr>
      <w:tr w:rsidR="00080020" w:rsidRPr="004367C7" w:rsidTr="00B05360">
        <w:trPr>
          <w:jc w:val="center"/>
        </w:trPr>
        <w:tc>
          <w:tcPr>
            <w:tcW w:w="1071" w:type="pct"/>
          </w:tcPr>
          <w:p w:rsidR="00080020" w:rsidRPr="004367C7" w:rsidRDefault="00080020" w:rsidP="00F73A03">
            <w:pPr>
              <w:rPr>
                <w:sz w:val="28"/>
                <w:szCs w:val="28"/>
              </w:rPr>
            </w:pPr>
            <w:r w:rsidRPr="004367C7">
              <w:rPr>
                <w:sz w:val="28"/>
                <w:szCs w:val="28"/>
              </w:rPr>
              <w:t>3.1. valsts pamatbudžets</w:t>
            </w:r>
          </w:p>
        </w:tc>
        <w:tc>
          <w:tcPr>
            <w:tcW w:w="661"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19"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65" w:type="pct"/>
          </w:tcPr>
          <w:p w:rsidR="00080020" w:rsidRPr="004367C7" w:rsidRDefault="00C82072" w:rsidP="00F73A03">
            <w:pPr>
              <w:pStyle w:val="naisf"/>
              <w:spacing w:before="0" w:after="0"/>
              <w:jc w:val="center"/>
              <w:rPr>
                <w:sz w:val="28"/>
                <w:szCs w:val="28"/>
                <w:lang w:eastAsia="en-GB"/>
              </w:rPr>
            </w:pPr>
            <w:r w:rsidRPr="004367C7">
              <w:rPr>
                <w:sz w:val="28"/>
                <w:szCs w:val="28"/>
                <w:lang w:eastAsia="en-GB"/>
              </w:rPr>
              <w:t>0</w:t>
            </w:r>
          </w:p>
        </w:tc>
        <w:tc>
          <w:tcPr>
            <w:tcW w:w="765" w:type="pct"/>
          </w:tcPr>
          <w:p w:rsidR="00080020" w:rsidRPr="004367C7" w:rsidRDefault="00C82072" w:rsidP="00F73A03">
            <w:pPr>
              <w:pStyle w:val="naisf"/>
              <w:spacing w:before="0" w:after="0"/>
              <w:jc w:val="center"/>
              <w:rPr>
                <w:sz w:val="28"/>
                <w:szCs w:val="28"/>
                <w:lang w:eastAsia="en-GB"/>
              </w:rPr>
            </w:pPr>
            <w:r w:rsidRPr="004367C7">
              <w:rPr>
                <w:sz w:val="28"/>
                <w:szCs w:val="28"/>
                <w:lang w:eastAsia="en-GB"/>
              </w:rPr>
              <w:t>0</w:t>
            </w:r>
          </w:p>
        </w:tc>
        <w:tc>
          <w:tcPr>
            <w:tcW w:w="1019" w:type="pct"/>
          </w:tcPr>
          <w:p w:rsidR="00080020" w:rsidRPr="004367C7" w:rsidRDefault="00C82072" w:rsidP="00F73A03">
            <w:pPr>
              <w:pStyle w:val="naisf"/>
              <w:spacing w:before="0" w:after="0"/>
              <w:jc w:val="center"/>
              <w:rPr>
                <w:sz w:val="28"/>
                <w:szCs w:val="28"/>
                <w:lang w:eastAsia="en-GB"/>
              </w:rPr>
            </w:pPr>
            <w:r w:rsidRPr="004367C7">
              <w:rPr>
                <w:sz w:val="28"/>
                <w:szCs w:val="28"/>
                <w:lang w:eastAsia="en-GB"/>
              </w:rPr>
              <w:t>0</w:t>
            </w:r>
          </w:p>
        </w:tc>
      </w:tr>
      <w:tr w:rsidR="00080020" w:rsidRPr="004367C7" w:rsidTr="00B05360">
        <w:trPr>
          <w:jc w:val="center"/>
        </w:trPr>
        <w:tc>
          <w:tcPr>
            <w:tcW w:w="1071" w:type="pct"/>
          </w:tcPr>
          <w:p w:rsidR="00080020" w:rsidRPr="004367C7" w:rsidRDefault="00080020" w:rsidP="00F73A03">
            <w:pPr>
              <w:rPr>
                <w:sz w:val="28"/>
                <w:szCs w:val="28"/>
              </w:rPr>
            </w:pPr>
            <w:r w:rsidRPr="004367C7">
              <w:rPr>
                <w:sz w:val="28"/>
                <w:szCs w:val="28"/>
              </w:rPr>
              <w:t>3.2. speciālais budžets</w:t>
            </w:r>
          </w:p>
        </w:tc>
        <w:tc>
          <w:tcPr>
            <w:tcW w:w="661"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19"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65"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65"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1019"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r>
      <w:tr w:rsidR="00080020" w:rsidRPr="004367C7" w:rsidTr="00B05360">
        <w:trPr>
          <w:jc w:val="center"/>
        </w:trPr>
        <w:tc>
          <w:tcPr>
            <w:tcW w:w="1071" w:type="pct"/>
          </w:tcPr>
          <w:p w:rsidR="00080020" w:rsidRPr="004367C7" w:rsidRDefault="00080020" w:rsidP="00F73A03">
            <w:pPr>
              <w:rPr>
                <w:sz w:val="28"/>
                <w:szCs w:val="28"/>
              </w:rPr>
            </w:pPr>
            <w:r w:rsidRPr="004367C7">
              <w:rPr>
                <w:sz w:val="28"/>
                <w:szCs w:val="28"/>
              </w:rPr>
              <w:t xml:space="preserve">3.3. pašvaldību budžets </w:t>
            </w:r>
          </w:p>
        </w:tc>
        <w:tc>
          <w:tcPr>
            <w:tcW w:w="661"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19"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65"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65"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1019"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r>
      <w:tr w:rsidR="00080020" w:rsidRPr="004367C7" w:rsidTr="00B05360">
        <w:trPr>
          <w:jc w:val="center"/>
        </w:trPr>
        <w:tc>
          <w:tcPr>
            <w:tcW w:w="1071" w:type="pct"/>
            <w:vMerge w:val="restart"/>
          </w:tcPr>
          <w:p w:rsidR="00080020" w:rsidRPr="004367C7" w:rsidRDefault="00080020" w:rsidP="00F73A03">
            <w:pPr>
              <w:rPr>
                <w:sz w:val="28"/>
                <w:szCs w:val="28"/>
              </w:rPr>
            </w:pPr>
            <w:r w:rsidRPr="004367C7">
              <w:rPr>
                <w:sz w:val="28"/>
                <w:szCs w:val="28"/>
              </w:rPr>
              <w:t>4. Finanšu līdzekļi papildu izde</w:t>
            </w:r>
            <w:r w:rsidRPr="004367C7">
              <w:rPr>
                <w:sz w:val="28"/>
                <w:szCs w:val="28"/>
              </w:rPr>
              <w:softHyphen/>
              <w:t xml:space="preserve">vumu </w:t>
            </w:r>
            <w:r w:rsidRPr="004367C7">
              <w:rPr>
                <w:sz w:val="28"/>
                <w:szCs w:val="28"/>
              </w:rPr>
              <w:lastRenderedPageBreak/>
              <w:t>finansēšanai (kompensējošu izdevumu samazinājumu norāda ar "+" zīmi)</w:t>
            </w:r>
          </w:p>
        </w:tc>
        <w:tc>
          <w:tcPr>
            <w:tcW w:w="661" w:type="pct"/>
            <w:vMerge w:val="restart"/>
          </w:tcPr>
          <w:p w:rsidR="00080020" w:rsidRPr="004367C7" w:rsidRDefault="00080020" w:rsidP="00F73A03">
            <w:pPr>
              <w:pStyle w:val="naisf"/>
              <w:spacing w:before="0" w:after="0"/>
              <w:jc w:val="center"/>
              <w:rPr>
                <w:i/>
                <w:sz w:val="28"/>
                <w:szCs w:val="28"/>
                <w:lang w:eastAsia="en-GB"/>
              </w:rPr>
            </w:pPr>
            <w:r w:rsidRPr="004367C7">
              <w:rPr>
                <w:sz w:val="28"/>
                <w:szCs w:val="28"/>
                <w:lang w:eastAsia="en-GB"/>
              </w:rPr>
              <w:lastRenderedPageBreak/>
              <w:t>X</w:t>
            </w:r>
          </w:p>
        </w:tc>
        <w:tc>
          <w:tcPr>
            <w:tcW w:w="719" w:type="pct"/>
          </w:tcPr>
          <w:p w:rsidR="00080020" w:rsidRPr="004367C7" w:rsidRDefault="00080020" w:rsidP="00F73A03">
            <w:pPr>
              <w:pStyle w:val="naisf"/>
              <w:spacing w:before="0" w:after="0"/>
              <w:jc w:val="center"/>
              <w:rPr>
                <w:b/>
                <w:i/>
                <w:sz w:val="28"/>
                <w:szCs w:val="28"/>
                <w:lang w:eastAsia="en-GB"/>
              </w:rPr>
            </w:pPr>
            <w:r w:rsidRPr="004367C7">
              <w:rPr>
                <w:b/>
                <w:i/>
                <w:sz w:val="28"/>
                <w:szCs w:val="28"/>
                <w:lang w:eastAsia="en-GB"/>
              </w:rPr>
              <w:t>0</w:t>
            </w:r>
          </w:p>
        </w:tc>
        <w:tc>
          <w:tcPr>
            <w:tcW w:w="765" w:type="pct"/>
          </w:tcPr>
          <w:p w:rsidR="00080020" w:rsidRPr="004367C7" w:rsidRDefault="00080020" w:rsidP="00F73A03">
            <w:pPr>
              <w:pStyle w:val="naisf"/>
              <w:spacing w:before="0" w:after="0"/>
              <w:jc w:val="center"/>
              <w:rPr>
                <w:b/>
                <w:i/>
                <w:sz w:val="28"/>
                <w:szCs w:val="28"/>
                <w:lang w:eastAsia="en-GB"/>
              </w:rPr>
            </w:pPr>
            <w:r w:rsidRPr="004367C7">
              <w:rPr>
                <w:b/>
                <w:i/>
                <w:sz w:val="28"/>
                <w:szCs w:val="28"/>
                <w:lang w:eastAsia="en-GB"/>
              </w:rPr>
              <w:t>0</w:t>
            </w:r>
          </w:p>
        </w:tc>
        <w:tc>
          <w:tcPr>
            <w:tcW w:w="765" w:type="pct"/>
          </w:tcPr>
          <w:p w:rsidR="00080020" w:rsidRPr="004367C7" w:rsidRDefault="00080020" w:rsidP="00F73A03">
            <w:pPr>
              <w:pStyle w:val="naisf"/>
              <w:spacing w:before="0" w:after="0"/>
              <w:jc w:val="center"/>
              <w:rPr>
                <w:b/>
                <w:i/>
                <w:sz w:val="28"/>
                <w:szCs w:val="28"/>
                <w:lang w:eastAsia="en-GB"/>
              </w:rPr>
            </w:pPr>
            <w:r w:rsidRPr="004367C7">
              <w:rPr>
                <w:b/>
                <w:i/>
                <w:sz w:val="28"/>
                <w:szCs w:val="28"/>
                <w:lang w:eastAsia="en-GB"/>
              </w:rPr>
              <w:t>0</w:t>
            </w:r>
          </w:p>
        </w:tc>
        <w:tc>
          <w:tcPr>
            <w:tcW w:w="1019" w:type="pct"/>
          </w:tcPr>
          <w:p w:rsidR="00080020" w:rsidRPr="004367C7" w:rsidRDefault="00080020" w:rsidP="00F73A03">
            <w:pPr>
              <w:pStyle w:val="naisf"/>
              <w:spacing w:before="0" w:after="0"/>
              <w:jc w:val="center"/>
              <w:rPr>
                <w:b/>
                <w:i/>
                <w:sz w:val="28"/>
                <w:szCs w:val="28"/>
                <w:lang w:eastAsia="en-GB"/>
              </w:rPr>
            </w:pPr>
            <w:r w:rsidRPr="004367C7">
              <w:rPr>
                <w:b/>
                <w:i/>
                <w:sz w:val="28"/>
                <w:szCs w:val="28"/>
                <w:lang w:eastAsia="en-GB"/>
              </w:rPr>
              <w:t>0</w:t>
            </w:r>
          </w:p>
        </w:tc>
      </w:tr>
      <w:tr w:rsidR="00080020" w:rsidRPr="004367C7" w:rsidTr="00B05360">
        <w:trPr>
          <w:jc w:val="center"/>
        </w:trPr>
        <w:tc>
          <w:tcPr>
            <w:tcW w:w="1071" w:type="pct"/>
            <w:vMerge/>
            <w:vAlign w:val="center"/>
          </w:tcPr>
          <w:p w:rsidR="00080020" w:rsidRPr="004367C7" w:rsidRDefault="00080020" w:rsidP="00F73A03">
            <w:pPr>
              <w:rPr>
                <w:sz w:val="28"/>
                <w:szCs w:val="28"/>
              </w:rPr>
            </w:pPr>
          </w:p>
        </w:tc>
        <w:tc>
          <w:tcPr>
            <w:tcW w:w="661" w:type="pct"/>
            <w:vMerge/>
            <w:vAlign w:val="center"/>
          </w:tcPr>
          <w:p w:rsidR="00080020" w:rsidRPr="004367C7" w:rsidRDefault="00080020" w:rsidP="00F73A03">
            <w:pPr>
              <w:rPr>
                <w:i/>
                <w:sz w:val="28"/>
                <w:szCs w:val="28"/>
                <w:lang w:eastAsia="en-GB"/>
              </w:rPr>
            </w:pPr>
          </w:p>
        </w:tc>
        <w:tc>
          <w:tcPr>
            <w:tcW w:w="719"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65"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65"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1019"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r>
      <w:tr w:rsidR="00080020" w:rsidRPr="004367C7" w:rsidTr="00B05360">
        <w:trPr>
          <w:jc w:val="center"/>
        </w:trPr>
        <w:tc>
          <w:tcPr>
            <w:tcW w:w="1071" w:type="pct"/>
            <w:vMerge/>
            <w:vAlign w:val="center"/>
          </w:tcPr>
          <w:p w:rsidR="00080020" w:rsidRPr="004367C7" w:rsidRDefault="00080020" w:rsidP="00F73A03">
            <w:pPr>
              <w:rPr>
                <w:sz w:val="28"/>
                <w:szCs w:val="28"/>
              </w:rPr>
            </w:pPr>
          </w:p>
        </w:tc>
        <w:tc>
          <w:tcPr>
            <w:tcW w:w="661" w:type="pct"/>
            <w:vMerge/>
            <w:vAlign w:val="center"/>
          </w:tcPr>
          <w:p w:rsidR="00080020" w:rsidRPr="004367C7" w:rsidRDefault="00080020" w:rsidP="00F73A03">
            <w:pPr>
              <w:rPr>
                <w:i/>
                <w:sz w:val="28"/>
                <w:szCs w:val="28"/>
                <w:lang w:eastAsia="en-GB"/>
              </w:rPr>
            </w:pPr>
          </w:p>
        </w:tc>
        <w:tc>
          <w:tcPr>
            <w:tcW w:w="719"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65"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65"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1019"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r>
      <w:tr w:rsidR="00080020" w:rsidRPr="004367C7" w:rsidTr="00B05360">
        <w:trPr>
          <w:jc w:val="center"/>
        </w:trPr>
        <w:tc>
          <w:tcPr>
            <w:tcW w:w="1071" w:type="pct"/>
          </w:tcPr>
          <w:p w:rsidR="00080020" w:rsidRPr="004367C7" w:rsidRDefault="00080020" w:rsidP="00F73A03">
            <w:pPr>
              <w:rPr>
                <w:sz w:val="28"/>
                <w:szCs w:val="28"/>
              </w:rPr>
            </w:pPr>
            <w:r w:rsidRPr="004367C7">
              <w:rPr>
                <w:sz w:val="28"/>
                <w:szCs w:val="28"/>
              </w:rPr>
              <w:lastRenderedPageBreak/>
              <w:t>5. Precizēta finansiālā ietekme:</w:t>
            </w:r>
          </w:p>
        </w:tc>
        <w:tc>
          <w:tcPr>
            <w:tcW w:w="661" w:type="pct"/>
            <w:vMerge w:val="restart"/>
          </w:tcPr>
          <w:p w:rsidR="00080020" w:rsidRPr="004367C7" w:rsidRDefault="00080020" w:rsidP="00F73A03">
            <w:pPr>
              <w:pStyle w:val="naisf"/>
              <w:spacing w:before="0" w:after="0"/>
              <w:jc w:val="center"/>
              <w:rPr>
                <w:i/>
                <w:sz w:val="28"/>
                <w:szCs w:val="28"/>
                <w:lang w:eastAsia="en-GB"/>
              </w:rPr>
            </w:pPr>
            <w:r w:rsidRPr="004367C7">
              <w:rPr>
                <w:sz w:val="28"/>
                <w:szCs w:val="28"/>
                <w:lang w:eastAsia="en-GB"/>
              </w:rPr>
              <w:t>X</w:t>
            </w:r>
          </w:p>
        </w:tc>
        <w:tc>
          <w:tcPr>
            <w:tcW w:w="719" w:type="pct"/>
          </w:tcPr>
          <w:p w:rsidR="00080020" w:rsidRPr="004367C7" w:rsidRDefault="00080020" w:rsidP="00F73A03">
            <w:pPr>
              <w:pStyle w:val="naisf"/>
              <w:spacing w:before="0" w:after="0"/>
              <w:jc w:val="center"/>
              <w:rPr>
                <w:b/>
                <w:i/>
                <w:sz w:val="28"/>
                <w:szCs w:val="28"/>
                <w:lang w:eastAsia="en-GB"/>
              </w:rPr>
            </w:pPr>
            <w:r w:rsidRPr="004367C7">
              <w:rPr>
                <w:b/>
                <w:i/>
                <w:sz w:val="28"/>
                <w:szCs w:val="28"/>
                <w:lang w:eastAsia="en-GB"/>
              </w:rPr>
              <w:t>0</w:t>
            </w:r>
          </w:p>
        </w:tc>
        <w:tc>
          <w:tcPr>
            <w:tcW w:w="765" w:type="pct"/>
          </w:tcPr>
          <w:p w:rsidR="00080020" w:rsidRPr="004367C7" w:rsidRDefault="00080020" w:rsidP="00F73A03">
            <w:pPr>
              <w:pStyle w:val="naisf"/>
              <w:spacing w:before="0" w:after="0"/>
              <w:jc w:val="center"/>
              <w:rPr>
                <w:b/>
                <w:i/>
                <w:sz w:val="28"/>
                <w:szCs w:val="28"/>
                <w:lang w:eastAsia="en-GB"/>
              </w:rPr>
            </w:pPr>
            <w:r w:rsidRPr="004367C7">
              <w:rPr>
                <w:b/>
                <w:i/>
                <w:sz w:val="28"/>
                <w:szCs w:val="28"/>
                <w:lang w:eastAsia="en-GB"/>
              </w:rPr>
              <w:t>0</w:t>
            </w:r>
          </w:p>
        </w:tc>
        <w:tc>
          <w:tcPr>
            <w:tcW w:w="765" w:type="pct"/>
          </w:tcPr>
          <w:p w:rsidR="00080020" w:rsidRPr="004367C7" w:rsidRDefault="00080020" w:rsidP="00F73A03">
            <w:pPr>
              <w:pStyle w:val="naisf"/>
              <w:spacing w:before="0" w:after="0"/>
              <w:jc w:val="center"/>
              <w:rPr>
                <w:b/>
                <w:i/>
                <w:sz w:val="28"/>
                <w:szCs w:val="28"/>
                <w:lang w:eastAsia="en-GB"/>
              </w:rPr>
            </w:pPr>
            <w:r w:rsidRPr="004367C7">
              <w:rPr>
                <w:b/>
                <w:i/>
                <w:sz w:val="28"/>
                <w:szCs w:val="28"/>
                <w:lang w:eastAsia="en-GB"/>
              </w:rPr>
              <w:t>0</w:t>
            </w:r>
          </w:p>
        </w:tc>
        <w:tc>
          <w:tcPr>
            <w:tcW w:w="1019" w:type="pct"/>
          </w:tcPr>
          <w:p w:rsidR="00080020" w:rsidRPr="004367C7" w:rsidRDefault="00080020" w:rsidP="00F73A03">
            <w:pPr>
              <w:pStyle w:val="naisf"/>
              <w:spacing w:before="0" w:after="0"/>
              <w:jc w:val="center"/>
              <w:rPr>
                <w:b/>
                <w:i/>
                <w:sz w:val="28"/>
                <w:szCs w:val="28"/>
                <w:lang w:eastAsia="en-GB"/>
              </w:rPr>
            </w:pPr>
            <w:r w:rsidRPr="004367C7">
              <w:rPr>
                <w:b/>
                <w:i/>
                <w:sz w:val="28"/>
                <w:szCs w:val="28"/>
                <w:lang w:eastAsia="en-GB"/>
              </w:rPr>
              <w:t>0</w:t>
            </w:r>
          </w:p>
        </w:tc>
      </w:tr>
      <w:tr w:rsidR="00080020" w:rsidRPr="004367C7" w:rsidTr="00B05360">
        <w:trPr>
          <w:jc w:val="center"/>
        </w:trPr>
        <w:tc>
          <w:tcPr>
            <w:tcW w:w="1071" w:type="pct"/>
          </w:tcPr>
          <w:p w:rsidR="00080020" w:rsidRPr="004367C7" w:rsidRDefault="00080020" w:rsidP="00F73A03">
            <w:pPr>
              <w:rPr>
                <w:sz w:val="28"/>
                <w:szCs w:val="28"/>
              </w:rPr>
            </w:pPr>
            <w:r w:rsidRPr="004367C7">
              <w:rPr>
                <w:sz w:val="28"/>
                <w:szCs w:val="28"/>
              </w:rPr>
              <w:t>5.1. valsts pamatbudžets</w:t>
            </w:r>
          </w:p>
        </w:tc>
        <w:tc>
          <w:tcPr>
            <w:tcW w:w="661" w:type="pct"/>
            <w:vMerge/>
            <w:vAlign w:val="center"/>
          </w:tcPr>
          <w:p w:rsidR="00080020" w:rsidRPr="004367C7" w:rsidRDefault="00080020" w:rsidP="00F73A03">
            <w:pPr>
              <w:rPr>
                <w:i/>
                <w:sz w:val="28"/>
                <w:szCs w:val="28"/>
                <w:lang w:eastAsia="en-GB"/>
              </w:rPr>
            </w:pPr>
          </w:p>
        </w:tc>
        <w:tc>
          <w:tcPr>
            <w:tcW w:w="719"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65"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65"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1019"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r>
      <w:tr w:rsidR="00080020" w:rsidRPr="004367C7" w:rsidTr="00B05360">
        <w:trPr>
          <w:jc w:val="center"/>
        </w:trPr>
        <w:tc>
          <w:tcPr>
            <w:tcW w:w="1071" w:type="pct"/>
          </w:tcPr>
          <w:p w:rsidR="00080020" w:rsidRPr="004367C7" w:rsidRDefault="00080020" w:rsidP="00F73A03">
            <w:pPr>
              <w:rPr>
                <w:sz w:val="28"/>
                <w:szCs w:val="28"/>
              </w:rPr>
            </w:pPr>
            <w:r w:rsidRPr="004367C7">
              <w:rPr>
                <w:sz w:val="28"/>
                <w:szCs w:val="28"/>
              </w:rPr>
              <w:t>5.2. speciālais budžets</w:t>
            </w:r>
          </w:p>
        </w:tc>
        <w:tc>
          <w:tcPr>
            <w:tcW w:w="661" w:type="pct"/>
            <w:vMerge/>
            <w:vAlign w:val="center"/>
          </w:tcPr>
          <w:p w:rsidR="00080020" w:rsidRPr="004367C7" w:rsidRDefault="00080020" w:rsidP="00F73A03">
            <w:pPr>
              <w:rPr>
                <w:i/>
                <w:sz w:val="28"/>
                <w:szCs w:val="28"/>
                <w:lang w:eastAsia="en-GB"/>
              </w:rPr>
            </w:pPr>
          </w:p>
        </w:tc>
        <w:tc>
          <w:tcPr>
            <w:tcW w:w="719"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65"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65"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1019"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r>
      <w:tr w:rsidR="00080020" w:rsidRPr="004367C7" w:rsidTr="00B05360">
        <w:trPr>
          <w:jc w:val="center"/>
        </w:trPr>
        <w:tc>
          <w:tcPr>
            <w:tcW w:w="1071" w:type="pct"/>
          </w:tcPr>
          <w:p w:rsidR="00080020" w:rsidRPr="004367C7" w:rsidRDefault="00080020" w:rsidP="00F73A03">
            <w:pPr>
              <w:rPr>
                <w:sz w:val="28"/>
                <w:szCs w:val="28"/>
              </w:rPr>
            </w:pPr>
            <w:r w:rsidRPr="004367C7">
              <w:rPr>
                <w:sz w:val="28"/>
                <w:szCs w:val="28"/>
              </w:rPr>
              <w:t xml:space="preserve">5.3. pašvaldību budžets </w:t>
            </w:r>
          </w:p>
        </w:tc>
        <w:tc>
          <w:tcPr>
            <w:tcW w:w="661" w:type="pct"/>
            <w:vMerge/>
            <w:vAlign w:val="center"/>
          </w:tcPr>
          <w:p w:rsidR="00080020" w:rsidRPr="004367C7" w:rsidRDefault="00080020" w:rsidP="00F73A03">
            <w:pPr>
              <w:rPr>
                <w:i/>
                <w:sz w:val="28"/>
                <w:szCs w:val="28"/>
                <w:lang w:eastAsia="en-GB"/>
              </w:rPr>
            </w:pPr>
          </w:p>
        </w:tc>
        <w:tc>
          <w:tcPr>
            <w:tcW w:w="719"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65"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765"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c>
          <w:tcPr>
            <w:tcW w:w="1019" w:type="pct"/>
          </w:tcPr>
          <w:p w:rsidR="00080020" w:rsidRPr="004367C7" w:rsidRDefault="00080020" w:rsidP="00F73A03">
            <w:pPr>
              <w:pStyle w:val="naisf"/>
              <w:spacing w:before="0" w:after="0"/>
              <w:jc w:val="center"/>
              <w:rPr>
                <w:sz w:val="28"/>
                <w:szCs w:val="28"/>
                <w:lang w:eastAsia="en-GB"/>
              </w:rPr>
            </w:pPr>
            <w:r w:rsidRPr="004367C7">
              <w:rPr>
                <w:sz w:val="28"/>
                <w:szCs w:val="28"/>
                <w:lang w:eastAsia="en-GB"/>
              </w:rPr>
              <w:t>0</w:t>
            </w:r>
          </w:p>
        </w:tc>
      </w:tr>
      <w:tr w:rsidR="00080020" w:rsidRPr="004367C7" w:rsidTr="00B05360">
        <w:trPr>
          <w:jc w:val="center"/>
        </w:trPr>
        <w:tc>
          <w:tcPr>
            <w:tcW w:w="1071" w:type="pct"/>
          </w:tcPr>
          <w:p w:rsidR="00080020" w:rsidRPr="004367C7" w:rsidRDefault="00080020" w:rsidP="00F73A03">
            <w:pPr>
              <w:rPr>
                <w:sz w:val="28"/>
                <w:szCs w:val="28"/>
              </w:rPr>
            </w:pPr>
            <w:r w:rsidRPr="004367C7">
              <w:rPr>
                <w:sz w:val="28"/>
                <w:szCs w:val="28"/>
              </w:rPr>
              <w:t>6. Detalizēts ieņēmumu un izdevu</w:t>
            </w:r>
            <w:r w:rsidRPr="004367C7">
              <w:rPr>
                <w:sz w:val="28"/>
                <w:szCs w:val="28"/>
              </w:rPr>
              <w:softHyphen/>
              <w:t>mu aprēķins (ja nepieciešams, detalizētu ieņēmumu un izdevumu aprēķinu var pievienot anotācijas pielikumā):</w:t>
            </w:r>
          </w:p>
        </w:tc>
        <w:tc>
          <w:tcPr>
            <w:tcW w:w="3929" w:type="pct"/>
            <w:gridSpan w:val="5"/>
            <w:vMerge w:val="restart"/>
          </w:tcPr>
          <w:p w:rsidR="00080020" w:rsidRPr="004367C7" w:rsidRDefault="00080020" w:rsidP="003462F3">
            <w:pPr>
              <w:pStyle w:val="naisf"/>
              <w:spacing w:before="0" w:after="0"/>
              <w:rPr>
                <w:sz w:val="28"/>
                <w:szCs w:val="28"/>
                <w:lang w:eastAsia="en-GB"/>
              </w:rPr>
            </w:pPr>
          </w:p>
        </w:tc>
      </w:tr>
      <w:tr w:rsidR="00080020" w:rsidRPr="004367C7" w:rsidTr="00B05360">
        <w:trPr>
          <w:jc w:val="center"/>
        </w:trPr>
        <w:tc>
          <w:tcPr>
            <w:tcW w:w="1071" w:type="pct"/>
          </w:tcPr>
          <w:p w:rsidR="00080020" w:rsidRPr="004367C7" w:rsidRDefault="00080020" w:rsidP="00F73A03">
            <w:pPr>
              <w:rPr>
                <w:sz w:val="28"/>
                <w:szCs w:val="28"/>
              </w:rPr>
            </w:pPr>
            <w:r w:rsidRPr="004367C7">
              <w:rPr>
                <w:sz w:val="28"/>
                <w:szCs w:val="28"/>
              </w:rPr>
              <w:t>6.1. detalizēts ieņēmumu aprēķins</w:t>
            </w:r>
          </w:p>
        </w:tc>
        <w:tc>
          <w:tcPr>
            <w:tcW w:w="3929" w:type="pct"/>
            <w:gridSpan w:val="5"/>
            <w:vMerge/>
            <w:vAlign w:val="center"/>
          </w:tcPr>
          <w:p w:rsidR="00080020" w:rsidRPr="004367C7" w:rsidRDefault="00080020" w:rsidP="00F73A03">
            <w:pPr>
              <w:rPr>
                <w:sz w:val="28"/>
                <w:szCs w:val="28"/>
                <w:lang w:eastAsia="en-GB"/>
              </w:rPr>
            </w:pPr>
          </w:p>
        </w:tc>
      </w:tr>
      <w:tr w:rsidR="00080020" w:rsidRPr="004367C7" w:rsidTr="00B05360">
        <w:trPr>
          <w:trHeight w:val="1041"/>
          <w:jc w:val="center"/>
        </w:trPr>
        <w:tc>
          <w:tcPr>
            <w:tcW w:w="1071" w:type="pct"/>
          </w:tcPr>
          <w:p w:rsidR="00080020" w:rsidRPr="004367C7" w:rsidRDefault="00080020" w:rsidP="00F73A03">
            <w:pPr>
              <w:rPr>
                <w:sz w:val="28"/>
                <w:szCs w:val="28"/>
              </w:rPr>
            </w:pPr>
            <w:r w:rsidRPr="004367C7">
              <w:rPr>
                <w:sz w:val="28"/>
                <w:szCs w:val="28"/>
              </w:rPr>
              <w:t>6.2. detalizēts izdevumu aprēķins</w:t>
            </w:r>
          </w:p>
        </w:tc>
        <w:tc>
          <w:tcPr>
            <w:tcW w:w="3929" w:type="pct"/>
            <w:gridSpan w:val="5"/>
            <w:vMerge/>
            <w:vAlign w:val="center"/>
          </w:tcPr>
          <w:p w:rsidR="00080020" w:rsidRPr="004367C7" w:rsidRDefault="00080020" w:rsidP="00F73A03">
            <w:pPr>
              <w:rPr>
                <w:sz w:val="28"/>
                <w:szCs w:val="28"/>
                <w:lang w:eastAsia="en-GB"/>
              </w:rPr>
            </w:pPr>
          </w:p>
        </w:tc>
      </w:tr>
      <w:tr w:rsidR="00080020" w:rsidRPr="004367C7" w:rsidTr="00B05360">
        <w:trPr>
          <w:trHeight w:val="814"/>
          <w:jc w:val="center"/>
        </w:trPr>
        <w:tc>
          <w:tcPr>
            <w:tcW w:w="1071" w:type="pct"/>
          </w:tcPr>
          <w:p w:rsidR="00080020" w:rsidRPr="004367C7" w:rsidRDefault="00080020" w:rsidP="00F73A03">
            <w:pPr>
              <w:rPr>
                <w:sz w:val="28"/>
                <w:szCs w:val="28"/>
              </w:rPr>
            </w:pPr>
            <w:r w:rsidRPr="004367C7">
              <w:rPr>
                <w:sz w:val="28"/>
                <w:szCs w:val="28"/>
              </w:rPr>
              <w:t>7. Cita informācija</w:t>
            </w:r>
          </w:p>
        </w:tc>
        <w:tc>
          <w:tcPr>
            <w:tcW w:w="3929" w:type="pct"/>
            <w:gridSpan w:val="5"/>
          </w:tcPr>
          <w:p w:rsidR="00080020" w:rsidRPr="004367C7" w:rsidRDefault="00080020" w:rsidP="00F73A03">
            <w:pPr>
              <w:pStyle w:val="NormalWeb"/>
              <w:spacing w:before="0" w:beforeAutospacing="0" w:after="0" w:afterAutospacing="0"/>
              <w:jc w:val="both"/>
              <w:rPr>
                <w:sz w:val="28"/>
                <w:szCs w:val="28"/>
              </w:rPr>
            </w:pPr>
            <w:r w:rsidRPr="004367C7">
              <w:rPr>
                <w:sz w:val="28"/>
                <w:szCs w:val="28"/>
              </w:rPr>
              <w:t>Noteikumu projekt</w:t>
            </w:r>
            <w:r w:rsidR="00C82072" w:rsidRPr="004367C7">
              <w:rPr>
                <w:sz w:val="28"/>
                <w:szCs w:val="28"/>
              </w:rPr>
              <w:t>a izpilde notiks</w:t>
            </w:r>
            <w:r w:rsidRPr="004367C7">
              <w:rPr>
                <w:sz w:val="28"/>
                <w:szCs w:val="28"/>
              </w:rPr>
              <w:t xml:space="preserve"> Izglītības un zinātnes ministrijas valsts budžeta programmā 07.00.00 „Informācijas tehnoloģiju a</w:t>
            </w:r>
            <w:r w:rsidR="007C6B28" w:rsidRPr="004367C7">
              <w:rPr>
                <w:sz w:val="28"/>
                <w:szCs w:val="28"/>
              </w:rPr>
              <w:t>ttīstība un uzturēšana izglītībā</w:t>
            </w:r>
            <w:r w:rsidRPr="004367C7">
              <w:rPr>
                <w:sz w:val="28"/>
                <w:szCs w:val="28"/>
              </w:rPr>
              <w:t xml:space="preserve">, Microsoft līguma un projektu nodrošināšana” piešķirto līdzekļu ietvaros, kā arī </w:t>
            </w:r>
            <w:r w:rsidRPr="004367C7">
              <w:rPr>
                <w:sz w:val="28"/>
                <w:szCs w:val="28"/>
                <w:lang w:eastAsia="en-GB"/>
              </w:rPr>
              <w:t>budžeta programmas „Padotības iestādes un to pasākumi</w:t>
            </w:r>
            <w:r w:rsidR="001D157B" w:rsidRPr="004367C7">
              <w:rPr>
                <w:sz w:val="28"/>
                <w:szCs w:val="28"/>
                <w:lang w:eastAsia="en-GB"/>
              </w:rPr>
              <w:t xml:space="preserve"> 42.00.00</w:t>
            </w:r>
            <w:r w:rsidRPr="004367C7">
              <w:rPr>
                <w:sz w:val="28"/>
                <w:szCs w:val="28"/>
                <w:lang w:eastAsia="en-GB"/>
              </w:rPr>
              <w:t>” apakšprogrammā 42.01.00 „Iestāžu darbības nodrošināšana” piešķirto valsts budžeta līdzekļu ietvaros</w:t>
            </w:r>
            <w:r w:rsidRPr="004367C7">
              <w:rPr>
                <w:sz w:val="28"/>
                <w:szCs w:val="28"/>
              </w:rPr>
              <w:t>.</w:t>
            </w:r>
          </w:p>
        </w:tc>
      </w:tr>
    </w:tbl>
    <w:p w:rsidR="00675422" w:rsidRPr="004367C7" w:rsidRDefault="00675422" w:rsidP="00675422">
      <w:pPr>
        <w:spacing w:before="100" w:beforeAutospacing="1" w:after="100" w:afterAutospacing="1"/>
        <w:rPr>
          <w:sz w:val="28"/>
          <w:szCs w:val="28"/>
        </w:rPr>
      </w:pPr>
    </w:p>
    <w:tbl>
      <w:tblPr>
        <w:tblStyle w:val="TableGrid"/>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34"/>
        <w:gridCol w:w="1865"/>
        <w:gridCol w:w="6888"/>
      </w:tblGrid>
      <w:tr w:rsidR="00080020" w:rsidRPr="004367C7" w:rsidTr="00F73A03">
        <w:tc>
          <w:tcPr>
            <w:tcW w:w="9287" w:type="dxa"/>
            <w:gridSpan w:val="3"/>
          </w:tcPr>
          <w:p w:rsidR="00080020" w:rsidRPr="004367C7" w:rsidRDefault="00592F0E" w:rsidP="00F73A03">
            <w:pPr>
              <w:jc w:val="center"/>
              <w:rPr>
                <w:b/>
                <w:bCs/>
                <w:sz w:val="28"/>
                <w:szCs w:val="28"/>
              </w:rPr>
            </w:pPr>
            <w:r w:rsidRPr="004367C7">
              <w:br w:type="page"/>
            </w:r>
            <w:r w:rsidR="00080020" w:rsidRPr="004367C7">
              <w:rPr>
                <w:b/>
                <w:bCs/>
                <w:sz w:val="28"/>
                <w:szCs w:val="28"/>
              </w:rPr>
              <w:t>IV. Tiesību akta projekta ietekme uz</w:t>
            </w:r>
          </w:p>
          <w:p w:rsidR="00080020" w:rsidRPr="004367C7" w:rsidRDefault="00080020" w:rsidP="00F73A03">
            <w:pPr>
              <w:jc w:val="center"/>
              <w:rPr>
                <w:bCs/>
                <w:sz w:val="28"/>
                <w:szCs w:val="28"/>
              </w:rPr>
            </w:pPr>
            <w:r w:rsidRPr="004367C7">
              <w:rPr>
                <w:b/>
                <w:bCs/>
                <w:sz w:val="28"/>
                <w:szCs w:val="28"/>
              </w:rPr>
              <w:t>spēkā esošo tiesību normu sistēmu</w:t>
            </w:r>
          </w:p>
        </w:tc>
      </w:tr>
      <w:tr w:rsidR="00080020" w:rsidRPr="004367C7" w:rsidTr="00F73A03">
        <w:tc>
          <w:tcPr>
            <w:tcW w:w="534" w:type="dxa"/>
          </w:tcPr>
          <w:p w:rsidR="00080020" w:rsidRPr="004367C7" w:rsidRDefault="00080020" w:rsidP="00F73A03">
            <w:pPr>
              <w:spacing w:before="100" w:beforeAutospacing="1" w:after="100" w:afterAutospacing="1"/>
              <w:rPr>
                <w:bCs/>
                <w:sz w:val="28"/>
                <w:szCs w:val="28"/>
              </w:rPr>
            </w:pPr>
            <w:r w:rsidRPr="004367C7">
              <w:rPr>
                <w:bCs/>
                <w:sz w:val="28"/>
                <w:szCs w:val="28"/>
              </w:rPr>
              <w:t>1.</w:t>
            </w:r>
          </w:p>
        </w:tc>
        <w:tc>
          <w:tcPr>
            <w:tcW w:w="1865" w:type="dxa"/>
          </w:tcPr>
          <w:p w:rsidR="00080020" w:rsidRPr="004367C7" w:rsidRDefault="00080020" w:rsidP="00F73A03">
            <w:pPr>
              <w:spacing w:before="100" w:beforeAutospacing="1" w:after="100" w:afterAutospacing="1"/>
              <w:rPr>
                <w:bCs/>
                <w:sz w:val="28"/>
                <w:szCs w:val="28"/>
              </w:rPr>
            </w:pPr>
            <w:r w:rsidRPr="004367C7">
              <w:rPr>
                <w:sz w:val="28"/>
                <w:szCs w:val="28"/>
              </w:rPr>
              <w:t>Nepieciešamie saistītie tiesību akta projekti</w:t>
            </w:r>
          </w:p>
        </w:tc>
        <w:tc>
          <w:tcPr>
            <w:tcW w:w="6888" w:type="dxa"/>
          </w:tcPr>
          <w:p w:rsidR="00080020" w:rsidRPr="004367C7" w:rsidRDefault="002725BE" w:rsidP="00982993">
            <w:pPr>
              <w:jc w:val="both"/>
              <w:rPr>
                <w:sz w:val="28"/>
                <w:szCs w:val="28"/>
              </w:rPr>
            </w:pPr>
            <w:r w:rsidRPr="004367C7">
              <w:rPr>
                <w:sz w:val="28"/>
                <w:szCs w:val="28"/>
              </w:rPr>
              <w:t xml:space="preserve">Valsts izglītības informācijas sistēmas saturu, uzturēšanas un aktualizācijas kārtību nosaka Ministru kabineta 2010.gada 17.augusta noteikumos Nr. 788 „Valsts izglītības informācijas sistēmas saturs, uzturēšanas un aktualizācijas kārtība” (turpmāk – noteikumi Nr.788), kas šobrīd neparedz ievadīt izglītības iestādēm informāciju par izglītības iestādes ilgstoši neattaisnotiem mācību kavējumiem. Līdz ar to, lai nodrošinātu </w:t>
            </w:r>
            <w:r w:rsidRPr="004367C7">
              <w:rPr>
                <w:i/>
                <w:sz w:val="28"/>
                <w:szCs w:val="28"/>
              </w:rPr>
              <w:t>10.1.ex-ante nosacījuma izpildi</w:t>
            </w:r>
            <w:r w:rsidRPr="004367C7">
              <w:rPr>
                <w:sz w:val="28"/>
                <w:szCs w:val="28"/>
              </w:rPr>
              <w:t xml:space="preserve">, </w:t>
            </w:r>
            <w:r w:rsidR="00080020" w:rsidRPr="004367C7">
              <w:rPr>
                <w:sz w:val="28"/>
                <w:szCs w:val="28"/>
              </w:rPr>
              <w:t xml:space="preserve">ir izdarāmi grozījumi </w:t>
            </w:r>
            <w:r w:rsidRPr="004367C7">
              <w:rPr>
                <w:sz w:val="28"/>
                <w:szCs w:val="28"/>
              </w:rPr>
              <w:t>noteikumos Nr.788</w:t>
            </w:r>
            <w:r w:rsidR="00982993" w:rsidRPr="004367C7">
              <w:rPr>
                <w:sz w:val="28"/>
                <w:szCs w:val="28"/>
              </w:rPr>
              <w:t xml:space="preserve"> (VSS-656, Valsts sekretāru sanāksmes 2016.gada 7.jūlija prot. Nr.26, 14.§)</w:t>
            </w:r>
            <w:r w:rsidRPr="004367C7">
              <w:rPr>
                <w:sz w:val="28"/>
                <w:szCs w:val="28"/>
              </w:rPr>
              <w:t xml:space="preserve">, </w:t>
            </w:r>
            <w:r w:rsidR="00A327D3" w:rsidRPr="004367C7">
              <w:rPr>
                <w:sz w:val="28"/>
                <w:szCs w:val="28"/>
              </w:rPr>
              <w:t xml:space="preserve">nodrošinot visaptverošu un regulāru informācijas apmaiņu izglītības iestādes, pašvaldības un valsts līmenī par izglītības iestādes ilgstoši neattaisnotiem mācību kavējumiem, t.sk. par tiem pilngadīgiem izglītojamiem, kas </w:t>
            </w:r>
            <w:r w:rsidR="00D03F6C" w:rsidRPr="004367C7">
              <w:rPr>
                <w:sz w:val="28"/>
                <w:szCs w:val="28"/>
              </w:rPr>
              <w:t>apgūst vispārējās izglītības un profesionālās izglītības programmas (izņemot profesionālās tālākizglītības, profesionālās pilnveides izglītības un profesionālās ievirzes izglītības programmas)</w:t>
            </w:r>
            <w:r w:rsidR="00A327D3" w:rsidRPr="004367C7">
              <w:rPr>
                <w:sz w:val="28"/>
                <w:szCs w:val="28"/>
              </w:rPr>
              <w:t xml:space="preserve">, kā arī par izglītojamiem, kas </w:t>
            </w:r>
            <w:r w:rsidR="00D03F6C" w:rsidRPr="004367C7">
              <w:rPr>
                <w:sz w:val="28"/>
                <w:szCs w:val="28"/>
              </w:rPr>
              <w:t>apgūst minētās izglītības programmas</w:t>
            </w:r>
            <w:r w:rsidR="00A327D3" w:rsidRPr="004367C7">
              <w:rPr>
                <w:sz w:val="28"/>
                <w:szCs w:val="28"/>
              </w:rPr>
              <w:t xml:space="preserve"> tālmācības formā, tādejādi nodrošinot monitoringu arī par pilngadīgu izglītojamo (piemēram, 11. – 12.klašu skolēni) neattaisnotiem kavējumiem un personām, kas izglītību iegūst tālmācības formā, kur ir </w:t>
            </w:r>
            <w:r w:rsidR="00ED235F" w:rsidRPr="004367C7">
              <w:rPr>
                <w:sz w:val="28"/>
                <w:szCs w:val="28"/>
              </w:rPr>
              <w:t>atšķirīg</w:t>
            </w:r>
            <w:r w:rsidR="00A327D3" w:rsidRPr="004367C7">
              <w:rPr>
                <w:sz w:val="28"/>
                <w:szCs w:val="28"/>
              </w:rPr>
              <w:t>s izglītības process.</w:t>
            </w:r>
          </w:p>
        </w:tc>
      </w:tr>
      <w:tr w:rsidR="00080020" w:rsidRPr="004367C7" w:rsidTr="00F73A03">
        <w:tc>
          <w:tcPr>
            <w:tcW w:w="534" w:type="dxa"/>
          </w:tcPr>
          <w:p w:rsidR="00080020" w:rsidRPr="004367C7" w:rsidRDefault="00080020" w:rsidP="00F73A03">
            <w:pPr>
              <w:spacing w:before="100" w:beforeAutospacing="1" w:after="100" w:afterAutospacing="1"/>
              <w:rPr>
                <w:bCs/>
                <w:sz w:val="28"/>
                <w:szCs w:val="28"/>
              </w:rPr>
            </w:pPr>
            <w:r w:rsidRPr="004367C7">
              <w:rPr>
                <w:bCs/>
                <w:sz w:val="28"/>
                <w:szCs w:val="28"/>
              </w:rPr>
              <w:t>2.</w:t>
            </w:r>
          </w:p>
        </w:tc>
        <w:tc>
          <w:tcPr>
            <w:tcW w:w="1865" w:type="dxa"/>
          </w:tcPr>
          <w:p w:rsidR="00080020" w:rsidRPr="004367C7" w:rsidRDefault="00080020" w:rsidP="00F73A03">
            <w:pPr>
              <w:spacing w:before="100" w:beforeAutospacing="1" w:after="100" w:afterAutospacing="1"/>
              <w:rPr>
                <w:bCs/>
                <w:sz w:val="28"/>
                <w:szCs w:val="28"/>
              </w:rPr>
            </w:pPr>
            <w:r w:rsidRPr="004367C7">
              <w:rPr>
                <w:sz w:val="28"/>
                <w:szCs w:val="28"/>
              </w:rPr>
              <w:t>Atbildīgā institūcija</w:t>
            </w:r>
          </w:p>
        </w:tc>
        <w:tc>
          <w:tcPr>
            <w:tcW w:w="6888" w:type="dxa"/>
          </w:tcPr>
          <w:p w:rsidR="00080020" w:rsidRPr="004367C7" w:rsidRDefault="00080020" w:rsidP="00F73A03">
            <w:pPr>
              <w:spacing w:before="100" w:beforeAutospacing="1" w:after="100" w:afterAutospacing="1"/>
              <w:jc w:val="both"/>
              <w:rPr>
                <w:bCs/>
                <w:sz w:val="28"/>
                <w:szCs w:val="28"/>
              </w:rPr>
            </w:pPr>
            <w:r w:rsidRPr="004367C7">
              <w:rPr>
                <w:sz w:val="28"/>
                <w:szCs w:val="28"/>
              </w:rPr>
              <w:t>Izglītības un zinātnes ministrija.</w:t>
            </w:r>
          </w:p>
        </w:tc>
      </w:tr>
      <w:tr w:rsidR="00080020" w:rsidRPr="004367C7" w:rsidTr="00F73A03">
        <w:tc>
          <w:tcPr>
            <w:tcW w:w="534" w:type="dxa"/>
          </w:tcPr>
          <w:p w:rsidR="00080020" w:rsidRPr="004367C7" w:rsidRDefault="00080020" w:rsidP="00F73A03">
            <w:pPr>
              <w:spacing w:before="100" w:beforeAutospacing="1" w:after="100" w:afterAutospacing="1"/>
              <w:rPr>
                <w:bCs/>
                <w:sz w:val="28"/>
                <w:szCs w:val="28"/>
              </w:rPr>
            </w:pPr>
            <w:r w:rsidRPr="004367C7">
              <w:rPr>
                <w:bCs/>
                <w:sz w:val="28"/>
                <w:szCs w:val="28"/>
              </w:rPr>
              <w:t>3.</w:t>
            </w:r>
          </w:p>
        </w:tc>
        <w:tc>
          <w:tcPr>
            <w:tcW w:w="1865" w:type="dxa"/>
          </w:tcPr>
          <w:p w:rsidR="00080020" w:rsidRPr="004367C7" w:rsidRDefault="00080020" w:rsidP="00F73A03">
            <w:pPr>
              <w:spacing w:before="100" w:beforeAutospacing="1" w:after="100" w:afterAutospacing="1"/>
              <w:rPr>
                <w:bCs/>
                <w:sz w:val="28"/>
                <w:szCs w:val="28"/>
              </w:rPr>
            </w:pPr>
            <w:r w:rsidRPr="004367C7">
              <w:rPr>
                <w:sz w:val="28"/>
                <w:szCs w:val="28"/>
              </w:rPr>
              <w:t>Cita informācija</w:t>
            </w:r>
          </w:p>
        </w:tc>
        <w:tc>
          <w:tcPr>
            <w:tcW w:w="6888" w:type="dxa"/>
          </w:tcPr>
          <w:p w:rsidR="00080020" w:rsidRPr="004367C7" w:rsidRDefault="00080020" w:rsidP="00F73A03">
            <w:pPr>
              <w:jc w:val="both"/>
              <w:rPr>
                <w:sz w:val="28"/>
                <w:szCs w:val="28"/>
              </w:rPr>
            </w:pPr>
            <w:r w:rsidRPr="004367C7">
              <w:rPr>
                <w:sz w:val="28"/>
                <w:szCs w:val="28"/>
              </w:rPr>
              <w:t>Nav.</w:t>
            </w:r>
          </w:p>
        </w:tc>
      </w:tr>
    </w:tbl>
    <w:p w:rsidR="00080020" w:rsidRPr="004367C7" w:rsidRDefault="00080020" w:rsidP="00080020">
      <w:pPr>
        <w:spacing w:before="100" w:beforeAutospacing="1" w:after="100" w:afterAutospacing="1"/>
        <w:rPr>
          <w:sz w:val="28"/>
          <w:szCs w:val="28"/>
        </w:rPr>
      </w:pPr>
    </w:p>
    <w:tbl>
      <w:tblPr>
        <w:tblStyle w:val="TableGrid"/>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34"/>
        <w:gridCol w:w="1865"/>
        <w:gridCol w:w="6888"/>
      </w:tblGrid>
      <w:tr w:rsidR="00080020" w:rsidRPr="004367C7" w:rsidTr="00F73A03">
        <w:tc>
          <w:tcPr>
            <w:tcW w:w="9287" w:type="dxa"/>
            <w:gridSpan w:val="3"/>
          </w:tcPr>
          <w:p w:rsidR="00080020" w:rsidRPr="004367C7" w:rsidRDefault="00080020" w:rsidP="00F73A03">
            <w:pPr>
              <w:jc w:val="center"/>
              <w:rPr>
                <w:bCs/>
                <w:sz w:val="28"/>
                <w:szCs w:val="28"/>
              </w:rPr>
            </w:pPr>
            <w:r w:rsidRPr="004367C7">
              <w:rPr>
                <w:b/>
                <w:bCs/>
                <w:sz w:val="28"/>
                <w:szCs w:val="28"/>
              </w:rPr>
              <w:t>VI. Sabiedrības līdzdalība un komunikācijas aktivitātes</w:t>
            </w:r>
          </w:p>
        </w:tc>
      </w:tr>
      <w:tr w:rsidR="00080020" w:rsidRPr="004367C7" w:rsidTr="00F73A03">
        <w:tc>
          <w:tcPr>
            <w:tcW w:w="534" w:type="dxa"/>
          </w:tcPr>
          <w:p w:rsidR="00080020" w:rsidRPr="004367C7" w:rsidRDefault="00080020" w:rsidP="00F73A03">
            <w:pPr>
              <w:spacing w:before="100" w:beforeAutospacing="1" w:after="100" w:afterAutospacing="1"/>
              <w:rPr>
                <w:bCs/>
                <w:sz w:val="28"/>
                <w:szCs w:val="28"/>
              </w:rPr>
            </w:pPr>
            <w:r w:rsidRPr="004367C7">
              <w:rPr>
                <w:bCs/>
                <w:sz w:val="28"/>
                <w:szCs w:val="28"/>
              </w:rPr>
              <w:t>1.</w:t>
            </w:r>
          </w:p>
        </w:tc>
        <w:tc>
          <w:tcPr>
            <w:tcW w:w="1865" w:type="dxa"/>
          </w:tcPr>
          <w:p w:rsidR="00080020" w:rsidRPr="004367C7" w:rsidRDefault="00080020" w:rsidP="00F73A03">
            <w:pPr>
              <w:spacing w:before="100" w:beforeAutospacing="1" w:after="100" w:afterAutospacing="1"/>
              <w:rPr>
                <w:bCs/>
                <w:sz w:val="28"/>
                <w:szCs w:val="28"/>
              </w:rPr>
            </w:pPr>
            <w:r w:rsidRPr="004367C7">
              <w:rPr>
                <w:sz w:val="28"/>
                <w:szCs w:val="28"/>
              </w:rPr>
              <w:t xml:space="preserve">Plānotās sabiedrības līdzdalības un komunikācijas aktivitātes saistībā ar </w:t>
            </w:r>
            <w:r w:rsidRPr="004367C7">
              <w:rPr>
                <w:sz w:val="28"/>
                <w:szCs w:val="28"/>
              </w:rPr>
              <w:lastRenderedPageBreak/>
              <w:t>projektu</w:t>
            </w:r>
          </w:p>
        </w:tc>
        <w:tc>
          <w:tcPr>
            <w:tcW w:w="6888" w:type="dxa"/>
          </w:tcPr>
          <w:p w:rsidR="00080020" w:rsidRPr="004367C7" w:rsidRDefault="00080020" w:rsidP="00D74AEF">
            <w:pPr>
              <w:jc w:val="both"/>
              <w:rPr>
                <w:sz w:val="28"/>
                <w:szCs w:val="28"/>
              </w:rPr>
            </w:pPr>
            <w:r w:rsidRPr="004367C7">
              <w:rPr>
                <w:sz w:val="28"/>
                <w:szCs w:val="28"/>
              </w:rPr>
              <w:lastRenderedPageBreak/>
              <w:t xml:space="preserve">Informācija par noteikumu projektu ievietota tīmekļa vietnē </w:t>
            </w:r>
            <w:hyperlink r:id="rId9" w:history="1">
              <w:r w:rsidRPr="004367C7">
                <w:rPr>
                  <w:rStyle w:val="Hyperlink"/>
                  <w:sz w:val="28"/>
                  <w:szCs w:val="28"/>
                </w:rPr>
                <w:t>www.ikvd.gov.lv</w:t>
              </w:r>
            </w:hyperlink>
            <w:r w:rsidRPr="004367C7">
              <w:rPr>
                <w:sz w:val="28"/>
                <w:szCs w:val="28"/>
              </w:rPr>
              <w:t>.</w:t>
            </w:r>
          </w:p>
        </w:tc>
      </w:tr>
      <w:tr w:rsidR="00080020" w:rsidRPr="004367C7" w:rsidTr="00F73A03">
        <w:tc>
          <w:tcPr>
            <w:tcW w:w="534" w:type="dxa"/>
          </w:tcPr>
          <w:p w:rsidR="00080020" w:rsidRPr="004367C7" w:rsidRDefault="00080020" w:rsidP="00F73A03">
            <w:pPr>
              <w:spacing w:before="100" w:beforeAutospacing="1" w:after="100" w:afterAutospacing="1"/>
              <w:rPr>
                <w:bCs/>
                <w:sz w:val="28"/>
                <w:szCs w:val="28"/>
              </w:rPr>
            </w:pPr>
            <w:r w:rsidRPr="004367C7">
              <w:rPr>
                <w:bCs/>
                <w:sz w:val="28"/>
                <w:szCs w:val="28"/>
              </w:rPr>
              <w:lastRenderedPageBreak/>
              <w:t>2.</w:t>
            </w:r>
          </w:p>
        </w:tc>
        <w:tc>
          <w:tcPr>
            <w:tcW w:w="1865" w:type="dxa"/>
          </w:tcPr>
          <w:p w:rsidR="00080020" w:rsidRPr="004367C7" w:rsidRDefault="00080020" w:rsidP="00F73A03">
            <w:pPr>
              <w:spacing w:before="100" w:beforeAutospacing="1" w:after="100" w:afterAutospacing="1"/>
              <w:rPr>
                <w:bCs/>
                <w:sz w:val="28"/>
                <w:szCs w:val="28"/>
              </w:rPr>
            </w:pPr>
            <w:r w:rsidRPr="004367C7">
              <w:rPr>
                <w:sz w:val="28"/>
                <w:szCs w:val="28"/>
              </w:rPr>
              <w:t>Sabiedrības līdzdalība projekta izstrādē</w:t>
            </w:r>
          </w:p>
        </w:tc>
        <w:tc>
          <w:tcPr>
            <w:tcW w:w="6888" w:type="dxa"/>
          </w:tcPr>
          <w:p w:rsidR="00080020" w:rsidRPr="004367C7" w:rsidRDefault="00080020" w:rsidP="00F73A03">
            <w:pPr>
              <w:jc w:val="both"/>
              <w:rPr>
                <w:bCs/>
                <w:sz w:val="28"/>
                <w:szCs w:val="28"/>
              </w:rPr>
            </w:pPr>
            <w:r w:rsidRPr="004367C7">
              <w:rPr>
                <w:bCs/>
                <w:sz w:val="28"/>
                <w:szCs w:val="28"/>
              </w:rPr>
              <w:t>Sabiedrības iesaiste nodrošināta, informējot par noteikumu projektu un šobrīd aktuālo mērķi mazināt PMP risku, kas ietver nepieciešamību nodrošināt visaptverošu un regulāru informācijas apmaiņu izglītības iestādes, pašvaldības un valsts līmenī</w:t>
            </w:r>
            <w:r w:rsidR="00A327D3" w:rsidRPr="004367C7">
              <w:rPr>
                <w:bCs/>
                <w:sz w:val="28"/>
                <w:szCs w:val="28"/>
              </w:rPr>
              <w:t xml:space="preserve"> par</w:t>
            </w:r>
            <w:r w:rsidRPr="004367C7">
              <w:rPr>
                <w:bCs/>
                <w:sz w:val="28"/>
                <w:szCs w:val="28"/>
              </w:rPr>
              <w:t xml:space="preserve"> izglītojamo</w:t>
            </w:r>
            <w:r w:rsidR="00A327D3" w:rsidRPr="004367C7">
              <w:rPr>
                <w:bCs/>
                <w:sz w:val="28"/>
                <w:szCs w:val="28"/>
              </w:rPr>
              <w:t xml:space="preserve"> mācību</w:t>
            </w:r>
            <w:r w:rsidRPr="004367C7">
              <w:rPr>
                <w:bCs/>
                <w:sz w:val="28"/>
                <w:szCs w:val="28"/>
              </w:rPr>
              <w:t xml:space="preserve"> kavējumiem. </w:t>
            </w:r>
          </w:p>
          <w:p w:rsidR="00A327D3" w:rsidRPr="004367C7" w:rsidRDefault="00A327D3" w:rsidP="00F73A03">
            <w:pPr>
              <w:jc w:val="both"/>
              <w:rPr>
                <w:bCs/>
                <w:sz w:val="28"/>
                <w:szCs w:val="28"/>
              </w:rPr>
            </w:pPr>
          </w:p>
          <w:p w:rsidR="00B371C0" w:rsidRPr="004367C7" w:rsidRDefault="00B371C0" w:rsidP="00F73A03">
            <w:pPr>
              <w:jc w:val="both"/>
              <w:rPr>
                <w:bCs/>
                <w:sz w:val="28"/>
                <w:szCs w:val="28"/>
              </w:rPr>
            </w:pPr>
            <w:r w:rsidRPr="004367C7">
              <w:rPr>
                <w:bCs/>
                <w:sz w:val="28"/>
                <w:szCs w:val="28"/>
              </w:rPr>
              <w:t>Vienlaikus noteikumu projekta izstrādē ņemti vērā arī Rīgas Domes Izglītības, kultūras un sporta departamenta priekšlikumi saistībā ar pilngad</w:t>
            </w:r>
            <w:r w:rsidR="00AE02A3" w:rsidRPr="004367C7">
              <w:rPr>
                <w:bCs/>
                <w:sz w:val="28"/>
                <w:szCs w:val="28"/>
              </w:rPr>
              <w:t>īgajiem</w:t>
            </w:r>
            <w:r w:rsidRPr="004367C7">
              <w:rPr>
                <w:bCs/>
                <w:sz w:val="28"/>
                <w:szCs w:val="28"/>
              </w:rPr>
              <w:t xml:space="preserve"> izglītojam</w:t>
            </w:r>
            <w:r w:rsidR="00AE02A3" w:rsidRPr="004367C7">
              <w:rPr>
                <w:bCs/>
                <w:sz w:val="28"/>
                <w:szCs w:val="28"/>
              </w:rPr>
              <w:t>ajiem, kas neapmeklē</w:t>
            </w:r>
            <w:r w:rsidRPr="004367C7">
              <w:rPr>
                <w:bCs/>
                <w:sz w:val="28"/>
                <w:szCs w:val="28"/>
              </w:rPr>
              <w:t xml:space="preserve"> izglītības iest</w:t>
            </w:r>
            <w:r w:rsidR="00AE02A3" w:rsidRPr="004367C7">
              <w:rPr>
                <w:bCs/>
                <w:sz w:val="28"/>
                <w:szCs w:val="28"/>
              </w:rPr>
              <w:t>ādi.</w:t>
            </w:r>
          </w:p>
          <w:p w:rsidR="00B371C0" w:rsidRPr="004367C7" w:rsidRDefault="00B371C0" w:rsidP="00F73A03">
            <w:pPr>
              <w:jc w:val="both"/>
              <w:rPr>
                <w:bCs/>
                <w:sz w:val="28"/>
                <w:szCs w:val="28"/>
              </w:rPr>
            </w:pPr>
          </w:p>
          <w:p w:rsidR="00080020" w:rsidRPr="004367C7" w:rsidRDefault="00080020" w:rsidP="00F73A03">
            <w:pPr>
              <w:jc w:val="both"/>
              <w:rPr>
                <w:bCs/>
                <w:sz w:val="28"/>
                <w:szCs w:val="28"/>
              </w:rPr>
            </w:pPr>
            <w:r w:rsidRPr="004367C7">
              <w:rPr>
                <w:bCs/>
                <w:sz w:val="28"/>
                <w:szCs w:val="28"/>
              </w:rPr>
              <w:t xml:space="preserve">Noteikumu projekts kvalitātes dienesta tīmekļa vietnē </w:t>
            </w:r>
            <w:hyperlink r:id="rId10" w:history="1">
              <w:r w:rsidR="00D74AEF" w:rsidRPr="004367C7">
                <w:rPr>
                  <w:rStyle w:val="Hyperlink"/>
                  <w:bCs/>
                  <w:sz w:val="28"/>
                  <w:szCs w:val="28"/>
                </w:rPr>
                <w:t>www.ikvd.gov.lv</w:t>
              </w:r>
            </w:hyperlink>
            <w:r w:rsidRPr="004367C7">
              <w:rPr>
                <w:bCs/>
                <w:sz w:val="28"/>
                <w:szCs w:val="28"/>
              </w:rPr>
              <w:t xml:space="preserve"> publicēts </w:t>
            </w:r>
            <w:r w:rsidR="00D74AEF" w:rsidRPr="004367C7">
              <w:rPr>
                <w:bCs/>
                <w:sz w:val="28"/>
                <w:szCs w:val="28"/>
              </w:rPr>
              <w:t>2016.gada 3.jūnijā</w:t>
            </w:r>
            <w:r w:rsidRPr="004367C7">
              <w:rPr>
                <w:bCs/>
                <w:sz w:val="28"/>
                <w:szCs w:val="28"/>
              </w:rPr>
              <w:t>.</w:t>
            </w:r>
          </w:p>
        </w:tc>
      </w:tr>
      <w:tr w:rsidR="00080020" w:rsidRPr="004367C7" w:rsidTr="00F73A03">
        <w:tc>
          <w:tcPr>
            <w:tcW w:w="534" w:type="dxa"/>
          </w:tcPr>
          <w:p w:rsidR="00080020" w:rsidRPr="004367C7" w:rsidRDefault="00080020" w:rsidP="00F73A03">
            <w:pPr>
              <w:spacing w:before="100" w:beforeAutospacing="1" w:after="100" w:afterAutospacing="1"/>
              <w:rPr>
                <w:bCs/>
                <w:sz w:val="28"/>
                <w:szCs w:val="28"/>
              </w:rPr>
            </w:pPr>
            <w:r w:rsidRPr="004367C7">
              <w:rPr>
                <w:bCs/>
                <w:sz w:val="28"/>
                <w:szCs w:val="28"/>
              </w:rPr>
              <w:t>3.</w:t>
            </w:r>
          </w:p>
        </w:tc>
        <w:tc>
          <w:tcPr>
            <w:tcW w:w="1865" w:type="dxa"/>
          </w:tcPr>
          <w:p w:rsidR="00080020" w:rsidRPr="004367C7" w:rsidRDefault="00080020" w:rsidP="00F73A03">
            <w:pPr>
              <w:spacing w:before="100" w:beforeAutospacing="1" w:after="100" w:afterAutospacing="1"/>
              <w:rPr>
                <w:bCs/>
                <w:sz w:val="28"/>
                <w:szCs w:val="28"/>
              </w:rPr>
            </w:pPr>
            <w:r w:rsidRPr="004367C7">
              <w:rPr>
                <w:sz w:val="28"/>
                <w:szCs w:val="28"/>
              </w:rPr>
              <w:t>Sabiedrības līdzdalības rezultāti</w:t>
            </w:r>
          </w:p>
        </w:tc>
        <w:tc>
          <w:tcPr>
            <w:tcW w:w="6888" w:type="dxa"/>
          </w:tcPr>
          <w:p w:rsidR="00080020" w:rsidRPr="004367C7" w:rsidRDefault="00080020" w:rsidP="00D74AEF">
            <w:pPr>
              <w:jc w:val="both"/>
              <w:rPr>
                <w:bCs/>
                <w:sz w:val="28"/>
                <w:szCs w:val="28"/>
              </w:rPr>
            </w:pPr>
            <w:r w:rsidRPr="004367C7">
              <w:rPr>
                <w:sz w:val="28"/>
                <w:szCs w:val="28"/>
              </w:rPr>
              <w:t xml:space="preserve">Par </w:t>
            </w:r>
            <w:r w:rsidR="00D74AEF" w:rsidRPr="004367C7">
              <w:rPr>
                <w:sz w:val="28"/>
                <w:szCs w:val="28"/>
              </w:rPr>
              <w:t xml:space="preserve">kvalitātes dienesta tīmekļa vietnē </w:t>
            </w:r>
            <w:hyperlink r:id="rId11" w:history="1">
              <w:r w:rsidR="00D74AEF" w:rsidRPr="004367C7">
                <w:rPr>
                  <w:rStyle w:val="Hyperlink"/>
                  <w:sz w:val="28"/>
                  <w:szCs w:val="28"/>
                </w:rPr>
                <w:t>www.ikvd.gov.lv</w:t>
              </w:r>
            </w:hyperlink>
            <w:r w:rsidR="00D74AEF" w:rsidRPr="004367C7">
              <w:rPr>
                <w:sz w:val="28"/>
                <w:szCs w:val="28"/>
              </w:rPr>
              <w:t xml:space="preserve"> </w:t>
            </w:r>
            <w:r w:rsidRPr="004367C7">
              <w:rPr>
                <w:sz w:val="28"/>
                <w:szCs w:val="28"/>
              </w:rPr>
              <w:t>ievietoto noteikumu projektu sabiedrības viedokļi nav saņemti.</w:t>
            </w:r>
          </w:p>
        </w:tc>
      </w:tr>
      <w:tr w:rsidR="00080020" w:rsidRPr="004367C7" w:rsidTr="00F73A03">
        <w:tc>
          <w:tcPr>
            <w:tcW w:w="534" w:type="dxa"/>
          </w:tcPr>
          <w:p w:rsidR="00080020" w:rsidRPr="004367C7" w:rsidRDefault="00080020" w:rsidP="00F73A03">
            <w:pPr>
              <w:spacing w:before="100" w:beforeAutospacing="1" w:after="100" w:afterAutospacing="1"/>
              <w:rPr>
                <w:bCs/>
                <w:sz w:val="28"/>
                <w:szCs w:val="28"/>
              </w:rPr>
            </w:pPr>
            <w:r w:rsidRPr="004367C7">
              <w:rPr>
                <w:bCs/>
                <w:sz w:val="28"/>
                <w:szCs w:val="28"/>
              </w:rPr>
              <w:t xml:space="preserve">4. </w:t>
            </w:r>
          </w:p>
        </w:tc>
        <w:tc>
          <w:tcPr>
            <w:tcW w:w="1865" w:type="dxa"/>
          </w:tcPr>
          <w:p w:rsidR="00080020" w:rsidRPr="004367C7" w:rsidRDefault="00080020" w:rsidP="00F73A03">
            <w:pPr>
              <w:spacing w:before="100" w:beforeAutospacing="1" w:after="100" w:afterAutospacing="1"/>
              <w:rPr>
                <w:sz w:val="28"/>
                <w:szCs w:val="28"/>
              </w:rPr>
            </w:pPr>
            <w:r w:rsidRPr="004367C7">
              <w:rPr>
                <w:sz w:val="28"/>
                <w:szCs w:val="28"/>
              </w:rPr>
              <w:t>Cita informācija</w:t>
            </w:r>
          </w:p>
        </w:tc>
        <w:tc>
          <w:tcPr>
            <w:tcW w:w="6888" w:type="dxa"/>
          </w:tcPr>
          <w:p w:rsidR="00080020" w:rsidRPr="004367C7" w:rsidRDefault="00080020" w:rsidP="00F73A03">
            <w:pPr>
              <w:spacing w:before="100" w:beforeAutospacing="1" w:after="100" w:afterAutospacing="1"/>
              <w:jc w:val="both"/>
              <w:rPr>
                <w:sz w:val="28"/>
                <w:szCs w:val="28"/>
              </w:rPr>
            </w:pPr>
            <w:r w:rsidRPr="004367C7">
              <w:rPr>
                <w:sz w:val="28"/>
                <w:szCs w:val="28"/>
              </w:rPr>
              <w:t>Nav.</w:t>
            </w:r>
          </w:p>
        </w:tc>
      </w:tr>
    </w:tbl>
    <w:p w:rsidR="0088161C" w:rsidRPr="004367C7" w:rsidRDefault="0088161C" w:rsidP="00DA269E">
      <w:pPr>
        <w:spacing w:before="100" w:beforeAutospacing="1" w:after="100" w:afterAutospacing="1"/>
        <w:rPr>
          <w:sz w:val="28"/>
          <w:szCs w:val="28"/>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5"/>
        <w:gridCol w:w="3096"/>
        <w:gridCol w:w="5780"/>
      </w:tblGrid>
      <w:tr w:rsidR="00080020" w:rsidRPr="004367C7" w:rsidTr="00F73A03">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spacing w:before="100" w:beforeAutospacing="1" w:after="100" w:afterAutospacing="1"/>
              <w:jc w:val="center"/>
              <w:rPr>
                <w:b/>
                <w:bCs/>
                <w:sz w:val="28"/>
                <w:szCs w:val="28"/>
              </w:rPr>
            </w:pPr>
            <w:r w:rsidRPr="004367C7">
              <w:rPr>
                <w:b/>
                <w:bCs/>
                <w:sz w:val="28"/>
                <w:szCs w:val="28"/>
              </w:rPr>
              <w:t>VII. Tiesību akta projekta izpildes nodrošināšana un tās ietekme uz institūcijām</w:t>
            </w:r>
          </w:p>
        </w:tc>
      </w:tr>
      <w:tr w:rsidR="00080020" w:rsidRPr="004367C7" w:rsidTr="00F73A03">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spacing w:before="100" w:beforeAutospacing="1" w:after="100" w:afterAutospacing="1"/>
              <w:rPr>
                <w:sz w:val="28"/>
                <w:szCs w:val="28"/>
              </w:rPr>
            </w:pPr>
            <w:r w:rsidRPr="004367C7">
              <w:rPr>
                <w:sz w:val="28"/>
                <w:szCs w:val="28"/>
              </w:rPr>
              <w:t>1.</w:t>
            </w:r>
          </w:p>
        </w:tc>
        <w:tc>
          <w:tcPr>
            <w:tcW w:w="0" w:type="auto"/>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spacing w:before="100" w:beforeAutospacing="1" w:after="100" w:afterAutospacing="1"/>
              <w:rPr>
                <w:sz w:val="28"/>
                <w:szCs w:val="28"/>
              </w:rPr>
            </w:pPr>
            <w:r w:rsidRPr="004367C7">
              <w:rPr>
                <w:sz w:val="28"/>
                <w:szCs w:val="28"/>
              </w:rPr>
              <w:t>Projekta izpildē iesaistītās institūcijas</w:t>
            </w:r>
          </w:p>
        </w:tc>
        <w:tc>
          <w:tcPr>
            <w:tcW w:w="0" w:type="auto"/>
            <w:tcBorders>
              <w:top w:val="outset" w:sz="6" w:space="0" w:color="000000"/>
              <w:left w:val="outset" w:sz="6" w:space="0" w:color="000000"/>
              <w:bottom w:val="outset" w:sz="6" w:space="0" w:color="000000"/>
              <w:right w:val="outset" w:sz="6" w:space="0" w:color="000000"/>
            </w:tcBorders>
          </w:tcPr>
          <w:p w:rsidR="005C2717" w:rsidRPr="004367C7" w:rsidRDefault="00080020" w:rsidP="005C2717">
            <w:pPr>
              <w:pStyle w:val="ListParagraph"/>
              <w:numPr>
                <w:ilvl w:val="0"/>
                <w:numId w:val="3"/>
              </w:numPr>
              <w:jc w:val="both"/>
              <w:rPr>
                <w:sz w:val="28"/>
                <w:szCs w:val="28"/>
              </w:rPr>
            </w:pPr>
            <w:r w:rsidRPr="004367C7">
              <w:rPr>
                <w:sz w:val="28"/>
                <w:szCs w:val="28"/>
              </w:rPr>
              <w:t>Iz</w:t>
            </w:r>
            <w:r w:rsidR="005C2717" w:rsidRPr="004367C7">
              <w:rPr>
                <w:sz w:val="28"/>
                <w:szCs w:val="28"/>
              </w:rPr>
              <w:t>glītības un zinātnes ministrija;</w:t>
            </w:r>
          </w:p>
          <w:p w:rsidR="005C2717" w:rsidRPr="004367C7" w:rsidRDefault="005C2717" w:rsidP="005C2717">
            <w:pPr>
              <w:pStyle w:val="ListParagraph"/>
              <w:numPr>
                <w:ilvl w:val="0"/>
                <w:numId w:val="3"/>
              </w:numPr>
              <w:jc w:val="both"/>
              <w:rPr>
                <w:sz w:val="28"/>
                <w:szCs w:val="28"/>
              </w:rPr>
            </w:pPr>
            <w:r w:rsidRPr="004367C7">
              <w:rPr>
                <w:sz w:val="28"/>
                <w:szCs w:val="28"/>
              </w:rPr>
              <w:t>kvalitātes dienests;</w:t>
            </w:r>
          </w:p>
          <w:p w:rsidR="00080020" w:rsidRPr="004367C7" w:rsidRDefault="005C2717" w:rsidP="005C2717">
            <w:pPr>
              <w:pStyle w:val="ListParagraph"/>
              <w:numPr>
                <w:ilvl w:val="0"/>
                <w:numId w:val="3"/>
              </w:numPr>
              <w:jc w:val="both"/>
              <w:rPr>
                <w:sz w:val="28"/>
                <w:szCs w:val="28"/>
              </w:rPr>
            </w:pPr>
            <w:r w:rsidRPr="004367C7">
              <w:rPr>
                <w:sz w:val="28"/>
                <w:szCs w:val="28"/>
              </w:rPr>
              <w:t>izglītības iestādes, kas īsteno pirmsskolas izglītības programmas, vispārējās izglītības programmas un profesionālās izglītības programmas izglītības (izņemot profesionālās tālākizglītības un profesionālās pilnveides izglītības un profesionālās ievirzes izglītības programmas);</w:t>
            </w:r>
          </w:p>
          <w:p w:rsidR="005C2717" w:rsidRPr="004367C7" w:rsidRDefault="005C2717" w:rsidP="005C2717">
            <w:pPr>
              <w:pStyle w:val="ListParagraph"/>
              <w:numPr>
                <w:ilvl w:val="0"/>
                <w:numId w:val="3"/>
              </w:numPr>
              <w:jc w:val="both"/>
              <w:rPr>
                <w:sz w:val="28"/>
                <w:szCs w:val="28"/>
              </w:rPr>
            </w:pPr>
            <w:r w:rsidRPr="004367C7">
              <w:rPr>
                <w:sz w:val="28"/>
                <w:szCs w:val="28"/>
              </w:rPr>
              <w:t>pašvaldības, kuru pienākums ir regulāri apkopot un analizēt izglītības iestāžu ievadīto informāciju VIIS par izglītojamo ilgstoši neattaisnotiem kavējumiem, to iemesliem un rīcību to novēršanai, kā arī koordinēt kavējumu novēršanu.</w:t>
            </w:r>
          </w:p>
        </w:tc>
      </w:tr>
      <w:tr w:rsidR="00080020" w:rsidRPr="004367C7" w:rsidTr="00F73A03">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spacing w:before="100" w:beforeAutospacing="1" w:after="100" w:afterAutospacing="1"/>
              <w:rPr>
                <w:sz w:val="28"/>
                <w:szCs w:val="28"/>
              </w:rPr>
            </w:pPr>
            <w:r w:rsidRPr="004367C7">
              <w:rPr>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spacing w:before="100" w:beforeAutospacing="1" w:after="100" w:afterAutospacing="1"/>
              <w:rPr>
                <w:sz w:val="28"/>
                <w:szCs w:val="28"/>
              </w:rPr>
            </w:pPr>
            <w:r w:rsidRPr="004367C7">
              <w:rPr>
                <w:sz w:val="28"/>
                <w:szCs w:val="28"/>
              </w:rPr>
              <w:t xml:space="preserve">Projekta izpildes ietekme </w:t>
            </w:r>
            <w:r w:rsidRPr="004367C7">
              <w:rPr>
                <w:sz w:val="28"/>
                <w:szCs w:val="28"/>
              </w:rPr>
              <w:lastRenderedPageBreak/>
              <w:t>uz pārvaldes funkcijām un institucionālo struktūru.</w:t>
            </w:r>
          </w:p>
          <w:p w:rsidR="00080020" w:rsidRPr="004367C7" w:rsidRDefault="00080020" w:rsidP="00F73A03">
            <w:pPr>
              <w:spacing w:before="100" w:beforeAutospacing="1" w:after="100" w:afterAutospacing="1"/>
              <w:rPr>
                <w:sz w:val="28"/>
                <w:szCs w:val="28"/>
              </w:rPr>
            </w:pPr>
            <w:r w:rsidRPr="004367C7">
              <w:rPr>
                <w:sz w:val="28"/>
                <w:szCs w:val="28"/>
              </w:rPr>
              <w:t xml:space="preserve">Jaunu institūciju izveide, esošu institūciju likvidācija vai reorganizācija, to ietekme uz institūcijas cilvēkresursiem </w:t>
            </w:r>
          </w:p>
        </w:tc>
        <w:tc>
          <w:tcPr>
            <w:tcW w:w="0" w:type="auto"/>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jc w:val="both"/>
              <w:rPr>
                <w:sz w:val="28"/>
                <w:szCs w:val="28"/>
              </w:rPr>
            </w:pPr>
            <w:r w:rsidRPr="004367C7">
              <w:rPr>
                <w:sz w:val="28"/>
                <w:szCs w:val="28"/>
              </w:rPr>
              <w:lastRenderedPageBreak/>
              <w:t xml:space="preserve">Noteikumu projekta izpilde notiks esošo resursu </w:t>
            </w:r>
            <w:r w:rsidRPr="004367C7">
              <w:rPr>
                <w:sz w:val="28"/>
                <w:szCs w:val="28"/>
              </w:rPr>
              <w:lastRenderedPageBreak/>
              <w:t>ietvaros, nepalielinot nodarbināto skaitu.</w:t>
            </w:r>
          </w:p>
          <w:p w:rsidR="00080020" w:rsidRPr="004367C7" w:rsidRDefault="00080020" w:rsidP="00F73A03">
            <w:pPr>
              <w:jc w:val="both"/>
              <w:rPr>
                <w:sz w:val="28"/>
                <w:szCs w:val="28"/>
              </w:rPr>
            </w:pPr>
            <w:r w:rsidRPr="004367C7">
              <w:rPr>
                <w:sz w:val="28"/>
                <w:szCs w:val="28"/>
              </w:rPr>
              <w:t xml:space="preserve">Jaunu institūciju izveide, esošu institūciju likvidācija vai reorganizācija nav nepieciešama. </w:t>
            </w:r>
          </w:p>
        </w:tc>
      </w:tr>
      <w:tr w:rsidR="00080020" w:rsidRPr="004367C7" w:rsidTr="00F73A03">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spacing w:before="100" w:beforeAutospacing="1" w:after="100" w:afterAutospacing="1"/>
              <w:rPr>
                <w:sz w:val="28"/>
                <w:szCs w:val="28"/>
              </w:rPr>
            </w:pPr>
            <w:r w:rsidRPr="004367C7">
              <w:rPr>
                <w:sz w:val="28"/>
                <w:szCs w:val="28"/>
              </w:rPr>
              <w:lastRenderedPageBreak/>
              <w:t>3.</w:t>
            </w:r>
          </w:p>
        </w:tc>
        <w:tc>
          <w:tcPr>
            <w:tcW w:w="0" w:type="auto"/>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spacing w:before="100" w:beforeAutospacing="1" w:after="100" w:afterAutospacing="1"/>
              <w:rPr>
                <w:sz w:val="28"/>
                <w:szCs w:val="28"/>
              </w:rPr>
            </w:pPr>
            <w:r w:rsidRPr="004367C7">
              <w:rPr>
                <w:sz w:val="28"/>
                <w:szCs w:val="28"/>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080020" w:rsidRPr="004367C7" w:rsidRDefault="00080020" w:rsidP="00F73A03">
            <w:pPr>
              <w:spacing w:before="100" w:beforeAutospacing="1" w:after="100" w:afterAutospacing="1"/>
              <w:jc w:val="both"/>
              <w:rPr>
                <w:sz w:val="28"/>
                <w:szCs w:val="28"/>
              </w:rPr>
            </w:pPr>
            <w:r w:rsidRPr="004367C7">
              <w:rPr>
                <w:sz w:val="28"/>
                <w:szCs w:val="28"/>
              </w:rPr>
              <w:t>Nav.</w:t>
            </w:r>
          </w:p>
        </w:tc>
      </w:tr>
    </w:tbl>
    <w:p w:rsidR="00592F0E" w:rsidRPr="004367C7" w:rsidRDefault="00592F0E" w:rsidP="00080020">
      <w:pPr>
        <w:jc w:val="center"/>
        <w:rPr>
          <w:i/>
          <w:sz w:val="28"/>
          <w:szCs w:val="28"/>
        </w:rPr>
      </w:pPr>
    </w:p>
    <w:p w:rsidR="00080020" w:rsidRPr="004367C7" w:rsidRDefault="00080020" w:rsidP="00080020">
      <w:pPr>
        <w:jc w:val="center"/>
        <w:rPr>
          <w:i/>
          <w:sz w:val="28"/>
          <w:szCs w:val="28"/>
        </w:rPr>
      </w:pPr>
      <w:r w:rsidRPr="004367C7">
        <w:rPr>
          <w:i/>
          <w:sz w:val="28"/>
          <w:szCs w:val="28"/>
        </w:rPr>
        <w:t>Anotācijas V sadaļa – noteikumu projekts šo jomu neskar.</w:t>
      </w:r>
    </w:p>
    <w:p w:rsidR="00050931" w:rsidRPr="004367C7" w:rsidRDefault="00050931" w:rsidP="006601FE">
      <w:pPr>
        <w:rPr>
          <w:sz w:val="28"/>
          <w:szCs w:val="28"/>
        </w:rPr>
      </w:pPr>
    </w:p>
    <w:p w:rsidR="00050931" w:rsidRPr="004367C7" w:rsidRDefault="00050931" w:rsidP="006601FE">
      <w:pPr>
        <w:rPr>
          <w:sz w:val="28"/>
          <w:szCs w:val="28"/>
        </w:rPr>
      </w:pPr>
    </w:p>
    <w:p w:rsidR="006601FE" w:rsidRPr="004367C7" w:rsidRDefault="00AB2E14" w:rsidP="006601FE">
      <w:pPr>
        <w:rPr>
          <w:sz w:val="28"/>
          <w:szCs w:val="28"/>
        </w:rPr>
      </w:pPr>
      <w:r w:rsidRPr="004367C7">
        <w:rPr>
          <w:sz w:val="28"/>
          <w:szCs w:val="28"/>
        </w:rPr>
        <w:t>Izglītības un zinātnes ministrs</w:t>
      </w:r>
      <w:r w:rsidR="00B7222A" w:rsidRPr="004367C7">
        <w:rPr>
          <w:sz w:val="28"/>
          <w:szCs w:val="28"/>
        </w:rPr>
        <w:t xml:space="preserve">     </w:t>
      </w:r>
      <w:r w:rsidR="00B7222A" w:rsidRPr="004367C7">
        <w:rPr>
          <w:sz w:val="28"/>
          <w:szCs w:val="28"/>
        </w:rPr>
        <w:tab/>
      </w:r>
      <w:r w:rsidR="00B7222A" w:rsidRPr="004367C7">
        <w:rPr>
          <w:sz w:val="28"/>
          <w:szCs w:val="28"/>
        </w:rPr>
        <w:tab/>
      </w:r>
      <w:r w:rsidR="00B7222A" w:rsidRPr="004367C7">
        <w:rPr>
          <w:sz w:val="28"/>
          <w:szCs w:val="28"/>
        </w:rPr>
        <w:tab/>
      </w:r>
      <w:r w:rsidR="00B7222A" w:rsidRPr="004367C7">
        <w:rPr>
          <w:sz w:val="28"/>
          <w:szCs w:val="28"/>
        </w:rPr>
        <w:tab/>
        <w:t xml:space="preserve">     </w:t>
      </w:r>
      <w:r w:rsidR="00B7222A" w:rsidRPr="004367C7">
        <w:rPr>
          <w:sz w:val="28"/>
          <w:szCs w:val="28"/>
        </w:rPr>
        <w:tab/>
      </w:r>
      <w:proofErr w:type="spellStart"/>
      <w:r w:rsidRPr="004367C7">
        <w:rPr>
          <w:sz w:val="28"/>
          <w:szCs w:val="28"/>
        </w:rPr>
        <w:t>K.Šadurskis</w:t>
      </w:r>
      <w:proofErr w:type="spellEnd"/>
    </w:p>
    <w:p w:rsidR="006601FE" w:rsidRPr="004367C7" w:rsidRDefault="006601FE" w:rsidP="00080020">
      <w:pPr>
        <w:pStyle w:val="Title"/>
        <w:jc w:val="both"/>
        <w:rPr>
          <w:b w:val="0"/>
          <w:sz w:val="28"/>
          <w:szCs w:val="28"/>
          <w:lang w:val="lv-LV"/>
        </w:rPr>
      </w:pPr>
    </w:p>
    <w:p w:rsidR="00592F0E" w:rsidRPr="004367C7" w:rsidRDefault="00592F0E" w:rsidP="00080020">
      <w:pPr>
        <w:pStyle w:val="Title"/>
        <w:jc w:val="both"/>
        <w:rPr>
          <w:b w:val="0"/>
          <w:sz w:val="28"/>
          <w:szCs w:val="28"/>
          <w:lang w:val="lv-LV"/>
        </w:rPr>
      </w:pPr>
    </w:p>
    <w:p w:rsidR="00080020" w:rsidRPr="004367C7" w:rsidRDefault="00080020" w:rsidP="00080020">
      <w:pPr>
        <w:pStyle w:val="Title"/>
        <w:jc w:val="both"/>
        <w:rPr>
          <w:b w:val="0"/>
          <w:sz w:val="28"/>
          <w:szCs w:val="28"/>
        </w:rPr>
      </w:pPr>
      <w:r w:rsidRPr="004367C7">
        <w:rPr>
          <w:b w:val="0"/>
          <w:sz w:val="28"/>
          <w:szCs w:val="28"/>
          <w:lang w:val="lv-LV"/>
        </w:rPr>
        <w:t>Vīza:</w:t>
      </w:r>
    </w:p>
    <w:p w:rsidR="00080020" w:rsidRPr="004367C7" w:rsidRDefault="00080020" w:rsidP="00080020">
      <w:pPr>
        <w:pStyle w:val="Title"/>
        <w:tabs>
          <w:tab w:val="left" w:pos="7230"/>
        </w:tabs>
        <w:jc w:val="both"/>
        <w:rPr>
          <w:b w:val="0"/>
          <w:sz w:val="28"/>
          <w:szCs w:val="28"/>
        </w:rPr>
      </w:pPr>
      <w:r w:rsidRPr="004367C7">
        <w:rPr>
          <w:b w:val="0"/>
          <w:sz w:val="28"/>
          <w:szCs w:val="28"/>
          <w:lang w:val="lv-LV"/>
        </w:rPr>
        <w:t>Valsts sekretāre</w:t>
      </w:r>
      <w:r w:rsidRPr="004367C7">
        <w:rPr>
          <w:b w:val="0"/>
          <w:sz w:val="28"/>
          <w:szCs w:val="28"/>
          <w:lang w:val="lv-LV"/>
        </w:rPr>
        <w:tab/>
        <w:t>L.Lejiņa</w:t>
      </w:r>
    </w:p>
    <w:p w:rsidR="00DA269E" w:rsidRPr="004367C7" w:rsidRDefault="00DA269E" w:rsidP="00080020">
      <w:pPr>
        <w:jc w:val="both"/>
        <w:rPr>
          <w:color w:val="000000"/>
          <w:sz w:val="28"/>
          <w:szCs w:val="28"/>
        </w:rPr>
      </w:pPr>
    </w:p>
    <w:p w:rsidR="00592F0E" w:rsidRPr="004367C7" w:rsidRDefault="00592F0E" w:rsidP="00080020">
      <w:pPr>
        <w:jc w:val="both"/>
        <w:rPr>
          <w:color w:val="000000"/>
          <w:sz w:val="28"/>
          <w:szCs w:val="28"/>
        </w:rPr>
      </w:pPr>
    </w:p>
    <w:p w:rsidR="00080020" w:rsidRPr="004367C7" w:rsidRDefault="00080020" w:rsidP="00080020">
      <w:pPr>
        <w:jc w:val="both"/>
        <w:rPr>
          <w:color w:val="000000"/>
          <w:sz w:val="20"/>
          <w:szCs w:val="20"/>
        </w:rPr>
      </w:pPr>
      <w:r w:rsidRPr="004367C7">
        <w:rPr>
          <w:color w:val="000000"/>
          <w:sz w:val="20"/>
          <w:szCs w:val="20"/>
        </w:rPr>
        <w:fldChar w:fldCharType="begin"/>
      </w:r>
      <w:r w:rsidRPr="004367C7">
        <w:rPr>
          <w:color w:val="000000"/>
          <w:sz w:val="20"/>
          <w:szCs w:val="20"/>
        </w:rPr>
        <w:instrText xml:space="preserve"> DATE  \@ "dd.MM.yyyy HH:mm"  \* MERGEFORMAT </w:instrText>
      </w:r>
      <w:r w:rsidRPr="004367C7">
        <w:rPr>
          <w:color w:val="000000"/>
          <w:sz w:val="20"/>
          <w:szCs w:val="20"/>
        </w:rPr>
        <w:fldChar w:fldCharType="separate"/>
      </w:r>
      <w:r w:rsidR="009C476E">
        <w:rPr>
          <w:noProof/>
          <w:color w:val="000000"/>
          <w:sz w:val="20"/>
          <w:szCs w:val="20"/>
        </w:rPr>
        <w:t>17.08.2016 12:28</w:t>
      </w:r>
      <w:r w:rsidRPr="004367C7">
        <w:rPr>
          <w:color w:val="000000"/>
          <w:sz w:val="20"/>
          <w:szCs w:val="20"/>
        </w:rPr>
        <w:fldChar w:fldCharType="end"/>
      </w:r>
    </w:p>
    <w:p w:rsidR="00080020" w:rsidRPr="004367C7" w:rsidRDefault="00991288" w:rsidP="00080020">
      <w:pPr>
        <w:jc w:val="both"/>
        <w:rPr>
          <w:color w:val="000000"/>
          <w:sz w:val="20"/>
          <w:szCs w:val="20"/>
        </w:rPr>
      </w:pPr>
      <w:r w:rsidRPr="004367C7">
        <w:rPr>
          <w:color w:val="000000"/>
          <w:sz w:val="20"/>
          <w:szCs w:val="20"/>
        </w:rPr>
        <w:t>2</w:t>
      </w:r>
      <w:r w:rsidR="005B43B4">
        <w:rPr>
          <w:color w:val="000000"/>
          <w:sz w:val="20"/>
          <w:szCs w:val="20"/>
        </w:rPr>
        <w:t>665</w:t>
      </w:r>
    </w:p>
    <w:p w:rsidR="00080020" w:rsidRPr="004367C7" w:rsidRDefault="00080020" w:rsidP="00080020">
      <w:pPr>
        <w:tabs>
          <w:tab w:val="left" w:pos="6663"/>
        </w:tabs>
        <w:jc w:val="both"/>
        <w:rPr>
          <w:color w:val="000000"/>
          <w:sz w:val="20"/>
          <w:szCs w:val="20"/>
        </w:rPr>
      </w:pPr>
      <w:proofErr w:type="spellStart"/>
      <w:r w:rsidRPr="004367C7">
        <w:rPr>
          <w:color w:val="000000"/>
          <w:sz w:val="20"/>
          <w:szCs w:val="20"/>
        </w:rPr>
        <w:t>I.J.Mihailovs</w:t>
      </w:r>
      <w:proofErr w:type="spellEnd"/>
    </w:p>
    <w:p w:rsidR="00080020" w:rsidRPr="004367C7" w:rsidRDefault="00080020" w:rsidP="00080020">
      <w:pPr>
        <w:tabs>
          <w:tab w:val="left" w:pos="6663"/>
        </w:tabs>
        <w:jc w:val="both"/>
        <w:rPr>
          <w:sz w:val="20"/>
          <w:szCs w:val="20"/>
        </w:rPr>
      </w:pPr>
      <w:r w:rsidRPr="004367C7">
        <w:rPr>
          <w:sz w:val="20"/>
          <w:szCs w:val="20"/>
        </w:rPr>
        <w:t xml:space="preserve">67507833; </w:t>
      </w:r>
      <w:hyperlink r:id="rId12" w:history="1">
        <w:r w:rsidRPr="004367C7">
          <w:rPr>
            <w:rStyle w:val="Hyperlink"/>
            <w:color w:val="auto"/>
            <w:sz w:val="20"/>
            <w:szCs w:val="20"/>
            <w:u w:val="none"/>
          </w:rPr>
          <w:t>Janis.Mihailovs@ikvd.gov.lv</w:t>
        </w:r>
      </w:hyperlink>
      <w:r w:rsidRPr="004367C7">
        <w:rPr>
          <w:sz w:val="20"/>
          <w:szCs w:val="20"/>
        </w:rPr>
        <w:t xml:space="preserve"> </w:t>
      </w:r>
    </w:p>
    <w:p w:rsidR="00080020" w:rsidRPr="004367C7" w:rsidRDefault="00080020" w:rsidP="00080020">
      <w:pPr>
        <w:spacing w:line="276" w:lineRule="auto"/>
        <w:ind w:right="-766"/>
        <w:jc w:val="both"/>
        <w:rPr>
          <w:color w:val="000000"/>
          <w:sz w:val="20"/>
          <w:szCs w:val="20"/>
        </w:rPr>
      </w:pPr>
      <w:r w:rsidRPr="004367C7">
        <w:rPr>
          <w:color w:val="000000"/>
          <w:sz w:val="20"/>
          <w:szCs w:val="20"/>
        </w:rPr>
        <w:t>A.Lasmane</w:t>
      </w:r>
    </w:p>
    <w:p w:rsidR="00B41FE9" w:rsidRDefault="00080020" w:rsidP="00080020">
      <w:pPr>
        <w:spacing w:line="276" w:lineRule="auto"/>
        <w:ind w:right="-766"/>
        <w:jc w:val="both"/>
      </w:pPr>
      <w:r w:rsidRPr="004367C7">
        <w:rPr>
          <w:color w:val="000000"/>
          <w:sz w:val="20"/>
          <w:szCs w:val="20"/>
        </w:rPr>
        <w:t xml:space="preserve">67367202; </w:t>
      </w:r>
      <w:hyperlink r:id="rId13" w:history="1">
        <w:r w:rsidRPr="004367C7">
          <w:rPr>
            <w:color w:val="000000"/>
            <w:sz w:val="20"/>
            <w:szCs w:val="20"/>
          </w:rPr>
          <w:t>Agnese.Lasmane@ikvd.gov.lv</w:t>
        </w:r>
      </w:hyperlink>
      <w:bookmarkStart w:id="0" w:name="_GoBack"/>
      <w:bookmarkEnd w:id="0"/>
    </w:p>
    <w:sectPr w:rsidR="00B41FE9" w:rsidSect="00175E31">
      <w:headerReference w:type="even" r:id="rId14"/>
      <w:headerReference w:type="default" r:id="rId15"/>
      <w:footerReference w:type="default" r:id="rId16"/>
      <w:footerReference w:type="first" r:id="rId17"/>
      <w:pgSz w:w="11906" w:h="16838" w:code="9"/>
      <w:pgMar w:top="1418" w:right="1134"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86" w:rsidRDefault="00213986" w:rsidP="00A327D3">
      <w:r>
        <w:separator/>
      </w:r>
    </w:p>
  </w:endnote>
  <w:endnote w:type="continuationSeparator" w:id="0">
    <w:p w:rsidR="00213986" w:rsidRDefault="00213986" w:rsidP="00A3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E31" w:rsidRPr="009B36E3" w:rsidRDefault="00D20067" w:rsidP="00175E31">
    <w:pPr>
      <w:pStyle w:val="Footer"/>
      <w:jc w:val="both"/>
      <w:rPr>
        <w:sz w:val="20"/>
        <w:szCs w:val="20"/>
      </w:rPr>
    </w:pPr>
    <w:r w:rsidRPr="00B14729">
      <w:rPr>
        <w:sz w:val="20"/>
        <w:szCs w:val="20"/>
      </w:rPr>
      <w:t>I</w:t>
    </w:r>
    <w:r>
      <w:rPr>
        <w:sz w:val="20"/>
        <w:szCs w:val="20"/>
      </w:rPr>
      <w:t>ZMAnot_</w:t>
    </w:r>
    <w:r w:rsidR="004367C7">
      <w:rPr>
        <w:sz w:val="20"/>
        <w:szCs w:val="20"/>
      </w:rPr>
      <w:t>1608</w:t>
    </w:r>
    <w:r>
      <w:rPr>
        <w:sz w:val="20"/>
        <w:szCs w:val="20"/>
      </w:rPr>
      <w:t>16_Groz8</w:t>
    </w:r>
    <w:r w:rsidR="00A327D3">
      <w:rPr>
        <w:sz w:val="20"/>
        <w:szCs w:val="20"/>
      </w:rPr>
      <w:t>9</w:t>
    </w:r>
    <w:r w:rsidRPr="00B14729">
      <w:rPr>
        <w:sz w:val="20"/>
        <w:szCs w:val="20"/>
      </w:rPr>
      <w:t>;</w:t>
    </w:r>
    <w:r w:rsidRPr="00BD29EA">
      <w:rPr>
        <w:sz w:val="20"/>
        <w:szCs w:val="20"/>
      </w:rPr>
      <w:t xml:space="preserve"> </w:t>
    </w:r>
    <w:r w:rsidRPr="009B36E3">
      <w:rPr>
        <w:sz w:val="20"/>
        <w:szCs w:val="20"/>
      </w:rPr>
      <w:t>Ministru kabineta noteikumu projekt</w:t>
    </w:r>
    <w:r>
      <w:rPr>
        <w:sz w:val="20"/>
        <w:szCs w:val="20"/>
      </w:rPr>
      <w:t>a</w:t>
    </w:r>
    <w:r w:rsidRPr="009B36E3">
      <w:rPr>
        <w:sz w:val="20"/>
        <w:szCs w:val="20"/>
      </w:rPr>
      <w:t xml:space="preserve"> „</w:t>
    </w:r>
    <w:r w:rsidR="00A327D3" w:rsidRPr="00A327D3">
      <w:rPr>
        <w:sz w:val="20"/>
        <w:szCs w:val="20"/>
      </w:rPr>
      <w:t>Grozījumi Ministru kabineta 2011. gada 1. februāra noteikumos Nr. 89 „Kārtība, kādā izglītības iestāde informē izglītojamo vecākus, pašvaldības vai valsts iestādes, ja izglītojamais bez attaisnojoša iemesla neapmeklē izglītības iestādi”</w:t>
    </w:r>
    <w:r>
      <w:rPr>
        <w:sz w:val="20"/>
        <w:szCs w:val="20"/>
      </w:rPr>
      <w:t xml:space="preserve">” </w:t>
    </w:r>
    <w:r w:rsidRPr="009B36E3">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E31" w:rsidRPr="009B36E3" w:rsidRDefault="00D20067" w:rsidP="00175E31">
    <w:pPr>
      <w:pStyle w:val="Footer"/>
      <w:jc w:val="both"/>
      <w:rPr>
        <w:sz w:val="20"/>
        <w:szCs w:val="20"/>
      </w:rPr>
    </w:pPr>
    <w:r w:rsidRPr="00B14729">
      <w:rPr>
        <w:sz w:val="20"/>
        <w:szCs w:val="20"/>
      </w:rPr>
      <w:t>I</w:t>
    </w:r>
    <w:r>
      <w:rPr>
        <w:sz w:val="20"/>
        <w:szCs w:val="20"/>
      </w:rPr>
      <w:t>ZMAnot_</w:t>
    </w:r>
    <w:r w:rsidR="004367C7">
      <w:rPr>
        <w:sz w:val="20"/>
        <w:szCs w:val="20"/>
      </w:rPr>
      <w:t>1608</w:t>
    </w:r>
    <w:r>
      <w:rPr>
        <w:sz w:val="20"/>
        <w:szCs w:val="20"/>
      </w:rPr>
      <w:t>16_Groz8</w:t>
    </w:r>
    <w:r w:rsidR="00A327D3">
      <w:rPr>
        <w:sz w:val="20"/>
        <w:szCs w:val="20"/>
      </w:rPr>
      <w:t>9</w:t>
    </w:r>
    <w:r w:rsidRPr="00B14729">
      <w:rPr>
        <w:sz w:val="20"/>
        <w:szCs w:val="20"/>
      </w:rPr>
      <w:t>;</w:t>
    </w:r>
    <w:r w:rsidRPr="00BD29EA">
      <w:rPr>
        <w:sz w:val="20"/>
        <w:szCs w:val="20"/>
      </w:rPr>
      <w:t xml:space="preserve"> </w:t>
    </w:r>
    <w:r w:rsidRPr="009B36E3">
      <w:rPr>
        <w:sz w:val="20"/>
        <w:szCs w:val="20"/>
      </w:rPr>
      <w:t>Mini</w:t>
    </w:r>
    <w:r>
      <w:rPr>
        <w:sz w:val="20"/>
        <w:szCs w:val="20"/>
      </w:rPr>
      <w:t>stru kabineta noteikumu projekta</w:t>
    </w:r>
    <w:r w:rsidRPr="009B36E3">
      <w:rPr>
        <w:sz w:val="20"/>
        <w:szCs w:val="20"/>
      </w:rPr>
      <w:t xml:space="preserve"> „</w:t>
    </w:r>
    <w:r w:rsidR="00A327D3" w:rsidRPr="00A327D3">
      <w:rPr>
        <w:sz w:val="20"/>
        <w:szCs w:val="20"/>
      </w:rPr>
      <w:t>Grozījumi Ministru kabineta 2011. gada 1. februāra noteikumos Nr. 89 „Kārtība, kādā izglītības iestāde informē izglītojamo vecākus, pašvaldības vai valsts iestādes, ja izglītojamais bez attaisnojoša iemesla neapmeklē izglītības iestādi”</w:t>
    </w:r>
    <w:r>
      <w:rPr>
        <w:sz w:val="20"/>
        <w:szCs w:val="20"/>
      </w:rPr>
      <w:t xml:space="preserve">” </w:t>
    </w:r>
    <w:r w:rsidRPr="009B36E3">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86" w:rsidRDefault="00213986" w:rsidP="00A327D3">
      <w:r>
        <w:separator/>
      </w:r>
    </w:p>
  </w:footnote>
  <w:footnote w:type="continuationSeparator" w:id="0">
    <w:p w:rsidR="00213986" w:rsidRDefault="00213986" w:rsidP="00A32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E31" w:rsidRDefault="00D200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5E31" w:rsidRDefault="00213986">
    <w:pPr>
      <w:pStyle w:val="Header"/>
    </w:pPr>
  </w:p>
  <w:p w:rsidR="00175E31" w:rsidRDefault="00213986"/>
  <w:p w:rsidR="00175E31" w:rsidRDefault="00213986"/>
  <w:p w:rsidR="00175E31" w:rsidRDefault="002139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E31" w:rsidRDefault="00D200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43B4">
      <w:rPr>
        <w:rStyle w:val="PageNumber"/>
        <w:noProof/>
      </w:rPr>
      <w:t>13</w:t>
    </w:r>
    <w:r>
      <w:rPr>
        <w:rStyle w:val="PageNumber"/>
      </w:rPr>
      <w:fldChar w:fldCharType="end"/>
    </w:r>
  </w:p>
  <w:p w:rsidR="00175E31" w:rsidRDefault="002139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6F81"/>
    <w:multiLevelType w:val="hybridMultilevel"/>
    <w:tmpl w:val="A7A299E8"/>
    <w:lvl w:ilvl="0" w:tplc="63D68D5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0AF5453"/>
    <w:multiLevelType w:val="hybridMultilevel"/>
    <w:tmpl w:val="3FF64406"/>
    <w:lvl w:ilvl="0" w:tplc="F1E2065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8C87F88"/>
    <w:multiLevelType w:val="hybridMultilevel"/>
    <w:tmpl w:val="E22085C0"/>
    <w:lvl w:ilvl="0" w:tplc="2C6A28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20"/>
    <w:rsid w:val="00004152"/>
    <w:rsid w:val="0001684D"/>
    <w:rsid w:val="00050931"/>
    <w:rsid w:val="00080020"/>
    <w:rsid w:val="000C660F"/>
    <w:rsid w:val="000D0D4F"/>
    <w:rsid w:val="000D29DE"/>
    <w:rsid w:val="0012697A"/>
    <w:rsid w:val="0012722A"/>
    <w:rsid w:val="00144E1E"/>
    <w:rsid w:val="00153D76"/>
    <w:rsid w:val="001A2A42"/>
    <w:rsid w:val="001D157B"/>
    <w:rsid w:val="00213986"/>
    <w:rsid w:val="00243234"/>
    <w:rsid w:val="00245F6C"/>
    <w:rsid w:val="002725BE"/>
    <w:rsid w:val="00292EBC"/>
    <w:rsid w:val="002C2665"/>
    <w:rsid w:val="002D5974"/>
    <w:rsid w:val="002E66E6"/>
    <w:rsid w:val="002F7DDA"/>
    <w:rsid w:val="003032A5"/>
    <w:rsid w:val="0032262F"/>
    <w:rsid w:val="00324F07"/>
    <w:rsid w:val="003462F3"/>
    <w:rsid w:val="0038184B"/>
    <w:rsid w:val="003841C5"/>
    <w:rsid w:val="003E160F"/>
    <w:rsid w:val="003E6111"/>
    <w:rsid w:val="00403DDE"/>
    <w:rsid w:val="00406142"/>
    <w:rsid w:val="00407B8C"/>
    <w:rsid w:val="00416378"/>
    <w:rsid w:val="004239C4"/>
    <w:rsid w:val="004330E8"/>
    <w:rsid w:val="004367C7"/>
    <w:rsid w:val="0045002B"/>
    <w:rsid w:val="0045671D"/>
    <w:rsid w:val="00464F92"/>
    <w:rsid w:val="004869B4"/>
    <w:rsid w:val="00541EEF"/>
    <w:rsid w:val="00556296"/>
    <w:rsid w:val="005742CE"/>
    <w:rsid w:val="00583A69"/>
    <w:rsid w:val="00584BCF"/>
    <w:rsid w:val="00592F0E"/>
    <w:rsid w:val="00594D88"/>
    <w:rsid w:val="005B43B4"/>
    <w:rsid w:val="005C2717"/>
    <w:rsid w:val="005C40CA"/>
    <w:rsid w:val="005F1510"/>
    <w:rsid w:val="005F4D90"/>
    <w:rsid w:val="00604362"/>
    <w:rsid w:val="00646DBB"/>
    <w:rsid w:val="006601FE"/>
    <w:rsid w:val="00675422"/>
    <w:rsid w:val="006B10E2"/>
    <w:rsid w:val="006C398E"/>
    <w:rsid w:val="006C4EC1"/>
    <w:rsid w:val="006F723A"/>
    <w:rsid w:val="0072417F"/>
    <w:rsid w:val="00753BFE"/>
    <w:rsid w:val="007A24B4"/>
    <w:rsid w:val="007C6B28"/>
    <w:rsid w:val="007E7572"/>
    <w:rsid w:val="00807E3E"/>
    <w:rsid w:val="008156ED"/>
    <w:rsid w:val="0088161C"/>
    <w:rsid w:val="008E1487"/>
    <w:rsid w:val="0090285B"/>
    <w:rsid w:val="009270E3"/>
    <w:rsid w:val="0094318E"/>
    <w:rsid w:val="00964DBF"/>
    <w:rsid w:val="00971934"/>
    <w:rsid w:val="00977F27"/>
    <w:rsid w:val="00982993"/>
    <w:rsid w:val="00991288"/>
    <w:rsid w:val="009C476E"/>
    <w:rsid w:val="00A006E9"/>
    <w:rsid w:val="00A14673"/>
    <w:rsid w:val="00A1499C"/>
    <w:rsid w:val="00A2093B"/>
    <w:rsid w:val="00A327D3"/>
    <w:rsid w:val="00A36280"/>
    <w:rsid w:val="00AA01B0"/>
    <w:rsid w:val="00AB2E14"/>
    <w:rsid w:val="00AD05C4"/>
    <w:rsid w:val="00AE02A3"/>
    <w:rsid w:val="00AF568E"/>
    <w:rsid w:val="00B05360"/>
    <w:rsid w:val="00B371C0"/>
    <w:rsid w:val="00B41FE9"/>
    <w:rsid w:val="00B47D4B"/>
    <w:rsid w:val="00B5507C"/>
    <w:rsid w:val="00B658D7"/>
    <w:rsid w:val="00B7222A"/>
    <w:rsid w:val="00B83E52"/>
    <w:rsid w:val="00B844C1"/>
    <w:rsid w:val="00BA2EEC"/>
    <w:rsid w:val="00BE1208"/>
    <w:rsid w:val="00BE33A9"/>
    <w:rsid w:val="00C245FF"/>
    <w:rsid w:val="00C71AA4"/>
    <w:rsid w:val="00C82072"/>
    <w:rsid w:val="00CA0CF3"/>
    <w:rsid w:val="00CB3E20"/>
    <w:rsid w:val="00CE5A43"/>
    <w:rsid w:val="00CF7C45"/>
    <w:rsid w:val="00D03F6C"/>
    <w:rsid w:val="00D20067"/>
    <w:rsid w:val="00D57430"/>
    <w:rsid w:val="00D74AEF"/>
    <w:rsid w:val="00DA269E"/>
    <w:rsid w:val="00DB04FB"/>
    <w:rsid w:val="00DD099E"/>
    <w:rsid w:val="00DD2607"/>
    <w:rsid w:val="00DE6A17"/>
    <w:rsid w:val="00E04A81"/>
    <w:rsid w:val="00E2252A"/>
    <w:rsid w:val="00E40CAE"/>
    <w:rsid w:val="00E71293"/>
    <w:rsid w:val="00E7578B"/>
    <w:rsid w:val="00E77C90"/>
    <w:rsid w:val="00ED235F"/>
    <w:rsid w:val="00EE0B20"/>
    <w:rsid w:val="00F2276B"/>
    <w:rsid w:val="00F548FE"/>
    <w:rsid w:val="00F75986"/>
    <w:rsid w:val="00F96D36"/>
    <w:rsid w:val="00FC70FC"/>
    <w:rsid w:val="00FE1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80020"/>
    <w:rPr>
      <w:color w:val="0000FF"/>
      <w:u w:val="single"/>
    </w:rPr>
  </w:style>
  <w:style w:type="paragraph" w:styleId="Header">
    <w:name w:val="header"/>
    <w:basedOn w:val="Normal"/>
    <w:link w:val="HeaderChar"/>
    <w:semiHidden/>
    <w:rsid w:val="00080020"/>
    <w:pPr>
      <w:tabs>
        <w:tab w:val="center" w:pos="4153"/>
        <w:tab w:val="right" w:pos="8306"/>
      </w:tabs>
    </w:pPr>
  </w:style>
  <w:style w:type="character" w:customStyle="1" w:styleId="HeaderChar">
    <w:name w:val="Header Char"/>
    <w:basedOn w:val="DefaultParagraphFont"/>
    <w:link w:val="Header"/>
    <w:semiHidden/>
    <w:rsid w:val="00080020"/>
    <w:rPr>
      <w:rFonts w:ascii="Times New Roman" w:eastAsia="Times New Roman" w:hAnsi="Times New Roman" w:cs="Times New Roman"/>
      <w:sz w:val="24"/>
      <w:szCs w:val="24"/>
      <w:lang w:eastAsia="lv-LV"/>
    </w:rPr>
  </w:style>
  <w:style w:type="paragraph" w:styleId="Footer">
    <w:name w:val="footer"/>
    <w:basedOn w:val="Normal"/>
    <w:link w:val="FooterChar"/>
    <w:rsid w:val="00080020"/>
    <w:pPr>
      <w:tabs>
        <w:tab w:val="center" w:pos="4153"/>
        <w:tab w:val="right" w:pos="8306"/>
      </w:tabs>
    </w:pPr>
  </w:style>
  <w:style w:type="character" w:customStyle="1" w:styleId="FooterChar">
    <w:name w:val="Footer Char"/>
    <w:basedOn w:val="DefaultParagraphFont"/>
    <w:link w:val="Footer"/>
    <w:rsid w:val="00080020"/>
    <w:rPr>
      <w:rFonts w:ascii="Times New Roman" w:eastAsia="Times New Roman" w:hAnsi="Times New Roman" w:cs="Times New Roman"/>
      <w:sz w:val="24"/>
      <w:szCs w:val="24"/>
      <w:lang w:eastAsia="lv-LV"/>
    </w:rPr>
  </w:style>
  <w:style w:type="character" w:styleId="PageNumber">
    <w:name w:val="page number"/>
    <w:basedOn w:val="DefaultParagraphFont"/>
    <w:semiHidden/>
    <w:rsid w:val="00080020"/>
  </w:style>
  <w:style w:type="paragraph" w:styleId="Title">
    <w:name w:val="Title"/>
    <w:basedOn w:val="Normal"/>
    <w:link w:val="TitleChar"/>
    <w:uiPriority w:val="99"/>
    <w:qFormat/>
    <w:rsid w:val="00080020"/>
    <w:pPr>
      <w:jc w:val="center"/>
    </w:pPr>
    <w:rPr>
      <w:b/>
      <w:szCs w:val="20"/>
      <w:lang w:val="x-none" w:eastAsia="x-none"/>
    </w:rPr>
  </w:style>
  <w:style w:type="character" w:customStyle="1" w:styleId="TitleChar">
    <w:name w:val="Title Char"/>
    <w:basedOn w:val="DefaultParagraphFont"/>
    <w:link w:val="Title"/>
    <w:uiPriority w:val="99"/>
    <w:rsid w:val="00080020"/>
    <w:rPr>
      <w:rFonts w:ascii="Times New Roman" w:eastAsia="Times New Roman" w:hAnsi="Times New Roman" w:cs="Times New Roman"/>
      <w:b/>
      <w:sz w:val="24"/>
      <w:szCs w:val="20"/>
      <w:lang w:val="x-none" w:eastAsia="x-none"/>
    </w:rPr>
  </w:style>
  <w:style w:type="table" w:styleId="TableGrid">
    <w:name w:val="Table Grid"/>
    <w:basedOn w:val="TableNormal"/>
    <w:rsid w:val="0008002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link w:val="naisfChar"/>
    <w:uiPriority w:val="99"/>
    <w:rsid w:val="00080020"/>
    <w:pPr>
      <w:spacing w:before="100" w:after="100"/>
      <w:jc w:val="both"/>
    </w:pPr>
    <w:rPr>
      <w:szCs w:val="20"/>
      <w:lang w:eastAsia="en-US"/>
    </w:rPr>
  </w:style>
  <w:style w:type="character" w:customStyle="1" w:styleId="naisfChar">
    <w:name w:val="naisf Char"/>
    <w:link w:val="naisf"/>
    <w:uiPriority w:val="99"/>
    <w:locked/>
    <w:rsid w:val="00080020"/>
    <w:rPr>
      <w:rFonts w:ascii="Times New Roman" w:eastAsia="Times New Roman" w:hAnsi="Times New Roman" w:cs="Times New Roman"/>
      <w:sz w:val="24"/>
      <w:szCs w:val="20"/>
    </w:rPr>
  </w:style>
  <w:style w:type="paragraph" w:customStyle="1" w:styleId="naisnod">
    <w:name w:val="naisnod"/>
    <w:basedOn w:val="Normal"/>
    <w:uiPriority w:val="99"/>
    <w:rsid w:val="00080020"/>
    <w:pPr>
      <w:spacing w:before="150" w:after="150"/>
      <w:jc w:val="center"/>
    </w:pPr>
    <w:rPr>
      <w:b/>
      <w:bCs/>
    </w:rPr>
  </w:style>
  <w:style w:type="paragraph" w:styleId="NormalWeb">
    <w:name w:val="Normal (Web)"/>
    <w:basedOn w:val="Normal"/>
    <w:uiPriority w:val="99"/>
    <w:unhideWhenUsed/>
    <w:rsid w:val="00080020"/>
    <w:pPr>
      <w:spacing w:before="100" w:beforeAutospacing="1" w:after="100" w:afterAutospacing="1"/>
    </w:pPr>
  </w:style>
  <w:style w:type="paragraph" w:customStyle="1" w:styleId="tv20787921">
    <w:name w:val="tv207_87_921"/>
    <w:basedOn w:val="Normal"/>
    <w:rsid w:val="00080020"/>
    <w:pPr>
      <w:spacing w:after="567" w:line="360" w:lineRule="auto"/>
      <w:jc w:val="center"/>
    </w:pPr>
    <w:rPr>
      <w:rFonts w:ascii="Verdana" w:hAnsi="Verdana"/>
      <w:b/>
      <w:bCs/>
      <w:sz w:val="28"/>
      <w:szCs w:val="28"/>
    </w:rPr>
  </w:style>
  <w:style w:type="paragraph" w:styleId="BalloonText">
    <w:name w:val="Balloon Text"/>
    <w:basedOn w:val="Normal"/>
    <w:link w:val="BalloonTextChar"/>
    <w:uiPriority w:val="99"/>
    <w:semiHidden/>
    <w:unhideWhenUsed/>
    <w:rsid w:val="00080020"/>
    <w:rPr>
      <w:rFonts w:ascii="Tahoma" w:hAnsi="Tahoma" w:cs="Tahoma"/>
      <w:sz w:val="16"/>
      <w:szCs w:val="16"/>
    </w:rPr>
  </w:style>
  <w:style w:type="character" w:customStyle="1" w:styleId="BalloonTextChar">
    <w:name w:val="Balloon Text Char"/>
    <w:basedOn w:val="DefaultParagraphFont"/>
    <w:link w:val="BalloonText"/>
    <w:uiPriority w:val="99"/>
    <w:semiHidden/>
    <w:rsid w:val="00080020"/>
    <w:rPr>
      <w:rFonts w:ascii="Tahoma" w:eastAsia="Times New Roman" w:hAnsi="Tahoma" w:cs="Tahoma"/>
      <w:sz w:val="16"/>
      <w:szCs w:val="16"/>
      <w:lang w:eastAsia="lv-LV"/>
    </w:rPr>
  </w:style>
  <w:style w:type="paragraph" w:styleId="ListParagraph">
    <w:name w:val="List Paragraph"/>
    <w:basedOn w:val="Normal"/>
    <w:uiPriority w:val="34"/>
    <w:qFormat/>
    <w:rsid w:val="00E40C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80020"/>
    <w:rPr>
      <w:color w:val="0000FF"/>
      <w:u w:val="single"/>
    </w:rPr>
  </w:style>
  <w:style w:type="paragraph" w:styleId="Header">
    <w:name w:val="header"/>
    <w:basedOn w:val="Normal"/>
    <w:link w:val="HeaderChar"/>
    <w:semiHidden/>
    <w:rsid w:val="00080020"/>
    <w:pPr>
      <w:tabs>
        <w:tab w:val="center" w:pos="4153"/>
        <w:tab w:val="right" w:pos="8306"/>
      </w:tabs>
    </w:pPr>
  </w:style>
  <w:style w:type="character" w:customStyle="1" w:styleId="HeaderChar">
    <w:name w:val="Header Char"/>
    <w:basedOn w:val="DefaultParagraphFont"/>
    <w:link w:val="Header"/>
    <w:semiHidden/>
    <w:rsid w:val="00080020"/>
    <w:rPr>
      <w:rFonts w:ascii="Times New Roman" w:eastAsia="Times New Roman" w:hAnsi="Times New Roman" w:cs="Times New Roman"/>
      <w:sz w:val="24"/>
      <w:szCs w:val="24"/>
      <w:lang w:eastAsia="lv-LV"/>
    </w:rPr>
  </w:style>
  <w:style w:type="paragraph" w:styleId="Footer">
    <w:name w:val="footer"/>
    <w:basedOn w:val="Normal"/>
    <w:link w:val="FooterChar"/>
    <w:rsid w:val="00080020"/>
    <w:pPr>
      <w:tabs>
        <w:tab w:val="center" w:pos="4153"/>
        <w:tab w:val="right" w:pos="8306"/>
      </w:tabs>
    </w:pPr>
  </w:style>
  <w:style w:type="character" w:customStyle="1" w:styleId="FooterChar">
    <w:name w:val="Footer Char"/>
    <w:basedOn w:val="DefaultParagraphFont"/>
    <w:link w:val="Footer"/>
    <w:rsid w:val="00080020"/>
    <w:rPr>
      <w:rFonts w:ascii="Times New Roman" w:eastAsia="Times New Roman" w:hAnsi="Times New Roman" w:cs="Times New Roman"/>
      <w:sz w:val="24"/>
      <w:szCs w:val="24"/>
      <w:lang w:eastAsia="lv-LV"/>
    </w:rPr>
  </w:style>
  <w:style w:type="character" w:styleId="PageNumber">
    <w:name w:val="page number"/>
    <w:basedOn w:val="DefaultParagraphFont"/>
    <w:semiHidden/>
    <w:rsid w:val="00080020"/>
  </w:style>
  <w:style w:type="paragraph" w:styleId="Title">
    <w:name w:val="Title"/>
    <w:basedOn w:val="Normal"/>
    <w:link w:val="TitleChar"/>
    <w:uiPriority w:val="99"/>
    <w:qFormat/>
    <w:rsid w:val="00080020"/>
    <w:pPr>
      <w:jc w:val="center"/>
    </w:pPr>
    <w:rPr>
      <w:b/>
      <w:szCs w:val="20"/>
      <w:lang w:val="x-none" w:eastAsia="x-none"/>
    </w:rPr>
  </w:style>
  <w:style w:type="character" w:customStyle="1" w:styleId="TitleChar">
    <w:name w:val="Title Char"/>
    <w:basedOn w:val="DefaultParagraphFont"/>
    <w:link w:val="Title"/>
    <w:uiPriority w:val="99"/>
    <w:rsid w:val="00080020"/>
    <w:rPr>
      <w:rFonts w:ascii="Times New Roman" w:eastAsia="Times New Roman" w:hAnsi="Times New Roman" w:cs="Times New Roman"/>
      <w:b/>
      <w:sz w:val="24"/>
      <w:szCs w:val="20"/>
      <w:lang w:val="x-none" w:eastAsia="x-none"/>
    </w:rPr>
  </w:style>
  <w:style w:type="table" w:styleId="TableGrid">
    <w:name w:val="Table Grid"/>
    <w:basedOn w:val="TableNormal"/>
    <w:rsid w:val="0008002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link w:val="naisfChar"/>
    <w:uiPriority w:val="99"/>
    <w:rsid w:val="00080020"/>
    <w:pPr>
      <w:spacing w:before="100" w:after="100"/>
      <w:jc w:val="both"/>
    </w:pPr>
    <w:rPr>
      <w:szCs w:val="20"/>
      <w:lang w:eastAsia="en-US"/>
    </w:rPr>
  </w:style>
  <w:style w:type="character" w:customStyle="1" w:styleId="naisfChar">
    <w:name w:val="naisf Char"/>
    <w:link w:val="naisf"/>
    <w:uiPriority w:val="99"/>
    <w:locked/>
    <w:rsid w:val="00080020"/>
    <w:rPr>
      <w:rFonts w:ascii="Times New Roman" w:eastAsia="Times New Roman" w:hAnsi="Times New Roman" w:cs="Times New Roman"/>
      <w:sz w:val="24"/>
      <w:szCs w:val="20"/>
    </w:rPr>
  </w:style>
  <w:style w:type="paragraph" w:customStyle="1" w:styleId="naisnod">
    <w:name w:val="naisnod"/>
    <w:basedOn w:val="Normal"/>
    <w:uiPriority w:val="99"/>
    <w:rsid w:val="00080020"/>
    <w:pPr>
      <w:spacing w:before="150" w:after="150"/>
      <w:jc w:val="center"/>
    </w:pPr>
    <w:rPr>
      <w:b/>
      <w:bCs/>
    </w:rPr>
  </w:style>
  <w:style w:type="paragraph" w:styleId="NormalWeb">
    <w:name w:val="Normal (Web)"/>
    <w:basedOn w:val="Normal"/>
    <w:uiPriority w:val="99"/>
    <w:unhideWhenUsed/>
    <w:rsid w:val="00080020"/>
    <w:pPr>
      <w:spacing w:before="100" w:beforeAutospacing="1" w:after="100" w:afterAutospacing="1"/>
    </w:pPr>
  </w:style>
  <w:style w:type="paragraph" w:customStyle="1" w:styleId="tv20787921">
    <w:name w:val="tv207_87_921"/>
    <w:basedOn w:val="Normal"/>
    <w:rsid w:val="00080020"/>
    <w:pPr>
      <w:spacing w:after="567" w:line="360" w:lineRule="auto"/>
      <w:jc w:val="center"/>
    </w:pPr>
    <w:rPr>
      <w:rFonts w:ascii="Verdana" w:hAnsi="Verdana"/>
      <w:b/>
      <w:bCs/>
      <w:sz w:val="28"/>
      <w:szCs w:val="28"/>
    </w:rPr>
  </w:style>
  <w:style w:type="paragraph" w:styleId="BalloonText">
    <w:name w:val="Balloon Text"/>
    <w:basedOn w:val="Normal"/>
    <w:link w:val="BalloonTextChar"/>
    <w:uiPriority w:val="99"/>
    <w:semiHidden/>
    <w:unhideWhenUsed/>
    <w:rsid w:val="00080020"/>
    <w:rPr>
      <w:rFonts w:ascii="Tahoma" w:hAnsi="Tahoma" w:cs="Tahoma"/>
      <w:sz w:val="16"/>
      <w:szCs w:val="16"/>
    </w:rPr>
  </w:style>
  <w:style w:type="character" w:customStyle="1" w:styleId="BalloonTextChar">
    <w:name w:val="Balloon Text Char"/>
    <w:basedOn w:val="DefaultParagraphFont"/>
    <w:link w:val="BalloonText"/>
    <w:uiPriority w:val="99"/>
    <w:semiHidden/>
    <w:rsid w:val="00080020"/>
    <w:rPr>
      <w:rFonts w:ascii="Tahoma" w:eastAsia="Times New Roman" w:hAnsi="Tahoma" w:cs="Tahoma"/>
      <w:sz w:val="16"/>
      <w:szCs w:val="16"/>
      <w:lang w:eastAsia="lv-LV"/>
    </w:rPr>
  </w:style>
  <w:style w:type="paragraph" w:styleId="ListParagraph">
    <w:name w:val="List Paragraph"/>
    <w:basedOn w:val="Normal"/>
    <w:uiPriority w:val="34"/>
    <w:qFormat/>
    <w:rsid w:val="00E40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nese.Lasmane@ikvd.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nis.Mihailovs@ikvd.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kvd.gov.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kvd.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kvd.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84C8E-3F21-4E13-B9E0-109A7752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14396</Words>
  <Characters>8207</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Andra.Senberga</cp:lastModifiedBy>
  <cp:revision>2</cp:revision>
  <cp:lastPrinted>2016-07-14T12:48:00Z</cp:lastPrinted>
  <dcterms:created xsi:type="dcterms:W3CDTF">2016-08-17T09:33:00Z</dcterms:created>
  <dcterms:modified xsi:type="dcterms:W3CDTF">2016-08-17T09:33:00Z</dcterms:modified>
</cp:coreProperties>
</file>