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6" w:rsidRPr="00DE0915" w:rsidRDefault="009E5FCB" w:rsidP="00DE0915">
      <w:pPr>
        <w:jc w:val="center"/>
        <w:rPr>
          <w:b/>
          <w:bCs/>
          <w:color w:val="000000"/>
          <w:szCs w:val="28"/>
          <w:lang w:eastAsia="lv-LV"/>
        </w:rPr>
      </w:pPr>
      <w:r>
        <w:rPr>
          <w:b/>
          <w:bCs/>
          <w:color w:val="000000"/>
          <w:szCs w:val="28"/>
          <w:lang w:eastAsia="lv-LV"/>
        </w:rPr>
        <w:t>Likum</w:t>
      </w:r>
      <w:r w:rsidR="009A22F6" w:rsidRPr="00DE0915">
        <w:rPr>
          <w:b/>
          <w:bCs/>
          <w:color w:val="000000"/>
          <w:szCs w:val="28"/>
          <w:lang w:eastAsia="lv-LV"/>
        </w:rPr>
        <w:t>projekta „</w:t>
      </w:r>
      <w:r w:rsidRPr="009E5FCB">
        <w:rPr>
          <w:b/>
          <w:bCs/>
          <w:color w:val="000000"/>
          <w:szCs w:val="28"/>
          <w:lang w:eastAsia="lv-LV"/>
        </w:rPr>
        <w:t>Grozījums Latvijas Administratīvo pārkāpumu kodeksā</w:t>
      </w:r>
      <w:r w:rsidR="009A22F6" w:rsidRPr="00DE0915">
        <w:rPr>
          <w:b/>
          <w:bCs/>
          <w:color w:val="000000"/>
          <w:szCs w:val="28"/>
          <w:lang w:eastAsia="lv-LV"/>
        </w:rPr>
        <w:t>” sākotnējās ietekmes novērtējuma ziņojums (anotācija)</w:t>
      </w: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923"/>
        <w:gridCol w:w="6285"/>
      </w:tblGrid>
      <w:tr w:rsidR="009A22F6" w:rsidRPr="00B2758C" w:rsidTr="007D7602">
        <w:trPr>
          <w:trHeight w:val="40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w:t>
            </w:r>
            <w:r w:rsidR="009F7AA2">
              <w:rPr>
                <w:b/>
                <w:bCs/>
                <w:color w:val="000000"/>
                <w:szCs w:val="28"/>
                <w:lang w:eastAsia="lv-LV"/>
              </w:rPr>
              <w:t>.</w:t>
            </w:r>
            <w:r w:rsidR="009A22F6" w:rsidRPr="008B42C6">
              <w:rPr>
                <w:b/>
                <w:bCs/>
                <w:color w:val="000000"/>
                <w:szCs w:val="28"/>
                <w:lang w:eastAsia="lv-LV"/>
              </w:rPr>
              <w:t xml:space="preserve"> Tiesību akta projekta izstrādes nepieciešamība</w:t>
            </w:r>
          </w:p>
        </w:tc>
      </w:tr>
      <w:tr w:rsidR="009A22F6" w:rsidRPr="00B2758C" w:rsidTr="00DE1F89">
        <w:trPr>
          <w:trHeight w:val="40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1.</w:t>
            </w:r>
          </w:p>
        </w:tc>
        <w:tc>
          <w:tcPr>
            <w:tcW w:w="151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Pamatojums</w:t>
            </w:r>
          </w:p>
        </w:tc>
        <w:tc>
          <w:tcPr>
            <w:tcW w:w="3247" w:type="pct"/>
            <w:tcBorders>
              <w:top w:val="outset" w:sz="6" w:space="0" w:color="414142"/>
              <w:left w:val="outset" w:sz="6" w:space="0" w:color="414142"/>
              <w:bottom w:val="outset" w:sz="6" w:space="0" w:color="414142"/>
            </w:tcBorders>
          </w:tcPr>
          <w:p w:rsidR="00DE1F89" w:rsidRDefault="009E5FCB" w:rsidP="009E5FCB">
            <w:pPr>
              <w:ind w:firstLine="682"/>
              <w:jc w:val="both"/>
              <w:rPr>
                <w:color w:val="000000"/>
                <w:szCs w:val="28"/>
                <w:lang w:eastAsia="lv-LV"/>
              </w:rPr>
            </w:pPr>
            <w:r>
              <w:rPr>
                <w:color w:val="000000"/>
                <w:szCs w:val="28"/>
                <w:lang w:eastAsia="lv-LV"/>
              </w:rPr>
              <w:t xml:space="preserve">Likumprojekts </w:t>
            </w:r>
            <w:r w:rsidR="00843472" w:rsidRPr="00843472">
              <w:rPr>
                <w:color w:val="000000"/>
                <w:szCs w:val="28"/>
                <w:lang w:eastAsia="lv-LV"/>
              </w:rPr>
              <w:t>„Grozījums Latvijas Administratīvo pārkāpumu kodeksā”</w:t>
            </w:r>
            <w:r w:rsidR="00843472">
              <w:rPr>
                <w:color w:val="000000"/>
                <w:szCs w:val="28"/>
                <w:lang w:eastAsia="lv-LV"/>
              </w:rPr>
              <w:t xml:space="preserve"> (turpmāk – projekts) </w:t>
            </w:r>
            <w:r>
              <w:rPr>
                <w:color w:val="000000"/>
                <w:szCs w:val="28"/>
                <w:lang w:eastAsia="lv-LV"/>
              </w:rPr>
              <w:t>izstrādāts pēc Satiksmes ministrijas iniciatīvas un atbilstoši</w:t>
            </w:r>
            <w:r w:rsidR="00DE1F89">
              <w:rPr>
                <w:color w:val="000000"/>
                <w:szCs w:val="28"/>
                <w:lang w:eastAsia="lv-LV"/>
              </w:rPr>
              <w:t>:</w:t>
            </w:r>
          </w:p>
          <w:p w:rsidR="009A22F6" w:rsidRDefault="00DE1F89" w:rsidP="009E5FCB">
            <w:pPr>
              <w:ind w:firstLine="682"/>
              <w:jc w:val="both"/>
              <w:rPr>
                <w:color w:val="000000"/>
                <w:szCs w:val="28"/>
                <w:lang w:eastAsia="lv-LV"/>
              </w:rPr>
            </w:pPr>
            <w:r>
              <w:rPr>
                <w:color w:val="000000"/>
                <w:szCs w:val="28"/>
                <w:lang w:eastAsia="lv-LV"/>
              </w:rPr>
              <w:t>1)</w:t>
            </w:r>
            <w:r w:rsidR="009E5FCB">
              <w:rPr>
                <w:color w:val="000000"/>
                <w:szCs w:val="28"/>
                <w:lang w:eastAsia="lv-LV"/>
              </w:rPr>
              <w:t xml:space="preserve"> </w:t>
            </w:r>
            <w:r w:rsidR="009E5FCB" w:rsidRPr="009E5FCB">
              <w:rPr>
                <w:color w:val="000000"/>
                <w:szCs w:val="28"/>
                <w:lang w:eastAsia="lv-LV"/>
              </w:rPr>
              <w:t>Ministru kabineta 2016.gada 31.maija sēdes protoko</w:t>
            </w:r>
            <w:r w:rsidR="009E5FCB">
              <w:rPr>
                <w:color w:val="000000"/>
                <w:szCs w:val="28"/>
                <w:lang w:eastAsia="lv-LV"/>
              </w:rPr>
              <w:t xml:space="preserve">la </w:t>
            </w:r>
            <w:r w:rsidR="00FB0813">
              <w:rPr>
                <w:color w:val="000000"/>
                <w:szCs w:val="28"/>
                <w:lang w:eastAsia="lv-LV"/>
              </w:rPr>
              <w:t>(prot.</w:t>
            </w:r>
            <w:r>
              <w:rPr>
                <w:color w:val="000000"/>
                <w:szCs w:val="28"/>
                <w:lang w:eastAsia="lv-LV"/>
              </w:rPr>
              <w:t xml:space="preserve"> </w:t>
            </w:r>
            <w:r w:rsidR="009E5FCB">
              <w:rPr>
                <w:color w:val="000000"/>
                <w:szCs w:val="28"/>
                <w:lang w:eastAsia="lv-LV"/>
              </w:rPr>
              <w:t>Nr. 26 39.§</w:t>
            </w:r>
            <w:r>
              <w:rPr>
                <w:color w:val="000000"/>
                <w:szCs w:val="28"/>
                <w:lang w:eastAsia="lv-LV"/>
              </w:rPr>
              <w:t>)</w:t>
            </w:r>
            <w:r w:rsidR="009E5FCB">
              <w:rPr>
                <w:color w:val="000000"/>
                <w:szCs w:val="28"/>
                <w:lang w:eastAsia="lv-LV"/>
              </w:rPr>
              <w:t xml:space="preserve"> 6.13. apakšpunktam, saskaņā ar kuru</w:t>
            </w:r>
            <w:r w:rsidR="009E5FCB" w:rsidRPr="009E5FCB">
              <w:rPr>
                <w:color w:val="000000"/>
                <w:szCs w:val="28"/>
                <w:lang w:eastAsia="lv-LV"/>
              </w:rPr>
              <w:t xml:space="preserve"> Satiksmes ministrijai uzdots veikt nepieciešamos pasākumus, lai nodrošinātu plānoto ieņēmumu no autoceļu lietošanas nodevas izpildi 2016., 2017. un 2018.gadā 25 000 000 </w:t>
            </w:r>
            <w:proofErr w:type="spellStart"/>
            <w:r w:rsidR="009E5FCB" w:rsidRPr="009E5FCB">
              <w:rPr>
                <w:i/>
                <w:color w:val="000000"/>
                <w:szCs w:val="28"/>
                <w:lang w:eastAsia="lv-LV"/>
              </w:rPr>
              <w:t>euro</w:t>
            </w:r>
            <w:proofErr w:type="spellEnd"/>
            <w:r w:rsidR="009E5FCB" w:rsidRPr="009E5FCB">
              <w:rPr>
                <w:color w:val="000000"/>
                <w:szCs w:val="28"/>
                <w:lang w:eastAsia="lv-LV"/>
              </w:rPr>
              <w:t xml:space="preserve"> apmērā ik gadu, tādējādi nodrošinot finansēšanas avotu Satiksmes ministrijas budžeta apakšprogrammas 23.06.00 “Valsts autoceļu pārvaldīšana, uzturēšana un atjaunošana” izdevumiem valsts galveno aut</w:t>
            </w:r>
            <w:r>
              <w:rPr>
                <w:color w:val="000000"/>
                <w:szCs w:val="28"/>
                <w:lang w:eastAsia="lv-LV"/>
              </w:rPr>
              <w:t>oceļu uzturēšanai un attīstībai;</w:t>
            </w:r>
          </w:p>
          <w:p w:rsidR="00DE1F89" w:rsidRPr="008B42C6" w:rsidRDefault="00DE1F89" w:rsidP="00DE1F89">
            <w:pPr>
              <w:ind w:firstLine="682"/>
              <w:jc w:val="both"/>
              <w:rPr>
                <w:color w:val="000000"/>
                <w:szCs w:val="28"/>
                <w:lang w:eastAsia="lv-LV"/>
              </w:rPr>
            </w:pPr>
            <w:r>
              <w:rPr>
                <w:color w:val="000000"/>
                <w:szCs w:val="28"/>
                <w:lang w:eastAsia="lv-LV"/>
              </w:rPr>
              <w:t>2) Ministru kabineta 2016.gada 2</w:t>
            </w:r>
            <w:r w:rsidRPr="009E5FCB">
              <w:rPr>
                <w:color w:val="000000"/>
                <w:szCs w:val="28"/>
                <w:lang w:eastAsia="lv-LV"/>
              </w:rPr>
              <w:t>.</w:t>
            </w:r>
            <w:r>
              <w:rPr>
                <w:color w:val="000000"/>
                <w:szCs w:val="28"/>
                <w:lang w:eastAsia="lv-LV"/>
              </w:rPr>
              <w:t>augusta</w:t>
            </w:r>
            <w:r w:rsidRPr="009E5FCB">
              <w:rPr>
                <w:color w:val="000000"/>
                <w:szCs w:val="28"/>
                <w:lang w:eastAsia="lv-LV"/>
              </w:rPr>
              <w:t xml:space="preserve"> sēdes protoko</w:t>
            </w:r>
            <w:r>
              <w:rPr>
                <w:color w:val="000000"/>
                <w:szCs w:val="28"/>
                <w:lang w:eastAsia="lv-LV"/>
              </w:rPr>
              <w:t>la (prot. Nr. 38 49.§) 9.2. apakšpunktam, saskaņā ar kuru</w:t>
            </w:r>
            <w:r w:rsidRPr="009E5FCB">
              <w:rPr>
                <w:color w:val="000000"/>
                <w:szCs w:val="28"/>
                <w:lang w:eastAsia="lv-LV"/>
              </w:rPr>
              <w:t xml:space="preserve"> Satiksmes ministrijai uzdots</w:t>
            </w:r>
            <w:r>
              <w:rPr>
                <w:color w:val="000000"/>
                <w:szCs w:val="28"/>
                <w:lang w:eastAsia="lv-LV"/>
              </w:rPr>
              <w:t xml:space="preserve"> izstrādāt </w:t>
            </w:r>
            <w:r w:rsidRPr="00DE1F89">
              <w:rPr>
                <w:color w:val="000000"/>
                <w:szCs w:val="28"/>
                <w:lang w:eastAsia="lv-LV"/>
              </w:rPr>
              <w:t>grozījumus Latvijas Administratīvo pārkāpumu kodeksa 149.</w:t>
            </w:r>
            <w:r w:rsidRPr="00DE1F89">
              <w:rPr>
                <w:color w:val="000000"/>
                <w:szCs w:val="28"/>
                <w:vertAlign w:val="superscript"/>
                <w:lang w:eastAsia="lv-LV"/>
              </w:rPr>
              <w:t>40</w:t>
            </w:r>
            <w:r w:rsidRPr="00DE1F89">
              <w:rPr>
                <w:color w:val="000000"/>
                <w:szCs w:val="28"/>
                <w:lang w:eastAsia="lv-LV"/>
              </w:rPr>
              <w:t xml:space="preserve"> pantā, palielinot sodus par autoceļu lietošanas nodevas pārkāpumiem</w:t>
            </w:r>
            <w:r>
              <w:rPr>
                <w:color w:val="000000"/>
                <w:szCs w:val="28"/>
                <w:lang w:eastAsia="lv-LV"/>
              </w:rPr>
              <w:t>.</w:t>
            </w:r>
          </w:p>
        </w:tc>
      </w:tr>
      <w:tr w:rsidR="009A22F6" w:rsidRPr="00B2758C" w:rsidTr="00DE1F89">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2.</w:t>
            </w:r>
          </w:p>
        </w:tc>
        <w:tc>
          <w:tcPr>
            <w:tcW w:w="151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Pašreizējā situācija un problēmas, kuru risināšanai tiesību akta projekts izstrādāts, tiesiskā regulējuma mērķis un būtība</w:t>
            </w:r>
          </w:p>
        </w:tc>
        <w:tc>
          <w:tcPr>
            <w:tcW w:w="3247" w:type="pct"/>
            <w:tcBorders>
              <w:top w:val="outset" w:sz="6" w:space="0" w:color="414142"/>
              <w:left w:val="outset" w:sz="6" w:space="0" w:color="414142"/>
              <w:bottom w:val="outset" w:sz="6" w:space="0" w:color="414142"/>
            </w:tcBorders>
          </w:tcPr>
          <w:p w:rsidR="009E5FCB" w:rsidRPr="009E5FCB" w:rsidRDefault="009E5FCB" w:rsidP="009E5FCB">
            <w:pPr>
              <w:ind w:firstLine="720"/>
              <w:jc w:val="both"/>
              <w:rPr>
                <w:szCs w:val="28"/>
              </w:rPr>
            </w:pPr>
            <w:r w:rsidRPr="009E5FCB">
              <w:rPr>
                <w:szCs w:val="28"/>
              </w:rPr>
              <w:t xml:space="preserve">Grozījumi </w:t>
            </w:r>
            <w:r w:rsidR="00FB0813" w:rsidRPr="00FB0813">
              <w:rPr>
                <w:szCs w:val="28"/>
              </w:rPr>
              <w:t xml:space="preserve">Latvijas Administratīvo pārkāpumu kodeksa </w:t>
            </w:r>
            <w:r w:rsidR="00FB0813">
              <w:rPr>
                <w:szCs w:val="28"/>
              </w:rPr>
              <w:t xml:space="preserve">(turpmāk – </w:t>
            </w:r>
            <w:r w:rsidRPr="009E5FCB">
              <w:rPr>
                <w:szCs w:val="28"/>
              </w:rPr>
              <w:t>LAPK</w:t>
            </w:r>
            <w:r w:rsidR="00FB0813">
              <w:rPr>
                <w:szCs w:val="28"/>
              </w:rPr>
              <w:t>)</w:t>
            </w:r>
            <w:r w:rsidRPr="009E5FCB">
              <w:rPr>
                <w:szCs w:val="28"/>
              </w:rPr>
              <w:t xml:space="preserve"> 149.</w:t>
            </w:r>
            <w:r w:rsidRPr="009E5FCB">
              <w:rPr>
                <w:szCs w:val="28"/>
                <w:vertAlign w:val="superscript"/>
              </w:rPr>
              <w:t>40</w:t>
            </w:r>
            <w:r w:rsidRPr="009E5FCB">
              <w:rPr>
                <w:szCs w:val="28"/>
              </w:rPr>
              <w:t xml:space="preserve"> pantā, palielinot sodus par autoceļu lietošanas nodevas pārkāpumiem, ir nepieciešami, lai motivētu transportlīdzekļu vadītājus un pārvadātājus aktīvāk maksāt autoceļu lietošanas nodevu. </w:t>
            </w:r>
            <w:r w:rsidR="00531160">
              <w:rPr>
                <w:szCs w:val="28"/>
              </w:rPr>
              <w:t xml:space="preserve">Tā kā </w:t>
            </w:r>
            <w:r w:rsidR="00531160" w:rsidRPr="00865AC3">
              <w:rPr>
                <w:szCs w:val="28"/>
              </w:rPr>
              <w:t>i</w:t>
            </w:r>
            <w:r w:rsidRPr="00531160">
              <w:rPr>
                <w:szCs w:val="28"/>
              </w:rPr>
              <w:t>eņēmumi no autoceļu lietošanas nodevas 100 % apmērā tiek novirzīti valsts autoceļiem</w:t>
            </w:r>
            <w:r w:rsidR="00531160">
              <w:rPr>
                <w:szCs w:val="28"/>
              </w:rPr>
              <w:t>,</w:t>
            </w:r>
            <w:r w:rsidRPr="009E5FCB">
              <w:rPr>
                <w:szCs w:val="28"/>
              </w:rPr>
              <w:t xml:space="preserve"> </w:t>
            </w:r>
            <w:r w:rsidR="00531160">
              <w:rPr>
                <w:szCs w:val="28"/>
              </w:rPr>
              <w:t>p</w:t>
            </w:r>
            <w:r>
              <w:rPr>
                <w:szCs w:val="28"/>
              </w:rPr>
              <w:t xml:space="preserve">rojekta mērķis ir </w:t>
            </w:r>
            <w:r w:rsidRPr="009E5FCB">
              <w:rPr>
                <w:szCs w:val="28"/>
              </w:rPr>
              <w:t xml:space="preserve">autoceļu lietošanas nodevas ieņēmumu palielināšana, kas panākama, palielinot sodus, lai būtu izdevīgāk maksāt </w:t>
            </w:r>
            <w:r>
              <w:rPr>
                <w:szCs w:val="28"/>
              </w:rPr>
              <w:t xml:space="preserve">autoceļu lietošanas </w:t>
            </w:r>
            <w:r w:rsidRPr="009E5FCB">
              <w:rPr>
                <w:szCs w:val="28"/>
              </w:rPr>
              <w:t>nodevu, nevis sodu.</w:t>
            </w:r>
          </w:p>
          <w:p w:rsidR="009E5FCB" w:rsidRPr="009E5FCB" w:rsidRDefault="009E5FCB" w:rsidP="009E5FCB">
            <w:pPr>
              <w:ind w:firstLine="720"/>
              <w:jc w:val="both"/>
              <w:rPr>
                <w:szCs w:val="28"/>
              </w:rPr>
            </w:pPr>
            <w:r w:rsidRPr="009E5FCB">
              <w:rPr>
                <w:szCs w:val="28"/>
              </w:rPr>
              <w:t xml:space="preserve">Pašlaik par autoceļu lietošanas nodevas nesamaksāšanu sods transportlīdzekļa vadītājam ir </w:t>
            </w:r>
            <w:r w:rsidRPr="009E5FCB">
              <w:rPr>
                <w:b/>
                <w:bCs/>
                <w:szCs w:val="28"/>
              </w:rPr>
              <w:t xml:space="preserve">120 </w:t>
            </w:r>
            <w:proofErr w:type="spellStart"/>
            <w:r w:rsidRPr="009E5FCB">
              <w:rPr>
                <w:b/>
                <w:bCs/>
                <w:i/>
                <w:iCs/>
                <w:szCs w:val="28"/>
              </w:rPr>
              <w:t>euro</w:t>
            </w:r>
            <w:proofErr w:type="spellEnd"/>
            <w:r w:rsidRPr="009E5FCB">
              <w:rPr>
                <w:szCs w:val="28"/>
              </w:rPr>
              <w:t xml:space="preserve"> un par autoceļu lietošanas nodeva</w:t>
            </w:r>
            <w:r>
              <w:rPr>
                <w:szCs w:val="28"/>
              </w:rPr>
              <w:t>s</w:t>
            </w:r>
            <w:r w:rsidRPr="009E5FCB">
              <w:rPr>
                <w:szCs w:val="28"/>
              </w:rPr>
              <w:t xml:space="preserve"> nesamaksāšanu pilnā apmērā - </w:t>
            </w:r>
            <w:r w:rsidRPr="009E5FCB">
              <w:rPr>
                <w:b/>
                <w:bCs/>
                <w:szCs w:val="28"/>
              </w:rPr>
              <w:t xml:space="preserve">40 </w:t>
            </w:r>
            <w:proofErr w:type="spellStart"/>
            <w:r w:rsidRPr="009E5FCB">
              <w:rPr>
                <w:b/>
                <w:bCs/>
                <w:i/>
                <w:iCs/>
                <w:szCs w:val="28"/>
              </w:rPr>
              <w:t>euro</w:t>
            </w:r>
            <w:proofErr w:type="spellEnd"/>
            <w:r w:rsidRPr="009E5FCB">
              <w:rPr>
                <w:szCs w:val="28"/>
              </w:rPr>
              <w:t>, savukārt pārvadātāj</w:t>
            </w:r>
            <w:r w:rsidR="00531160">
              <w:rPr>
                <w:szCs w:val="28"/>
              </w:rPr>
              <w:t>a</w:t>
            </w:r>
            <w:r w:rsidRPr="009E5FCB">
              <w:rPr>
                <w:szCs w:val="28"/>
              </w:rPr>
              <w:t>m sods nav paredzēts</w:t>
            </w:r>
            <w:r w:rsidRPr="009E5FCB">
              <w:rPr>
                <w:i/>
                <w:iCs/>
                <w:szCs w:val="28"/>
              </w:rPr>
              <w:t xml:space="preserve">. </w:t>
            </w:r>
            <w:r w:rsidRPr="009E5FCB">
              <w:rPr>
                <w:szCs w:val="28"/>
              </w:rPr>
              <w:t xml:space="preserve">Vienlaikus ar sodu ir jāsamaksā arī autoceļu lietošanas nodevas dienas likme, kas ir </w:t>
            </w:r>
            <w:r w:rsidRPr="009E5FCB">
              <w:rPr>
                <w:b/>
                <w:bCs/>
                <w:szCs w:val="28"/>
              </w:rPr>
              <w:t xml:space="preserve">8 – 11 </w:t>
            </w:r>
            <w:proofErr w:type="spellStart"/>
            <w:r w:rsidRPr="009E5FCB">
              <w:rPr>
                <w:b/>
                <w:bCs/>
                <w:i/>
                <w:iCs/>
                <w:szCs w:val="28"/>
              </w:rPr>
              <w:t>euro</w:t>
            </w:r>
            <w:proofErr w:type="spellEnd"/>
            <w:r w:rsidRPr="009E5FCB">
              <w:rPr>
                <w:szCs w:val="28"/>
              </w:rPr>
              <w:t xml:space="preserve">. Autoceļu lietošanas nodevas </w:t>
            </w:r>
            <w:r w:rsidRPr="009E5FCB">
              <w:rPr>
                <w:szCs w:val="28"/>
              </w:rPr>
              <w:lastRenderedPageBreak/>
              <w:t xml:space="preserve">gada likmes pašlaik ir </w:t>
            </w:r>
            <w:r w:rsidRPr="009E5FCB">
              <w:rPr>
                <w:b/>
                <w:szCs w:val="28"/>
              </w:rPr>
              <w:t xml:space="preserve">no 400 līdz 925 </w:t>
            </w:r>
            <w:proofErr w:type="spellStart"/>
            <w:r w:rsidRPr="009E5FCB">
              <w:rPr>
                <w:b/>
                <w:i/>
                <w:szCs w:val="28"/>
              </w:rPr>
              <w:t>euro</w:t>
            </w:r>
            <w:proofErr w:type="spellEnd"/>
            <w:r w:rsidRPr="009E5FCB">
              <w:rPr>
                <w:szCs w:val="28"/>
              </w:rPr>
              <w:t xml:space="preserve"> atkarībā no transportlīdzekļa pilnas masas, motora izmešu līmeņa un asu skaita. Līdz ar to pašreizējais </w:t>
            </w:r>
            <w:r w:rsidRPr="009E5FCB">
              <w:rPr>
                <w:b/>
                <w:bCs/>
                <w:szCs w:val="28"/>
              </w:rPr>
              <w:t>sods ir</w:t>
            </w:r>
            <w:r w:rsidRPr="009E5FCB">
              <w:rPr>
                <w:szCs w:val="28"/>
              </w:rPr>
              <w:t xml:space="preserve"> </w:t>
            </w:r>
            <w:r w:rsidR="00531160">
              <w:rPr>
                <w:szCs w:val="28"/>
              </w:rPr>
              <w:t>nesamērīgi</w:t>
            </w:r>
            <w:r w:rsidR="00531160" w:rsidRPr="009E5FCB">
              <w:rPr>
                <w:szCs w:val="28"/>
              </w:rPr>
              <w:t xml:space="preserve"> </w:t>
            </w:r>
            <w:r w:rsidRPr="009E5FCB">
              <w:rPr>
                <w:szCs w:val="28"/>
              </w:rPr>
              <w:t xml:space="preserve">zems – ja salīdzina ar lielāko autoceļu lietošanas nodevas gada likmi – </w:t>
            </w:r>
            <w:r w:rsidRPr="009E5FCB">
              <w:rPr>
                <w:b/>
                <w:bCs/>
                <w:szCs w:val="28"/>
              </w:rPr>
              <w:t>vairāk nekā 7 reizes mazāks nekā autoceļu lietošanas nodevas gada likme</w:t>
            </w:r>
            <w:r w:rsidRPr="009E5FCB">
              <w:rPr>
                <w:szCs w:val="28"/>
              </w:rPr>
              <w:t>.</w:t>
            </w:r>
            <w:r w:rsidR="00865AC3">
              <w:rPr>
                <w:szCs w:val="28"/>
              </w:rPr>
              <w:t xml:space="preserve"> Citās Eiropas Savienības dalībvalstīs sods par autoceļu lietošanas nodevas maksāšanas pārkāpumiem ir lielāks, p</w:t>
            </w:r>
            <w:r w:rsidRPr="009E5FCB">
              <w:rPr>
                <w:szCs w:val="28"/>
              </w:rPr>
              <w:t>iemēram, Lietuvā sods par autoceļu lietošanas nodevas nemaksāšanu var būt līdz</w:t>
            </w:r>
            <w:r w:rsidRPr="009E5FCB">
              <w:rPr>
                <w:b/>
                <w:szCs w:val="28"/>
              </w:rPr>
              <w:t xml:space="preserve"> 753</w:t>
            </w:r>
            <w:r w:rsidRPr="009E5FCB">
              <w:rPr>
                <w:szCs w:val="28"/>
              </w:rPr>
              <w:t xml:space="preserve"> </w:t>
            </w:r>
            <w:proofErr w:type="spellStart"/>
            <w:r w:rsidRPr="009E5FCB">
              <w:rPr>
                <w:i/>
                <w:szCs w:val="28"/>
              </w:rPr>
              <w:t>euro</w:t>
            </w:r>
            <w:proofErr w:type="spellEnd"/>
            <w:r w:rsidRPr="009E5FCB">
              <w:rPr>
                <w:szCs w:val="28"/>
              </w:rPr>
              <w:t>, Slovēnijā</w:t>
            </w:r>
            <w:r w:rsidR="008C2078">
              <w:rPr>
                <w:szCs w:val="28"/>
              </w:rPr>
              <w:t xml:space="preserve"> -</w:t>
            </w:r>
            <w:r w:rsidRPr="009E5FCB">
              <w:rPr>
                <w:szCs w:val="28"/>
              </w:rPr>
              <w:t xml:space="preserve"> līdz </w:t>
            </w:r>
            <w:r w:rsidRPr="009E5FCB">
              <w:rPr>
                <w:b/>
                <w:szCs w:val="28"/>
              </w:rPr>
              <w:t>800</w:t>
            </w:r>
            <w:r w:rsidRPr="009E5FCB">
              <w:rPr>
                <w:szCs w:val="28"/>
              </w:rPr>
              <w:t xml:space="preserve"> </w:t>
            </w:r>
            <w:proofErr w:type="spellStart"/>
            <w:r w:rsidRPr="009E5FCB">
              <w:rPr>
                <w:i/>
                <w:szCs w:val="28"/>
              </w:rPr>
              <w:t>euro</w:t>
            </w:r>
            <w:proofErr w:type="spellEnd"/>
            <w:r w:rsidRPr="009E5FCB">
              <w:rPr>
                <w:szCs w:val="28"/>
              </w:rPr>
              <w:t xml:space="preserve">, Bulgārijā </w:t>
            </w:r>
            <w:r w:rsidR="008C2078">
              <w:rPr>
                <w:szCs w:val="28"/>
              </w:rPr>
              <w:t xml:space="preserve">- </w:t>
            </w:r>
            <w:r w:rsidRPr="009E5FCB">
              <w:rPr>
                <w:szCs w:val="28"/>
              </w:rPr>
              <w:t xml:space="preserve">līdz </w:t>
            </w:r>
            <w:r w:rsidRPr="009E5FCB">
              <w:rPr>
                <w:b/>
                <w:szCs w:val="28"/>
              </w:rPr>
              <w:t>1 500</w:t>
            </w:r>
            <w:r w:rsidRPr="009E5FCB">
              <w:rPr>
                <w:szCs w:val="28"/>
              </w:rPr>
              <w:t xml:space="preserve"> </w:t>
            </w:r>
            <w:proofErr w:type="spellStart"/>
            <w:r w:rsidRPr="009E5FCB">
              <w:rPr>
                <w:i/>
                <w:szCs w:val="28"/>
              </w:rPr>
              <w:t>euro</w:t>
            </w:r>
            <w:proofErr w:type="spellEnd"/>
            <w:r w:rsidRPr="009E5FCB">
              <w:rPr>
                <w:i/>
                <w:szCs w:val="28"/>
              </w:rPr>
              <w:t>,</w:t>
            </w:r>
            <w:r w:rsidRPr="009E5FCB">
              <w:rPr>
                <w:szCs w:val="28"/>
              </w:rPr>
              <w:t xml:space="preserve"> bet Vācijā</w:t>
            </w:r>
            <w:r w:rsidR="008C2078">
              <w:rPr>
                <w:szCs w:val="28"/>
              </w:rPr>
              <w:t xml:space="preserve"> -</w:t>
            </w:r>
            <w:r w:rsidRPr="009E5FCB">
              <w:rPr>
                <w:szCs w:val="28"/>
              </w:rPr>
              <w:t xml:space="preserve"> līdz pat </w:t>
            </w:r>
            <w:r w:rsidRPr="009E5FCB">
              <w:rPr>
                <w:b/>
                <w:szCs w:val="28"/>
              </w:rPr>
              <w:t>20 000</w:t>
            </w:r>
            <w:r w:rsidRPr="009E5FCB">
              <w:rPr>
                <w:szCs w:val="28"/>
              </w:rPr>
              <w:t xml:space="preserve"> </w:t>
            </w:r>
            <w:proofErr w:type="spellStart"/>
            <w:r w:rsidRPr="009E5FCB">
              <w:rPr>
                <w:i/>
                <w:szCs w:val="28"/>
              </w:rPr>
              <w:t>euro</w:t>
            </w:r>
            <w:proofErr w:type="spellEnd"/>
            <w:r w:rsidRPr="009E5FCB">
              <w:rPr>
                <w:szCs w:val="28"/>
              </w:rPr>
              <w:t>.</w:t>
            </w:r>
          </w:p>
          <w:p w:rsidR="009E5FCB" w:rsidRPr="00531160" w:rsidRDefault="008C2078" w:rsidP="009E5FCB">
            <w:pPr>
              <w:ind w:firstLine="720"/>
              <w:jc w:val="both"/>
              <w:rPr>
                <w:szCs w:val="28"/>
              </w:rPr>
            </w:pPr>
            <w:r>
              <w:rPr>
                <w:szCs w:val="28"/>
              </w:rPr>
              <w:t>S</w:t>
            </w:r>
            <w:r w:rsidR="009E5FCB" w:rsidRPr="009E5FCB">
              <w:rPr>
                <w:szCs w:val="28"/>
              </w:rPr>
              <w:t xml:space="preserve">askaņā ar LAPK 159.pantu sods par izvairīšanos no nodokļu vai tiem pielīdzināto maksājumu nomaksas ir </w:t>
            </w:r>
            <w:r w:rsidR="009E5FCB" w:rsidRPr="009E5FCB">
              <w:rPr>
                <w:b/>
                <w:szCs w:val="28"/>
              </w:rPr>
              <w:t>no 140 līdz 2100</w:t>
            </w:r>
            <w:r w:rsidR="009E5FCB" w:rsidRPr="009E5FCB">
              <w:rPr>
                <w:szCs w:val="28"/>
              </w:rPr>
              <w:t xml:space="preserve"> </w:t>
            </w:r>
            <w:proofErr w:type="spellStart"/>
            <w:r w:rsidR="009E5FCB" w:rsidRPr="009E5FCB">
              <w:rPr>
                <w:i/>
                <w:szCs w:val="28"/>
              </w:rPr>
              <w:t>euro</w:t>
            </w:r>
            <w:proofErr w:type="spellEnd"/>
            <w:r w:rsidR="009E5FCB" w:rsidRPr="009E5FCB">
              <w:rPr>
                <w:szCs w:val="28"/>
              </w:rPr>
              <w:t xml:space="preserve">. Tātad sods par autoceļu lietošanas nodevas nemaksāšanu ir </w:t>
            </w:r>
            <w:r w:rsidR="009E5FCB" w:rsidRPr="009E5FCB">
              <w:rPr>
                <w:b/>
                <w:szCs w:val="28"/>
              </w:rPr>
              <w:t>17,5 reizes mazāks</w:t>
            </w:r>
            <w:r w:rsidR="009E5FCB" w:rsidRPr="009E5FCB">
              <w:rPr>
                <w:szCs w:val="28"/>
              </w:rPr>
              <w:t xml:space="preserve"> nekā maksimālais sods par izvairīšanos no nodokļu un citu tiem pielīdzināmo maksājumu nomaksas. Savukārt saskaņā ar LAPK 201.</w:t>
            </w:r>
            <w:r w:rsidR="009E5FCB" w:rsidRPr="009E5FCB">
              <w:rPr>
                <w:szCs w:val="28"/>
                <w:vertAlign w:val="superscript"/>
              </w:rPr>
              <w:t>17</w:t>
            </w:r>
            <w:r w:rsidR="009E5FCB" w:rsidRPr="009E5FCB">
              <w:rPr>
                <w:szCs w:val="28"/>
              </w:rPr>
              <w:t xml:space="preserve"> pantu par muitas nodokļu vai citu muitas </w:t>
            </w:r>
            <w:r w:rsidR="009E5FCB" w:rsidRPr="00531160">
              <w:rPr>
                <w:szCs w:val="28"/>
              </w:rPr>
              <w:t xml:space="preserve">maksājumu nemaksāšanu —uzliek naudas sodu fiziskajām personām līdz 140 </w:t>
            </w:r>
            <w:proofErr w:type="spellStart"/>
            <w:r w:rsidR="009E5FCB" w:rsidRPr="00531160">
              <w:rPr>
                <w:i/>
                <w:szCs w:val="28"/>
              </w:rPr>
              <w:t>euro</w:t>
            </w:r>
            <w:proofErr w:type="spellEnd"/>
            <w:r w:rsidR="009E5FCB" w:rsidRPr="00531160">
              <w:rPr>
                <w:szCs w:val="28"/>
              </w:rPr>
              <w:t xml:space="preserve">, bet juridiskajām personām — </w:t>
            </w:r>
            <w:r w:rsidR="009E5FCB" w:rsidRPr="00865AC3">
              <w:rPr>
                <w:szCs w:val="28"/>
              </w:rPr>
              <w:t>līdz 1400</w:t>
            </w:r>
            <w:r w:rsidR="009E5FCB" w:rsidRPr="00531160">
              <w:rPr>
                <w:szCs w:val="28"/>
              </w:rPr>
              <w:t xml:space="preserve"> </w:t>
            </w:r>
            <w:proofErr w:type="spellStart"/>
            <w:r w:rsidR="009E5FCB" w:rsidRPr="00531160">
              <w:rPr>
                <w:i/>
                <w:szCs w:val="28"/>
              </w:rPr>
              <w:t>euro</w:t>
            </w:r>
            <w:proofErr w:type="spellEnd"/>
            <w:r w:rsidR="009E5FCB" w:rsidRPr="00531160">
              <w:rPr>
                <w:szCs w:val="28"/>
              </w:rPr>
              <w:t>.</w:t>
            </w:r>
          </w:p>
          <w:p w:rsidR="009E5FCB" w:rsidRPr="00531160" w:rsidRDefault="009E5FCB" w:rsidP="009E5FCB">
            <w:pPr>
              <w:ind w:firstLine="720"/>
              <w:jc w:val="both"/>
              <w:rPr>
                <w:szCs w:val="28"/>
              </w:rPr>
            </w:pPr>
            <w:r w:rsidRPr="00531160">
              <w:rPr>
                <w:szCs w:val="28"/>
              </w:rPr>
              <w:t>Par citiem pārkāpumiem, kas saistīti ar autopārvadājumiem</w:t>
            </w:r>
            <w:r w:rsidR="009F7AA2" w:rsidRPr="00531160">
              <w:rPr>
                <w:szCs w:val="28"/>
              </w:rPr>
              <w:t>,</w:t>
            </w:r>
            <w:r w:rsidRPr="00531160">
              <w:rPr>
                <w:szCs w:val="28"/>
              </w:rPr>
              <w:t xml:space="preserve"> LAPK paredz </w:t>
            </w:r>
            <w:r w:rsidR="00531160" w:rsidRPr="00531160">
              <w:rPr>
                <w:szCs w:val="28"/>
              </w:rPr>
              <w:t xml:space="preserve">ievērojami </w:t>
            </w:r>
            <w:r w:rsidRPr="00531160">
              <w:rPr>
                <w:szCs w:val="28"/>
              </w:rPr>
              <w:t>lielākus sodus nekā pašlaik par autoceļu lietošanas nodevas maksāšanas pārkāpumiem, piemēram, LAPK 149.</w:t>
            </w:r>
            <w:r w:rsidRPr="00531160">
              <w:rPr>
                <w:szCs w:val="28"/>
                <w:vertAlign w:val="superscript"/>
              </w:rPr>
              <w:t>38</w:t>
            </w:r>
            <w:r w:rsidRPr="00531160">
              <w:rPr>
                <w:szCs w:val="28"/>
              </w:rPr>
              <w:t> pantā noteikts, ka:</w:t>
            </w:r>
          </w:p>
          <w:p w:rsidR="009E5FCB" w:rsidRPr="00531160" w:rsidRDefault="009E5FCB" w:rsidP="009E5FCB">
            <w:pPr>
              <w:ind w:firstLine="720"/>
              <w:jc w:val="both"/>
              <w:rPr>
                <w:szCs w:val="28"/>
              </w:rPr>
            </w:pPr>
            <w:r w:rsidRPr="00531160">
              <w:rPr>
                <w:szCs w:val="28"/>
              </w:rPr>
              <w:t>1) par reģistrācijas kartes (</w:t>
            </w:r>
            <w:proofErr w:type="spellStart"/>
            <w:r w:rsidRPr="00531160">
              <w:rPr>
                <w:szCs w:val="28"/>
              </w:rPr>
              <w:t>tahogrammas</w:t>
            </w:r>
            <w:proofErr w:type="spellEnd"/>
            <w:r w:rsidRPr="00531160">
              <w:rPr>
                <w:szCs w:val="28"/>
              </w:rPr>
              <w:t xml:space="preserve">) izmantošanu ilgāk par paredzēto laiku, ja tajā ierakstītie dati nav salasāmi,— uzliek naudas sodu transportlīdzekļa vadītājam no 140 līdz 280 </w:t>
            </w:r>
            <w:proofErr w:type="spellStart"/>
            <w:r w:rsidRPr="00531160">
              <w:rPr>
                <w:i/>
                <w:szCs w:val="28"/>
              </w:rPr>
              <w:t>euro</w:t>
            </w:r>
            <w:proofErr w:type="spellEnd"/>
            <w:r w:rsidRPr="00531160">
              <w:rPr>
                <w:szCs w:val="28"/>
              </w:rPr>
              <w:t xml:space="preserve">, bet pārvadātājam — no </w:t>
            </w:r>
            <w:r w:rsidRPr="00865AC3">
              <w:rPr>
                <w:szCs w:val="28"/>
              </w:rPr>
              <w:t>430 līdz 700</w:t>
            </w:r>
            <w:r w:rsidRPr="00531160">
              <w:rPr>
                <w:szCs w:val="28"/>
              </w:rPr>
              <w:t xml:space="preserve"> </w:t>
            </w:r>
            <w:proofErr w:type="spellStart"/>
            <w:r w:rsidRPr="00531160">
              <w:rPr>
                <w:i/>
                <w:szCs w:val="28"/>
              </w:rPr>
              <w:t>euro</w:t>
            </w:r>
            <w:proofErr w:type="spellEnd"/>
            <w:r w:rsidRPr="00531160">
              <w:rPr>
                <w:szCs w:val="28"/>
              </w:rPr>
              <w:t>;</w:t>
            </w:r>
          </w:p>
          <w:p w:rsidR="009E5FCB" w:rsidRPr="00531160" w:rsidRDefault="009E5FCB" w:rsidP="009E5FCB">
            <w:pPr>
              <w:ind w:firstLine="720"/>
              <w:jc w:val="both"/>
              <w:rPr>
                <w:szCs w:val="28"/>
              </w:rPr>
            </w:pPr>
            <w:r w:rsidRPr="00531160">
              <w:rPr>
                <w:szCs w:val="28"/>
              </w:rPr>
              <w:t xml:space="preserve">2) par autopārvadājumu veikšanu ar transportlīdzekli, kas nav aprīkots ar reģistrācijas kontrolierīci, ja tās nepieciešamību paredz normatīvie akti, vai ātruma ierobežošanas ierīci, — uzliek naudas sodu transportlīdzekļa vadītājam no 280 līdz 570 </w:t>
            </w:r>
            <w:proofErr w:type="spellStart"/>
            <w:r w:rsidRPr="00531160">
              <w:rPr>
                <w:i/>
                <w:szCs w:val="28"/>
              </w:rPr>
              <w:t>euro</w:t>
            </w:r>
            <w:proofErr w:type="spellEnd"/>
            <w:r w:rsidRPr="00531160">
              <w:rPr>
                <w:szCs w:val="28"/>
              </w:rPr>
              <w:t xml:space="preserve">, bet pārvadātājam — no </w:t>
            </w:r>
            <w:r w:rsidRPr="00865AC3">
              <w:rPr>
                <w:szCs w:val="28"/>
              </w:rPr>
              <w:t>700 līdz 1400</w:t>
            </w:r>
            <w:r w:rsidRPr="00531160">
              <w:rPr>
                <w:szCs w:val="28"/>
              </w:rPr>
              <w:t xml:space="preserve"> </w:t>
            </w:r>
            <w:proofErr w:type="spellStart"/>
            <w:r w:rsidRPr="00531160">
              <w:rPr>
                <w:i/>
                <w:szCs w:val="28"/>
              </w:rPr>
              <w:t>euro</w:t>
            </w:r>
            <w:proofErr w:type="spellEnd"/>
            <w:r w:rsidRPr="00531160">
              <w:rPr>
                <w:szCs w:val="28"/>
              </w:rPr>
              <w:t>.</w:t>
            </w:r>
          </w:p>
          <w:p w:rsidR="009E5FCB" w:rsidRPr="009E5FCB" w:rsidRDefault="009E5FCB" w:rsidP="009E5FCB">
            <w:pPr>
              <w:ind w:firstLine="720"/>
              <w:jc w:val="both"/>
              <w:rPr>
                <w:szCs w:val="28"/>
              </w:rPr>
            </w:pPr>
            <w:r w:rsidRPr="009E5FCB">
              <w:rPr>
                <w:szCs w:val="28"/>
              </w:rPr>
              <w:t xml:space="preserve">Valsts policija, veicot kontroles, ir konstatējusi, ka aptuveni </w:t>
            </w:r>
            <w:r w:rsidRPr="009E5FCB">
              <w:rPr>
                <w:b/>
                <w:bCs/>
                <w:szCs w:val="28"/>
              </w:rPr>
              <w:t>1</w:t>
            </w:r>
            <w:r>
              <w:rPr>
                <w:b/>
                <w:bCs/>
                <w:szCs w:val="28"/>
              </w:rPr>
              <w:t>6</w:t>
            </w:r>
            <w:r w:rsidRPr="009E5FCB">
              <w:rPr>
                <w:b/>
                <w:bCs/>
                <w:szCs w:val="28"/>
              </w:rPr>
              <w:t>%</w:t>
            </w:r>
            <w:r w:rsidRPr="009E5FCB">
              <w:rPr>
                <w:szCs w:val="28"/>
              </w:rPr>
              <w:t xml:space="preserve"> gadījumu autoceļu lietošanas nodeva nav samaksāta normatīvajos aktos noteiktajā kārtībā, kas ir būtisks pārkāpumu skaits. Turklāt ir konstatējams recidīvs un daļa autovadītāju ir sodīti pat </w:t>
            </w:r>
            <w:r w:rsidRPr="009E5FCB">
              <w:rPr>
                <w:szCs w:val="28"/>
              </w:rPr>
              <w:lastRenderedPageBreak/>
              <w:t xml:space="preserve">3 un 4 reizes. Kontroļu rezultāti parāda, ka nodevas apmaksu pārsvarā neveic vietējie pārvadātāji (aptuveni 4 reizes biežāk nekā ārvalstu pārvadātāji). Satiksmes ministrijas eksperti, veicot valsts autoceļu ikdienas uzturēšanas darbu pārbaudes visā Latvijas teritorijā, ir pārbaudījuši autoceļu lietošanas nodevas nomaksu uz valsts galvenajiem autoceļiem un konstatējuši, ka liela daļa autovadītāju, it sevišķi attālāk no Rīgas, nav </w:t>
            </w:r>
            <w:r w:rsidR="005F04CE">
              <w:rPr>
                <w:szCs w:val="28"/>
              </w:rPr>
              <w:t>samaksājuši</w:t>
            </w:r>
            <w:r w:rsidRPr="009E5FCB">
              <w:rPr>
                <w:szCs w:val="28"/>
              </w:rPr>
              <w:t xml:space="preserve"> autoceļu lietošanas nodevu. Ņemot vērā, ka sods ir nesamērīgi zems, ievērojama daļa autopārvadātāju </w:t>
            </w:r>
            <w:r w:rsidR="00531160" w:rsidRPr="00865AC3">
              <w:rPr>
                <w:szCs w:val="28"/>
              </w:rPr>
              <w:t>nemaksā</w:t>
            </w:r>
            <w:bookmarkStart w:id="0" w:name="_GoBack"/>
            <w:bookmarkEnd w:id="0"/>
            <w:r w:rsidR="00531160" w:rsidRPr="00865AC3">
              <w:rPr>
                <w:szCs w:val="28"/>
              </w:rPr>
              <w:t xml:space="preserve"> autoceļu lietošanas nodevu, jo </w:t>
            </w:r>
            <w:r w:rsidRPr="009E5FCB">
              <w:rPr>
                <w:szCs w:val="28"/>
              </w:rPr>
              <w:t>viņiem ir izdevīgāk samaksāt sodu, nekā samaksāt autoceļu lietošanas nodevu visam gadam. To pierāda</w:t>
            </w:r>
            <w:r w:rsidR="00531160">
              <w:rPr>
                <w:szCs w:val="28"/>
              </w:rPr>
              <w:t xml:space="preserve"> arī</w:t>
            </w:r>
            <w:r w:rsidRPr="009E5FCB">
              <w:rPr>
                <w:szCs w:val="28"/>
              </w:rPr>
              <w:t xml:space="preserve"> tas, ka 2015.gadā ieņēmumi no autoceļu lietošanas nodevas bija tikai 70% no prognozētajiem, šogad situācijas uzlabojums ir </w:t>
            </w:r>
            <w:r w:rsidR="00531160">
              <w:rPr>
                <w:szCs w:val="28"/>
              </w:rPr>
              <w:t>neliels</w:t>
            </w:r>
            <w:r w:rsidRPr="009E5FCB">
              <w:rPr>
                <w:szCs w:val="28"/>
              </w:rPr>
              <w:t>.</w:t>
            </w:r>
          </w:p>
          <w:p w:rsidR="0075212F" w:rsidRDefault="009E5FCB" w:rsidP="00843472">
            <w:pPr>
              <w:ind w:firstLine="720"/>
              <w:jc w:val="both"/>
              <w:rPr>
                <w:szCs w:val="28"/>
              </w:rPr>
            </w:pPr>
            <w:r w:rsidRPr="009E5FCB">
              <w:rPr>
                <w:szCs w:val="28"/>
              </w:rPr>
              <w:t xml:space="preserve">Pamatojoties uz iepriekš minēto, </w:t>
            </w:r>
            <w:r w:rsidR="00941FC9">
              <w:rPr>
                <w:szCs w:val="28"/>
              </w:rPr>
              <w:t>ar projektu tiek palielināt</w:t>
            </w:r>
            <w:r w:rsidR="00531160">
              <w:rPr>
                <w:szCs w:val="28"/>
              </w:rPr>
              <w:t>a</w:t>
            </w:r>
            <w:r w:rsidR="00941FC9">
              <w:rPr>
                <w:szCs w:val="28"/>
              </w:rPr>
              <w:t xml:space="preserve"> soda likme transportlīdzekļa vadītājam, </w:t>
            </w:r>
            <w:r w:rsidR="00531160">
              <w:rPr>
                <w:szCs w:val="28"/>
              </w:rPr>
              <w:t>turklāt</w:t>
            </w:r>
            <w:r w:rsidR="00843472" w:rsidRPr="009E5FCB">
              <w:rPr>
                <w:szCs w:val="28"/>
              </w:rPr>
              <w:t xml:space="preserve"> papildus transportlīdzekļa vadītājam</w:t>
            </w:r>
            <w:r w:rsidR="00531160">
              <w:rPr>
                <w:szCs w:val="28"/>
              </w:rPr>
              <w:t xml:space="preserve"> paredzēts</w:t>
            </w:r>
            <w:r w:rsidR="00843472" w:rsidRPr="009E5FCB">
              <w:rPr>
                <w:szCs w:val="28"/>
              </w:rPr>
              <w:t xml:space="preserve"> </w:t>
            </w:r>
            <w:r w:rsidR="00843472" w:rsidRPr="009E5FCB">
              <w:rPr>
                <w:b/>
                <w:szCs w:val="28"/>
              </w:rPr>
              <w:t>piemērot sod</w:t>
            </w:r>
            <w:r w:rsidR="00531160">
              <w:rPr>
                <w:b/>
                <w:szCs w:val="28"/>
              </w:rPr>
              <w:t>u arī</w:t>
            </w:r>
            <w:r w:rsidR="00843472" w:rsidRPr="009E5FCB">
              <w:rPr>
                <w:b/>
                <w:szCs w:val="28"/>
              </w:rPr>
              <w:t xml:space="preserve"> pārvadātājam</w:t>
            </w:r>
            <w:r w:rsidR="00843472" w:rsidRPr="009E5FCB">
              <w:rPr>
                <w:szCs w:val="28"/>
              </w:rPr>
              <w:t xml:space="preserve"> (līdzīgi</w:t>
            </w:r>
            <w:r w:rsidR="00531160">
              <w:rPr>
                <w:szCs w:val="28"/>
              </w:rPr>
              <w:t>,</w:t>
            </w:r>
            <w:r w:rsidR="00843472" w:rsidRPr="009E5FCB">
              <w:rPr>
                <w:szCs w:val="28"/>
              </w:rPr>
              <w:t xml:space="preserve"> kā tas ir par pārkāpumiem, kas saistīti ar </w:t>
            </w:r>
            <w:proofErr w:type="spellStart"/>
            <w:r w:rsidR="00843472" w:rsidRPr="009E5FCB">
              <w:rPr>
                <w:szCs w:val="28"/>
              </w:rPr>
              <w:t>tahogrāfa</w:t>
            </w:r>
            <w:proofErr w:type="spellEnd"/>
            <w:r w:rsidR="00843472" w:rsidRPr="009E5FCB">
              <w:rPr>
                <w:szCs w:val="28"/>
              </w:rPr>
              <w:t xml:space="preserve"> lietošanu (LAPK 149.</w:t>
            </w:r>
            <w:r w:rsidR="00843472" w:rsidRPr="009E5FCB">
              <w:rPr>
                <w:szCs w:val="28"/>
                <w:vertAlign w:val="superscript"/>
              </w:rPr>
              <w:t>38</w:t>
            </w:r>
            <w:r w:rsidR="00843472" w:rsidRPr="009E5FCB">
              <w:rPr>
                <w:szCs w:val="28"/>
              </w:rPr>
              <w:t> pants)).</w:t>
            </w:r>
            <w:r w:rsidR="00843472">
              <w:rPr>
                <w:szCs w:val="28"/>
              </w:rPr>
              <w:t xml:space="preserve"> </w:t>
            </w:r>
            <w:r w:rsidR="00843472" w:rsidRPr="009E5FCB">
              <w:rPr>
                <w:szCs w:val="28"/>
              </w:rPr>
              <w:t>Sods vienlaicīgi tiks piemērots gan transportlīdzekļa vadītājam, gan pārvadātājam. Konkrētajā gadījumā piemērojamā soda apmēru Valsts policija izvērtēs</w:t>
            </w:r>
            <w:r w:rsidR="009944EB">
              <w:rPr>
                <w:szCs w:val="28"/>
              </w:rPr>
              <w:t>,</w:t>
            </w:r>
            <w:r w:rsidR="00843472" w:rsidRPr="009E5FCB">
              <w:rPr>
                <w:szCs w:val="28"/>
              </w:rPr>
              <w:t xml:space="preserve"> ņemot vērā to, vai pārkāpums ir pirmreizējs vai atkārtots, kā arī ņemot vērā nesamaksātās nodevas apmēru.</w:t>
            </w:r>
          </w:p>
          <w:p w:rsidR="00D44D84" w:rsidRDefault="00D44D84" w:rsidP="00843472">
            <w:pPr>
              <w:ind w:firstLine="720"/>
              <w:jc w:val="both"/>
              <w:rPr>
                <w:szCs w:val="28"/>
              </w:rPr>
            </w:pPr>
            <w:r>
              <w:rPr>
                <w:szCs w:val="28"/>
              </w:rPr>
              <w:t xml:space="preserve">Satiksmes ministrijas priekšlikumi grozījumiem </w:t>
            </w:r>
            <w:r w:rsidRPr="009E5FCB">
              <w:rPr>
                <w:szCs w:val="28"/>
              </w:rPr>
              <w:t>LAPK 149.</w:t>
            </w:r>
            <w:r w:rsidRPr="009E5FCB">
              <w:rPr>
                <w:szCs w:val="28"/>
                <w:vertAlign w:val="superscript"/>
              </w:rPr>
              <w:t>40</w:t>
            </w:r>
            <w:r w:rsidRPr="009E5FCB">
              <w:rPr>
                <w:szCs w:val="28"/>
              </w:rPr>
              <w:t> pantā</w:t>
            </w:r>
            <w:r>
              <w:rPr>
                <w:szCs w:val="28"/>
              </w:rPr>
              <w:t xml:space="preserve"> tika skatīti Saeimas Juridiskās komisijas 2016.gada 14.jūnija sēdē un Saeimas 2016.gada 16.jūnija sēdē. Juridiskās komisijas sēdē tika pausts konceptuāls atbalsts tam, ka nepieciešams palielināt </w:t>
            </w:r>
            <w:r w:rsidRPr="009E5FCB">
              <w:rPr>
                <w:szCs w:val="28"/>
              </w:rPr>
              <w:t>LAPK 149.</w:t>
            </w:r>
            <w:r w:rsidRPr="009E5FCB">
              <w:rPr>
                <w:szCs w:val="28"/>
                <w:vertAlign w:val="superscript"/>
              </w:rPr>
              <w:t>40</w:t>
            </w:r>
            <w:r w:rsidRPr="009E5FCB">
              <w:rPr>
                <w:szCs w:val="28"/>
              </w:rPr>
              <w:t> pantā</w:t>
            </w:r>
            <w:r w:rsidR="00590918">
              <w:rPr>
                <w:szCs w:val="28"/>
              </w:rPr>
              <w:t xml:space="preserve"> noteiktos sodus</w:t>
            </w:r>
            <w:r>
              <w:rPr>
                <w:szCs w:val="28"/>
              </w:rPr>
              <w:t xml:space="preserve"> un noteikt sodu arī pārvadātājam, taču netika panākta vienošanās par soda apmēr</w:t>
            </w:r>
            <w:r w:rsidR="009944EB">
              <w:rPr>
                <w:szCs w:val="28"/>
              </w:rPr>
              <w:t>u</w:t>
            </w:r>
            <w:r>
              <w:rPr>
                <w:szCs w:val="28"/>
              </w:rPr>
              <w:t>, līdz ar to priekšlikums netika atbalstīts.</w:t>
            </w:r>
          </w:p>
          <w:p w:rsidR="00D44D84" w:rsidRPr="00843472" w:rsidRDefault="00D44D84" w:rsidP="00D44D84">
            <w:pPr>
              <w:ind w:firstLine="720"/>
              <w:jc w:val="both"/>
              <w:rPr>
                <w:szCs w:val="28"/>
              </w:rPr>
            </w:pPr>
            <w:r>
              <w:rPr>
                <w:szCs w:val="28"/>
              </w:rPr>
              <w:t xml:space="preserve">Satiksmes ministrija vēlreiz izvērtēja </w:t>
            </w:r>
            <w:r w:rsidRPr="009E5FCB">
              <w:rPr>
                <w:szCs w:val="28"/>
              </w:rPr>
              <w:t>LAPK 149.</w:t>
            </w:r>
            <w:r w:rsidRPr="009E5FCB">
              <w:rPr>
                <w:szCs w:val="28"/>
                <w:vertAlign w:val="superscript"/>
              </w:rPr>
              <w:t>40</w:t>
            </w:r>
            <w:r w:rsidRPr="009E5FCB">
              <w:rPr>
                <w:szCs w:val="28"/>
              </w:rPr>
              <w:t> pantā</w:t>
            </w:r>
            <w:r>
              <w:rPr>
                <w:szCs w:val="28"/>
              </w:rPr>
              <w:t xml:space="preserve"> nosakāmos sodus un Projektā ietvertie sodi ir aptuveni 70-75 % apmērā no sodu apmēra, kas 2016.gada jūnijā tika skatīts Saeimā. Maksimālā soda likme transportlīdzekļa vadītājam plānota 360 </w:t>
            </w:r>
            <w:proofErr w:type="spellStart"/>
            <w:r w:rsidRPr="00941FC9">
              <w:rPr>
                <w:i/>
                <w:szCs w:val="28"/>
              </w:rPr>
              <w:t>euro</w:t>
            </w:r>
            <w:proofErr w:type="spellEnd"/>
            <w:r>
              <w:rPr>
                <w:szCs w:val="28"/>
              </w:rPr>
              <w:t>, kas ir aptuveni 50 % no vidējās autoceļu lietošanas nodevas gada likmes, savukārt</w:t>
            </w:r>
            <w:r w:rsidRPr="009E5FCB">
              <w:rPr>
                <w:b/>
                <w:szCs w:val="28"/>
              </w:rPr>
              <w:t xml:space="preserve"> </w:t>
            </w:r>
            <w:r w:rsidRPr="009E5FCB">
              <w:rPr>
                <w:szCs w:val="28"/>
              </w:rPr>
              <w:t xml:space="preserve">pārvadātājam </w:t>
            </w:r>
            <w:r w:rsidR="00B12AC9">
              <w:rPr>
                <w:szCs w:val="28"/>
              </w:rPr>
              <w:t xml:space="preserve">- </w:t>
            </w:r>
            <w:r>
              <w:rPr>
                <w:szCs w:val="28"/>
              </w:rPr>
              <w:t xml:space="preserve">1000 </w:t>
            </w:r>
            <w:proofErr w:type="spellStart"/>
            <w:r w:rsidRPr="00D44D84">
              <w:rPr>
                <w:i/>
                <w:szCs w:val="28"/>
              </w:rPr>
              <w:t>euro</w:t>
            </w:r>
            <w:proofErr w:type="spellEnd"/>
            <w:r>
              <w:rPr>
                <w:szCs w:val="28"/>
              </w:rPr>
              <w:t xml:space="preserve">, kas ir par 75 </w:t>
            </w:r>
            <w:proofErr w:type="spellStart"/>
            <w:r w:rsidRPr="00843472">
              <w:rPr>
                <w:i/>
                <w:szCs w:val="28"/>
              </w:rPr>
              <w:t>euro</w:t>
            </w:r>
            <w:proofErr w:type="spellEnd"/>
            <w:r>
              <w:rPr>
                <w:szCs w:val="28"/>
              </w:rPr>
              <w:t xml:space="preserve"> lielāks nekā maksimālā </w:t>
            </w:r>
            <w:r>
              <w:rPr>
                <w:szCs w:val="28"/>
              </w:rPr>
              <w:lastRenderedPageBreak/>
              <w:t>autoceļu lietošanas nodevas gada likme.</w:t>
            </w:r>
          </w:p>
        </w:tc>
      </w:tr>
      <w:tr w:rsidR="009A22F6" w:rsidRPr="00B2758C" w:rsidTr="00DE1F89">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lastRenderedPageBreak/>
              <w:t>3.</w:t>
            </w:r>
          </w:p>
        </w:tc>
        <w:tc>
          <w:tcPr>
            <w:tcW w:w="151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izstrādē iesaistītās institūcijas</w:t>
            </w:r>
          </w:p>
        </w:tc>
        <w:tc>
          <w:tcPr>
            <w:tcW w:w="3247" w:type="pct"/>
            <w:tcBorders>
              <w:top w:val="outset" w:sz="6" w:space="0" w:color="414142"/>
              <w:left w:val="outset" w:sz="6" w:space="0" w:color="414142"/>
              <w:bottom w:val="outset" w:sz="6" w:space="0" w:color="414142"/>
            </w:tcBorders>
          </w:tcPr>
          <w:p w:rsidR="009A22F6" w:rsidRPr="008B42C6" w:rsidRDefault="009A22F6" w:rsidP="00D17EE4">
            <w:pPr>
              <w:jc w:val="both"/>
              <w:rPr>
                <w:color w:val="000000"/>
                <w:szCs w:val="28"/>
                <w:lang w:eastAsia="lv-LV"/>
              </w:rPr>
            </w:pPr>
            <w:r w:rsidRPr="008B42C6">
              <w:rPr>
                <w:color w:val="000000"/>
                <w:szCs w:val="28"/>
                <w:lang w:eastAsia="lv-LV"/>
              </w:rPr>
              <w:t>Satiksmes ministrija, valsts akciju sabiedrība „Latvijas Valsts ceļi”</w:t>
            </w:r>
          </w:p>
        </w:tc>
      </w:tr>
      <w:tr w:rsidR="009A22F6" w:rsidRPr="00B2758C" w:rsidTr="00DE1F89">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4.</w:t>
            </w:r>
          </w:p>
        </w:tc>
        <w:tc>
          <w:tcPr>
            <w:tcW w:w="151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247"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9A22F6" w:rsidRPr="00A02AC1"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919"/>
        <w:gridCol w:w="6289"/>
      </w:tblGrid>
      <w:tr w:rsidR="009A22F6" w:rsidRPr="00B2758C" w:rsidTr="007D7602">
        <w:trPr>
          <w:trHeight w:val="55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II</w:t>
            </w:r>
            <w:r w:rsidR="009F7AA2">
              <w:rPr>
                <w:b/>
                <w:bCs/>
                <w:color w:val="000000"/>
                <w:szCs w:val="28"/>
                <w:lang w:eastAsia="lv-LV"/>
              </w:rPr>
              <w:t>.</w:t>
            </w:r>
            <w:r w:rsidR="009A22F6" w:rsidRPr="008B42C6">
              <w:rPr>
                <w:b/>
                <w:bCs/>
                <w:color w:val="000000"/>
                <w:szCs w:val="28"/>
                <w:lang w:eastAsia="lv-LV"/>
              </w:rPr>
              <w:t xml:space="preserve"> Tiesību akta projekta ietekme uz sabiedrību, tautsaimniecības attīstību un administratīvo slogu</w:t>
            </w:r>
          </w:p>
        </w:tc>
      </w:tr>
      <w:tr w:rsidR="009A22F6" w:rsidRPr="00B2758C" w:rsidTr="007D7602">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Sabiedrības </w:t>
            </w:r>
            <w:proofErr w:type="spellStart"/>
            <w:r w:rsidRPr="008B42C6">
              <w:rPr>
                <w:color w:val="000000"/>
                <w:szCs w:val="28"/>
                <w:lang w:eastAsia="lv-LV"/>
              </w:rPr>
              <w:t>mērķgrupas</w:t>
            </w:r>
            <w:proofErr w:type="spellEnd"/>
            <w:r w:rsidRPr="008B42C6">
              <w:rPr>
                <w:color w:val="000000"/>
                <w:szCs w:val="28"/>
                <w:lang w:eastAsia="lv-LV"/>
              </w:rPr>
              <w:t>, kuras tiesiskais regulējums ietekmē vai varētu ietekmēt</w:t>
            </w:r>
          </w:p>
        </w:tc>
        <w:tc>
          <w:tcPr>
            <w:tcW w:w="3249" w:type="pct"/>
            <w:tcBorders>
              <w:top w:val="outset" w:sz="6" w:space="0" w:color="414142"/>
              <w:left w:val="outset" w:sz="6" w:space="0" w:color="414142"/>
              <w:bottom w:val="outset" w:sz="6" w:space="0" w:color="414142"/>
            </w:tcBorders>
          </w:tcPr>
          <w:p w:rsidR="009A22F6" w:rsidRDefault="00843472" w:rsidP="00865AC3">
            <w:pPr>
              <w:jc w:val="both"/>
              <w:rPr>
                <w:color w:val="000000"/>
                <w:szCs w:val="28"/>
                <w:lang w:eastAsia="lv-LV"/>
              </w:rPr>
            </w:pPr>
            <w:r>
              <w:rPr>
                <w:color w:val="000000"/>
                <w:szCs w:val="28"/>
                <w:lang w:eastAsia="lv-LV"/>
              </w:rPr>
              <w:t>1. Kravas transportlīdzekļu un to sastāvu</w:t>
            </w:r>
            <w:r w:rsidRPr="00843472">
              <w:rPr>
                <w:color w:val="000000"/>
                <w:szCs w:val="28"/>
                <w:lang w:eastAsia="lv-LV"/>
              </w:rPr>
              <w:t>, kuru pilna masa ir lielāka par 3500 kilogramiem un kuri paredzēti vai tiek izmantoti kravu autopārvadājumiem</w:t>
            </w:r>
            <w:r>
              <w:rPr>
                <w:color w:val="000000"/>
                <w:szCs w:val="28"/>
                <w:lang w:eastAsia="lv-LV"/>
              </w:rPr>
              <w:t>, vadītāji un pārvadātāji.</w:t>
            </w:r>
          </w:p>
          <w:p w:rsidR="00843472" w:rsidRPr="008B42C6" w:rsidRDefault="00843472" w:rsidP="00865AC3">
            <w:pPr>
              <w:jc w:val="both"/>
              <w:rPr>
                <w:color w:val="000000"/>
                <w:szCs w:val="28"/>
                <w:lang w:eastAsia="lv-LV"/>
              </w:rPr>
            </w:pPr>
            <w:r>
              <w:rPr>
                <w:color w:val="000000"/>
                <w:szCs w:val="28"/>
                <w:lang w:eastAsia="lv-LV"/>
              </w:rPr>
              <w:t>2. Valsts policija.</w:t>
            </w:r>
          </w:p>
        </w:tc>
      </w:tr>
      <w:tr w:rsidR="009A22F6" w:rsidRPr="00B2758C" w:rsidTr="007D7602">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Tiesiskā regulējuma ietekme uz tautsaimniecību un administratīvo slogu</w:t>
            </w:r>
          </w:p>
        </w:tc>
        <w:tc>
          <w:tcPr>
            <w:tcW w:w="3249" w:type="pct"/>
            <w:tcBorders>
              <w:top w:val="outset" w:sz="6" w:space="0" w:color="414142"/>
              <w:left w:val="outset" w:sz="6" w:space="0" w:color="414142"/>
              <w:bottom w:val="outset" w:sz="6" w:space="0" w:color="414142"/>
            </w:tcBorders>
          </w:tcPr>
          <w:p w:rsidR="0028728B" w:rsidRPr="008B42C6" w:rsidRDefault="00843472" w:rsidP="00865AC3">
            <w:pPr>
              <w:jc w:val="both"/>
              <w:rPr>
                <w:color w:val="000000"/>
                <w:szCs w:val="28"/>
                <w:lang w:eastAsia="lv-LV"/>
              </w:rPr>
            </w:pPr>
            <w:r>
              <w:rPr>
                <w:color w:val="000000"/>
                <w:szCs w:val="28"/>
                <w:lang w:eastAsia="lv-LV"/>
              </w:rPr>
              <w:t>Palielinot sodu, kravas transportlīdzekļu vadītāji un pārvadātāji būs motivētāki samaksāt autoceļu lietošanas nodevu, kas pozitīvi ietekmēs tautsaimniecību, jo palielināties autoceļu lietošanas nodevas ieņēmumi.</w:t>
            </w:r>
          </w:p>
        </w:tc>
      </w:tr>
      <w:tr w:rsidR="009A22F6" w:rsidRPr="00B2758C" w:rsidTr="007D7602">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Administratīvo izmaksu monetārs novērtējums</w:t>
            </w:r>
          </w:p>
        </w:tc>
        <w:tc>
          <w:tcPr>
            <w:tcW w:w="3249" w:type="pct"/>
            <w:tcBorders>
              <w:top w:val="outset" w:sz="6" w:space="0" w:color="414142"/>
              <w:left w:val="outset" w:sz="6" w:space="0" w:color="414142"/>
              <w:bottom w:val="outset" w:sz="6" w:space="0" w:color="414142"/>
            </w:tcBorders>
          </w:tcPr>
          <w:p w:rsidR="004805E3" w:rsidRPr="008B42C6" w:rsidRDefault="00843472" w:rsidP="00865AC3">
            <w:pPr>
              <w:contextualSpacing/>
              <w:jc w:val="both"/>
              <w:rPr>
                <w:color w:val="000000"/>
                <w:szCs w:val="28"/>
                <w:lang w:eastAsia="lv-LV"/>
              </w:rPr>
            </w:pPr>
            <w:r>
              <w:rPr>
                <w:szCs w:val="28"/>
              </w:rPr>
              <w:t>Projekts šo jomu neskar.</w:t>
            </w:r>
          </w:p>
        </w:tc>
      </w:tr>
      <w:tr w:rsidR="009A22F6" w:rsidRPr="00B2758C" w:rsidTr="007D7602">
        <w:trPr>
          <w:trHeight w:val="34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4.</w:t>
            </w:r>
          </w:p>
        </w:tc>
        <w:tc>
          <w:tcPr>
            <w:tcW w:w="1508"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249"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731"/>
        <w:gridCol w:w="1181"/>
        <w:gridCol w:w="1417"/>
        <w:gridCol w:w="1623"/>
        <w:gridCol w:w="1700"/>
        <w:gridCol w:w="1734"/>
      </w:tblGrid>
      <w:tr w:rsidR="007D7602" w:rsidRPr="004D2D0B" w:rsidTr="00531E22">
        <w:tc>
          <w:tcPr>
            <w:tcW w:w="9386" w:type="dxa"/>
            <w:gridSpan w:val="6"/>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jc w:val="center"/>
              <w:rPr>
                <w:b/>
                <w:bCs/>
                <w:color w:val="000000"/>
              </w:rPr>
            </w:pPr>
            <w:r w:rsidRPr="004D2D0B">
              <w:rPr>
                <w:b/>
                <w:bCs/>
                <w:color w:val="000000"/>
              </w:rPr>
              <w:t>III. Tiesību akta projekta ietekme uz valsts budžetu un pašvaldību budžetiem</w:t>
            </w:r>
          </w:p>
        </w:tc>
      </w:tr>
      <w:tr w:rsidR="007D7602" w:rsidRPr="004D2D0B" w:rsidTr="007D7602">
        <w:tc>
          <w:tcPr>
            <w:tcW w:w="1731" w:type="dxa"/>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Rādītāji</w:t>
            </w:r>
          </w:p>
        </w:tc>
        <w:tc>
          <w:tcPr>
            <w:tcW w:w="259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201</w:t>
            </w:r>
            <w:r>
              <w:rPr>
                <w:b/>
                <w:bCs/>
                <w:color w:val="000000"/>
              </w:rPr>
              <w:t>6</w:t>
            </w:r>
            <w:r w:rsidRPr="004D2D0B">
              <w:rPr>
                <w:b/>
                <w:bCs/>
                <w:color w:val="000000"/>
              </w:rPr>
              <w:t>. gads</w:t>
            </w:r>
          </w:p>
        </w:tc>
        <w:tc>
          <w:tcPr>
            <w:tcW w:w="5057" w:type="dxa"/>
            <w:gridSpan w:val="3"/>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Turpmākie trīs gadi (</w:t>
            </w:r>
            <w:proofErr w:type="spellStart"/>
            <w:r w:rsidRPr="004D2D0B">
              <w:rPr>
                <w:color w:val="000000"/>
              </w:rPr>
              <w:t>euro</w:t>
            </w:r>
            <w:proofErr w:type="spellEnd"/>
            <w:r w:rsidRPr="004D2D0B">
              <w:rPr>
                <w:color w:val="000000"/>
              </w:rPr>
              <w:t>)</w:t>
            </w:r>
          </w:p>
        </w:tc>
      </w:tr>
      <w:tr w:rsidR="007D7602" w:rsidRPr="004D2D0B" w:rsidTr="007D7602">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2598" w:type="dxa"/>
            <w:gridSpan w:val="2"/>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201</w:t>
            </w:r>
            <w:r>
              <w:rPr>
                <w:b/>
                <w:bCs/>
                <w:color w:val="000000"/>
              </w:rPr>
              <w:t>7</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Pr>
                <w:b/>
                <w:bCs/>
                <w:color w:val="000000"/>
              </w:rPr>
              <w:t>2018</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201</w:t>
            </w:r>
            <w:r>
              <w:rPr>
                <w:b/>
                <w:bCs/>
                <w:color w:val="000000"/>
              </w:rPr>
              <w:t>9</w:t>
            </w:r>
          </w:p>
        </w:tc>
      </w:tr>
      <w:tr w:rsidR="007D7602" w:rsidRPr="004D2D0B" w:rsidTr="007D7602">
        <w:tc>
          <w:tcPr>
            <w:tcW w:w="1731"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Saskaņā ar valsts budžetu kārtējam gadam</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kārtējā gadā, salīdzinot ar budžetu kārtējam gadam</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salīdzinot ar 201</w:t>
            </w:r>
            <w:r>
              <w:rPr>
                <w:color w:val="000000"/>
              </w:rPr>
              <w:t>6</w:t>
            </w:r>
            <w:r w:rsidRPr="004D2D0B">
              <w:rPr>
                <w:color w:val="000000"/>
              </w:rPr>
              <w:t xml:space="preserve"> gadu</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salīdzinot ar 201</w:t>
            </w:r>
            <w:r>
              <w:rPr>
                <w:color w:val="000000"/>
              </w:rPr>
              <w:t>6</w:t>
            </w:r>
            <w:r w:rsidRPr="004D2D0B">
              <w:rPr>
                <w:color w:val="000000"/>
              </w:rPr>
              <w:t xml:space="preserve"> gadu</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salīdzinot ar 201</w:t>
            </w:r>
            <w:r>
              <w:rPr>
                <w:color w:val="000000"/>
              </w:rPr>
              <w:t>6</w:t>
            </w:r>
            <w:r w:rsidRPr="004D2D0B">
              <w:rPr>
                <w:color w:val="000000"/>
              </w:rPr>
              <w:t xml:space="preserve"> gadu</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1</w:t>
            </w:r>
          </w:p>
        </w:tc>
        <w:tc>
          <w:tcPr>
            <w:tcW w:w="1181"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4</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5</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6</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1. Budžeta ieņēmumi:</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27543E">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27543E">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27543E">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1.1. valsts pamatbudžets, tai sk</w:t>
            </w:r>
            <w:r>
              <w:rPr>
                <w:color w:val="000000"/>
              </w:rPr>
              <w:t>aitā ieņēmumi no maksas pakalpo</w:t>
            </w:r>
            <w:r w:rsidRPr="004D2D0B">
              <w:rPr>
                <w:color w:val="000000"/>
              </w:rPr>
              <w:t>jumie</w:t>
            </w:r>
            <w:r w:rsidRPr="004D2D0B">
              <w:rPr>
                <w:color w:val="000000"/>
              </w:rPr>
              <w:lastRenderedPageBreak/>
              <w:t>m un citi pašu ieņēmumi</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lastRenderedPageBreak/>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lastRenderedPageBreak/>
              <w:t>1.2. valsts speciālais 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1.3. pašvaldību 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2. Budžeta izdevumi:</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2.1. valsts pamatbudžets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2.2. valsts speciālais 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2.3. pašvaldību 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3. Finansiālā ietekme:</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3.1. valsts pamatbudžets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3.2. speciālais 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3.3. pašvaldību budžets</w:t>
            </w:r>
          </w:p>
        </w:tc>
        <w:tc>
          <w:tcPr>
            <w:tcW w:w="1181" w:type="dxa"/>
            <w:tcBorders>
              <w:top w:val="outset" w:sz="6" w:space="0" w:color="000000"/>
              <w:left w:val="outset" w:sz="6" w:space="0" w:color="000000"/>
              <w:bottom w:val="outset" w:sz="6" w:space="0" w:color="000000"/>
              <w:right w:val="outset" w:sz="6" w:space="0" w:color="000000"/>
            </w:tcBorders>
          </w:tcPr>
          <w:p w:rsidR="007D7602" w:rsidRPr="004D2D0B" w:rsidRDefault="007D7602" w:rsidP="00531E22">
            <w:pPr>
              <w:rPr>
                <w:color w:val="000000"/>
              </w:rPr>
            </w:pPr>
            <w:r w:rsidRPr="004D2D0B">
              <w:rPr>
                <w:color w:val="000000"/>
              </w:rPr>
              <w:t>0</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rPr>
          <w:trHeight w:val="739"/>
        </w:trPr>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4</w:t>
            </w:r>
            <w:r>
              <w:rPr>
                <w:color w:val="000000"/>
              </w:rPr>
              <w:t>. Finanšu līdzekļi papildu izde</w:t>
            </w:r>
            <w:r w:rsidRPr="004D2D0B">
              <w:rPr>
                <w:color w:val="000000"/>
              </w:rPr>
              <w:t>vumu finansēšanai (kompensējošu izdevumu samazinājumu norāda ar "+" zīmi)</w:t>
            </w:r>
          </w:p>
        </w:tc>
        <w:tc>
          <w:tcPr>
            <w:tcW w:w="118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X</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D36C48">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5. Precizēta finansiālā ietekme:</w:t>
            </w:r>
          </w:p>
        </w:tc>
        <w:tc>
          <w:tcPr>
            <w:tcW w:w="1181" w:type="dxa"/>
            <w:vMerge w:val="restart"/>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X</w:t>
            </w: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 xml:space="preserve">5.1. valsts </w:t>
            </w:r>
            <w:r w:rsidRPr="004D2D0B">
              <w:rPr>
                <w:color w:val="000000"/>
              </w:rPr>
              <w:lastRenderedPageBreak/>
              <w:t>pamatbudžets</w:t>
            </w:r>
          </w:p>
        </w:tc>
        <w:tc>
          <w:tcPr>
            <w:tcW w:w="1181"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 xml:space="preserve">Nav precīzi </w:t>
            </w:r>
            <w:r w:rsidRPr="00A91550">
              <w:rPr>
                <w:color w:val="000000"/>
              </w:rPr>
              <w:lastRenderedPageBreak/>
              <w:t>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lastRenderedPageBreak/>
              <w:t xml:space="preserve">Nav precīzi </w:t>
            </w:r>
            <w:r w:rsidRPr="00A91550">
              <w:rPr>
                <w:color w:val="000000"/>
              </w:rPr>
              <w:lastRenderedPageBreak/>
              <w:t>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lastRenderedPageBreak/>
              <w:t xml:space="preserve">Nav precīzi </w:t>
            </w:r>
            <w:r w:rsidRPr="00A91550">
              <w:rPr>
                <w:color w:val="000000"/>
              </w:rPr>
              <w:lastRenderedPageBreak/>
              <w:t>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lastRenderedPageBreak/>
              <w:t xml:space="preserve">Nav precīzi </w:t>
            </w:r>
            <w:r w:rsidRPr="00A91550">
              <w:rPr>
                <w:color w:val="000000"/>
              </w:rPr>
              <w:lastRenderedPageBreak/>
              <w:t>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lastRenderedPageBreak/>
              <w:t>5.2. speciālais budžets</w:t>
            </w:r>
          </w:p>
        </w:tc>
        <w:tc>
          <w:tcPr>
            <w:tcW w:w="1181"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5.3. pašvaldību budžets</w:t>
            </w:r>
          </w:p>
        </w:tc>
        <w:tc>
          <w:tcPr>
            <w:tcW w:w="1181"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623"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700"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c>
          <w:tcPr>
            <w:tcW w:w="1734" w:type="dxa"/>
            <w:tcBorders>
              <w:top w:val="outset" w:sz="6" w:space="0" w:color="000000"/>
              <w:left w:val="outset" w:sz="6" w:space="0" w:color="000000"/>
              <w:bottom w:val="outset" w:sz="6" w:space="0" w:color="000000"/>
              <w:right w:val="outset" w:sz="6" w:space="0" w:color="000000"/>
            </w:tcBorders>
          </w:tcPr>
          <w:p w:rsidR="007D7602" w:rsidRDefault="007D7602" w:rsidP="00531E22">
            <w:r w:rsidRPr="00A91550">
              <w:rPr>
                <w:color w:val="000000"/>
              </w:rPr>
              <w:t>Nav precīzi aprēķināms</w:t>
            </w:r>
          </w:p>
        </w:tc>
      </w:tr>
      <w:tr w:rsidR="007D7602" w:rsidRPr="004D2D0B" w:rsidTr="007D7602">
        <w:trPr>
          <w:trHeight w:val="2231"/>
        </w:trPr>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6</w:t>
            </w:r>
            <w:r>
              <w:rPr>
                <w:color w:val="000000"/>
              </w:rPr>
              <w:t>. Detalizēts ieņēmumu un izdevu</w:t>
            </w:r>
            <w:r w:rsidRPr="004D2D0B">
              <w:rPr>
                <w:color w:val="000000"/>
              </w:rPr>
              <w:t>mu aprēķins (ja nepieciešams, detalizētu ieņēmumu un izdevumu aprēķinu var pievienot anotācijas pielikumā):</w:t>
            </w:r>
          </w:p>
        </w:tc>
        <w:tc>
          <w:tcPr>
            <w:tcW w:w="7655" w:type="dxa"/>
            <w:gridSpan w:val="5"/>
            <w:tcBorders>
              <w:top w:val="outset" w:sz="6" w:space="0" w:color="000000"/>
              <w:left w:val="outset" w:sz="6" w:space="0" w:color="000000"/>
              <w:bottom w:val="outset" w:sz="6" w:space="0" w:color="000000"/>
              <w:right w:val="outset" w:sz="6" w:space="0" w:color="000000"/>
            </w:tcBorders>
            <w:vAlign w:val="center"/>
          </w:tcPr>
          <w:p w:rsidR="007D7602" w:rsidRPr="004D2D0B" w:rsidRDefault="007D7602" w:rsidP="00531E22">
            <w:pPr>
              <w:rPr>
                <w:color w:val="000000"/>
              </w:rPr>
            </w:pPr>
          </w:p>
        </w:tc>
      </w:tr>
      <w:tr w:rsidR="007D7602" w:rsidRPr="004D2D0B" w:rsidTr="007D7602">
        <w:trPr>
          <w:trHeight w:val="169"/>
        </w:trPr>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6.1. detalizēts ieņēmumu aprēķins</w:t>
            </w:r>
          </w:p>
        </w:tc>
        <w:tc>
          <w:tcPr>
            <w:tcW w:w="7655" w:type="dxa"/>
            <w:gridSpan w:val="5"/>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jc w:val="both"/>
              <w:rPr>
                <w:color w:val="000000"/>
              </w:rPr>
            </w:pPr>
            <w:r>
              <w:rPr>
                <w:color w:val="000000"/>
              </w:rPr>
              <w:t>Ieņēmumu apmērs nav precīzi aprēķināms, jo tas ir atkarīgs no normatīvajos aktos noteikto prasību ievērošanas</w:t>
            </w:r>
            <w:r>
              <w:t xml:space="preserve"> no </w:t>
            </w:r>
            <w:r>
              <w:rPr>
                <w:color w:val="000000"/>
              </w:rPr>
              <w:t>Projektā regulēto subjektu puses.</w:t>
            </w:r>
          </w:p>
        </w:tc>
      </w:tr>
      <w:tr w:rsidR="007D7602" w:rsidRPr="004D2D0B" w:rsidTr="007D7602">
        <w:trPr>
          <w:trHeight w:val="25"/>
        </w:trPr>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6.2. detalizēts izdevumu aprēķins</w:t>
            </w:r>
          </w:p>
        </w:tc>
        <w:tc>
          <w:tcPr>
            <w:tcW w:w="7655" w:type="dxa"/>
            <w:gridSpan w:val="5"/>
            <w:tcBorders>
              <w:top w:val="outset" w:sz="6" w:space="0" w:color="000000"/>
              <w:left w:val="outset" w:sz="6" w:space="0" w:color="000000"/>
              <w:bottom w:val="outset" w:sz="6" w:space="0" w:color="000000"/>
              <w:right w:val="outset" w:sz="6" w:space="0" w:color="000000"/>
            </w:tcBorders>
            <w:vAlign w:val="center"/>
          </w:tcPr>
          <w:p w:rsidR="007D7602" w:rsidRPr="004D2D0B" w:rsidRDefault="007D7602" w:rsidP="00531E22">
            <w:pPr>
              <w:jc w:val="both"/>
              <w:rPr>
                <w:color w:val="000000"/>
              </w:rPr>
            </w:pPr>
            <w:r>
              <w:rPr>
                <w:color w:val="000000"/>
              </w:rPr>
              <w:t>I</w:t>
            </w:r>
            <w:r w:rsidRPr="0079639E">
              <w:rPr>
                <w:color w:val="000000"/>
              </w:rPr>
              <w:t>zdevumu apmēr</w:t>
            </w:r>
            <w:r>
              <w:rPr>
                <w:color w:val="000000"/>
              </w:rPr>
              <w:t>s</w:t>
            </w:r>
            <w:r w:rsidRPr="0079639E">
              <w:rPr>
                <w:color w:val="000000"/>
              </w:rPr>
              <w:t xml:space="preserve"> nav </w:t>
            </w:r>
            <w:r w:rsidRPr="00834058">
              <w:rPr>
                <w:color w:val="000000"/>
              </w:rPr>
              <w:t>precīzi aprēķināms</w:t>
            </w:r>
            <w:r w:rsidRPr="0079639E">
              <w:rPr>
                <w:color w:val="000000"/>
              </w:rPr>
              <w:t xml:space="preserve">, jo tas ir atkarīgs no </w:t>
            </w:r>
            <w:r>
              <w:rPr>
                <w:color w:val="000000"/>
              </w:rPr>
              <w:t>normatīvajos aktos</w:t>
            </w:r>
            <w:r w:rsidRPr="0079639E">
              <w:rPr>
                <w:color w:val="000000"/>
              </w:rPr>
              <w:t xml:space="preserve"> noteikto prasību ievērošanas no </w:t>
            </w:r>
            <w:r>
              <w:rPr>
                <w:color w:val="000000"/>
              </w:rPr>
              <w:t>Projektā regulēto subjektu puses.</w:t>
            </w:r>
          </w:p>
        </w:tc>
      </w:tr>
      <w:tr w:rsidR="007D7602" w:rsidRPr="004D2D0B" w:rsidTr="007D7602">
        <w:tc>
          <w:tcPr>
            <w:tcW w:w="1731"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7. Cita informācija</w:t>
            </w:r>
          </w:p>
        </w:tc>
        <w:tc>
          <w:tcPr>
            <w:tcW w:w="7655" w:type="dxa"/>
            <w:gridSpan w:val="5"/>
            <w:tcBorders>
              <w:top w:val="outset" w:sz="6" w:space="0" w:color="000000"/>
              <w:left w:val="outset" w:sz="6" w:space="0" w:color="000000"/>
              <w:bottom w:val="outset" w:sz="6" w:space="0" w:color="000000"/>
              <w:right w:val="outset" w:sz="6" w:space="0" w:color="000000"/>
            </w:tcBorders>
          </w:tcPr>
          <w:p w:rsidR="007D7602" w:rsidRDefault="007D7602" w:rsidP="007D7602">
            <w:pPr>
              <w:jc w:val="both"/>
              <w:rPr>
                <w:color w:val="000000"/>
              </w:rPr>
            </w:pPr>
            <w:r>
              <w:rPr>
                <w:color w:val="000000"/>
              </w:rPr>
              <w:t xml:space="preserve">Atbilstoši Valsts policijas sniegtajiem datiem par veiktajām pārbaudēm no 2014.gada 1.jūlija līdz 2016.gada maijam vidēji 16 % gadījumu autoceļu lietošanas nodeva nav samaksāta. Ņemot vērā to, ka pēc sodu palielināšanas kravas transportlīdzekļu vadītāji un pārvadātāji vairs nebūs ieinteresēti riskēt un nemaksāt autoceļu lietošanas nodevu, ieņēmumi valsts budžetā no autoceļu lietošanas nodevas varētu palielināties par aptuveni 3 miljoniem </w:t>
            </w:r>
            <w:proofErr w:type="spellStart"/>
            <w:r w:rsidRPr="007D7602">
              <w:rPr>
                <w:i/>
                <w:color w:val="000000"/>
              </w:rPr>
              <w:t>euro</w:t>
            </w:r>
            <w:proofErr w:type="spellEnd"/>
            <w:r>
              <w:rPr>
                <w:color w:val="000000"/>
              </w:rPr>
              <w:t>.</w:t>
            </w:r>
          </w:p>
          <w:p w:rsidR="007D7602" w:rsidRPr="004D2D0B" w:rsidRDefault="007D7602" w:rsidP="007D7602">
            <w:pPr>
              <w:jc w:val="both"/>
              <w:rPr>
                <w:color w:val="000000"/>
              </w:rPr>
            </w:pPr>
            <w:r>
              <w:rPr>
                <w:color w:val="000000"/>
              </w:rPr>
              <w:t>Vienlaikus Satiksmes ministrija plāno arī citus pasākumus autoceļu lietošanas nodevas ieņēmumu palielināšanai.</w:t>
            </w:r>
          </w:p>
        </w:tc>
      </w:tr>
    </w:tbl>
    <w:p w:rsidR="00843472" w:rsidRDefault="00843472" w:rsidP="002F0047">
      <w:pPr>
        <w:shd w:val="clear" w:color="auto" w:fill="FFFFFF"/>
        <w:ind w:firstLine="301"/>
        <w:rPr>
          <w:color w:val="000000"/>
          <w:sz w:val="24"/>
          <w:szCs w:val="24"/>
          <w:lang w:eastAsia="lv-LV"/>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D7602" w:rsidRPr="00896671" w:rsidTr="00531E22">
        <w:trPr>
          <w:trHeight w:val="507"/>
        </w:trPr>
        <w:tc>
          <w:tcPr>
            <w:tcW w:w="5000" w:type="pct"/>
            <w:shd w:val="clear" w:color="auto" w:fill="auto"/>
          </w:tcPr>
          <w:p w:rsidR="007D7602" w:rsidRPr="00896671" w:rsidRDefault="007D7602" w:rsidP="00531E22">
            <w:pPr>
              <w:spacing w:before="100" w:beforeAutospacing="1" w:after="100" w:afterAutospacing="1"/>
              <w:jc w:val="center"/>
              <w:rPr>
                <w:b/>
              </w:rPr>
            </w:pPr>
            <w:r w:rsidRPr="00896671">
              <w:rPr>
                <w:b/>
              </w:rPr>
              <w:t>IV. Tiesību akta projekta ietekme uz spēkā esošo tiesību normu sistēmu</w:t>
            </w:r>
          </w:p>
        </w:tc>
      </w:tr>
      <w:tr w:rsidR="007D7602" w:rsidRPr="00896671" w:rsidTr="007D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000" w:type="pct"/>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tcPr>
          <w:p w:rsidR="007D7602" w:rsidRPr="00896671" w:rsidRDefault="007D7602" w:rsidP="007D7602">
            <w:pPr>
              <w:snapToGrid w:val="0"/>
              <w:spacing w:after="200" w:line="276" w:lineRule="auto"/>
              <w:jc w:val="center"/>
            </w:pPr>
            <w:r>
              <w:t>Projekts šo jomu neskar</w:t>
            </w:r>
          </w:p>
        </w:tc>
      </w:tr>
    </w:tbl>
    <w:p w:rsidR="007D7602" w:rsidRDefault="007D7602" w:rsidP="002F0047">
      <w:pPr>
        <w:shd w:val="clear" w:color="auto" w:fill="FFFFFF"/>
        <w:ind w:firstLine="301"/>
        <w:rPr>
          <w:color w:val="000000"/>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54"/>
      </w:tblGrid>
      <w:tr w:rsidR="00D44D84" w:rsidRPr="00D65FA4" w:rsidTr="00531E22">
        <w:tc>
          <w:tcPr>
            <w:tcW w:w="5000" w:type="pct"/>
            <w:tcBorders>
              <w:top w:val="outset" w:sz="6" w:space="0" w:color="000000"/>
              <w:left w:val="outset" w:sz="6" w:space="0" w:color="000000"/>
              <w:bottom w:val="outset" w:sz="6" w:space="0" w:color="000000"/>
              <w:right w:val="outset" w:sz="6" w:space="0" w:color="000000"/>
            </w:tcBorders>
          </w:tcPr>
          <w:p w:rsidR="00D44D84" w:rsidRPr="00D65FA4" w:rsidRDefault="00D44D84" w:rsidP="00531E22">
            <w:pPr>
              <w:jc w:val="center"/>
              <w:rPr>
                <w:b/>
                <w:bCs/>
                <w:color w:val="000000"/>
              </w:rPr>
            </w:pPr>
            <w:r w:rsidRPr="00D65FA4">
              <w:rPr>
                <w:b/>
                <w:bCs/>
                <w:color w:val="000000"/>
              </w:rPr>
              <w:t>V. Tiesību akta projekta atbilstība Latvijas Republikas starptautiskajām saistībām</w:t>
            </w:r>
          </w:p>
        </w:tc>
      </w:tr>
      <w:tr w:rsidR="00D44D84" w:rsidTr="00D44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tcBorders>
              <w:top w:val="single" w:sz="4" w:space="0" w:color="auto"/>
              <w:left w:val="single" w:sz="4" w:space="0" w:color="auto"/>
              <w:bottom w:val="single" w:sz="4" w:space="0" w:color="auto"/>
              <w:right w:val="single" w:sz="4" w:space="0" w:color="auto"/>
            </w:tcBorders>
            <w:hideMark/>
          </w:tcPr>
          <w:p w:rsidR="00D44D84" w:rsidRDefault="00D44D84" w:rsidP="00D44D84">
            <w:pPr>
              <w:jc w:val="center"/>
            </w:pPr>
            <w:r>
              <w:t>Projekts šo jomu neskar</w:t>
            </w:r>
          </w:p>
        </w:tc>
      </w:tr>
    </w:tbl>
    <w:p w:rsidR="00D44D84" w:rsidRDefault="00D44D84" w:rsidP="002F0047">
      <w:pPr>
        <w:shd w:val="clear" w:color="auto" w:fill="FFFFFF"/>
        <w:ind w:firstLine="301"/>
        <w:rPr>
          <w:color w:val="000000"/>
          <w:sz w:val="24"/>
          <w:szCs w:val="24"/>
          <w:lang w:eastAsia="lv-LV"/>
        </w:rPr>
      </w:pPr>
    </w:p>
    <w:p w:rsidR="00843472" w:rsidRPr="00B2758C"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F80C03" w:rsidRPr="00B2758C" w:rsidTr="0063060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0C03" w:rsidRPr="008B42C6" w:rsidRDefault="00F80C03" w:rsidP="00630602">
            <w:pPr>
              <w:spacing w:before="100" w:beforeAutospacing="1" w:after="100" w:afterAutospacing="1" w:line="285" w:lineRule="atLeast"/>
              <w:jc w:val="center"/>
              <w:rPr>
                <w:rFonts w:eastAsia="Times New Roman"/>
                <w:b/>
                <w:bCs/>
                <w:color w:val="000000" w:themeColor="text1"/>
                <w:szCs w:val="28"/>
                <w:lang w:eastAsia="lv-LV"/>
              </w:rPr>
            </w:pPr>
            <w:r w:rsidRPr="008B42C6">
              <w:rPr>
                <w:rFonts w:eastAsia="Times New Roman"/>
                <w:b/>
                <w:bCs/>
                <w:color w:val="000000" w:themeColor="text1"/>
                <w:szCs w:val="28"/>
                <w:lang w:eastAsia="lv-LV"/>
              </w:rPr>
              <w:t>VI</w:t>
            </w:r>
            <w:r w:rsidR="009F7AA2">
              <w:rPr>
                <w:rFonts w:eastAsia="Times New Roman"/>
                <w:b/>
                <w:bCs/>
                <w:color w:val="000000" w:themeColor="text1"/>
                <w:szCs w:val="28"/>
                <w:lang w:eastAsia="lv-LV"/>
              </w:rPr>
              <w:t>.</w:t>
            </w:r>
            <w:r w:rsidRPr="008B42C6">
              <w:rPr>
                <w:rFonts w:eastAsia="Times New Roman"/>
                <w:b/>
                <w:bCs/>
                <w:color w:val="000000" w:themeColor="text1"/>
                <w:szCs w:val="28"/>
                <w:lang w:eastAsia="lv-LV"/>
              </w:rPr>
              <w:t xml:space="preserve"> Sabiedrības līdzdalība un komunikācijas aktivitātes</w:t>
            </w:r>
          </w:p>
        </w:tc>
      </w:tr>
      <w:tr w:rsidR="00F80C03" w:rsidRPr="00B2758C" w:rsidTr="0063060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9F7AA2" w:rsidRDefault="009F7AA2" w:rsidP="00865AC3">
            <w:pPr>
              <w:jc w:val="both"/>
              <w:rPr>
                <w:szCs w:val="28"/>
              </w:rPr>
            </w:pPr>
            <w:r w:rsidRPr="009F7AA2">
              <w:rPr>
                <w:szCs w:val="28"/>
              </w:rPr>
              <w:t>Paziņojums par līdzdalības iespējām tiesību akta izstrādes procesā ievietots Satiksmes ministrijas tīmekļa vietnē</w:t>
            </w:r>
            <w:r w:rsidR="001D39CC">
              <w:rPr>
                <w:szCs w:val="28"/>
              </w:rPr>
              <w:t xml:space="preserve"> 2016.</w:t>
            </w:r>
            <w:r w:rsidR="000461D9">
              <w:rPr>
                <w:szCs w:val="28"/>
              </w:rPr>
              <w:t> </w:t>
            </w:r>
            <w:r w:rsidR="001D39CC">
              <w:rPr>
                <w:szCs w:val="28"/>
              </w:rPr>
              <w:t>gada 8</w:t>
            </w:r>
            <w:r w:rsidR="00E632DC">
              <w:rPr>
                <w:szCs w:val="28"/>
              </w:rPr>
              <w:t>.</w:t>
            </w:r>
            <w:r w:rsidR="000461D9">
              <w:rPr>
                <w:szCs w:val="28"/>
              </w:rPr>
              <w:t> </w:t>
            </w:r>
            <w:r w:rsidR="00E632DC">
              <w:rPr>
                <w:szCs w:val="28"/>
              </w:rPr>
              <w:t>augustā.</w:t>
            </w:r>
            <w:r w:rsidRPr="009F7AA2" w:rsidDel="009F7AA2">
              <w:rPr>
                <w:szCs w:val="28"/>
              </w:rPr>
              <w:t xml:space="preserve"> </w:t>
            </w:r>
          </w:p>
          <w:p w:rsidR="00F80C03" w:rsidRPr="00D44D84" w:rsidRDefault="00F80C03" w:rsidP="000461D9">
            <w:pPr>
              <w:jc w:val="both"/>
              <w:rPr>
                <w:rFonts w:eastAsia="Times New Roman"/>
                <w:color w:val="000000" w:themeColor="text1"/>
                <w:szCs w:val="28"/>
                <w:highlight w:val="yellow"/>
                <w:lang w:eastAsia="lv-LV"/>
              </w:rPr>
            </w:pPr>
          </w:p>
        </w:tc>
      </w:tr>
      <w:tr w:rsidR="00F80C03" w:rsidRPr="00B2758C" w:rsidTr="0063060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016366" w:rsidRDefault="000461D9" w:rsidP="000461D9">
            <w:pPr>
              <w:jc w:val="both"/>
              <w:rPr>
                <w:rFonts w:eastAsia="Times New Roman"/>
                <w:color w:val="000000" w:themeColor="text1"/>
                <w:szCs w:val="28"/>
                <w:lang w:eastAsia="lv-LV"/>
              </w:rPr>
            </w:pPr>
            <w:r>
              <w:rPr>
                <w:szCs w:val="28"/>
              </w:rPr>
              <w:t xml:space="preserve">Projekts tika nosūtīts saskaņošanai </w:t>
            </w:r>
            <w:r w:rsidRPr="00016366">
              <w:rPr>
                <w:szCs w:val="28"/>
              </w:rPr>
              <w:t>Autopārvadātāju asociācij</w:t>
            </w:r>
            <w:r>
              <w:rPr>
                <w:szCs w:val="28"/>
              </w:rPr>
              <w:t xml:space="preserve">ai “Latvijas auto”, kas piedalījās arī </w:t>
            </w:r>
            <w:r w:rsidR="00016366" w:rsidRPr="00016366">
              <w:rPr>
                <w:color w:val="000000"/>
                <w:szCs w:val="28"/>
                <w:lang w:eastAsia="lv-LV"/>
              </w:rPr>
              <w:t xml:space="preserve">Saeimas Juridiskās komisijas 2016.gada 14.jūnija sēdē par </w:t>
            </w:r>
            <w:r w:rsidR="00016366" w:rsidRPr="00016366">
              <w:rPr>
                <w:szCs w:val="28"/>
              </w:rPr>
              <w:t>g</w:t>
            </w:r>
            <w:r w:rsidR="00016366" w:rsidRPr="009E5FCB">
              <w:rPr>
                <w:szCs w:val="28"/>
              </w:rPr>
              <w:t>rozījumi</w:t>
            </w:r>
            <w:r w:rsidR="00016366" w:rsidRPr="00016366">
              <w:rPr>
                <w:szCs w:val="28"/>
              </w:rPr>
              <w:t>em</w:t>
            </w:r>
            <w:r w:rsidR="00016366" w:rsidRPr="009E5FCB">
              <w:rPr>
                <w:szCs w:val="28"/>
              </w:rPr>
              <w:t xml:space="preserve"> LAPK 149.</w:t>
            </w:r>
            <w:r w:rsidR="00016366" w:rsidRPr="009E5FCB">
              <w:rPr>
                <w:szCs w:val="28"/>
                <w:vertAlign w:val="superscript"/>
              </w:rPr>
              <w:t>40</w:t>
            </w:r>
            <w:r w:rsidR="00016366" w:rsidRPr="009E5FCB">
              <w:rPr>
                <w:szCs w:val="28"/>
              </w:rPr>
              <w:t> pantā</w:t>
            </w:r>
            <w:r w:rsidR="00016366" w:rsidRPr="00016366">
              <w:rPr>
                <w:szCs w:val="28"/>
              </w:rPr>
              <w:t>.</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0461D9" w:rsidRDefault="0081787B" w:rsidP="0081787B">
            <w:pPr>
              <w:ind w:firstLine="674"/>
              <w:jc w:val="both"/>
              <w:rPr>
                <w:szCs w:val="28"/>
              </w:rPr>
            </w:pPr>
            <w:r>
              <w:rPr>
                <w:szCs w:val="28"/>
              </w:rPr>
              <w:t xml:space="preserve">1. </w:t>
            </w:r>
            <w:r w:rsidR="00016366" w:rsidRPr="00016366">
              <w:rPr>
                <w:szCs w:val="28"/>
              </w:rPr>
              <w:t xml:space="preserve">Autopārvadātāju asociācija “Latvijas auto” </w:t>
            </w:r>
            <w:r w:rsidR="000461D9">
              <w:rPr>
                <w:szCs w:val="28"/>
              </w:rPr>
              <w:t>norādīja, ka atbalsta plānotos soda apmērus par autoceļu lietošanas nodevas maksāšanas pārkāpumiem.</w:t>
            </w:r>
          </w:p>
          <w:p w:rsidR="0081787B" w:rsidRDefault="0081787B" w:rsidP="0081787B">
            <w:pPr>
              <w:ind w:firstLine="674"/>
              <w:jc w:val="both"/>
              <w:rPr>
                <w:szCs w:val="28"/>
              </w:rPr>
            </w:pPr>
            <w:r>
              <w:rPr>
                <w:szCs w:val="28"/>
              </w:rPr>
              <w:t xml:space="preserve">2. </w:t>
            </w:r>
            <w:r w:rsidRPr="00016366">
              <w:rPr>
                <w:szCs w:val="28"/>
              </w:rPr>
              <w:t xml:space="preserve">Autopārvadātāju asociācija “Latvijas auto” </w:t>
            </w:r>
            <w:r>
              <w:rPr>
                <w:szCs w:val="28"/>
              </w:rPr>
              <w:t>izteica priekšlikumu</w:t>
            </w:r>
            <w:r w:rsidRPr="0081787B">
              <w:rPr>
                <w:szCs w:val="28"/>
              </w:rPr>
              <w:t xml:space="preserve"> izvērtēt iespēju piemērot sodu  vienlaicīgi transportlīdzekļa vadītājam un pārvadātājam, gan arī katram atsevišķi, jo mēdz būt situācijas, kad, piemēram, transportlīdzekļa vadītājs nav autoceļu lietošanas </w:t>
            </w:r>
            <w:r>
              <w:rPr>
                <w:szCs w:val="28"/>
              </w:rPr>
              <w:t>nodevu</w:t>
            </w:r>
            <w:r w:rsidRPr="0081787B">
              <w:rPr>
                <w:szCs w:val="28"/>
              </w:rPr>
              <w:t xml:space="preserve"> nomaksājis, kaut gan pārvadātājs ir devis rīkojumu vai izsn</w:t>
            </w:r>
            <w:r>
              <w:rPr>
                <w:szCs w:val="28"/>
              </w:rPr>
              <w:t>iedzis nepieciešamo</w:t>
            </w:r>
            <w:r w:rsidRPr="0081787B">
              <w:rPr>
                <w:szCs w:val="28"/>
              </w:rPr>
              <w:t xml:space="preserve"> naudas summu un otrādi – autovadītājs ir informējis pārvadātāju par nepieciešamību nomaksāt, bet pārvadātājs uz to nav reaģējis.</w:t>
            </w:r>
          </w:p>
          <w:p w:rsidR="0081787B" w:rsidRPr="000461D9" w:rsidRDefault="0081787B" w:rsidP="005E6B12">
            <w:pPr>
              <w:ind w:firstLine="674"/>
              <w:jc w:val="both"/>
              <w:rPr>
                <w:szCs w:val="28"/>
              </w:rPr>
            </w:pPr>
            <w:r>
              <w:rPr>
                <w:szCs w:val="28"/>
              </w:rPr>
              <w:t xml:space="preserve">Satiksmes ministrija </w:t>
            </w:r>
            <w:r w:rsidR="005E6B12" w:rsidRPr="00016366">
              <w:rPr>
                <w:szCs w:val="28"/>
              </w:rPr>
              <w:t>Autopārvadātāju asociācija</w:t>
            </w:r>
            <w:r w:rsidR="0071685A">
              <w:rPr>
                <w:szCs w:val="28"/>
              </w:rPr>
              <w:t>s</w:t>
            </w:r>
            <w:r w:rsidR="005E6B12" w:rsidRPr="00016366">
              <w:rPr>
                <w:szCs w:val="28"/>
              </w:rPr>
              <w:t xml:space="preserve"> “Latvijas auto”</w:t>
            </w:r>
            <w:r w:rsidR="005E6B12">
              <w:rPr>
                <w:szCs w:val="28"/>
              </w:rPr>
              <w:t xml:space="preserve"> priekšlikumu nav ņēmusi vērā, jo Valsts policijas darbiniekiem, piemērojot sodus, nav iespējams pārliecināties, vai pie tā, ka nav samaksāta autoceļu lietošanas nodeva, ir vainojams pārvadātājs vai transportlīdzekļa vadītājs. I</w:t>
            </w:r>
            <w:r w:rsidR="005E6B12" w:rsidRPr="005E6B12">
              <w:rPr>
                <w:szCs w:val="28"/>
              </w:rPr>
              <w:t xml:space="preserve">kviens, ievadot transportlīdzekļa reģistrācijas numuru interneta vietnē </w:t>
            </w:r>
            <w:hyperlink r:id="rId9" w:anchor="middle:cmd=validating" w:history="1">
              <w:r w:rsidR="005E6B12" w:rsidRPr="001033B9">
                <w:rPr>
                  <w:rStyle w:val="Hyperlink"/>
                  <w:szCs w:val="28"/>
                </w:rPr>
                <w:t>https://www.lvvignette.eu/#middle:cmd=validating</w:t>
              </w:r>
            </w:hyperlink>
            <w:r w:rsidR="005E6B12" w:rsidRPr="005E6B12">
              <w:rPr>
                <w:szCs w:val="28"/>
              </w:rPr>
              <w:t>, var pārliecināties, vai par konkrēto transportlīdzekli ir samaksāta autoceļu lietošanas nodeva</w:t>
            </w:r>
            <w:r w:rsidR="005E6B12">
              <w:rPr>
                <w:szCs w:val="28"/>
              </w:rPr>
              <w:t xml:space="preserve">, līdz ar to tas ir katra uzņēmuma iekšējais darba organizācijas jautājums, kādā veidā tiek nodrošināta autoceļu lietošanas nodevas </w:t>
            </w:r>
            <w:r w:rsidR="0071685A">
              <w:rPr>
                <w:szCs w:val="28"/>
              </w:rPr>
              <w:t>sa</w:t>
            </w:r>
            <w:r w:rsidR="005E6B12">
              <w:rPr>
                <w:szCs w:val="28"/>
              </w:rPr>
              <w:t>maksa.</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spacing w:before="100" w:beforeAutospacing="1" w:after="100" w:afterAutospacing="1" w:line="285" w:lineRule="atLeast"/>
              <w:rPr>
                <w:rFonts w:eastAsia="Times New Roman"/>
                <w:color w:val="000000" w:themeColor="text1"/>
                <w:szCs w:val="28"/>
                <w:lang w:eastAsia="lv-LV"/>
              </w:rPr>
            </w:pPr>
            <w:r w:rsidRPr="008B42C6">
              <w:rPr>
                <w:rFonts w:eastAsia="Times New Roman"/>
                <w:color w:val="000000" w:themeColor="text1"/>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F80C03" w:rsidRPr="00A02AC1"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1"/>
        <w:gridCol w:w="3577"/>
        <w:gridCol w:w="5366"/>
      </w:tblGrid>
      <w:tr w:rsidR="009A22F6" w:rsidRPr="00B2758C" w:rsidTr="00DE0915">
        <w:trPr>
          <w:trHeight w:val="375"/>
          <w:jc w:val="center"/>
        </w:trPr>
        <w:tc>
          <w:tcPr>
            <w:tcW w:w="0" w:type="auto"/>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lastRenderedPageBreak/>
              <w:t>VII</w:t>
            </w:r>
            <w:r w:rsidR="009F7AA2">
              <w:rPr>
                <w:b/>
                <w:bCs/>
                <w:color w:val="000000"/>
                <w:szCs w:val="28"/>
                <w:lang w:eastAsia="lv-LV"/>
              </w:rPr>
              <w:t>.</w:t>
            </w:r>
            <w:r w:rsidR="009A22F6" w:rsidRPr="008B42C6">
              <w:rPr>
                <w:b/>
                <w:bCs/>
                <w:color w:val="000000"/>
                <w:szCs w:val="28"/>
                <w:lang w:eastAsia="lv-LV"/>
              </w:rPr>
              <w:t xml:space="preserve"> Tiesību akta projekta izpildes nodrošināšana un tās ietekme uz institūcijām</w:t>
            </w:r>
          </w:p>
        </w:tc>
      </w:tr>
      <w:tr w:rsidR="009A22F6" w:rsidRPr="00B2758C" w:rsidTr="00DE0915">
        <w:trPr>
          <w:trHeight w:val="42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9A22F6" w:rsidRPr="008B42C6" w:rsidRDefault="009A22F6" w:rsidP="00433EB1">
            <w:pPr>
              <w:jc w:val="both"/>
              <w:rPr>
                <w:color w:val="000000"/>
                <w:szCs w:val="28"/>
                <w:lang w:eastAsia="lv-LV"/>
              </w:rPr>
            </w:pPr>
            <w:r w:rsidRPr="008B42C6">
              <w:rPr>
                <w:color w:val="000000"/>
                <w:szCs w:val="28"/>
                <w:lang w:eastAsia="lv-LV"/>
              </w:rPr>
              <w:t>Valsts policija.</w:t>
            </w:r>
          </w:p>
        </w:tc>
      </w:tr>
      <w:tr w:rsidR="009A22F6" w:rsidRPr="00B2758C" w:rsidTr="00DE0915">
        <w:trPr>
          <w:trHeight w:val="45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izpildes ietekme uz pārvaldes funkcijām un institucionālo struktūru.</w:t>
            </w:r>
          </w:p>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9A22F6" w:rsidRPr="008B42C6" w:rsidRDefault="005C6031" w:rsidP="00865AC3">
            <w:pPr>
              <w:jc w:val="both"/>
              <w:rPr>
                <w:color w:val="000000"/>
                <w:szCs w:val="28"/>
                <w:lang w:eastAsia="lv-LV"/>
              </w:rPr>
            </w:pPr>
            <w:r w:rsidRPr="005C6031">
              <w:rPr>
                <w:color w:val="000000"/>
                <w:szCs w:val="28"/>
                <w:lang w:eastAsia="lv-LV"/>
              </w:rPr>
              <w:t>Projekta īstenošana tiks veikta esošo cilvēkresursu ietvaros. Saistībā ar projekta izpildi nebūs nepieciešams veidot jaunas institūcijas vai likvidēt vai reorganizēt esošās.</w:t>
            </w:r>
          </w:p>
        </w:tc>
      </w:tr>
      <w:tr w:rsidR="009A22F6" w:rsidRPr="00B2758C" w:rsidTr="00DE0915">
        <w:trPr>
          <w:trHeight w:val="39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2850"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pPr>
        <w:rPr>
          <w:color w:val="000000"/>
          <w:sz w:val="24"/>
          <w:szCs w:val="24"/>
        </w:rPr>
      </w:pPr>
    </w:p>
    <w:p w:rsidR="009A22F6" w:rsidRDefault="009A22F6" w:rsidP="005D0E57">
      <w:pPr>
        <w:rPr>
          <w:color w:val="000000"/>
          <w:sz w:val="24"/>
          <w:szCs w:val="24"/>
        </w:rPr>
      </w:pPr>
    </w:p>
    <w:p w:rsidR="00865AC3" w:rsidRPr="00865AC3" w:rsidRDefault="00865AC3" w:rsidP="00865AC3">
      <w:pPr>
        <w:rPr>
          <w:rFonts w:eastAsia="Times New Roman"/>
          <w:szCs w:val="28"/>
          <w:lang w:eastAsia="lv-LV"/>
        </w:rPr>
      </w:pPr>
      <w:r w:rsidRPr="00865AC3">
        <w:rPr>
          <w:rFonts w:eastAsia="Times New Roman"/>
          <w:szCs w:val="28"/>
          <w:lang w:eastAsia="lv-LV"/>
        </w:rPr>
        <w:t>Satiksmes ministrs</w:t>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003672CA">
        <w:rPr>
          <w:rFonts w:eastAsia="Times New Roman"/>
          <w:szCs w:val="28"/>
          <w:lang w:eastAsia="lv-LV"/>
        </w:rPr>
        <w:tab/>
      </w:r>
      <w:r w:rsidR="003672CA">
        <w:rPr>
          <w:rFonts w:eastAsia="Times New Roman"/>
          <w:szCs w:val="28"/>
          <w:lang w:eastAsia="lv-LV"/>
        </w:rPr>
        <w:tab/>
      </w:r>
      <w:r w:rsidRPr="00865AC3">
        <w:rPr>
          <w:rFonts w:eastAsia="Times New Roman"/>
          <w:szCs w:val="28"/>
          <w:lang w:eastAsia="lv-LV"/>
        </w:rPr>
        <w:tab/>
        <w:t xml:space="preserve">   </w:t>
      </w:r>
      <w:r w:rsidR="00F57796">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U. Augulis</w:t>
      </w:r>
    </w:p>
    <w:p w:rsidR="009A22F6" w:rsidRDefault="009A22F6" w:rsidP="005D0E57">
      <w:pPr>
        <w:jc w:val="both"/>
        <w:rPr>
          <w:szCs w:val="28"/>
          <w:lang w:eastAsia="lv-LV"/>
        </w:rPr>
      </w:pPr>
    </w:p>
    <w:p w:rsidR="009A22F6" w:rsidRDefault="009A22F6" w:rsidP="005D0E57">
      <w:pPr>
        <w:jc w:val="both"/>
        <w:rPr>
          <w:szCs w:val="28"/>
          <w:lang w:eastAsia="lv-LV"/>
        </w:rPr>
      </w:pPr>
    </w:p>
    <w:p w:rsidR="00596364" w:rsidRPr="00596364" w:rsidRDefault="00596364" w:rsidP="00596364">
      <w:pPr>
        <w:jc w:val="both"/>
        <w:rPr>
          <w:rFonts w:eastAsia="Times New Roman"/>
          <w:szCs w:val="28"/>
          <w:lang w:eastAsia="lv-LV"/>
        </w:rPr>
      </w:pPr>
      <w:r w:rsidRPr="00596364">
        <w:rPr>
          <w:rFonts w:eastAsia="Times New Roman"/>
          <w:szCs w:val="28"/>
          <w:lang w:eastAsia="lv-LV"/>
        </w:rPr>
        <w:t>Vīza: valsts sekretāra vietā -</w:t>
      </w:r>
    </w:p>
    <w:p w:rsidR="00596364" w:rsidRPr="00596364" w:rsidRDefault="00596364" w:rsidP="00596364">
      <w:pPr>
        <w:jc w:val="both"/>
        <w:rPr>
          <w:rFonts w:eastAsia="Times New Roman"/>
          <w:szCs w:val="28"/>
          <w:lang w:eastAsia="lv-LV"/>
        </w:rPr>
      </w:pPr>
      <w:r w:rsidRPr="00596364">
        <w:rPr>
          <w:rFonts w:eastAsia="Times New Roman"/>
          <w:szCs w:val="28"/>
          <w:lang w:eastAsia="lv-LV"/>
        </w:rPr>
        <w:t>valsts sekretāra vietniece</w:t>
      </w:r>
      <w:r w:rsidRPr="00596364">
        <w:rPr>
          <w:rFonts w:eastAsia="Times New Roman"/>
          <w:szCs w:val="28"/>
          <w:lang w:eastAsia="lv-LV"/>
        </w:rPr>
        <w:tab/>
        <w:t xml:space="preserve"> </w:t>
      </w:r>
      <w:r w:rsidRPr="00596364">
        <w:rPr>
          <w:rFonts w:eastAsia="Times New Roman"/>
          <w:szCs w:val="28"/>
          <w:lang w:eastAsia="lv-LV"/>
        </w:rPr>
        <w:tab/>
      </w:r>
      <w:r w:rsidRPr="00596364">
        <w:rPr>
          <w:rFonts w:eastAsia="Times New Roman"/>
          <w:szCs w:val="28"/>
          <w:lang w:eastAsia="lv-LV"/>
        </w:rPr>
        <w:tab/>
      </w:r>
      <w:r w:rsidRPr="00596364">
        <w:rPr>
          <w:rFonts w:eastAsia="Times New Roman"/>
          <w:szCs w:val="28"/>
          <w:lang w:eastAsia="lv-LV"/>
        </w:rPr>
        <w:tab/>
      </w:r>
      <w:r w:rsidRPr="00596364">
        <w:rPr>
          <w:rFonts w:eastAsia="Times New Roman"/>
          <w:szCs w:val="28"/>
          <w:lang w:eastAsia="lv-LV"/>
        </w:rPr>
        <w:tab/>
      </w:r>
      <w:r w:rsidRPr="00596364">
        <w:rPr>
          <w:rFonts w:eastAsia="Times New Roman"/>
          <w:szCs w:val="28"/>
          <w:lang w:eastAsia="lv-LV"/>
        </w:rPr>
        <w:tab/>
      </w:r>
      <w:r w:rsidR="00F57796">
        <w:rPr>
          <w:rFonts w:eastAsia="Times New Roman"/>
          <w:szCs w:val="28"/>
          <w:lang w:eastAsia="lv-LV"/>
        </w:rPr>
        <w:t xml:space="preserve">      </w:t>
      </w:r>
      <w:r w:rsidRPr="00596364">
        <w:rPr>
          <w:rFonts w:eastAsia="Times New Roman"/>
          <w:szCs w:val="28"/>
          <w:lang w:eastAsia="lv-LV"/>
        </w:rPr>
        <w:t xml:space="preserve">                 </w:t>
      </w:r>
      <w:proofErr w:type="spellStart"/>
      <w:r w:rsidRPr="00596364">
        <w:rPr>
          <w:rFonts w:eastAsia="Times New Roman"/>
          <w:szCs w:val="28"/>
          <w:lang w:eastAsia="lv-LV"/>
        </w:rPr>
        <w:t>Dž</w:t>
      </w:r>
      <w:proofErr w:type="spellEnd"/>
      <w:r w:rsidRPr="00596364">
        <w:rPr>
          <w:rFonts w:eastAsia="Times New Roman"/>
          <w:szCs w:val="28"/>
          <w:lang w:eastAsia="lv-LV"/>
        </w:rPr>
        <w:t>. Innusa</w:t>
      </w:r>
    </w:p>
    <w:p w:rsidR="003B3316" w:rsidRDefault="003B3316" w:rsidP="005D0E57">
      <w:pPr>
        <w:jc w:val="both"/>
        <w:rPr>
          <w:szCs w:val="28"/>
          <w:lang w:eastAsia="lv-LV"/>
        </w:rPr>
      </w:pPr>
    </w:p>
    <w:p w:rsidR="00DE1F89" w:rsidRDefault="00DE1F89" w:rsidP="005D0E57">
      <w:pPr>
        <w:jc w:val="both"/>
        <w:rPr>
          <w:szCs w:val="28"/>
          <w:lang w:eastAsia="lv-LV"/>
        </w:rPr>
      </w:pPr>
    </w:p>
    <w:p w:rsidR="009A22F6" w:rsidRDefault="00596364" w:rsidP="005D0E57">
      <w:pPr>
        <w:jc w:val="both"/>
        <w:rPr>
          <w:sz w:val="20"/>
          <w:szCs w:val="20"/>
          <w:lang w:eastAsia="lv-LV"/>
        </w:rPr>
      </w:pPr>
      <w:r>
        <w:rPr>
          <w:sz w:val="20"/>
          <w:szCs w:val="20"/>
          <w:lang w:eastAsia="lv-LV"/>
        </w:rPr>
        <w:t>24</w:t>
      </w:r>
      <w:r w:rsidR="003672CA">
        <w:rPr>
          <w:sz w:val="20"/>
          <w:szCs w:val="20"/>
          <w:lang w:eastAsia="lv-LV"/>
        </w:rPr>
        <w:t>.08</w:t>
      </w:r>
      <w:r w:rsidR="008D6B97">
        <w:rPr>
          <w:sz w:val="20"/>
          <w:szCs w:val="20"/>
          <w:lang w:eastAsia="lv-LV"/>
        </w:rPr>
        <w:t>.2016</w:t>
      </w:r>
      <w:r w:rsidR="00131DEA">
        <w:rPr>
          <w:sz w:val="20"/>
          <w:szCs w:val="20"/>
          <w:lang w:eastAsia="lv-LV"/>
        </w:rPr>
        <w:t xml:space="preserve">. </w:t>
      </w:r>
      <w:r>
        <w:rPr>
          <w:sz w:val="20"/>
          <w:szCs w:val="20"/>
          <w:lang w:eastAsia="lv-LV"/>
        </w:rPr>
        <w:t>16</w:t>
      </w:r>
      <w:r w:rsidR="00C37861">
        <w:rPr>
          <w:sz w:val="20"/>
          <w:szCs w:val="20"/>
          <w:lang w:eastAsia="lv-LV"/>
        </w:rPr>
        <w:t>:</w:t>
      </w:r>
      <w:r w:rsidR="00365382">
        <w:rPr>
          <w:sz w:val="20"/>
          <w:szCs w:val="20"/>
          <w:lang w:eastAsia="lv-LV"/>
        </w:rPr>
        <w:t>4</w:t>
      </w:r>
      <w:r w:rsidR="00F57796">
        <w:rPr>
          <w:sz w:val="20"/>
          <w:szCs w:val="20"/>
          <w:lang w:eastAsia="lv-LV"/>
        </w:rPr>
        <w:t>8</w:t>
      </w:r>
    </w:p>
    <w:p w:rsidR="009A22F6" w:rsidRPr="008B42C6" w:rsidRDefault="005E6B12" w:rsidP="005D0E57">
      <w:pPr>
        <w:jc w:val="both"/>
        <w:rPr>
          <w:sz w:val="20"/>
          <w:szCs w:val="20"/>
        </w:rPr>
      </w:pPr>
      <w:r>
        <w:rPr>
          <w:sz w:val="20"/>
          <w:szCs w:val="20"/>
        </w:rPr>
        <w:t>1780</w:t>
      </w:r>
    </w:p>
    <w:p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Suveizda, 67028253</w:t>
      </w:r>
    </w:p>
    <w:p w:rsidR="00CB1428" w:rsidRDefault="005F04CE" w:rsidP="0042367F">
      <w:pPr>
        <w:rPr>
          <w:rFonts w:ascii="Arial" w:hAnsi="Arial" w:cs="Arial"/>
          <w:b/>
          <w:bCs/>
          <w:color w:val="414142"/>
          <w:sz w:val="20"/>
          <w:szCs w:val="20"/>
          <w:lang w:eastAsia="lv-LV"/>
        </w:rPr>
      </w:pPr>
      <w:hyperlink r:id="rId10" w:history="1">
        <w:r w:rsidR="00CB1428" w:rsidRPr="00C154DE">
          <w:rPr>
            <w:rFonts w:eastAsia="Times New Roman"/>
            <w:color w:val="0000FF"/>
            <w:sz w:val="20"/>
            <w:szCs w:val="20"/>
            <w:u w:val="single"/>
            <w:lang w:eastAsia="lv-LV"/>
          </w:rPr>
          <w:t>dace.suveizda@sam.gov.lv</w:t>
        </w:r>
      </w:hyperlink>
    </w:p>
    <w:sectPr w:rsidR="00CB1428" w:rsidSect="000461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26" w:rsidRDefault="00EA6226" w:rsidP="001D3D27">
      <w:r>
        <w:separator/>
      </w:r>
    </w:p>
  </w:endnote>
  <w:endnote w:type="continuationSeparator" w:id="0">
    <w:p w:rsidR="00EA6226" w:rsidRDefault="00EA6226"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CB" w:rsidRPr="00DE0915" w:rsidRDefault="00865AC3" w:rsidP="009E5FCB">
    <w:pPr>
      <w:jc w:val="both"/>
      <w:rPr>
        <w:bCs/>
        <w:color w:val="000000"/>
        <w:sz w:val="20"/>
        <w:szCs w:val="20"/>
        <w:lang w:eastAsia="lv-LV"/>
      </w:rPr>
    </w:pPr>
    <w:r>
      <w:rPr>
        <w:bCs/>
        <w:color w:val="000000"/>
        <w:sz w:val="20"/>
        <w:szCs w:val="20"/>
        <w:lang w:eastAsia="lv-LV"/>
      </w:rPr>
      <w:t>SAMAnot_</w:t>
    </w:r>
    <w:r w:rsidR="00596364">
      <w:rPr>
        <w:bCs/>
        <w:color w:val="000000"/>
        <w:sz w:val="20"/>
        <w:szCs w:val="20"/>
        <w:lang w:eastAsia="lv-LV"/>
      </w:rPr>
      <w:t>24</w:t>
    </w:r>
    <w:r w:rsidR="003672CA">
      <w:rPr>
        <w:bCs/>
        <w:color w:val="000000"/>
        <w:sz w:val="20"/>
        <w:szCs w:val="20"/>
        <w:lang w:eastAsia="lv-LV"/>
      </w:rPr>
      <w:t>08</w:t>
    </w:r>
    <w:r w:rsidR="009E5FCB">
      <w:rPr>
        <w:bCs/>
        <w:color w:val="000000"/>
        <w:sz w:val="20"/>
        <w:szCs w:val="20"/>
        <w:lang w:eastAsia="lv-LV"/>
      </w:rPr>
      <w:t>16_</w:t>
    </w:r>
    <w:r w:rsidR="00C42D0A">
      <w:rPr>
        <w:bCs/>
        <w:color w:val="000000"/>
        <w:sz w:val="20"/>
        <w:szCs w:val="20"/>
        <w:lang w:eastAsia="lv-LV"/>
      </w:rPr>
      <w:t>LAPK_vinjete</w:t>
    </w:r>
    <w:r w:rsidR="009E5FCB">
      <w:rPr>
        <w:bCs/>
        <w:color w:val="000000"/>
        <w:sz w:val="20"/>
        <w:szCs w:val="20"/>
        <w:lang w:eastAsia="lv-LV"/>
      </w:rPr>
      <w:t xml:space="preserve">; </w:t>
    </w:r>
    <w:r w:rsidR="009E5FCB" w:rsidRPr="009E5FCB">
      <w:rPr>
        <w:bCs/>
        <w:color w:val="000000"/>
        <w:sz w:val="20"/>
        <w:szCs w:val="20"/>
        <w:lang w:eastAsia="lv-LV"/>
      </w:rPr>
      <w:t>Likumprojekta „Grozījums Latvijas Administratīvo pārkāpumu kodeksā”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DE0915" w:rsidRDefault="009A22F6" w:rsidP="00864B46">
    <w:pPr>
      <w:jc w:val="both"/>
      <w:rPr>
        <w:bCs/>
        <w:color w:val="000000"/>
        <w:sz w:val="20"/>
        <w:szCs w:val="20"/>
        <w:lang w:eastAsia="lv-LV"/>
      </w:rPr>
    </w:pPr>
    <w:r>
      <w:rPr>
        <w:bCs/>
        <w:color w:val="000000"/>
        <w:sz w:val="20"/>
        <w:szCs w:val="20"/>
        <w:lang w:eastAsia="lv-LV"/>
      </w:rPr>
      <w:t>SAMAnot_</w:t>
    </w:r>
    <w:r w:rsidR="00596364">
      <w:rPr>
        <w:bCs/>
        <w:color w:val="000000"/>
        <w:sz w:val="20"/>
        <w:szCs w:val="20"/>
        <w:lang w:eastAsia="lv-LV"/>
      </w:rPr>
      <w:t>24</w:t>
    </w:r>
    <w:r w:rsidR="003672CA">
      <w:rPr>
        <w:bCs/>
        <w:color w:val="000000"/>
        <w:sz w:val="20"/>
        <w:szCs w:val="20"/>
        <w:lang w:eastAsia="lv-LV"/>
      </w:rPr>
      <w:t>08</w:t>
    </w:r>
    <w:r w:rsidR="00D80E46">
      <w:rPr>
        <w:bCs/>
        <w:color w:val="000000"/>
        <w:sz w:val="20"/>
        <w:szCs w:val="20"/>
        <w:lang w:eastAsia="lv-LV"/>
      </w:rPr>
      <w:t>16</w:t>
    </w:r>
    <w:r>
      <w:rPr>
        <w:bCs/>
        <w:color w:val="000000"/>
        <w:sz w:val="20"/>
        <w:szCs w:val="20"/>
        <w:lang w:eastAsia="lv-LV"/>
      </w:rPr>
      <w:t>_</w:t>
    </w:r>
    <w:r w:rsidR="00596DAA">
      <w:rPr>
        <w:bCs/>
        <w:color w:val="000000"/>
        <w:sz w:val="20"/>
        <w:szCs w:val="20"/>
        <w:lang w:eastAsia="lv-LV"/>
      </w:rPr>
      <w:t>LAPK_vinjete</w:t>
    </w:r>
    <w:r>
      <w:rPr>
        <w:bCs/>
        <w:color w:val="000000"/>
        <w:sz w:val="20"/>
        <w:szCs w:val="20"/>
        <w:lang w:eastAsia="lv-LV"/>
      </w:rPr>
      <w:t xml:space="preserve">; </w:t>
    </w:r>
    <w:r w:rsidR="009E5FCB" w:rsidRPr="009E5FCB">
      <w:rPr>
        <w:bCs/>
        <w:color w:val="000000"/>
        <w:sz w:val="20"/>
        <w:szCs w:val="20"/>
        <w:lang w:eastAsia="lv-LV"/>
      </w:rPr>
      <w:t>Likumprojekta „Grozījums Latvijas Administratīvo pārkāpumu kodeksā”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26" w:rsidRDefault="00EA6226" w:rsidP="001D3D27">
      <w:r>
        <w:separator/>
      </w:r>
    </w:p>
  </w:footnote>
  <w:footnote w:type="continuationSeparator" w:id="0">
    <w:p w:rsidR="00EA6226" w:rsidRDefault="00EA6226"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Default="009A22F6">
    <w:pPr>
      <w:pStyle w:val="Header"/>
      <w:jc w:val="center"/>
    </w:pPr>
    <w:r w:rsidRPr="00C60BCD">
      <w:rPr>
        <w:sz w:val="20"/>
        <w:szCs w:val="20"/>
      </w:rPr>
      <w:fldChar w:fldCharType="begin"/>
    </w:r>
    <w:r w:rsidRPr="00C60BCD">
      <w:rPr>
        <w:sz w:val="20"/>
        <w:szCs w:val="20"/>
      </w:rPr>
      <w:instrText xml:space="preserve"> PAGE   \* MERGEFORMAT </w:instrText>
    </w:r>
    <w:r w:rsidRPr="00C60BCD">
      <w:rPr>
        <w:sz w:val="20"/>
        <w:szCs w:val="20"/>
      </w:rPr>
      <w:fldChar w:fldCharType="separate"/>
    </w:r>
    <w:r w:rsidR="005F04CE">
      <w:rPr>
        <w:noProof/>
        <w:sz w:val="20"/>
        <w:szCs w:val="20"/>
      </w:rPr>
      <w:t>3</w:t>
    </w:r>
    <w:r w:rsidRPr="00C60BCD">
      <w:rPr>
        <w:sz w:val="20"/>
        <w:szCs w:val="20"/>
      </w:rPr>
      <w:fldChar w:fldCharType="end"/>
    </w:r>
  </w:p>
  <w:p w:rsidR="009A22F6" w:rsidRDefault="009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16366"/>
    <w:rsid w:val="000461D9"/>
    <w:rsid w:val="000D5D90"/>
    <w:rsid w:val="000D66F9"/>
    <w:rsid w:val="000E400D"/>
    <w:rsid w:val="00100FFE"/>
    <w:rsid w:val="00102E7F"/>
    <w:rsid w:val="00131DEA"/>
    <w:rsid w:val="00142568"/>
    <w:rsid w:val="0014481A"/>
    <w:rsid w:val="00155F97"/>
    <w:rsid w:val="001828D8"/>
    <w:rsid w:val="001D39CC"/>
    <w:rsid w:val="001D3D27"/>
    <w:rsid w:val="0020290E"/>
    <w:rsid w:val="00222671"/>
    <w:rsid w:val="0028728B"/>
    <w:rsid w:val="00297869"/>
    <w:rsid w:val="002E3B59"/>
    <w:rsid w:val="002F0047"/>
    <w:rsid w:val="002F5AD1"/>
    <w:rsid w:val="00300F55"/>
    <w:rsid w:val="00313A44"/>
    <w:rsid w:val="00334ED2"/>
    <w:rsid w:val="003575EA"/>
    <w:rsid w:val="00365382"/>
    <w:rsid w:val="003672CA"/>
    <w:rsid w:val="003765B3"/>
    <w:rsid w:val="00394104"/>
    <w:rsid w:val="003A3293"/>
    <w:rsid w:val="003B1E79"/>
    <w:rsid w:val="003B3316"/>
    <w:rsid w:val="00410CEB"/>
    <w:rsid w:val="0042116E"/>
    <w:rsid w:val="0042367F"/>
    <w:rsid w:val="0043050F"/>
    <w:rsid w:val="00430951"/>
    <w:rsid w:val="004314EA"/>
    <w:rsid w:val="00433EB1"/>
    <w:rsid w:val="004805E3"/>
    <w:rsid w:val="00481D38"/>
    <w:rsid w:val="004825A4"/>
    <w:rsid w:val="004B3F43"/>
    <w:rsid w:val="004B6EB5"/>
    <w:rsid w:val="004C1EFA"/>
    <w:rsid w:val="004C45D6"/>
    <w:rsid w:val="004E5D68"/>
    <w:rsid w:val="004F5F50"/>
    <w:rsid w:val="00501BC3"/>
    <w:rsid w:val="00505DFA"/>
    <w:rsid w:val="005066FD"/>
    <w:rsid w:val="00506FB8"/>
    <w:rsid w:val="0051192F"/>
    <w:rsid w:val="00523878"/>
    <w:rsid w:val="005268F5"/>
    <w:rsid w:val="00531160"/>
    <w:rsid w:val="00555183"/>
    <w:rsid w:val="005709B4"/>
    <w:rsid w:val="00580136"/>
    <w:rsid w:val="00590918"/>
    <w:rsid w:val="00591647"/>
    <w:rsid w:val="00596364"/>
    <w:rsid w:val="00596DAA"/>
    <w:rsid w:val="005C6031"/>
    <w:rsid w:val="005D098E"/>
    <w:rsid w:val="005D0E57"/>
    <w:rsid w:val="005E6B12"/>
    <w:rsid w:val="005F04CE"/>
    <w:rsid w:val="00653160"/>
    <w:rsid w:val="00665C9F"/>
    <w:rsid w:val="00666170"/>
    <w:rsid w:val="00693E35"/>
    <w:rsid w:val="006A73DE"/>
    <w:rsid w:val="006D0E4F"/>
    <w:rsid w:val="006D783E"/>
    <w:rsid w:val="00703B94"/>
    <w:rsid w:val="00715510"/>
    <w:rsid w:val="0071685A"/>
    <w:rsid w:val="00723BA5"/>
    <w:rsid w:val="0075212F"/>
    <w:rsid w:val="007653E2"/>
    <w:rsid w:val="00781925"/>
    <w:rsid w:val="007B7359"/>
    <w:rsid w:val="007D1291"/>
    <w:rsid w:val="007D7602"/>
    <w:rsid w:val="008052A7"/>
    <w:rsid w:val="00806E6B"/>
    <w:rsid w:val="00806FA2"/>
    <w:rsid w:val="0081787B"/>
    <w:rsid w:val="00832F6A"/>
    <w:rsid w:val="00840154"/>
    <w:rsid w:val="00843472"/>
    <w:rsid w:val="008556E5"/>
    <w:rsid w:val="00861D6F"/>
    <w:rsid w:val="00862315"/>
    <w:rsid w:val="00864B46"/>
    <w:rsid w:val="00865AC3"/>
    <w:rsid w:val="00884C71"/>
    <w:rsid w:val="0088592A"/>
    <w:rsid w:val="0089513C"/>
    <w:rsid w:val="008B42C6"/>
    <w:rsid w:val="008C2078"/>
    <w:rsid w:val="008D245E"/>
    <w:rsid w:val="008D6B97"/>
    <w:rsid w:val="008E30A3"/>
    <w:rsid w:val="009202AB"/>
    <w:rsid w:val="009253FF"/>
    <w:rsid w:val="00930554"/>
    <w:rsid w:val="00932321"/>
    <w:rsid w:val="00941FC9"/>
    <w:rsid w:val="00975194"/>
    <w:rsid w:val="009944EB"/>
    <w:rsid w:val="009A22F6"/>
    <w:rsid w:val="009A3795"/>
    <w:rsid w:val="009E29B9"/>
    <w:rsid w:val="009E5FCB"/>
    <w:rsid w:val="009F7AA2"/>
    <w:rsid w:val="00A02AC1"/>
    <w:rsid w:val="00A02E3E"/>
    <w:rsid w:val="00A33ED8"/>
    <w:rsid w:val="00A50B39"/>
    <w:rsid w:val="00AE6171"/>
    <w:rsid w:val="00AF400C"/>
    <w:rsid w:val="00AF4D19"/>
    <w:rsid w:val="00B0512D"/>
    <w:rsid w:val="00B12AC9"/>
    <w:rsid w:val="00B16644"/>
    <w:rsid w:val="00B2758C"/>
    <w:rsid w:val="00B36977"/>
    <w:rsid w:val="00B422FF"/>
    <w:rsid w:val="00B55DED"/>
    <w:rsid w:val="00B66E42"/>
    <w:rsid w:val="00B87C25"/>
    <w:rsid w:val="00B96F3F"/>
    <w:rsid w:val="00BA1968"/>
    <w:rsid w:val="00BD36B3"/>
    <w:rsid w:val="00BD5A81"/>
    <w:rsid w:val="00C135FC"/>
    <w:rsid w:val="00C24D0D"/>
    <w:rsid w:val="00C3621D"/>
    <w:rsid w:val="00C37861"/>
    <w:rsid w:val="00C42D0A"/>
    <w:rsid w:val="00C60BCD"/>
    <w:rsid w:val="00C63EB8"/>
    <w:rsid w:val="00C820B0"/>
    <w:rsid w:val="00C8670F"/>
    <w:rsid w:val="00CB1428"/>
    <w:rsid w:val="00CC0417"/>
    <w:rsid w:val="00CE22A7"/>
    <w:rsid w:val="00D01D3C"/>
    <w:rsid w:val="00D10AFF"/>
    <w:rsid w:val="00D17EE4"/>
    <w:rsid w:val="00D44D84"/>
    <w:rsid w:val="00D6111F"/>
    <w:rsid w:val="00D62F5F"/>
    <w:rsid w:val="00D76E6F"/>
    <w:rsid w:val="00D80E46"/>
    <w:rsid w:val="00DA76F6"/>
    <w:rsid w:val="00DC10C0"/>
    <w:rsid w:val="00DC76D2"/>
    <w:rsid w:val="00DD3E70"/>
    <w:rsid w:val="00DE0571"/>
    <w:rsid w:val="00DE0915"/>
    <w:rsid w:val="00DE186B"/>
    <w:rsid w:val="00DE1F89"/>
    <w:rsid w:val="00E07C15"/>
    <w:rsid w:val="00E26F8F"/>
    <w:rsid w:val="00E43E19"/>
    <w:rsid w:val="00E50217"/>
    <w:rsid w:val="00E51EA8"/>
    <w:rsid w:val="00E53951"/>
    <w:rsid w:val="00E61C6E"/>
    <w:rsid w:val="00E632DC"/>
    <w:rsid w:val="00E71DF6"/>
    <w:rsid w:val="00E832C1"/>
    <w:rsid w:val="00E87CB8"/>
    <w:rsid w:val="00E91F17"/>
    <w:rsid w:val="00EA6226"/>
    <w:rsid w:val="00EC677A"/>
    <w:rsid w:val="00ED52B8"/>
    <w:rsid w:val="00EF0B38"/>
    <w:rsid w:val="00F00BD3"/>
    <w:rsid w:val="00F13B03"/>
    <w:rsid w:val="00F2475F"/>
    <w:rsid w:val="00F52710"/>
    <w:rsid w:val="00F54F4F"/>
    <w:rsid w:val="00F57796"/>
    <w:rsid w:val="00F80B2D"/>
    <w:rsid w:val="00F80C03"/>
    <w:rsid w:val="00F91126"/>
    <w:rsid w:val="00FB0813"/>
    <w:rsid w:val="00FB5AB5"/>
    <w:rsid w:val="00FC47C0"/>
    <w:rsid w:val="00FF0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veizda@sam.gov.lv" TargetMode="External"/><Relationship Id="rId4" Type="http://schemas.microsoft.com/office/2007/relationships/stylesWithEffects" Target="stylesWithEffects.xml"/><Relationship Id="rId9" Type="http://schemas.openxmlformats.org/officeDocument/2006/relationships/hyperlink" Target="https://www.lvvignett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CA41-A5F3-4374-BC36-02FB4CC1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1780</Words>
  <Characters>12176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Likumprojekta „Grozījums Latvijas Administratīvo pārkāpumu kodeksā” sākotnējās ietekmes novērtējuma ziņojums (anotācija)</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Latvijas Administratīvo pārkāpumu kodeksā” sākotnējās ietekmes novērtējuma ziņojums (anotācija)</dc:title>
  <dc:creator>Dace.Suveizda@sam.gov.lv</dc:creator>
  <dc:description>Dace.Suveizda@sam.gov.lv, 67028253</dc:description>
  <cp:lastModifiedBy>Dace Suveizda</cp:lastModifiedBy>
  <cp:revision>18</cp:revision>
  <cp:lastPrinted>2016-08-24T13:47:00Z</cp:lastPrinted>
  <dcterms:created xsi:type="dcterms:W3CDTF">2016-07-20T11:27:00Z</dcterms:created>
  <dcterms:modified xsi:type="dcterms:W3CDTF">2016-08-25T11:11:00Z</dcterms:modified>
</cp:coreProperties>
</file>