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51" w:rsidRPr="003B2948" w:rsidRDefault="00C86270" w:rsidP="00EB0881">
      <w:pPr>
        <w:spacing w:line="240" w:lineRule="auto"/>
        <w:rPr>
          <w:b/>
          <w:sz w:val="24"/>
          <w:szCs w:val="24"/>
        </w:rPr>
      </w:pPr>
      <w:r w:rsidRPr="00C86270">
        <w:rPr>
          <w:b/>
          <w:sz w:val="24"/>
          <w:szCs w:val="24"/>
        </w:rPr>
        <w:t>Ministru kabineta noteikumu projekta “</w:t>
      </w:r>
      <w:r w:rsidR="003B2948" w:rsidRPr="003B2948">
        <w:rPr>
          <w:b/>
          <w:sz w:val="24"/>
          <w:szCs w:val="24"/>
        </w:rPr>
        <w:t>Grozījumi Ministru kabineta 2011.gada 24.maija noteikumos Nr.411 “Autopārvadājumu kontroles organizēšanas un īstenošanas kārtība”</w:t>
      </w:r>
      <w:r w:rsidRPr="00C8627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4371C5" w:rsidRPr="0029220D">
        <w:rPr>
          <w:b/>
          <w:sz w:val="24"/>
          <w:szCs w:val="24"/>
        </w:rPr>
        <w:t>sākotnējās ietekmes novērtējuma ziņojums (anotācija)</w:t>
      </w:r>
      <w:r>
        <w:rPr>
          <w:b/>
          <w:sz w:val="24"/>
          <w:szCs w:val="24"/>
        </w:rPr>
        <w:t xml:space="preserve"> </w:t>
      </w:r>
    </w:p>
    <w:p w:rsidR="00CE2351" w:rsidRPr="0029220D" w:rsidRDefault="00032250" w:rsidP="00EB0881">
      <w:pPr>
        <w:pStyle w:val="Header"/>
        <w:tabs>
          <w:tab w:val="clear" w:pos="4153"/>
          <w:tab w:val="clear" w:pos="8306"/>
          <w:tab w:val="left" w:pos="6195"/>
        </w:tabs>
        <w:spacing w:line="240" w:lineRule="auto"/>
        <w:ind w:firstLine="0"/>
        <w:rPr>
          <w:sz w:val="24"/>
          <w:szCs w:val="24"/>
          <w:lang w:val="lv-LV"/>
        </w:rPr>
      </w:pPr>
      <w:r w:rsidRPr="0029220D">
        <w:rPr>
          <w:sz w:val="24"/>
          <w:szCs w:val="24"/>
          <w:lang w:val="lv-LV"/>
        </w:rPr>
        <w:tab/>
      </w:r>
    </w:p>
    <w:tbl>
      <w:tblPr>
        <w:tblW w:w="4968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6887"/>
      </w:tblGrid>
      <w:tr w:rsidR="0029220D" w:rsidRPr="0029220D" w:rsidTr="004371C5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565A60" w:rsidRPr="0029220D" w:rsidRDefault="00565A60" w:rsidP="00EB0881">
            <w:pPr>
              <w:spacing w:line="240" w:lineRule="auto"/>
              <w:ind w:left="-330" w:firstLine="47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9220D" w:rsidRPr="0029220D" w:rsidTr="00E76C69"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4326C0" w:rsidP="00EB0881">
            <w:pPr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CEF" w:rsidRPr="0029220D" w:rsidRDefault="009B3D2D" w:rsidP="00EB08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0371">
              <w:rPr>
                <w:sz w:val="24"/>
                <w:szCs w:val="24"/>
              </w:rPr>
              <w:t>Ministru kabineta</w:t>
            </w:r>
            <w:r>
              <w:rPr>
                <w:sz w:val="24"/>
                <w:szCs w:val="24"/>
              </w:rPr>
              <w:t xml:space="preserve"> 2016.gada 13</w:t>
            </w:r>
            <w:r w:rsidRPr="007603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septembra</w:t>
            </w:r>
            <w:r w:rsidRPr="00760371">
              <w:rPr>
                <w:sz w:val="24"/>
                <w:szCs w:val="24"/>
              </w:rPr>
              <w:t xml:space="preserve"> sēdes </w:t>
            </w:r>
            <w:proofErr w:type="spellStart"/>
            <w:r w:rsidRPr="00760371">
              <w:rPr>
                <w:sz w:val="24"/>
                <w:szCs w:val="24"/>
              </w:rPr>
              <w:t>protokollēmums</w:t>
            </w:r>
            <w:proofErr w:type="spellEnd"/>
            <w:r w:rsidRPr="00760371">
              <w:rPr>
                <w:sz w:val="24"/>
                <w:szCs w:val="24"/>
              </w:rPr>
              <w:t xml:space="preserve"> (prot.</w:t>
            </w:r>
            <w:r>
              <w:rPr>
                <w:sz w:val="24"/>
                <w:szCs w:val="24"/>
              </w:rPr>
              <w:t xml:space="preserve"> Nr.45</w:t>
            </w:r>
            <w:r w:rsidRPr="00760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31</w:t>
            </w:r>
            <w:r w:rsidRPr="00760371">
              <w:rPr>
                <w:sz w:val="24"/>
                <w:szCs w:val="24"/>
              </w:rPr>
              <w:t>.§)  “Informatīvais ziņojums “</w:t>
            </w:r>
            <w:r w:rsidRPr="005A32CC">
              <w:rPr>
                <w:sz w:val="24"/>
                <w:szCs w:val="24"/>
              </w:rPr>
              <w:t>Pasažieru pārvadājumu ar taksometriem jomas tiesiskais regulējums un priekšlikumi tās pilnveidošanai</w:t>
            </w:r>
            <w:r w:rsidRPr="00760371">
              <w:rPr>
                <w:sz w:val="24"/>
                <w:szCs w:val="24"/>
              </w:rPr>
              <w:t>””.</w:t>
            </w:r>
          </w:p>
        </w:tc>
      </w:tr>
      <w:tr w:rsidR="0029220D" w:rsidRPr="0029220D" w:rsidTr="00E76C69"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4326C0" w:rsidP="00EB0881">
            <w:pPr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sz w:val="24"/>
                <w:szCs w:val="24"/>
                <w:shd w:val="clear" w:color="auto" w:fill="FFFFFF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069D" w:rsidRDefault="009C069D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Ievērojot pašreizējo regulējumu, pašvaldību kontroles dienesti nav tiesīgi veikt taksometru kontroli, veicot </w:t>
            </w:r>
            <w:proofErr w:type="spellStart"/>
            <w:r>
              <w:rPr>
                <w:rFonts w:eastAsia="Times New Roman"/>
                <w:sz w:val="24"/>
                <w:szCs w:val="24"/>
                <w:lang w:eastAsia="lv-LV"/>
              </w:rPr>
              <w:t>kontrolpirkumus</w:t>
            </w:r>
            <w:proofErr w:type="spellEnd"/>
            <w:r>
              <w:rPr>
                <w:rFonts w:eastAsia="Times New Roman"/>
                <w:sz w:val="24"/>
                <w:szCs w:val="24"/>
                <w:lang w:eastAsia="lv-LV"/>
              </w:rPr>
              <w:t xml:space="preserve">, kā arī nav tiesīgi apturēt taksometru uz </w:t>
            </w:r>
            <w:r w:rsidR="003C7316">
              <w:rPr>
                <w:rFonts w:eastAsia="Times New Roman"/>
                <w:sz w:val="24"/>
                <w:szCs w:val="24"/>
                <w:lang w:eastAsia="lv-LV"/>
              </w:rPr>
              <w:t>auto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ceļa.</w:t>
            </w:r>
          </w:p>
          <w:p w:rsidR="009C069D" w:rsidRDefault="009C069D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558C3">
              <w:rPr>
                <w:rFonts w:eastAsia="Times New Roman"/>
                <w:sz w:val="24"/>
                <w:szCs w:val="24"/>
                <w:lang w:eastAsia="lv-LV"/>
              </w:rPr>
              <w:t>Kontrolpirkums</w:t>
            </w:r>
            <w:proofErr w:type="spellEnd"/>
            <w:r w:rsidRPr="00D558C3">
              <w:rPr>
                <w:rFonts w:eastAsia="Times New Roman"/>
                <w:sz w:val="24"/>
                <w:szCs w:val="24"/>
                <w:lang w:eastAsia="lv-LV"/>
              </w:rPr>
              <w:t xml:space="preserve"> ir nepieciešams, l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ai varētu konstatēt</w:t>
            </w:r>
            <w:r w:rsidR="000D7A85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 w:rsidR="009B3D2D">
              <w:rPr>
                <w:rFonts w:eastAsia="Times New Roman"/>
                <w:sz w:val="24"/>
                <w:szCs w:val="24"/>
                <w:lang w:eastAsia="lv-LV"/>
              </w:rPr>
              <w:t xml:space="preserve"> ka</w:t>
            </w:r>
            <w:r w:rsidRPr="00D558C3">
              <w:rPr>
                <w:rFonts w:eastAsia="Times New Roman"/>
                <w:sz w:val="24"/>
                <w:szCs w:val="24"/>
                <w:lang w:eastAsia="lv-LV"/>
              </w:rPr>
              <w:t xml:space="preserve"> taksometra pa</w:t>
            </w:r>
            <w:r w:rsidR="009B3D2D">
              <w:rPr>
                <w:rFonts w:eastAsia="Times New Roman"/>
                <w:sz w:val="24"/>
                <w:szCs w:val="24"/>
                <w:lang w:eastAsia="lv-LV"/>
              </w:rPr>
              <w:t>kalpojumus sniedz privātpersona</w:t>
            </w:r>
            <w:r w:rsidRPr="00D558C3">
              <w:rPr>
                <w:rFonts w:eastAsia="Times New Roman"/>
                <w:sz w:val="24"/>
                <w:szCs w:val="24"/>
                <w:lang w:eastAsia="lv-LV"/>
              </w:rPr>
              <w:t xml:space="preserve"> bez atbilstošas taksometru vadītājiem nepiec</w:t>
            </w:r>
            <w:r w:rsidR="009B3D2D">
              <w:rPr>
                <w:rFonts w:eastAsia="Times New Roman"/>
                <w:sz w:val="24"/>
                <w:szCs w:val="24"/>
                <w:lang w:eastAsia="lv-LV"/>
              </w:rPr>
              <w:t>iešamās kvalifikācijas ar savu privāto transportlīdzekli, kurš</w:t>
            </w:r>
            <w:r w:rsidRPr="00D558C3">
              <w:rPr>
                <w:rFonts w:eastAsia="Times New Roman"/>
                <w:sz w:val="24"/>
                <w:szCs w:val="24"/>
                <w:lang w:eastAsia="lv-LV"/>
              </w:rPr>
              <w:t xml:space="preserve"> nav aprīkot</w:t>
            </w:r>
            <w:r w:rsidR="009B3D2D">
              <w:rPr>
                <w:rFonts w:eastAsia="Times New Roman"/>
                <w:sz w:val="24"/>
                <w:szCs w:val="24"/>
                <w:lang w:eastAsia="lv-LV"/>
              </w:rPr>
              <w:t>s</w:t>
            </w:r>
            <w:r w:rsidRPr="00D558C3">
              <w:rPr>
                <w:rFonts w:eastAsia="Times New Roman"/>
                <w:sz w:val="24"/>
                <w:szCs w:val="24"/>
                <w:lang w:eastAsia="lv-LV"/>
              </w:rPr>
              <w:t xml:space="preserve"> atbilstoši taksometriem noteiktajām prasībām</w:t>
            </w:r>
            <w:r w:rsidR="009B3D2D">
              <w:rPr>
                <w:rFonts w:eastAsia="Times New Roman"/>
                <w:sz w:val="24"/>
                <w:szCs w:val="24"/>
                <w:lang w:eastAsia="lv-LV"/>
              </w:rPr>
              <w:t>, un kurš</w:t>
            </w:r>
            <w:r w:rsidRPr="00D558C3">
              <w:rPr>
                <w:rFonts w:eastAsia="Times New Roman"/>
                <w:sz w:val="24"/>
                <w:szCs w:val="24"/>
                <w:lang w:eastAsia="lv-LV"/>
              </w:rPr>
              <w:t xml:space="preserve">  nav</w:t>
            </w:r>
            <w:r w:rsidR="009B3D2D">
              <w:rPr>
                <w:rFonts w:eastAsia="Times New Roman"/>
                <w:sz w:val="24"/>
                <w:szCs w:val="24"/>
                <w:lang w:eastAsia="lv-LV"/>
              </w:rPr>
              <w:t xml:space="preserve"> saņēmis pašvaldības izsniegto speciālo atļauju (licenci),</w:t>
            </w:r>
            <w:r w:rsidRPr="00D558C3">
              <w:rPr>
                <w:rFonts w:eastAsia="Times New Roman"/>
                <w:sz w:val="24"/>
                <w:szCs w:val="24"/>
                <w:lang w:eastAsia="lv-LV"/>
              </w:rPr>
              <w:t xml:space="preserve"> lai</w:t>
            </w:r>
            <w:r w:rsidR="000D7A85">
              <w:rPr>
                <w:rFonts w:eastAsia="Times New Roman"/>
                <w:sz w:val="24"/>
                <w:szCs w:val="24"/>
                <w:lang w:eastAsia="lv-LV"/>
              </w:rPr>
              <w:t xml:space="preserve"> veiktu pasažieru pārvadājumus. </w:t>
            </w:r>
            <w:proofErr w:type="spellStart"/>
            <w:r w:rsidR="000D7A85">
              <w:rPr>
                <w:rFonts w:eastAsia="Times New Roman"/>
                <w:sz w:val="24"/>
                <w:szCs w:val="24"/>
                <w:lang w:eastAsia="lv-LV"/>
              </w:rPr>
              <w:t>Kontrolpirkums</w:t>
            </w:r>
            <w:proofErr w:type="spellEnd"/>
            <w:r w:rsidR="000D7A85">
              <w:rPr>
                <w:rFonts w:eastAsia="Times New Roman"/>
                <w:sz w:val="24"/>
                <w:szCs w:val="24"/>
                <w:lang w:eastAsia="lv-LV"/>
              </w:rPr>
              <w:t xml:space="preserve"> ir nepieciešams</w:t>
            </w:r>
            <w:r w:rsidR="009B3D2D">
              <w:rPr>
                <w:rFonts w:eastAsia="Times New Roman"/>
                <w:sz w:val="24"/>
                <w:szCs w:val="24"/>
                <w:lang w:eastAsia="lv-LV"/>
              </w:rPr>
              <w:t xml:space="preserve"> arī</w:t>
            </w:r>
            <w:r w:rsidR="000D7A85">
              <w:rPr>
                <w:rFonts w:eastAsia="Times New Roman"/>
                <w:sz w:val="24"/>
                <w:szCs w:val="24"/>
                <w:lang w:eastAsia="lv-LV"/>
              </w:rPr>
              <w:t>, l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ai kontrolētu pārvadātājus</w:t>
            </w:r>
            <w:r w:rsidR="003C7316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kuri ir saņēmuši licenci neregulārajiem pārvadājumiem, bet ikdienā</w:t>
            </w:r>
            <w:r w:rsidR="009B3D2D">
              <w:rPr>
                <w:rFonts w:eastAsia="Times New Roman"/>
                <w:sz w:val="24"/>
                <w:szCs w:val="24"/>
                <w:lang w:eastAsia="lv-LV"/>
              </w:rPr>
              <w:t xml:space="preserve"> veic regulāros pārvadājumus pa noteiktu maršrutu un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fiksētu cenu</w:t>
            </w:r>
            <w:r w:rsidR="00F058A3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neizsniedzot biļetes.</w:t>
            </w:r>
          </w:p>
          <w:p w:rsidR="009C069D" w:rsidRPr="00D558C3" w:rsidRDefault="003C7316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>
              <w:rPr>
                <w:rFonts w:eastAsia="Times New Roman"/>
                <w:sz w:val="24"/>
                <w:szCs w:val="24"/>
                <w:lang w:eastAsia="lv-LV"/>
              </w:rPr>
              <w:t>kontrolpirkumu</w:t>
            </w:r>
            <w:proofErr w:type="spellEnd"/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palīdzību</w:t>
            </w:r>
            <w:r w:rsidR="009C069D">
              <w:rPr>
                <w:rFonts w:eastAsia="Times New Roman"/>
                <w:sz w:val="24"/>
                <w:szCs w:val="24"/>
                <w:lang w:eastAsia="lv-LV"/>
              </w:rPr>
              <w:t xml:space="preserve"> tiks uzlabots kontroles mehānisms, mazināts ēnu ekonomikas īpatsvars pasažieru pārvadājumu jomā, kā arī izskausta uzņēmējdarbība bez noteiktā kārtībā izsniegtas licences, kā rezultātā palielināsies nodokļu ieņēmumi nozarē.   </w:t>
            </w:r>
          </w:p>
          <w:p w:rsidR="00CB5598" w:rsidRPr="003C7316" w:rsidRDefault="00F058A3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Pašvaldību kontroles dienestiem tiesības apturēt taksometru uz autoceļiem </w:t>
            </w:r>
            <w:r w:rsidR="009C069D">
              <w:rPr>
                <w:rFonts w:eastAsia="Times New Roman"/>
                <w:sz w:val="24"/>
                <w:szCs w:val="24"/>
                <w:lang w:eastAsia="lv-LV"/>
              </w:rPr>
              <w:t xml:space="preserve"> ir nepieciešam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as</w:t>
            </w:r>
            <w:r w:rsidR="009C069D">
              <w:rPr>
                <w:rFonts w:eastAsia="Times New Roman"/>
                <w:sz w:val="24"/>
                <w:szCs w:val="24"/>
                <w:lang w:eastAsia="lv-LV"/>
              </w:rPr>
              <w:t xml:space="preserve">, lai veiksmīgāk varētu veikt pasažieru pārvadājumu ar vieglajiem taksometriem  kontroli, kad taksometra vadītājs veic pasažieru pārvadājumus ar neieslēgtu skaitītāju. Šobrīd </w:t>
            </w:r>
            <w:r w:rsidR="003C7316">
              <w:rPr>
                <w:rFonts w:eastAsia="Times New Roman"/>
                <w:sz w:val="24"/>
                <w:szCs w:val="24"/>
                <w:lang w:eastAsia="lv-LV"/>
              </w:rPr>
              <w:t>pašvaldību k</w:t>
            </w:r>
            <w:r w:rsidR="009C069D">
              <w:rPr>
                <w:rFonts w:eastAsia="Times New Roman"/>
                <w:sz w:val="24"/>
                <w:szCs w:val="24"/>
                <w:lang w:eastAsia="lv-LV"/>
              </w:rPr>
              <w:t>ontroles dienesta darbiniekiem, lai</w:t>
            </w:r>
            <w:r w:rsidR="003C7316">
              <w:rPr>
                <w:rFonts w:eastAsia="Times New Roman"/>
                <w:sz w:val="24"/>
                <w:szCs w:val="24"/>
                <w:lang w:eastAsia="lv-LV"/>
              </w:rPr>
              <w:t xml:space="preserve"> apturētu taksometru uz autoceļa</w:t>
            </w:r>
            <w:r w:rsidR="009C069D">
              <w:rPr>
                <w:rFonts w:eastAsia="Times New Roman"/>
                <w:sz w:val="24"/>
                <w:szCs w:val="24"/>
                <w:lang w:eastAsia="lv-LV"/>
              </w:rPr>
              <w:t>, ir nepieciešams piesaistī</w:t>
            </w:r>
            <w:r w:rsidR="003C7316">
              <w:rPr>
                <w:rFonts w:eastAsia="Times New Roman"/>
                <w:sz w:val="24"/>
                <w:szCs w:val="24"/>
                <w:lang w:eastAsia="lv-LV"/>
              </w:rPr>
              <w:t>t Valsts policijas darbiniekus</w:t>
            </w:r>
            <w:r w:rsidR="009C069D">
              <w:rPr>
                <w:rFonts w:eastAsia="Times New Roman"/>
                <w:sz w:val="24"/>
                <w:szCs w:val="24"/>
                <w:lang w:eastAsia="lv-LV"/>
              </w:rPr>
              <w:t xml:space="preserve">, tādējādi </w:t>
            </w:r>
            <w:r w:rsidR="003C7316">
              <w:rPr>
                <w:rFonts w:eastAsia="Times New Roman"/>
                <w:sz w:val="24"/>
                <w:szCs w:val="24"/>
                <w:lang w:eastAsia="lv-LV"/>
              </w:rPr>
              <w:t>nelietderīgi izmantojot</w:t>
            </w:r>
            <w:r w:rsidR="009C069D">
              <w:rPr>
                <w:rFonts w:eastAsia="Times New Roman"/>
                <w:sz w:val="24"/>
                <w:szCs w:val="24"/>
                <w:lang w:eastAsia="lv-LV"/>
              </w:rPr>
              <w:t xml:space="preserve"> valsts resurs</w:t>
            </w:r>
            <w:r w:rsidR="003C7316">
              <w:rPr>
                <w:rFonts w:eastAsia="Times New Roman"/>
                <w:sz w:val="24"/>
                <w:szCs w:val="24"/>
                <w:lang w:eastAsia="lv-LV"/>
              </w:rPr>
              <w:t>us.</w:t>
            </w:r>
          </w:p>
        </w:tc>
      </w:tr>
      <w:tr w:rsidR="0029220D" w:rsidRPr="0029220D" w:rsidTr="00E76C69"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344EA8" w:rsidP="00EB0881">
            <w:pPr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3C7316" w:rsidP="00EB0881">
            <w:pPr>
              <w:tabs>
                <w:tab w:val="left" w:pos="2715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3C7316">
              <w:rPr>
                <w:rFonts w:eastAsia="Times New Roman"/>
                <w:sz w:val="24"/>
                <w:szCs w:val="24"/>
                <w:lang w:eastAsia="lv-LV"/>
              </w:rPr>
              <w:t>Satiksmes ministrija</w:t>
            </w:r>
            <w:r w:rsidR="0097625F" w:rsidRPr="003C7316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97625F" w:rsidRPr="0029220D" w:rsidTr="00E76C69"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344EA8" w:rsidP="00EB0881">
            <w:pPr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CA5942" w:rsidP="00EB08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220D">
              <w:rPr>
                <w:sz w:val="24"/>
                <w:szCs w:val="24"/>
              </w:rPr>
              <w:t>Nav.</w:t>
            </w:r>
          </w:p>
        </w:tc>
      </w:tr>
    </w:tbl>
    <w:p w:rsidR="00565A60" w:rsidRPr="0029220D" w:rsidRDefault="00565A60" w:rsidP="00EB0881">
      <w:pPr>
        <w:spacing w:line="240" w:lineRule="auto"/>
        <w:rPr>
          <w:sz w:val="24"/>
          <w:szCs w:val="24"/>
        </w:rPr>
      </w:pPr>
    </w:p>
    <w:tbl>
      <w:tblPr>
        <w:tblW w:w="4968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"/>
        <w:gridCol w:w="2129"/>
        <w:gridCol w:w="6887"/>
      </w:tblGrid>
      <w:tr w:rsidR="0029220D" w:rsidRPr="0029220D" w:rsidTr="004371C5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565A60" w:rsidRPr="0029220D" w:rsidRDefault="00565A60" w:rsidP="00EB0881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</w:t>
            </w:r>
            <w:r w:rsidRPr="0029220D">
              <w:rPr>
                <w:b/>
                <w:bCs/>
                <w:sz w:val="24"/>
                <w:szCs w:val="24"/>
                <w:shd w:val="clear" w:color="auto" w:fill="FFFFFF"/>
              </w:rPr>
              <w:t>, tautsaimniecības attīstību un administratīvo slogu</w:t>
            </w:r>
          </w:p>
        </w:tc>
      </w:tr>
      <w:tr w:rsidR="0029220D" w:rsidRPr="0029220D" w:rsidTr="00E76C69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3F1D89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sz w:val="24"/>
                <w:szCs w:val="24"/>
                <w:shd w:val="clear" w:color="auto" w:fill="FFFFFF"/>
              </w:rPr>
              <w:t xml:space="preserve">Sabiedrības </w:t>
            </w:r>
            <w:proofErr w:type="spellStart"/>
            <w:r w:rsidRPr="0029220D">
              <w:rPr>
                <w:sz w:val="24"/>
                <w:szCs w:val="24"/>
                <w:shd w:val="clear" w:color="auto" w:fill="FFFFFF"/>
              </w:rPr>
              <w:t>mērķgrupas</w:t>
            </w:r>
            <w:proofErr w:type="spellEnd"/>
            <w:r w:rsidRPr="0029220D">
              <w:rPr>
                <w:sz w:val="24"/>
                <w:szCs w:val="24"/>
                <w:shd w:val="clear" w:color="auto" w:fill="FFFFFF"/>
              </w:rPr>
              <w:t>, kuras tiesiskais regulējums ietekmē vai varētu ietekmēt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2BB" w:rsidRPr="0029220D" w:rsidRDefault="00DF0CD9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Noteikumu projekts attiecas uz </w:t>
            </w:r>
            <w:r w:rsidR="003C7316">
              <w:rPr>
                <w:rFonts w:eastAsia="Times New Roman"/>
                <w:sz w:val="24"/>
                <w:szCs w:val="24"/>
                <w:lang w:eastAsia="lv-LV"/>
              </w:rPr>
              <w:t>pasažieru pārvadātājiem ar vieglajiem taksometriem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29220D" w:rsidRPr="0029220D" w:rsidTr="00E76C69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A60" w:rsidRPr="0029220D" w:rsidRDefault="003F1D89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sz w:val="24"/>
                <w:szCs w:val="24"/>
                <w:shd w:val="clear" w:color="auto" w:fill="FFFFFF"/>
              </w:rPr>
              <w:t>Tiesiskā regulējuma ietekme uz tautsaimniecību un administratīvo slogu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5BF6" w:rsidRPr="0029220D" w:rsidRDefault="003C7316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Pašvaldību kontroles dienesti </w:t>
            </w:r>
            <w:r w:rsidR="009B7682">
              <w:rPr>
                <w:rFonts w:eastAsia="Times New Roman"/>
                <w:sz w:val="24"/>
                <w:szCs w:val="24"/>
                <w:lang w:eastAsia="lv-LV"/>
              </w:rPr>
              <w:t>varēs efektīvāk veikt pasažieru pārvadājumu ar vieglajiem taksometriem kontroli, nepiesaistot Valsts policijas darbiniekus, tādejādi mazinot ēnu ekonomikas līmeni un efektīvāk izmantojot resursus.</w:t>
            </w:r>
          </w:p>
        </w:tc>
      </w:tr>
      <w:tr w:rsidR="0029220D" w:rsidRPr="0029220D" w:rsidTr="00E76C69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A60" w:rsidRPr="0029220D" w:rsidRDefault="00565A60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3</w:t>
            </w:r>
            <w:r w:rsidR="003F1D89" w:rsidRPr="0029220D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</w:t>
            </w: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sz w:val="24"/>
                <w:szCs w:val="24"/>
                <w:shd w:val="clear" w:color="auto" w:fill="FFFFFF"/>
              </w:rPr>
              <w:lastRenderedPageBreak/>
              <w:t xml:space="preserve">Administratīvo </w:t>
            </w:r>
            <w:r w:rsidRPr="0029220D">
              <w:rPr>
                <w:sz w:val="24"/>
                <w:szCs w:val="24"/>
                <w:shd w:val="clear" w:color="auto" w:fill="FFFFFF"/>
              </w:rPr>
              <w:lastRenderedPageBreak/>
              <w:t>izmaksu monetārs novērtējums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A60" w:rsidRPr="0029220D" w:rsidRDefault="009B3D2D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565A60" w:rsidRPr="0029220D" w:rsidTr="00E76C69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4</w:t>
            </w:r>
            <w:r w:rsidR="003F1D89" w:rsidRPr="0029220D">
              <w:rPr>
                <w:rFonts w:eastAsia="Times New Roman"/>
                <w:sz w:val="24"/>
                <w:szCs w:val="24"/>
                <w:lang w:eastAsia="lv-LV"/>
              </w:rPr>
              <w:t>4</w:t>
            </w: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  <w:r w:rsidR="003F1D89" w:rsidRPr="002922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F0579" w:rsidRPr="00205EB8" w:rsidRDefault="004F0579" w:rsidP="00EB088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29220D" w:rsidRPr="00205EB8" w:rsidTr="00F0273B">
        <w:trPr>
          <w:trHeight w:val="421"/>
        </w:trPr>
        <w:tc>
          <w:tcPr>
            <w:tcW w:w="9356" w:type="dxa"/>
            <w:gridSpan w:val="2"/>
            <w:vAlign w:val="center"/>
          </w:tcPr>
          <w:p w:rsidR="00F0273B" w:rsidRPr="00205EB8" w:rsidRDefault="00F0273B" w:rsidP="00EB0881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205EB8">
              <w:rPr>
                <w:b/>
              </w:rPr>
              <w:t>VI. Sabiedrības līdzdalība un komunikācijas aktivitātes</w:t>
            </w:r>
          </w:p>
        </w:tc>
      </w:tr>
      <w:tr w:rsidR="0029220D" w:rsidRPr="004F0579" w:rsidTr="00E76C69">
        <w:trPr>
          <w:trHeight w:val="553"/>
        </w:trPr>
        <w:tc>
          <w:tcPr>
            <w:tcW w:w="2977" w:type="dxa"/>
          </w:tcPr>
          <w:p w:rsidR="00F0273B" w:rsidRPr="00205EB8" w:rsidRDefault="00F0273B" w:rsidP="00EB0881">
            <w:pPr>
              <w:tabs>
                <w:tab w:val="left" w:pos="170"/>
              </w:tabs>
              <w:spacing w:line="240" w:lineRule="auto"/>
              <w:ind w:left="57" w:right="57" w:firstLine="46"/>
              <w:rPr>
                <w:sz w:val="24"/>
                <w:szCs w:val="24"/>
                <w:lang w:eastAsia="lv-LV"/>
              </w:rPr>
            </w:pPr>
            <w:r w:rsidRPr="00205EB8">
              <w:rPr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379" w:type="dxa"/>
          </w:tcPr>
          <w:p w:rsidR="00F0273B" w:rsidRPr="00205EB8" w:rsidRDefault="00F0273B" w:rsidP="009B3D2D">
            <w:pPr>
              <w:shd w:val="clear" w:color="auto" w:fill="FFFFFF"/>
              <w:spacing w:line="240" w:lineRule="auto"/>
              <w:ind w:left="47" w:firstLine="0"/>
              <w:rPr>
                <w:sz w:val="24"/>
                <w:szCs w:val="24"/>
                <w:lang w:eastAsia="lv-LV"/>
              </w:rPr>
            </w:pPr>
            <w:r w:rsidRPr="00205EB8">
              <w:rPr>
                <w:rFonts w:eastAsia="Times New Roman"/>
                <w:sz w:val="24"/>
                <w:szCs w:val="24"/>
                <w:lang w:eastAsia="lv-LV"/>
              </w:rPr>
              <w:t>Paziņojums par līdzdalības iespējām likumprojekta izstrādes procesā ievietots Satiksmes min</w:t>
            </w:r>
            <w:r w:rsidR="00205EB8" w:rsidRPr="00205EB8">
              <w:rPr>
                <w:rFonts w:eastAsia="Times New Roman"/>
                <w:sz w:val="24"/>
                <w:szCs w:val="24"/>
                <w:lang w:eastAsia="lv-LV"/>
              </w:rPr>
              <w:t xml:space="preserve">istrijas </w:t>
            </w:r>
            <w:r w:rsidR="009B3D2D">
              <w:rPr>
                <w:rFonts w:eastAsia="Times New Roman"/>
                <w:sz w:val="24"/>
                <w:szCs w:val="24"/>
                <w:lang w:eastAsia="lv-LV"/>
              </w:rPr>
              <w:t xml:space="preserve">tīmekļa vietnē </w:t>
            </w:r>
            <w:r w:rsidR="00205EB8" w:rsidRPr="00205EB8">
              <w:rPr>
                <w:rFonts w:eastAsia="Times New Roman"/>
                <w:sz w:val="24"/>
                <w:szCs w:val="24"/>
                <w:lang w:eastAsia="lv-LV"/>
              </w:rPr>
              <w:t>2016.gada 19</w:t>
            </w:r>
            <w:r w:rsidRPr="00205EB8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205EB8" w:rsidRPr="00205EB8">
              <w:rPr>
                <w:rFonts w:eastAsia="Times New Roman"/>
                <w:sz w:val="24"/>
                <w:szCs w:val="24"/>
                <w:lang w:eastAsia="lv-LV"/>
              </w:rPr>
              <w:t>augustā</w:t>
            </w:r>
            <w:r w:rsidRPr="00205EB8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29220D" w:rsidRPr="004F0579" w:rsidTr="00E76C69">
        <w:trPr>
          <w:trHeight w:val="339"/>
        </w:trPr>
        <w:tc>
          <w:tcPr>
            <w:tcW w:w="2977" w:type="dxa"/>
          </w:tcPr>
          <w:p w:rsidR="00F0273B" w:rsidRPr="007313E9" w:rsidRDefault="00F0273B" w:rsidP="00EB0881">
            <w:pPr>
              <w:spacing w:line="240" w:lineRule="auto"/>
              <w:ind w:left="57" w:right="57" w:firstLine="46"/>
              <w:rPr>
                <w:sz w:val="24"/>
                <w:szCs w:val="24"/>
                <w:lang w:eastAsia="lv-LV"/>
              </w:rPr>
            </w:pPr>
            <w:r w:rsidRPr="007313E9">
              <w:rPr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379" w:type="dxa"/>
          </w:tcPr>
          <w:p w:rsidR="00F0273B" w:rsidRPr="007313E9" w:rsidRDefault="00EB0881" w:rsidP="00EB0881">
            <w:pPr>
              <w:shd w:val="clear" w:color="auto" w:fill="FFFFFF"/>
              <w:spacing w:line="240" w:lineRule="auto"/>
              <w:ind w:left="47" w:firstLine="0"/>
              <w:rPr>
                <w:sz w:val="24"/>
                <w:szCs w:val="24"/>
              </w:rPr>
            </w:pPr>
            <w:r w:rsidRPr="009062AA">
              <w:rPr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9062AA">
              <w:rPr>
                <w:sz w:val="24"/>
                <w:szCs w:val="24"/>
                <w:vertAlign w:val="superscript"/>
                <w:lang w:eastAsia="lv-LV"/>
              </w:rPr>
              <w:t>1</w:t>
            </w:r>
            <w:r w:rsidRPr="009062AA">
              <w:rPr>
                <w:sz w:val="24"/>
                <w:szCs w:val="24"/>
                <w:lang w:eastAsia="lv-LV"/>
              </w:rPr>
              <w:t xml:space="preserve"> apakšpunktam, sabiedrībai tika dota iespēja rakstiski sniegt viedokli par noteikum</w:t>
            </w:r>
            <w:r>
              <w:rPr>
                <w:sz w:val="24"/>
                <w:szCs w:val="24"/>
                <w:lang w:eastAsia="lv-LV"/>
              </w:rPr>
              <w:t>u projektu tā izstrādes stadijā</w:t>
            </w:r>
            <w:r w:rsidRPr="009062AA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29220D" w:rsidRPr="00205EB8" w:rsidTr="00E76C69">
        <w:trPr>
          <w:trHeight w:val="476"/>
        </w:trPr>
        <w:tc>
          <w:tcPr>
            <w:tcW w:w="2977" w:type="dxa"/>
          </w:tcPr>
          <w:p w:rsidR="00F0273B" w:rsidRPr="00205EB8" w:rsidRDefault="00F0273B" w:rsidP="00EB0881">
            <w:pPr>
              <w:spacing w:line="240" w:lineRule="auto"/>
              <w:ind w:left="57" w:right="57" w:firstLine="46"/>
              <w:rPr>
                <w:sz w:val="24"/>
                <w:szCs w:val="24"/>
                <w:lang w:eastAsia="lv-LV"/>
              </w:rPr>
            </w:pPr>
            <w:r w:rsidRPr="00205EB8">
              <w:rPr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379" w:type="dxa"/>
          </w:tcPr>
          <w:p w:rsidR="00F0273B" w:rsidRPr="00205EB8" w:rsidRDefault="00AC0AAB" w:rsidP="00EB0881">
            <w:pPr>
              <w:shd w:val="clear" w:color="auto" w:fill="FFFFFF"/>
              <w:spacing w:line="240" w:lineRule="auto"/>
              <w:ind w:left="47" w:firstLine="0"/>
              <w:rPr>
                <w:sz w:val="24"/>
                <w:szCs w:val="24"/>
                <w:lang w:eastAsia="lv-LV"/>
              </w:rPr>
            </w:pPr>
            <w:r w:rsidRPr="002C26BA">
              <w:rPr>
                <w:sz w:val="24"/>
                <w:szCs w:val="24"/>
                <w:lang w:eastAsia="lv-LV"/>
              </w:rPr>
              <w:t>Sabiedrības atsauksmes nav saņemtas.</w:t>
            </w:r>
          </w:p>
        </w:tc>
      </w:tr>
      <w:tr w:rsidR="00F0273B" w:rsidRPr="0029220D" w:rsidTr="00E76C69">
        <w:trPr>
          <w:trHeight w:val="246"/>
        </w:trPr>
        <w:tc>
          <w:tcPr>
            <w:tcW w:w="2977" w:type="dxa"/>
          </w:tcPr>
          <w:p w:rsidR="00F0273B" w:rsidRPr="00205EB8" w:rsidRDefault="00F0273B" w:rsidP="00EB0881">
            <w:pPr>
              <w:spacing w:line="240" w:lineRule="auto"/>
              <w:ind w:left="57" w:right="57" w:firstLine="46"/>
              <w:rPr>
                <w:sz w:val="24"/>
                <w:szCs w:val="24"/>
                <w:lang w:eastAsia="lv-LV"/>
              </w:rPr>
            </w:pPr>
            <w:r w:rsidRPr="00205EB8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9" w:type="dxa"/>
          </w:tcPr>
          <w:p w:rsidR="00F0273B" w:rsidRPr="0029220D" w:rsidRDefault="00F0273B" w:rsidP="00EB0881">
            <w:pPr>
              <w:spacing w:line="240" w:lineRule="auto"/>
              <w:ind w:left="47" w:right="57" w:firstLine="0"/>
              <w:rPr>
                <w:sz w:val="24"/>
                <w:szCs w:val="24"/>
                <w:lang w:eastAsia="lv-LV"/>
              </w:rPr>
            </w:pPr>
            <w:r w:rsidRPr="00205EB8">
              <w:rPr>
                <w:sz w:val="24"/>
                <w:szCs w:val="24"/>
              </w:rPr>
              <w:t>Nav.</w:t>
            </w:r>
          </w:p>
        </w:tc>
      </w:tr>
    </w:tbl>
    <w:p w:rsidR="00F0273B" w:rsidRPr="0029220D" w:rsidRDefault="00F0273B" w:rsidP="00EB0881">
      <w:pPr>
        <w:spacing w:line="240" w:lineRule="auto"/>
        <w:ind w:firstLine="0"/>
        <w:rPr>
          <w:sz w:val="24"/>
          <w:szCs w:val="24"/>
        </w:rPr>
      </w:pPr>
    </w:p>
    <w:tbl>
      <w:tblPr>
        <w:tblW w:w="4968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"/>
        <w:gridCol w:w="2607"/>
        <w:gridCol w:w="6320"/>
      </w:tblGrid>
      <w:tr w:rsidR="0029220D" w:rsidRPr="0029220D" w:rsidTr="00E76C69">
        <w:trPr>
          <w:trHeight w:val="451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9220D" w:rsidRPr="0029220D" w:rsidTr="00E76C69">
        <w:trPr>
          <w:trHeight w:val="487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DA5F33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9B3D2D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0D7A85">
              <w:rPr>
                <w:rFonts w:eastAsia="Times New Roman"/>
                <w:sz w:val="24"/>
                <w:szCs w:val="24"/>
                <w:lang w:eastAsia="lv-LV"/>
              </w:rPr>
              <w:t>ašvaldības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kontroles dienesti</w:t>
            </w:r>
            <w:r w:rsidR="00B40612">
              <w:rPr>
                <w:rFonts w:eastAsia="Times New Roman"/>
                <w:sz w:val="24"/>
                <w:szCs w:val="24"/>
                <w:lang w:eastAsia="lv-LV"/>
              </w:rPr>
              <w:t>,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Valsts policija</w:t>
            </w:r>
            <w:r w:rsidR="00D34D55" w:rsidRPr="002922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9B3D2D" w:rsidRPr="0029220D" w:rsidTr="00E76C69">
        <w:trPr>
          <w:trHeight w:val="2723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D2D" w:rsidRPr="0029220D" w:rsidRDefault="009B3D2D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D2D" w:rsidRPr="0029220D" w:rsidRDefault="009B3D2D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shd w:val="clear" w:color="auto" w:fill="FFFFFF"/>
                <w:lang w:eastAsia="lv-LV"/>
              </w:rPr>
              <w:t>Projekta izpildes ietekme uz pārvaldes funkcijām un institucionālo struktūru.</w:t>
            </w:r>
          </w:p>
          <w:p w:rsidR="009B3D2D" w:rsidRPr="0029220D" w:rsidRDefault="009B3D2D" w:rsidP="00EB088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3D2D" w:rsidRDefault="009B3D2D" w:rsidP="00737D1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0E0DD1">
              <w:rPr>
                <w:rFonts w:eastAsia="Times New Roman"/>
                <w:sz w:val="24"/>
                <w:szCs w:val="24"/>
                <w:lang w:eastAsia="lv-LV"/>
              </w:rPr>
              <w:t>Projekta izpilde neietekmēs pārvaldes funkcijas.</w:t>
            </w:r>
          </w:p>
          <w:p w:rsidR="009B3D2D" w:rsidRPr="004F0579" w:rsidRDefault="009B3D2D" w:rsidP="00737D1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0E0DD1">
              <w:rPr>
                <w:rFonts w:eastAsia="Times New Roman"/>
                <w:sz w:val="24"/>
                <w:szCs w:val="24"/>
                <w:lang w:eastAsia="lv-LV"/>
              </w:rPr>
              <w:t>Projekta īstenošana tiks veikta esošo cilvēkresursu ietvaros. Saistībā ar Projekta izpildi nebūs nepieciešams veidot jaunas institūcijas vai likvidēt vai reorganizēt esošās. </w:t>
            </w:r>
          </w:p>
        </w:tc>
      </w:tr>
      <w:tr w:rsidR="002540F6" w:rsidRPr="0029220D" w:rsidTr="00E76C69">
        <w:trPr>
          <w:trHeight w:val="453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3</w:t>
            </w:r>
            <w:r w:rsidR="00DA5F33" w:rsidRPr="0029220D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  <w:r w:rsidR="00DA5F33" w:rsidRPr="002922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B95008" w:rsidRDefault="009B3D2D" w:rsidP="00EB0881">
      <w:pPr>
        <w:spacing w:line="240" w:lineRule="auto"/>
        <w:ind w:firstLine="0"/>
        <w:rPr>
          <w:sz w:val="24"/>
          <w:szCs w:val="24"/>
        </w:rPr>
      </w:pPr>
      <w:r w:rsidRPr="00205EB8">
        <w:rPr>
          <w:sz w:val="24"/>
          <w:szCs w:val="24"/>
        </w:rPr>
        <w:t>Anotācijas III, IV un V sadaļa – projekts šīs jomas neskar.</w:t>
      </w:r>
    </w:p>
    <w:p w:rsidR="001756C1" w:rsidRDefault="001756C1" w:rsidP="00EB0881">
      <w:pPr>
        <w:spacing w:line="240" w:lineRule="auto"/>
        <w:ind w:firstLine="0"/>
        <w:rPr>
          <w:sz w:val="24"/>
          <w:szCs w:val="24"/>
        </w:rPr>
      </w:pPr>
    </w:p>
    <w:p w:rsidR="009B3D2D" w:rsidRPr="0029220D" w:rsidRDefault="009B3D2D" w:rsidP="00EB0881">
      <w:pPr>
        <w:spacing w:line="240" w:lineRule="auto"/>
        <w:ind w:firstLine="0"/>
        <w:rPr>
          <w:sz w:val="24"/>
          <w:szCs w:val="24"/>
        </w:rPr>
      </w:pPr>
    </w:p>
    <w:p w:rsidR="003228D7" w:rsidRPr="0029220D" w:rsidRDefault="003228D7" w:rsidP="00EB0881">
      <w:pPr>
        <w:spacing w:line="240" w:lineRule="auto"/>
        <w:ind w:firstLine="0"/>
        <w:rPr>
          <w:sz w:val="24"/>
          <w:szCs w:val="24"/>
        </w:rPr>
      </w:pPr>
      <w:r w:rsidRPr="0029220D">
        <w:rPr>
          <w:sz w:val="24"/>
          <w:szCs w:val="24"/>
        </w:rPr>
        <w:t xml:space="preserve">Iesniedzējs: </w:t>
      </w:r>
    </w:p>
    <w:p w:rsidR="003228D7" w:rsidRPr="0029220D" w:rsidRDefault="003228D7" w:rsidP="00EB0881">
      <w:pPr>
        <w:spacing w:line="240" w:lineRule="auto"/>
        <w:ind w:firstLine="0"/>
        <w:rPr>
          <w:sz w:val="24"/>
          <w:szCs w:val="24"/>
        </w:rPr>
      </w:pPr>
      <w:r w:rsidRPr="0029220D">
        <w:rPr>
          <w:sz w:val="24"/>
          <w:szCs w:val="24"/>
        </w:rPr>
        <w:t>Satiksmes ministrs</w:t>
      </w:r>
      <w:r w:rsidRPr="0029220D">
        <w:rPr>
          <w:sz w:val="24"/>
          <w:szCs w:val="24"/>
        </w:rPr>
        <w:tab/>
      </w:r>
      <w:r w:rsidRPr="0029220D">
        <w:rPr>
          <w:sz w:val="24"/>
          <w:szCs w:val="24"/>
        </w:rPr>
        <w:tab/>
      </w:r>
      <w:r w:rsidRPr="0029220D">
        <w:rPr>
          <w:sz w:val="24"/>
          <w:szCs w:val="24"/>
        </w:rPr>
        <w:tab/>
      </w:r>
      <w:r w:rsidRPr="0029220D">
        <w:rPr>
          <w:sz w:val="24"/>
          <w:szCs w:val="24"/>
        </w:rPr>
        <w:tab/>
      </w:r>
      <w:r w:rsidRPr="0029220D">
        <w:rPr>
          <w:sz w:val="24"/>
          <w:szCs w:val="24"/>
        </w:rPr>
        <w:tab/>
      </w:r>
      <w:r w:rsidRPr="0029220D">
        <w:rPr>
          <w:sz w:val="24"/>
          <w:szCs w:val="24"/>
        </w:rPr>
        <w:tab/>
      </w:r>
      <w:r w:rsidRPr="0029220D">
        <w:rPr>
          <w:sz w:val="24"/>
          <w:szCs w:val="24"/>
        </w:rPr>
        <w:tab/>
      </w:r>
      <w:r w:rsidRPr="0029220D">
        <w:rPr>
          <w:sz w:val="24"/>
          <w:szCs w:val="24"/>
        </w:rPr>
        <w:tab/>
      </w:r>
      <w:r w:rsidRPr="0029220D">
        <w:rPr>
          <w:sz w:val="24"/>
          <w:szCs w:val="24"/>
        </w:rPr>
        <w:tab/>
      </w:r>
      <w:proofErr w:type="spellStart"/>
      <w:r w:rsidRPr="0029220D">
        <w:rPr>
          <w:sz w:val="24"/>
          <w:szCs w:val="24"/>
        </w:rPr>
        <w:t>U.Augulis</w:t>
      </w:r>
      <w:proofErr w:type="spellEnd"/>
    </w:p>
    <w:p w:rsidR="003228D7" w:rsidRPr="0029220D" w:rsidRDefault="003228D7" w:rsidP="00EB0881">
      <w:pPr>
        <w:spacing w:line="240" w:lineRule="auto"/>
        <w:ind w:firstLine="0"/>
        <w:rPr>
          <w:sz w:val="24"/>
          <w:szCs w:val="24"/>
        </w:rPr>
      </w:pPr>
    </w:p>
    <w:p w:rsidR="003228D7" w:rsidRPr="0029220D" w:rsidRDefault="003228D7" w:rsidP="00EB0881">
      <w:pPr>
        <w:spacing w:line="240" w:lineRule="auto"/>
        <w:ind w:firstLine="0"/>
        <w:rPr>
          <w:sz w:val="24"/>
          <w:szCs w:val="24"/>
        </w:rPr>
      </w:pPr>
    </w:p>
    <w:p w:rsidR="0089322A" w:rsidRPr="0029220D" w:rsidRDefault="0089322A" w:rsidP="00EB0881">
      <w:pPr>
        <w:spacing w:line="240" w:lineRule="auto"/>
        <w:ind w:firstLine="0"/>
        <w:rPr>
          <w:rFonts w:eastAsia="Times New Roman"/>
          <w:sz w:val="24"/>
          <w:szCs w:val="24"/>
          <w:lang w:eastAsia="lv-LV"/>
        </w:rPr>
      </w:pPr>
      <w:r w:rsidRPr="0029220D">
        <w:rPr>
          <w:rFonts w:eastAsia="Times New Roman"/>
          <w:sz w:val="24"/>
          <w:szCs w:val="24"/>
          <w:lang w:eastAsia="lv-LV"/>
        </w:rPr>
        <w:t xml:space="preserve">Vīza: Valsts sekretārs </w:t>
      </w:r>
      <w:r w:rsidRPr="0029220D">
        <w:rPr>
          <w:rFonts w:eastAsia="Times New Roman"/>
          <w:sz w:val="24"/>
          <w:szCs w:val="24"/>
          <w:lang w:eastAsia="lv-LV"/>
        </w:rPr>
        <w:tab/>
        <w:t xml:space="preserve">       </w:t>
      </w:r>
      <w:r w:rsidRPr="0029220D">
        <w:rPr>
          <w:rFonts w:eastAsia="Times New Roman"/>
          <w:sz w:val="24"/>
          <w:szCs w:val="24"/>
          <w:lang w:eastAsia="lv-LV"/>
        </w:rPr>
        <w:tab/>
      </w:r>
      <w:r w:rsidRPr="0029220D">
        <w:rPr>
          <w:rFonts w:eastAsia="Times New Roman"/>
          <w:sz w:val="24"/>
          <w:szCs w:val="24"/>
          <w:lang w:eastAsia="lv-LV"/>
        </w:rPr>
        <w:tab/>
      </w:r>
      <w:r w:rsidRPr="0029220D">
        <w:rPr>
          <w:rFonts w:eastAsia="Times New Roman"/>
          <w:sz w:val="24"/>
          <w:szCs w:val="24"/>
          <w:lang w:eastAsia="lv-LV"/>
        </w:rPr>
        <w:tab/>
      </w:r>
      <w:r w:rsidRPr="0029220D">
        <w:rPr>
          <w:rFonts w:eastAsia="Times New Roman"/>
          <w:sz w:val="24"/>
          <w:szCs w:val="24"/>
          <w:lang w:eastAsia="lv-LV"/>
        </w:rPr>
        <w:tab/>
      </w:r>
      <w:r w:rsidRPr="0029220D">
        <w:rPr>
          <w:rFonts w:eastAsia="Times New Roman"/>
          <w:sz w:val="24"/>
          <w:szCs w:val="24"/>
          <w:lang w:eastAsia="lv-LV"/>
        </w:rPr>
        <w:tab/>
      </w:r>
      <w:r w:rsidRPr="0029220D">
        <w:rPr>
          <w:rFonts w:eastAsia="Times New Roman"/>
          <w:sz w:val="24"/>
          <w:szCs w:val="24"/>
          <w:lang w:eastAsia="lv-LV"/>
        </w:rPr>
        <w:tab/>
      </w:r>
      <w:r w:rsidRPr="0029220D">
        <w:rPr>
          <w:rFonts w:eastAsia="Times New Roman"/>
          <w:sz w:val="24"/>
          <w:szCs w:val="24"/>
          <w:lang w:eastAsia="lv-LV"/>
        </w:rPr>
        <w:tab/>
      </w:r>
      <w:r w:rsidRPr="0029220D">
        <w:rPr>
          <w:rFonts w:eastAsia="Times New Roman"/>
          <w:sz w:val="24"/>
          <w:szCs w:val="24"/>
          <w:lang w:eastAsia="lv-LV"/>
        </w:rPr>
        <w:tab/>
        <w:t>K.Ozoliņš</w:t>
      </w:r>
    </w:p>
    <w:p w:rsidR="00E76C69" w:rsidRDefault="00E76C69" w:rsidP="00EB0881">
      <w:pPr>
        <w:pStyle w:val="Header"/>
        <w:spacing w:line="240" w:lineRule="auto"/>
        <w:ind w:firstLine="0"/>
        <w:rPr>
          <w:sz w:val="24"/>
          <w:szCs w:val="24"/>
          <w:lang w:val="lv-LV"/>
        </w:rPr>
      </w:pPr>
    </w:p>
    <w:p w:rsidR="00A6393A" w:rsidRPr="0029220D" w:rsidRDefault="00A6393A" w:rsidP="00EB0881">
      <w:pPr>
        <w:pStyle w:val="Header"/>
        <w:spacing w:line="240" w:lineRule="auto"/>
        <w:ind w:firstLine="0"/>
        <w:rPr>
          <w:sz w:val="24"/>
          <w:szCs w:val="24"/>
          <w:lang w:val="lv-LV"/>
        </w:rPr>
      </w:pPr>
    </w:p>
    <w:p w:rsidR="00ED7815" w:rsidRPr="0029220D" w:rsidRDefault="009B3D2D" w:rsidP="00EB088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26</w:t>
      </w:r>
      <w:r w:rsidR="000E3463" w:rsidRPr="0029220D">
        <w:rPr>
          <w:sz w:val="20"/>
          <w:szCs w:val="20"/>
        </w:rPr>
        <w:t>.0</w:t>
      </w:r>
      <w:r w:rsidR="00AC0AAB">
        <w:rPr>
          <w:sz w:val="20"/>
          <w:szCs w:val="20"/>
        </w:rPr>
        <w:t>9</w:t>
      </w:r>
      <w:r w:rsidR="006E43B0" w:rsidRPr="0029220D">
        <w:rPr>
          <w:sz w:val="20"/>
          <w:szCs w:val="20"/>
        </w:rPr>
        <w:t>.2016</w:t>
      </w:r>
      <w:r w:rsidR="00BC58FA">
        <w:rPr>
          <w:sz w:val="20"/>
          <w:szCs w:val="20"/>
        </w:rPr>
        <w:t>.</w:t>
      </w:r>
    </w:p>
    <w:p w:rsidR="00ED7815" w:rsidRPr="0029220D" w:rsidRDefault="009B3D2D" w:rsidP="00EB088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496</w:t>
      </w:r>
    </w:p>
    <w:p w:rsidR="00D9115A" w:rsidRPr="0029220D" w:rsidRDefault="00D34D55" w:rsidP="00EB0881">
      <w:pPr>
        <w:spacing w:line="240" w:lineRule="auto"/>
        <w:ind w:firstLine="0"/>
        <w:rPr>
          <w:sz w:val="20"/>
          <w:szCs w:val="20"/>
          <w:lang w:val="de-DE"/>
        </w:rPr>
      </w:pPr>
      <w:proofErr w:type="spellStart"/>
      <w:r w:rsidRPr="0029220D">
        <w:rPr>
          <w:sz w:val="20"/>
          <w:szCs w:val="20"/>
          <w:lang w:val="de-DE"/>
        </w:rPr>
        <w:t>Ž.Butāns</w:t>
      </w:r>
      <w:proofErr w:type="spellEnd"/>
      <w:r w:rsidRPr="0029220D">
        <w:rPr>
          <w:sz w:val="20"/>
          <w:szCs w:val="20"/>
          <w:lang w:val="de-DE"/>
        </w:rPr>
        <w:t>, 67028326</w:t>
      </w:r>
    </w:p>
    <w:p w:rsidR="00C70784" w:rsidRPr="0029220D" w:rsidRDefault="00B40612" w:rsidP="00EB0881">
      <w:pPr>
        <w:spacing w:line="240" w:lineRule="auto"/>
        <w:ind w:firstLine="0"/>
        <w:rPr>
          <w:sz w:val="20"/>
          <w:szCs w:val="20"/>
          <w:lang w:val="de-DE"/>
        </w:rPr>
      </w:pPr>
      <w:hyperlink r:id="rId8" w:history="1">
        <w:r w:rsidR="00BB6943" w:rsidRPr="0029220D">
          <w:rPr>
            <w:rStyle w:val="Hyperlink"/>
            <w:color w:val="auto"/>
            <w:sz w:val="20"/>
            <w:szCs w:val="20"/>
            <w:lang w:val="de-DE"/>
          </w:rPr>
          <w:t>Zans.Butans@sam.gov.lv</w:t>
        </w:r>
      </w:hyperlink>
      <w:r w:rsidR="00BB6943" w:rsidRPr="0029220D">
        <w:rPr>
          <w:sz w:val="20"/>
          <w:szCs w:val="20"/>
          <w:lang w:val="de-DE"/>
        </w:rPr>
        <w:t xml:space="preserve"> </w:t>
      </w:r>
    </w:p>
    <w:sectPr w:rsidR="00C70784" w:rsidRPr="0029220D" w:rsidSect="00E75E1C">
      <w:headerReference w:type="default" r:id="rId9"/>
      <w:footerReference w:type="default" r:id="rId10"/>
      <w:footerReference w:type="first" r:id="rId11"/>
      <w:pgSz w:w="11906" w:h="16838"/>
      <w:pgMar w:top="1021" w:right="1021" w:bottom="1021" w:left="1588" w:header="709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1B" w:rsidRDefault="00B63D1B" w:rsidP="00E65F54">
      <w:pPr>
        <w:spacing w:line="240" w:lineRule="auto"/>
      </w:pPr>
      <w:r>
        <w:separator/>
      </w:r>
    </w:p>
  </w:endnote>
  <w:endnote w:type="continuationSeparator" w:id="0">
    <w:p w:rsidR="00B63D1B" w:rsidRDefault="00B63D1B" w:rsidP="00E6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9D" w:rsidRPr="009C069D" w:rsidRDefault="009C069D" w:rsidP="009C069D">
    <w:pPr>
      <w:pStyle w:val="Header"/>
      <w:spacing w:line="240" w:lineRule="auto"/>
      <w:ind w:firstLine="0"/>
      <w:rPr>
        <w:sz w:val="20"/>
        <w:szCs w:val="20"/>
      </w:rPr>
    </w:pPr>
    <w:r w:rsidRPr="006E43B0">
      <w:rPr>
        <w:sz w:val="20"/>
        <w:szCs w:val="20"/>
      </w:rPr>
      <w:t>SAMAnot_</w:t>
    </w:r>
    <w:r w:rsidR="009B3D2D">
      <w:rPr>
        <w:sz w:val="20"/>
        <w:szCs w:val="20"/>
        <w:lang w:val="lv-LV"/>
      </w:rPr>
      <w:t>26</w:t>
    </w:r>
    <w:r>
      <w:rPr>
        <w:sz w:val="20"/>
        <w:szCs w:val="20"/>
      </w:rPr>
      <w:t>0</w:t>
    </w:r>
    <w:r w:rsidR="00AC0AAB">
      <w:rPr>
        <w:sz w:val="20"/>
        <w:szCs w:val="20"/>
        <w:lang w:val="lv-LV"/>
      </w:rPr>
      <w:t>9</w:t>
    </w:r>
    <w:r w:rsidRPr="009C069D">
      <w:rPr>
        <w:sz w:val="20"/>
        <w:szCs w:val="20"/>
      </w:rPr>
      <w:t>16</w:t>
    </w:r>
    <w:r w:rsidRPr="006E43B0">
      <w:rPr>
        <w:sz w:val="20"/>
        <w:szCs w:val="20"/>
      </w:rPr>
      <w:t>_</w:t>
    </w:r>
    <w:r>
      <w:rPr>
        <w:sz w:val="20"/>
        <w:szCs w:val="20"/>
        <w:lang w:val="lv-LV"/>
      </w:rPr>
      <w:t>411</w:t>
    </w:r>
    <w:r w:rsidRPr="009C069D">
      <w:rPr>
        <w:sz w:val="20"/>
        <w:szCs w:val="20"/>
      </w:rPr>
      <w:t>; Ministru kabineta noteikumu projekta “Grozījumi Ministru kabineta 2011.gada 24.maija noteikumos Nr.411 “Autopārvadājumu kontroles organizēšanas un īstenošanas kārtība”” sākotnējās ietekmes novērtējuma ziņojums (anotācija)</w:t>
    </w:r>
  </w:p>
  <w:p w:rsidR="004404A8" w:rsidRPr="004404A8" w:rsidRDefault="004404A8" w:rsidP="004404A8">
    <w:pPr>
      <w:pStyle w:val="Header"/>
      <w:spacing w:line="240" w:lineRule="auto"/>
      <w:ind w:firstLine="0"/>
      <w:jc w:val="center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A8" w:rsidRPr="009C069D" w:rsidRDefault="0073691D" w:rsidP="00CE0D9B">
    <w:pPr>
      <w:pStyle w:val="Header"/>
      <w:spacing w:line="240" w:lineRule="auto"/>
      <w:ind w:firstLine="0"/>
      <w:rPr>
        <w:sz w:val="20"/>
        <w:szCs w:val="20"/>
      </w:rPr>
    </w:pPr>
    <w:r w:rsidRPr="006E43B0">
      <w:rPr>
        <w:sz w:val="20"/>
        <w:szCs w:val="20"/>
      </w:rPr>
      <w:t>SAMAnot_</w:t>
    </w:r>
    <w:r w:rsidR="009B3D2D">
      <w:rPr>
        <w:sz w:val="20"/>
        <w:szCs w:val="20"/>
        <w:lang w:val="lv-LV"/>
      </w:rPr>
      <w:t>26</w:t>
    </w:r>
    <w:r w:rsidR="009C069D">
      <w:rPr>
        <w:sz w:val="20"/>
        <w:szCs w:val="20"/>
      </w:rPr>
      <w:t>0</w:t>
    </w:r>
    <w:r w:rsidR="00AC0AAB">
      <w:rPr>
        <w:sz w:val="20"/>
        <w:szCs w:val="20"/>
        <w:lang w:val="lv-LV"/>
      </w:rPr>
      <w:t>9</w:t>
    </w:r>
    <w:r w:rsidRPr="009C069D">
      <w:rPr>
        <w:sz w:val="20"/>
        <w:szCs w:val="20"/>
      </w:rPr>
      <w:t>16</w:t>
    </w:r>
    <w:r w:rsidRPr="006E43B0">
      <w:rPr>
        <w:sz w:val="20"/>
        <w:szCs w:val="20"/>
      </w:rPr>
      <w:t>_</w:t>
    </w:r>
    <w:r w:rsidR="009C069D">
      <w:rPr>
        <w:sz w:val="20"/>
        <w:szCs w:val="20"/>
        <w:lang w:val="lv-LV"/>
      </w:rPr>
      <w:t>411</w:t>
    </w:r>
    <w:r w:rsidRPr="009C069D">
      <w:rPr>
        <w:sz w:val="20"/>
        <w:szCs w:val="20"/>
      </w:rPr>
      <w:t xml:space="preserve">; </w:t>
    </w:r>
    <w:r w:rsidR="009C069D" w:rsidRPr="009C069D">
      <w:rPr>
        <w:sz w:val="20"/>
        <w:szCs w:val="20"/>
      </w:rPr>
      <w:t>Ministru kabineta noteikumu projekta “Grozījumi Ministru kabineta 2011.gada 24.maija noteikumos Nr.411 “Autopārvadājumu kontroles organizēšanas un īstenošanas kārtība”” sākotnējās ietekmes novērtējuma ziņojums (anotācija)</w:t>
    </w:r>
  </w:p>
  <w:p w:rsidR="008D49A8" w:rsidRDefault="008D49A8" w:rsidP="002233D1">
    <w:pPr>
      <w:pStyle w:val="Footer"/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1B" w:rsidRDefault="00B63D1B" w:rsidP="00E65F54">
      <w:pPr>
        <w:spacing w:line="240" w:lineRule="auto"/>
      </w:pPr>
      <w:r>
        <w:separator/>
      </w:r>
    </w:p>
  </w:footnote>
  <w:footnote w:type="continuationSeparator" w:id="0">
    <w:p w:rsidR="00B63D1B" w:rsidRDefault="00B63D1B" w:rsidP="00E6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A8" w:rsidRPr="00EC3264" w:rsidRDefault="008D49A8" w:rsidP="0047322B">
    <w:pPr>
      <w:pStyle w:val="Header"/>
      <w:ind w:firstLine="0"/>
      <w:jc w:val="center"/>
      <w:rPr>
        <w:sz w:val="24"/>
        <w:szCs w:val="24"/>
      </w:rPr>
    </w:pPr>
    <w:r w:rsidRPr="00EC3264">
      <w:rPr>
        <w:sz w:val="24"/>
        <w:szCs w:val="24"/>
      </w:rPr>
      <w:fldChar w:fldCharType="begin"/>
    </w:r>
    <w:r w:rsidRPr="00EC3264">
      <w:rPr>
        <w:sz w:val="24"/>
        <w:szCs w:val="24"/>
      </w:rPr>
      <w:instrText xml:space="preserve"> PAGE   \* MERGEFORMAT </w:instrText>
    </w:r>
    <w:r w:rsidRPr="00EC3264">
      <w:rPr>
        <w:sz w:val="24"/>
        <w:szCs w:val="24"/>
      </w:rPr>
      <w:fldChar w:fldCharType="separate"/>
    </w:r>
    <w:r w:rsidR="00B40612">
      <w:rPr>
        <w:noProof/>
        <w:sz w:val="24"/>
        <w:szCs w:val="24"/>
      </w:rPr>
      <w:t>2</w:t>
    </w:r>
    <w:r w:rsidRPr="00EC3264">
      <w:rPr>
        <w:sz w:val="24"/>
        <w:szCs w:val="24"/>
      </w:rPr>
      <w:fldChar w:fldCharType="end"/>
    </w:r>
  </w:p>
  <w:p w:rsidR="008D49A8" w:rsidRDefault="008D4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8BC"/>
    <w:multiLevelType w:val="hybridMultilevel"/>
    <w:tmpl w:val="9452B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1CF1"/>
    <w:multiLevelType w:val="hybridMultilevel"/>
    <w:tmpl w:val="0E02C492"/>
    <w:lvl w:ilvl="0" w:tplc="11BCB52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85B9E"/>
    <w:multiLevelType w:val="hybridMultilevel"/>
    <w:tmpl w:val="A32AEDC8"/>
    <w:lvl w:ilvl="0" w:tplc="D388A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C6A13"/>
    <w:multiLevelType w:val="hybridMultilevel"/>
    <w:tmpl w:val="D30CFACA"/>
    <w:lvl w:ilvl="0" w:tplc="A52C0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614846"/>
    <w:multiLevelType w:val="hybridMultilevel"/>
    <w:tmpl w:val="A32AEDC8"/>
    <w:lvl w:ilvl="0" w:tplc="D388A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70F1B"/>
    <w:multiLevelType w:val="hybridMultilevel"/>
    <w:tmpl w:val="1A1ABA70"/>
    <w:lvl w:ilvl="0" w:tplc="FE5A8DE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7" w:hanging="360"/>
      </w:pPr>
    </w:lvl>
    <w:lvl w:ilvl="2" w:tplc="0426001B" w:tentative="1">
      <w:start w:val="1"/>
      <w:numFmt w:val="lowerRoman"/>
      <w:lvlText w:val="%3."/>
      <w:lvlJc w:val="right"/>
      <w:pPr>
        <w:ind w:left="1517" w:hanging="180"/>
      </w:pPr>
    </w:lvl>
    <w:lvl w:ilvl="3" w:tplc="0426000F" w:tentative="1">
      <w:start w:val="1"/>
      <w:numFmt w:val="decimal"/>
      <w:lvlText w:val="%4."/>
      <w:lvlJc w:val="left"/>
      <w:pPr>
        <w:ind w:left="2237" w:hanging="360"/>
      </w:pPr>
    </w:lvl>
    <w:lvl w:ilvl="4" w:tplc="04260019" w:tentative="1">
      <w:start w:val="1"/>
      <w:numFmt w:val="lowerLetter"/>
      <w:lvlText w:val="%5."/>
      <w:lvlJc w:val="left"/>
      <w:pPr>
        <w:ind w:left="2957" w:hanging="360"/>
      </w:pPr>
    </w:lvl>
    <w:lvl w:ilvl="5" w:tplc="0426001B" w:tentative="1">
      <w:start w:val="1"/>
      <w:numFmt w:val="lowerRoman"/>
      <w:lvlText w:val="%6."/>
      <w:lvlJc w:val="right"/>
      <w:pPr>
        <w:ind w:left="3677" w:hanging="180"/>
      </w:pPr>
    </w:lvl>
    <w:lvl w:ilvl="6" w:tplc="0426000F" w:tentative="1">
      <w:start w:val="1"/>
      <w:numFmt w:val="decimal"/>
      <w:lvlText w:val="%7."/>
      <w:lvlJc w:val="left"/>
      <w:pPr>
        <w:ind w:left="4397" w:hanging="360"/>
      </w:pPr>
    </w:lvl>
    <w:lvl w:ilvl="7" w:tplc="04260019" w:tentative="1">
      <w:start w:val="1"/>
      <w:numFmt w:val="lowerLetter"/>
      <w:lvlText w:val="%8."/>
      <w:lvlJc w:val="left"/>
      <w:pPr>
        <w:ind w:left="5117" w:hanging="360"/>
      </w:pPr>
    </w:lvl>
    <w:lvl w:ilvl="8" w:tplc="042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420925ED"/>
    <w:multiLevelType w:val="hybridMultilevel"/>
    <w:tmpl w:val="EC145F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B19C2"/>
    <w:multiLevelType w:val="hybridMultilevel"/>
    <w:tmpl w:val="AFD64B82"/>
    <w:lvl w:ilvl="0" w:tplc="84620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C11EC1"/>
    <w:multiLevelType w:val="hybridMultilevel"/>
    <w:tmpl w:val="F3F256A6"/>
    <w:lvl w:ilvl="0" w:tplc="25601BAC">
      <w:start w:val="2009"/>
      <w:numFmt w:val="bullet"/>
      <w:lvlText w:val="-"/>
      <w:lvlJc w:val="left"/>
      <w:pPr>
        <w:ind w:left="720" w:hanging="360"/>
      </w:pPr>
      <w:rPr>
        <w:rFonts w:ascii="EUAlbertina" w:eastAsia="Times New Roman" w:hAnsi="EUAlbertina" w:cs="EUAlbertina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ze Brice">
    <w15:presenceInfo w15:providerId="AD" w15:userId="S-1-5-21-2347098994-292127957-656167012-1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BE"/>
    <w:rsid w:val="000030CF"/>
    <w:rsid w:val="00006479"/>
    <w:rsid w:val="00007AB0"/>
    <w:rsid w:val="00010EA0"/>
    <w:rsid w:val="0001156F"/>
    <w:rsid w:val="000128E5"/>
    <w:rsid w:val="00013332"/>
    <w:rsid w:val="00015C0B"/>
    <w:rsid w:val="000210ED"/>
    <w:rsid w:val="000243D2"/>
    <w:rsid w:val="00032250"/>
    <w:rsid w:val="00033D5F"/>
    <w:rsid w:val="0003719C"/>
    <w:rsid w:val="00037F23"/>
    <w:rsid w:val="00040956"/>
    <w:rsid w:val="00042C13"/>
    <w:rsid w:val="0004524B"/>
    <w:rsid w:val="00046838"/>
    <w:rsid w:val="0005496F"/>
    <w:rsid w:val="00057BDD"/>
    <w:rsid w:val="000644D9"/>
    <w:rsid w:val="00065316"/>
    <w:rsid w:val="0007035E"/>
    <w:rsid w:val="00072B33"/>
    <w:rsid w:val="000731CA"/>
    <w:rsid w:val="000811EA"/>
    <w:rsid w:val="000811EB"/>
    <w:rsid w:val="000817E8"/>
    <w:rsid w:val="00082546"/>
    <w:rsid w:val="000871D1"/>
    <w:rsid w:val="00091C3F"/>
    <w:rsid w:val="00092521"/>
    <w:rsid w:val="00094458"/>
    <w:rsid w:val="0009792C"/>
    <w:rsid w:val="000B7125"/>
    <w:rsid w:val="000B7137"/>
    <w:rsid w:val="000B73D9"/>
    <w:rsid w:val="000C0933"/>
    <w:rsid w:val="000C0A47"/>
    <w:rsid w:val="000C6F5D"/>
    <w:rsid w:val="000D7A85"/>
    <w:rsid w:val="000E2ACD"/>
    <w:rsid w:val="000E3463"/>
    <w:rsid w:val="000E4244"/>
    <w:rsid w:val="000E65C2"/>
    <w:rsid w:val="000F18CF"/>
    <w:rsid w:val="000F4276"/>
    <w:rsid w:val="00100A62"/>
    <w:rsid w:val="00103B16"/>
    <w:rsid w:val="00104DA1"/>
    <w:rsid w:val="00106E68"/>
    <w:rsid w:val="00113F71"/>
    <w:rsid w:val="00120400"/>
    <w:rsid w:val="00132665"/>
    <w:rsid w:val="0013713D"/>
    <w:rsid w:val="00137889"/>
    <w:rsid w:val="00144578"/>
    <w:rsid w:val="00153721"/>
    <w:rsid w:val="00154BD3"/>
    <w:rsid w:val="001565BE"/>
    <w:rsid w:val="00167D64"/>
    <w:rsid w:val="001756C1"/>
    <w:rsid w:val="0017730B"/>
    <w:rsid w:val="001821D5"/>
    <w:rsid w:val="001844CC"/>
    <w:rsid w:val="00194540"/>
    <w:rsid w:val="00196E92"/>
    <w:rsid w:val="001A6267"/>
    <w:rsid w:val="001B2758"/>
    <w:rsid w:val="001B46BB"/>
    <w:rsid w:val="001C22EA"/>
    <w:rsid w:val="001C43A8"/>
    <w:rsid w:val="001C45B4"/>
    <w:rsid w:val="001C5087"/>
    <w:rsid w:val="001C622E"/>
    <w:rsid w:val="001C7DE8"/>
    <w:rsid w:val="001D35B7"/>
    <w:rsid w:val="001D4D97"/>
    <w:rsid w:val="001E2C99"/>
    <w:rsid w:val="001E685A"/>
    <w:rsid w:val="001E6D57"/>
    <w:rsid w:val="001F4FE8"/>
    <w:rsid w:val="001F6E1F"/>
    <w:rsid w:val="00200A42"/>
    <w:rsid w:val="00200D00"/>
    <w:rsid w:val="002037EC"/>
    <w:rsid w:val="0020543F"/>
    <w:rsid w:val="0020589F"/>
    <w:rsid w:val="00205EB8"/>
    <w:rsid w:val="00206099"/>
    <w:rsid w:val="00212ED9"/>
    <w:rsid w:val="00215002"/>
    <w:rsid w:val="00215E13"/>
    <w:rsid w:val="00217B63"/>
    <w:rsid w:val="00217BF3"/>
    <w:rsid w:val="002214EB"/>
    <w:rsid w:val="002233D1"/>
    <w:rsid w:val="00223621"/>
    <w:rsid w:val="00227D24"/>
    <w:rsid w:val="002303FF"/>
    <w:rsid w:val="002333FB"/>
    <w:rsid w:val="00234574"/>
    <w:rsid w:val="00235F3B"/>
    <w:rsid w:val="00242995"/>
    <w:rsid w:val="002431F8"/>
    <w:rsid w:val="002466F7"/>
    <w:rsid w:val="00250B33"/>
    <w:rsid w:val="002540F6"/>
    <w:rsid w:val="00254547"/>
    <w:rsid w:val="00254AAA"/>
    <w:rsid w:val="00254E6C"/>
    <w:rsid w:val="00261B2A"/>
    <w:rsid w:val="00262925"/>
    <w:rsid w:val="00263A8B"/>
    <w:rsid w:val="00265844"/>
    <w:rsid w:val="0027189F"/>
    <w:rsid w:val="00273D03"/>
    <w:rsid w:val="002747E2"/>
    <w:rsid w:val="002809D5"/>
    <w:rsid w:val="00282B1B"/>
    <w:rsid w:val="00283578"/>
    <w:rsid w:val="002837AD"/>
    <w:rsid w:val="002851C8"/>
    <w:rsid w:val="00290F63"/>
    <w:rsid w:val="0029220D"/>
    <w:rsid w:val="00295637"/>
    <w:rsid w:val="00296A71"/>
    <w:rsid w:val="002A1834"/>
    <w:rsid w:val="002A2DD8"/>
    <w:rsid w:val="002A469E"/>
    <w:rsid w:val="002A7BF3"/>
    <w:rsid w:val="002A7F33"/>
    <w:rsid w:val="002B51C7"/>
    <w:rsid w:val="002B6AB8"/>
    <w:rsid w:val="002C009C"/>
    <w:rsid w:val="002C0F60"/>
    <w:rsid w:val="002C5EB8"/>
    <w:rsid w:val="002C6400"/>
    <w:rsid w:val="002D15A8"/>
    <w:rsid w:val="002D2B96"/>
    <w:rsid w:val="002D728B"/>
    <w:rsid w:val="002E1768"/>
    <w:rsid w:val="002E3B98"/>
    <w:rsid w:val="002E455A"/>
    <w:rsid w:val="002E61AA"/>
    <w:rsid w:val="002F07D2"/>
    <w:rsid w:val="002F0B7B"/>
    <w:rsid w:val="002F6A56"/>
    <w:rsid w:val="00300778"/>
    <w:rsid w:val="0030455F"/>
    <w:rsid w:val="00304890"/>
    <w:rsid w:val="00306EE9"/>
    <w:rsid w:val="00307249"/>
    <w:rsid w:val="003145B5"/>
    <w:rsid w:val="003228D7"/>
    <w:rsid w:val="00327496"/>
    <w:rsid w:val="00332E7D"/>
    <w:rsid w:val="0033385E"/>
    <w:rsid w:val="0033460F"/>
    <w:rsid w:val="00336770"/>
    <w:rsid w:val="003374B6"/>
    <w:rsid w:val="00337AF8"/>
    <w:rsid w:val="0034130D"/>
    <w:rsid w:val="003421DD"/>
    <w:rsid w:val="00344EA8"/>
    <w:rsid w:val="00351BE5"/>
    <w:rsid w:val="0035270E"/>
    <w:rsid w:val="00354129"/>
    <w:rsid w:val="0035438C"/>
    <w:rsid w:val="00356A8C"/>
    <w:rsid w:val="003619F2"/>
    <w:rsid w:val="00367BBE"/>
    <w:rsid w:val="00370CD2"/>
    <w:rsid w:val="00372F5B"/>
    <w:rsid w:val="003736FD"/>
    <w:rsid w:val="0037399C"/>
    <w:rsid w:val="00375B87"/>
    <w:rsid w:val="003762F4"/>
    <w:rsid w:val="00380F3D"/>
    <w:rsid w:val="0038149B"/>
    <w:rsid w:val="003826E8"/>
    <w:rsid w:val="00384EAD"/>
    <w:rsid w:val="003909D9"/>
    <w:rsid w:val="00394245"/>
    <w:rsid w:val="00397388"/>
    <w:rsid w:val="003A031D"/>
    <w:rsid w:val="003A6B56"/>
    <w:rsid w:val="003B2948"/>
    <w:rsid w:val="003B3844"/>
    <w:rsid w:val="003B3C1D"/>
    <w:rsid w:val="003B45E7"/>
    <w:rsid w:val="003C121F"/>
    <w:rsid w:val="003C6EA6"/>
    <w:rsid w:val="003C7316"/>
    <w:rsid w:val="003D297A"/>
    <w:rsid w:val="003D3728"/>
    <w:rsid w:val="003E0CDA"/>
    <w:rsid w:val="003E307C"/>
    <w:rsid w:val="003E3B79"/>
    <w:rsid w:val="003E602E"/>
    <w:rsid w:val="003E68F2"/>
    <w:rsid w:val="003F1D89"/>
    <w:rsid w:val="003F2380"/>
    <w:rsid w:val="003F4D96"/>
    <w:rsid w:val="003F4ED0"/>
    <w:rsid w:val="00406E66"/>
    <w:rsid w:val="00410D4D"/>
    <w:rsid w:val="0041464B"/>
    <w:rsid w:val="00415BF6"/>
    <w:rsid w:val="00416B05"/>
    <w:rsid w:val="0041753B"/>
    <w:rsid w:val="00417C06"/>
    <w:rsid w:val="00420397"/>
    <w:rsid w:val="00421370"/>
    <w:rsid w:val="00421A23"/>
    <w:rsid w:val="0042467D"/>
    <w:rsid w:val="00431AE8"/>
    <w:rsid w:val="004326C0"/>
    <w:rsid w:val="004371C5"/>
    <w:rsid w:val="004404A8"/>
    <w:rsid w:val="00442FDA"/>
    <w:rsid w:val="004440D0"/>
    <w:rsid w:val="00445038"/>
    <w:rsid w:val="0044594E"/>
    <w:rsid w:val="0044656D"/>
    <w:rsid w:val="00447B00"/>
    <w:rsid w:val="00451C61"/>
    <w:rsid w:val="00454938"/>
    <w:rsid w:val="00461A29"/>
    <w:rsid w:val="00465D49"/>
    <w:rsid w:val="00466EF2"/>
    <w:rsid w:val="00470868"/>
    <w:rsid w:val="00472466"/>
    <w:rsid w:val="0047322B"/>
    <w:rsid w:val="004841AD"/>
    <w:rsid w:val="004845B5"/>
    <w:rsid w:val="00485803"/>
    <w:rsid w:val="004871FD"/>
    <w:rsid w:val="00490361"/>
    <w:rsid w:val="004912C2"/>
    <w:rsid w:val="004915D7"/>
    <w:rsid w:val="00497727"/>
    <w:rsid w:val="00497897"/>
    <w:rsid w:val="004A018D"/>
    <w:rsid w:val="004A3F9E"/>
    <w:rsid w:val="004A4E04"/>
    <w:rsid w:val="004B14CA"/>
    <w:rsid w:val="004C296D"/>
    <w:rsid w:val="004C7023"/>
    <w:rsid w:val="004D4E32"/>
    <w:rsid w:val="004D7D18"/>
    <w:rsid w:val="004E361D"/>
    <w:rsid w:val="004F0579"/>
    <w:rsid w:val="004F1323"/>
    <w:rsid w:val="004F28B8"/>
    <w:rsid w:val="004F4EAC"/>
    <w:rsid w:val="004F588E"/>
    <w:rsid w:val="004F65D4"/>
    <w:rsid w:val="004F660C"/>
    <w:rsid w:val="005039DC"/>
    <w:rsid w:val="005041E5"/>
    <w:rsid w:val="0051025E"/>
    <w:rsid w:val="00511577"/>
    <w:rsid w:val="00516FF1"/>
    <w:rsid w:val="00522578"/>
    <w:rsid w:val="005233DD"/>
    <w:rsid w:val="00524009"/>
    <w:rsid w:val="0052568E"/>
    <w:rsid w:val="00526B88"/>
    <w:rsid w:val="00530ADF"/>
    <w:rsid w:val="00530FB0"/>
    <w:rsid w:val="0053226D"/>
    <w:rsid w:val="0053423A"/>
    <w:rsid w:val="00536A82"/>
    <w:rsid w:val="0053723B"/>
    <w:rsid w:val="00537C34"/>
    <w:rsid w:val="00543626"/>
    <w:rsid w:val="00546A6C"/>
    <w:rsid w:val="005471B7"/>
    <w:rsid w:val="0055456B"/>
    <w:rsid w:val="00555AEB"/>
    <w:rsid w:val="00556218"/>
    <w:rsid w:val="00560DB5"/>
    <w:rsid w:val="00561401"/>
    <w:rsid w:val="005617B7"/>
    <w:rsid w:val="00565A60"/>
    <w:rsid w:val="005673AF"/>
    <w:rsid w:val="005735CF"/>
    <w:rsid w:val="00575883"/>
    <w:rsid w:val="00576EE3"/>
    <w:rsid w:val="00577110"/>
    <w:rsid w:val="00577F34"/>
    <w:rsid w:val="0058026D"/>
    <w:rsid w:val="0058192B"/>
    <w:rsid w:val="00585852"/>
    <w:rsid w:val="00592BE9"/>
    <w:rsid w:val="005932EF"/>
    <w:rsid w:val="005949C4"/>
    <w:rsid w:val="005A0227"/>
    <w:rsid w:val="005A0CBE"/>
    <w:rsid w:val="005A7805"/>
    <w:rsid w:val="005B4A6C"/>
    <w:rsid w:val="005B7EFB"/>
    <w:rsid w:val="005C2A2A"/>
    <w:rsid w:val="005D74D9"/>
    <w:rsid w:val="005E44FB"/>
    <w:rsid w:val="005E5719"/>
    <w:rsid w:val="005F687C"/>
    <w:rsid w:val="0060264C"/>
    <w:rsid w:val="00603695"/>
    <w:rsid w:val="00604FB9"/>
    <w:rsid w:val="0060734C"/>
    <w:rsid w:val="00610D38"/>
    <w:rsid w:val="00611E43"/>
    <w:rsid w:val="006156A2"/>
    <w:rsid w:val="00615B28"/>
    <w:rsid w:val="00617949"/>
    <w:rsid w:val="006220E9"/>
    <w:rsid w:val="00624F74"/>
    <w:rsid w:val="006317B0"/>
    <w:rsid w:val="00640BDB"/>
    <w:rsid w:val="00641EC6"/>
    <w:rsid w:val="00654B07"/>
    <w:rsid w:val="00655313"/>
    <w:rsid w:val="0065770B"/>
    <w:rsid w:val="00660076"/>
    <w:rsid w:val="006617C1"/>
    <w:rsid w:val="0066319E"/>
    <w:rsid w:val="00663D05"/>
    <w:rsid w:val="00663FA7"/>
    <w:rsid w:val="006645D4"/>
    <w:rsid w:val="00664D98"/>
    <w:rsid w:val="00667B73"/>
    <w:rsid w:val="00671245"/>
    <w:rsid w:val="00674DAF"/>
    <w:rsid w:val="00676582"/>
    <w:rsid w:val="00681A6F"/>
    <w:rsid w:val="00690C83"/>
    <w:rsid w:val="00690C9F"/>
    <w:rsid w:val="00691740"/>
    <w:rsid w:val="006917EE"/>
    <w:rsid w:val="0069642A"/>
    <w:rsid w:val="006A384F"/>
    <w:rsid w:val="006A49EB"/>
    <w:rsid w:val="006B266A"/>
    <w:rsid w:val="006C6148"/>
    <w:rsid w:val="006D6063"/>
    <w:rsid w:val="006D731E"/>
    <w:rsid w:val="006E0766"/>
    <w:rsid w:val="006E3E1A"/>
    <w:rsid w:val="006E43B0"/>
    <w:rsid w:val="006F2B79"/>
    <w:rsid w:val="006F3D21"/>
    <w:rsid w:val="007013E3"/>
    <w:rsid w:val="00705240"/>
    <w:rsid w:val="007100D7"/>
    <w:rsid w:val="00716594"/>
    <w:rsid w:val="00721B24"/>
    <w:rsid w:val="00730838"/>
    <w:rsid w:val="00730FCA"/>
    <w:rsid w:val="007311AC"/>
    <w:rsid w:val="00731329"/>
    <w:rsid w:val="007313E9"/>
    <w:rsid w:val="0073167E"/>
    <w:rsid w:val="007319CE"/>
    <w:rsid w:val="007323E8"/>
    <w:rsid w:val="0073691D"/>
    <w:rsid w:val="00742BBC"/>
    <w:rsid w:val="007521C4"/>
    <w:rsid w:val="00752546"/>
    <w:rsid w:val="00752DE7"/>
    <w:rsid w:val="00755FD8"/>
    <w:rsid w:val="00757000"/>
    <w:rsid w:val="00760E39"/>
    <w:rsid w:val="00761F47"/>
    <w:rsid w:val="007670B6"/>
    <w:rsid w:val="00767A00"/>
    <w:rsid w:val="00772BFD"/>
    <w:rsid w:val="007749B3"/>
    <w:rsid w:val="007869C6"/>
    <w:rsid w:val="00790A91"/>
    <w:rsid w:val="00792FC8"/>
    <w:rsid w:val="00793312"/>
    <w:rsid w:val="007972DF"/>
    <w:rsid w:val="00797874"/>
    <w:rsid w:val="007A3A6B"/>
    <w:rsid w:val="007A47F0"/>
    <w:rsid w:val="007A5EC4"/>
    <w:rsid w:val="007B1107"/>
    <w:rsid w:val="007B3FBD"/>
    <w:rsid w:val="007C60A2"/>
    <w:rsid w:val="007D25E0"/>
    <w:rsid w:val="007D2BD8"/>
    <w:rsid w:val="007D3BDD"/>
    <w:rsid w:val="007D436B"/>
    <w:rsid w:val="007D6C45"/>
    <w:rsid w:val="007D72A7"/>
    <w:rsid w:val="007E584B"/>
    <w:rsid w:val="007E7B2C"/>
    <w:rsid w:val="007F13ED"/>
    <w:rsid w:val="007F24E7"/>
    <w:rsid w:val="007F6E77"/>
    <w:rsid w:val="007F72DB"/>
    <w:rsid w:val="0080047B"/>
    <w:rsid w:val="008054E3"/>
    <w:rsid w:val="008057EB"/>
    <w:rsid w:val="00813249"/>
    <w:rsid w:val="00822C66"/>
    <w:rsid w:val="00824E89"/>
    <w:rsid w:val="008348EB"/>
    <w:rsid w:val="00850835"/>
    <w:rsid w:val="00851025"/>
    <w:rsid w:val="00852D5C"/>
    <w:rsid w:val="0085373E"/>
    <w:rsid w:val="00862725"/>
    <w:rsid w:val="008655A1"/>
    <w:rsid w:val="008738A7"/>
    <w:rsid w:val="008775A9"/>
    <w:rsid w:val="0089232A"/>
    <w:rsid w:val="008928B8"/>
    <w:rsid w:val="0089322A"/>
    <w:rsid w:val="008953D8"/>
    <w:rsid w:val="008977AB"/>
    <w:rsid w:val="008A2811"/>
    <w:rsid w:val="008A4766"/>
    <w:rsid w:val="008A67C3"/>
    <w:rsid w:val="008B6754"/>
    <w:rsid w:val="008B7EC5"/>
    <w:rsid w:val="008D49A8"/>
    <w:rsid w:val="008D4DE2"/>
    <w:rsid w:val="008D6AB8"/>
    <w:rsid w:val="008E4E9E"/>
    <w:rsid w:val="008E68B0"/>
    <w:rsid w:val="008F5B48"/>
    <w:rsid w:val="00902794"/>
    <w:rsid w:val="00903C74"/>
    <w:rsid w:val="009106B5"/>
    <w:rsid w:val="00914EFB"/>
    <w:rsid w:val="00916A24"/>
    <w:rsid w:val="00922598"/>
    <w:rsid w:val="00926532"/>
    <w:rsid w:val="009275DC"/>
    <w:rsid w:val="00931E20"/>
    <w:rsid w:val="0093215D"/>
    <w:rsid w:val="0093386C"/>
    <w:rsid w:val="00935D6F"/>
    <w:rsid w:val="00935D89"/>
    <w:rsid w:val="009408B0"/>
    <w:rsid w:val="00942126"/>
    <w:rsid w:val="00942893"/>
    <w:rsid w:val="00943212"/>
    <w:rsid w:val="00943543"/>
    <w:rsid w:val="00946CDB"/>
    <w:rsid w:val="0094736D"/>
    <w:rsid w:val="009521B0"/>
    <w:rsid w:val="00952205"/>
    <w:rsid w:val="00952457"/>
    <w:rsid w:val="00953537"/>
    <w:rsid w:val="00953C84"/>
    <w:rsid w:val="009676F1"/>
    <w:rsid w:val="009701EF"/>
    <w:rsid w:val="009704D9"/>
    <w:rsid w:val="00974550"/>
    <w:rsid w:val="0097625F"/>
    <w:rsid w:val="00982781"/>
    <w:rsid w:val="00982C07"/>
    <w:rsid w:val="00986FAE"/>
    <w:rsid w:val="009936D0"/>
    <w:rsid w:val="00993BE7"/>
    <w:rsid w:val="009A1558"/>
    <w:rsid w:val="009A1CEF"/>
    <w:rsid w:val="009A4122"/>
    <w:rsid w:val="009A778F"/>
    <w:rsid w:val="009B1CB5"/>
    <w:rsid w:val="009B3D2D"/>
    <w:rsid w:val="009B5208"/>
    <w:rsid w:val="009B5923"/>
    <w:rsid w:val="009B7682"/>
    <w:rsid w:val="009C069D"/>
    <w:rsid w:val="009C6045"/>
    <w:rsid w:val="009C7F10"/>
    <w:rsid w:val="009D46CC"/>
    <w:rsid w:val="009D69C0"/>
    <w:rsid w:val="009D7082"/>
    <w:rsid w:val="009E03C2"/>
    <w:rsid w:val="009E101E"/>
    <w:rsid w:val="009E19D5"/>
    <w:rsid w:val="009E3D75"/>
    <w:rsid w:val="009F18C2"/>
    <w:rsid w:val="009F4147"/>
    <w:rsid w:val="009F7B02"/>
    <w:rsid w:val="00A019F3"/>
    <w:rsid w:val="00A058C7"/>
    <w:rsid w:val="00A05F81"/>
    <w:rsid w:val="00A11733"/>
    <w:rsid w:val="00A12482"/>
    <w:rsid w:val="00A15C53"/>
    <w:rsid w:val="00A24F5C"/>
    <w:rsid w:val="00A32835"/>
    <w:rsid w:val="00A34AA8"/>
    <w:rsid w:val="00A34AF9"/>
    <w:rsid w:val="00A353AC"/>
    <w:rsid w:val="00A40449"/>
    <w:rsid w:val="00A42A7F"/>
    <w:rsid w:val="00A43B7C"/>
    <w:rsid w:val="00A5078D"/>
    <w:rsid w:val="00A55E62"/>
    <w:rsid w:val="00A572BB"/>
    <w:rsid w:val="00A627FD"/>
    <w:rsid w:val="00A6393A"/>
    <w:rsid w:val="00A709EF"/>
    <w:rsid w:val="00A74BC3"/>
    <w:rsid w:val="00A752CE"/>
    <w:rsid w:val="00A7679F"/>
    <w:rsid w:val="00A77950"/>
    <w:rsid w:val="00A81D77"/>
    <w:rsid w:val="00A845A3"/>
    <w:rsid w:val="00A8691B"/>
    <w:rsid w:val="00A978C4"/>
    <w:rsid w:val="00AA3B39"/>
    <w:rsid w:val="00AA51A1"/>
    <w:rsid w:val="00AA5D4F"/>
    <w:rsid w:val="00AB1FEA"/>
    <w:rsid w:val="00AB4718"/>
    <w:rsid w:val="00AC0AAB"/>
    <w:rsid w:val="00AC2F0C"/>
    <w:rsid w:val="00AD0B44"/>
    <w:rsid w:val="00AD480C"/>
    <w:rsid w:val="00AD7E63"/>
    <w:rsid w:val="00AF0449"/>
    <w:rsid w:val="00B035C8"/>
    <w:rsid w:val="00B05E5C"/>
    <w:rsid w:val="00B07575"/>
    <w:rsid w:val="00B12EDC"/>
    <w:rsid w:val="00B14909"/>
    <w:rsid w:val="00B15A28"/>
    <w:rsid w:val="00B20340"/>
    <w:rsid w:val="00B21DCB"/>
    <w:rsid w:val="00B23981"/>
    <w:rsid w:val="00B24E1D"/>
    <w:rsid w:val="00B26ACC"/>
    <w:rsid w:val="00B30FC5"/>
    <w:rsid w:val="00B3107E"/>
    <w:rsid w:val="00B31A92"/>
    <w:rsid w:val="00B32110"/>
    <w:rsid w:val="00B36B77"/>
    <w:rsid w:val="00B40612"/>
    <w:rsid w:val="00B47594"/>
    <w:rsid w:val="00B54810"/>
    <w:rsid w:val="00B57D0A"/>
    <w:rsid w:val="00B627D9"/>
    <w:rsid w:val="00B63D1B"/>
    <w:rsid w:val="00B70E76"/>
    <w:rsid w:val="00B71C57"/>
    <w:rsid w:val="00B72EF3"/>
    <w:rsid w:val="00B7345C"/>
    <w:rsid w:val="00B809BB"/>
    <w:rsid w:val="00B82ED3"/>
    <w:rsid w:val="00B85AD9"/>
    <w:rsid w:val="00B90012"/>
    <w:rsid w:val="00B90527"/>
    <w:rsid w:val="00B91243"/>
    <w:rsid w:val="00B944A2"/>
    <w:rsid w:val="00B94B45"/>
    <w:rsid w:val="00B94DED"/>
    <w:rsid w:val="00B95008"/>
    <w:rsid w:val="00BA1CDF"/>
    <w:rsid w:val="00BA211B"/>
    <w:rsid w:val="00BA5FD8"/>
    <w:rsid w:val="00BB24D3"/>
    <w:rsid w:val="00BB4740"/>
    <w:rsid w:val="00BB47F6"/>
    <w:rsid w:val="00BB5DC5"/>
    <w:rsid w:val="00BB614F"/>
    <w:rsid w:val="00BB634E"/>
    <w:rsid w:val="00BB6943"/>
    <w:rsid w:val="00BC42AF"/>
    <w:rsid w:val="00BC4DB1"/>
    <w:rsid w:val="00BC58FA"/>
    <w:rsid w:val="00BD0068"/>
    <w:rsid w:val="00BD3D70"/>
    <w:rsid w:val="00BD6C37"/>
    <w:rsid w:val="00BE0015"/>
    <w:rsid w:val="00BE0F36"/>
    <w:rsid w:val="00BF154C"/>
    <w:rsid w:val="00BF5860"/>
    <w:rsid w:val="00C051DD"/>
    <w:rsid w:val="00C1785E"/>
    <w:rsid w:val="00C17EEB"/>
    <w:rsid w:val="00C21DB8"/>
    <w:rsid w:val="00C23DE7"/>
    <w:rsid w:val="00C25EDD"/>
    <w:rsid w:val="00C33366"/>
    <w:rsid w:val="00C371A7"/>
    <w:rsid w:val="00C37DE5"/>
    <w:rsid w:val="00C421EA"/>
    <w:rsid w:val="00C44696"/>
    <w:rsid w:val="00C45F6D"/>
    <w:rsid w:val="00C50BA1"/>
    <w:rsid w:val="00C5184F"/>
    <w:rsid w:val="00C52753"/>
    <w:rsid w:val="00C52B93"/>
    <w:rsid w:val="00C56055"/>
    <w:rsid w:val="00C610A5"/>
    <w:rsid w:val="00C610AC"/>
    <w:rsid w:val="00C61183"/>
    <w:rsid w:val="00C638AC"/>
    <w:rsid w:val="00C6428F"/>
    <w:rsid w:val="00C70784"/>
    <w:rsid w:val="00C779F7"/>
    <w:rsid w:val="00C81E24"/>
    <w:rsid w:val="00C84CA4"/>
    <w:rsid w:val="00C85DB5"/>
    <w:rsid w:val="00C86270"/>
    <w:rsid w:val="00C91F08"/>
    <w:rsid w:val="00C9413E"/>
    <w:rsid w:val="00C949CE"/>
    <w:rsid w:val="00C95367"/>
    <w:rsid w:val="00CA1E38"/>
    <w:rsid w:val="00CA2557"/>
    <w:rsid w:val="00CA30FE"/>
    <w:rsid w:val="00CA5942"/>
    <w:rsid w:val="00CA731A"/>
    <w:rsid w:val="00CB096F"/>
    <w:rsid w:val="00CB5598"/>
    <w:rsid w:val="00CB6491"/>
    <w:rsid w:val="00CB7274"/>
    <w:rsid w:val="00CC171D"/>
    <w:rsid w:val="00CC1A72"/>
    <w:rsid w:val="00CC1DF9"/>
    <w:rsid w:val="00CC2264"/>
    <w:rsid w:val="00CC5878"/>
    <w:rsid w:val="00CC666B"/>
    <w:rsid w:val="00CD33BF"/>
    <w:rsid w:val="00CE0D9B"/>
    <w:rsid w:val="00CE2351"/>
    <w:rsid w:val="00CE3764"/>
    <w:rsid w:val="00CE5C9C"/>
    <w:rsid w:val="00CE6B1B"/>
    <w:rsid w:val="00CF0DA0"/>
    <w:rsid w:val="00CF56A5"/>
    <w:rsid w:val="00D04AD8"/>
    <w:rsid w:val="00D12520"/>
    <w:rsid w:val="00D13CFB"/>
    <w:rsid w:val="00D14EA7"/>
    <w:rsid w:val="00D15B00"/>
    <w:rsid w:val="00D25960"/>
    <w:rsid w:val="00D25AD0"/>
    <w:rsid w:val="00D26C65"/>
    <w:rsid w:val="00D30722"/>
    <w:rsid w:val="00D332B2"/>
    <w:rsid w:val="00D33E56"/>
    <w:rsid w:val="00D34D55"/>
    <w:rsid w:val="00D36A3E"/>
    <w:rsid w:val="00D3767D"/>
    <w:rsid w:val="00D459C4"/>
    <w:rsid w:val="00D47195"/>
    <w:rsid w:val="00D47E55"/>
    <w:rsid w:val="00D5047C"/>
    <w:rsid w:val="00D56FCA"/>
    <w:rsid w:val="00D6577B"/>
    <w:rsid w:val="00D65F78"/>
    <w:rsid w:val="00D66FFB"/>
    <w:rsid w:val="00D70F78"/>
    <w:rsid w:val="00D72098"/>
    <w:rsid w:val="00D72C12"/>
    <w:rsid w:val="00D74BCF"/>
    <w:rsid w:val="00D77031"/>
    <w:rsid w:val="00D8350C"/>
    <w:rsid w:val="00D8690E"/>
    <w:rsid w:val="00D87BA2"/>
    <w:rsid w:val="00D9115A"/>
    <w:rsid w:val="00D92789"/>
    <w:rsid w:val="00D97A6A"/>
    <w:rsid w:val="00DA0A52"/>
    <w:rsid w:val="00DA544E"/>
    <w:rsid w:val="00DA5F33"/>
    <w:rsid w:val="00DA78F5"/>
    <w:rsid w:val="00DA7B1B"/>
    <w:rsid w:val="00DB3BA3"/>
    <w:rsid w:val="00DC0BAA"/>
    <w:rsid w:val="00DC2F9A"/>
    <w:rsid w:val="00DC5001"/>
    <w:rsid w:val="00DC5074"/>
    <w:rsid w:val="00DE4A48"/>
    <w:rsid w:val="00DE51F2"/>
    <w:rsid w:val="00DE6125"/>
    <w:rsid w:val="00DE70B6"/>
    <w:rsid w:val="00DE7B00"/>
    <w:rsid w:val="00DE7D65"/>
    <w:rsid w:val="00DF0CD9"/>
    <w:rsid w:val="00DF51FD"/>
    <w:rsid w:val="00DF7ACA"/>
    <w:rsid w:val="00E032B5"/>
    <w:rsid w:val="00E06AF7"/>
    <w:rsid w:val="00E07995"/>
    <w:rsid w:val="00E135D7"/>
    <w:rsid w:val="00E213EF"/>
    <w:rsid w:val="00E2383E"/>
    <w:rsid w:val="00E2510F"/>
    <w:rsid w:val="00E262F4"/>
    <w:rsid w:val="00E274DE"/>
    <w:rsid w:val="00E311FC"/>
    <w:rsid w:val="00E33D2F"/>
    <w:rsid w:val="00E35600"/>
    <w:rsid w:val="00E50DCA"/>
    <w:rsid w:val="00E516A0"/>
    <w:rsid w:val="00E51785"/>
    <w:rsid w:val="00E5263A"/>
    <w:rsid w:val="00E52886"/>
    <w:rsid w:val="00E603C2"/>
    <w:rsid w:val="00E65F54"/>
    <w:rsid w:val="00E728B4"/>
    <w:rsid w:val="00E75E1C"/>
    <w:rsid w:val="00E76369"/>
    <w:rsid w:val="00E76C69"/>
    <w:rsid w:val="00E771C6"/>
    <w:rsid w:val="00E7724F"/>
    <w:rsid w:val="00E8189D"/>
    <w:rsid w:val="00E85CA1"/>
    <w:rsid w:val="00E93554"/>
    <w:rsid w:val="00E94604"/>
    <w:rsid w:val="00E95347"/>
    <w:rsid w:val="00E95983"/>
    <w:rsid w:val="00E96EB2"/>
    <w:rsid w:val="00EA45E0"/>
    <w:rsid w:val="00EB0881"/>
    <w:rsid w:val="00EB0C72"/>
    <w:rsid w:val="00EB3D42"/>
    <w:rsid w:val="00EB5D56"/>
    <w:rsid w:val="00EC0B24"/>
    <w:rsid w:val="00EC0D70"/>
    <w:rsid w:val="00EC17EB"/>
    <w:rsid w:val="00EC20CA"/>
    <w:rsid w:val="00EC3264"/>
    <w:rsid w:val="00EC6D3A"/>
    <w:rsid w:val="00ED1308"/>
    <w:rsid w:val="00ED7815"/>
    <w:rsid w:val="00EE0D7C"/>
    <w:rsid w:val="00EE3FEE"/>
    <w:rsid w:val="00EE47F2"/>
    <w:rsid w:val="00EE71C3"/>
    <w:rsid w:val="00EF04CF"/>
    <w:rsid w:val="00EF1B68"/>
    <w:rsid w:val="00EF6728"/>
    <w:rsid w:val="00F02168"/>
    <w:rsid w:val="00F0219F"/>
    <w:rsid w:val="00F0273B"/>
    <w:rsid w:val="00F04A69"/>
    <w:rsid w:val="00F058A3"/>
    <w:rsid w:val="00F05C71"/>
    <w:rsid w:val="00F14F86"/>
    <w:rsid w:val="00F1660A"/>
    <w:rsid w:val="00F20C93"/>
    <w:rsid w:val="00F261EB"/>
    <w:rsid w:val="00F467EA"/>
    <w:rsid w:val="00F478D0"/>
    <w:rsid w:val="00F51F60"/>
    <w:rsid w:val="00F53085"/>
    <w:rsid w:val="00F531B1"/>
    <w:rsid w:val="00F60D0B"/>
    <w:rsid w:val="00F65AEA"/>
    <w:rsid w:val="00F742B4"/>
    <w:rsid w:val="00F77785"/>
    <w:rsid w:val="00F77F1C"/>
    <w:rsid w:val="00F82EC6"/>
    <w:rsid w:val="00F9137E"/>
    <w:rsid w:val="00F947FC"/>
    <w:rsid w:val="00F94EBA"/>
    <w:rsid w:val="00F96C5E"/>
    <w:rsid w:val="00FA048F"/>
    <w:rsid w:val="00FA06E6"/>
    <w:rsid w:val="00FA42A5"/>
    <w:rsid w:val="00FA5938"/>
    <w:rsid w:val="00FA5BB3"/>
    <w:rsid w:val="00FA6A40"/>
    <w:rsid w:val="00FB756F"/>
    <w:rsid w:val="00FC160A"/>
    <w:rsid w:val="00FC2928"/>
    <w:rsid w:val="00FC387F"/>
    <w:rsid w:val="00FC68F8"/>
    <w:rsid w:val="00FD02AC"/>
    <w:rsid w:val="00FD0D3B"/>
    <w:rsid w:val="00FD40A7"/>
    <w:rsid w:val="00FD4DEE"/>
    <w:rsid w:val="00FD500E"/>
    <w:rsid w:val="00FD7DA6"/>
    <w:rsid w:val="00FE4BFE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1C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1"/>
    <w:uiPriority w:val="99"/>
    <w:unhideWhenUsed/>
    <w:rsid w:val="00E65F5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1">
    <w:name w:val="Footer Char1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paragraph" w:customStyle="1" w:styleId="tvhtml">
    <w:name w:val="tv_html"/>
    <w:basedOn w:val="Normal"/>
    <w:rsid w:val="000811EB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rsid w:val="00154BD3"/>
    <w:rPr>
      <w:color w:val="800080"/>
      <w:u w:val="single"/>
    </w:rPr>
  </w:style>
  <w:style w:type="character" w:customStyle="1" w:styleId="spelle">
    <w:name w:val="spelle"/>
    <w:basedOn w:val="DefaultParagraphFont"/>
    <w:rsid w:val="00215002"/>
  </w:style>
  <w:style w:type="character" w:customStyle="1" w:styleId="FooterChar">
    <w:name w:val="Footer Char"/>
    <w:uiPriority w:val="99"/>
    <w:semiHidden/>
    <w:locked/>
    <w:rsid w:val="002233D1"/>
    <w:rPr>
      <w:rFonts w:cs="Times New Roman"/>
      <w:lang w:val="x-none" w:eastAsia="en-US"/>
    </w:rPr>
  </w:style>
  <w:style w:type="paragraph" w:customStyle="1" w:styleId="naisvisr">
    <w:name w:val="naisvisr"/>
    <w:basedOn w:val="Normal"/>
    <w:rsid w:val="00565A60"/>
    <w:pPr>
      <w:spacing w:before="150" w:after="150" w:line="240" w:lineRule="auto"/>
      <w:ind w:firstLine="0"/>
      <w:jc w:val="center"/>
    </w:pPr>
    <w:rPr>
      <w:rFonts w:eastAsia="Times New Roman"/>
      <w:b/>
      <w:bCs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565A60"/>
    <w:pPr>
      <w:spacing w:after="200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Parastais1">
    <w:name w:val="Parastais1"/>
    <w:qFormat/>
    <w:rsid w:val="00EF04CF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C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6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148"/>
    <w:rPr>
      <w:b/>
      <w:bCs/>
      <w:lang w:eastAsia="en-US"/>
    </w:rPr>
  </w:style>
  <w:style w:type="paragraph" w:customStyle="1" w:styleId="Default">
    <w:name w:val="Default"/>
    <w:basedOn w:val="Normal"/>
    <w:rsid w:val="00792FC8"/>
    <w:pPr>
      <w:autoSpaceDE w:val="0"/>
      <w:autoSpaceDN w:val="0"/>
      <w:spacing w:line="240" w:lineRule="auto"/>
      <w:ind w:firstLine="0"/>
      <w:jc w:val="left"/>
    </w:pPr>
    <w:rPr>
      <w:rFonts w:ascii="EUAlbertina" w:hAnsi="EUAlbertina"/>
      <w:color w:val="000000"/>
      <w:sz w:val="24"/>
      <w:szCs w:val="24"/>
      <w:lang w:eastAsia="lv-LV"/>
    </w:rPr>
  </w:style>
  <w:style w:type="paragraph" w:customStyle="1" w:styleId="xmsonormal">
    <w:name w:val="x_msonormal"/>
    <w:basedOn w:val="Normal"/>
    <w:rsid w:val="00250B33"/>
    <w:pPr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28D7"/>
    <w:rPr>
      <w:sz w:val="28"/>
      <w:szCs w:val="22"/>
      <w:lang w:eastAsia="en-US"/>
    </w:rPr>
  </w:style>
  <w:style w:type="paragraph" w:styleId="NormalWeb">
    <w:name w:val="Normal (Web)"/>
    <w:basedOn w:val="Normal"/>
    <w:rsid w:val="00A507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A5078D"/>
    <w:pPr>
      <w:spacing w:line="360" w:lineRule="auto"/>
      <w:ind w:firstLine="300"/>
      <w:jc w:val="left"/>
    </w:pPr>
    <w:rPr>
      <w:rFonts w:eastAsia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5BE"/>
    <w:pPr>
      <w:widowControl w:val="0"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5BE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65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1C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1"/>
    <w:uiPriority w:val="99"/>
    <w:unhideWhenUsed/>
    <w:rsid w:val="00E65F5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1">
    <w:name w:val="Footer Char1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paragraph" w:customStyle="1" w:styleId="tvhtml">
    <w:name w:val="tv_html"/>
    <w:basedOn w:val="Normal"/>
    <w:rsid w:val="000811EB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rsid w:val="00154BD3"/>
    <w:rPr>
      <w:color w:val="800080"/>
      <w:u w:val="single"/>
    </w:rPr>
  </w:style>
  <w:style w:type="character" w:customStyle="1" w:styleId="spelle">
    <w:name w:val="spelle"/>
    <w:basedOn w:val="DefaultParagraphFont"/>
    <w:rsid w:val="00215002"/>
  </w:style>
  <w:style w:type="character" w:customStyle="1" w:styleId="FooterChar">
    <w:name w:val="Footer Char"/>
    <w:uiPriority w:val="99"/>
    <w:semiHidden/>
    <w:locked/>
    <w:rsid w:val="002233D1"/>
    <w:rPr>
      <w:rFonts w:cs="Times New Roman"/>
      <w:lang w:val="x-none" w:eastAsia="en-US"/>
    </w:rPr>
  </w:style>
  <w:style w:type="paragraph" w:customStyle="1" w:styleId="naisvisr">
    <w:name w:val="naisvisr"/>
    <w:basedOn w:val="Normal"/>
    <w:rsid w:val="00565A60"/>
    <w:pPr>
      <w:spacing w:before="150" w:after="150" w:line="240" w:lineRule="auto"/>
      <w:ind w:firstLine="0"/>
      <w:jc w:val="center"/>
    </w:pPr>
    <w:rPr>
      <w:rFonts w:eastAsia="Times New Roman"/>
      <w:b/>
      <w:bCs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565A60"/>
    <w:pPr>
      <w:spacing w:after="200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Parastais1">
    <w:name w:val="Parastais1"/>
    <w:qFormat/>
    <w:rsid w:val="00EF04CF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C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6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148"/>
    <w:rPr>
      <w:b/>
      <w:bCs/>
      <w:lang w:eastAsia="en-US"/>
    </w:rPr>
  </w:style>
  <w:style w:type="paragraph" w:customStyle="1" w:styleId="Default">
    <w:name w:val="Default"/>
    <w:basedOn w:val="Normal"/>
    <w:rsid w:val="00792FC8"/>
    <w:pPr>
      <w:autoSpaceDE w:val="0"/>
      <w:autoSpaceDN w:val="0"/>
      <w:spacing w:line="240" w:lineRule="auto"/>
      <w:ind w:firstLine="0"/>
      <w:jc w:val="left"/>
    </w:pPr>
    <w:rPr>
      <w:rFonts w:ascii="EUAlbertina" w:hAnsi="EUAlbertina"/>
      <w:color w:val="000000"/>
      <w:sz w:val="24"/>
      <w:szCs w:val="24"/>
      <w:lang w:eastAsia="lv-LV"/>
    </w:rPr>
  </w:style>
  <w:style w:type="paragraph" w:customStyle="1" w:styleId="xmsonormal">
    <w:name w:val="x_msonormal"/>
    <w:basedOn w:val="Normal"/>
    <w:rsid w:val="00250B33"/>
    <w:pPr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28D7"/>
    <w:rPr>
      <w:sz w:val="28"/>
      <w:szCs w:val="22"/>
      <w:lang w:eastAsia="en-US"/>
    </w:rPr>
  </w:style>
  <w:style w:type="paragraph" w:styleId="NormalWeb">
    <w:name w:val="Normal (Web)"/>
    <w:basedOn w:val="Normal"/>
    <w:rsid w:val="00A507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A5078D"/>
    <w:pPr>
      <w:spacing w:line="360" w:lineRule="auto"/>
      <w:ind w:firstLine="300"/>
      <w:jc w:val="left"/>
    </w:pPr>
    <w:rPr>
      <w:rFonts w:eastAsia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5BE"/>
    <w:pPr>
      <w:widowControl w:val="0"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5BE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6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992">
          <w:marLeft w:val="54"/>
          <w:marRight w:val="54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3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s.Butans@s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ita\AppData\Local\Microsoft\Windows\Temporary%20Internet%20Files\Content.Outlook\O84D0EMH\SAMAnot_09032016_sabtrans_p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SAMAnot_09032016_sabtrans_prec</Template>
  <TotalTime>643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2011.gada 24.maija noteikumos Nr.411 “Autopārvadājumu kontroles organizēšanas un īstenošanas kārtība”” sākotnējās ietekmes novērtējuma ziņojums (anotācija) </vt:lpstr>
      <vt:lpstr>Likumprojekta „Grozījums Sabiedriskā transporta pakalpojumu likumā” sākotnējās ietekmes novērtējuma ziņojums (anotācija)</vt:lpstr>
    </vt:vector>
  </TitlesOfParts>
  <Company>Satiksmes ministrija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2011.gada 24.maija noteikumos Nr.411 “Autopārvadājumu kontroles organizēšanas un īstenošanas kārtība”” sākotnējās ietekmes novērtējuma ziņojums (anotācija) </dc:title>
  <dc:subject>anotācija</dc:subject>
  <dc:creator>Zans.Butans@sam.gov.lv</dc:creator>
  <cp:lastModifiedBy>Žans Butāns</cp:lastModifiedBy>
  <cp:revision>78</cp:revision>
  <cp:lastPrinted>2016-07-08T06:04:00Z</cp:lastPrinted>
  <dcterms:created xsi:type="dcterms:W3CDTF">2016-03-31T13:07:00Z</dcterms:created>
  <dcterms:modified xsi:type="dcterms:W3CDTF">2016-09-26T07:24:00Z</dcterms:modified>
</cp:coreProperties>
</file>